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08064D" w:rsidR="00F3173A" w:rsidP="0008064D" w:rsidRDefault="0008064D" w14:paraId="24544003" w14:textId="0920883B">
      <w:pPr>
        <w:pStyle w:val="TechnicalBlock"/>
        <w:ind w:left="-1134" w:right="-1134"/>
        <w15:collapsed w:val="false"/>
      </w:pPr>
      <w:bookmarkStart w:name="DW_BM_COVERPAGE" w:id="0"/>
      <w:r>
        <w:pict w14:anchorId="737C7850">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type="#_x0000_t75" alt="Document Cover Page. Document Number: 13853/21. Subject Codes: TRANS 670 AVIATION 280 ENV 871 ENER 490 IND 341 COMPET 810 ECO 122 RECH 505 CODEC 1467 CLIMA 371 RELEX 970. Heading: REPORT. Originator: General Secretariat of the Council. Recipient: Permanent Representatives Committee/Council. Subject: Proposal for a REGULATION OF THE EUROPEAN PARLIAMENT AND OF THE COUNCIL on ensuring a level playing field for sustainable air transport Progress report / Policy debate. Commission Document Number: ST 10884/21  INIT+ADD 1 -3. Preceeding Document Number: Not Set. Location: Brussels. Date: 19 November 2021. Interinstitutional Files: 2021/0205(COD). Institutional Framework: Council of the European Union. Language: EN. Distribution Code: PUBLIC. GUID: 5493380096690805697_0" style="width:568.5pt;height:460.5pt" id="_x0000_i1031">
            <v:imagedata o:title="" r:id="rId8"/>
          </v:shape>
        </w:pict>
      </w:r>
      <w:bookmarkEnd w:id="0"/>
    </w:p>
    <w:p w:rsidRPr="00103E65" w:rsidR="00E6105F" w:rsidP="00B7527D" w:rsidRDefault="00E6105F" w14:paraId="59D799DC" w14:textId="06E3144B">
      <w:pPr>
        <w:spacing w:line="348" w:lineRule="auto"/>
        <w:jc w:val="both"/>
        <w:rPr>
          <w:i/>
          <w:szCs w:val="24"/>
        </w:rPr>
      </w:pPr>
      <w:r>
        <w:rPr>
          <w:i/>
        </w:rPr>
        <w:t xml:space="preserve">The Presidency has foreseen a progress report and policy </w:t>
      </w:r>
      <w:r w:rsidR="00DE5E06">
        <w:rPr>
          <w:i/>
        </w:rPr>
        <w:t>debate for the TTE Council of 9 December </w:t>
      </w:r>
      <w:r>
        <w:rPr>
          <w:i/>
        </w:rPr>
        <w:t xml:space="preserve">2021 on the above </w:t>
      </w:r>
      <w:r w:rsidR="00DB6013">
        <w:rPr>
          <w:i/>
        </w:rPr>
        <w:t>proposal</w:t>
      </w:r>
      <w:r>
        <w:rPr>
          <w:i/>
        </w:rPr>
        <w:t xml:space="preserve">. </w:t>
      </w:r>
      <w:r w:rsidRPr="00750777">
        <w:rPr>
          <w:i/>
          <w:szCs w:val="24"/>
        </w:rPr>
        <w:t xml:space="preserve">In order to inform Ministers about the progress made </w:t>
      </w:r>
      <w:r>
        <w:rPr>
          <w:i/>
          <w:szCs w:val="24"/>
        </w:rPr>
        <w:t>to date</w:t>
      </w:r>
      <w:r w:rsidRPr="00750777">
        <w:rPr>
          <w:i/>
          <w:szCs w:val="24"/>
        </w:rPr>
        <w:t xml:space="preserve"> </w:t>
      </w:r>
      <w:r w:rsidRPr="00103E65">
        <w:rPr>
          <w:i/>
          <w:szCs w:val="24"/>
        </w:rPr>
        <w:t xml:space="preserve">and to </w:t>
      </w:r>
      <w:r w:rsidR="00B7527D">
        <w:rPr>
          <w:i/>
          <w:szCs w:val="24"/>
        </w:rPr>
        <w:t>steer an exchange of views on substantial</w:t>
      </w:r>
      <w:r w:rsidRPr="00103E65" w:rsidR="00B7527D">
        <w:rPr>
          <w:i/>
          <w:szCs w:val="24"/>
        </w:rPr>
        <w:t xml:space="preserve"> </w:t>
      </w:r>
      <w:r w:rsidRPr="00103E65">
        <w:rPr>
          <w:i/>
          <w:szCs w:val="24"/>
        </w:rPr>
        <w:t>issues</w:t>
      </w:r>
      <w:r w:rsidR="00B7527D">
        <w:rPr>
          <w:i/>
          <w:szCs w:val="24"/>
        </w:rPr>
        <w:t xml:space="preserve">, </w:t>
      </w:r>
      <w:r w:rsidRPr="00103E65">
        <w:rPr>
          <w:i/>
          <w:szCs w:val="24"/>
        </w:rPr>
        <w:t xml:space="preserve">the Presidency has </w:t>
      </w:r>
      <w:r w:rsidR="00B7527D">
        <w:rPr>
          <w:i/>
          <w:szCs w:val="24"/>
        </w:rPr>
        <w:t xml:space="preserve">prepared a </w:t>
      </w:r>
      <w:r w:rsidRPr="00103E65">
        <w:rPr>
          <w:i/>
          <w:szCs w:val="24"/>
        </w:rPr>
        <w:t xml:space="preserve">progress report (Annex I). In view of the Ministerial policy debate, </w:t>
      </w:r>
      <w:r w:rsidRPr="00103E65" w:rsidR="00DE5E06">
        <w:rPr>
          <w:i/>
          <w:szCs w:val="24"/>
        </w:rPr>
        <w:t xml:space="preserve">a steering note may be found for </w:t>
      </w:r>
      <w:r w:rsidRPr="00103E65">
        <w:rPr>
          <w:i/>
          <w:szCs w:val="24"/>
        </w:rPr>
        <w:t>delegations in Annex II.</w:t>
      </w:r>
    </w:p>
    <w:p w:rsidR="00E6105F" w:rsidP="000324E1" w:rsidRDefault="00E6105F" w14:paraId="3F36633D" w14:textId="0D3B3801">
      <w:pPr>
        <w:spacing w:line="348" w:lineRule="auto"/>
        <w:jc w:val="both"/>
        <w:rPr>
          <w:i/>
          <w:szCs w:val="24"/>
        </w:rPr>
      </w:pPr>
      <w:r w:rsidRPr="00103E65">
        <w:rPr>
          <w:i/>
          <w:szCs w:val="24"/>
        </w:rPr>
        <w:t xml:space="preserve">The Coreper/Council will be invited to take note of the progress report set out in Annex I. The Council will be invited to address the </w:t>
      </w:r>
      <w:r w:rsidRPr="00103E65" w:rsidR="00DE5E06">
        <w:rPr>
          <w:i/>
          <w:szCs w:val="24"/>
        </w:rPr>
        <w:t>points</w:t>
      </w:r>
      <w:r w:rsidRPr="00103E65">
        <w:rPr>
          <w:i/>
          <w:szCs w:val="24"/>
        </w:rPr>
        <w:t xml:space="preserve"> set out in Annex II.</w:t>
      </w:r>
    </w:p>
    <w:p w:rsidR="003428EE" w:rsidP="003428EE" w:rsidRDefault="003428EE" w14:paraId="73D1F7FA" w14:textId="75A20FA3">
      <w:pPr>
        <w:pStyle w:val="FinalLine"/>
        <w:rPr>
          <w:lang w:eastAsia="fr-BE"/>
        </w:rPr>
      </w:pPr>
    </w:p>
    <w:p w:rsidR="003428EE" w:rsidP="003428EE" w:rsidRDefault="003428EE" w14:paraId="27900E55" w14:textId="77777777">
      <w:pPr>
        <w:rPr>
          <w:lang w:eastAsia="fr-BE"/>
        </w:rPr>
        <w:sectPr w:rsidR="003428EE" w:rsidSect="000324E1">
          <w:headerReference w:type="even" r:id="rId9"/>
          <w:headerReference w:type="default" r:id="rId10"/>
          <w:footerReference w:type="even" r:id="rId11"/>
          <w:footerReference w:type="default" r:id="rId12"/>
          <w:headerReference w:type="first" r:id="rId13"/>
          <w:footerReference w:type="first" r:id="rId14"/>
          <w:pgSz w:w="11907" w:h="16840" w:code="9"/>
          <w:pgMar w:top="624" w:right="1134" w:bottom="1134" w:left="1134" w:header="567" w:footer="567" w:gutter="0"/>
          <w:pgNumType w:start="1"/>
          <w:cols w:space="708"/>
          <w:titlePg/>
          <w:docGrid w:linePitch="360"/>
        </w:sectPr>
      </w:pPr>
    </w:p>
    <w:p w:rsidRPr="003428EE" w:rsidR="003428EE" w:rsidP="003428EE" w:rsidRDefault="003428EE" w14:paraId="653ED759" w14:textId="44E8A05D">
      <w:pPr>
        <w:pStyle w:val="Annex"/>
        <w:rPr>
          <w:lang w:eastAsia="fr-BE"/>
        </w:rPr>
      </w:pPr>
      <w:r>
        <w:rPr>
          <w:lang w:eastAsia="fr-BE"/>
        </w:rPr>
        <w:lastRenderedPageBreak/>
        <w:t>ANNEX 1</w:t>
      </w:r>
    </w:p>
    <w:p w:rsidRPr="00C8334F" w:rsidR="00C8334F" w:rsidP="0014797F" w:rsidRDefault="007C569A" w14:paraId="2298FCC3" w14:textId="1FDF62EE">
      <w:pPr>
        <w:tabs>
          <w:tab w:val="num" w:pos="567"/>
        </w:tabs>
        <w:spacing w:before="360"/>
        <w:ind w:left="567" w:hanging="567"/>
        <w:jc w:val="both"/>
        <w:outlineLvl w:val="0"/>
        <w:rPr>
          <w:rFonts w:eastAsia="Calibri"/>
          <w:b/>
          <w:caps/>
          <w:u w:val="single"/>
        </w:rPr>
      </w:pPr>
      <w:r>
        <w:rPr>
          <w:rFonts w:eastAsia="Calibri"/>
          <w:b/>
          <w:caps/>
          <w:u w:val="single"/>
        </w:rPr>
        <w:t xml:space="preserve">I. </w:t>
      </w:r>
      <w:r w:rsidRPr="00C8334F" w:rsidR="00C8334F">
        <w:rPr>
          <w:rFonts w:eastAsia="Calibri"/>
          <w:b/>
          <w:caps/>
          <w:u w:val="single"/>
        </w:rPr>
        <w:t>Introduction</w:t>
      </w:r>
    </w:p>
    <w:p w:rsidRPr="00C8334F" w:rsidR="00C8334F" w:rsidP="0014797F" w:rsidRDefault="00C8334F" w14:paraId="62258B45" w14:textId="12E502F1">
      <w:pPr>
        <w:jc w:val="both"/>
        <w:rPr>
          <w:rFonts w:asciiTheme="majorBidi" w:hAnsiTheme="majorBidi" w:cstheme="majorBidi"/>
          <w:color w:val="000000" w:themeColor="text1"/>
          <w:szCs w:val="24"/>
        </w:rPr>
      </w:pPr>
      <w:r w:rsidRPr="00C8334F">
        <w:rPr>
          <w:rFonts w:asciiTheme="majorBidi" w:hAnsiTheme="majorBidi" w:cstheme="majorBidi"/>
          <w:color w:val="000000" w:themeColor="text1"/>
          <w:szCs w:val="24"/>
        </w:rPr>
        <w:t xml:space="preserve">The </w:t>
      </w:r>
      <w:r w:rsidRPr="00C8334F">
        <w:rPr>
          <w:rFonts w:asciiTheme="majorBidi" w:hAnsiTheme="majorBidi" w:cstheme="majorBidi"/>
          <w:color w:val="000000" w:themeColor="text1"/>
          <w:szCs w:val="24"/>
          <w:u w:val="single"/>
        </w:rPr>
        <w:t>Commission</w:t>
      </w:r>
      <w:r w:rsidRPr="00C8334F">
        <w:rPr>
          <w:rFonts w:asciiTheme="majorBidi" w:hAnsiTheme="majorBidi" w:cstheme="majorBidi"/>
          <w:color w:val="000000" w:themeColor="text1"/>
          <w:szCs w:val="24"/>
        </w:rPr>
        <w:t xml:space="preserve"> submitted the above proposal to the </w:t>
      </w:r>
      <w:r w:rsidRPr="00C8334F">
        <w:rPr>
          <w:rFonts w:asciiTheme="majorBidi" w:hAnsiTheme="majorBidi" w:cstheme="majorBidi"/>
          <w:color w:val="000000" w:themeColor="text1"/>
          <w:szCs w:val="24"/>
          <w:u w:val="single"/>
        </w:rPr>
        <w:t>European Parliament</w:t>
      </w:r>
      <w:r w:rsidRPr="00C8334F">
        <w:rPr>
          <w:rFonts w:asciiTheme="majorBidi" w:hAnsiTheme="majorBidi" w:cstheme="majorBidi"/>
          <w:color w:val="000000" w:themeColor="text1"/>
          <w:szCs w:val="24"/>
        </w:rPr>
        <w:t xml:space="preserve"> and to the </w:t>
      </w:r>
      <w:r w:rsidRPr="00C8334F">
        <w:rPr>
          <w:rFonts w:asciiTheme="majorBidi" w:hAnsiTheme="majorBidi" w:cstheme="majorBidi"/>
          <w:color w:val="000000" w:themeColor="text1"/>
          <w:szCs w:val="24"/>
          <w:u w:val="single"/>
        </w:rPr>
        <w:t>Council</w:t>
      </w:r>
      <w:r w:rsidRPr="00C8334F">
        <w:rPr>
          <w:rFonts w:asciiTheme="majorBidi" w:hAnsiTheme="majorBidi" w:cstheme="majorBidi"/>
          <w:color w:val="000000" w:themeColor="text1"/>
          <w:szCs w:val="24"/>
        </w:rPr>
        <w:t xml:space="preserve"> on </w:t>
      </w:r>
      <w:r w:rsidR="0014797F">
        <w:rPr>
          <w:rFonts w:asciiTheme="majorBidi" w:hAnsiTheme="majorBidi" w:cstheme="majorBidi"/>
          <w:color w:val="000000" w:themeColor="text1"/>
          <w:szCs w:val="24"/>
        </w:rPr>
        <w:t>14 </w:t>
      </w:r>
      <w:r w:rsidRPr="00C8334F">
        <w:rPr>
          <w:rFonts w:asciiTheme="majorBidi" w:hAnsiTheme="majorBidi" w:cstheme="majorBidi"/>
          <w:color w:val="000000" w:themeColor="text1"/>
          <w:szCs w:val="24"/>
        </w:rPr>
        <w:t>July</w:t>
      </w:r>
      <w:r w:rsidR="0014797F">
        <w:rPr>
          <w:rFonts w:asciiTheme="majorBidi" w:hAnsiTheme="majorBidi" w:cstheme="majorBidi"/>
          <w:color w:val="000000" w:themeColor="text1"/>
          <w:szCs w:val="24"/>
        </w:rPr>
        <w:t> </w:t>
      </w:r>
      <w:r w:rsidRPr="00C8334F">
        <w:rPr>
          <w:rFonts w:asciiTheme="majorBidi" w:hAnsiTheme="majorBidi" w:cstheme="majorBidi"/>
          <w:color w:val="000000" w:themeColor="text1"/>
          <w:szCs w:val="24"/>
        </w:rPr>
        <w:t>2021 as part of the ‘Fit for 55’ package</w:t>
      </w:r>
      <w:r w:rsidRPr="00C8334F">
        <w:rPr>
          <w:rFonts w:asciiTheme="majorBidi" w:hAnsiTheme="majorBidi" w:cstheme="majorBidi"/>
          <w:b/>
          <w:color w:val="000000" w:themeColor="text1"/>
          <w:szCs w:val="24"/>
          <w:vertAlign w:val="superscript"/>
        </w:rPr>
        <w:footnoteReference w:id="2"/>
      </w:r>
      <w:r w:rsidRPr="00C8334F">
        <w:rPr>
          <w:rFonts w:asciiTheme="majorBidi" w:hAnsiTheme="majorBidi" w:cstheme="majorBidi"/>
          <w:color w:val="000000" w:themeColor="text1"/>
          <w:szCs w:val="24"/>
        </w:rPr>
        <w:t xml:space="preserve"> aimed at making the EU's climate, energy, land use, transport and taxation policies fit for achieving the EU target of a net domestic reduction of at least 55% in greenhouse gas emissions by 2030 compared to 1990.</w:t>
      </w:r>
    </w:p>
    <w:p w:rsidRPr="00C8334F" w:rsidR="00C8334F" w:rsidP="0014797F" w:rsidRDefault="00C8334F" w14:paraId="555CCC61" w14:textId="4D495764">
      <w:pPr>
        <w:jc w:val="both"/>
        <w:rPr>
          <w:rFonts w:eastAsia="Calibri"/>
          <w:szCs w:val="24"/>
        </w:rPr>
      </w:pPr>
      <w:r w:rsidRPr="00C8334F">
        <w:rPr>
          <w:rFonts w:eastAsia="Calibri"/>
          <w:noProof/>
          <w:szCs w:val="24"/>
        </w:rPr>
        <w:t xml:space="preserve">The objective of the </w:t>
      </w:r>
      <w:r w:rsidRPr="00C8334F">
        <w:rPr>
          <w:rFonts w:eastAsia="Calibri"/>
          <w:szCs w:val="24"/>
        </w:rPr>
        <w:t xml:space="preserve">‘Fit for 55’ </w:t>
      </w:r>
      <w:r w:rsidRPr="00C8334F">
        <w:rPr>
          <w:rFonts w:eastAsia="Calibri"/>
          <w:noProof/>
          <w:szCs w:val="24"/>
        </w:rPr>
        <w:t xml:space="preserve">package is </w:t>
      </w:r>
      <w:r w:rsidRPr="00C8334F">
        <w:rPr>
          <w:rFonts w:eastAsia="Calibri"/>
          <w:szCs w:val="24"/>
        </w:rPr>
        <w:t>to</w:t>
      </w:r>
      <w:r w:rsidR="008D467C">
        <w:rPr>
          <w:rFonts w:eastAsia="Calibri"/>
          <w:b/>
          <w:bCs/>
          <w:szCs w:val="24"/>
        </w:rPr>
        <w:t xml:space="preserve"> </w:t>
      </w:r>
      <w:r w:rsidR="008D467C">
        <w:rPr>
          <w:rFonts w:eastAsia="Calibri"/>
          <w:szCs w:val="24"/>
        </w:rPr>
        <w:t xml:space="preserve">deliver on the targets </w:t>
      </w:r>
      <w:r w:rsidRPr="00C8334F">
        <w:rPr>
          <w:rFonts w:eastAsia="Calibri"/>
          <w:szCs w:val="24"/>
        </w:rPr>
        <w:t>agreed in the European Climate Law</w:t>
      </w:r>
      <w:r w:rsidRPr="00C8334F">
        <w:rPr>
          <w:rFonts w:eastAsia="Calibri"/>
          <w:b/>
          <w:szCs w:val="24"/>
          <w:vertAlign w:val="superscript"/>
        </w:rPr>
        <w:footnoteReference w:id="3"/>
      </w:r>
      <w:r w:rsidRPr="00C8334F">
        <w:rPr>
          <w:rFonts w:eastAsia="Calibri"/>
          <w:szCs w:val="24"/>
        </w:rPr>
        <w:t> so as to fundamentally transform the economy and society for a fairer, greener and more prosperous future. Reducing emissions in the next decade is crucial to Europe becoming the world's first climate-neutral continent by 2050 and making the </w:t>
      </w:r>
      <w:r w:rsidRPr="00C8334F">
        <w:rPr>
          <w:rFonts w:eastAsia="Calibri"/>
        </w:rPr>
        <w:t>European Green Deal</w:t>
      </w:r>
      <w:r w:rsidRPr="00C8334F">
        <w:rPr>
          <w:rFonts w:eastAsia="Calibri"/>
          <w:szCs w:val="24"/>
        </w:rPr>
        <w:t> a reality.</w:t>
      </w:r>
    </w:p>
    <w:p w:rsidR="00C05CD1" w:rsidP="00690E2E" w:rsidRDefault="00C8334F" w14:paraId="641977CF" w14:textId="6B7F759B">
      <w:pPr>
        <w:jc w:val="both"/>
        <w:rPr>
          <w:rFonts w:eastAsia="Calibri"/>
          <w:szCs w:val="24"/>
        </w:rPr>
      </w:pPr>
      <w:r w:rsidRPr="00C8334F">
        <w:rPr>
          <w:rFonts w:asciiTheme="majorBidi" w:hAnsiTheme="majorBidi" w:cstheme="majorBidi"/>
          <w:color w:val="000000" w:themeColor="text1"/>
          <w:szCs w:val="24"/>
        </w:rPr>
        <w:t xml:space="preserve">In order to reach the goal of putting the EU on a path to becoming climate neutral by 2050, a reduction of approximately 90% in transport emissions would be needed. The above proposal would play a significant role in this, since </w:t>
      </w:r>
      <w:r w:rsidRPr="00C8334F">
        <w:rPr>
          <w:rFonts w:eastAsia="Calibri"/>
          <w:szCs w:val="24"/>
        </w:rPr>
        <w:t xml:space="preserve">its main objective is to increase </w:t>
      </w:r>
      <w:r>
        <w:rPr>
          <w:rFonts w:eastAsia="Calibri"/>
          <w:szCs w:val="24"/>
        </w:rPr>
        <w:t>both the demand and supply of Sustainable Aviation Fuels</w:t>
      </w:r>
      <w:r w:rsidR="00690E2E">
        <w:rPr>
          <w:rFonts w:eastAsia="Calibri"/>
          <w:szCs w:val="24"/>
        </w:rPr>
        <w:t>, including</w:t>
      </w:r>
      <w:r>
        <w:rPr>
          <w:rFonts w:eastAsia="Calibri"/>
          <w:szCs w:val="24"/>
        </w:rPr>
        <w:t xml:space="preserve"> </w:t>
      </w:r>
      <w:r w:rsidR="00D12620">
        <w:rPr>
          <w:rFonts w:eastAsia="Calibri"/>
          <w:szCs w:val="24"/>
        </w:rPr>
        <w:t>Synthetic</w:t>
      </w:r>
      <w:r w:rsidR="00690E2E">
        <w:rPr>
          <w:rFonts w:eastAsia="Calibri"/>
          <w:szCs w:val="24"/>
        </w:rPr>
        <w:t xml:space="preserve"> Aviation F</w:t>
      </w:r>
      <w:r>
        <w:rPr>
          <w:rFonts w:eastAsia="Calibri"/>
          <w:szCs w:val="24"/>
        </w:rPr>
        <w:t xml:space="preserve">uels, all the while ensuring a level playing field across the EU air transport market. </w:t>
      </w:r>
      <w:r w:rsidRPr="00C8334F">
        <w:rPr>
          <w:rFonts w:eastAsia="Calibri"/>
          <w:szCs w:val="24"/>
        </w:rPr>
        <w:t xml:space="preserve">Notably, its main provisions focus on the following aspects: </w:t>
      </w:r>
    </w:p>
    <w:p w:rsidRPr="00C8334F" w:rsidR="00C8334F" w:rsidP="00690E2E" w:rsidRDefault="00C05CD1" w14:paraId="7367ADB2" w14:textId="0D908F1F">
      <w:pPr>
        <w:jc w:val="both"/>
        <w:rPr>
          <w:rFonts w:asciiTheme="majorBidi" w:hAnsiTheme="majorBidi" w:cstheme="majorBidi"/>
          <w:color w:val="000000" w:themeColor="text1"/>
          <w:szCs w:val="24"/>
        </w:rPr>
      </w:pPr>
      <w:r>
        <w:rPr>
          <w:rFonts w:eastAsia="Calibri"/>
          <w:szCs w:val="24"/>
        </w:rPr>
        <w:br w:type="page"/>
      </w:r>
    </w:p>
    <w:p w:rsidRPr="00690E2E" w:rsidR="00690E2E" w:rsidP="00690E2E" w:rsidRDefault="00690E2E" w14:paraId="4DC787A2" w14:textId="22AC02D3">
      <w:pPr>
        <w:pStyle w:val="ListParagraph"/>
        <w:numPr>
          <w:ilvl w:val="0"/>
          <w:numId w:val="44"/>
        </w:numPr>
        <w:jc w:val="both"/>
        <w:rPr>
          <w:rFonts w:eastAsia="Calibri"/>
        </w:rPr>
      </w:pPr>
      <w:r w:rsidRPr="00690E2E">
        <w:rPr>
          <w:rFonts w:eastAsia="Calibri"/>
        </w:rPr>
        <w:t>laying down requirements for the uplift of sustainable aviation fuel and synthetic aviation fuel starting from 2025 with a gradual increase until 2050;</w:t>
      </w:r>
    </w:p>
    <w:p w:rsidRPr="00690E2E" w:rsidR="00C8334F" w:rsidP="00690E2E" w:rsidRDefault="00690E2E" w14:paraId="4016207B" w14:textId="63432F20">
      <w:pPr>
        <w:pStyle w:val="ListParagraph"/>
        <w:numPr>
          <w:ilvl w:val="0"/>
          <w:numId w:val="44"/>
        </w:numPr>
        <w:jc w:val="both"/>
        <w:rPr>
          <w:rFonts w:eastAsia="Calibri"/>
        </w:rPr>
      </w:pPr>
      <w:r w:rsidRPr="00690E2E">
        <w:rPr>
          <w:rFonts w:eastAsia="Calibri"/>
        </w:rPr>
        <w:t>establishing a transitional period allowing fuel suppliers to reach the targets set in the annex as a we</w:t>
      </w:r>
      <w:r>
        <w:rPr>
          <w:rFonts w:eastAsia="Calibri"/>
        </w:rPr>
        <w:t>ighted average across the Union;</w:t>
      </w:r>
    </w:p>
    <w:p w:rsidRPr="00690E2E" w:rsidR="00C8334F" w:rsidP="00690E2E" w:rsidRDefault="00690E2E" w14:paraId="2BE8F82F" w14:textId="350F2C18">
      <w:pPr>
        <w:pStyle w:val="ListParagraph"/>
        <w:numPr>
          <w:ilvl w:val="0"/>
          <w:numId w:val="44"/>
        </w:numPr>
        <w:jc w:val="both"/>
        <w:rPr>
          <w:rFonts w:eastAsia="Calibri"/>
        </w:rPr>
      </w:pPr>
      <w:r w:rsidRPr="00690E2E">
        <w:rPr>
          <w:rFonts w:eastAsia="Calibri"/>
        </w:rPr>
        <w:t>ensuring anti-tankering measures;</w:t>
      </w:r>
    </w:p>
    <w:p w:rsidRPr="00C8334F" w:rsidR="00C8334F" w:rsidP="00690E2E" w:rsidRDefault="00C8334F" w14:paraId="4721F098" w14:textId="023C9DEE">
      <w:pPr>
        <w:ind w:left="567"/>
        <w:jc w:val="both"/>
        <w:rPr>
          <w:rFonts w:eastAsia="Calibri"/>
          <w:szCs w:val="24"/>
        </w:rPr>
      </w:pPr>
      <w:r w:rsidRPr="00C8334F">
        <w:rPr>
          <w:rFonts w:eastAsia="Calibri"/>
          <w:szCs w:val="24"/>
        </w:rPr>
        <w:t xml:space="preserve">(iii) </w:t>
      </w:r>
      <w:r w:rsidR="00690E2E">
        <w:rPr>
          <w:rFonts w:eastAsia="Calibri"/>
          <w:szCs w:val="24"/>
        </w:rPr>
        <w:tab/>
      </w:r>
      <w:r w:rsidR="008209AD">
        <w:rPr>
          <w:rFonts w:eastAsia="Calibri"/>
          <w:szCs w:val="24"/>
        </w:rPr>
        <w:t>laying down reporting obligations for fuel s</w:t>
      </w:r>
      <w:r w:rsidR="00690E2E">
        <w:rPr>
          <w:rFonts w:eastAsia="Calibri"/>
          <w:szCs w:val="24"/>
        </w:rPr>
        <w:t>uppliers and aircraft operators.</w:t>
      </w:r>
    </w:p>
    <w:p w:rsidR="00C05CD1" w:rsidP="00B11D4C" w:rsidRDefault="00C8334F" w14:paraId="7C17E237" w14:textId="233E37AD">
      <w:pPr>
        <w:jc w:val="both"/>
        <w:rPr>
          <w:rFonts w:eastAsia="Calibri"/>
          <w:szCs w:val="24"/>
        </w:rPr>
      </w:pPr>
      <w:r w:rsidRPr="00C8334F">
        <w:rPr>
          <w:rFonts w:eastAsia="Calibri"/>
          <w:szCs w:val="24"/>
        </w:rPr>
        <w:t xml:space="preserve">The above proposal presents interlinkages with other proposals of the </w:t>
      </w:r>
      <w:r w:rsidRPr="00C8334F">
        <w:rPr>
          <w:rFonts w:asciiTheme="majorBidi" w:hAnsiTheme="majorBidi" w:cstheme="majorBidi"/>
          <w:color w:val="000000" w:themeColor="text1"/>
          <w:szCs w:val="24"/>
        </w:rPr>
        <w:t>‘Fit for 55’ package. In particular, t</w:t>
      </w:r>
      <w:r w:rsidRPr="00C8334F">
        <w:rPr>
          <w:rFonts w:eastAsia="Calibri"/>
          <w:szCs w:val="24"/>
        </w:rPr>
        <w:t>he definition of</w:t>
      </w:r>
      <w:r w:rsidR="008209AD">
        <w:rPr>
          <w:rFonts w:eastAsia="Calibri"/>
          <w:szCs w:val="24"/>
        </w:rPr>
        <w:t xml:space="preserve"> sustainable aviation</w:t>
      </w:r>
      <w:r w:rsidRPr="00C8334F">
        <w:rPr>
          <w:rFonts w:eastAsia="Calibri"/>
          <w:szCs w:val="24"/>
        </w:rPr>
        <w:t xml:space="preserve"> fuel</w:t>
      </w:r>
      <w:r w:rsidR="008209AD">
        <w:rPr>
          <w:rFonts w:eastAsia="Calibri"/>
          <w:szCs w:val="24"/>
        </w:rPr>
        <w:t xml:space="preserve"> and of synthetic aviation fuel</w:t>
      </w:r>
      <w:r w:rsidRPr="00C8334F">
        <w:rPr>
          <w:rFonts w:eastAsia="Calibri"/>
          <w:szCs w:val="24"/>
        </w:rPr>
        <w:t xml:space="preserve"> referred to therein come from the Renewable Energy Directive (RED)</w:t>
      </w:r>
      <w:r w:rsidRPr="00C8334F">
        <w:rPr>
          <w:rFonts w:eastAsia="Calibri"/>
          <w:b/>
          <w:szCs w:val="24"/>
          <w:vertAlign w:val="superscript"/>
        </w:rPr>
        <w:footnoteReference w:id="4"/>
      </w:r>
      <w:r w:rsidRPr="00C8334F">
        <w:rPr>
          <w:rFonts w:eastAsia="Calibri"/>
          <w:szCs w:val="24"/>
        </w:rPr>
        <w:t xml:space="preserve">. </w:t>
      </w:r>
      <w:r w:rsidR="00690E2E">
        <w:rPr>
          <w:rFonts w:eastAsia="Calibri"/>
          <w:szCs w:val="24"/>
        </w:rPr>
        <w:t xml:space="preserve">The </w:t>
      </w:r>
      <w:r w:rsidR="008209AD">
        <w:rPr>
          <w:rFonts w:eastAsia="Calibri"/>
          <w:szCs w:val="24"/>
        </w:rPr>
        <w:t>provision on the obligation of Union airports to provide the infrastructure is interlinked with AFIR</w:t>
      </w:r>
      <w:r w:rsidRPr="00C8334F">
        <w:rPr>
          <w:rFonts w:eastAsia="Calibri"/>
          <w:b/>
          <w:bCs/>
          <w:szCs w:val="24"/>
          <w:shd w:val="clear" w:color="auto" w:fill="FFFFFF"/>
          <w:vertAlign w:val="superscript"/>
        </w:rPr>
        <w:footnoteReference w:id="5"/>
      </w:r>
      <w:r w:rsidRPr="00C8334F">
        <w:rPr>
          <w:rFonts w:eastAsia="Calibri"/>
          <w:szCs w:val="24"/>
        </w:rPr>
        <w:t xml:space="preserve">. </w:t>
      </w:r>
    </w:p>
    <w:p w:rsidRPr="00C8334F" w:rsidR="00C8334F" w:rsidP="00DB6013" w:rsidRDefault="00C05CD1" w14:paraId="1C3E2D1C" w14:textId="77777777">
      <w:pPr>
        <w:jc w:val="both"/>
        <w:rPr>
          <w:rFonts w:eastAsia="Calibri"/>
          <w:szCs w:val="24"/>
        </w:rPr>
      </w:pPr>
      <w:r>
        <w:rPr>
          <w:rFonts w:eastAsia="Calibri"/>
          <w:szCs w:val="24"/>
        </w:rPr>
        <w:br w:type="page"/>
      </w:r>
    </w:p>
    <w:p w:rsidRPr="00C8334F" w:rsidR="00C8334F" w:rsidP="0014797F" w:rsidRDefault="007C569A" w14:paraId="3B4E4082" w14:textId="446D1DCA">
      <w:pPr>
        <w:tabs>
          <w:tab w:val="num" w:pos="567"/>
        </w:tabs>
        <w:spacing w:before="360"/>
        <w:ind w:left="567" w:hanging="567"/>
        <w:jc w:val="both"/>
        <w:outlineLvl w:val="0"/>
        <w:rPr>
          <w:rFonts w:eastAsia="Calibri"/>
          <w:b/>
          <w:caps/>
          <w:u w:val="single"/>
        </w:rPr>
      </w:pPr>
      <w:r>
        <w:rPr>
          <w:rFonts w:eastAsia="Calibri"/>
          <w:b/>
          <w:caps/>
          <w:u w:val="single"/>
        </w:rPr>
        <w:t xml:space="preserve">II. </w:t>
      </w:r>
      <w:r w:rsidRPr="00C8334F" w:rsidR="00C8334F">
        <w:rPr>
          <w:rFonts w:eastAsia="Calibri"/>
          <w:b/>
          <w:caps/>
          <w:u w:val="single"/>
        </w:rPr>
        <w:t>Work at other institutions</w:t>
      </w:r>
    </w:p>
    <w:p w:rsidRPr="00C8334F" w:rsidR="00C8334F" w:rsidP="00DB6013" w:rsidRDefault="00C8334F" w14:paraId="440D7DB0" w14:textId="09459841">
      <w:pPr>
        <w:jc w:val="both"/>
        <w:rPr>
          <w:rFonts w:eastAsia="Calibri"/>
        </w:rPr>
      </w:pPr>
      <w:r w:rsidRPr="00C8334F">
        <w:rPr>
          <w:rFonts w:eastAsia="Calibri"/>
        </w:rPr>
        <w:t xml:space="preserve">The </w:t>
      </w:r>
      <w:r w:rsidRPr="00C8334F">
        <w:rPr>
          <w:rFonts w:eastAsia="Calibri"/>
          <w:u w:val="single"/>
        </w:rPr>
        <w:t>European Parliament</w:t>
      </w:r>
      <w:r w:rsidRPr="00C8334F">
        <w:rPr>
          <w:rFonts w:eastAsia="Calibri"/>
        </w:rPr>
        <w:t xml:space="preserve"> </w:t>
      </w:r>
      <w:r w:rsidR="00DB6013">
        <w:rPr>
          <w:rFonts w:eastAsia="Calibri"/>
        </w:rPr>
        <w:t xml:space="preserve">has </w:t>
      </w:r>
      <w:r w:rsidRPr="00C8334F">
        <w:rPr>
          <w:rFonts w:eastAsia="Calibri"/>
        </w:rPr>
        <w:t>designated the Committee on Transport and Tourism (TRAN) as the committee</w:t>
      </w:r>
      <w:r w:rsidR="00DB6013">
        <w:rPr>
          <w:rFonts w:eastAsia="Calibri"/>
        </w:rPr>
        <w:t xml:space="preserve"> </w:t>
      </w:r>
      <w:r w:rsidRPr="00C8334F" w:rsidR="00DB6013">
        <w:rPr>
          <w:rFonts w:eastAsia="Calibri"/>
        </w:rPr>
        <w:t>responsible</w:t>
      </w:r>
      <w:r w:rsidRPr="00C8334F">
        <w:rPr>
          <w:rFonts w:eastAsia="Calibri"/>
          <w:b/>
          <w:vertAlign w:val="superscript"/>
        </w:rPr>
        <w:footnoteReference w:id="6"/>
      </w:r>
      <w:r w:rsidRPr="00C8334F">
        <w:rPr>
          <w:rFonts w:eastAsia="Calibri"/>
        </w:rPr>
        <w:t xml:space="preserve"> for this proposal and Mr </w:t>
      </w:r>
      <w:r w:rsidR="00407965">
        <w:rPr>
          <w:rFonts w:eastAsia="Calibri"/>
        </w:rPr>
        <w:t>Søren GADE</w:t>
      </w:r>
      <w:r w:rsidRPr="00C8334F">
        <w:rPr>
          <w:rFonts w:eastAsia="Calibri"/>
        </w:rPr>
        <w:t xml:space="preserve"> (</w:t>
      </w:r>
      <w:r w:rsidR="00407965">
        <w:rPr>
          <w:rFonts w:eastAsia="Calibri"/>
        </w:rPr>
        <w:t>DK</w:t>
      </w:r>
      <w:r w:rsidRPr="00C8334F">
        <w:rPr>
          <w:rFonts w:eastAsia="Calibri"/>
        </w:rPr>
        <w:t xml:space="preserve">, </w:t>
      </w:r>
      <w:r w:rsidR="00407965">
        <w:rPr>
          <w:rFonts w:eastAsia="Calibri"/>
        </w:rPr>
        <w:t>RENEW)</w:t>
      </w:r>
      <w:r w:rsidRPr="00C8334F">
        <w:rPr>
          <w:rFonts w:eastAsia="Calibri"/>
        </w:rPr>
        <w:t xml:space="preserve"> </w:t>
      </w:r>
      <w:r w:rsidR="00407965">
        <w:rPr>
          <w:rFonts w:eastAsia="Calibri"/>
        </w:rPr>
        <w:t>is the</w:t>
      </w:r>
      <w:r w:rsidRPr="00C8334F">
        <w:rPr>
          <w:rFonts w:eastAsia="Calibri"/>
        </w:rPr>
        <w:t xml:space="preserve"> rapporteur.</w:t>
      </w:r>
    </w:p>
    <w:p w:rsidR="00C8334F" w:rsidP="00DB6013" w:rsidRDefault="00C8334F" w14:paraId="549BA732" w14:textId="26BCC8F5">
      <w:pPr>
        <w:jc w:val="both"/>
        <w:rPr>
          <w:rFonts w:asciiTheme="majorBidi" w:hAnsiTheme="majorBidi" w:cstheme="majorBidi"/>
          <w:color w:val="000000" w:themeColor="text1"/>
          <w:szCs w:val="24"/>
        </w:rPr>
      </w:pPr>
      <w:r w:rsidRPr="00C8334F">
        <w:rPr>
          <w:rFonts w:asciiTheme="majorBidi" w:hAnsiTheme="majorBidi" w:cstheme="majorBidi"/>
          <w:color w:val="000000" w:themeColor="text1"/>
          <w:szCs w:val="24"/>
        </w:rPr>
        <w:t xml:space="preserve">The </w:t>
      </w:r>
      <w:r w:rsidRPr="00C8334F">
        <w:rPr>
          <w:rFonts w:asciiTheme="majorBidi" w:hAnsiTheme="majorBidi" w:cstheme="majorBidi"/>
          <w:color w:val="000000" w:themeColor="text1"/>
          <w:szCs w:val="24"/>
          <w:u w:val="single"/>
        </w:rPr>
        <w:t>European Economic and Social Committee</w:t>
      </w:r>
      <w:r w:rsidRPr="00C8334F">
        <w:rPr>
          <w:rFonts w:asciiTheme="majorBidi" w:hAnsiTheme="majorBidi" w:cstheme="majorBidi"/>
          <w:color w:val="000000" w:themeColor="text1"/>
          <w:szCs w:val="24"/>
        </w:rPr>
        <w:t xml:space="preserve"> </w:t>
      </w:r>
      <w:r w:rsidR="002F7DB3">
        <w:rPr>
          <w:rFonts w:asciiTheme="majorBidi" w:hAnsiTheme="majorBidi" w:cstheme="majorBidi"/>
          <w:color w:val="000000" w:themeColor="text1"/>
          <w:szCs w:val="24"/>
        </w:rPr>
        <w:t>adopted its opinion on 20 October 2021</w:t>
      </w:r>
      <w:r w:rsidR="002F7DB3">
        <w:rPr>
          <w:rStyle w:val="FootnoteReference"/>
          <w:rFonts w:asciiTheme="majorBidi" w:hAnsiTheme="majorBidi" w:cstheme="majorBidi"/>
          <w:color w:val="000000" w:themeColor="text1"/>
          <w:szCs w:val="24"/>
        </w:rPr>
        <w:footnoteReference w:id="7"/>
      </w:r>
      <w:r w:rsidR="002F7DB3">
        <w:rPr>
          <w:rFonts w:asciiTheme="majorBidi" w:hAnsiTheme="majorBidi" w:cstheme="majorBidi"/>
          <w:color w:val="000000" w:themeColor="text1"/>
          <w:szCs w:val="24"/>
        </w:rPr>
        <w:t>. T</w:t>
      </w:r>
      <w:r w:rsidRPr="00C8334F">
        <w:rPr>
          <w:rFonts w:asciiTheme="majorBidi" w:hAnsiTheme="majorBidi" w:cstheme="majorBidi"/>
          <w:color w:val="000000" w:themeColor="text1"/>
          <w:szCs w:val="24"/>
        </w:rPr>
        <w:t xml:space="preserve">he </w:t>
      </w:r>
      <w:r w:rsidRPr="00C8334F">
        <w:rPr>
          <w:rFonts w:asciiTheme="majorBidi" w:hAnsiTheme="majorBidi" w:cstheme="majorBidi"/>
          <w:color w:val="000000" w:themeColor="text1"/>
          <w:szCs w:val="24"/>
          <w:u w:val="single"/>
        </w:rPr>
        <w:t>Committee of the Regions</w:t>
      </w:r>
      <w:r w:rsidRPr="00C8334F">
        <w:rPr>
          <w:rFonts w:asciiTheme="majorBidi" w:hAnsiTheme="majorBidi" w:cstheme="majorBidi"/>
          <w:color w:val="000000" w:themeColor="text1"/>
          <w:szCs w:val="24"/>
        </w:rPr>
        <w:t xml:space="preserve"> did not adopt </w:t>
      </w:r>
      <w:r w:rsidR="002F7DB3">
        <w:rPr>
          <w:rFonts w:asciiTheme="majorBidi" w:hAnsiTheme="majorBidi" w:cstheme="majorBidi"/>
          <w:color w:val="000000" w:themeColor="text1"/>
          <w:szCs w:val="24"/>
        </w:rPr>
        <w:t>its</w:t>
      </w:r>
      <w:r w:rsidRPr="00C8334F">
        <w:rPr>
          <w:rFonts w:asciiTheme="majorBidi" w:hAnsiTheme="majorBidi" w:cstheme="majorBidi"/>
          <w:color w:val="000000" w:themeColor="text1"/>
          <w:szCs w:val="24"/>
        </w:rPr>
        <w:t xml:space="preserve"> opinion on the proposal yet.</w:t>
      </w:r>
    </w:p>
    <w:p w:rsidRPr="00C8334F" w:rsidR="009A5DA7" w:rsidP="00DB6013" w:rsidRDefault="009A5DA7" w14:paraId="08893D13" w14:textId="00F0DA83">
      <w:p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The </w:t>
      </w:r>
      <w:r w:rsidRPr="009A5DA7">
        <w:rPr>
          <w:rFonts w:asciiTheme="majorBidi" w:hAnsiTheme="majorBidi" w:cstheme="majorBidi"/>
          <w:color w:val="000000" w:themeColor="text1"/>
          <w:szCs w:val="24"/>
          <w:u w:val="single"/>
        </w:rPr>
        <w:t>Spanish Parliament</w:t>
      </w:r>
      <w:r>
        <w:rPr>
          <w:rFonts w:asciiTheme="majorBidi" w:hAnsiTheme="majorBidi" w:cstheme="majorBidi"/>
          <w:color w:val="000000" w:themeColor="text1"/>
          <w:szCs w:val="24"/>
        </w:rPr>
        <w:t xml:space="preserve"> adopted </w:t>
      </w:r>
      <w:r w:rsidR="002A0F5F">
        <w:rPr>
          <w:rFonts w:asciiTheme="majorBidi" w:hAnsiTheme="majorBidi" w:cstheme="majorBidi"/>
          <w:color w:val="000000" w:themeColor="text1"/>
          <w:szCs w:val="24"/>
        </w:rPr>
        <w:t>an opinion</w:t>
      </w:r>
      <w:r w:rsidR="004C2F4F">
        <w:rPr>
          <w:rStyle w:val="FootnoteReference"/>
          <w:rFonts w:asciiTheme="majorBidi" w:hAnsiTheme="majorBidi" w:cstheme="majorBidi"/>
          <w:color w:val="000000" w:themeColor="text1"/>
          <w:szCs w:val="24"/>
        </w:rPr>
        <w:footnoteReference w:id="8"/>
      </w:r>
      <w:r w:rsidR="002A0F5F">
        <w:rPr>
          <w:rFonts w:asciiTheme="majorBidi" w:hAnsiTheme="majorBidi" w:cstheme="majorBidi"/>
          <w:color w:val="000000" w:themeColor="text1"/>
          <w:szCs w:val="24"/>
        </w:rPr>
        <w:t xml:space="preserve"> on the application of the Principle of </w:t>
      </w:r>
      <w:r w:rsidR="00DC33F4">
        <w:rPr>
          <w:rFonts w:asciiTheme="majorBidi" w:hAnsiTheme="majorBidi" w:cstheme="majorBidi"/>
          <w:color w:val="000000" w:themeColor="text1"/>
          <w:szCs w:val="24"/>
        </w:rPr>
        <w:t xml:space="preserve">Subsidiarity on 27 October 2021 and the </w:t>
      </w:r>
      <w:r w:rsidRPr="00DC33F4" w:rsidR="00DC33F4">
        <w:rPr>
          <w:rFonts w:asciiTheme="majorBidi" w:hAnsiTheme="majorBidi" w:cstheme="majorBidi"/>
          <w:color w:val="000000" w:themeColor="text1"/>
          <w:szCs w:val="24"/>
          <w:u w:val="single"/>
        </w:rPr>
        <w:t>Czech Senate</w:t>
      </w:r>
      <w:r w:rsidR="00DC33F4">
        <w:rPr>
          <w:rFonts w:asciiTheme="majorBidi" w:hAnsiTheme="majorBidi" w:cstheme="majorBidi"/>
          <w:color w:val="000000" w:themeColor="text1"/>
          <w:szCs w:val="24"/>
        </w:rPr>
        <w:t xml:space="preserve"> adopte</w:t>
      </w:r>
      <w:r w:rsidR="00DB6013">
        <w:rPr>
          <w:rFonts w:asciiTheme="majorBidi" w:hAnsiTheme="majorBidi" w:cstheme="majorBidi"/>
          <w:color w:val="000000" w:themeColor="text1"/>
          <w:szCs w:val="24"/>
        </w:rPr>
        <w:t>d</w:t>
      </w:r>
      <w:r w:rsidR="00DC33F4">
        <w:rPr>
          <w:rFonts w:asciiTheme="majorBidi" w:hAnsiTheme="majorBidi" w:cstheme="majorBidi"/>
          <w:color w:val="000000" w:themeColor="text1"/>
          <w:szCs w:val="24"/>
        </w:rPr>
        <w:t xml:space="preserve"> a resolution</w:t>
      </w:r>
      <w:r w:rsidR="00DC33F4">
        <w:rPr>
          <w:rStyle w:val="FootnoteReference"/>
          <w:rFonts w:asciiTheme="majorBidi" w:hAnsiTheme="majorBidi" w:cstheme="majorBidi"/>
          <w:color w:val="000000" w:themeColor="text1"/>
          <w:szCs w:val="24"/>
        </w:rPr>
        <w:footnoteReference w:id="9"/>
      </w:r>
      <w:r w:rsidR="00DC33F4">
        <w:rPr>
          <w:rFonts w:asciiTheme="majorBidi" w:hAnsiTheme="majorBidi" w:cstheme="majorBidi"/>
          <w:color w:val="000000" w:themeColor="text1"/>
          <w:szCs w:val="24"/>
        </w:rPr>
        <w:t xml:space="preserve"> on the </w:t>
      </w:r>
      <w:r w:rsidR="00DB6013">
        <w:rPr>
          <w:rFonts w:asciiTheme="majorBidi" w:hAnsiTheme="majorBidi" w:cstheme="majorBidi"/>
          <w:color w:val="000000" w:themeColor="text1"/>
          <w:szCs w:val="24"/>
        </w:rPr>
        <w:t>proposal</w:t>
      </w:r>
      <w:r w:rsidR="00DC33F4">
        <w:rPr>
          <w:rFonts w:asciiTheme="majorBidi" w:hAnsiTheme="majorBidi" w:cstheme="majorBidi"/>
          <w:color w:val="000000" w:themeColor="text1"/>
          <w:szCs w:val="24"/>
        </w:rPr>
        <w:t>.</w:t>
      </w:r>
    </w:p>
    <w:p w:rsidRPr="00C8334F" w:rsidR="00C8334F" w:rsidP="00DB6013" w:rsidRDefault="002A0F5F" w14:paraId="726A1655" w14:textId="422A1C30">
      <w:pPr>
        <w:tabs>
          <w:tab w:val="num" w:pos="567"/>
        </w:tabs>
        <w:spacing w:before="360"/>
        <w:ind w:left="567" w:hanging="567"/>
        <w:jc w:val="both"/>
        <w:outlineLvl w:val="0"/>
        <w:rPr>
          <w:rFonts w:eastAsia="Calibri"/>
          <w:b/>
          <w:caps/>
          <w:u w:val="single"/>
        </w:rPr>
      </w:pPr>
      <w:r>
        <w:rPr>
          <w:rFonts w:eastAsia="Calibri"/>
          <w:b/>
          <w:caps/>
          <w:u w:val="single"/>
        </w:rPr>
        <w:br w:type="page"/>
      </w:r>
      <w:r w:rsidR="007C569A">
        <w:rPr>
          <w:rFonts w:eastAsia="Calibri"/>
          <w:b/>
          <w:caps/>
          <w:u w:val="single"/>
        </w:rPr>
        <w:lastRenderedPageBreak/>
        <w:t xml:space="preserve">III. </w:t>
      </w:r>
      <w:r w:rsidRPr="00C8334F" w:rsidR="00C8334F">
        <w:rPr>
          <w:rFonts w:eastAsia="Calibri"/>
          <w:b/>
          <w:caps/>
          <w:u w:val="single"/>
        </w:rPr>
        <w:t xml:space="preserve">Work </w:t>
      </w:r>
      <w:r w:rsidR="00DB6013">
        <w:rPr>
          <w:rFonts w:eastAsia="Calibri"/>
          <w:b/>
          <w:caps/>
          <w:u w:val="single"/>
        </w:rPr>
        <w:t>WITHIN</w:t>
      </w:r>
      <w:r w:rsidRPr="00C8334F" w:rsidR="00DB6013">
        <w:rPr>
          <w:rFonts w:eastAsia="Calibri"/>
          <w:b/>
          <w:caps/>
          <w:u w:val="single"/>
        </w:rPr>
        <w:t xml:space="preserve"> </w:t>
      </w:r>
      <w:r w:rsidRPr="00C8334F" w:rsidR="00C8334F">
        <w:rPr>
          <w:rFonts w:eastAsia="Calibri"/>
          <w:b/>
          <w:caps/>
          <w:u w:val="single"/>
        </w:rPr>
        <w:t>the Council AND ITS preparatory bodies</w:t>
      </w:r>
    </w:p>
    <w:p w:rsidRPr="00C8334F" w:rsidR="00C8334F" w:rsidP="00DB6013" w:rsidRDefault="00C8334F" w14:paraId="6AE7ADAB" w14:textId="68DB5F9A">
      <w:pPr>
        <w:jc w:val="both"/>
        <w:rPr>
          <w:rFonts w:eastAsia="Calibri"/>
        </w:rPr>
      </w:pPr>
      <w:r w:rsidRPr="00C8334F">
        <w:rPr>
          <w:rFonts w:eastAsia="Calibri"/>
        </w:rPr>
        <w:t xml:space="preserve">During the </w:t>
      </w:r>
      <w:r w:rsidRPr="00C8334F">
        <w:rPr>
          <w:rFonts w:eastAsia="Calibri"/>
          <w:u w:val="single"/>
        </w:rPr>
        <w:t>Slovenian Presidency</w:t>
      </w:r>
      <w:r w:rsidRPr="00C8334F">
        <w:rPr>
          <w:rFonts w:eastAsia="Calibri"/>
        </w:rPr>
        <w:t xml:space="preserve">, a significant number of meetings at the level of the </w:t>
      </w:r>
      <w:r w:rsidRPr="002A0F5F" w:rsidR="002A0F5F">
        <w:rPr>
          <w:rFonts w:eastAsia="Calibri"/>
          <w:u w:val="single"/>
        </w:rPr>
        <w:t>Aviation</w:t>
      </w:r>
      <w:r w:rsidR="002A0F5F">
        <w:rPr>
          <w:rFonts w:eastAsia="Calibri"/>
          <w:u w:val="single"/>
        </w:rPr>
        <w:t xml:space="preserve"> </w:t>
      </w:r>
      <w:r w:rsidRPr="00C8334F">
        <w:rPr>
          <w:rFonts w:eastAsia="Calibri"/>
          <w:u w:val="single"/>
        </w:rPr>
        <w:t>Working Party</w:t>
      </w:r>
      <w:r w:rsidRPr="00C8334F">
        <w:rPr>
          <w:rFonts w:eastAsia="Calibri"/>
        </w:rPr>
        <w:t xml:space="preserve"> have dealt with the above proposal. </w:t>
      </w:r>
      <w:r w:rsidR="00DB6013">
        <w:rPr>
          <w:rFonts w:eastAsia="Calibri"/>
        </w:rPr>
        <w:t>T</w:t>
      </w:r>
      <w:r w:rsidRPr="00C8334F">
        <w:rPr>
          <w:rFonts w:eastAsia="Calibri"/>
        </w:rPr>
        <w:t xml:space="preserve">o date, </w:t>
      </w:r>
      <w:r w:rsidR="00255DB6">
        <w:rPr>
          <w:rFonts w:eastAsia="Calibri"/>
        </w:rPr>
        <w:t>seven</w:t>
      </w:r>
      <w:r w:rsidRPr="00C8334F">
        <w:rPr>
          <w:rFonts w:eastAsia="Calibri"/>
          <w:szCs w:val="24"/>
          <w:lang w:eastAsia="en-GB"/>
        </w:rPr>
        <w:t xml:space="preserve"> </w:t>
      </w:r>
      <w:r w:rsidRPr="00C8334F">
        <w:rPr>
          <w:rFonts w:eastAsia="Calibri"/>
        </w:rPr>
        <w:t xml:space="preserve">meetings have been </w:t>
      </w:r>
      <w:r w:rsidR="00255DB6">
        <w:rPr>
          <w:rFonts w:eastAsia="Calibri"/>
        </w:rPr>
        <w:t xml:space="preserve">dedicated to the presentation of the proposal, the analysis of its impact assessment, its </w:t>
      </w:r>
      <w:r w:rsidRPr="00C8334F">
        <w:rPr>
          <w:rFonts w:eastAsia="Calibri"/>
        </w:rPr>
        <w:t xml:space="preserve">thorough </w:t>
      </w:r>
      <w:r w:rsidR="00DB6013">
        <w:rPr>
          <w:rFonts w:eastAsia="Calibri"/>
        </w:rPr>
        <w:t>a</w:t>
      </w:r>
      <w:r w:rsidRPr="00C8334F" w:rsidR="00DB6013">
        <w:rPr>
          <w:rFonts w:eastAsia="Calibri"/>
        </w:rPr>
        <w:t>rticle</w:t>
      </w:r>
      <w:r w:rsidRPr="00C8334F">
        <w:rPr>
          <w:rFonts w:eastAsia="Calibri"/>
        </w:rPr>
        <w:t>-by-</w:t>
      </w:r>
      <w:r w:rsidR="00DB6013">
        <w:rPr>
          <w:rFonts w:eastAsia="Calibri"/>
        </w:rPr>
        <w:t>a</w:t>
      </w:r>
      <w:r w:rsidRPr="00C8334F" w:rsidR="00DB6013">
        <w:rPr>
          <w:rFonts w:eastAsia="Calibri"/>
        </w:rPr>
        <w:t xml:space="preserve">rticle </w:t>
      </w:r>
      <w:r w:rsidRPr="00C8334F">
        <w:rPr>
          <w:rFonts w:eastAsia="Calibri"/>
        </w:rPr>
        <w:t>examination</w:t>
      </w:r>
      <w:r w:rsidR="00255DB6">
        <w:rPr>
          <w:rFonts w:eastAsia="Calibri"/>
        </w:rPr>
        <w:t>, as well as the examination of three Presidency compromises</w:t>
      </w:r>
      <w:r w:rsidRPr="00C8334F">
        <w:rPr>
          <w:rFonts w:eastAsia="Calibri"/>
        </w:rPr>
        <w:t>.</w:t>
      </w:r>
    </w:p>
    <w:p w:rsidR="00C8334F" w:rsidP="007C569A" w:rsidRDefault="00C8334F" w14:paraId="375FD9C1" w14:textId="0859DCB2">
      <w:pPr>
        <w:jc w:val="both"/>
        <w:rPr>
          <w:rFonts w:eastAsia="Calibri"/>
          <w:szCs w:val="24"/>
        </w:rPr>
      </w:pPr>
      <w:r w:rsidRPr="00C8334F">
        <w:rPr>
          <w:rFonts w:eastAsia="Calibri"/>
          <w:szCs w:val="24"/>
        </w:rPr>
        <w:t xml:space="preserve">Additionally, </w:t>
      </w:r>
      <w:r w:rsidR="00DC029D">
        <w:rPr>
          <w:rFonts w:eastAsia="Calibri"/>
          <w:szCs w:val="24"/>
        </w:rPr>
        <w:t xml:space="preserve">this proposal </w:t>
      </w:r>
      <w:r w:rsidRPr="00C8334F">
        <w:rPr>
          <w:rFonts w:eastAsia="Calibri"/>
          <w:szCs w:val="24"/>
        </w:rPr>
        <w:t xml:space="preserve">was addressed in the framework of a broader exchange of views on the three transport-related files of the </w:t>
      </w:r>
      <w:r w:rsidRPr="00C8334F">
        <w:rPr>
          <w:rFonts w:asciiTheme="majorBidi" w:hAnsiTheme="majorBidi" w:cstheme="majorBidi"/>
          <w:color w:val="000000" w:themeColor="text1"/>
          <w:szCs w:val="24"/>
        </w:rPr>
        <w:t>‘Fit for 55’ package which</w:t>
      </w:r>
      <w:r w:rsidRPr="00C8334F">
        <w:rPr>
          <w:rFonts w:eastAsia="Calibri"/>
          <w:szCs w:val="24"/>
        </w:rPr>
        <w:t xml:space="preserve"> </w:t>
      </w:r>
      <w:r w:rsidR="007C569A">
        <w:rPr>
          <w:rFonts w:eastAsia="Calibri"/>
          <w:szCs w:val="24"/>
        </w:rPr>
        <w:t>was</w:t>
      </w:r>
      <w:r w:rsidRPr="00C8334F">
        <w:rPr>
          <w:rFonts w:eastAsia="Calibri"/>
          <w:szCs w:val="24"/>
        </w:rPr>
        <w:t xml:space="preserve"> held at the meeting of the </w:t>
      </w:r>
      <w:r w:rsidRPr="00C8334F">
        <w:rPr>
          <w:rFonts w:eastAsia="Calibri"/>
          <w:szCs w:val="24"/>
          <w:u w:val="single"/>
        </w:rPr>
        <w:t>Permanent Representatives Committee</w:t>
      </w:r>
      <w:r w:rsidRPr="00C8334F">
        <w:rPr>
          <w:rFonts w:eastAsia="Calibri"/>
          <w:szCs w:val="24"/>
        </w:rPr>
        <w:t xml:space="preserve"> on 12 November 2021. </w:t>
      </w:r>
    </w:p>
    <w:p w:rsidRPr="00C8334F" w:rsidR="007761CA" w:rsidP="00986601" w:rsidRDefault="007761CA" w14:paraId="093F3C11" w14:textId="632A90BF">
      <w:pPr>
        <w:jc w:val="both"/>
        <w:rPr>
          <w:rFonts w:eastAsia="Calibri"/>
          <w:szCs w:val="24"/>
        </w:rPr>
      </w:pPr>
      <w:r w:rsidRPr="00103E65">
        <w:rPr>
          <w:rFonts w:eastAsia="Calibri"/>
          <w:szCs w:val="24"/>
        </w:rPr>
        <w:t xml:space="preserve">The Slovenian Presidency also prepared report </w:t>
      </w:r>
      <w:r w:rsidR="00986601">
        <w:rPr>
          <w:rFonts w:eastAsia="Calibri"/>
          <w:szCs w:val="24"/>
        </w:rPr>
        <w:t xml:space="preserve">ST </w:t>
      </w:r>
      <w:r w:rsidRPr="00986601" w:rsidR="00986601">
        <w:rPr>
          <w:rFonts w:eastAsia="Calibri"/>
          <w:szCs w:val="24"/>
        </w:rPr>
        <w:t>13977</w:t>
      </w:r>
      <w:r w:rsidRPr="00986601">
        <w:rPr>
          <w:rFonts w:eastAsia="Calibri"/>
          <w:szCs w:val="24"/>
        </w:rPr>
        <w:t>/21</w:t>
      </w:r>
      <w:r w:rsidRPr="00103E65">
        <w:rPr>
          <w:rFonts w:eastAsia="Calibri"/>
          <w:szCs w:val="24"/>
        </w:rPr>
        <w:t xml:space="preserve"> aiming to provide an overall state of play and overview of progress made not only on this </w:t>
      </w:r>
      <w:r w:rsidRPr="00103E65" w:rsidR="006B4222">
        <w:rPr>
          <w:rFonts w:eastAsia="Calibri"/>
          <w:szCs w:val="24"/>
        </w:rPr>
        <w:t>proposal</w:t>
      </w:r>
      <w:r w:rsidRPr="00103E65">
        <w:rPr>
          <w:rFonts w:eastAsia="Calibri"/>
          <w:szCs w:val="24"/>
        </w:rPr>
        <w:t xml:space="preserve"> but overall on the "Fit for 55" package. The report focuses on its horizontal aspects, such as interlinkages between </w:t>
      </w:r>
      <w:r w:rsidRPr="00103E65" w:rsidR="006B4222">
        <w:rPr>
          <w:rFonts w:eastAsia="Calibri"/>
          <w:szCs w:val="24"/>
        </w:rPr>
        <w:t>proposals</w:t>
      </w:r>
      <w:r w:rsidRPr="00103E65">
        <w:rPr>
          <w:rFonts w:eastAsia="Calibri"/>
          <w:szCs w:val="24"/>
        </w:rPr>
        <w:t>, and the main issues raised in discussions so far. This report has been distributed to all Council formations responsible for the different proposals of the package as a background document.</w:t>
      </w:r>
    </w:p>
    <w:p w:rsidRPr="00C8334F" w:rsidR="00C8334F" w:rsidP="00B070D2" w:rsidRDefault="00C8334F" w14:paraId="66A0847A" w14:textId="0ADB1C2C">
      <w:pPr>
        <w:jc w:val="both"/>
        <w:rPr>
          <w:rFonts w:eastAsia="Calibri"/>
          <w:b/>
          <w:caps/>
          <w:u w:val="single"/>
        </w:rPr>
      </w:pPr>
      <w:r w:rsidRPr="00C8334F">
        <w:rPr>
          <w:rFonts w:eastAsia="Calibri"/>
        </w:rPr>
        <w:br w:type="page"/>
      </w:r>
      <w:r w:rsidRPr="00B7527D" w:rsidR="007C569A">
        <w:rPr>
          <w:rFonts w:eastAsia="Calibri"/>
          <w:b/>
          <w:bCs/>
        </w:rPr>
        <w:lastRenderedPageBreak/>
        <w:t>IV.</w:t>
      </w:r>
      <w:r w:rsidR="007C569A">
        <w:rPr>
          <w:rFonts w:eastAsia="Calibri"/>
        </w:rPr>
        <w:t xml:space="preserve"> </w:t>
      </w:r>
      <w:r w:rsidRPr="00C8334F">
        <w:rPr>
          <w:rFonts w:eastAsia="Calibri"/>
          <w:b/>
          <w:caps/>
          <w:u w:val="single"/>
        </w:rPr>
        <w:t xml:space="preserve">WORK TOWARDS A COMPROMISE </w:t>
      </w:r>
    </w:p>
    <w:p w:rsidR="00B7527D" w:rsidP="00B7527D" w:rsidRDefault="00C8334F" w14:paraId="25E6F12C" w14:textId="67EB44BF">
      <w:pPr>
        <w:jc w:val="both"/>
        <w:rPr>
          <w:rFonts w:eastAsia="Calibri"/>
          <w:szCs w:val="24"/>
        </w:rPr>
      </w:pPr>
      <w:r w:rsidRPr="00C8334F">
        <w:rPr>
          <w:rFonts w:eastAsia="Calibri"/>
          <w:szCs w:val="24"/>
        </w:rPr>
        <w:t xml:space="preserve">The Presidency </w:t>
      </w:r>
      <w:r w:rsidR="001C7180">
        <w:rPr>
          <w:rFonts w:eastAsia="Calibri"/>
          <w:szCs w:val="24"/>
        </w:rPr>
        <w:t xml:space="preserve">has prepared and discussed with the members of the Aviation Working Party three </w:t>
      </w:r>
      <w:r w:rsidRPr="00C8334F">
        <w:rPr>
          <w:rFonts w:eastAsia="Calibri"/>
          <w:szCs w:val="24"/>
        </w:rPr>
        <w:t>compromise text</w:t>
      </w:r>
      <w:r w:rsidR="001C7180">
        <w:rPr>
          <w:rFonts w:eastAsia="Calibri"/>
          <w:szCs w:val="24"/>
        </w:rPr>
        <w:t>s</w:t>
      </w:r>
      <w:r w:rsidR="00B070D2">
        <w:rPr>
          <w:rStyle w:val="FootnoteReference"/>
          <w:rFonts w:eastAsia="Calibri"/>
          <w:szCs w:val="24"/>
        </w:rPr>
        <w:footnoteReference w:id="10"/>
      </w:r>
      <w:r w:rsidRPr="00C8334F">
        <w:rPr>
          <w:rFonts w:eastAsia="Calibri"/>
          <w:szCs w:val="24"/>
        </w:rPr>
        <w:t xml:space="preserve"> that</w:t>
      </w:r>
      <w:r w:rsidR="001C7180">
        <w:rPr>
          <w:rFonts w:eastAsia="Calibri"/>
          <w:szCs w:val="24"/>
        </w:rPr>
        <w:t xml:space="preserve"> have addressed most of the issues </w:t>
      </w:r>
      <w:r w:rsidR="00B7527D">
        <w:rPr>
          <w:rFonts w:eastAsia="Calibri"/>
          <w:szCs w:val="24"/>
        </w:rPr>
        <w:t>of the proposal</w:t>
      </w:r>
      <w:r w:rsidRPr="00C8334F">
        <w:rPr>
          <w:rFonts w:eastAsia="Calibri"/>
          <w:szCs w:val="24"/>
        </w:rPr>
        <w:t>.</w:t>
      </w:r>
      <w:r w:rsidR="001C7180">
        <w:rPr>
          <w:rFonts w:eastAsia="Calibri"/>
          <w:szCs w:val="24"/>
        </w:rPr>
        <w:t xml:space="preserve"> However, work on the </w:t>
      </w:r>
      <w:r w:rsidR="00287F5C">
        <w:rPr>
          <w:rFonts w:eastAsia="Calibri"/>
          <w:szCs w:val="24"/>
        </w:rPr>
        <w:t>two</w:t>
      </w:r>
      <w:r w:rsidR="001C7180">
        <w:rPr>
          <w:rFonts w:eastAsia="Calibri"/>
          <w:szCs w:val="24"/>
        </w:rPr>
        <w:t xml:space="preserve"> main contentious issues listed below still requires further work.</w:t>
      </w:r>
      <w:r w:rsidRPr="00B7527D" w:rsidR="00B7527D">
        <w:rPr>
          <w:rFonts w:eastAsia="Calibri"/>
          <w:szCs w:val="24"/>
        </w:rPr>
        <w:t xml:space="preserve"> </w:t>
      </w:r>
    </w:p>
    <w:p w:rsidRPr="00C8334F" w:rsidR="00B7527D" w:rsidP="00B7527D" w:rsidRDefault="00B7527D" w14:paraId="29BFFCA1" w14:textId="5059F3B3">
      <w:pPr>
        <w:jc w:val="both"/>
        <w:rPr>
          <w:rFonts w:eastAsia="Calibri"/>
          <w:szCs w:val="24"/>
        </w:rPr>
      </w:pPr>
      <w:r w:rsidRPr="00C8334F">
        <w:rPr>
          <w:rFonts w:eastAsia="Calibri"/>
          <w:szCs w:val="24"/>
        </w:rPr>
        <w:t>The debate has prove</w:t>
      </w:r>
      <w:r>
        <w:rPr>
          <w:rFonts w:eastAsia="Calibri"/>
          <w:szCs w:val="24"/>
        </w:rPr>
        <w:t>n</w:t>
      </w:r>
      <w:r w:rsidRPr="00C8334F">
        <w:rPr>
          <w:rFonts w:eastAsia="Calibri"/>
          <w:szCs w:val="24"/>
        </w:rPr>
        <w:t xml:space="preserve"> the importance of the proposal for the Member States. </w:t>
      </w:r>
      <w:r>
        <w:rPr>
          <w:rFonts w:eastAsia="Calibri"/>
          <w:szCs w:val="24"/>
        </w:rPr>
        <w:t xml:space="preserve">While Member States supports its objectives, many have different approaches on how those objectives should be reached. Throughout the discussions during the Slovenian Presidency the following aspects were clarified and improved: </w:t>
      </w:r>
    </w:p>
    <w:p w:rsidRPr="002A738A" w:rsidR="00B7527D" w:rsidP="00B7527D" w:rsidRDefault="00B7527D" w14:paraId="454B886D" w14:textId="77777777">
      <w:pPr>
        <w:pStyle w:val="ListParagraph"/>
        <w:numPr>
          <w:ilvl w:val="0"/>
          <w:numId w:val="42"/>
        </w:numPr>
        <w:jc w:val="both"/>
        <w:rPr>
          <w:rFonts w:eastAsia="Calibri"/>
        </w:rPr>
      </w:pPr>
      <w:r w:rsidRPr="002A738A">
        <w:rPr>
          <w:rFonts w:eastAsia="Calibri"/>
        </w:rPr>
        <w:t xml:space="preserve">an opt-in clause for smaller airports that Member States would like to bring within the scope of the proposal </w:t>
      </w:r>
      <w:r>
        <w:rPr>
          <w:rFonts w:eastAsia="Calibri"/>
        </w:rPr>
        <w:t>has been</w:t>
      </w:r>
      <w:r w:rsidRPr="002A738A">
        <w:rPr>
          <w:rFonts w:eastAsia="Calibri"/>
        </w:rPr>
        <w:t xml:space="preserve"> introduced. </w:t>
      </w:r>
    </w:p>
    <w:p w:rsidR="00B7527D" w:rsidP="00B7527D" w:rsidRDefault="00B7527D" w14:paraId="7DBD9290" w14:textId="77777777">
      <w:pPr>
        <w:pStyle w:val="ListParagraph"/>
        <w:numPr>
          <w:ilvl w:val="0"/>
          <w:numId w:val="42"/>
        </w:numPr>
        <w:jc w:val="both"/>
        <w:rPr>
          <w:rFonts w:eastAsia="Calibri"/>
        </w:rPr>
      </w:pPr>
      <w:r>
        <w:rPr>
          <w:rFonts w:eastAsia="Calibri"/>
        </w:rPr>
        <w:t>the scope of aircraft operators has been widened further and more aircraft operators now fall within the scope of the Regulation.</w:t>
      </w:r>
      <w:r w:rsidRPr="002A738A">
        <w:rPr>
          <w:rFonts w:eastAsia="Calibri"/>
        </w:rPr>
        <w:t xml:space="preserve"> </w:t>
      </w:r>
    </w:p>
    <w:p w:rsidR="00B7527D" w:rsidP="00B7527D" w:rsidRDefault="00B7527D" w14:paraId="6CAC9DC3" w14:textId="77777777">
      <w:pPr>
        <w:pStyle w:val="ListParagraph"/>
        <w:numPr>
          <w:ilvl w:val="0"/>
          <w:numId w:val="42"/>
        </w:numPr>
        <w:jc w:val="both"/>
        <w:rPr>
          <w:rFonts w:eastAsia="Calibri"/>
        </w:rPr>
      </w:pPr>
      <w:r>
        <w:rPr>
          <w:rFonts w:eastAsia="Calibri"/>
        </w:rPr>
        <w:t>the definition of ‘yearly aviation fuel required’ and Article 5 have been clarified so as to ensure safety measures in the anti-tankering provisions.</w:t>
      </w:r>
    </w:p>
    <w:p w:rsidR="00B7527D" w:rsidP="00B7527D" w:rsidRDefault="00B7527D" w14:paraId="352D40FF" w14:textId="77777777">
      <w:pPr>
        <w:pStyle w:val="ListParagraph"/>
        <w:numPr>
          <w:ilvl w:val="0"/>
          <w:numId w:val="42"/>
        </w:numPr>
        <w:jc w:val="both"/>
        <w:rPr>
          <w:rFonts w:eastAsia="Calibri"/>
        </w:rPr>
      </w:pPr>
      <w:r>
        <w:rPr>
          <w:rFonts w:eastAsia="Calibri"/>
        </w:rPr>
        <w:t xml:space="preserve">the demonstration of compliance by fuel suppliers has been clarified. </w:t>
      </w:r>
    </w:p>
    <w:p w:rsidR="00B7527D" w:rsidP="00B7527D" w:rsidRDefault="00B7527D" w14:paraId="2423338E" w14:textId="77777777">
      <w:pPr>
        <w:pStyle w:val="ListParagraph"/>
        <w:numPr>
          <w:ilvl w:val="0"/>
          <w:numId w:val="42"/>
        </w:numPr>
        <w:jc w:val="both"/>
        <w:rPr>
          <w:rFonts w:eastAsia="Calibri"/>
        </w:rPr>
      </w:pPr>
      <w:r>
        <w:rPr>
          <w:rFonts w:eastAsia="Calibri"/>
        </w:rPr>
        <w:t>the role of the national competent authority has been clarified, in particular vis-à-vis the European Union Aviation Safety Agency.</w:t>
      </w:r>
    </w:p>
    <w:p w:rsidR="00B7527D" w:rsidP="00B7527D" w:rsidRDefault="00B7527D" w14:paraId="757D9BE9" w14:textId="77777777">
      <w:pPr>
        <w:pStyle w:val="ListParagraph"/>
        <w:numPr>
          <w:ilvl w:val="0"/>
          <w:numId w:val="42"/>
        </w:numPr>
        <w:jc w:val="both"/>
        <w:rPr>
          <w:rFonts w:eastAsia="Calibri"/>
        </w:rPr>
      </w:pPr>
      <w:r>
        <w:rPr>
          <w:rFonts w:eastAsia="Calibri"/>
        </w:rPr>
        <w:t>the terminology around fines was improved.</w:t>
      </w:r>
    </w:p>
    <w:p w:rsidR="00B7527D" w:rsidP="00B7527D" w:rsidRDefault="00B7527D" w14:paraId="6ED324DD" w14:textId="77777777">
      <w:pPr>
        <w:pStyle w:val="ListParagraph"/>
        <w:numPr>
          <w:ilvl w:val="0"/>
          <w:numId w:val="42"/>
        </w:numPr>
        <w:jc w:val="both"/>
        <w:rPr>
          <w:rFonts w:eastAsia="Calibri"/>
        </w:rPr>
      </w:pPr>
      <w:r>
        <w:rPr>
          <w:rFonts w:eastAsia="Calibri"/>
        </w:rPr>
        <w:t>data collection and reporting obligations have been substantiated to ensure the monitoring of the effects of this Regulation on the competitiveness of Union operators and hubs.</w:t>
      </w:r>
    </w:p>
    <w:p w:rsidRPr="00C8334F" w:rsidR="00C8334F" w:rsidP="0014797F" w:rsidRDefault="00C05CD1" w14:paraId="12E2DC11" w14:textId="2A5B0125">
      <w:pPr>
        <w:tabs>
          <w:tab w:val="num" w:pos="567"/>
        </w:tabs>
        <w:spacing w:before="360"/>
        <w:ind w:left="567" w:hanging="567"/>
        <w:jc w:val="both"/>
        <w:outlineLvl w:val="0"/>
        <w:rPr>
          <w:rFonts w:eastAsia="Calibri"/>
          <w:b/>
          <w:caps/>
          <w:u w:val="single"/>
        </w:rPr>
      </w:pPr>
      <w:r>
        <w:rPr>
          <w:rFonts w:eastAsia="Calibri"/>
          <w:b/>
          <w:bCs/>
        </w:rPr>
        <w:br w:type="page"/>
      </w:r>
      <w:r w:rsidR="007C569A">
        <w:rPr>
          <w:rFonts w:eastAsia="Calibri"/>
          <w:b/>
          <w:caps/>
          <w:u w:val="single"/>
        </w:rPr>
        <w:lastRenderedPageBreak/>
        <w:t xml:space="preserve">V. </w:t>
      </w:r>
      <w:r w:rsidRPr="00C8334F" w:rsidR="00C8334F">
        <w:rPr>
          <w:rFonts w:eastAsia="Calibri"/>
          <w:b/>
          <w:caps/>
          <w:u w:val="single"/>
        </w:rPr>
        <w:t>CONCLUSIONS</w:t>
      </w:r>
    </w:p>
    <w:p w:rsidRPr="00C8334F" w:rsidR="00C8334F" w:rsidP="0014797F" w:rsidRDefault="00C8334F" w14:paraId="24212177" w14:textId="77777777">
      <w:pPr>
        <w:jc w:val="both"/>
        <w:rPr>
          <w:rFonts w:asciiTheme="majorBidi" w:hAnsiTheme="majorBidi" w:cstheme="majorBidi"/>
          <w:color w:val="000000" w:themeColor="text1"/>
          <w:szCs w:val="24"/>
        </w:rPr>
      </w:pPr>
      <w:r w:rsidRPr="00C8334F">
        <w:rPr>
          <w:rFonts w:asciiTheme="majorBidi" w:hAnsiTheme="majorBidi" w:cstheme="majorBidi"/>
          <w:color w:val="000000" w:themeColor="text1"/>
          <w:szCs w:val="24"/>
        </w:rPr>
        <w:t>Based on the work carried out so far, the Presidency draws the following conclusions:</w:t>
      </w:r>
    </w:p>
    <w:p w:rsidR="00C8334F" w:rsidP="0014797F" w:rsidRDefault="00255DB6" w14:paraId="260D88EE" w14:textId="391049F1">
      <w:pPr>
        <w:numPr>
          <w:ilvl w:val="0"/>
          <w:numId w:val="34"/>
        </w:num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The </w:t>
      </w:r>
      <w:r w:rsidRPr="00C8334F" w:rsidR="00C8334F">
        <w:rPr>
          <w:rFonts w:asciiTheme="majorBidi" w:hAnsiTheme="majorBidi" w:cstheme="majorBidi"/>
          <w:color w:val="000000" w:themeColor="text1"/>
          <w:szCs w:val="24"/>
        </w:rPr>
        <w:t xml:space="preserve">Member States largely </w:t>
      </w:r>
      <w:r w:rsidR="00994C2E">
        <w:rPr>
          <w:rFonts w:asciiTheme="majorBidi" w:hAnsiTheme="majorBidi" w:cstheme="majorBidi"/>
          <w:color w:val="000000" w:themeColor="text1"/>
          <w:szCs w:val="24"/>
        </w:rPr>
        <w:t xml:space="preserve">support </w:t>
      </w:r>
      <w:r>
        <w:rPr>
          <w:rFonts w:asciiTheme="majorBidi" w:hAnsiTheme="majorBidi" w:cstheme="majorBidi"/>
          <w:color w:val="000000" w:themeColor="text1"/>
          <w:szCs w:val="24"/>
        </w:rPr>
        <w:t>the</w:t>
      </w:r>
      <w:r w:rsidRPr="00C8334F" w:rsidR="00C8334F">
        <w:rPr>
          <w:rFonts w:asciiTheme="majorBidi" w:hAnsiTheme="majorBidi" w:cstheme="majorBidi"/>
          <w:color w:val="000000" w:themeColor="text1"/>
          <w:szCs w:val="24"/>
        </w:rPr>
        <w:t xml:space="preserve"> obj</w:t>
      </w:r>
      <w:r>
        <w:rPr>
          <w:rFonts w:asciiTheme="majorBidi" w:hAnsiTheme="majorBidi" w:cstheme="majorBidi"/>
          <w:color w:val="000000" w:themeColor="text1"/>
          <w:szCs w:val="24"/>
        </w:rPr>
        <w:t>ectives of the draft Regulation</w:t>
      </w:r>
      <w:r w:rsidRPr="00C8334F" w:rsidR="00C8334F">
        <w:rPr>
          <w:rFonts w:asciiTheme="majorBidi" w:hAnsiTheme="majorBidi" w:cstheme="majorBidi"/>
          <w:color w:val="000000" w:themeColor="text1"/>
          <w:szCs w:val="24"/>
        </w:rPr>
        <w:t>.</w:t>
      </w:r>
    </w:p>
    <w:p w:rsidRPr="00C8334F" w:rsidR="00C8334F" w:rsidP="00287F5C" w:rsidRDefault="00255DB6" w14:paraId="704ADCDD" w14:textId="1CC2325B">
      <w:pPr>
        <w:numPr>
          <w:ilvl w:val="0"/>
          <w:numId w:val="34"/>
        </w:num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However, </w:t>
      </w:r>
      <w:r w:rsidR="00994C2E">
        <w:rPr>
          <w:rFonts w:asciiTheme="majorBidi" w:hAnsiTheme="majorBidi" w:cstheme="majorBidi"/>
          <w:color w:val="000000" w:themeColor="text1"/>
          <w:szCs w:val="24"/>
        </w:rPr>
        <w:t xml:space="preserve">on </w:t>
      </w:r>
      <w:r w:rsidR="00287F5C">
        <w:rPr>
          <w:rFonts w:asciiTheme="majorBidi" w:hAnsiTheme="majorBidi" w:cstheme="majorBidi"/>
          <w:color w:val="000000" w:themeColor="text1"/>
          <w:szCs w:val="24"/>
        </w:rPr>
        <w:t>two</w:t>
      </w:r>
      <w:r>
        <w:rPr>
          <w:rFonts w:asciiTheme="majorBidi" w:hAnsiTheme="majorBidi" w:cstheme="majorBidi"/>
          <w:color w:val="000000" w:themeColor="text1"/>
          <w:szCs w:val="24"/>
        </w:rPr>
        <w:t xml:space="preserve"> main points of contention</w:t>
      </w:r>
      <w:r w:rsidR="00994C2E">
        <w:rPr>
          <w:rFonts w:asciiTheme="majorBidi" w:hAnsiTheme="majorBidi" w:cstheme="majorBidi"/>
          <w:color w:val="000000" w:themeColor="text1"/>
          <w:szCs w:val="24"/>
        </w:rPr>
        <w:t>,</w:t>
      </w:r>
      <w:r>
        <w:rPr>
          <w:rFonts w:asciiTheme="majorBidi" w:hAnsiTheme="majorBidi" w:cstheme="majorBidi"/>
          <w:color w:val="000000" w:themeColor="text1"/>
          <w:szCs w:val="24"/>
        </w:rPr>
        <w:t xml:space="preserve"> Member States hold different positions</w:t>
      </w:r>
      <w:r w:rsidR="00994C2E">
        <w:rPr>
          <w:rFonts w:asciiTheme="majorBidi" w:hAnsiTheme="majorBidi" w:cstheme="majorBidi"/>
          <w:color w:val="000000" w:themeColor="text1"/>
          <w:szCs w:val="24"/>
        </w:rPr>
        <w:t>. These are</w:t>
      </w:r>
      <w:r w:rsidRPr="00C8334F" w:rsidR="00C8334F">
        <w:rPr>
          <w:rFonts w:asciiTheme="majorBidi" w:hAnsiTheme="majorBidi" w:cstheme="majorBidi"/>
          <w:color w:val="000000" w:themeColor="text1"/>
          <w:szCs w:val="24"/>
        </w:rPr>
        <w:t>:</w:t>
      </w:r>
    </w:p>
    <w:p w:rsidR="00287F5C" w:rsidP="00690E2E" w:rsidRDefault="00287F5C" w14:paraId="31EC55F5" w14:textId="61AAD0C6">
      <w:pPr>
        <w:numPr>
          <w:ilvl w:val="0"/>
          <w:numId w:val="30"/>
        </w:numPr>
        <w:jc w:val="both"/>
        <w:rPr>
          <w:rFonts w:asciiTheme="majorBidi" w:hAnsiTheme="majorBidi" w:cstheme="majorBidi"/>
          <w:color w:val="000000" w:themeColor="text1"/>
          <w:szCs w:val="24"/>
        </w:rPr>
      </w:pPr>
      <w:r>
        <w:rPr>
          <w:rFonts w:asciiTheme="majorBidi" w:hAnsiTheme="majorBidi" w:cstheme="majorBidi"/>
          <w:color w:val="000000" w:themeColor="text1"/>
          <w:szCs w:val="24"/>
        </w:rPr>
        <w:t xml:space="preserve">the level </w:t>
      </w:r>
      <w:r w:rsidR="00690E2E">
        <w:rPr>
          <w:rFonts w:asciiTheme="majorBidi" w:hAnsiTheme="majorBidi" w:cstheme="majorBidi"/>
          <w:color w:val="000000" w:themeColor="text1"/>
          <w:szCs w:val="24"/>
        </w:rPr>
        <w:t>and timing of</w:t>
      </w:r>
      <w:r>
        <w:rPr>
          <w:rFonts w:asciiTheme="majorBidi" w:hAnsiTheme="majorBidi" w:cstheme="majorBidi"/>
          <w:color w:val="000000" w:themeColor="text1"/>
          <w:szCs w:val="24"/>
        </w:rPr>
        <w:t xml:space="preserve"> </w:t>
      </w:r>
      <w:r w:rsidR="00690E2E">
        <w:rPr>
          <w:rFonts w:asciiTheme="majorBidi" w:hAnsiTheme="majorBidi" w:cstheme="majorBidi"/>
          <w:color w:val="000000" w:themeColor="text1"/>
          <w:szCs w:val="24"/>
        </w:rPr>
        <w:t>the mandates introduced in</w:t>
      </w:r>
      <w:r>
        <w:rPr>
          <w:rFonts w:asciiTheme="majorBidi" w:hAnsiTheme="majorBidi" w:cstheme="majorBidi"/>
          <w:color w:val="000000" w:themeColor="text1"/>
          <w:szCs w:val="24"/>
        </w:rPr>
        <w:t xml:space="preserve"> this Regulation;</w:t>
      </w:r>
    </w:p>
    <w:p w:rsidRPr="00287F5C" w:rsidR="00C8334F" w:rsidP="007C569A" w:rsidRDefault="00255DB6" w14:paraId="62E6B8DA" w14:textId="03C5C598">
      <w:pPr>
        <w:numPr>
          <w:ilvl w:val="0"/>
          <w:numId w:val="30"/>
        </w:numPr>
        <w:jc w:val="both"/>
        <w:rPr>
          <w:rFonts w:asciiTheme="majorBidi" w:hAnsiTheme="majorBidi" w:cstheme="majorBidi"/>
          <w:color w:val="000000" w:themeColor="text1"/>
          <w:szCs w:val="24"/>
        </w:rPr>
      </w:pPr>
      <w:r w:rsidRPr="00287F5C">
        <w:rPr>
          <w:rFonts w:asciiTheme="majorBidi" w:hAnsiTheme="majorBidi" w:cstheme="majorBidi"/>
          <w:color w:val="000000" w:themeColor="text1"/>
          <w:szCs w:val="24"/>
        </w:rPr>
        <w:t>the definition of Sustainable Aviation Fuels which determines the scope of fuels to be allowed that fall under this Regulation</w:t>
      </w:r>
      <w:r w:rsidR="007C569A">
        <w:rPr>
          <w:rFonts w:asciiTheme="majorBidi" w:hAnsiTheme="majorBidi" w:cstheme="majorBidi"/>
          <w:color w:val="000000" w:themeColor="text1"/>
          <w:szCs w:val="24"/>
        </w:rPr>
        <w:t>.</w:t>
      </w:r>
    </w:p>
    <w:p w:rsidR="00994C2E" w:rsidP="0014797F" w:rsidRDefault="00994C2E" w14:paraId="56399EC4" w14:textId="54D54265">
      <w:pPr>
        <w:numPr>
          <w:ilvl w:val="0"/>
          <w:numId w:val="34"/>
        </w:numPr>
        <w:jc w:val="both"/>
        <w:rPr>
          <w:rFonts w:asciiTheme="majorBidi" w:hAnsiTheme="majorBidi" w:cstheme="majorBidi"/>
          <w:color w:val="000000" w:themeColor="text1"/>
          <w:szCs w:val="24"/>
        </w:rPr>
      </w:pPr>
      <w:bookmarkStart w:name="ControlPages" w:id="2"/>
      <w:bookmarkEnd w:id="2"/>
      <w:r>
        <w:rPr>
          <w:rFonts w:asciiTheme="majorBidi" w:hAnsiTheme="majorBidi" w:cstheme="majorBidi"/>
          <w:color w:val="000000" w:themeColor="text1"/>
          <w:szCs w:val="24"/>
        </w:rPr>
        <w:t>Finally, a few remaining points still need further elaboration. These include:</w:t>
      </w:r>
    </w:p>
    <w:p w:rsidR="00994C2E" w:rsidP="0014797F" w:rsidRDefault="0086514C" w14:paraId="135C79E0" w14:textId="0E253775">
      <w:pPr>
        <w:pStyle w:val="ListParagraph"/>
        <w:numPr>
          <w:ilvl w:val="0"/>
          <w:numId w:val="43"/>
        </w:numPr>
        <w:ind w:left="1134" w:hanging="567"/>
        <w:jc w:val="both"/>
        <w:rPr>
          <w:rFonts w:asciiTheme="majorBidi" w:hAnsiTheme="majorBidi" w:cstheme="majorBidi"/>
          <w:color w:val="000000" w:themeColor="text1"/>
        </w:rPr>
      </w:pPr>
      <w:r>
        <w:rPr>
          <w:rFonts w:asciiTheme="majorBidi" w:hAnsiTheme="majorBidi" w:cstheme="majorBidi"/>
          <w:color w:val="000000" w:themeColor="text1"/>
        </w:rPr>
        <w:t>the</w:t>
      </w:r>
      <w:r w:rsidR="00994C2E">
        <w:rPr>
          <w:rFonts w:asciiTheme="majorBidi" w:hAnsiTheme="majorBidi" w:cstheme="majorBidi"/>
          <w:color w:val="000000" w:themeColor="text1"/>
        </w:rPr>
        <w:t xml:space="preserve"> anti-tankering provisions</w:t>
      </w:r>
      <w:r>
        <w:rPr>
          <w:rFonts w:asciiTheme="majorBidi" w:hAnsiTheme="majorBidi" w:cstheme="majorBidi"/>
          <w:color w:val="000000" w:themeColor="text1"/>
        </w:rPr>
        <w:t xml:space="preserve"> on intra-EU flights;</w:t>
      </w:r>
    </w:p>
    <w:p w:rsidR="00287F5C" w:rsidP="0014797F" w:rsidRDefault="00287F5C" w14:paraId="44CD35C8" w14:textId="573EE85C">
      <w:pPr>
        <w:pStyle w:val="ListParagraph"/>
        <w:numPr>
          <w:ilvl w:val="0"/>
          <w:numId w:val="43"/>
        </w:numPr>
        <w:ind w:left="1134" w:hanging="567"/>
        <w:jc w:val="both"/>
        <w:rPr>
          <w:rFonts w:asciiTheme="majorBidi" w:hAnsiTheme="majorBidi" w:cstheme="majorBidi"/>
          <w:color w:val="000000" w:themeColor="text1"/>
        </w:rPr>
      </w:pPr>
      <w:r>
        <w:rPr>
          <w:rFonts w:asciiTheme="majorBidi" w:hAnsiTheme="majorBidi" w:cstheme="majorBidi"/>
          <w:color w:val="000000" w:themeColor="text1"/>
        </w:rPr>
        <w:t>the length</w:t>
      </w:r>
      <w:r w:rsidR="00690E2E">
        <w:rPr>
          <w:rFonts w:asciiTheme="majorBidi" w:hAnsiTheme="majorBidi" w:cstheme="majorBidi"/>
          <w:color w:val="000000" w:themeColor="text1"/>
        </w:rPr>
        <w:t>, and the scope</w:t>
      </w:r>
      <w:r>
        <w:rPr>
          <w:rFonts w:asciiTheme="majorBidi" w:hAnsiTheme="majorBidi" w:cstheme="majorBidi"/>
          <w:color w:val="000000" w:themeColor="text1"/>
        </w:rPr>
        <w:t xml:space="preserve"> of the transitional period;</w:t>
      </w:r>
    </w:p>
    <w:p w:rsidR="00994C2E" w:rsidP="0014797F" w:rsidRDefault="00994C2E" w14:paraId="5DD8A887" w14:textId="2965067A">
      <w:pPr>
        <w:pStyle w:val="ListParagraph"/>
        <w:numPr>
          <w:ilvl w:val="0"/>
          <w:numId w:val="43"/>
        </w:numPr>
        <w:ind w:left="1134" w:hanging="567"/>
        <w:jc w:val="both"/>
        <w:rPr>
          <w:rFonts w:asciiTheme="majorBidi" w:hAnsiTheme="majorBidi" w:cstheme="majorBidi"/>
          <w:color w:val="000000" w:themeColor="text1"/>
        </w:rPr>
      </w:pPr>
      <w:r>
        <w:rPr>
          <w:rFonts w:asciiTheme="majorBidi" w:hAnsiTheme="majorBidi" w:cstheme="majorBidi"/>
          <w:color w:val="000000" w:themeColor="text1"/>
        </w:rPr>
        <w:t xml:space="preserve">the destination of the fines collected by Member States in Article 11 on </w:t>
      </w:r>
      <w:r w:rsidR="0086514C">
        <w:rPr>
          <w:rFonts w:asciiTheme="majorBidi" w:hAnsiTheme="majorBidi" w:cstheme="majorBidi"/>
          <w:color w:val="000000" w:themeColor="text1"/>
        </w:rPr>
        <w:t>Enforcement;</w:t>
      </w:r>
    </w:p>
    <w:p w:rsidRPr="00994C2E" w:rsidR="00994C2E" w:rsidP="0014797F" w:rsidRDefault="00994C2E" w14:paraId="1460FDF4" w14:textId="57B535AA">
      <w:pPr>
        <w:pStyle w:val="ListParagraph"/>
        <w:numPr>
          <w:ilvl w:val="0"/>
          <w:numId w:val="43"/>
        </w:numPr>
        <w:ind w:left="1134" w:hanging="567"/>
        <w:jc w:val="both"/>
        <w:rPr>
          <w:rFonts w:asciiTheme="majorBidi" w:hAnsiTheme="majorBidi" w:cstheme="majorBidi"/>
          <w:color w:val="000000" w:themeColor="text1"/>
        </w:rPr>
      </w:pPr>
      <w:r>
        <w:rPr>
          <w:rFonts w:asciiTheme="majorBidi" w:hAnsiTheme="majorBidi" w:cstheme="majorBidi"/>
          <w:color w:val="000000" w:themeColor="text1"/>
        </w:rPr>
        <w:t>streamlining of the tables in Annex II.</w:t>
      </w:r>
    </w:p>
    <w:p w:rsidRPr="00C8334F" w:rsidR="00C8334F" w:rsidP="00690E2E" w:rsidRDefault="00C8334F" w14:paraId="42BFE5DC" w14:textId="27507C56">
      <w:pPr>
        <w:jc w:val="both"/>
        <w:rPr>
          <w:rFonts w:asciiTheme="majorBidi" w:hAnsiTheme="majorBidi" w:cstheme="majorBidi"/>
          <w:color w:val="000000" w:themeColor="text1"/>
          <w:szCs w:val="24"/>
        </w:rPr>
      </w:pPr>
      <w:r w:rsidRPr="00C8334F">
        <w:rPr>
          <w:rFonts w:asciiTheme="majorBidi" w:hAnsiTheme="majorBidi" w:cstheme="majorBidi"/>
          <w:color w:val="000000" w:themeColor="text1"/>
          <w:szCs w:val="24"/>
        </w:rPr>
        <w:t xml:space="preserve">While the Presidency considers that </w:t>
      </w:r>
      <w:r w:rsidR="00255DB6">
        <w:rPr>
          <w:rFonts w:asciiTheme="majorBidi" w:hAnsiTheme="majorBidi" w:cstheme="majorBidi"/>
          <w:color w:val="000000" w:themeColor="text1"/>
          <w:szCs w:val="24"/>
        </w:rPr>
        <w:t>it has worked extensively on the text and the less contentious of its points</w:t>
      </w:r>
      <w:r w:rsidRPr="00C8334F">
        <w:rPr>
          <w:rFonts w:asciiTheme="majorBidi" w:hAnsiTheme="majorBidi" w:cstheme="majorBidi"/>
          <w:color w:val="000000" w:themeColor="text1"/>
          <w:szCs w:val="24"/>
        </w:rPr>
        <w:t>, there still remains further preparatory work to</w:t>
      </w:r>
      <w:r w:rsidR="00255DB6">
        <w:rPr>
          <w:rFonts w:asciiTheme="majorBidi" w:hAnsiTheme="majorBidi" w:cstheme="majorBidi"/>
          <w:color w:val="000000" w:themeColor="text1"/>
          <w:szCs w:val="24"/>
        </w:rPr>
        <w:t xml:space="preserve"> be </w:t>
      </w:r>
      <w:r w:rsidRPr="00C8334F">
        <w:rPr>
          <w:rFonts w:asciiTheme="majorBidi" w:hAnsiTheme="majorBidi" w:cstheme="majorBidi"/>
          <w:color w:val="000000" w:themeColor="text1"/>
          <w:szCs w:val="24"/>
        </w:rPr>
        <w:t>do</w:t>
      </w:r>
      <w:r w:rsidR="00255DB6">
        <w:rPr>
          <w:rFonts w:asciiTheme="majorBidi" w:hAnsiTheme="majorBidi" w:cstheme="majorBidi"/>
          <w:color w:val="000000" w:themeColor="text1"/>
          <w:szCs w:val="24"/>
        </w:rPr>
        <w:t>ne</w:t>
      </w:r>
      <w:r w:rsidRPr="00C8334F">
        <w:rPr>
          <w:rFonts w:asciiTheme="majorBidi" w:hAnsiTheme="majorBidi" w:cstheme="majorBidi"/>
          <w:color w:val="000000" w:themeColor="text1"/>
          <w:szCs w:val="24"/>
        </w:rPr>
        <w:t>.</w:t>
      </w:r>
      <w:r w:rsidR="002A738A">
        <w:rPr>
          <w:rFonts w:asciiTheme="majorBidi" w:hAnsiTheme="majorBidi" w:cstheme="majorBidi"/>
          <w:color w:val="000000" w:themeColor="text1"/>
          <w:szCs w:val="24"/>
        </w:rPr>
        <w:t xml:space="preserve"> The Presidency has also submitted proposals on the </w:t>
      </w:r>
      <w:r w:rsidR="00690E2E">
        <w:rPr>
          <w:rFonts w:asciiTheme="majorBidi" w:hAnsiTheme="majorBidi" w:cstheme="majorBidi"/>
          <w:color w:val="000000" w:themeColor="text1"/>
          <w:szCs w:val="24"/>
        </w:rPr>
        <w:t>main points of contention</w:t>
      </w:r>
      <w:r w:rsidR="002A738A">
        <w:rPr>
          <w:rFonts w:asciiTheme="majorBidi" w:hAnsiTheme="majorBidi" w:cstheme="majorBidi"/>
          <w:color w:val="000000" w:themeColor="text1"/>
          <w:szCs w:val="24"/>
        </w:rPr>
        <w:t xml:space="preserve"> in its last compromise text but more in-depth discussions are needed. </w:t>
      </w:r>
    </w:p>
    <w:p w:rsidRPr="00C8334F" w:rsidR="00C8334F" w:rsidP="007C569A" w:rsidRDefault="00C8334F" w14:paraId="56E20861" w14:textId="6EA2C0FF">
      <w:pPr>
        <w:jc w:val="both"/>
        <w:rPr>
          <w:rFonts w:eastAsia="Calibri"/>
          <w:b/>
          <w:bCs/>
          <w:i/>
          <w:iCs/>
        </w:rPr>
      </w:pPr>
      <w:r w:rsidRPr="00C8334F">
        <w:rPr>
          <w:rFonts w:asciiTheme="majorBidi" w:hAnsiTheme="majorBidi" w:cstheme="majorBidi"/>
          <w:color w:val="000000" w:themeColor="text1"/>
          <w:szCs w:val="24"/>
        </w:rPr>
        <w:t xml:space="preserve">In the light of the above, the Permanent Representatives Committee and the Council are invited to take note of this progress report made on the work regarding the proposed </w:t>
      </w:r>
      <w:r w:rsidR="007C569A">
        <w:rPr>
          <w:rFonts w:asciiTheme="majorBidi" w:hAnsiTheme="majorBidi" w:cstheme="majorBidi"/>
          <w:color w:val="000000" w:themeColor="text1"/>
          <w:szCs w:val="24"/>
        </w:rPr>
        <w:t xml:space="preserve">Regulation </w:t>
      </w:r>
      <w:r w:rsidR="00255DB6">
        <w:rPr>
          <w:rFonts w:asciiTheme="majorBidi" w:hAnsiTheme="majorBidi" w:cstheme="majorBidi"/>
          <w:color w:val="000000" w:themeColor="text1"/>
          <w:szCs w:val="24"/>
        </w:rPr>
        <w:t>on ensuring a level playing field for sustainable air transport</w:t>
      </w:r>
      <w:r w:rsidRPr="00C8334F">
        <w:rPr>
          <w:rFonts w:asciiTheme="majorBidi" w:hAnsiTheme="majorBidi" w:cstheme="majorBidi"/>
          <w:color w:val="000000" w:themeColor="text1"/>
          <w:szCs w:val="24"/>
        </w:rPr>
        <w:t>.</w:t>
      </w:r>
    </w:p>
    <w:p w:rsidRPr="00C8334F" w:rsidR="00C8334F" w:rsidP="0014797F" w:rsidRDefault="00C8334F" w14:paraId="38685AD0" w14:textId="77777777">
      <w:pPr>
        <w:jc w:val="both"/>
        <w:rPr>
          <w:rFonts w:eastAsia="Calibri"/>
          <w:b/>
          <w:highlight w:val="lightGray"/>
        </w:rPr>
      </w:pPr>
    </w:p>
    <w:p w:rsidRPr="00C8334F" w:rsidR="00C8334F" w:rsidP="0014797F" w:rsidRDefault="00C8334F" w14:paraId="1670B4C8" w14:textId="77777777">
      <w:pPr>
        <w:pBdr>
          <w:bottom w:val="single" w:color="000000" w:sz="4" w:space="0"/>
        </w:pBdr>
        <w:spacing w:before="360"/>
        <w:ind w:left="3400" w:right="3400"/>
        <w:jc w:val="both"/>
        <w:rPr>
          <w:rFonts w:eastAsia="Calibri"/>
          <w:b/>
        </w:rPr>
      </w:pPr>
    </w:p>
    <w:p w:rsidRPr="00C8334F" w:rsidR="00C8334F" w:rsidP="0014797F" w:rsidRDefault="00C8334F" w14:paraId="7CD4209D" w14:textId="77777777">
      <w:pPr>
        <w:jc w:val="both"/>
        <w:rPr>
          <w:rFonts w:eastAsia="Calibri"/>
        </w:rPr>
        <w:sectPr w:rsidRPr="00C8334F" w:rsidR="00C8334F" w:rsidSect="000324E1">
          <w:headerReference w:type="default" r:id="rId15"/>
          <w:footerReference w:type="default" r:id="rId16"/>
          <w:pgSz w:w="11907" w:h="16839"/>
          <w:pgMar w:top="1134" w:right="1134" w:bottom="1134" w:left="1134" w:header="567" w:footer="567" w:gutter="0"/>
          <w:cols w:space="720"/>
          <w:docGrid w:linePitch="360"/>
        </w:sectPr>
      </w:pPr>
    </w:p>
    <w:p w:rsidRPr="00C8334F" w:rsidR="00C8334F" w:rsidP="004B3F11" w:rsidRDefault="00C8334F" w14:paraId="70F41D92" w14:textId="77777777">
      <w:pPr>
        <w:pStyle w:val="Annex"/>
      </w:pPr>
      <w:r w:rsidRPr="00C8334F">
        <w:lastRenderedPageBreak/>
        <w:t>ANNEX II</w:t>
      </w:r>
    </w:p>
    <w:p w:rsidRPr="00C8334F" w:rsidR="00C8334F" w:rsidP="0014797F" w:rsidRDefault="00C8334F" w14:paraId="2C8CC8B1" w14:textId="77777777">
      <w:pPr>
        <w:jc w:val="both"/>
        <w:rPr>
          <w:rFonts w:eastAsia="Calibri"/>
        </w:rPr>
      </w:pPr>
    </w:p>
    <w:p w:rsidRPr="00DE5E06" w:rsidR="008663CB" w:rsidP="007C569A" w:rsidRDefault="008663CB" w14:paraId="334B100A" w14:textId="232B9B11">
      <w:pPr>
        <w:rPr>
          <w:i/>
          <w:iCs/>
        </w:rPr>
      </w:pPr>
      <w:r w:rsidRPr="00DE5E06">
        <w:rPr>
          <w:i/>
          <w:iCs/>
        </w:rPr>
        <w:t>The Member States are invited to share their views as regards the following aspects of the proposal:</w:t>
      </w:r>
    </w:p>
    <w:p w:rsidRPr="00DE5E06" w:rsidR="00B46AE1" w:rsidP="00610411" w:rsidRDefault="00B46AE1" w14:paraId="0C710C6A" w14:textId="4CADF226">
      <w:pPr>
        <w:pStyle w:val="ListParagraph"/>
        <w:numPr>
          <w:ilvl w:val="0"/>
          <w:numId w:val="46"/>
        </w:numPr>
        <w:rPr>
          <w:i/>
          <w:iCs/>
        </w:rPr>
      </w:pPr>
      <w:r w:rsidRPr="00DE5E06">
        <w:rPr>
          <w:i/>
          <w:iCs/>
        </w:rPr>
        <w:t>the adequacy of the level of the blending mandates proposed by the Commission in achieving EU climate targets</w:t>
      </w:r>
      <w:r w:rsidR="00610411">
        <w:rPr>
          <w:i/>
          <w:iCs/>
        </w:rPr>
        <w:t>;</w:t>
      </w:r>
    </w:p>
    <w:p w:rsidRPr="00DE5E06" w:rsidR="007761CA" w:rsidP="007761CA" w:rsidRDefault="007761CA" w14:paraId="437C2857" w14:textId="4C09FD94">
      <w:pPr>
        <w:pStyle w:val="ListParagraph"/>
        <w:numPr>
          <w:ilvl w:val="0"/>
          <w:numId w:val="46"/>
        </w:numPr>
        <w:rPr>
          <w:i/>
          <w:iCs/>
        </w:rPr>
      </w:pPr>
      <w:r w:rsidRPr="00DE5E06">
        <w:rPr>
          <w:i/>
          <w:iCs/>
        </w:rPr>
        <w:t>whether the Commission’s approach on which fuels should be eligible as Sustainable Aviation Fuels is sufficient to match the level of ambition for SAFs across the EU, while ensuring environmental integrity and competitiveness of EU operators</w:t>
      </w:r>
      <w:r w:rsidR="00610411">
        <w:rPr>
          <w:i/>
          <w:iCs/>
        </w:rPr>
        <w:t>.</w:t>
      </w:r>
      <w:r w:rsidRPr="00DE5E06">
        <w:rPr>
          <w:i/>
          <w:iCs/>
        </w:rPr>
        <w:t xml:space="preserve"> </w:t>
      </w:r>
    </w:p>
    <w:p w:rsidR="00D44BE1" w:rsidP="0014797F" w:rsidRDefault="00D44BE1" w14:paraId="2D38ABE3" w14:textId="52CCBF00">
      <w:pPr>
        <w:jc w:val="both"/>
      </w:pPr>
    </w:p>
    <w:p w:rsidRPr="00D44BE1" w:rsidR="00E6105F" w:rsidP="0014797F" w:rsidRDefault="00D44BE1" w14:paraId="13C845E9" w14:textId="63E1CBBA">
      <w:pPr>
        <w:tabs>
          <w:tab w:val="left" w:pos="7100"/>
        </w:tabs>
        <w:jc w:val="both"/>
      </w:pPr>
      <w:r>
        <w:tab/>
      </w:r>
      <w:bookmarkStart w:name="_GoBack" w:id="3"/>
      <w:bookmarkEnd w:id="3"/>
    </w:p>
    <w:sectPr w:rsidRPr="00D44BE1" w:rsidR="00E6105F" w:rsidSect="000324E1">
      <w:headerReference w:type="default" r:id="rId17"/>
      <w:footerReference w:type="default" r:id="rId18"/>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F57C46" w14:textId="77777777" w:rsidR="007B4F1F" w:rsidRDefault="007B4F1F">
      <w:pPr>
        <w:spacing w:before="0" w:after="0"/>
      </w:pPr>
      <w:r>
        <w:separator/>
      </w:r>
    </w:p>
  </w:endnote>
  <w:endnote w:type="continuationSeparator" w:id="0">
    <w:p w14:paraId="2B7091A9" w14:textId="77777777" w:rsidR="007B4F1F" w:rsidRDefault="007B4F1F">
      <w:pPr>
        <w:spacing w:before="0" w:after="0"/>
      </w:pPr>
      <w:r>
        <w:continuationSeparator/>
      </w:r>
    </w:p>
  </w:endnote>
  <w:endnote w:type="continuationNotice" w:id="1">
    <w:p w14:paraId="04EC25AF" w14:textId="77777777" w:rsidR="007B4F1F" w:rsidRDefault="007B4F1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036C9" w14:textId="77777777" w:rsidR="000324E1" w:rsidRPr="000324E1" w:rsidRDefault="000324E1" w:rsidP="00032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324E1" w:rsidRPr="00D94637" w14:paraId="195F73D2" w14:textId="77777777" w:rsidTr="000324E1">
      <w:trPr>
        <w:jc w:val="center"/>
      </w:trPr>
      <w:tc>
        <w:tcPr>
          <w:tcW w:w="5000" w:type="pct"/>
          <w:gridSpan w:val="7"/>
          <w:shd w:val="clear" w:color="auto" w:fill="auto"/>
          <w:tcMar>
            <w:top w:w="57" w:type="dxa"/>
          </w:tcMar>
        </w:tcPr>
        <w:p w14:paraId="3E067912" w14:textId="77777777" w:rsidR="000324E1" w:rsidRPr="00D94637" w:rsidRDefault="000324E1" w:rsidP="00D94637">
          <w:pPr>
            <w:pStyle w:val="FooterText"/>
            <w:pBdr>
              <w:top w:val="single" w:sz="4" w:space="1" w:color="auto"/>
            </w:pBdr>
            <w:spacing w:before="200"/>
            <w:rPr>
              <w:sz w:val="2"/>
              <w:szCs w:val="2"/>
            </w:rPr>
          </w:pPr>
          <w:bookmarkStart w:id="1" w:name="FOOTER_STANDARD"/>
        </w:p>
      </w:tc>
    </w:tr>
    <w:tr w:rsidR="000324E1" w:rsidRPr="00B310DC" w14:paraId="5E6AA9BD" w14:textId="77777777" w:rsidTr="000324E1">
      <w:trPr>
        <w:jc w:val="center"/>
      </w:trPr>
      <w:tc>
        <w:tcPr>
          <w:tcW w:w="2500" w:type="pct"/>
          <w:gridSpan w:val="2"/>
          <w:shd w:val="clear" w:color="auto" w:fill="auto"/>
          <w:tcMar>
            <w:top w:w="0" w:type="dxa"/>
          </w:tcMar>
        </w:tcPr>
        <w:p w14:paraId="7DEAEF51" w14:textId="18C990E2" w:rsidR="000324E1" w:rsidRPr="00AD7BF2" w:rsidRDefault="000324E1" w:rsidP="004F54B2">
          <w:pPr>
            <w:pStyle w:val="FooterText"/>
          </w:pPr>
          <w:r>
            <w:t>13853/21</w:t>
          </w:r>
          <w:r w:rsidRPr="002511D8">
            <w:t xml:space="preserve"> </w:t>
          </w:r>
        </w:p>
      </w:tc>
      <w:tc>
        <w:tcPr>
          <w:tcW w:w="625" w:type="pct"/>
          <w:shd w:val="clear" w:color="auto" w:fill="auto"/>
          <w:tcMar>
            <w:top w:w="0" w:type="dxa"/>
          </w:tcMar>
        </w:tcPr>
        <w:p w14:paraId="38EBE0D3" w14:textId="77777777" w:rsidR="000324E1" w:rsidRPr="00AD7BF2" w:rsidRDefault="000324E1" w:rsidP="00D94637">
          <w:pPr>
            <w:pStyle w:val="FooterText"/>
            <w:jc w:val="center"/>
          </w:pPr>
        </w:p>
      </w:tc>
      <w:tc>
        <w:tcPr>
          <w:tcW w:w="1286" w:type="pct"/>
          <w:gridSpan w:val="3"/>
          <w:shd w:val="clear" w:color="auto" w:fill="auto"/>
          <w:tcMar>
            <w:top w:w="0" w:type="dxa"/>
          </w:tcMar>
        </w:tcPr>
        <w:p w14:paraId="4C1CD5CB" w14:textId="4512A18F" w:rsidR="000324E1" w:rsidRPr="002511D8" w:rsidRDefault="000324E1" w:rsidP="00D94637">
          <w:pPr>
            <w:pStyle w:val="FooterText"/>
            <w:jc w:val="center"/>
          </w:pPr>
          <w:r>
            <w:t>GG/mm</w:t>
          </w:r>
        </w:p>
      </w:tc>
      <w:tc>
        <w:tcPr>
          <w:tcW w:w="589" w:type="pct"/>
          <w:shd w:val="clear" w:color="auto" w:fill="auto"/>
          <w:tcMar>
            <w:top w:w="0" w:type="dxa"/>
          </w:tcMar>
        </w:tcPr>
        <w:p w14:paraId="0942B01B" w14:textId="69897FB7" w:rsidR="000324E1" w:rsidRPr="00B310DC" w:rsidRDefault="000324E1" w:rsidP="000324E1">
          <w:pPr>
            <w:pStyle w:val="FooterText"/>
            <w:jc w:val="right"/>
          </w:pPr>
          <w:r>
            <w:fldChar w:fldCharType="begin"/>
          </w:r>
          <w:r>
            <w:instrText xml:space="preserve"> PAGE  \* MERGEFORMAT </w:instrText>
          </w:r>
          <w:r>
            <w:fldChar w:fldCharType="separate"/>
          </w:r>
          <w:r w:rsidR="0008064D">
            <w:rPr>
              <w:noProof/>
            </w:rPr>
            <w:t>1</w:t>
          </w:r>
          <w:r>
            <w:fldChar w:fldCharType="end"/>
          </w:r>
        </w:p>
      </w:tc>
    </w:tr>
    <w:tr w:rsidR="000324E1" w:rsidRPr="00D94637" w14:paraId="5DE88095" w14:textId="77777777" w:rsidTr="000324E1">
      <w:trPr>
        <w:jc w:val="center"/>
      </w:trPr>
      <w:tc>
        <w:tcPr>
          <w:tcW w:w="1774" w:type="pct"/>
          <w:shd w:val="clear" w:color="auto" w:fill="auto"/>
        </w:tcPr>
        <w:p w14:paraId="3CFE9EC3" w14:textId="5BCDC520" w:rsidR="000324E1" w:rsidRPr="00AD7BF2" w:rsidRDefault="000324E1" w:rsidP="00D94637">
          <w:pPr>
            <w:pStyle w:val="FooterText"/>
            <w:spacing w:before="40"/>
          </w:pPr>
        </w:p>
      </w:tc>
      <w:tc>
        <w:tcPr>
          <w:tcW w:w="1455" w:type="pct"/>
          <w:gridSpan w:val="3"/>
          <w:shd w:val="clear" w:color="auto" w:fill="auto"/>
        </w:tcPr>
        <w:p w14:paraId="0F1D7649" w14:textId="7A5569C0" w:rsidR="000324E1" w:rsidRPr="00AD7BF2" w:rsidRDefault="000324E1" w:rsidP="00D204D6">
          <w:pPr>
            <w:pStyle w:val="FooterText"/>
            <w:spacing w:before="40"/>
            <w:jc w:val="center"/>
          </w:pPr>
          <w:r>
            <w:t>TREE.2.A</w:t>
          </w:r>
        </w:p>
      </w:tc>
      <w:tc>
        <w:tcPr>
          <w:tcW w:w="742" w:type="pct"/>
          <w:shd w:val="clear" w:color="auto" w:fill="auto"/>
        </w:tcPr>
        <w:p w14:paraId="784F8105" w14:textId="12FF66C4" w:rsidR="000324E1" w:rsidRPr="00D94637" w:rsidRDefault="000324E1" w:rsidP="002F0099">
          <w:pPr>
            <w:pStyle w:val="FooterText"/>
            <w:jc w:val="center"/>
            <w:rPr>
              <w:b/>
              <w:position w:val="-4"/>
              <w:sz w:val="36"/>
            </w:rPr>
          </w:pPr>
        </w:p>
      </w:tc>
      <w:tc>
        <w:tcPr>
          <w:tcW w:w="1029" w:type="pct"/>
          <w:gridSpan w:val="2"/>
          <w:shd w:val="clear" w:color="auto" w:fill="auto"/>
        </w:tcPr>
        <w:p w14:paraId="1D1586FE" w14:textId="66424952" w:rsidR="000324E1" w:rsidRPr="000310C2" w:rsidRDefault="000324E1" w:rsidP="00D94637">
          <w:pPr>
            <w:pStyle w:val="FooterText"/>
            <w:jc w:val="right"/>
            <w:rPr>
              <w:spacing w:val="-20"/>
              <w:sz w:val="16"/>
            </w:rPr>
          </w:pPr>
          <w:r>
            <w:rPr>
              <w:b/>
              <w:spacing w:val="-20"/>
              <w:position w:val="-4"/>
              <w:sz w:val="36"/>
            </w:rPr>
            <w:t>EN</w:t>
          </w:r>
        </w:p>
      </w:tc>
    </w:tr>
    <w:bookmarkEnd w:id="1"/>
  </w:tbl>
  <w:p w14:paraId="19450F83" w14:textId="77777777" w:rsidR="00407E3D" w:rsidRPr="000324E1" w:rsidRDefault="00407E3D" w:rsidP="000324E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324E1" w:rsidRPr="00D94637" w14:paraId="28A42D9A" w14:textId="77777777" w:rsidTr="000324E1">
      <w:trPr>
        <w:jc w:val="center"/>
      </w:trPr>
      <w:tc>
        <w:tcPr>
          <w:tcW w:w="5000" w:type="pct"/>
          <w:gridSpan w:val="7"/>
          <w:shd w:val="clear" w:color="auto" w:fill="auto"/>
          <w:tcMar>
            <w:top w:w="57" w:type="dxa"/>
          </w:tcMar>
        </w:tcPr>
        <w:p w14:paraId="054AFBA2" w14:textId="77777777" w:rsidR="000324E1" w:rsidRPr="00D94637" w:rsidRDefault="000324E1" w:rsidP="00D94637">
          <w:pPr>
            <w:pStyle w:val="FooterText"/>
            <w:pBdr>
              <w:top w:val="single" w:sz="4" w:space="1" w:color="auto"/>
            </w:pBdr>
            <w:spacing w:before="200"/>
            <w:rPr>
              <w:sz w:val="2"/>
              <w:szCs w:val="2"/>
            </w:rPr>
          </w:pPr>
        </w:p>
      </w:tc>
    </w:tr>
    <w:tr w:rsidR="000324E1" w:rsidRPr="00B310DC" w14:paraId="158FAD50" w14:textId="77777777" w:rsidTr="000324E1">
      <w:trPr>
        <w:jc w:val="center"/>
      </w:trPr>
      <w:tc>
        <w:tcPr>
          <w:tcW w:w="2500" w:type="pct"/>
          <w:gridSpan w:val="2"/>
          <w:shd w:val="clear" w:color="auto" w:fill="auto"/>
          <w:tcMar>
            <w:top w:w="0" w:type="dxa"/>
          </w:tcMar>
        </w:tcPr>
        <w:p w14:paraId="3D7625D1" w14:textId="05211775" w:rsidR="000324E1" w:rsidRPr="00AD7BF2" w:rsidRDefault="000324E1" w:rsidP="004F54B2">
          <w:pPr>
            <w:pStyle w:val="FooterText"/>
          </w:pPr>
          <w:r>
            <w:t>13853/21</w:t>
          </w:r>
          <w:r w:rsidRPr="002511D8">
            <w:t xml:space="preserve"> </w:t>
          </w:r>
        </w:p>
      </w:tc>
      <w:tc>
        <w:tcPr>
          <w:tcW w:w="625" w:type="pct"/>
          <w:shd w:val="clear" w:color="auto" w:fill="auto"/>
          <w:tcMar>
            <w:top w:w="0" w:type="dxa"/>
          </w:tcMar>
        </w:tcPr>
        <w:p w14:paraId="78959797" w14:textId="77777777" w:rsidR="000324E1" w:rsidRPr="00AD7BF2" w:rsidRDefault="000324E1" w:rsidP="00D94637">
          <w:pPr>
            <w:pStyle w:val="FooterText"/>
            <w:jc w:val="center"/>
          </w:pPr>
        </w:p>
      </w:tc>
      <w:tc>
        <w:tcPr>
          <w:tcW w:w="1286" w:type="pct"/>
          <w:gridSpan w:val="3"/>
          <w:shd w:val="clear" w:color="auto" w:fill="auto"/>
          <w:tcMar>
            <w:top w:w="0" w:type="dxa"/>
          </w:tcMar>
        </w:tcPr>
        <w:p w14:paraId="1DE585CD" w14:textId="70547FF5" w:rsidR="000324E1" w:rsidRPr="002511D8" w:rsidRDefault="000324E1" w:rsidP="00D94637">
          <w:pPr>
            <w:pStyle w:val="FooterText"/>
            <w:jc w:val="center"/>
          </w:pPr>
          <w:r>
            <w:t>GG/mm</w:t>
          </w:r>
        </w:p>
      </w:tc>
      <w:tc>
        <w:tcPr>
          <w:tcW w:w="589" w:type="pct"/>
          <w:shd w:val="clear" w:color="auto" w:fill="auto"/>
          <w:tcMar>
            <w:top w:w="0" w:type="dxa"/>
          </w:tcMar>
        </w:tcPr>
        <w:p w14:paraId="094ACC63" w14:textId="7B120593" w:rsidR="000324E1" w:rsidRPr="00B310DC" w:rsidRDefault="000324E1" w:rsidP="000324E1">
          <w:pPr>
            <w:pStyle w:val="FooterText"/>
            <w:jc w:val="right"/>
          </w:pPr>
          <w:r>
            <w:fldChar w:fldCharType="begin"/>
          </w:r>
          <w:r>
            <w:instrText xml:space="preserve"> PAGE  \* MERGEFORMAT </w:instrText>
          </w:r>
          <w:r>
            <w:fldChar w:fldCharType="separate"/>
          </w:r>
          <w:r w:rsidR="00FE5B5B">
            <w:rPr>
              <w:noProof/>
            </w:rPr>
            <w:t>1</w:t>
          </w:r>
          <w:r>
            <w:fldChar w:fldCharType="end"/>
          </w:r>
        </w:p>
      </w:tc>
    </w:tr>
    <w:tr w:rsidR="000324E1" w:rsidRPr="00D94637" w14:paraId="26968BCC" w14:textId="77777777" w:rsidTr="000324E1">
      <w:trPr>
        <w:jc w:val="center"/>
      </w:trPr>
      <w:tc>
        <w:tcPr>
          <w:tcW w:w="1774" w:type="pct"/>
          <w:shd w:val="clear" w:color="auto" w:fill="auto"/>
        </w:tcPr>
        <w:p w14:paraId="43F88425" w14:textId="3A3A4BE4" w:rsidR="000324E1" w:rsidRPr="00AD7BF2" w:rsidRDefault="000324E1" w:rsidP="00D94637">
          <w:pPr>
            <w:pStyle w:val="FooterText"/>
            <w:spacing w:before="40"/>
          </w:pPr>
        </w:p>
      </w:tc>
      <w:tc>
        <w:tcPr>
          <w:tcW w:w="1455" w:type="pct"/>
          <w:gridSpan w:val="3"/>
          <w:shd w:val="clear" w:color="auto" w:fill="auto"/>
        </w:tcPr>
        <w:p w14:paraId="2FF24E1E" w14:textId="2834FE0C" w:rsidR="000324E1" w:rsidRPr="00AD7BF2" w:rsidRDefault="000324E1" w:rsidP="00D204D6">
          <w:pPr>
            <w:pStyle w:val="FooterText"/>
            <w:spacing w:before="40"/>
            <w:jc w:val="center"/>
          </w:pPr>
          <w:r>
            <w:t>TREE.2.A</w:t>
          </w:r>
        </w:p>
      </w:tc>
      <w:tc>
        <w:tcPr>
          <w:tcW w:w="742" w:type="pct"/>
          <w:shd w:val="clear" w:color="auto" w:fill="auto"/>
        </w:tcPr>
        <w:p w14:paraId="7DABA418" w14:textId="15343822" w:rsidR="000324E1" w:rsidRPr="00D94637" w:rsidRDefault="000324E1" w:rsidP="002F0099">
          <w:pPr>
            <w:pStyle w:val="FooterText"/>
            <w:jc w:val="center"/>
            <w:rPr>
              <w:b/>
              <w:position w:val="-4"/>
              <w:sz w:val="36"/>
            </w:rPr>
          </w:pPr>
        </w:p>
      </w:tc>
      <w:tc>
        <w:tcPr>
          <w:tcW w:w="1029" w:type="pct"/>
          <w:gridSpan w:val="2"/>
          <w:shd w:val="clear" w:color="auto" w:fill="auto"/>
        </w:tcPr>
        <w:p w14:paraId="3CC32CB2" w14:textId="764590F4" w:rsidR="000324E1" w:rsidRPr="000310C2" w:rsidRDefault="000324E1" w:rsidP="00D94637">
          <w:pPr>
            <w:pStyle w:val="FooterText"/>
            <w:jc w:val="right"/>
            <w:rPr>
              <w:spacing w:val="-20"/>
              <w:sz w:val="16"/>
            </w:rPr>
          </w:pPr>
          <w:r>
            <w:rPr>
              <w:b/>
              <w:spacing w:val="-20"/>
              <w:position w:val="-4"/>
              <w:sz w:val="36"/>
            </w:rPr>
            <w:t>EN</w:t>
          </w:r>
        </w:p>
      </w:tc>
    </w:tr>
  </w:tbl>
  <w:p w14:paraId="67F04C64" w14:textId="77777777" w:rsidR="00407E3D" w:rsidRPr="000324E1" w:rsidRDefault="00407E3D" w:rsidP="000324E1">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324E1" w:rsidRPr="00D94637" w14:paraId="3BBCE223" w14:textId="77777777" w:rsidTr="000324E1">
      <w:trPr>
        <w:jc w:val="center"/>
      </w:trPr>
      <w:tc>
        <w:tcPr>
          <w:tcW w:w="5000" w:type="pct"/>
          <w:gridSpan w:val="7"/>
          <w:shd w:val="clear" w:color="auto" w:fill="auto"/>
          <w:tcMar>
            <w:top w:w="57" w:type="dxa"/>
          </w:tcMar>
        </w:tcPr>
        <w:p w14:paraId="01808D64" w14:textId="77777777" w:rsidR="000324E1" w:rsidRPr="00D94637" w:rsidRDefault="000324E1" w:rsidP="00D94637">
          <w:pPr>
            <w:pStyle w:val="FooterText"/>
            <w:pBdr>
              <w:top w:val="single" w:sz="4" w:space="1" w:color="auto"/>
            </w:pBdr>
            <w:spacing w:before="200"/>
            <w:rPr>
              <w:sz w:val="2"/>
              <w:szCs w:val="2"/>
            </w:rPr>
          </w:pPr>
        </w:p>
      </w:tc>
    </w:tr>
    <w:tr w:rsidR="000324E1" w:rsidRPr="00B310DC" w14:paraId="3D497024" w14:textId="77777777" w:rsidTr="000324E1">
      <w:trPr>
        <w:jc w:val="center"/>
      </w:trPr>
      <w:tc>
        <w:tcPr>
          <w:tcW w:w="2500" w:type="pct"/>
          <w:gridSpan w:val="2"/>
          <w:shd w:val="clear" w:color="auto" w:fill="auto"/>
          <w:tcMar>
            <w:top w:w="0" w:type="dxa"/>
          </w:tcMar>
        </w:tcPr>
        <w:p w14:paraId="583C2405" w14:textId="3F11145C" w:rsidR="000324E1" w:rsidRPr="00AD7BF2" w:rsidRDefault="000324E1" w:rsidP="004F54B2">
          <w:pPr>
            <w:pStyle w:val="FooterText"/>
          </w:pPr>
          <w:r>
            <w:t>13853/21</w:t>
          </w:r>
          <w:r w:rsidRPr="002511D8">
            <w:t xml:space="preserve"> </w:t>
          </w:r>
        </w:p>
      </w:tc>
      <w:tc>
        <w:tcPr>
          <w:tcW w:w="625" w:type="pct"/>
          <w:shd w:val="clear" w:color="auto" w:fill="auto"/>
          <w:tcMar>
            <w:top w:w="0" w:type="dxa"/>
          </w:tcMar>
        </w:tcPr>
        <w:p w14:paraId="163EA7D0" w14:textId="77777777" w:rsidR="000324E1" w:rsidRPr="00AD7BF2" w:rsidRDefault="000324E1" w:rsidP="00D94637">
          <w:pPr>
            <w:pStyle w:val="FooterText"/>
            <w:jc w:val="center"/>
          </w:pPr>
        </w:p>
      </w:tc>
      <w:tc>
        <w:tcPr>
          <w:tcW w:w="1286" w:type="pct"/>
          <w:gridSpan w:val="3"/>
          <w:shd w:val="clear" w:color="auto" w:fill="auto"/>
          <w:tcMar>
            <w:top w:w="0" w:type="dxa"/>
          </w:tcMar>
        </w:tcPr>
        <w:p w14:paraId="7CB8A1CA" w14:textId="7AFAACC4" w:rsidR="000324E1" w:rsidRPr="002511D8" w:rsidRDefault="000324E1" w:rsidP="00D94637">
          <w:pPr>
            <w:pStyle w:val="FooterText"/>
            <w:jc w:val="center"/>
          </w:pPr>
          <w:r>
            <w:t>GG/mm</w:t>
          </w:r>
        </w:p>
      </w:tc>
      <w:tc>
        <w:tcPr>
          <w:tcW w:w="589" w:type="pct"/>
          <w:shd w:val="clear" w:color="auto" w:fill="auto"/>
          <w:tcMar>
            <w:top w:w="0" w:type="dxa"/>
          </w:tcMar>
        </w:tcPr>
        <w:p w14:paraId="5223AA4F" w14:textId="0CEBB470" w:rsidR="000324E1" w:rsidRPr="00B310DC" w:rsidRDefault="000324E1" w:rsidP="000324E1">
          <w:pPr>
            <w:pStyle w:val="FooterText"/>
            <w:jc w:val="right"/>
          </w:pPr>
          <w:r>
            <w:fldChar w:fldCharType="begin"/>
          </w:r>
          <w:r>
            <w:instrText xml:space="preserve"> PAGE  \* MERGEFORMAT </w:instrText>
          </w:r>
          <w:r>
            <w:fldChar w:fldCharType="separate"/>
          </w:r>
          <w:r w:rsidR="00FE5B5B">
            <w:rPr>
              <w:noProof/>
            </w:rPr>
            <w:t>2</w:t>
          </w:r>
          <w:r>
            <w:fldChar w:fldCharType="end"/>
          </w:r>
        </w:p>
      </w:tc>
    </w:tr>
    <w:tr w:rsidR="000324E1" w:rsidRPr="00D94637" w14:paraId="617BF9C1" w14:textId="77777777" w:rsidTr="000324E1">
      <w:trPr>
        <w:jc w:val="center"/>
      </w:trPr>
      <w:tc>
        <w:tcPr>
          <w:tcW w:w="1774" w:type="pct"/>
          <w:shd w:val="clear" w:color="auto" w:fill="auto"/>
        </w:tcPr>
        <w:p w14:paraId="455FEDF1" w14:textId="0B89B06B" w:rsidR="000324E1" w:rsidRPr="00AD7BF2" w:rsidRDefault="000324E1" w:rsidP="00D94637">
          <w:pPr>
            <w:pStyle w:val="FooterText"/>
            <w:spacing w:before="40"/>
          </w:pPr>
          <w:r>
            <w:t>ANNEX 1</w:t>
          </w:r>
        </w:p>
      </w:tc>
      <w:tc>
        <w:tcPr>
          <w:tcW w:w="1455" w:type="pct"/>
          <w:gridSpan w:val="3"/>
          <w:shd w:val="clear" w:color="auto" w:fill="auto"/>
        </w:tcPr>
        <w:p w14:paraId="0C3820BA" w14:textId="589CC76F" w:rsidR="000324E1" w:rsidRPr="00AD7BF2" w:rsidRDefault="000324E1" w:rsidP="00D204D6">
          <w:pPr>
            <w:pStyle w:val="FooterText"/>
            <w:spacing w:before="40"/>
            <w:jc w:val="center"/>
          </w:pPr>
          <w:r>
            <w:t>TREE.2.A</w:t>
          </w:r>
        </w:p>
      </w:tc>
      <w:tc>
        <w:tcPr>
          <w:tcW w:w="742" w:type="pct"/>
          <w:shd w:val="clear" w:color="auto" w:fill="auto"/>
        </w:tcPr>
        <w:p w14:paraId="604C41CE" w14:textId="4FD43B1F" w:rsidR="000324E1" w:rsidRPr="00D94637" w:rsidRDefault="000324E1" w:rsidP="002F0099">
          <w:pPr>
            <w:pStyle w:val="FooterText"/>
            <w:jc w:val="center"/>
            <w:rPr>
              <w:b/>
              <w:position w:val="-4"/>
              <w:sz w:val="36"/>
            </w:rPr>
          </w:pPr>
        </w:p>
      </w:tc>
      <w:tc>
        <w:tcPr>
          <w:tcW w:w="1029" w:type="pct"/>
          <w:gridSpan w:val="2"/>
          <w:shd w:val="clear" w:color="auto" w:fill="auto"/>
        </w:tcPr>
        <w:p w14:paraId="68856B8D" w14:textId="0EED1EDA" w:rsidR="000324E1" w:rsidRPr="000310C2" w:rsidRDefault="000324E1" w:rsidP="00D94637">
          <w:pPr>
            <w:pStyle w:val="FooterText"/>
            <w:jc w:val="right"/>
            <w:rPr>
              <w:spacing w:val="-20"/>
              <w:sz w:val="16"/>
            </w:rPr>
          </w:pPr>
          <w:r>
            <w:rPr>
              <w:b/>
              <w:spacing w:val="-20"/>
              <w:position w:val="-4"/>
              <w:sz w:val="36"/>
            </w:rPr>
            <w:t>EN</w:t>
          </w:r>
        </w:p>
      </w:tc>
    </w:tr>
  </w:tbl>
  <w:p w14:paraId="6ECDA212" w14:textId="77777777" w:rsidR="00C8334F" w:rsidRPr="000324E1" w:rsidRDefault="00C8334F" w:rsidP="000324E1">
    <w:pPr>
      <w:pStyle w:val="FooterCouncil"/>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0324E1" w:rsidRPr="00D94637" w14:paraId="440B477D" w14:textId="77777777" w:rsidTr="000324E1">
      <w:trPr>
        <w:jc w:val="center"/>
      </w:trPr>
      <w:tc>
        <w:tcPr>
          <w:tcW w:w="5000" w:type="pct"/>
          <w:gridSpan w:val="7"/>
          <w:shd w:val="clear" w:color="auto" w:fill="auto"/>
          <w:tcMar>
            <w:top w:w="57" w:type="dxa"/>
          </w:tcMar>
        </w:tcPr>
        <w:p w14:paraId="66D63DBC" w14:textId="77777777" w:rsidR="000324E1" w:rsidRPr="00D94637" w:rsidRDefault="000324E1" w:rsidP="00D94637">
          <w:pPr>
            <w:pStyle w:val="FooterText"/>
            <w:pBdr>
              <w:top w:val="single" w:sz="4" w:space="1" w:color="auto"/>
            </w:pBdr>
            <w:spacing w:before="200"/>
            <w:rPr>
              <w:sz w:val="2"/>
              <w:szCs w:val="2"/>
            </w:rPr>
          </w:pPr>
        </w:p>
      </w:tc>
    </w:tr>
    <w:tr w:rsidR="000324E1" w:rsidRPr="00B310DC" w14:paraId="457E10C8" w14:textId="77777777" w:rsidTr="000324E1">
      <w:trPr>
        <w:jc w:val="center"/>
      </w:trPr>
      <w:tc>
        <w:tcPr>
          <w:tcW w:w="2500" w:type="pct"/>
          <w:gridSpan w:val="2"/>
          <w:shd w:val="clear" w:color="auto" w:fill="auto"/>
          <w:tcMar>
            <w:top w:w="0" w:type="dxa"/>
          </w:tcMar>
        </w:tcPr>
        <w:p w14:paraId="7FC2595A" w14:textId="32E372C5" w:rsidR="000324E1" w:rsidRPr="00AD7BF2" w:rsidRDefault="000324E1" w:rsidP="004F54B2">
          <w:pPr>
            <w:pStyle w:val="FooterText"/>
          </w:pPr>
          <w:r>
            <w:t>13853/21</w:t>
          </w:r>
          <w:r w:rsidRPr="002511D8">
            <w:t xml:space="preserve"> </w:t>
          </w:r>
        </w:p>
      </w:tc>
      <w:tc>
        <w:tcPr>
          <w:tcW w:w="625" w:type="pct"/>
          <w:shd w:val="clear" w:color="auto" w:fill="auto"/>
          <w:tcMar>
            <w:top w:w="0" w:type="dxa"/>
          </w:tcMar>
        </w:tcPr>
        <w:p w14:paraId="5DEAD4D1" w14:textId="77777777" w:rsidR="000324E1" w:rsidRPr="00AD7BF2" w:rsidRDefault="000324E1" w:rsidP="00D94637">
          <w:pPr>
            <w:pStyle w:val="FooterText"/>
            <w:jc w:val="center"/>
          </w:pPr>
        </w:p>
      </w:tc>
      <w:tc>
        <w:tcPr>
          <w:tcW w:w="1286" w:type="pct"/>
          <w:gridSpan w:val="3"/>
          <w:shd w:val="clear" w:color="auto" w:fill="auto"/>
          <w:tcMar>
            <w:top w:w="0" w:type="dxa"/>
          </w:tcMar>
        </w:tcPr>
        <w:p w14:paraId="14F35156" w14:textId="082B193C" w:rsidR="000324E1" w:rsidRPr="002511D8" w:rsidRDefault="000324E1" w:rsidP="00D94637">
          <w:pPr>
            <w:pStyle w:val="FooterText"/>
            <w:jc w:val="center"/>
          </w:pPr>
          <w:r>
            <w:t>GG/mm</w:t>
          </w:r>
        </w:p>
      </w:tc>
      <w:tc>
        <w:tcPr>
          <w:tcW w:w="589" w:type="pct"/>
          <w:shd w:val="clear" w:color="auto" w:fill="auto"/>
          <w:tcMar>
            <w:top w:w="0" w:type="dxa"/>
          </w:tcMar>
        </w:tcPr>
        <w:p w14:paraId="558409F0" w14:textId="7CBC787D" w:rsidR="000324E1" w:rsidRPr="00B310DC" w:rsidRDefault="000324E1" w:rsidP="000324E1">
          <w:pPr>
            <w:pStyle w:val="FooterText"/>
            <w:jc w:val="right"/>
          </w:pPr>
          <w:r>
            <w:fldChar w:fldCharType="begin"/>
          </w:r>
          <w:r>
            <w:instrText xml:space="preserve"> PAGE  \* MERGEFORMAT </w:instrText>
          </w:r>
          <w:r>
            <w:fldChar w:fldCharType="separate"/>
          </w:r>
          <w:r w:rsidR="00FE5B5B">
            <w:rPr>
              <w:noProof/>
            </w:rPr>
            <w:t>8</w:t>
          </w:r>
          <w:r>
            <w:fldChar w:fldCharType="end"/>
          </w:r>
        </w:p>
      </w:tc>
    </w:tr>
    <w:tr w:rsidR="000324E1" w:rsidRPr="00D94637" w14:paraId="3F0F3209" w14:textId="77777777" w:rsidTr="000324E1">
      <w:trPr>
        <w:jc w:val="center"/>
      </w:trPr>
      <w:tc>
        <w:tcPr>
          <w:tcW w:w="1774" w:type="pct"/>
          <w:shd w:val="clear" w:color="auto" w:fill="auto"/>
        </w:tcPr>
        <w:p w14:paraId="1056A545" w14:textId="110F13D1" w:rsidR="000324E1" w:rsidRPr="00AD7BF2" w:rsidRDefault="000324E1" w:rsidP="00D94637">
          <w:pPr>
            <w:pStyle w:val="FooterText"/>
            <w:spacing w:before="40"/>
          </w:pPr>
          <w:r>
            <w:t>ANNEX II</w:t>
          </w:r>
        </w:p>
      </w:tc>
      <w:tc>
        <w:tcPr>
          <w:tcW w:w="1455" w:type="pct"/>
          <w:gridSpan w:val="3"/>
          <w:shd w:val="clear" w:color="auto" w:fill="auto"/>
        </w:tcPr>
        <w:p w14:paraId="670F0F05" w14:textId="1CEA5239" w:rsidR="000324E1" w:rsidRPr="00AD7BF2" w:rsidRDefault="000324E1" w:rsidP="00D204D6">
          <w:pPr>
            <w:pStyle w:val="FooterText"/>
            <w:spacing w:before="40"/>
            <w:jc w:val="center"/>
          </w:pPr>
          <w:r>
            <w:t>TREE.2.A</w:t>
          </w:r>
        </w:p>
      </w:tc>
      <w:tc>
        <w:tcPr>
          <w:tcW w:w="742" w:type="pct"/>
          <w:shd w:val="clear" w:color="auto" w:fill="auto"/>
        </w:tcPr>
        <w:p w14:paraId="47C0338B" w14:textId="0C956264" w:rsidR="000324E1" w:rsidRPr="00D94637" w:rsidRDefault="000324E1" w:rsidP="002F0099">
          <w:pPr>
            <w:pStyle w:val="FooterText"/>
            <w:jc w:val="center"/>
            <w:rPr>
              <w:b/>
              <w:position w:val="-4"/>
              <w:sz w:val="36"/>
            </w:rPr>
          </w:pPr>
        </w:p>
      </w:tc>
      <w:tc>
        <w:tcPr>
          <w:tcW w:w="1029" w:type="pct"/>
          <w:gridSpan w:val="2"/>
          <w:shd w:val="clear" w:color="auto" w:fill="auto"/>
        </w:tcPr>
        <w:p w14:paraId="33863796" w14:textId="1EB0B96C" w:rsidR="000324E1" w:rsidRPr="000310C2" w:rsidRDefault="000324E1" w:rsidP="00D94637">
          <w:pPr>
            <w:pStyle w:val="FooterText"/>
            <w:jc w:val="right"/>
            <w:rPr>
              <w:spacing w:val="-20"/>
              <w:sz w:val="16"/>
            </w:rPr>
          </w:pPr>
          <w:r>
            <w:rPr>
              <w:b/>
              <w:spacing w:val="-20"/>
              <w:position w:val="-4"/>
              <w:sz w:val="36"/>
            </w:rPr>
            <w:t>EN</w:t>
          </w:r>
        </w:p>
      </w:tc>
    </w:tr>
  </w:tbl>
  <w:p w14:paraId="6E0FC030" w14:textId="77777777" w:rsidR="000324E1" w:rsidRPr="000324E1" w:rsidRDefault="000324E1" w:rsidP="000324E1">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38B3C" w14:textId="77777777" w:rsidR="007B4F1F" w:rsidRDefault="007B4F1F" w:rsidP="004D2D89">
      <w:pPr>
        <w:spacing w:before="0" w:after="0" w:line="240" w:lineRule="auto"/>
      </w:pPr>
      <w:r>
        <w:separator/>
      </w:r>
    </w:p>
  </w:footnote>
  <w:footnote w:type="continuationSeparator" w:id="0">
    <w:p w14:paraId="5DB4E14C" w14:textId="77777777" w:rsidR="007B4F1F" w:rsidRDefault="007B4F1F" w:rsidP="004D2D89">
      <w:pPr>
        <w:spacing w:before="0" w:after="0" w:line="240" w:lineRule="auto"/>
      </w:pPr>
      <w:r>
        <w:continuationSeparator/>
      </w:r>
    </w:p>
  </w:footnote>
  <w:footnote w:type="continuationNotice" w:id="1">
    <w:p w14:paraId="0CCA8986" w14:textId="77777777" w:rsidR="007B4F1F" w:rsidRDefault="007B4F1F">
      <w:pPr>
        <w:spacing w:before="0" w:after="0"/>
      </w:pPr>
    </w:p>
  </w:footnote>
  <w:footnote w:id="2">
    <w:p w14:paraId="2FFBF14A" w14:textId="4C702875" w:rsidR="00C8334F" w:rsidRDefault="00C8334F" w:rsidP="0014797F">
      <w:pPr>
        <w:pStyle w:val="FootnoteText"/>
        <w:ind w:left="284" w:hanging="284"/>
      </w:pPr>
      <w:r>
        <w:rPr>
          <w:rStyle w:val="FootnoteReference"/>
        </w:rPr>
        <w:footnoteRef/>
      </w:r>
      <w:r w:rsidR="009A5DA7">
        <w:tab/>
      </w:r>
      <w:r w:rsidRPr="00B7527D">
        <w:rPr>
          <w:szCs w:val="24"/>
        </w:rPr>
        <w:t xml:space="preserve">The package consists of twelve Commission proposals in the field of energy, environment, taxation, trade and transport; additional proposals in the field of energy policy are still expected before the end of this year. Three legislative proposals are directly related to transport policies: the above proposal, ReFuel </w:t>
      </w:r>
      <w:r w:rsidR="0014797F" w:rsidRPr="00B7527D">
        <w:rPr>
          <w:szCs w:val="24"/>
        </w:rPr>
        <w:t>Maritime</w:t>
      </w:r>
      <w:r w:rsidRPr="00B7527D">
        <w:rPr>
          <w:szCs w:val="24"/>
        </w:rPr>
        <w:t xml:space="preserve"> and Alternative Fuel Infrastructure Regulation (AFIR).</w:t>
      </w:r>
    </w:p>
  </w:footnote>
  <w:footnote w:id="3">
    <w:p w14:paraId="6F646631" w14:textId="77777777" w:rsidR="00C8334F" w:rsidRPr="00B7527D" w:rsidRDefault="00C8334F" w:rsidP="00C8334F">
      <w:pPr>
        <w:pStyle w:val="FootnoteText"/>
        <w:ind w:left="284" w:hanging="284"/>
        <w:rPr>
          <w:rFonts w:asciiTheme="majorBidi" w:hAnsiTheme="majorBidi" w:cstheme="majorBidi"/>
          <w:szCs w:val="24"/>
        </w:rPr>
      </w:pPr>
      <w:r w:rsidRPr="003029D5">
        <w:rPr>
          <w:rStyle w:val="FootnoteReference"/>
          <w:rFonts w:asciiTheme="majorBidi" w:hAnsiTheme="majorBidi" w:cstheme="majorBidi"/>
          <w:sz w:val="22"/>
          <w:szCs w:val="22"/>
        </w:rPr>
        <w:footnoteRef/>
      </w:r>
      <w:r w:rsidRPr="003029D5">
        <w:rPr>
          <w:rFonts w:asciiTheme="majorBidi" w:hAnsiTheme="majorBidi" w:cstheme="majorBidi"/>
          <w:sz w:val="22"/>
          <w:szCs w:val="22"/>
        </w:rPr>
        <w:tab/>
      </w:r>
      <w:r w:rsidRPr="00B7527D">
        <w:rPr>
          <w:rFonts w:asciiTheme="majorBidi" w:hAnsiTheme="majorBidi" w:cstheme="majorBidi"/>
          <w:szCs w:val="24"/>
          <w:shd w:val="clear" w:color="auto" w:fill="FFFFFF"/>
        </w:rPr>
        <w:t>Regulation (EU) 2021/1119 of the European Parliament and of the Council of 30 June 2021 establishing the framework for achieving climate neutrality and amending Regulations (EC) No 401/2009 and (EU) 2018/1999 (‘European Climate Law’) (</w:t>
      </w:r>
      <w:r w:rsidRPr="00B7527D">
        <w:rPr>
          <w:rFonts w:asciiTheme="majorBidi" w:hAnsiTheme="majorBidi" w:cstheme="majorBidi"/>
          <w:szCs w:val="24"/>
        </w:rPr>
        <w:t>OJ L 243, 9.7.2021).</w:t>
      </w:r>
    </w:p>
  </w:footnote>
  <w:footnote w:id="4">
    <w:p w14:paraId="2435F676" w14:textId="071162A9" w:rsidR="00C8334F" w:rsidRPr="00B7527D" w:rsidRDefault="00C8334F" w:rsidP="00B7527D">
      <w:pPr>
        <w:pStyle w:val="FootnoteText"/>
        <w:ind w:left="284" w:hanging="284"/>
        <w:rPr>
          <w:rFonts w:asciiTheme="majorBidi" w:hAnsiTheme="majorBidi" w:cstheme="majorBidi"/>
          <w:szCs w:val="24"/>
          <w:shd w:val="clear" w:color="auto" w:fill="FFFFFF"/>
        </w:rPr>
      </w:pPr>
      <w:r w:rsidRPr="00B7527D">
        <w:rPr>
          <w:rStyle w:val="FootnoteReference"/>
          <w:szCs w:val="24"/>
        </w:rPr>
        <w:footnoteRef/>
      </w:r>
      <w:r w:rsidR="00407965" w:rsidRPr="00B7527D">
        <w:rPr>
          <w:szCs w:val="24"/>
        </w:rPr>
        <w:tab/>
      </w:r>
      <w:r w:rsidRPr="00B7527D">
        <w:rPr>
          <w:rFonts w:asciiTheme="majorBidi" w:hAnsiTheme="majorBidi" w:cstheme="majorBidi"/>
          <w:szCs w:val="24"/>
          <w:shd w:val="clear" w:color="auto" w:fill="FFFFFF"/>
        </w:rPr>
        <w:t>Directive (EU) 2018/2001 of the European Parliament and of the Council of 11 December 2018 on the promotion of the use of energy from renewable sources (OJ L 328, 21.12.2018).</w:t>
      </w:r>
    </w:p>
  </w:footnote>
  <w:footnote w:id="5">
    <w:p w14:paraId="453CD89F" w14:textId="77777777" w:rsidR="00C8334F" w:rsidRPr="00B7527D" w:rsidRDefault="00C8334F" w:rsidP="00C8334F">
      <w:pPr>
        <w:pStyle w:val="FootnoteText"/>
        <w:ind w:left="284" w:hanging="284"/>
        <w:rPr>
          <w:rFonts w:asciiTheme="majorBidi" w:hAnsiTheme="majorBidi" w:cstheme="majorBidi"/>
          <w:szCs w:val="24"/>
          <w:shd w:val="clear" w:color="auto" w:fill="FFFFFF"/>
        </w:rPr>
      </w:pPr>
      <w:r w:rsidRPr="00B7527D">
        <w:rPr>
          <w:rStyle w:val="FootnoteReference"/>
          <w:szCs w:val="24"/>
        </w:rPr>
        <w:footnoteRef/>
      </w:r>
      <w:r w:rsidRPr="00B7527D">
        <w:rPr>
          <w:szCs w:val="24"/>
        </w:rPr>
        <w:t xml:space="preserve"> </w:t>
      </w:r>
      <w:r w:rsidRPr="00B7527D">
        <w:rPr>
          <w:szCs w:val="24"/>
        </w:rPr>
        <w:tab/>
      </w:r>
      <w:r w:rsidRPr="00B7527D">
        <w:rPr>
          <w:rFonts w:asciiTheme="majorBidi" w:hAnsiTheme="majorBidi" w:cstheme="majorBidi"/>
          <w:szCs w:val="24"/>
          <w:shd w:val="clear" w:color="auto" w:fill="FFFFFF"/>
        </w:rPr>
        <w:t>Proposal for a Regulation of the European Parliament and of the Council on the deployment of alternative fuels infrastructure, and repealing Directive 2014/94/EU of the European Parliament and of the Council - COM(2021) 559 final.</w:t>
      </w:r>
    </w:p>
  </w:footnote>
  <w:footnote w:id="6">
    <w:p w14:paraId="4A4F17BD" w14:textId="151852D3" w:rsidR="00C8334F" w:rsidRPr="00B7527D" w:rsidRDefault="00C8334F" w:rsidP="00C8334F">
      <w:pPr>
        <w:pStyle w:val="FootnoteText"/>
        <w:ind w:left="284" w:hanging="284"/>
        <w:rPr>
          <w:szCs w:val="24"/>
        </w:rPr>
      </w:pPr>
      <w:r w:rsidRPr="00B7527D">
        <w:rPr>
          <w:rStyle w:val="FootnoteReference"/>
          <w:szCs w:val="24"/>
        </w:rPr>
        <w:footnoteRef/>
      </w:r>
      <w:r w:rsidR="00407965" w:rsidRPr="00B7527D">
        <w:rPr>
          <w:szCs w:val="24"/>
        </w:rPr>
        <w:tab/>
      </w:r>
      <w:r w:rsidRPr="00B7527D">
        <w:rPr>
          <w:szCs w:val="24"/>
        </w:rPr>
        <w:t>ITRE and ENVI parliamentary committees will act under associated committee procedure (rule 57 of the European Parliament's Rules of Procedure.</w:t>
      </w:r>
    </w:p>
  </w:footnote>
  <w:footnote w:id="7">
    <w:p w14:paraId="670B04DB" w14:textId="0233CC60" w:rsidR="002F7DB3" w:rsidRPr="00B7527D" w:rsidRDefault="002F7DB3" w:rsidP="002F7DB3">
      <w:pPr>
        <w:pStyle w:val="FootnoteText"/>
        <w:ind w:left="284" w:hanging="284"/>
        <w:rPr>
          <w:szCs w:val="24"/>
        </w:rPr>
      </w:pPr>
      <w:r w:rsidRPr="00B7527D">
        <w:rPr>
          <w:rStyle w:val="FootnoteReference"/>
          <w:szCs w:val="24"/>
        </w:rPr>
        <w:footnoteRef/>
      </w:r>
      <w:r w:rsidRPr="00B7527D">
        <w:rPr>
          <w:szCs w:val="24"/>
        </w:rPr>
        <w:tab/>
        <w:t>ST 13293/1/21 REV 1.</w:t>
      </w:r>
    </w:p>
  </w:footnote>
  <w:footnote w:id="8">
    <w:p w14:paraId="1FE7D8C0" w14:textId="0CAFF45C" w:rsidR="004C2F4F" w:rsidRPr="00B7527D" w:rsidRDefault="004C2F4F" w:rsidP="004C2F4F">
      <w:pPr>
        <w:pStyle w:val="FootnoteText"/>
        <w:ind w:left="284" w:hanging="284"/>
        <w:rPr>
          <w:szCs w:val="24"/>
        </w:rPr>
      </w:pPr>
      <w:r w:rsidRPr="00B7527D">
        <w:rPr>
          <w:rStyle w:val="FootnoteReference"/>
          <w:szCs w:val="24"/>
        </w:rPr>
        <w:footnoteRef/>
      </w:r>
      <w:r w:rsidRPr="00B7527D">
        <w:rPr>
          <w:szCs w:val="24"/>
        </w:rPr>
        <w:tab/>
        <w:t>ST 13710/21</w:t>
      </w:r>
    </w:p>
  </w:footnote>
  <w:footnote w:id="9">
    <w:p w14:paraId="43C41BDA" w14:textId="5ABEAE8D" w:rsidR="00DC33F4" w:rsidRPr="00B7527D" w:rsidRDefault="00DC33F4" w:rsidP="00DC33F4">
      <w:pPr>
        <w:pStyle w:val="FootnoteText"/>
        <w:ind w:left="284" w:hanging="284"/>
        <w:rPr>
          <w:szCs w:val="24"/>
        </w:rPr>
      </w:pPr>
      <w:r w:rsidRPr="00B7527D">
        <w:rPr>
          <w:rStyle w:val="FootnoteReference"/>
          <w:szCs w:val="24"/>
        </w:rPr>
        <w:footnoteRef/>
      </w:r>
      <w:r w:rsidRPr="00B7527D">
        <w:rPr>
          <w:szCs w:val="24"/>
        </w:rPr>
        <w:tab/>
        <w:t>ST 14035/21</w:t>
      </w:r>
    </w:p>
  </w:footnote>
  <w:footnote w:id="10">
    <w:p w14:paraId="67A2D09B" w14:textId="7B343ECD" w:rsidR="00B070D2" w:rsidRDefault="00B070D2">
      <w:pPr>
        <w:pStyle w:val="FootnoteText"/>
      </w:pPr>
      <w:r>
        <w:rPr>
          <w:rStyle w:val="FootnoteReference"/>
        </w:rPr>
        <w:footnoteRef/>
      </w:r>
      <w:r>
        <w:t xml:space="preserve"> ST 11686/21 + REV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09CCE" w14:textId="77777777" w:rsidR="000324E1" w:rsidRPr="000324E1" w:rsidRDefault="000324E1" w:rsidP="000324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034EC" w14:textId="32A14820" w:rsidR="00407E3D" w:rsidRPr="000324E1" w:rsidRDefault="000324E1" w:rsidP="000324E1">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706F0" w14:textId="00AB9C78" w:rsidR="00407E3D" w:rsidRPr="000324E1" w:rsidRDefault="000324E1" w:rsidP="000324E1">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F3F03" w14:textId="77777777" w:rsidR="00C8334F" w:rsidRPr="000324E1" w:rsidRDefault="00C8334F" w:rsidP="000324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FA7DB" w14:textId="77777777" w:rsidR="000324E1" w:rsidRPr="000324E1" w:rsidRDefault="000324E1" w:rsidP="000324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E742966"/>
    <w:lvl w:ilvl="0">
      <w:start w:val="1"/>
      <w:numFmt w:val="decimal"/>
      <w:pStyle w:val="ListNumber4"/>
      <w:lvlText w:val="%1."/>
      <w:lvlJc w:val="left"/>
      <w:pPr>
        <w:tabs>
          <w:tab w:val="num" w:pos="1569"/>
        </w:tabs>
        <w:ind w:left="1569" w:hanging="360"/>
      </w:pPr>
      <w:rPr>
        <w:rFonts w:cs="Times New Roman"/>
      </w:rPr>
    </w:lvl>
  </w:abstractNum>
  <w:abstractNum w:abstractNumId="1" w15:restartNumberingAfterBreak="0">
    <w:nsid w:val="FFFFFF7E"/>
    <w:multiLevelType w:val="singleLevel"/>
    <w:tmpl w:val="A7FACF32"/>
    <w:lvl w:ilvl="0">
      <w:start w:val="1"/>
      <w:numFmt w:val="decimal"/>
      <w:pStyle w:val="ListNumber3"/>
      <w:lvlText w:val="%1."/>
      <w:lvlJc w:val="left"/>
      <w:pPr>
        <w:tabs>
          <w:tab w:val="num" w:pos="926"/>
        </w:tabs>
        <w:ind w:left="926" w:hanging="360"/>
      </w:pPr>
      <w:rPr>
        <w:rFonts w:cs="Times New Roman"/>
      </w:rPr>
    </w:lvl>
  </w:abstractNum>
  <w:abstractNum w:abstractNumId="2" w15:restartNumberingAfterBreak="0">
    <w:nsid w:val="FFFFFF7F"/>
    <w:multiLevelType w:val="singleLevel"/>
    <w:tmpl w:val="ED80FE40"/>
    <w:lvl w:ilvl="0">
      <w:start w:val="1"/>
      <w:numFmt w:val="decimal"/>
      <w:pStyle w:val="ListNumber2"/>
      <w:lvlText w:val="%1."/>
      <w:lvlJc w:val="left"/>
      <w:pPr>
        <w:tabs>
          <w:tab w:val="num" w:pos="643"/>
        </w:tabs>
        <w:ind w:left="643" w:hanging="360"/>
      </w:pPr>
      <w:rPr>
        <w:rFonts w:cs="Times New Roman"/>
      </w:rPr>
    </w:lvl>
  </w:abstractNum>
  <w:abstractNum w:abstractNumId="3" w15:restartNumberingAfterBreak="0">
    <w:nsid w:val="FFFFFF81"/>
    <w:multiLevelType w:val="singleLevel"/>
    <w:tmpl w:val="79C2A1C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B7673D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068D422"/>
    <w:name w:val="9.456873E-03"/>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AA80C2A"/>
    <w:lvl w:ilvl="0">
      <w:start w:val="1"/>
      <w:numFmt w:val="decimal"/>
      <w:pStyle w:val="ListNumber"/>
      <w:lvlText w:val="%1."/>
      <w:lvlJc w:val="left"/>
      <w:pPr>
        <w:tabs>
          <w:tab w:val="num" w:pos="360"/>
        </w:tabs>
        <w:ind w:left="360" w:hanging="360"/>
      </w:pPr>
      <w:rPr>
        <w:rFonts w:cs="Times New Roman"/>
      </w:rPr>
    </w:lvl>
  </w:abstractNum>
  <w:abstractNum w:abstractNumId="7" w15:restartNumberingAfterBreak="0">
    <w:nsid w:val="FFFFFF89"/>
    <w:multiLevelType w:val="singleLevel"/>
    <w:tmpl w:val="9BDE28F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495604"/>
    <w:multiLevelType w:val="multilevel"/>
    <w:tmpl w:val="02746974"/>
    <w:name w:val="Points"/>
    <w:lvl w:ilvl="0">
      <w:start w:val="1"/>
      <w:numFmt w:val="decimal"/>
      <w:lvlRestart w:val="0"/>
      <w:pStyle w:val="Point123"/>
      <w:lvlText w:val="%1."/>
      <w:lvlJc w:val="left"/>
      <w:pPr>
        <w:tabs>
          <w:tab w:val="num" w:pos="567"/>
        </w:tabs>
        <w:ind w:left="567" w:hanging="567"/>
      </w:pPr>
      <w:rPr>
        <w:b w:val="0"/>
        <w:bCs/>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0C066EA9"/>
    <w:multiLevelType w:val="hybridMultilevel"/>
    <w:tmpl w:val="1A441D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0E020591"/>
    <w:multiLevelType w:val="singleLevel"/>
    <w:tmpl w:val="65A27EB6"/>
    <w:name w:val="Dash Equal 0"/>
    <w:lvl w:ilvl="0">
      <w:start w:val="1"/>
      <w:numFmt w:val="bullet"/>
      <w:lvlRestart w:val="0"/>
      <w:lvlText w:val="="/>
      <w:lvlJc w:val="left"/>
      <w:pPr>
        <w:tabs>
          <w:tab w:val="num" w:pos="567"/>
        </w:tabs>
        <w:ind w:left="567" w:hanging="567"/>
      </w:pPr>
    </w:lvl>
  </w:abstractNum>
  <w:abstractNum w:abstractNumId="13" w15:restartNumberingAfterBreak="0">
    <w:nsid w:val="0E200A09"/>
    <w:multiLevelType w:val="multilevel"/>
    <w:tmpl w:val="C8DEA596"/>
    <w:name w:val="Heading ABC"/>
    <w:lvl w:ilvl="0">
      <w:start w:val="1"/>
      <w:numFmt w:val="upperLetter"/>
      <w:lvlRestart w:val="0"/>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7A5108"/>
    <w:multiLevelType w:val="hybridMultilevel"/>
    <w:tmpl w:val="91EEBF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2E17C79"/>
    <w:multiLevelType w:val="hybridMultilevel"/>
    <w:tmpl w:val="C5BA2A16"/>
    <w:lvl w:ilvl="0" w:tplc="C93228A6">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1FA65721"/>
    <w:multiLevelType w:val="hybridMultilevel"/>
    <w:tmpl w:val="2D044048"/>
    <w:lvl w:ilvl="0" w:tplc="9F1A3784">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5085576"/>
    <w:multiLevelType w:val="singleLevel"/>
    <w:tmpl w:val="FFD2A502"/>
    <w:name w:val="Dash Equal 3"/>
    <w:lvl w:ilvl="0">
      <w:start w:val="1"/>
      <w:numFmt w:val="bullet"/>
      <w:lvlRestart w:val="0"/>
      <w:lvlText w:val="="/>
      <w:lvlJc w:val="left"/>
      <w:pPr>
        <w:tabs>
          <w:tab w:val="num" w:pos="2268"/>
        </w:tabs>
        <w:ind w:left="2268" w:hanging="567"/>
      </w:pPr>
    </w:lvl>
  </w:abstractNum>
  <w:abstractNum w:abstractNumId="23" w15:restartNumberingAfterBreak="0">
    <w:nsid w:val="253C316A"/>
    <w:multiLevelType w:val="multilevel"/>
    <w:tmpl w:val="A26EDDF0"/>
    <w:name w:val="Heading IVX"/>
    <w:lvl w:ilvl="0">
      <w:start w:val="1"/>
      <w:numFmt w:val="upperRoman"/>
      <w:lvlRestart w:val="0"/>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7A94842"/>
    <w:multiLevelType w:val="multilevel"/>
    <w:tmpl w:val="5D6666C8"/>
    <w:name w:val="Heading 123"/>
    <w:lvl w:ilvl="0">
      <w:start w:val="1"/>
      <w:numFmt w:val="decimal"/>
      <w:lvlRestart w:val="0"/>
      <w:pStyle w:val="Heading123"/>
      <w:lvlText w:val="%1."/>
      <w:lvlJc w:val="left"/>
      <w:pPr>
        <w:tabs>
          <w:tab w:val="num" w:pos="992"/>
        </w:tabs>
        <w:ind w:left="992" w:hanging="567"/>
      </w:pPr>
      <w:rPr>
        <w:b/>
        <w:bCs/>
      </w:rPr>
    </w:lvl>
    <w:lvl w:ilvl="1">
      <w:start w:val="1"/>
      <w:numFmt w:val="lowerLetter"/>
      <w:lvlText w:val="%2)"/>
      <w:lvlJc w:val="left"/>
      <w:pPr>
        <w:ind w:left="1145" w:hanging="360"/>
      </w:pPr>
    </w:lvl>
    <w:lvl w:ilvl="2">
      <w:start w:val="1"/>
      <w:numFmt w:val="lowerRoman"/>
      <w:lvlText w:val="%3)"/>
      <w:lvlJc w:val="left"/>
      <w:pPr>
        <w:ind w:left="1505" w:hanging="360"/>
      </w:pPr>
    </w:lvl>
    <w:lvl w:ilvl="3">
      <w:start w:val="1"/>
      <w:numFmt w:val="decimal"/>
      <w:lvlText w:val="(%4)"/>
      <w:lvlJc w:val="left"/>
      <w:pPr>
        <w:ind w:left="1865" w:hanging="360"/>
      </w:pPr>
    </w:lvl>
    <w:lvl w:ilvl="4">
      <w:start w:val="1"/>
      <w:numFmt w:val="lowerLetter"/>
      <w:lvlText w:val="(%5)"/>
      <w:lvlJc w:val="left"/>
      <w:pPr>
        <w:ind w:left="2225" w:hanging="360"/>
      </w:pPr>
    </w:lvl>
    <w:lvl w:ilvl="5">
      <w:start w:val="1"/>
      <w:numFmt w:val="lowerRoman"/>
      <w:lvlText w:val="(%6)"/>
      <w:lvlJc w:val="left"/>
      <w:pPr>
        <w:ind w:left="2585" w:hanging="360"/>
      </w:pPr>
    </w:lvl>
    <w:lvl w:ilvl="6">
      <w:start w:val="1"/>
      <w:numFmt w:val="decimal"/>
      <w:lvlText w:val="%7."/>
      <w:lvlJc w:val="left"/>
      <w:pPr>
        <w:ind w:left="2945" w:hanging="360"/>
      </w:pPr>
    </w:lvl>
    <w:lvl w:ilvl="7">
      <w:start w:val="1"/>
      <w:numFmt w:val="lowerLetter"/>
      <w:lvlText w:val="%8."/>
      <w:lvlJc w:val="left"/>
      <w:pPr>
        <w:ind w:left="3305" w:hanging="360"/>
      </w:pPr>
    </w:lvl>
    <w:lvl w:ilvl="8">
      <w:start w:val="1"/>
      <w:numFmt w:val="lowerRoman"/>
      <w:lvlText w:val="%9."/>
      <w:lvlJc w:val="left"/>
      <w:pPr>
        <w:ind w:left="3665" w:hanging="360"/>
      </w:pPr>
    </w:lvl>
  </w:abstractNum>
  <w:abstractNum w:abstractNumId="26" w15:restartNumberingAfterBreak="0">
    <w:nsid w:val="2BD82C0C"/>
    <w:multiLevelType w:val="singleLevel"/>
    <w:tmpl w:val="7C183DDA"/>
    <w:name w:val="Dash Equal 2"/>
    <w:lvl w:ilvl="0">
      <w:start w:val="1"/>
      <w:numFmt w:val="bullet"/>
      <w:lvlRestart w:val="0"/>
      <w:lvlText w:val="="/>
      <w:lvlJc w:val="left"/>
      <w:pPr>
        <w:tabs>
          <w:tab w:val="num" w:pos="1701"/>
        </w:tabs>
        <w:ind w:left="1701" w:hanging="567"/>
      </w:pPr>
    </w:lvl>
  </w:abstractNum>
  <w:abstractNum w:abstractNumId="27" w15:restartNumberingAfterBreak="0">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3845653E"/>
    <w:multiLevelType w:val="singleLevel"/>
    <w:tmpl w:val="234EAC60"/>
    <w:name w:val="Dash Equal 1"/>
    <w:lvl w:ilvl="0">
      <w:start w:val="1"/>
      <w:numFmt w:val="bullet"/>
      <w:lvlRestart w:val="0"/>
      <w:lvlText w:val="="/>
      <w:lvlJc w:val="left"/>
      <w:pPr>
        <w:tabs>
          <w:tab w:val="num" w:pos="1134"/>
        </w:tabs>
        <w:ind w:left="1134" w:hanging="567"/>
      </w:pPr>
    </w:lvl>
  </w:abstractNum>
  <w:abstractNum w:abstractNumId="30" w15:restartNumberingAfterBreak="0">
    <w:nsid w:val="385710C1"/>
    <w:multiLevelType w:val="singleLevel"/>
    <w:tmpl w:val="FF3EB506"/>
    <w:name w:val="Dash 4"/>
    <w:lvl w:ilvl="0">
      <w:start w:val="1"/>
      <w:numFmt w:val="bullet"/>
      <w:lvlRestart w:val="0"/>
      <w:lvlText w:val="–"/>
      <w:lvlJc w:val="left"/>
      <w:pPr>
        <w:tabs>
          <w:tab w:val="num" w:pos="2835"/>
        </w:tabs>
        <w:ind w:left="2835" w:hanging="567"/>
      </w:pPr>
    </w:lvl>
  </w:abstractNum>
  <w:abstractNum w:abstractNumId="31" w15:restartNumberingAfterBreak="0">
    <w:nsid w:val="38F424D0"/>
    <w:multiLevelType w:val="multilevel"/>
    <w:tmpl w:val="4D44B762"/>
    <w:name w:val="Points"/>
    <w:lvl w:ilvl="0">
      <w:start w:val="1"/>
      <w:numFmt w:val="decimal"/>
      <w:lvlRestart w:val="0"/>
      <w:lvlText w:val="%1."/>
      <w:lvlJc w:val="left"/>
      <w:pPr>
        <w:tabs>
          <w:tab w:val="num" w:pos="567"/>
        </w:tabs>
        <w:ind w:left="567" w:hanging="567"/>
      </w:pPr>
      <w:rPr>
        <w:b w:val="0"/>
        <w:i w:val="0"/>
        <w:strike w:val="0"/>
      </w:r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32" w15:restartNumberingAfterBreak="0">
    <w:nsid w:val="3BF44490"/>
    <w:multiLevelType w:val="hybridMultilevel"/>
    <w:tmpl w:val="A606C026"/>
    <w:lvl w:ilvl="0" w:tplc="81864FB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5" w15:restartNumberingAfterBreak="0">
    <w:nsid w:val="43F67AF0"/>
    <w:multiLevelType w:val="singleLevel"/>
    <w:tmpl w:val="7DB04F0A"/>
    <w:name w:val="Dash 2"/>
    <w:lvl w:ilvl="0">
      <w:start w:val="1"/>
      <w:numFmt w:val="bullet"/>
      <w:lvlRestart w:val="0"/>
      <w:lvlText w:val="–"/>
      <w:lvlJc w:val="left"/>
      <w:pPr>
        <w:tabs>
          <w:tab w:val="num" w:pos="1701"/>
        </w:tabs>
        <w:ind w:left="1701" w:hanging="567"/>
      </w:pPr>
    </w:lvl>
  </w:abstractNum>
  <w:abstractNum w:abstractNumId="3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8" w15:restartNumberingAfterBreak="0">
    <w:nsid w:val="47C10D90"/>
    <w:multiLevelType w:val="singleLevel"/>
    <w:tmpl w:val="07C45670"/>
    <w:name w:val="Dash 3"/>
    <w:lvl w:ilvl="0">
      <w:start w:val="1"/>
      <w:numFmt w:val="bullet"/>
      <w:lvlRestart w:val="0"/>
      <w:lvlText w:val="–"/>
      <w:lvlJc w:val="left"/>
      <w:pPr>
        <w:tabs>
          <w:tab w:val="num" w:pos="2268"/>
        </w:tabs>
        <w:ind w:left="2268" w:hanging="567"/>
      </w:pPr>
    </w:lvl>
  </w:abstractNum>
  <w:abstractNum w:abstractNumId="39"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43"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4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6278684C"/>
    <w:multiLevelType w:val="multilevel"/>
    <w:tmpl w:val="33AE034E"/>
    <w:name w:val="Points roman"/>
    <w:lvl w:ilvl="0">
      <w:start w:val="1"/>
      <w:numFmt w:val="lowerRoman"/>
      <w:lvlRestart w:val="0"/>
      <w:lvlText w:val="%1)"/>
      <w:lvlJc w:val="left"/>
      <w:pPr>
        <w:tabs>
          <w:tab w:val="num" w:pos="567"/>
        </w:tabs>
        <w:ind w:left="567" w:hanging="567"/>
      </w:pPr>
    </w:lvl>
    <w:lvl w:ilvl="1">
      <w:start w:val="1"/>
      <w:numFmt w:val="lowerRoman"/>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Roman"/>
      <w:lvlText w:val="%4)"/>
      <w:lvlJc w:val="left"/>
      <w:pPr>
        <w:tabs>
          <w:tab w:val="num" w:pos="2268"/>
        </w:tabs>
        <w:ind w:left="2268" w:hanging="567"/>
      </w:pPr>
    </w:lvl>
    <w:lvl w:ilvl="4">
      <w:start w:val="1"/>
      <w:numFmt w:val="lowerRoman"/>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0" w15:restartNumberingAfterBreak="0">
    <w:nsid w:val="68AA1742"/>
    <w:multiLevelType w:val="singleLevel"/>
    <w:tmpl w:val="4F329520"/>
    <w:name w:val="Dash 0"/>
    <w:lvl w:ilvl="0">
      <w:start w:val="1"/>
      <w:numFmt w:val="bullet"/>
      <w:lvlRestart w:val="0"/>
      <w:lvlText w:val="–"/>
      <w:lvlJc w:val="left"/>
      <w:pPr>
        <w:tabs>
          <w:tab w:val="num" w:pos="567"/>
        </w:tabs>
        <w:ind w:left="567" w:hanging="567"/>
      </w:pPr>
    </w:lvl>
  </w:abstractNum>
  <w:abstractNum w:abstractNumId="5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4" w15:restartNumberingAfterBreak="0">
    <w:nsid w:val="7380518A"/>
    <w:multiLevelType w:val="singleLevel"/>
    <w:tmpl w:val="43DEF6E2"/>
    <w:name w:val="Dash Equal 4"/>
    <w:lvl w:ilvl="0">
      <w:start w:val="1"/>
      <w:numFmt w:val="bullet"/>
      <w:lvlRestart w:val="0"/>
      <w:lvlText w:val="="/>
      <w:lvlJc w:val="left"/>
      <w:pPr>
        <w:tabs>
          <w:tab w:val="num" w:pos="2835"/>
        </w:tabs>
        <w:ind w:left="2835" w:hanging="567"/>
      </w:pPr>
    </w:lvl>
  </w:abstractNum>
  <w:abstractNum w:abstractNumId="55" w15:restartNumberingAfterBreak="0">
    <w:nsid w:val="73EA208D"/>
    <w:multiLevelType w:val="singleLevel"/>
    <w:tmpl w:val="0A7218F6"/>
    <w:name w:val="Bullet (0)"/>
    <w:lvl w:ilvl="0">
      <w:start w:val="1"/>
      <w:numFmt w:val="bullet"/>
      <w:lvlRestart w:val="0"/>
      <w:lvlText w:val=""/>
      <w:lvlJc w:val="left"/>
      <w:pPr>
        <w:tabs>
          <w:tab w:val="num" w:pos="567"/>
        </w:tabs>
        <w:ind w:left="567" w:hanging="567"/>
      </w:pPr>
      <w:rPr>
        <w:rFonts w:ascii="Symbol" w:hAnsi="Symbol" w:hint="default"/>
      </w:rPr>
    </w:lvl>
  </w:abstractNum>
  <w:abstractNum w:abstractNumId="5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7" w15:restartNumberingAfterBreak="0">
    <w:nsid w:val="77280071"/>
    <w:multiLevelType w:val="multilevel"/>
    <w:tmpl w:val="39C25228"/>
    <w:name w:val="Heading 123"/>
    <w:lvl w:ilvl="0">
      <w:start w:val="1"/>
      <w:numFmt w:val="decimal"/>
      <w:lvlRestart w:val="0"/>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772B0ACF"/>
    <w:multiLevelType w:val="multilevel"/>
    <w:tmpl w:val="AADC4202"/>
    <w:lvl w:ilvl="0">
      <w:start w:val="1"/>
      <w:numFmt w:val="bullet"/>
      <w:lvlText w:val=""/>
      <w:lvlJc w:val="left"/>
      <w:pPr>
        <w:tabs>
          <w:tab w:val="num" w:pos="567"/>
        </w:tabs>
        <w:ind w:left="567" w:hanging="567"/>
      </w:pPr>
      <w:rPr>
        <w:rFonts w:ascii="Symbol" w:hAnsi="Symbol" w:hint="default"/>
        <w:b w:val="0"/>
        <w:bCs/>
      </w:r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5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6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61" w15:restartNumberingAfterBreak="0">
    <w:nsid w:val="79EC1D76"/>
    <w:multiLevelType w:val="hybridMultilevel"/>
    <w:tmpl w:val="746241D0"/>
    <w:lvl w:ilvl="0" w:tplc="6AE8B7A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7"/>
  </w:num>
  <w:num w:numId="3">
    <w:abstractNumId w:val="4"/>
  </w:num>
  <w:num w:numId="4">
    <w:abstractNumId w:val="3"/>
  </w:num>
  <w:num w:numId="5">
    <w:abstractNumId w:val="6"/>
  </w:num>
  <w:num w:numId="6">
    <w:abstractNumId w:val="2"/>
  </w:num>
  <w:num w:numId="7">
    <w:abstractNumId w:val="1"/>
  </w:num>
  <w:num w:numId="8">
    <w:abstractNumId w:val="0"/>
  </w:num>
  <w:num w:numId="9">
    <w:abstractNumId w:val="44"/>
  </w:num>
  <w:num w:numId="10">
    <w:abstractNumId w:val="33"/>
  </w:num>
  <w:num w:numId="11">
    <w:abstractNumId w:val="49"/>
  </w:num>
  <w:num w:numId="12">
    <w:abstractNumId w:val="28"/>
  </w:num>
  <w:num w:numId="13">
    <w:abstractNumId w:val="34"/>
  </w:num>
  <w:num w:numId="14">
    <w:abstractNumId w:val="21"/>
  </w:num>
  <w:num w:numId="15">
    <w:abstractNumId w:val="47"/>
  </w:num>
  <w:num w:numId="16">
    <w:abstractNumId w:val="18"/>
  </w:num>
  <w:num w:numId="17">
    <w:abstractNumId w:val="37"/>
  </w:num>
  <w:num w:numId="18">
    <w:abstractNumId w:val="63"/>
  </w:num>
  <w:num w:numId="19">
    <w:abstractNumId w:val="52"/>
  </w:num>
  <w:num w:numId="20">
    <w:abstractNumId w:val="9"/>
  </w:num>
  <w:num w:numId="21">
    <w:abstractNumId w:val="53"/>
  </w:num>
  <w:num w:numId="22">
    <w:abstractNumId w:val="45"/>
  </w:num>
  <w:num w:numId="23">
    <w:abstractNumId w:val="10"/>
  </w:num>
  <w:num w:numId="24">
    <w:abstractNumId w:val="59"/>
  </w:num>
  <w:num w:numId="25">
    <w:abstractNumId w:val="62"/>
  </w:num>
  <w:num w:numId="26">
    <w:abstractNumId w:val="40"/>
  </w:num>
  <w:num w:numId="27">
    <w:abstractNumId w:val="56"/>
  </w:num>
  <w:num w:numId="28">
    <w:abstractNumId w:val="48"/>
  </w:num>
  <w:num w:numId="29">
    <w:abstractNumId w:val="36"/>
  </w:num>
  <w:num w:numId="30">
    <w:abstractNumId w:val="20"/>
  </w:num>
  <w:num w:numId="31">
    <w:abstractNumId w:val="17"/>
  </w:num>
  <w:num w:numId="32">
    <w:abstractNumId w:val="51"/>
  </w:num>
  <w:num w:numId="33">
    <w:abstractNumId w:val="60"/>
  </w:num>
  <w:num w:numId="34">
    <w:abstractNumId w:val="8"/>
  </w:num>
  <w:num w:numId="35">
    <w:abstractNumId w:val="24"/>
  </w:num>
  <w:num w:numId="36">
    <w:abstractNumId w:val="16"/>
  </w:num>
  <w:num w:numId="37">
    <w:abstractNumId w:val="25"/>
  </w:num>
  <w:num w:numId="38">
    <w:abstractNumId w:val="41"/>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8"/>
  </w:num>
  <w:num w:numId="41">
    <w:abstractNumId w:val="19"/>
  </w:num>
  <w:num w:numId="42">
    <w:abstractNumId w:val="14"/>
  </w:num>
  <w:num w:numId="43">
    <w:abstractNumId w:val="11"/>
  </w:num>
  <w:num w:numId="44">
    <w:abstractNumId w:val="32"/>
  </w:num>
  <w:num w:numId="45">
    <w:abstractNumId w:val="15"/>
  </w:num>
  <w:num w:numId="46">
    <w:abstractNumId w:val="6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it-IT" w:vendorID="64" w:dllVersion="131078" w:nlCheck="1" w:checkStyle="0"/>
  <w:activeWritingStyle w:appName="MSWord" w:lang="pt-PT" w:vendorID="64" w:dllVersion="131078" w:nlCheck="1" w:checkStyle="1"/>
  <w:activeWritingStyle w:appName="MSWord" w:lang="es-ES" w:vendorID="64" w:dllVersion="131078" w:nlCheck="1" w:checkStyle="0"/>
  <w:attachedTemplate r:id="rId1"/>
  <w:defaultTabStop w:val="720"/>
  <w:hyphenationZone w:val="425"/>
  <w:characterSpacingControl w:val="doNotCompress"/>
  <w:hdrShapeDefaults>
    <o:shapedefaults v:ext="edit" spidmax="204801"/>
  </w:hdrShapeDefaults>
  <w:footnotePr>
    <w:footnote w:id="-1"/>
    <w:footnote w:id="0"/>
    <w:footnote w:id="1"/>
  </w:footnotePr>
  <w:endnotePr>
    <w:endnote w:id="-1"/>
    <w:endnote w:id="0"/>
    <w:endnote w:id="1"/>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R_Ref0" w:val="551/2004"/>
    <w:docVar w:name="CR_Ref1" w:val="549/2004"/>
    <w:docVar w:name="CR_RefCount" w:val="2"/>
    <w:docVar w:name="CR_RefLast" w:val="0"/>
    <w:docVar w:name="DocuWriteMetaData" w:val="&lt;metadataset docuwriteversion=&quot;4.6.2&quot; technicalblockguid=&quot;549338009669080569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57&quot; text=&quot;REPORT&quot; /&gt;_x000d__x000a_    &lt;/basicdatatype&gt;_x000d__x000a_  &lt;/metadata&gt;_x000d__x000a_  &lt;metadata key=&quot;md_HeadingText&quot;&gt;_x000d__x000a_    &lt;headingtext text=&quot;REPORT&quot;&gt;_x000d__x000a_      &lt;formattedtext&gt;_x000d__x000a_        &lt;xaml text=&quot;REPORT&quot;&gt;&amp;lt;FlowDocument xmlns=&quot;http://schemas.microsoft.com/winfx/2006/xaml/presentation&quot;&amp;gt;&amp;lt;Paragraph&amp;gt;REPORT&amp;lt;/Paragraph&amp;gt;&amp;lt;/FlowDocument&amp;gt;&lt;/xaml&gt;_x000d__x000a_      &lt;/formattedtext&gt;_x000d__x000a_    &lt;/headingtext&gt;_x000d__x000a_  &lt;/metadata&gt;_x000d__x000a_  &lt;metadata key=&quot;md_DocumentGroup&quot;&gt;_x000d__x000a_    &lt;basicdatatype&gt;_x000d__x000a_      &lt;document_group key=&quot;dg_09&quot; text=&quot;Reporting&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1-11-19&lt;/text&gt;_x000d__x000a_  &lt;/metadata&gt;_x000d__x000a_  &lt;metadata key=&quot;md_Prefix&quot;&gt;_x000d__x000a_    &lt;text&gt;&lt;/text&gt;_x000d__x000a_  &lt;/metadata&gt;_x000d__x000a_  &lt;metadata key=&quot;md_DocumentNumber&quot;&gt;_x000d__x000a_    &lt;text&gt;13853&lt;/text&gt;_x000d__x000a_  &lt;/metadata&gt;_x000d__x000a_  &lt;metadata key=&quot;md_YearDocumentNumber&quot;&gt;_x000d__x000a_    &lt;text&gt;2021&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TRANS 670&lt;/text&gt;_x000d__x000a_      &lt;text&gt;AVIATION 280&lt;/text&gt;_x000d__x000a_      &lt;text&gt;ENV 871&lt;/text&gt;_x000d__x000a_      &lt;text&gt;ENER 490&lt;/text&gt;_x000d__x000a_      &lt;text&gt;IND 341&lt;/text&gt;_x000d__x000a_      &lt;text&gt;COMPET 810&lt;/text&gt;_x000d__x000a_      &lt;text&gt;ECO 122&lt;/text&gt;_x000d__x000a_      &lt;text&gt;RECH 505&lt;/text&gt;_x000d__x000a_      &lt;text&gt;CODEC 1467&lt;/text&gt;_x000d__x000a_      &lt;text&gt;CLIMA 371&lt;/text&gt;_x000d__x000a_      &lt;text&gt;RELEX 970&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gt;_x000d__x000a_      &lt;text&gt;2021/0205(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xaml text=&quot;Permanent Representatives Committee/Council&quot;&gt;&amp;lt;FlowDocument FontFamily=&quot;Segoe UI&quot; FontSize=&quot;12&quot; LineHeight=&quot;6&quot; PageWidth=&quot;116&quot; PagePadding=&quot;5,0,5,0&quot; AllowDrop=&quot;True&quot; NumberSubstitution.CultureSource=&quot;User&quot; xmlns=&quot;http://schemas.microsoft.com/winfx/2006/xaml/presentation&quot;&amp;gt;&amp;lt;Paragraph&amp;gt;&amp;lt;Run xml:lang=&quot;fr-be&quot;&amp;gt;Permanent Representatives Committee/Council&amp;lt;/Run&amp;gt;&amp;lt;/Paragraph&amp;gt;&amp;lt;/FlowDocument&amp;gt;&lt;/xaml&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ST 10884/21  INIT+ADD 1 -3&lt;/text&gt;_x000d__x000a_    &lt;/textlist&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Proposal for a REGULATION OF THE EUROPEAN PARLIAMENT AND OF THE COUNCIL on ensuring a level playing field for sustainable air transport Progress report / Policy debate&quot;&gt;&amp;lt;FlowDocument FontFamily=&quot;Segoe UI&quot; FontSize=&quot;12&quot; LineHeight=&quot;6&quot; PageWidth=&quot;329&quot; PagePadding=&quot;2,2,2,2&quot; AllowDrop=&quot;False&quot; xmlns=&quot;http://schemas.microsoft.com/winfx/2006/xaml/presentation&quot;&amp;gt;&amp;lt;Paragraph LineHeight=&quot;6&quot; FontFamily=&quot;Arial Unicode MS&quot; FontSize=&quot;12&quot;&amp;gt;Proposal for a REGULATION OF THE EUROPEAN PARLIAMENT AND OF THE COUNCIL on ensuring a level playing field for sustainable air transport&amp;lt;/Paragraph&amp;gt;&amp;lt;List MarkerStyle=&quot;Box&quot; Padding=&quot;16,Auto,Auto,Auto&quot;&amp;gt;&amp;lt;ListItem&amp;gt;&amp;lt;Paragraph LineHeight=&quot;6&quot; FontFamily=&quot;Arial Unicode MS&quot; FontSize=&quot;12&quot;&amp;gt;&amp;lt;Run xml:lang=&quot;fr-be&quot;&amp;gt;Progress report / Policy debate&amp;lt;/Run&amp;gt;&amp;lt;/Paragraph&amp;gt;&amp;lt;/ListItem&amp;gt;&amp;lt;/List&amp;gt;&amp;lt;/FlowDocument&amp;gt;&lt;/xaml&gt;_x000d__x000a_  &lt;/metadata&gt;_x000d__x000a_  &lt;metadata key=&quot;md_SubjectFootnote&quot; /&gt;_x000d__x000a_  &lt;metadata key=&quot;md_DG&quot;&gt;_x000d__x000a_    &lt;text&gt;TREE.2.A&lt;/text&gt;_x000d__x000a_  &lt;/metadata&gt;_x000d__x000a_  &lt;metadata key=&quot;md_Initials&quot;&gt;_x000d__x000a_    &lt;text&gt;GG/mm&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1&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1&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mended proposal for a _x000d__x000a_REGULATION OF THE EUROPEAN PARLIAMENT AND OF THE COUNCIL&lt;/text&gt;_x000d__x000a_  &lt;/metadata&gt;_x000d__x000a_  &lt;metadata key=&quot;md_SourceDocTitle&quot;&gt;_x000d__x000a_    &lt;text&gt;on the implementation of the Single European Sky_x000d__x000a__x000d__x000a_(recast)&lt;/text&gt;_x000d__x000a_  &lt;/metadata&gt;_x000d__x000a_  &lt;metadata key=&quot;md_SourceDocIsCECDoc&quot;&gt;_x000d__x000a_    &lt;text&gt;false&lt;/text&gt;_x000d__x000a_  &lt;/metadata&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CustomNB&quot;&gt;_x000d__x000a_    &lt;textlist /&gt;_x000d__x000a_  &lt;/metadata&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4.5&quot; technicalblockguid=&quot;549199250887500348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1-04-29&lt;/text&gt;_x000d__x000a_  &lt;/metadata&gt;_x000d__x000a_  &lt;metadata key=&quot;md_Prefix&quot;&gt;_x000d__x000a_    &lt;text&gt;&lt;/text&gt;_x000d__x000a_  &lt;/metadata&gt;_x000d__x000a_  &lt;metadata key=&quot;md_DocumentNumber&quot;&gt;_x000d__x000a_    &lt;text&gt;8030&lt;/text&gt;_x000d__x000a_  &lt;/metadata&gt;_x000d__x000a_  &lt;metadata key=&quot;md_YearDocumentNumber&quot;&gt;_x000d__x000a_    &lt;text&gt;2021&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AVIATION 90&lt;/text&gt;_x000d__x000a_      &lt;text&gt;CODEC 558&lt;/text&gt;_x000d__x000a_      &lt;text&gt;IA 64&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gt;_x000d__x000a_      &lt;text&gt;2020/0264(COD)&lt;/text&gt;_x000d__x000a_      &lt;text&gt;2013/0186(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gt;_x000d__x000a_      &lt;text&gt;ST 7149/21, ST 6748/21 &lt;/text&gt;_x000d__x000a_    &lt;/textlist&gt;_x000d__x000a_  &lt;/metadata&gt;_x000d__x000a_  &lt;metadata key=&quot;md_CommissionDocuments&quot;&gt;_x000d__x000a_    &lt;textlist&gt;_x000d__x000a_      &lt;text&gt;ST 10840/20 + ADD1, ST 10841/20 + COR1, ST 11020/20&lt;/text&gt;_x000d__x000a_    &lt;/textlist&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Amended proposal for a Regulation of the European Parliament and of the Council on the implementation of the Single European Sky (recast) Proposal for a Regulation of the European Parliament and of the Council amending Regulation (EU) 2018/1139 as regards the capacity of the European Union Aviation Safety Agency to act as Performance Review Body of the Single European Sky Guidance for further work&quot;&gt;&amp;lt;FlowDocument FontFamily=&quot;Segoe UI&quot; FontSize=&quot;12&quot; LineHeight=&quot;6&quot; PageWidth=&quot;329&quot; PagePadding=&quot;2,2,2,2&quot; AllowDrop=&quot;False&quot; xmlns=&quot;http://schemas.microsoft.com/winfx/2006/xaml/presentation&quot;&amp;gt;&amp;lt;Paragraph&amp;gt;Amended proposal for a Regulation of the European &amp;lt;Run xml:lang=&quot;sv-se&quot;&amp;gt;P&amp;lt;/Run&amp;gt;arliament and of the Council on the implementation of the Single European Sky (recast)&amp;lt;/Paragraph&amp;gt;&amp;lt;Paragraph&amp;gt;Proposal for a Regulation of the European Parliament and of the Council amending Regulation (EU) 2018/1139 as regards the capacity of the European Union Aviation Safety Agency to act as Performance Review Body of the Single European Sky&amp;lt;/Paragraph&amp;gt;&amp;lt;List MarkerStyle=&quot;Box&quot; Padding=&quot;16,Auto,Auto,Auto&quot;&amp;gt;&amp;lt;ListItem&amp;gt;&amp;lt;Paragraph&amp;gt;&amp;lt;Run xml:lang=&quot;fr-be&quot;&amp;gt;Guidance for further work&amp;lt;/Run&amp;gt;&amp;lt;/Paragraph&amp;gt;&amp;lt;/ListItem&amp;gt;&amp;lt;/List&amp;gt;&amp;lt;/FlowDocument&amp;gt;&lt;/xaml&gt;_x000d__x000a_  &lt;/metadata&gt;_x000d__x000a_  &lt;metadata key=&quot;md_SubjectFootnote&quot; /&gt;_x000d__x000a_  &lt;metadata key=&quot;md_DG&quot;&gt;_x000d__x000a_    &lt;text&gt;TREE.2.A&lt;/text&gt;_x000d__x000a_  &lt;/metadata&gt;_x000d__x000a_  &lt;metadata key=&quot;md_Initials&quot;&gt;_x000d__x000a_    &lt;text&gt;IB/GG/eh&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1&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1&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mended proposal for a _x000d__x000a_REGULATION OF THE EUROPEAN PARLIAMENT AND OF THE COUNCIL&lt;/text&gt;_x000d__x000a_  &lt;/metadata&gt;_x000d__x000a_  &lt;metadata key=&quot;md_SourceDocTitle&quot;&gt;_x000d__x000a_    &lt;text&gt;on the implementation of the Single European Sky_x000d__x000a__x000d__x000a_(recast)&lt;/text&gt;_x000d__x000a_  &lt;/metadata&gt;_x000d__x000a_  &lt;metadata key=&quot;md_SourceDocIsCECDoc&quot;&gt;_x000d__x000a_    &lt;text&gt;false&lt;/text&gt;_x000d__x000a_  &lt;/metadata&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CustomNB&quot;&gt;_x000d__x000a_    &lt;textlist /&gt;_x000d__x000a_  &lt;/metadata&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QCDateTime" w:val="2020-09-15 13:50:2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26"/>
    <w:docVar w:name="DQCResult_ModifiedMarkers" w:val="0;0"/>
    <w:docVar w:name="DQCResult_ModifiedNumbering" w:val="0;0"/>
    <w:docVar w:name="DQCResult_Objects" w:val="0;0"/>
    <w:docVar w:name="DQCResult_Sections" w:val="0;0"/>
    <w:docVar w:name="DQCResult_StructureCheck" w:val="0;0"/>
    <w:docVar w:name="DQCResult_SuperfluousWhitespace" w:val="0;179"/>
    <w:docVar w:name="DQCResult_UnknownFonts" w:val="0;0"/>
    <w:docVar w:name="DQCResult_UnknownStyles" w:val="0;3"/>
    <w:docVar w:name="DQCVersion" w:val="3"/>
    <w:docVar w:name="DQCWithWarnings" w:val="0"/>
    <w:docVar w:name="DW_AutoOpen" w:val="True"/>
    <w:docVar w:name="DW_DocType" w:val="DW_COUNCIL"/>
  </w:docVars>
  <w:rsids>
    <w:rsidRoot w:val="007C0BDA"/>
    <w:rsid w:val="00020B6D"/>
    <w:rsid w:val="000324E1"/>
    <w:rsid w:val="00034AC5"/>
    <w:rsid w:val="0004394E"/>
    <w:rsid w:val="000477E9"/>
    <w:rsid w:val="00051D8B"/>
    <w:rsid w:val="0006771D"/>
    <w:rsid w:val="00071D24"/>
    <w:rsid w:val="0008064D"/>
    <w:rsid w:val="00091AAF"/>
    <w:rsid w:val="000967FF"/>
    <w:rsid w:val="000A1FFB"/>
    <w:rsid w:val="000E08F4"/>
    <w:rsid w:val="000E525E"/>
    <w:rsid w:val="000E793C"/>
    <w:rsid w:val="00103E65"/>
    <w:rsid w:val="0014797F"/>
    <w:rsid w:val="00150686"/>
    <w:rsid w:val="00162F8A"/>
    <w:rsid w:val="00166C50"/>
    <w:rsid w:val="001871C1"/>
    <w:rsid w:val="001A0238"/>
    <w:rsid w:val="001A0E38"/>
    <w:rsid w:val="001B168D"/>
    <w:rsid w:val="001C7180"/>
    <w:rsid w:val="001E2E5A"/>
    <w:rsid w:val="001E6135"/>
    <w:rsid w:val="002048E7"/>
    <w:rsid w:val="00254AA7"/>
    <w:rsid w:val="00255DB6"/>
    <w:rsid w:val="00257BBD"/>
    <w:rsid w:val="00277614"/>
    <w:rsid w:val="0028130B"/>
    <w:rsid w:val="00287C09"/>
    <w:rsid w:val="00287F5C"/>
    <w:rsid w:val="00291BC6"/>
    <w:rsid w:val="002A0F5F"/>
    <w:rsid w:val="002A738A"/>
    <w:rsid w:val="002B3A40"/>
    <w:rsid w:val="002C2250"/>
    <w:rsid w:val="002D4515"/>
    <w:rsid w:val="002D5582"/>
    <w:rsid w:val="002E55A4"/>
    <w:rsid w:val="002E7824"/>
    <w:rsid w:val="002F7DB3"/>
    <w:rsid w:val="003428EE"/>
    <w:rsid w:val="003752DF"/>
    <w:rsid w:val="003A3146"/>
    <w:rsid w:val="003A3B63"/>
    <w:rsid w:val="003B534D"/>
    <w:rsid w:val="003C55C9"/>
    <w:rsid w:val="003D0F8F"/>
    <w:rsid w:val="003D54DD"/>
    <w:rsid w:val="003E45BE"/>
    <w:rsid w:val="00403C55"/>
    <w:rsid w:val="00407965"/>
    <w:rsid w:val="00407E3D"/>
    <w:rsid w:val="004454C6"/>
    <w:rsid w:val="00447E82"/>
    <w:rsid w:val="004B3EF9"/>
    <w:rsid w:val="004B3F11"/>
    <w:rsid w:val="004C2F4F"/>
    <w:rsid w:val="004D2D89"/>
    <w:rsid w:val="004E35D4"/>
    <w:rsid w:val="004E5837"/>
    <w:rsid w:val="004E5F05"/>
    <w:rsid w:val="004E6084"/>
    <w:rsid w:val="004F287D"/>
    <w:rsid w:val="0050786B"/>
    <w:rsid w:val="00507E70"/>
    <w:rsid w:val="0052130E"/>
    <w:rsid w:val="00542E9C"/>
    <w:rsid w:val="00550C94"/>
    <w:rsid w:val="0057767A"/>
    <w:rsid w:val="005B7786"/>
    <w:rsid w:val="00610163"/>
    <w:rsid w:val="00610411"/>
    <w:rsid w:val="00634AC9"/>
    <w:rsid w:val="006464C1"/>
    <w:rsid w:val="00690E2E"/>
    <w:rsid w:val="00693233"/>
    <w:rsid w:val="0069506C"/>
    <w:rsid w:val="00695319"/>
    <w:rsid w:val="006A0D7B"/>
    <w:rsid w:val="006B1EFD"/>
    <w:rsid w:val="006B4222"/>
    <w:rsid w:val="006E48E4"/>
    <w:rsid w:val="006F2837"/>
    <w:rsid w:val="007103E2"/>
    <w:rsid w:val="00723980"/>
    <w:rsid w:val="00730DC8"/>
    <w:rsid w:val="00745DB2"/>
    <w:rsid w:val="0075115A"/>
    <w:rsid w:val="007761CA"/>
    <w:rsid w:val="007B114B"/>
    <w:rsid w:val="007B4F1F"/>
    <w:rsid w:val="007C0BDA"/>
    <w:rsid w:val="007C25CF"/>
    <w:rsid w:val="007C569A"/>
    <w:rsid w:val="007D1C67"/>
    <w:rsid w:val="007E6DCF"/>
    <w:rsid w:val="008209AD"/>
    <w:rsid w:val="00851071"/>
    <w:rsid w:val="0086514C"/>
    <w:rsid w:val="008663CB"/>
    <w:rsid w:val="00874B31"/>
    <w:rsid w:val="008867E9"/>
    <w:rsid w:val="008952E8"/>
    <w:rsid w:val="008D467C"/>
    <w:rsid w:val="00913F28"/>
    <w:rsid w:val="00984B6B"/>
    <w:rsid w:val="00986601"/>
    <w:rsid w:val="00994C2E"/>
    <w:rsid w:val="00994D40"/>
    <w:rsid w:val="009A5DA7"/>
    <w:rsid w:val="009A61DC"/>
    <w:rsid w:val="009D039E"/>
    <w:rsid w:val="00A442DE"/>
    <w:rsid w:val="00A563AF"/>
    <w:rsid w:val="00A65181"/>
    <w:rsid w:val="00A70963"/>
    <w:rsid w:val="00A85D1E"/>
    <w:rsid w:val="00AA0533"/>
    <w:rsid w:val="00AB1008"/>
    <w:rsid w:val="00AE03D5"/>
    <w:rsid w:val="00AE664A"/>
    <w:rsid w:val="00AF10CE"/>
    <w:rsid w:val="00AF6D3D"/>
    <w:rsid w:val="00B026F0"/>
    <w:rsid w:val="00B070D2"/>
    <w:rsid w:val="00B11D4C"/>
    <w:rsid w:val="00B4183D"/>
    <w:rsid w:val="00B46AE1"/>
    <w:rsid w:val="00B66AD0"/>
    <w:rsid w:val="00B72249"/>
    <w:rsid w:val="00B7527D"/>
    <w:rsid w:val="00B93C5C"/>
    <w:rsid w:val="00B93DB2"/>
    <w:rsid w:val="00BA5778"/>
    <w:rsid w:val="00BE3D25"/>
    <w:rsid w:val="00C04A1A"/>
    <w:rsid w:val="00C05CD1"/>
    <w:rsid w:val="00C11F17"/>
    <w:rsid w:val="00C135A1"/>
    <w:rsid w:val="00C24528"/>
    <w:rsid w:val="00C27F74"/>
    <w:rsid w:val="00C7695C"/>
    <w:rsid w:val="00C8334F"/>
    <w:rsid w:val="00CD1CE0"/>
    <w:rsid w:val="00CF1B39"/>
    <w:rsid w:val="00D009D3"/>
    <w:rsid w:val="00D124C3"/>
    <w:rsid w:val="00D12620"/>
    <w:rsid w:val="00D2022D"/>
    <w:rsid w:val="00D44BE1"/>
    <w:rsid w:val="00D56A33"/>
    <w:rsid w:val="00D63805"/>
    <w:rsid w:val="00D779C1"/>
    <w:rsid w:val="00D95846"/>
    <w:rsid w:val="00DA15D5"/>
    <w:rsid w:val="00DA52B4"/>
    <w:rsid w:val="00DB6013"/>
    <w:rsid w:val="00DC029D"/>
    <w:rsid w:val="00DC33F4"/>
    <w:rsid w:val="00DD247B"/>
    <w:rsid w:val="00DD3E80"/>
    <w:rsid w:val="00DE5E06"/>
    <w:rsid w:val="00DF56AB"/>
    <w:rsid w:val="00E317E2"/>
    <w:rsid w:val="00E31E76"/>
    <w:rsid w:val="00E35714"/>
    <w:rsid w:val="00E6105F"/>
    <w:rsid w:val="00E613B6"/>
    <w:rsid w:val="00EA6C69"/>
    <w:rsid w:val="00EC0CDC"/>
    <w:rsid w:val="00EC1C0C"/>
    <w:rsid w:val="00F24E3B"/>
    <w:rsid w:val="00F3173A"/>
    <w:rsid w:val="00F402EC"/>
    <w:rsid w:val="00F6485A"/>
    <w:rsid w:val="00F67F2D"/>
    <w:rsid w:val="00F87B06"/>
    <w:rsid w:val="00FD62E5"/>
    <w:rsid w:val="00FD7273"/>
    <w:rsid w:val="00FD784D"/>
    <w:rsid w:val="00FE5B5B"/>
    <w:rsid w:val="00FF42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imes New Roman" w:hAnsi="Arial"/>
      <w:sz w:val="22"/>
      <w:szCs w:val="20"/>
      <w:lang w:val="fr-FR" w:eastAsia="x-none"/>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imes New Roman" w:hAnsi="Arial"/>
      <w:i/>
      <w:sz w:val="22"/>
      <w:szCs w:val="20"/>
      <w:lang w:val="fr-FR" w:eastAsia="x-none"/>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imes New Roman" w:hAnsi="Arial"/>
      <w:sz w:val="20"/>
      <w:szCs w:val="20"/>
      <w:lang w:val="fr-FR" w:eastAsia="x-none"/>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imes New Roman" w:hAnsi="Arial"/>
      <w:i/>
      <w:sz w:val="20"/>
      <w:szCs w:val="20"/>
      <w:lang w:val="fr-FR" w:eastAsia="x-none"/>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imes New Roman" w:hAnsi="Arial"/>
      <w:i/>
      <w:sz w:val="18"/>
      <w:szCs w:val="20"/>
      <w:lang w:val="fr-FR"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rPr>
      <w:rFonts w:eastAsia="Times New Roman"/>
      <w:szCs w:val="24"/>
    </w:rPr>
  </w:style>
  <w:style w:type="paragraph" w:customStyle="1" w:styleId="Normal1">
    <w:name w:val="Normal1"/>
    <w:basedOn w:val="Normal"/>
    <w:pPr>
      <w:spacing w:before="100" w:beforeAutospacing="1" w:after="100" w:afterAutospacing="1"/>
    </w:pPr>
    <w:rPr>
      <w:rFonts w:eastAsia="Times New Roman"/>
      <w:szCs w:val="24"/>
      <w:lang w:eastAsia="en-GB"/>
    </w:rPr>
  </w:style>
  <w:style w:type="character" w:customStyle="1" w:styleId="Heading5Char">
    <w:name w:val="Heading 5 Char"/>
    <w:basedOn w:val="DefaultParagraphFont"/>
    <w:link w:val="Heading5"/>
    <w:uiPriority w:val="99"/>
    <w:rPr>
      <w:rFonts w:ascii="Arial" w:eastAsia="Times New Roman" w:hAnsi="Arial" w:cs="Times New Roman"/>
      <w:szCs w:val="20"/>
      <w:lang w:val="fr-FR" w:eastAsia="x-none"/>
    </w:rPr>
  </w:style>
  <w:style w:type="character" w:customStyle="1" w:styleId="Heading6Char">
    <w:name w:val="Heading 6 Char"/>
    <w:basedOn w:val="DefaultParagraphFont"/>
    <w:link w:val="Heading6"/>
    <w:uiPriority w:val="99"/>
    <w:rPr>
      <w:rFonts w:ascii="Arial" w:eastAsia="Times New Roman" w:hAnsi="Arial" w:cs="Times New Roman"/>
      <w:i/>
      <w:szCs w:val="20"/>
      <w:lang w:val="fr-FR" w:eastAsia="x-none"/>
    </w:rPr>
  </w:style>
  <w:style w:type="character" w:customStyle="1" w:styleId="Heading7Char">
    <w:name w:val="Heading 7 Char"/>
    <w:basedOn w:val="DefaultParagraphFont"/>
    <w:link w:val="Heading7"/>
    <w:uiPriority w:val="99"/>
    <w:rPr>
      <w:rFonts w:ascii="Arial" w:eastAsia="Times New Roman" w:hAnsi="Arial" w:cs="Times New Roman"/>
      <w:sz w:val="20"/>
      <w:szCs w:val="20"/>
      <w:lang w:val="fr-FR" w:eastAsia="x-none"/>
    </w:rPr>
  </w:style>
  <w:style w:type="character" w:customStyle="1" w:styleId="Heading8Char">
    <w:name w:val="Heading 8 Char"/>
    <w:basedOn w:val="DefaultParagraphFont"/>
    <w:link w:val="Heading8"/>
    <w:uiPriority w:val="99"/>
    <w:rPr>
      <w:rFonts w:ascii="Arial" w:eastAsia="Times New Roman" w:hAnsi="Arial" w:cs="Times New Roman"/>
      <w:i/>
      <w:sz w:val="20"/>
      <w:szCs w:val="20"/>
      <w:lang w:val="fr-FR" w:eastAsia="x-none"/>
    </w:rPr>
  </w:style>
  <w:style w:type="character" w:customStyle="1" w:styleId="Heading9Char">
    <w:name w:val="Heading 9 Char"/>
    <w:basedOn w:val="DefaultParagraphFont"/>
    <w:link w:val="Heading9"/>
    <w:uiPriority w:val="99"/>
    <w:rPr>
      <w:rFonts w:ascii="Arial" w:eastAsia="Times New Roman" w:hAnsi="Arial" w:cs="Times New Roman"/>
      <w:i/>
      <w:sz w:val="18"/>
      <w:szCs w:val="20"/>
      <w:lang w:val="fr-FR" w:eastAsia="x-none"/>
    </w:rPr>
  </w:style>
  <w:style w:type="paragraph" w:customStyle="1" w:styleId="HeaderCouncilLarge">
    <w:name w:val="Header Council Large"/>
    <w:basedOn w:val="Normal"/>
    <w:link w:val="HeaderCouncilLargeChar"/>
    <w:uiPriority w:val="99"/>
    <w:pPr>
      <w:spacing w:before="0" w:after="440"/>
      <w:ind w:left="-1134" w:right="-1134"/>
    </w:pPr>
    <w:rPr>
      <w:rFonts w:eastAsia="Times New Roman"/>
      <w:sz w:val="2"/>
      <w:szCs w:val="24"/>
      <w:lang w:val="de-DE"/>
    </w:rPr>
  </w:style>
  <w:style w:type="character" w:customStyle="1" w:styleId="TechnicalBlockChar">
    <w:name w:val="Technical Block Char"/>
    <w:rPr>
      <w:rFonts w:ascii="Times New Roman" w:hAnsi="Times New Roman" w:cs="Times New Roman"/>
      <w:sz w:val="24"/>
      <w:lang w:val="en-GB"/>
    </w:rPr>
  </w:style>
  <w:style w:type="character" w:customStyle="1" w:styleId="HeaderCouncilLargeChar">
    <w:name w:val="Header Council Large Char"/>
    <w:link w:val="HeaderCouncilLarge"/>
    <w:uiPriority w:val="99"/>
    <w:rPr>
      <w:rFonts w:ascii="Times New Roman" w:eastAsia="Times New Roman" w:hAnsi="Times New Roman" w:cs="Times New Roman"/>
      <w:sz w:val="2"/>
      <w:szCs w:val="24"/>
      <w:lang w:val="de-DE"/>
    </w:rPr>
  </w:style>
  <w:style w:type="paragraph" w:customStyle="1" w:styleId="FooterText">
    <w:name w:val="Footer Text"/>
    <w:basedOn w:val="Normal"/>
    <w:pPr>
      <w:spacing w:before="0" w:after="0" w:line="240" w:lineRule="auto"/>
    </w:pPr>
    <w:rPr>
      <w:rFonts w:eastAsia="Times New Roman"/>
      <w:szCs w:val="24"/>
    </w:rPr>
  </w:style>
  <w:style w:type="paragraph" w:customStyle="1" w:styleId="Znak">
    <w:name w:val="Znak"/>
    <w:basedOn w:val="Normal"/>
    <w:pPr>
      <w:spacing w:before="0" w:after="0"/>
    </w:pPr>
    <w:rPr>
      <w:rFonts w:eastAsia="Times New Roman"/>
      <w:szCs w:val="24"/>
      <w:lang w:val="pl-PL" w:eastAsia="pl-PL"/>
    </w:rPr>
  </w:style>
  <w:style w:type="paragraph" w:styleId="NormalIndent">
    <w:name w:val="Normal Indent"/>
    <w:basedOn w:val="Normal"/>
    <w:pPr>
      <w:widowControl w:val="0"/>
      <w:spacing w:before="0" w:after="0"/>
      <w:ind w:left="567"/>
    </w:pPr>
    <w:rPr>
      <w:rFonts w:eastAsia="Times New Roman"/>
      <w:szCs w:val="20"/>
      <w:lang w:eastAsia="fr-BE"/>
    </w:rPr>
  </w:style>
  <w:style w:type="paragraph" w:customStyle="1" w:styleId="NormalConseil">
    <w:name w:val="NormalConseil"/>
    <w:basedOn w:val="Normal"/>
    <w:pPr>
      <w:spacing w:before="0" w:after="0"/>
    </w:pPr>
    <w:rPr>
      <w:rFonts w:eastAsia="Times New Roman"/>
      <w:szCs w:val="24"/>
      <w:lang w:eastAsia="fr-BE"/>
    </w:rPr>
  </w:style>
  <w:style w:type="paragraph" w:styleId="ListBullet2">
    <w:name w:val="List Bullet 2"/>
    <w:basedOn w:val="Normal"/>
    <w:pPr>
      <w:numPr>
        <w:numId w:val="1"/>
      </w:numPr>
      <w:contextualSpacing/>
    </w:pPr>
    <w:rPr>
      <w:rFonts w:eastAsia="Times New Roman"/>
      <w:szCs w:val="24"/>
    </w:rPr>
  </w:style>
  <w:style w:type="paragraph" w:customStyle="1" w:styleId="Titolosommario1">
    <w:name w:val="Titolo sommario1"/>
    <w:basedOn w:val="Normal"/>
    <w:next w:val="Normal"/>
    <w:uiPriority w:val="99"/>
    <w:pPr>
      <w:spacing w:after="240"/>
      <w:jc w:val="center"/>
    </w:pPr>
    <w:rPr>
      <w:rFonts w:eastAsia="Times New Roman"/>
      <w:b/>
      <w:sz w:val="28"/>
      <w:szCs w:val="24"/>
    </w:rPr>
  </w:style>
  <w:style w:type="paragraph" w:customStyle="1" w:styleId="Sous-titreobjet">
    <w:name w:val="Sous-titre objet"/>
    <w:basedOn w:val="Normal"/>
    <w:uiPriority w:val="99"/>
    <w:pPr>
      <w:spacing w:before="0" w:after="0"/>
      <w:jc w:val="center"/>
    </w:pPr>
    <w:rPr>
      <w:rFonts w:eastAsia="Times New Roman"/>
      <w:b/>
      <w:szCs w:val="24"/>
    </w:rPr>
  </w:style>
  <w:style w:type="character" w:customStyle="1" w:styleId="ManualNumPar1Char">
    <w:name w:val="Manual NumPar 1 Char"/>
    <w:locked/>
    <w:rPr>
      <w:rFonts w:ascii="Times New Roman" w:hAnsi="Times New Roman" w:cs="Times New Roman"/>
      <w:sz w:val="24"/>
      <w:lang w:val="en-GB"/>
    </w:rPr>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lang w:val="fr-FR" w:eastAsia="en-GB"/>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lang w:val="fr-FR" w:eastAsia="en-GB"/>
    </w:rPr>
  </w:style>
  <w:style w:type="paragraph" w:styleId="Caption">
    <w:name w:val="caption"/>
    <w:basedOn w:val="Normal"/>
    <w:next w:val="Normal"/>
    <w:uiPriority w:val="99"/>
    <w:qFormat/>
    <w:pPr>
      <w:autoSpaceDE w:val="0"/>
      <w:autoSpaceDN w:val="0"/>
    </w:pPr>
    <w:rPr>
      <w:rFonts w:eastAsia="Times New Roman"/>
      <w:b/>
      <w:bCs/>
      <w:szCs w:val="24"/>
      <w:lang w:val="fr-FR" w:eastAsia="en-GB"/>
    </w:rPr>
  </w:style>
  <w:style w:type="character" w:styleId="CommentReference">
    <w:name w:val="annotation reference"/>
    <w:uiPriority w:val="99"/>
    <w:rPr>
      <w:rFonts w:cs="Times New Roman"/>
      <w:sz w:val="16"/>
    </w:rPr>
  </w:style>
  <w:style w:type="paragraph" w:customStyle="1" w:styleId="Rfrenceinstitutionelle">
    <w:name w:val="Référence institutionelle"/>
    <w:basedOn w:val="Normal"/>
    <w:next w:val="Statut"/>
    <w:uiPriority w:val="99"/>
    <w:pPr>
      <w:autoSpaceDE w:val="0"/>
      <w:autoSpaceDN w:val="0"/>
      <w:spacing w:before="0" w:after="240"/>
      <w:ind w:left="5103"/>
    </w:pPr>
    <w:rPr>
      <w:rFonts w:eastAsia="Times New Roman"/>
      <w:szCs w:val="24"/>
      <w:lang w:val="fr-FR" w:eastAsia="en-GB"/>
    </w:rPr>
  </w:style>
  <w:style w:type="paragraph" w:customStyle="1" w:styleId="Langueoriginale">
    <w:name w:val="Langue originale"/>
    <w:basedOn w:val="Normal"/>
    <w:next w:val="Normal"/>
    <w:uiPriority w:val="99"/>
    <w:pPr>
      <w:autoSpaceDE w:val="0"/>
      <w:autoSpaceDN w:val="0"/>
      <w:spacing w:before="360"/>
      <w:jc w:val="center"/>
    </w:pPr>
    <w:rPr>
      <w:rFonts w:eastAsia="Times New Roman"/>
      <w:caps/>
      <w:szCs w:val="24"/>
      <w:lang w:val="fr-FR" w:eastAsia="en-GB"/>
    </w:rPr>
  </w:style>
  <w:style w:type="character" w:styleId="PageNumber">
    <w:name w:val="page number"/>
    <w:uiPriority w:val="99"/>
    <w:rPr>
      <w:rFonts w:cs="Times New Roman"/>
    </w:rPr>
  </w:style>
  <w:style w:type="paragraph" w:customStyle="1" w:styleId="Rfrenceinterinstitutionelle">
    <w:name w:val="Référence interinstitutionelle"/>
    <w:basedOn w:val="Normal"/>
    <w:next w:val="Statut"/>
    <w:uiPriority w:val="99"/>
    <w:pPr>
      <w:autoSpaceDE w:val="0"/>
      <w:autoSpaceDN w:val="0"/>
      <w:spacing w:before="0" w:after="0"/>
      <w:ind w:left="5103"/>
    </w:pPr>
    <w:rPr>
      <w:rFonts w:eastAsia="Times New Roman"/>
      <w:szCs w:val="24"/>
      <w:lang w:val="fr-FR" w:eastAsia="en-GB"/>
    </w:rPr>
  </w:style>
  <w:style w:type="paragraph" w:styleId="TOAHeading">
    <w:name w:val="toa heading"/>
    <w:basedOn w:val="Normal"/>
    <w:next w:val="Normal"/>
    <w:uiPriority w:val="99"/>
    <w:pPr>
      <w:autoSpaceDE w:val="0"/>
      <w:autoSpaceDN w:val="0"/>
    </w:pPr>
    <w:rPr>
      <w:rFonts w:ascii="Arial" w:eastAsia="Times New Roman" w:hAnsi="Arial" w:cs="Arial"/>
      <w:b/>
      <w:bCs/>
      <w:szCs w:val="24"/>
      <w:lang w:val="fr-FR" w:eastAsia="en-GB"/>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lang w:val="fr-FR" w:eastAsia="en-GB"/>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pPr>
    <w:rPr>
      <w:rFonts w:eastAsia="Times New Roman"/>
      <w:szCs w:val="24"/>
      <w:lang w:eastAsia="en-GB"/>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rFonts w:eastAsia="Times New Roman"/>
      <w:szCs w:val="24"/>
      <w:lang w:val="fr-FR" w:eastAsia="en-GB"/>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pPr>
    <w:rPr>
      <w:rFonts w:eastAsia="Times New Roman"/>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pPr>
    <w:rPr>
      <w:rFonts w:eastAsia="Times New Roman"/>
      <w:szCs w:val="24"/>
      <w:lang w:val="en-US" w:eastAsia="en-GB"/>
    </w:rPr>
  </w:style>
  <w:style w:type="character" w:customStyle="1" w:styleId="CRMinorChangeAdded">
    <w:name w:val="CR Minor Change Added"/>
    <w:rPr>
      <w:u w:val="double"/>
      <w:lang w:val="fr-FR"/>
    </w:rPr>
  </w:style>
  <w:style w:type="character" w:customStyle="1" w:styleId="CRDeleted">
    <w:name w:val="CR Deleted"/>
    <w:rPr>
      <w:dstrike/>
      <w:color w:val="auto"/>
      <w:lang w:val="fr-FR"/>
    </w:rPr>
  </w:style>
  <w:style w:type="character" w:customStyle="1" w:styleId="CRMinorChangeDeleted">
    <w:name w:val="CR Minor Change Deleted"/>
    <w:rPr>
      <w:dstrike/>
      <w:u w:val="double"/>
      <w:lang w:val="fr-FR"/>
    </w:rPr>
  </w:style>
  <w:style w:type="table" w:styleId="TableGrid">
    <w:name w:val="Table Grid"/>
    <w:basedOn w:val="TableNormal"/>
    <w:uiPriority w:val="59"/>
    <w:pPr>
      <w:spacing w:after="0" w:line="240" w:lineRule="auto"/>
    </w:pPr>
    <w:rPr>
      <w:rFonts w:ascii="Calibri" w:eastAsia="Times New Roman"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pPr>
      <w:numPr>
        <w:numId w:val="2"/>
      </w:numPr>
      <w:contextualSpacing/>
    </w:pPr>
    <w:rPr>
      <w:rFonts w:eastAsia="Times New Roman"/>
      <w:szCs w:val="24"/>
    </w:rPr>
  </w:style>
  <w:style w:type="paragraph" w:styleId="ListBullet3">
    <w:name w:val="List Bullet 3"/>
    <w:basedOn w:val="Normal"/>
    <w:pPr>
      <w:numPr>
        <w:numId w:val="3"/>
      </w:numPr>
      <w:contextualSpacing/>
    </w:pPr>
    <w:rPr>
      <w:rFonts w:eastAsia="Times New Roman"/>
      <w:szCs w:val="24"/>
    </w:rPr>
  </w:style>
  <w:style w:type="paragraph" w:styleId="ListBullet4">
    <w:name w:val="List Bullet 4"/>
    <w:basedOn w:val="Normal"/>
    <w:pPr>
      <w:numPr>
        <w:numId w:val="4"/>
      </w:numPr>
      <w:contextualSpacing/>
    </w:pPr>
    <w:rPr>
      <w:rFonts w:eastAsia="Times New Roman"/>
      <w:szCs w:val="24"/>
    </w:rPr>
  </w:style>
  <w:style w:type="character" w:customStyle="1" w:styleId="CRRefonteDeleted">
    <w:name w:val="CR Refonte Deleted"/>
    <w:rPr>
      <w:dstrike/>
      <w:color w:val="auto"/>
    </w:rPr>
  </w:style>
  <w:style w:type="paragraph" w:customStyle="1" w:styleId="ColorfulList-Accent11">
    <w:name w:val="Colorful List - Accent 11"/>
    <w:basedOn w:val="Normal"/>
    <w:uiPriority w:val="99"/>
    <w:pPr>
      <w:spacing w:before="0" w:after="0"/>
      <w:ind w:left="720"/>
    </w:pPr>
    <w:rPr>
      <w:rFonts w:ascii="Calibri" w:eastAsia="Times New Roman" w:hAnsi="Calibri"/>
      <w:sz w:val="22"/>
    </w:rPr>
  </w:style>
  <w:style w:type="paragraph" w:customStyle="1" w:styleId="ColorfulShading-Accent11">
    <w:name w:val="Colorful Shading - Accent 11"/>
    <w:hidden/>
    <w:uiPriority w:val="99"/>
    <w:semiHidden/>
    <w:pPr>
      <w:spacing w:after="0" w:line="240" w:lineRule="auto"/>
    </w:pPr>
    <w:rPr>
      <w:rFonts w:ascii="Times New Roman" w:eastAsia="Times New Roman" w:hAnsi="Times New Roman" w:cs="Times New Roman"/>
      <w:sz w:val="24"/>
      <w:szCs w:val="24"/>
      <w:lang w:val="en-GB"/>
    </w:rPr>
  </w:style>
  <w:style w:type="paragraph" w:customStyle="1" w:styleId="Footnotenumber">
    <w:name w:val="Footnote number"/>
    <w:basedOn w:val="Normal"/>
    <w:pPr>
      <w:spacing w:before="0" w:after="160" w:line="240" w:lineRule="exact"/>
    </w:pPr>
    <w:rPr>
      <w:rFonts w:eastAsia="Times New Roman"/>
      <w:sz w:val="20"/>
      <w:szCs w:val="20"/>
      <w:vertAlign w:val="superscript"/>
      <w:lang w:eastAsia="en-GB"/>
    </w:rPr>
  </w:style>
  <w:style w:type="paragraph" w:customStyle="1" w:styleId="DefaultText">
    <w:name w:val="Default Text"/>
    <w:basedOn w:val="Normal"/>
    <w:link w:val="DefaultTextChar"/>
    <w:qFormat/>
    <w:pPr>
      <w:spacing w:before="0" w:after="0" w:line="280" w:lineRule="atLeast"/>
    </w:pPr>
    <w:rPr>
      <w:rFonts w:ascii="Arial" w:eastAsia="Times New Roman" w:hAnsi="Arial"/>
      <w:szCs w:val="20"/>
      <w:lang w:val="x-none" w:eastAsia="nl-NL"/>
    </w:rPr>
  </w:style>
  <w:style w:type="character" w:customStyle="1" w:styleId="DefaultTextChar">
    <w:name w:val="Default Text Char"/>
    <w:link w:val="DefaultText"/>
    <w:locked/>
    <w:rPr>
      <w:rFonts w:ascii="Arial" w:eastAsia="Times New Roman" w:hAnsi="Arial" w:cs="Times New Roman"/>
      <w:sz w:val="24"/>
      <w:szCs w:val="20"/>
      <w:lang w:val="x-none" w:eastAsia="nl-NL"/>
    </w:rPr>
  </w:style>
  <w:style w:type="character" w:styleId="Hyperlink">
    <w:name w:val="Hyperlink"/>
    <w:uiPriority w:val="99"/>
    <w:rPr>
      <w:rFonts w:cs="Times New Roman"/>
      <w:color w:val="0000FF"/>
      <w:u w:val="single"/>
    </w:rPr>
  </w:style>
  <w:style w:type="paragraph" w:styleId="TableofFigures">
    <w:name w:val="table of figures"/>
    <w:basedOn w:val="Normal"/>
    <w:next w:val="Normal"/>
    <w:rPr>
      <w:rFonts w:eastAsia="Times New Roman"/>
      <w:szCs w:val="24"/>
    </w:rPr>
  </w:style>
  <w:style w:type="paragraph" w:styleId="ListNumber">
    <w:name w:val="List Number"/>
    <w:basedOn w:val="Normal"/>
    <w:pPr>
      <w:numPr>
        <w:numId w:val="5"/>
      </w:numPr>
      <w:contextualSpacing/>
    </w:pPr>
    <w:rPr>
      <w:rFonts w:eastAsia="Times New Roman"/>
      <w:szCs w:val="24"/>
    </w:rPr>
  </w:style>
  <w:style w:type="paragraph" w:styleId="ListNumber2">
    <w:name w:val="List Number 2"/>
    <w:basedOn w:val="Normal"/>
    <w:pPr>
      <w:numPr>
        <w:numId w:val="6"/>
      </w:numPr>
      <w:contextualSpacing/>
    </w:pPr>
    <w:rPr>
      <w:rFonts w:eastAsia="Times New Roman"/>
      <w:szCs w:val="24"/>
    </w:rPr>
  </w:style>
  <w:style w:type="paragraph" w:styleId="ListNumber3">
    <w:name w:val="List Number 3"/>
    <w:basedOn w:val="Normal"/>
    <w:pPr>
      <w:numPr>
        <w:numId w:val="7"/>
      </w:numPr>
      <w:contextualSpacing/>
    </w:pPr>
    <w:rPr>
      <w:rFonts w:eastAsia="Times New Roman"/>
      <w:szCs w:val="24"/>
    </w:rPr>
  </w:style>
  <w:style w:type="paragraph" w:styleId="ListNumber4">
    <w:name w:val="List Number 4"/>
    <w:basedOn w:val="Normal"/>
    <w:pPr>
      <w:numPr>
        <w:numId w:val="8"/>
      </w:numPr>
      <w:contextualSpacing/>
    </w:pPr>
    <w:rPr>
      <w:rFonts w:eastAsia="Times New Roman"/>
      <w:szCs w:val="24"/>
    </w:rPr>
  </w:style>
  <w:style w:type="paragraph" w:styleId="BalloonText">
    <w:name w:val="Balloon Text"/>
    <w:basedOn w:val="Normal"/>
    <w:link w:val="BalloonTextChar"/>
    <w:uiPriority w:val="99"/>
    <w:pPr>
      <w:spacing w:before="0" w:after="0"/>
    </w:pPr>
    <w:rPr>
      <w:rFonts w:ascii="Tahoma" w:eastAsia="Times New Roman" w:hAnsi="Tahoma"/>
      <w:sz w:val="16"/>
      <w:szCs w:val="20"/>
      <w:lang w:val="x-none"/>
    </w:rPr>
  </w:style>
  <w:style w:type="character" w:customStyle="1" w:styleId="BalloonTextChar">
    <w:name w:val="Balloon Text Char"/>
    <w:basedOn w:val="DefaultParagraphFont"/>
    <w:link w:val="BalloonText"/>
    <w:uiPriority w:val="99"/>
    <w:rPr>
      <w:rFonts w:ascii="Tahoma" w:eastAsia="Times New Roman" w:hAnsi="Tahoma" w:cs="Times New Roman"/>
      <w:sz w:val="16"/>
      <w:szCs w:val="20"/>
      <w:lang w:val="x-none"/>
    </w:rPr>
  </w:style>
  <w:style w:type="paragraph" w:styleId="CommentText">
    <w:name w:val="annotation text"/>
    <w:basedOn w:val="Normal"/>
    <w:link w:val="CommentTextChar"/>
    <w:uiPriority w:val="99"/>
    <w:rPr>
      <w:rFonts w:eastAsia="Times New Roman"/>
      <w:sz w:val="20"/>
      <w:szCs w:val="20"/>
      <w:lang w:val="x-none"/>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sz w:val="20"/>
      <w:szCs w:val="20"/>
      <w:lang w:val="x-none"/>
    </w:rPr>
  </w:style>
  <w:style w:type="character" w:customStyle="1" w:styleId="HeaderChar1">
    <w:name w:val="Header Char1"/>
    <w:uiPriority w:val="99"/>
    <w:rPr>
      <w:sz w:val="24"/>
      <w:szCs w:val="24"/>
      <w:lang w:eastAsia="en-US"/>
    </w:rPr>
  </w:style>
  <w:style w:type="character" w:customStyle="1" w:styleId="FooterChar1">
    <w:name w:val="Footer Char1"/>
    <w:uiPriority w:val="99"/>
    <w:rPr>
      <w:sz w:val="24"/>
      <w:szCs w:val="24"/>
      <w:lang w:eastAsia="en-US"/>
    </w:rPr>
  </w:style>
  <w:style w:type="paragraph" w:customStyle="1" w:styleId="Default">
    <w:name w:val="Default"/>
    <w:uiPriority w:val="99"/>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styleId="Strong">
    <w:name w:val="Strong"/>
    <w:uiPriority w:val="99"/>
    <w:qFormat/>
    <w:rPr>
      <w:rFonts w:cs="Times New Roman"/>
      <w:b/>
    </w:rPr>
  </w:style>
  <w:style w:type="paragraph" w:customStyle="1" w:styleId="Body">
    <w:name w:val="Body"/>
    <w:uiPriority w:val="99"/>
    <w:pPr>
      <w:spacing w:after="160" w:line="256" w:lineRule="auto"/>
    </w:pPr>
    <w:rPr>
      <w:rFonts w:ascii="Calibri" w:eastAsia="Times New Roman" w:hAnsi="Calibri" w:cs="Calibri"/>
      <w:color w:val="000000"/>
      <w:u w:color="000000"/>
      <w:lang w:eastAsia="en-GB"/>
    </w:rPr>
  </w:style>
  <w:style w:type="paragraph" w:customStyle="1" w:styleId="CM1">
    <w:name w:val="CM1"/>
    <w:basedOn w:val="Default"/>
    <w:next w:val="Default"/>
    <w:uiPriority w:val="99"/>
    <w:rPr>
      <w:rFonts w:ascii="Times New Roman" w:hAnsi="Times New Roman" w:cs="Times New Roman"/>
      <w:color w:val="auto"/>
    </w:rPr>
  </w:style>
  <w:style w:type="paragraph" w:customStyle="1" w:styleId="CM3">
    <w:name w:val="CM3"/>
    <w:basedOn w:val="Default"/>
    <w:next w:val="Default"/>
    <w:uiPriority w:val="99"/>
    <w:rPr>
      <w:rFonts w:ascii="Times New Roman" w:hAnsi="Times New Roman" w:cs="Times New Roman"/>
      <w:color w:val="auto"/>
    </w:rPr>
  </w:style>
  <w:style w:type="paragraph" w:customStyle="1" w:styleId="PointManual2">
    <w:name w:val="Point Manual 2"/>
    <w:basedOn w:val="Point0"/>
    <w:uiPriority w:val="99"/>
    <w:rPr>
      <w:rFonts w:eastAsia="Times New Roman"/>
      <w:noProof/>
      <w:szCs w:val="24"/>
    </w:rPr>
  </w:style>
  <w:style w:type="paragraph" w:customStyle="1" w:styleId="PointManual3">
    <w:name w:val="Point Manual 3"/>
    <w:basedOn w:val="Point2"/>
    <w:uiPriority w:val="99"/>
    <w:rPr>
      <w:rFonts w:eastAsia="Times New Roman"/>
      <w:noProof/>
      <w:szCs w:val="24"/>
    </w:rPr>
  </w:style>
  <w:style w:type="paragraph" w:customStyle="1" w:styleId="PointManual1">
    <w:name w:val="Point Manual 1"/>
    <w:basedOn w:val="Point1"/>
    <w:uiPriority w:val="99"/>
    <w:rPr>
      <w:rFonts w:eastAsia="Times New Roman"/>
      <w:szCs w:val="24"/>
    </w:rPr>
  </w:style>
  <w:style w:type="paragraph" w:customStyle="1" w:styleId="Text">
    <w:name w:val="Text"/>
    <w:basedOn w:val="Text1"/>
    <w:uiPriority w:val="99"/>
    <w:pPr>
      <w:outlineLvl w:val="0"/>
    </w:pPr>
    <w:rPr>
      <w:rFonts w:eastAsia="Times New Roman"/>
      <w:noProof/>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val="en-GB"/>
    </w:rPr>
  </w:style>
  <w:style w:type="character" w:customStyle="1" w:styleId="CommentTextChar1">
    <w:name w:val="Comment Text Char1"/>
    <w:rPr>
      <w:rFonts w:ascii="Times New Roman" w:eastAsia="Times New Roman" w:hAnsi="Times New Roman" w:cs="Times New Roman"/>
      <w:sz w:val="24"/>
      <w:szCs w:val="20"/>
    </w:rPr>
  </w:style>
  <w:style w:type="paragraph" w:customStyle="1" w:styleId="ti-art">
    <w:name w:val="ti-art"/>
    <w:basedOn w:val="Normal"/>
    <w:pPr>
      <w:spacing w:before="100" w:beforeAutospacing="1" w:after="100" w:afterAutospacing="1"/>
    </w:pPr>
    <w:rPr>
      <w:rFonts w:eastAsia="Times New Roman"/>
      <w:szCs w:val="24"/>
      <w:lang w:eastAsia="en-GB"/>
    </w:rPr>
  </w:style>
  <w:style w:type="paragraph" w:customStyle="1" w:styleId="sti-art">
    <w:name w:val="sti-art"/>
    <w:basedOn w:val="Normal"/>
    <w:pPr>
      <w:spacing w:before="100" w:beforeAutospacing="1" w:after="100" w:afterAutospacing="1"/>
    </w:pPr>
    <w:rPr>
      <w:rFonts w:eastAsia="Times New Roman"/>
      <w:szCs w:val="24"/>
      <w:lang w:eastAsia="en-GB"/>
    </w:rPr>
  </w:style>
  <w:style w:type="character" w:customStyle="1" w:styleId="super">
    <w:name w:val="super"/>
    <w:basedOn w:val="DefaultParagraphFont"/>
  </w:style>
  <w:style w:type="character" w:customStyle="1" w:styleId="italic">
    <w:name w:val="italic"/>
    <w:basedOn w:val="DefaultParagraphFont"/>
  </w:style>
  <w:style w:type="paragraph" w:customStyle="1" w:styleId="doc-ti">
    <w:name w:val="doc-ti"/>
    <w:basedOn w:val="Normal"/>
    <w:pPr>
      <w:spacing w:before="100" w:beforeAutospacing="1" w:after="100" w:afterAutospacing="1"/>
    </w:pPr>
    <w:rPr>
      <w:rFonts w:eastAsia="Times New Roman"/>
      <w:szCs w:val="24"/>
      <w:lang w:eastAsia="en-GB"/>
    </w:rPr>
  </w:style>
  <w:style w:type="paragraph" w:customStyle="1" w:styleId="Normal2">
    <w:name w:val="Normal2"/>
    <w:basedOn w:val="Normal"/>
    <w:pPr>
      <w:spacing w:before="100" w:beforeAutospacing="1" w:after="100" w:afterAutospacing="1"/>
    </w:pPr>
    <w:rPr>
      <w:rFonts w:eastAsia="Times New Roman"/>
      <w:szCs w:val="24"/>
      <w:lang w:eastAsia="en-GB"/>
    </w:rPr>
  </w:style>
  <w:style w:type="paragraph" w:customStyle="1" w:styleId="norm">
    <w:name w:val="norm"/>
    <w:basedOn w:val="Normal"/>
    <w:pPr>
      <w:spacing w:before="100" w:beforeAutospacing="1" w:after="100" w:afterAutospacing="1"/>
    </w:pPr>
    <w:rPr>
      <w:rFonts w:eastAsia="Times New Roman"/>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pPr>
  </w:style>
  <w:style w:type="paragraph" w:styleId="TOC2">
    <w:name w:val="toc 2"/>
    <w:basedOn w:val="Normal"/>
    <w:next w:val="Normal"/>
    <w:uiPriority w:val="39"/>
    <w:semiHidden/>
    <w:unhideWhenUsed/>
    <w:pPr>
      <w:tabs>
        <w:tab w:val="right" w:leader="dot" w:pos="9071"/>
      </w:tabs>
      <w:spacing w:before="60"/>
      <w:ind w:left="850" w:hanging="850"/>
    </w:pPr>
  </w:style>
  <w:style w:type="paragraph" w:styleId="TOC3">
    <w:name w:val="toc 3"/>
    <w:basedOn w:val="Normal"/>
    <w:next w:val="Normal"/>
    <w:uiPriority w:val="39"/>
    <w:semiHidden/>
    <w:unhideWhenUsed/>
    <w:pPr>
      <w:tabs>
        <w:tab w:val="right" w:leader="dot" w:pos="9071"/>
      </w:tabs>
      <w:spacing w:before="60"/>
      <w:ind w:left="850" w:hanging="850"/>
    </w:pPr>
  </w:style>
  <w:style w:type="paragraph" w:styleId="TOC4">
    <w:name w:val="toc 4"/>
    <w:basedOn w:val="Normal"/>
    <w:next w:val="Normal"/>
    <w:uiPriority w:val="39"/>
    <w:semiHidden/>
    <w:unhideWhenUsed/>
    <w:pPr>
      <w:tabs>
        <w:tab w:val="right" w:leader="dot" w:pos="9071"/>
      </w:tabs>
      <w:spacing w:before="60"/>
      <w:ind w:left="850" w:hanging="850"/>
    </w:pPr>
  </w:style>
  <w:style w:type="paragraph" w:styleId="TOC5">
    <w:name w:val="toc 5"/>
    <w:basedOn w:val="Normal"/>
    <w:next w:val="Normal"/>
    <w:uiPriority w:val="39"/>
    <w:semiHidden/>
    <w:unhideWhenUsed/>
    <w:pPr>
      <w:tabs>
        <w:tab w:val="right" w:leader="dot" w:pos="9071"/>
      </w:tabs>
      <w:spacing w:before="300"/>
    </w:pPr>
  </w:style>
  <w:style w:type="paragraph" w:styleId="TOC6">
    <w:name w:val="toc 6"/>
    <w:basedOn w:val="Normal"/>
    <w:next w:val="Normal"/>
    <w:uiPriority w:val="39"/>
    <w:semiHidden/>
    <w:unhideWhenUsed/>
    <w:pPr>
      <w:tabs>
        <w:tab w:val="right" w:leader="dot" w:pos="9071"/>
      </w:tabs>
      <w:spacing w:before="240"/>
    </w:pPr>
  </w:style>
  <w:style w:type="paragraph" w:styleId="TOC7">
    <w:name w:val="toc 7"/>
    <w:basedOn w:val="Normal"/>
    <w:next w:val="Normal"/>
    <w:uiPriority w:val="39"/>
    <w:semiHidden/>
    <w:unhideWhenUsed/>
    <w:pPr>
      <w:tabs>
        <w:tab w:val="right" w:leader="dot" w:pos="9071"/>
      </w:tabs>
      <w:spacing w:before="180"/>
    </w:pPr>
  </w:style>
  <w:style w:type="paragraph" w:styleId="TOC8">
    <w:name w:val="toc 8"/>
    <w:basedOn w:val="Normal"/>
    <w:next w:val="Normal"/>
    <w:uiPriority w:val="39"/>
    <w:semiHidden/>
    <w:unhideWhenUsed/>
    <w:pPr>
      <w:tabs>
        <w:tab w:val="right" w:leader="dot" w:pos="9071"/>
      </w:tabs>
    </w:pPr>
  </w:style>
  <w:style w:type="paragraph" w:styleId="TOC9">
    <w:name w:val="toc 9"/>
    <w:basedOn w:val="Normal"/>
    <w:next w:val="Normal"/>
    <w:uiPriority w:val="39"/>
    <w:semiHidden/>
    <w:unhideWhenUsed/>
    <w:pPr>
      <w:tabs>
        <w:tab w:val="right" w:leader="dot" w:pos="9071"/>
      </w:tabs>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NormalLeft">
    <w:name w:val="Normal Left"/>
    <w:basedOn w:val="Normal"/>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Nomdelinstitution">
    <w:name w:val="Nom de l'institution"/>
    <w:basedOn w:val="Normal"/>
    <w:next w:val="Emission"/>
    <w:pPr>
      <w:spacing w:before="0" w:after="0"/>
    </w:pPr>
    <w:rPr>
      <w:rFonts w:ascii="Arial" w:hAnsi="Arial" w:cs="Arial"/>
    </w:rPr>
  </w:style>
  <w:style w:type="paragraph" w:customStyle="1" w:styleId="Emission">
    <w:name w:val="Emission"/>
    <w:basedOn w:val="Normal"/>
    <w:next w:val="Rfrenceinstitutionnelle"/>
    <w:pPr>
      <w:spacing w:before="0" w:after="0"/>
      <w:ind w:left="5103"/>
    </w:pPr>
  </w:style>
  <w:style w:type="paragraph" w:customStyle="1" w:styleId="Rfrenceinstitutionnelle">
    <w:name w:val="Référence institutionnelle"/>
    <w:basedOn w:val="Normal"/>
    <w:next w:val="Confidentialit"/>
    <w:pPr>
      <w:spacing w:before="0" w:after="240"/>
      <w:ind w:left="5103"/>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pPr>
    <w:rPr>
      <w:sz w:val="28"/>
    </w:rPr>
  </w:style>
  <w:style w:type="paragraph" w:customStyle="1" w:styleId="DateMarking">
    <w:name w:val="DateMarking"/>
    <w:basedOn w:val="Normal"/>
    <w:pPr>
      <w:spacing w:before="0" w:after="0" w:line="276" w:lineRule="auto"/>
      <w:ind w:left="5103"/>
    </w:pPr>
    <w:rPr>
      <w:i/>
      <w:sz w:val="28"/>
    </w:rPr>
  </w:style>
  <w:style w:type="paragraph" w:customStyle="1" w:styleId="ReleasableTo">
    <w:name w:val="ReleasableTo"/>
    <w:basedOn w:val="Normal"/>
    <w:pPr>
      <w:spacing w:before="0" w:after="0" w:line="276" w:lineRule="auto"/>
      <w:ind w:left="5103"/>
    </w:pPr>
    <w:rPr>
      <w:i/>
      <w:sz w:val="28"/>
    </w:rPr>
  </w:style>
  <w:style w:type="paragraph" w:customStyle="1" w:styleId="Annexetitre">
    <w:name w:val="Annexe tit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i/>
      <w:sz w:val="32"/>
    </w:rPr>
  </w:style>
  <w:style w:type="paragraph" w:customStyle="1" w:styleId="Considrant">
    <w:name w:val="Considérant"/>
    <w:basedOn w:val="Normal"/>
    <w:pPr>
      <w:numPr>
        <w:numId w:val="18"/>
      </w:numPr>
    </w:pPr>
  </w:style>
  <w:style w:type="paragraph" w:customStyle="1" w:styleId="Datedadoption">
    <w:name w:val="Date d'adoption"/>
    <w:basedOn w:val="Normal"/>
    <w:next w:val="Titreobjet"/>
    <w:pPr>
      <w:spacing w:before="360" w:after="0"/>
      <w:jc w:val="center"/>
    </w:pPr>
    <w:rPr>
      <w:b/>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pPr>
    <w:rPr>
      <w:i/>
    </w:rPr>
  </w:style>
  <w:style w:type="paragraph" w:customStyle="1" w:styleId="Rfrenceinterinstitutionnelle">
    <w:name w:val="Référence interinstitutionnelle"/>
    <w:basedOn w:val="Normal"/>
    <w:next w:val="Statut"/>
    <w:pPr>
      <w:spacing w:before="0" w:after="0"/>
      <w:ind w:left="5103"/>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ind w:left="3402"/>
    </w:pPr>
  </w:style>
  <w:style w:type="paragraph" w:customStyle="1" w:styleId="Objetexterne">
    <w:name w:val="Objet externe"/>
    <w:basedOn w:val="Normal"/>
    <w:next w:val="Normal"/>
    <w:rPr>
      <w:i/>
      <w:caps/>
    </w:rPr>
  </w:style>
  <w:style w:type="paragraph" w:customStyle="1" w:styleId="IntrtEEE">
    <w:name w:val="Intérêt EEE"/>
    <w:basedOn w:val="Normal"/>
    <w:next w:val="Normal"/>
    <w:rsid w:val="00F3173A"/>
    <w:pPr>
      <w:spacing w:before="360" w:after="240"/>
      <w:jc w:val="center"/>
    </w:pPr>
  </w:style>
  <w:style w:type="paragraph" w:customStyle="1" w:styleId="EntText">
    <w:name w:val="EntText"/>
    <w:basedOn w:val="Normal"/>
    <w:rsid w:val="007D1C67"/>
  </w:style>
  <w:style w:type="paragraph" w:customStyle="1" w:styleId="Lignefinal">
    <w:name w:val="Ligne final"/>
    <w:basedOn w:val="Normal"/>
    <w:next w:val="Normal"/>
    <w:rsid w:val="007D1C67"/>
    <w:pPr>
      <w:pBdr>
        <w:bottom w:val="single" w:sz="4" w:space="0" w:color="000000"/>
      </w:pBdr>
      <w:spacing w:before="360"/>
      <w:ind w:left="3400" w:right="3400"/>
      <w:jc w:val="center"/>
    </w:pPr>
    <w:rPr>
      <w:b/>
    </w:rPr>
  </w:style>
  <w:style w:type="paragraph" w:customStyle="1" w:styleId="pj">
    <w:name w:val="p.j."/>
    <w:basedOn w:val="Normal"/>
    <w:link w:val="pjChar"/>
    <w:rsid w:val="007D1C67"/>
    <w:pPr>
      <w:spacing w:before="1200"/>
      <w:ind w:left="1440" w:hanging="1440"/>
    </w:pPr>
  </w:style>
  <w:style w:type="character" w:customStyle="1" w:styleId="pjChar">
    <w:name w:val="p.j. Char"/>
    <w:basedOn w:val="TechnicalBlockChar"/>
    <w:link w:val="pj"/>
    <w:rsid w:val="007D1C67"/>
    <w:rPr>
      <w:rFonts w:ascii="Times New Roman" w:eastAsia="Times New Roman" w:hAnsi="Times New Roman" w:cs="Times New Roman"/>
      <w:sz w:val="24"/>
      <w:szCs w:val="24"/>
      <w:lang w:val="en-GB"/>
    </w:rPr>
  </w:style>
  <w:style w:type="paragraph" w:customStyle="1" w:styleId="nbbordered">
    <w:name w:val="nb bordered"/>
    <w:basedOn w:val="Normal"/>
    <w:link w:val="nbborderedChar"/>
    <w:rsid w:val="007D1C67"/>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7D1C67"/>
    <w:rPr>
      <w:rFonts w:ascii="Times New Roman" w:eastAsia="Times New Roman" w:hAnsi="Times New Roman" w:cs="Times New Roman"/>
      <w:b/>
      <w:sz w:val="24"/>
      <w:szCs w:val="24"/>
      <w:lang w:val="en-GB"/>
    </w:rPr>
  </w:style>
  <w:style w:type="character" w:styleId="PlaceholderText">
    <w:name w:val="Placeholder Text"/>
    <w:basedOn w:val="DefaultParagraphFont"/>
    <w:uiPriority w:val="99"/>
    <w:semiHidden/>
    <w:rsid w:val="007D1C67"/>
    <w:rPr>
      <w:color w:val="808080"/>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en-GB"/>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08064D"/>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0">
    <w:name w:val="Point Manual (1)"/>
    <w:basedOn w:val="Normal"/>
    <w:rsid w:val="009C6417"/>
    <w:pPr>
      <w:ind w:left="1134" w:hanging="567"/>
    </w:pPr>
  </w:style>
  <w:style w:type="paragraph" w:customStyle="1" w:styleId="PointManual20">
    <w:name w:val="Point Manual (2)"/>
    <w:basedOn w:val="Normal"/>
    <w:rsid w:val="009C6417"/>
    <w:pPr>
      <w:ind w:left="1701" w:hanging="567"/>
    </w:pPr>
  </w:style>
  <w:style w:type="paragraph" w:customStyle="1" w:styleId="PointManual30">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34"/>
      </w:numPr>
    </w:pPr>
  </w:style>
  <w:style w:type="paragraph" w:customStyle="1" w:styleId="Pointabc1">
    <w:name w:val="Point abc (1)"/>
    <w:basedOn w:val="Normal"/>
    <w:rsid w:val="009C6417"/>
    <w:pPr>
      <w:numPr>
        <w:ilvl w:val="3"/>
        <w:numId w:val="34"/>
      </w:numPr>
    </w:pPr>
  </w:style>
  <w:style w:type="paragraph" w:customStyle="1" w:styleId="Pointabc2">
    <w:name w:val="Point abc (2)"/>
    <w:basedOn w:val="Normal"/>
    <w:rsid w:val="009C6417"/>
    <w:pPr>
      <w:numPr>
        <w:ilvl w:val="5"/>
        <w:numId w:val="34"/>
      </w:numPr>
    </w:pPr>
  </w:style>
  <w:style w:type="paragraph" w:customStyle="1" w:styleId="Pointabc3">
    <w:name w:val="Point abc (3)"/>
    <w:basedOn w:val="Normal"/>
    <w:rsid w:val="009C6417"/>
    <w:pPr>
      <w:numPr>
        <w:ilvl w:val="7"/>
        <w:numId w:val="34"/>
      </w:numPr>
    </w:pPr>
  </w:style>
  <w:style w:type="paragraph" w:customStyle="1" w:styleId="Pointabc4">
    <w:name w:val="Point abc (4)"/>
    <w:basedOn w:val="Normal"/>
    <w:rsid w:val="009C6417"/>
    <w:pPr>
      <w:numPr>
        <w:ilvl w:val="8"/>
        <w:numId w:val="34"/>
      </w:numPr>
    </w:pPr>
  </w:style>
  <w:style w:type="paragraph" w:customStyle="1" w:styleId="Point123">
    <w:name w:val="Point 123"/>
    <w:basedOn w:val="Normal"/>
    <w:rsid w:val="009C6417"/>
    <w:pPr>
      <w:numPr>
        <w:numId w:val="34"/>
      </w:numPr>
    </w:pPr>
  </w:style>
  <w:style w:type="paragraph" w:customStyle="1" w:styleId="Point1231">
    <w:name w:val="Point 123 (1)"/>
    <w:basedOn w:val="Normal"/>
    <w:rsid w:val="009C6417"/>
    <w:pPr>
      <w:numPr>
        <w:ilvl w:val="2"/>
        <w:numId w:val="34"/>
      </w:numPr>
    </w:pPr>
  </w:style>
  <w:style w:type="paragraph" w:customStyle="1" w:styleId="Point1232">
    <w:name w:val="Point 123 (2)"/>
    <w:basedOn w:val="Normal"/>
    <w:rsid w:val="009C6417"/>
    <w:pPr>
      <w:numPr>
        <w:ilvl w:val="4"/>
        <w:numId w:val="34"/>
      </w:numPr>
    </w:pPr>
  </w:style>
  <w:style w:type="paragraph" w:customStyle="1" w:styleId="Point1233">
    <w:name w:val="Point 123 (3)"/>
    <w:basedOn w:val="Normal"/>
    <w:rsid w:val="009C6417"/>
    <w:pPr>
      <w:numPr>
        <w:ilvl w:val="6"/>
        <w:numId w:val="34"/>
      </w:numPr>
    </w:pPr>
  </w:style>
  <w:style w:type="paragraph" w:customStyle="1" w:styleId="Pointivx">
    <w:name w:val="Point ivx"/>
    <w:basedOn w:val="Normal"/>
    <w:rsid w:val="009C6417"/>
    <w:pPr>
      <w:numPr>
        <w:numId w:val="35"/>
      </w:numPr>
    </w:pPr>
  </w:style>
  <w:style w:type="paragraph" w:customStyle="1" w:styleId="Pointivx1">
    <w:name w:val="Point ivx (1)"/>
    <w:basedOn w:val="Normal"/>
    <w:rsid w:val="009C6417"/>
    <w:pPr>
      <w:numPr>
        <w:ilvl w:val="1"/>
        <w:numId w:val="35"/>
      </w:numPr>
    </w:pPr>
  </w:style>
  <w:style w:type="paragraph" w:customStyle="1" w:styleId="Pointivx2">
    <w:name w:val="Point ivx (2)"/>
    <w:basedOn w:val="Normal"/>
    <w:rsid w:val="009C6417"/>
    <w:pPr>
      <w:numPr>
        <w:ilvl w:val="2"/>
        <w:numId w:val="35"/>
      </w:numPr>
    </w:pPr>
  </w:style>
  <w:style w:type="paragraph" w:customStyle="1" w:styleId="Pointivx3">
    <w:name w:val="Point ivx (3)"/>
    <w:basedOn w:val="Normal"/>
    <w:rsid w:val="009C6417"/>
    <w:pPr>
      <w:numPr>
        <w:ilvl w:val="3"/>
        <w:numId w:val="35"/>
      </w:numPr>
    </w:pPr>
  </w:style>
  <w:style w:type="paragraph" w:customStyle="1" w:styleId="Pointivx4">
    <w:name w:val="Point ivx (4)"/>
    <w:basedOn w:val="Normal"/>
    <w:rsid w:val="009C6417"/>
    <w:pPr>
      <w:numPr>
        <w:ilvl w:val="4"/>
        <w:numId w:val="35"/>
      </w:numPr>
    </w:pPr>
  </w:style>
  <w:style w:type="paragraph" w:customStyle="1" w:styleId="Bullet">
    <w:name w:val="Bullet"/>
    <w:basedOn w:val="Normal"/>
    <w:rsid w:val="009C6417"/>
    <w:pPr>
      <w:numPr>
        <w:numId w:val="29"/>
      </w:numPr>
    </w:pPr>
  </w:style>
  <w:style w:type="paragraph" w:customStyle="1" w:styleId="Bullet1">
    <w:name w:val="Bullet 1"/>
    <w:basedOn w:val="Normal"/>
    <w:rsid w:val="009C6417"/>
    <w:pPr>
      <w:numPr>
        <w:numId w:val="30"/>
      </w:numPr>
    </w:pPr>
  </w:style>
  <w:style w:type="paragraph" w:customStyle="1" w:styleId="Bullet2">
    <w:name w:val="Bullet 2"/>
    <w:basedOn w:val="Normal"/>
    <w:rsid w:val="009C6417"/>
    <w:pPr>
      <w:numPr>
        <w:numId w:val="31"/>
      </w:numPr>
    </w:pPr>
  </w:style>
  <w:style w:type="paragraph" w:customStyle="1" w:styleId="Bullet3">
    <w:name w:val="Bullet 3"/>
    <w:basedOn w:val="Normal"/>
    <w:rsid w:val="009C6417"/>
    <w:pPr>
      <w:numPr>
        <w:numId w:val="32"/>
      </w:numPr>
    </w:pPr>
  </w:style>
  <w:style w:type="paragraph" w:customStyle="1" w:styleId="Bullet4">
    <w:name w:val="Bullet 4"/>
    <w:basedOn w:val="Normal"/>
    <w:rsid w:val="009C6417"/>
    <w:pPr>
      <w:numPr>
        <w:numId w:val="33"/>
      </w:numPr>
    </w:pPr>
  </w:style>
  <w:style w:type="paragraph" w:customStyle="1" w:styleId="Dash">
    <w:name w:val="Dash"/>
    <w:basedOn w:val="Normal"/>
    <w:rsid w:val="009C6417"/>
    <w:pPr>
      <w:numPr>
        <w:numId w:val="19"/>
      </w:numPr>
    </w:pPr>
  </w:style>
  <w:style w:type="paragraph" w:customStyle="1" w:styleId="Dash1">
    <w:name w:val="Dash 1"/>
    <w:basedOn w:val="Normal"/>
    <w:rsid w:val="009C6417"/>
    <w:pPr>
      <w:numPr>
        <w:numId w:val="20"/>
      </w:numPr>
    </w:pPr>
  </w:style>
  <w:style w:type="paragraph" w:customStyle="1" w:styleId="Dash2">
    <w:name w:val="Dash 2"/>
    <w:basedOn w:val="Normal"/>
    <w:rsid w:val="009C6417"/>
    <w:pPr>
      <w:numPr>
        <w:numId w:val="21"/>
      </w:numPr>
    </w:pPr>
  </w:style>
  <w:style w:type="paragraph" w:customStyle="1" w:styleId="Dash3">
    <w:name w:val="Dash 3"/>
    <w:basedOn w:val="Normal"/>
    <w:rsid w:val="009C6417"/>
    <w:pPr>
      <w:numPr>
        <w:numId w:val="22"/>
      </w:numPr>
    </w:pPr>
  </w:style>
  <w:style w:type="paragraph" w:customStyle="1" w:styleId="Dash4">
    <w:name w:val="Dash 4"/>
    <w:basedOn w:val="Normal"/>
    <w:rsid w:val="009C6417"/>
    <w:pPr>
      <w:numPr>
        <w:numId w:val="23"/>
      </w:numPr>
    </w:pPr>
  </w:style>
  <w:style w:type="paragraph" w:customStyle="1" w:styleId="DashEqual">
    <w:name w:val="Dash Equal"/>
    <w:basedOn w:val="Dash"/>
    <w:rsid w:val="009C6417"/>
    <w:pPr>
      <w:numPr>
        <w:numId w:val="24"/>
      </w:numPr>
    </w:pPr>
  </w:style>
  <w:style w:type="paragraph" w:customStyle="1" w:styleId="DashEqual1">
    <w:name w:val="Dash Equal 1"/>
    <w:basedOn w:val="Dash1"/>
    <w:rsid w:val="009C6417"/>
    <w:pPr>
      <w:numPr>
        <w:numId w:val="25"/>
      </w:numPr>
    </w:pPr>
  </w:style>
  <w:style w:type="paragraph" w:customStyle="1" w:styleId="DashEqual2">
    <w:name w:val="Dash Equal 2"/>
    <w:basedOn w:val="Dash2"/>
    <w:rsid w:val="009C6417"/>
    <w:pPr>
      <w:numPr>
        <w:numId w:val="26"/>
      </w:numPr>
    </w:pPr>
  </w:style>
  <w:style w:type="paragraph" w:customStyle="1" w:styleId="DashEqual3">
    <w:name w:val="Dash Equal 3"/>
    <w:basedOn w:val="Dash3"/>
    <w:rsid w:val="009C6417"/>
    <w:pPr>
      <w:numPr>
        <w:numId w:val="27"/>
      </w:numPr>
    </w:pPr>
  </w:style>
  <w:style w:type="paragraph" w:customStyle="1" w:styleId="DashEqual4">
    <w:name w:val="Dash Equal 4"/>
    <w:basedOn w:val="Dash4"/>
    <w:rsid w:val="009C6417"/>
    <w:pPr>
      <w:numPr>
        <w:numId w:val="28"/>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38"/>
      </w:numPr>
    </w:pPr>
  </w:style>
  <w:style w:type="paragraph" w:customStyle="1" w:styleId="Heading123">
    <w:name w:val="Heading 123"/>
    <w:basedOn w:val="HeadingLeft"/>
    <w:next w:val="Normal"/>
    <w:rsid w:val="009C6417"/>
    <w:pPr>
      <w:numPr>
        <w:numId w:val="37"/>
      </w:numPr>
    </w:pPr>
  </w:style>
  <w:style w:type="paragraph" w:customStyle="1" w:styleId="HeadingABC">
    <w:name w:val="Heading ABC"/>
    <w:basedOn w:val="HeadingLeft"/>
    <w:next w:val="Normal"/>
    <w:rsid w:val="009C6417"/>
    <w:pPr>
      <w:numPr>
        <w:numId w:val="36"/>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paragraph" w:customStyle="1" w:styleId="statut0">
    <w:name w:val="statut"/>
    <w:basedOn w:val="Normal"/>
    <w:rsid w:val="00407965"/>
    <w:pPr>
      <w:spacing w:before="100" w:beforeAutospacing="1" w:after="100" w:afterAutospacing="1" w:line="240" w:lineRule="auto"/>
    </w:pPr>
    <w:rPr>
      <w:rFonts w:eastAsia="Times New Roman"/>
      <w:szCs w:val="24"/>
      <w:lang w:eastAsia="en-GB"/>
    </w:rPr>
  </w:style>
  <w:style w:type="paragraph" w:customStyle="1" w:styleId="typedudocument0">
    <w:name w:val="typedudocument"/>
    <w:basedOn w:val="Normal"/>
    <w:rsid w:val="00407965"/>
    <w:pPr>
      <w:spacing w:before="100" w:beforeAutospacing="1" w:after="100" w:afterAutospacing="1" w:line="240" w:lineRule="auto"/>
    </w:pPr>
    <w:rPr>
      <w:rFonts w:eastAsia="Times New Roman"/>
      <w:szCs w:val="24"/>
      <w:lang w:eastAsia="en-GB"/>
    </w:rPr>
  </w:style>
  <w:style w:type="paragraph" w:customStyle="1" w:styleId="titreobjet0">
    <w:name w:val="titreobjet"/>
    <w:basedOn w:val="Normal"/>
    <w:rsid w:val="00407965"/>
    <w:pPr>
      <w:spacing w:before="100" w:beforeAutospacing="1" w:after="100" w:afterAutospacing="1" w:line="240" w:lineRule="auto"/>
    </w:pPr>
    <w:rPr>
      <w:rFonts w:eastAsia="Times New Roman"/>
      <w:szCs w:val="24"/>
      <w:lang w:eastAsia="en-GB"/>
    </w:rPr>
  </w:style>
  <w:style w:type="paragraph" w:customStyle="1" w:styleId="typedudocumentcp">
    <w:name w:val="typedudocument_cp"/>
    <w:basedOn w:val="Normal"/>
    <w:rsid w:val="00407965"/>
    <w:pPr>
      <w:spacing w:before="100" w:beforeAutospacing="1" w:after="100" w:afterAutospacing="1" w:line="240" w:lineRule="auto"/>
    </w:pPr>
    <w:rPr>
      <w:rFonts w:eastAsia="Times New Roman"/>
      <w:szCs w:val="24"/>
      <w:lang w:eastAsia="en-GB"/>
    </w:rPr>
  </w:style>
  <w:style w:type="paragraph" w:customStyle="1" w:styleId="titreobjetcp">
    <w:name w:val="titreobjet_cp"/>
    <w:basedOn w:val="Normal"/>
    <w:rsid w:val="00407965"/>
    <w:pPr>
      <w:spacing w:before="100" w:beforeAutospacing="1" w:after="100" w:afterAutospacing="1" w:line="240" w:lineRule="auto"/>
    </w:pPr>
    <w:rPr>
      <w:rFonts w:eastAsia="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725183">
      <w:bodyDiv w:val="1"/>
      <w:marLeft w:val="0"/>
      <w:marRight w:val="0"/>
      <w:marTop w:val="0"/>
      <w:marBottom w:val="0"/>
      <w:divBdr>
        <w:top w:val="none" w:sz="0" w:space="0" w:color="auto"/>
        <w:left w:val="none" w:sz="0" w:space="0" w:color="auto"/>
        <w:bottom w:val="none" w:sz="0" w:space="0" w:color="auto"/>
        <w:right w:val="none" w:sz="0" w:space="0" w:color="auto"/>
      </w:divBdr>
    </w:div>
    <w:div w:id="541602441">
      <w:bodyDiv w:val="1"/>
      <w:marLeft w:val="0"/>
      <w:marRight w:val="0"/>
      <w:marTop w:val="0"/>
      <w:marBottom w:val="0"/>
      <w:divBdr>
        <w:top w:val="none" w:sz="0" w:space="0" w:color="auto"/>
        <w:left w:val="none" w:sz="0" w:space="0" w:color="auto"/>
        <w:bottom w:val="none" w:sz="0" w:space="0" w:color="auto"/>
        <w:right w:val="none" w:sz="0" w:space="0" w:color="auto"/>
      </w:divBdr>
    </w:div>
    <w:div w:id="563680674">
      <w:bodyDiv w:val="1"/>
      <w:marLeft w:val="0"/>
      <w:marRight w:val="0"/>
      <w:marTop w:val="0"/>
      <w:marBottom w:val="0"/>
      <w:divBdr>
        <w:top w:val="none" w:sz="0" w:space="0" w:color="auto"/>
        <w:left w:val="none" w:sz="0" w:space="0" w:color="auto"/>
        <w:bottom w:val="none" w:sz="0" w:space="0" w:color="auto"/>
        <w:right w:val="none" w:sz="0" w:space="0" w:color="auto"/>
      </w:divBdr>
    </w:div>
    <w:div w:id="582572159">
      <w:bodyDiv w:val="1"/>
      <w:marLeft w:val="0"/>
      <w:marRight w:val="0"/>
      <w:marTop w:val="0"/>
      <w:marBottom w:val="0"/>
      <w:divBdr>
        <w:top w:val="none" w:sz="0" w:space="0" w:color="auto"/>
        <w:left w:val="none" w:sz="0" w:space="0" w:color="auto"/>
        <w:bottom w:val="none" w:sz="0" w:space="0" w:color="auto"/>
        <w:right w:val="none" w:sz="0" w:space="0" w:color="auto"/>
      </w:divBdr>
    </w:div>
    <w:div w:id="623342821">
      <w:bodyDiv w:val="1"/>
      <w:marLeft w:val="0"/>
      <w:marRight w:val="0"/>
      <w:marTop w:val="0"/>
      <w:marBottom w:val="0"/>
      <w:divBdr>
        <w:top w:val="none" w:sz="0" w:space="0" w:color="auto"/>
        <w:left w:val="none" w:sz="0" w:space="0" w:color="auto"/>
        <w:bottom w:val="none" w:sz="0" w:space="0" w:color="auto"/>
        <w:right w:val="none" w:sz="0" w:space="0" w:color="auto"/>
      </w:divBdr>
    </w:div>
    <w:div w:id="642198104">
      <w:bodyDiv w:val="1"/>
      <w:marLeft w:val="0"/>
      <w:marRight w:val="0"/>
      <w:marTop w:val="0"/>
      <w:marBottom w:val="0"/>
      <w:divBdr>
        <w:top w:val="none" w:sz="0" w:space="0" w:color="auto"/>
        <w:left w:val="none" w:sz="0" w:space="0" w:color="auto"/>
        <w:bottom w:val="none" w:sz="0" w:space="0" w:color="auto"/>
        <w:right w:val="none" w:sz="0" w:space="0" w:color="auto"/>
      </w:divBdr>
    </w:div>
    <w:div w:id="643856150">
      <w:bodyDiv w:val="1"/>
      <w:marLeft w:val="0"/>
      <w:marRight w:val="0"/>
      <w:marTop w:val="0"/>
      <w:marBottom w:val="0"/>
      <w:divBdr>
        <w:top w:val="none" w:sz="0" w:space="0" w:color="auto"/>
        <w:left w:val="none" w:sz="0" w:space="0" w:color="auto"/>
        <w:bottom w:val="none" w:sz="0" w:space="0" w:color="auto"/>
        <w:right w:val="none" w:sz="0" w:space="0" w:color="auto"/>
      </w:divBdr>
    </w:div>
    <w:div w:id="799956148">
      <w:bodyDiv w:val="1"/>
      <w:marLeft w:val="0"/>
      <w:marRight w:val="0"/>
      <w:marTop w:val="0"/>
      <w:marBottom w:val="0"/>
      <w:divBdr>
        <w:top w:val="none" w:sz="0" w:space="0" w:color="auto"/>
        <w:left w:val="none" w:sz="0" w:space="0" w:color="auto"/>
        <w:bottom w:val="none" w:sz="0" w:space="0" w:color="auto"/>
        <w:right w:val="none" w:sz="0" w:space="0" w:color="auto"/>
      </w:divBdr>
    </w:div>
    <w:div w:id="913858838">
      <w:bodyDiv w:val="1"/>
      <w:marLeft w:val="0"/>
      <w:marRight w:val="0"/>
      <w:marTop w:val="0"/>
      <w:marBottom w:val="0"/>
      <w:divBdr>
        <w:top w:val="none" w:sz="0" w:space="0" w:color="auto"/>
        <w:left w:val="none" w:sz="0" w:space="0" w:color="auto"/>
        <w:bottom w:val="none" w:sz="0" w:space="0" w:color="auto"/>
        <w:right w:val="none" w:sz="0" w:space="0" w:color="auto"/>
      </w:divBdr>
    </w:div>
    <w:div w:id="954095281">
      <w:bodyDiv w:val="1"/>
      <w:marLeft w:val="0"/>
      <w:marRight w:val="0"/>
      <w:marTop w:val="0"/>
      <w:marBottom w:val="0"/>
      <w:divBdr>
        <w:top w:val="none" w:sz="0" w:space="0" w:color="auto"/>
        <w:left w:val="none" w:sz="0" w:space="0" w:color="auto"/>
        <w:bottom w:val="none" w:sz="0" w:space="0" w:color="auto"/>
        <w:right w:val="none" w:sz="0" w:space="0" w:color="auto"/>
      </w:divBdr>
    </w:div>
    <w:div w:id="1082028050">
      <w:bodyDiv w:val="1"/>
      <w:marLeft w:val="0"/>
      <w:marRight w:val="0"/>
      <w:marTop w:val="0"/>
      <w:marBottom w:val="0"/>
      <w:divBdr>
        <w:top w:val="none" w:sz="0" w:space="0" w:color="auto"/>
        <w:left w:val="none" w:sz="0" w:space="0" w:color="auto"/>
        <w:bottom w:val="none" w:sz="0" w:space="0" w:color="auto"/>
        <w:right w:val="none" w:sz="0" w:space="0" w:color="auto"/>
      </w:divBdr>
    </w:div>
    <w:div w:id="1286886363">
      <w:bodyDiv w:val="1"/>
      <w:marLeft w:val="0"/>
      <w:marRight w:val="0"/>
      <w:marTop w:val="0"/>
      <w:marBottom w:val="0"/>
      <w:divBdr>
        <w:top w:val="none" w:sz="0" w:space="0" w:color="auto"/>
        <w:left w:val="none" w:sz="0" w:space="0" w:color="auto"/>
        <w:bottom w:val="none" w:sz="0" w:space="0" w:color="auto"/>
        <w:right w:val="none" w:sz="0" w:space="0" w:color="auto"/>
      </w:divBdr>
    </w:div>
    <w:div w:id="1334263738">
      <w:bodyDiv w:val="1"/>
      <w:marLeft w:val="0"/>
      <w:marRight w:val="0"/>
      <w:marTop w:val="0"/>
      <w:marBottom w:val="0"/>
      <w:divBdr>
        <w:top w:val="none" w:sz="0" w:space="0" w:color="auto"/>
        <w:left w:val="none" w:sz="0" w:space="0" w:color="auto"/>
        <w:bottom w:val="none" w:sz="0" w:space="0" w:color="auto"/>
        <w:right w:val="none" w:sz="0" w:space="0" w:color="auto"/>
      </w:divBdr>
    </w:div>
    <w:div w:id="1359886851">
      <w:bodyDiv w:val="1"/>
      <w:marLeft w:val="0"/>
      <w:marRight w:val="0"/>
      <w:marTop w:val="0"/>
      <w:marBottom w:val="0"/>
      <w:divBdr>
        <w:top w:val="none" w:sz="0" w:space="0" w:color="auto"/>
        <w:left w:val="none" w:sz="0" w:space="0" w:color="auto"/>
        <w:bottom w:val="none" w:sz="0" w:space="0" w:color="auto"/>
        <w:right w:val="none" w:sz="0" w:space="0" w:color="auto"/>
      </w:divBdr>
    </w:div>
    <w:div w:id="1731461926">
      <w:bodyDiv w:val="1"/>
      <w:marLeft w:val="0"/>
      <w:marRight w:val="0"/>
      <w:marTop w:val="0"/>
      <w:marBottom w:val="0"/>
      <w:divBdr>
        <w:top w:val="none" w:sz="0" w:space="0" w:color="auto"/>
        <w:left w:val="none" w:sz="0" w:space="0" w:color="auto"/>
        <w:bottom w:val="none" w:sz="0" w:space="0" w:color="auto"/>
        <w:right w:val="none" w:sz="0" w:space="0" w:color="auto"/>
      </w:divBdr>
    </w:div>
    <w:div w:id="1757554195">
      <w:bodyDiv w:val="1"/>
      <w:marLeft w:val="0"/>
      <w:marRight w:val="0"/>
      <w:marTop w:val="0"/>
      <w:marBottom w:val="0"/>
      <w:divBdr>
        <w:top w:val="none" w:sz="0" w:space="0" w:color="auto"/>
        <w:left w:val="none" w:sz="0" w:space="0" w:color="auto"/>
        <w:bottom w:val="none" w:sz="0" w:space="0" w:color="auto"/>
        <w:right w:val="none" w:sz="0" w:space="0" w:color="auto"/>
      </w:divBdr>
    </w:div>
    <w:div w:id="1798570460">
      <w:bodyDiv w:val="1"/>
      <w:marLeft w:val="0"/>
      <w:marRight w:val="0"/>
      <w:marTop w:val="0"/>
      <w:marBottom w:val="0"/>
      <w:divBdr>
        <w:top w:val="none" w:sz="0" w:space="0" w:color="auto"/>
        <w:left w:val="none" w:sz="0" w:space="0" w:color="auto"/>
        <w:bottom w:val="none" w:sz="0" w:space="0" w:color="auto"/>
        <w:right w:val="none" w:sz="0" w:space="0" w:color="auto"/>
      </w:divBdr>
    </w:div>
    <w:div w:id="1825467313">
      <w:bodyDiv w:val="1"/>
      <w:marLeft w:val="0"/>
      <w:marRight w:val="0"/>
      <w:marTop w:val="0"/>
      <w:marBottom w:val="0"/>
      <w:divBdr>
        <w:top w:val="none" w:sz="0" w:space="0" w:color="auto"/>
        <w:left w:val="none" w:sz="0" w:space="0" w:color="auto"/>
        <w:bottom w:val="none" w:sz="0" w:space="0" w:color="auto"/>
        <w:right w:val="none" w:sz="0" w:space="0" w:color="auto"/>
      </w:divBdr>
    </w:div>
    <w:div w:id="213335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edia/image1.emf" Type="http://schemas.openxmlformats.org/officeDocument/2006/relationships/image" Id="rId8"/>
    <Relationship Target="header3.xml" Type="http://schemas.openxmlformats.org/officeDocument/2006/relationships/header" Id="rId13"/>
    <Relationship Target="footer5.xml" Type="http://schemas.openxmlformats.org/officeDocument/2006/relationships/footer" Id="rId18"/>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header5.xml" Type="http://schemas.openxmlformats.org/officeDocument/2006/relationships/header" Id="rId17"/>
    <Relationship Target="numbering.xml" Type="http://schemas.openxmlformats.org/officeDocument/2006/relationships/numbering" Id="rId2"/>
    <Relationship Target="footer4.xml" Type="http://schemas.openxmlformats.org/officeDocument/2006/relationships/footer" Id="rId16"/>
    <Relationship Target="theme/theme1.xml" Type="http://schemas.openxmlformats.org/officeDocument/2006/relationships/theme" Id="rId20"/>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header4.xml" Type="http://schemas.openxmlformats.org/officeDocument/2006/relationships/header" Id="rId15"/>
    <Relationship Target="header2.xml" Type="http://schemas.openxmlformats.org/officeDocument/2006/relationships/header" Id="rId10"/>
    <Relationship Target="fontTable.xml" Type="http://schemas.openxmlformats.org/officeDocument/2006/relationships/fontTable" Id="rId19"/>
    <Relationship Target="settings.xml" Type="http://schemas.openxmlformats.org/officeDocument/2006/relationships/settings" Id="rId4"/>
    <Relationship Target="header1.xml" Type="http://schemas.openxmlformats.org/officeDocument/2006/relationships/header" Id="rId9"/>
    <Relationship Target="footer3.xml" Type="http://schemas.openxmlformats.org/officeDocument/2006/relationships/footer" Id="rId14"/>
</Relationships>

</file>

<file path=word/_rels/settings.xml.rels><?xml version="1.0" encoding="UTF-8" standalone="yes"?>
<Relationships xmlns="http://schemas.openxmlformats.org/package/2006/relationships">
    <Relationship TargetMode="External" Target="file:///C:\Users\Public\Documents\Templates\DW_COUNCIL.dotm"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A65382E-BECD-4CCB-858C-47EF98C0D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DW_COUNCIL.dotm</Template>
  <TotalTime>420</TotalTime>
  <Pages>8</Pages>
  <Words>1207</Words>
  <Characters>6341</Characters>
  <Application>Microsoft Office Word</Application>
  <DocSecurity>0</DocSecurity>
  <Lines>117</Lines>
  <Paragraphs>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Christèle</dc:creator>
  <cp:keywords/>
  <dc:description/>
  <cp:lastModifiedBy>DQC</cp:lastModifiedBy>
  <cp:revision>50</cp:revision>
  <cp:lastPrinted>2020-08-07T15:45:00Z</cp:lastPrinted>
  <dcterms:created xsi:type="dcterms:W3CDTF">2021-11-15T08:58:00Z</dcterms:created>
  <dcterms:modified xsi:type="dcterms:W3CDTF">2021-11-19T18:36:00Z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7.0.8.0</vt:lpwstr>
  </property>
  <property fmtid="{D5CDD505-2E9C-101B-9397-08002B2CF9AE}" pid="4" name="Last edited using">
    <vt:lpwstr>DocuWrite 4.6.2, Build 20211105</vt:lpwstr>
  </property>
  <property fmtid="{D5CDD505-2E9C-101B-9397-08002B2CF9AE}" pid="5" name="Created using">
    <vt:lpwstr>DocuWrite 4.4.5, Build 20210309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SG-005</vt:lpwstr>
  </property>
  <property fmtid="{D5CDD505-2E9C-101B-9397-08002B2CF9AE}" pid="10" name="LWCR Document">
    <vt:lpwstr>True</vt:lpwstr>
  </property>
  <property fmtid="{D5CDD505-2E9C-101B-9397-08002B2CF9AE}" pid="11" name="LWCR Version">
    <vt:lpwstr>1.6.411</vt:lpwstr>
  </property>
  <property fmtid="{D5CDD505-2E9C-101B-9397-08002B2CF9AE}" pid="12" name="LWCR IsRefonte">
    <vt:lpwstr>True</vt:lpwstr>
  </property>
  <property fmtid="{D5CDD505-2E9C-101B-9397-08002B2CF9AE}" pid="13" name="DQCStatus">
    <vt:lpwstr>Green (DQC version 03)</vt:lpwstr>
  </property>
  <property fmtid="{D5CDD505-2E9C-101B-9397-08002B2CF9AE}" pid="14" name="DISCesvisAdditionalMakers">
    <vt:lpwstr>Vecākā referente Evita Nagle</vt:lpwstr>
  </property>
  <property fmtid="{D5CDD505-2E9C-101B-9397-08002B2CF9AE}" pid="15" name="DIScgiUrl">
    <vt:lpwstr>https://lim.esvis.gov.lv/cs/idcplg</vt:lpwstr>
  </property>
  <property fmtid="{D5CDD505-2E9C-101B-9397-08002B2CF9AE}" pid="16" name="DISdDocName">
    <vt:lpwstr>L291012</vt:lpwstr>
  </property>
  <property fmtid="{D5CDD505-2E9C-101B-9397-08002B2CF9AE}" pid="17" name="DISCesvisSigner">
    <vt:lpwstr> </vt:lpwstr>
  </property>
  <property fmtid="{D5CDD505-2E9C-101B-9397-08002B2CF9AE}" pid="18" name="DISTaskPaneUrl">
    <vt:lpwstr>https://lim.esvis.gov.lv/cs/idcplg?ClientControlled=DocMan&amp;coreContentOnly=1&amp;WebdavRequest=1&amp;IdcService=DOC_INFO&amp;dID=376063</vt:lpwstr>
  </property>
  <property fmtid="{D5CDD505-2E9C-101B-9397-08002B2CF9AE}" pid="19" name="DISCesvisSafetyLevel">
    <vt:lpwstr>Vispārpieejams</vt:lpwstr>
  </property>
  <property fmtid="{D5CDD505-2E9C-101B-9397-08002B2CF9AE}" pid="20" name="DISCesvisTitle">
    <vt:lpwstr>13853/21</vt:lpwstr>
  </property>
  <property fmtid="{D5CDD505-2E9C-101B-9397-08002B2CF9AE}" pid="21" name="DISCesvisMinistryOfMinister">
    <vt:lpwstr>wwTemplateNP_MinistryOfMinister(Satiksmes,)</vt:lpwstr>
  </property>
  <property fmtid="{D5CDD505-2E9C-101B-9397-08002B2CF9AE}" pid="22" name="DISCesvisAuthor">
    <vt:lpwstr>Satiksmes ministrija</vt:lpwstr>
  </property>
  <property fmtid="{D5CDD505-2E9C-101B-9397-08002B2CF9AE}" pid="23" name="DISCesvisMainMaker">
    <vt:lpwstr>Vecākā referente Evita Nagle</vt:lpwstr>
  </property>
  <property fmtid="{D5CDD505-2E9C-101B-9397-08002B2CF9AE}" pid="24" name="DISidcName">
    <vt:lpwstr>1020404016200</vt:lpwstr>
  </property>
  <property fmtid="{D5CDD505-2E9C-101B-9397-08002B2CF9AE}" pid="25" name="DISProperties">
    <vt:lpwstr>DISCesvisMainMakerOrgUnitTitle,DISidcName,DISdID,DISCesvisTitle,DISCesvisAdditionalMakersMail,DISCesvisAdditionalMakers,DIScgiUrl,DISCesvisMinistryOfMinister,DISCesvisSafetyLevel,DISCesvisSigner,DISTaskPaneUrl,DISCesvisDescription,DISCesvisAuthor,DISdUser,DISdDocName,DISCesvisMainMaker</vt:lpwstr>
  </property>
  <property fmtid="{D5CDD505-2E9C-101B-9397-08002B2CF9AE}" pid="26" name="DISCesvisDescription">
    <vt:lpwstr>
</vt:lpwstr>
  </property>
  <property fmtid="{D5CDD505-2E9C-101B-9397-08002B2CF9AE}" pid="27" name="DISCesvisAdditionalMakersMail">
    <vt:lpwstr>evita.nagle@sam.gov.lv</vt:lpwstr>
  </property>
  <property fmtid="{D5CDD505-2E9C-101B-9397-08002B2CF9AE}" pid="28" name="DISdUser">
    <vt:lpwstr>weblogic</vt:lpwstr>
  </property>
  <property fmtid="{D5CDD505-2E9C-101B-9397-08002B2CF9AE}" pid="29" name="DISdID">
    <vt:lpwstr>376063</vt:lpwstr>
  </property>
  <property fmtid="{D5CDD505-2E9C-101B-9397-08002B2CF9AE}" pid="30" name="DISCesvisMainMakerOrgUnitTitle">
    <vt:lpwstr>Eiropas Savienības lietu koordinācijas departaments</vt:lpwstr>
  </property>
</Properties>
</file>