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87EF0" w14:textId="77777777" w:rsidR="00274F00" w:rsidRPr="00D55D21" w:rsidRDefault="00274F00" w:rsidP="00274F00">
      <w:pPr>
        <w:jc w:val="center"/>
        <w:rPr>
          <w:b/>
          <w:sz w:val="28"/>
          <w:szCs w:val="28"/>
        </w:rPr>
      </w:pPr>
      <w:r w:rsidRPr="00D55D21">
        <w:rPr>
          <w:b/>
          <w:sz w:val="28"/>
          <w:szCs w:val="28"/>
        </w:rPr>
        <w:t>Informatīvais ziņojums</w:t>
      </w:r>
    </w:p>
    <w:p w14:paraId="44E11F9B" w14:textId="01F332B2" w:rsidR="00274F00" w:rsidRPr="00D55D21" w:rsidRDefault="00274F00" w:rsidP="00274F00">
      <w:pPr>
        <w:jc w:val="center"/>
        <w:rPr>
          <w:b/>
          <w:sz w:val="28"/>
          <w:szCs w:val="28"/>
        </w:rPr>
      </w:pPr>
      <w:r w:rsidRPr="00D55D21">
        <w:rPr>
          <w:b/>
          <w:sz w:val="28"/>
          <w:szCs w:val="28"/>
        </w:rPr>
        <w:t>Par ikgadējām izmaksu dinamikas prognozēm un pārkaršanas riskiem Latvijas būvniecības nozarē</w:t>
      </w:r>
    </w:p>
    <w:p w14:paraId="5DBF9E77" w14:textId="0B6971A4" w:rsidR="00733BB3" w:rsidRPr="00D55D21" w:rsidRDefault="00733BB3" w:rsidP="00733BB3">
      <w:pPr>
        <w:ind w:firstLine="709"/>
        <w:rPr>
          <w:bCs/>
          <w:sz w:val="28"/>
          <w:szCs w:val="28"/>
        </w:rPr>
      </w:pPr>
    </w:p>
    <w:p w14:paraId="32AC0229" w14:textId="048E238D" w:rsidR="00FC0416" w:rsidRPr="00855FB2" w:rsidRDefault="00FC0416" w:rsidP="00FC0416">
      <w:pPr>
        <w:pStyle w:val="Heading1"/>
        <w:numPr>
          <w:ilvl w:val="0"/>
          <w:numId w:val="0"/>
        </w:numPr>
        <w:rPr>
          <w:rFonts w:ascii="Times New Roman" w:hAnsi="Times New Roman" w:cs="Times New Roman"/>
          <w:color w:val="0099CC"/>
          <w:szCs w:val="24"/>
        </w:rPr>
      </w:pPr>
      <w:r w:rsidRPr="00855FB2">
        <w:rPr>
          <w:rFonts w:ascii="Times New Roman" w:hAnsi="Times New Roman" w:cs="Times New Roman"/>
          <w:color w:val="0099CC"/>
          <w:szCs w:val="24"/>
        </w:rPr>
        <w:t>Ie</w:t>
      </w:r>
      <w:r>
        <w:rPr>
          <w:rFonts w:ascii="Times New Roman" w:hAnsi="Times New Roman" w:cs="Times New Roman"/>
          <w:color w:val="0099CC"/>
          <w:szCs w:val="24"/>
        </w:rPr>
        <w:t>vads</w:t>
      </w:r>
    </w:p>
    <w:p w14:paraId="2B8F282B" w14:textId="1CA8A6CB" w:rsidR="00827F5D" w:rsidRPr="00D55D21" w:rsidRDefault="00827F5D" w:rsidP="00827F5D">
      <w:pPr>
        <w:ind w:firstLine="709"/>
        <w:jc w:val="both"/>
        <w:rPr>
          <w:sz w:val="24"/>
          <w:shd w:val="clear" w:color="auto" w:fill="FFFFFF"/>
        </w:rPr>
      </w:pPr>
      <w:r w:rsidRPr="00D55D21">
        <w:rPr>
          <w:sz w:val="24"/>
          <w:shd w:val="clear" w:color="auto" w:fill="FFFFFF"/>
        </w:rPr>
        <w:t>Informatīvais ziņojums izstrādāts pamatojoties uz 01.08.2022. Valdības rīcības plānu un Ministru kabineta 2019. gada 23. aprīļa sēdes protokol</w:t>
      </w:r>
      <w:r w:rsidR="0004792C">
        <w:rPr>
          <w:sz w:val="24"/>
          <w:shd w:val="clear" w:color="auto" w:fill="FFFFFF"/>
        </w:rPr>
        <w:t>a</w:t>
      </w:r>
      <w:r w:rsidRPr="00D55D21">
        <w:rPr>
          <w:sz w:val="24"/>
          <w:shd w:val="clear" w:color="auto" w:fill="FFFFFF"/>
        </w:rPr>
        <w:t xml:space="preserve"> Nr. 21. </w:t>
      </w:r>
      <w:r w:rsidRPr="00D55D21">
        <w:rPr>
          <w:bCs/>
          <w:sz w:val="24"/>
        </w:rPr>
        <w:t>23.§ 3. punktu</w:t>
      </w:r>
      <w:r w:rsidRPr="00D55D21">
        <w:rPr>
          <w:rStyle w:val="FootnoteReference"/>
          <w:bCs/>
          <w:sz w:val="24"/>
        </w:rPr>
        <w:footnoteReference w:id="2"/>
      </w:r>
      <w:r w:rsidRPr="00D55D21">
        <w:rPr>
          <w:bCs/>
          <w:sz w:val="24"/>
        </w:rPr>
        <w:t xml:space="preserve">, </w:t>
      </w:r>
      <w:r w:rsidRPr="00D55D21">
        <w:rPr>
          <w:sz w:val="24"/>
          <w:shd w:val="clear" w:color="auto" w:fill="FFFFFF"/>
        </w:rPr>
        <w:t>kur</w:t>
      </w:r>
      <w:r w:rsidR="0004792C">
        <w:rPr>
          <w:sz w:val="24"/>
          <w:shd w:val="clear" w:color="auto" w:fill="FFFFFF"/>
        </w:rPr>
        <w:t>ā</w:t>
      </w:r>
      <w:r w:rsidRPr="00D55D21">
        <w:rPr>
          <w:sz w:val="24"/>
          <w:shd w:val="clear" w:color="auto" w:fill="FFFFFF"/>
        </w:rPr>
        <w:t xml:space="preserve"> Ekonomikas ministrijai uzdots katru gadu līdz kārtējā gada 1. jūlijam veikt izvērtējumu par prognozētām izmaiņām darba spēka un būvmateriālu izmaksās būvniecības nozarē, analizējot tendences, kā arī līdz kārtējā gada 1.augustam informēt Ministru kabinetu par izvērtējuma rezultātiem, sniedzot priekšlikumus nepieciešamai rīcībai, lai laikus novērstu tautsaimniecības pārkāršanas riskus.</w:t>
      </w:r>
    </w:p>
    <w:p w14:paraId="51AAF809" w14:textId="3DAC0E3F" w:rsidR="00A3518D" w:rsidRPr="00D55D21" w:rsidRDefault="00A3518D" w:rsidP="00A3518D">
      <w:pPr>
        <w:ind w:firstLine="720"/>
        <w:jc w:val="both"/>
        <w:rPr>
          <w:sz w:val="24"/>
          <w:shd w:val="clear" w:color="auto" w:fill="FFFFFF"/>
        </w:rPr>
      </w:pPr>
      <w:r w:rsidRPr="00D55D21">
        <w:rPr>
          <w:sz w:val="24"/>
        </w:rPr>
        <w:t xml:space="preserve">Latvijas būvniecības nozare jau vairāk kā 2 gadus darbojas stipras turbulences apstākļos, kas sākotnēji bija saistīts </w:t>
      </w:r>
      <w:r w:rsidR="0004792C">
        <w:rPr>
          <w:sz w:val="24"/>
        </w:rPr>
        <w:t xml:space="preserve">ar </w:t>
      </w:r>
      <w:r w:rsidRPr="00D55D21">
        <w:rPr>
          <w:sz w:val="24"/>
        </w:rPr>
        <w:t>Covid-19 pandēmijas globālo ietekmi. Būvniecības nozare asi izjuta pandēmijas globālās sekas</w:t>
      </w:r>
      <w:r w:rsidR="0004792C">
        <w:rPr>
          <w:sz w:val="24"/>
        </w:rPr>
        <w:t>.</w:t>
      </w:r>
      <w:r w:rsidRPr="00D55D21">
        <w:rPr>
          <w:sz w:val="24"/>
        </w:rPr>
        <w:t xml:space="preserve"> </w:t>
      </w:r>
      <w:r w:rsidR="0004792C">
        <w:rPr>
          <w:sz w:val="24"/>
        </w:rPr>
        <w:t>A</w:t>
      </w:r>
      <w:r w:rsidRPr="00D55D21">
        <w:rPr>
          <w:sz w:val="24"/>
        </w:rPr>
        <w:t>ugsts saslimstības līmenis pasaulē, kā arī citu valstu ieviestie pasākumi pandēmijas ierobežošanai būtiski ietekmēja būvizstrādājumu ražošanas jaudas, kā arī piegādes ķēdes, veicinot strauju atsevišķu izejvielu un būvizstrādājumu cenu kāpumu, kā arī atsevišķu būvizstrādājumu nepieejamību. Lai gan būvniecības nozare 2021. gada beigās sāka atkopties no Covid-19 pandēmijas ietekmes un tās darbība sāka stabilizēties, Krievijas uzsāktā militārā agresija Ukrainā 2022. gada 24. februārī radīja spēcīgu triecienu būvniecības nozarei, sankcijām pakļaujot metāla izstrādājumus, koksni un cementu</w:t>
      </w:r>
      <w:r w:rsidR="0004792C">
        <w:rPr>
          <w:sz w:val="24"/>
        </w:rPr>
        <w:t>.</w:t>
      </w:r>
      <w:r w:rsidRPr="00D55D21">
        <w:rPr>
          <w:sz w:val="24"/>
        </w:rPr>
        <w:t xml:space="preserve"> </w:t>
      </w:r>
      <w:r w:rsidR="0004792C">
        <w:rPr>
          <w:sz w:val="24"/>
        </w:rPr>
        <w:t>T</w:t>
      </w:r>
      <w:r w:rsidRPr="00D55D21">
        <w:rPr>
          <w:sz w:val="24"/>
        </w:rPr>
        <w:t>urpinājās būvizstrādājumu cenu straujš kāpums, kā arī tika traucēta vairāku būvizstrādājumu piegāde</w:t>
      </w:r>
      <w:r w:rsidRPr="00D55D21">
        <w:rPr>
          <w:rStyle w:val="FootnoteReference"/>
          <w:sz w:val="24"/>
        </w:rPr>
        <w:footnoteReference w:id="3"/>
      </w:r>
      <w:r w:rsidRPr="00D55D21">
        <w:rPr>
          <w:sz w:val="24"/>
        </w:rPr>
        <w:t xml:space="preserve">. Covid-19 pandēmija un </w:t>
      </w:r>
      <w:r w:rsidRPr="00D55D21">
        <w:rPr>
          <w:sz w:val="24"/>
          <w:shd w:val="clear" w:color="auto" w:fill="FFFFFF"/>
        </w:rPr>
        <w:t>Krievijas militārā agresija atstāj</w:t>
      </w:r>
      <w:r w:rsidR="00E225B4" w:rsidRPr="00D55D21">
        <w:rPr>
          <w:sz w:val="24"/>
          <w:shd w:val="clear" w:color="auto" w:fill="FFFFFF"/>
        </w:rPr>
        <w:t>a</w:t>
      </w:r>
      <w:r w:rsidRPr="00D55D21">
        <w:rPr>
          <w:sz w:val="24"/>
          <w:shd w:val="clear" w:color="auto" w:fill="FFFFFF"/>
        </w:rPr>
        <w:t xml:space="preserve"> </w:t>
      </w:r>
      <w:r w:rsidR="00DE6F0C" w:rsidRPr="00D55D21">
        <w:rPr>
          <w:sz w:val="24"/>
          <w:shd w:val="clear" w:color="auto" w:fill="FFFFFF"/>
        </w:rPr>
        <w:t>būtisku</w:t>
      </w:r>
      <w:r w:rsidRPr="00D55D21">
        <w:rPr>
          <w:sz w:val="24"/>
          <w:shd w:val="clear" w:color="auto" w:fill="FFFFFF"/>
        </w:rPr>
        <w:t xml:space="preserve"> ietekmi uz būvizstrādājumu pieejamību, kā arī būvizstrādājumu, izejvielu un resursu cenām, turklāt, turpinoties </w:t>
      </w:r>
      <w:r w:rsidRPr="00D55D21">
        <w:rPr>
          <w:sz w:val="24"/>
        </w:rPr>
        <w:t xml:space="preserve">pandēmiju ierobežojošiem pasākumiem un </w:t>
      </w:r>
      <w:r w:rsidR="0094080F" w:rsidRPr="0094080F">
        <w:rPr>
          <w:sz w:val="24"/>
          <w:shd w:val="clear" w:color="auto" w:fill="FFFFFF"/>
        </w:rPr>
        <w:t>militārajai karadarbībai</w:t>
      </w:r>
      <w:r w:rsidRPr="00D55D21">
        <w:rPr>
          <w:sz w:val="24"/>
          <w:shd w:val="clear" w:color="auto" w:fill="FFFFFF"/>
        </w:rPr>
        <w:t>, ietekme uz būvniecības nozari var pieaugt.</w:t>
      </w:r>
    </w:p>
    <w:p w14:paraId="7C42D4CC" w14:textId="37680AEA" w:rsidR="0004792C" w:rsidRDefault="00692483" w:rsidP="00692483">
      <w:pPr>
        <w:ind w:firstLine="720"/>
        <w:jc w:val="both"/>
        <w:rPr>
          <w:sz w:val="24"/>
        </w:rPr>
      </w:pPr>
      <w:r w:rsidRPr="00D55D21">
        <w:rPr>
          <w:bCs/>
          <w:sz w:val="24"/>
        </w:rPr>
        <w:t>Veicot pētījumu 2021. gadā, pētnieki norādīja, ka izstrādātā metodoloģija</w:t>
      </w:r>
      <w:r w:rsidR="007D5E71">
        <w:rPr>
          <w:bCs/>
          <w:sz w:val="24"/>
        </w:rPr>
        <w:t xml:space="preserve"> ir samērā precīza nozares stabilas attīstības gadījumā</w:t>
      </w:r>
      <w:r w:rsidR="0094080F">
        <w:rPr>
          <w:bCs/>
          <w:sz w:val="24"/>
        </w:rPr>
        <w:t xml:space="preserve"> (svārstībām nepārsniedzot 10% pret iepriekšējo gadu)</w:t>
      </w:r>
      <w:r w:rsidR="007D5E71">
        <w:rPr>
          <w:bCs/>
          <w:sz w:val="24"/>
        </w:rPr>
        <w:t>, ko parāda i</w:t>
      </w:r>
      <w:r w:rsidR="007D5E71" w:rsidRPr="007D5E71">
        <w:rPr>
          <w:bCs/>
          <w:sz w:val="24"/>
        </w:rPr>
        <w:t>epriekšējos gados veiktie pētījumi</w:t>
      </w:r>
      <w:r w:rsidR="007D5E71">
        <w:rPr>
          <w:bCs/>
          <w:sz w:val="24"/>
        </w:rPr>
        <w:t>, kas</w:t>
      </w:r>
      <w:r w:rsidR="007D5E71" w:rsidRPr="007D5E71">
        <w:rPr>
          <w:bCs/>
          <w:sz w:val="24"/>
        </w:rPr>
        <w:t xml:space="preserve"> uzrāda augstas ticamības prognozes, neskatoties uz svārstībām Latvijas būvniecības nozarē</w:t>
      </w:r>
      <w:r w:rsidR="007D5E71">
        <w:rPr>
          <w:bCs/>
          <w:sz w:val="24"/>
        </w:rPr>
        <w:t xml:space="preserve"> </w:t>
      </w:r>
      <w:r w:rsidR="007D5E71" w:rsidRPr="00D55D21">
        <w:rPr>
          <w:sz w:val="24"/>
        </w:rPr>
        <w:t>(skat. 1.tabulu).</w:t>
      </w:r>
      <w:r w:rsidR="007D5E71">
        <w:rPr>
          <w:bCs/>
          <w:sz w:val="24"/>
        </w:rPr>
        <w:t xml:space="preserve"> Tomēr metodoloģija nav</w:t>
      </w:r>
      <w:r w:rsidRPr="00D55D21">
        <w:rPr>
          <w:bCs/>
          <w:sz w:val="24"/>
        </w:rPr>
        <w:t xml:space="preserve"> pietiekami precīza krīzes situācijās, kad ir daudz neprognozējamu izmaiņu, līdz ar to</w:t>
      </w:r>
      <w:r w:rsidRPr="00D55D21">
        <w:rPr>
          <w:sz w:val="24"/>
        </w:rPr>
        <w:t xml:space="preserve"> būvniecības nozares</w:t>
      </w:r>
      <w:r w:rsidR="007D5E71">
        <w:rPr>
          <w:sz w:val="24"/>
        </w:rPr>
        <w:t xml:space="preserve"> izmaksu dinamikas prognozēm un</w:t>
      </w:r>
      <w:r w:rsidRPr="00D55D21">
        <w:rPr>
          <w:sz w:val="24"/>
        </w:rPr>
        <w:t xml:space="preserve"> pārkaršanas risku prognozēšanai nepieciešama jauna metodoloģija. </w:t>
      </w:r>
    </w:p>
    <w:p w14:paraId="31C187EE" w14:textId="1EBAF0BE" w:rsidR="00692483" w:rsidRPr="00D55D21" w:rsidRDefault="00692483" w:rsidP="00692483">
      <w:pPr>
        <w:ind w:firstLine="720"/>
        <w:jc w:val="both"/>
        <w:rPr>
          <w:sz w:val="24"/>
        </w:rPr>
      </w:pPr>
      <w:r w:rsidRPr="00D55D21">
        <w:rPr>
          <w:sz w:val="24"/>
        </w:rPr>
        <w:t>Ekonomikas ministrijas 2022. gada</w:t>
      </w:r>
      <w:r w:rsidR="007D5E71">
        <w:rPr>
          <w:sz w:val="24"/>
        </w:rPr>
        <w:t xml:space="preserve"> pētījuma</w:t>
      </w:r>
      <w:r w:rsidRPr="00D55D21">
        <w:rPr>
          <w:sz w:val="24"/>
        </w:rPr>
        <w:t xml:space="preserve"> ziņojumā </w:t>
      </w:r>
      <w:r w:rsidRPr="00D55D21">
        <w:rPr>
          <w:i/>
          <w:iCs/>
          <w:sz w:val="24"/>
        </w:rPr>
        <w:t>“Pētījums par ikgadējām izmaksu dinamikas prognozēm un pārkaršanas riskiem Latvijas būvniecības nozarē”</w:t>
      </w:r>
      <w:r w:rsidRPr="00D55D21">
        <w:rPr>
          <w:rStyle w:val="FootnoteReference"/>
          <w:i/>
          <w:iCs/>
          <w:sz w:val="24"/>
        </w:rPr>
        <w:footnoteReference w:id="4"/>
      </w:r>
      <w:r w:rsidRPr="00D55D21">
        <w:rPr>
          <w:sz w:val="24"/>
        </w:rPr>
        <w:t xml:space="preserve"> pētnieki pilnveidoja un aktualizēja 2018. gadā izstrādāto metodoloģiju. Metodoloģijas pamatā tika izmantoti ne tikai aktuālie statistikas dati, bet arī ekspertu apkopotie viedokļi, kas tika iegūti 2022. gada jūnijā. Ņemot vērā to, ka situācija </w:t>
      </w:r>
      <w:r w:rsidR="006B09D2">
        <w:rPr>
          <w:sz w:val="24"/>
        </w:rPr>
        <w:t xml:space="preserve">kopš </w:t>
      </w:r>
      <w:r w:rsidR="0094080F">
        <w:rPr>
          <w:sz w:val="24"/>
        </w:rPr>
        <w:t>pētījuma veikšanas</w:t>
      </w:r>
      <w:r w:rsidR="006B09D2">
        <w:rPr>
          <w:sz w:val="24"/>
        </w:rPr>
        <w:t xml:space="preserve"> </w:t>
      </w:r>
      <w:r w:rsidRPr="00D55D21">
        <w:rPr>
          <w:sz w:val="24"/>
        </w:rPr>
        <w:t xml:space="preserve">ir ievērojami mainījusies un tās ietekmi nevar prognozēt svārstīgo energoresursu cenas, augstās inflācijas un valsts sniegtā atbalsta dēļ, pētījumā veiktās prognozes var neatbilst pašreizējai situācijai un turpmāku prognožu veikšana </w:t>
      </w:r>
      <w:r w:rsidR="00C810A4" w:rsidRPr="00D55D21">
        <w:rPr>
          <w:sz w:val="24"/>
        </w:rPr>
        <w:t>ir apgrūtināta</w:t>
      </w:r>
      <w:r w:rsidR="006B09D2">
        <w:rPr>
          <w:sz w:val="24"/>
        </w:rPr>
        <w:t>,</w:t>
      </w:r>
      <w:r w:rsidR="00C810A4" w:rsidRPr="00D55D21">
        <w:rPr>
          <w:sz w:val="24"/>
        </w:rPr>
        <w:t xml:space="preserve"> </w:t>
      </w:r>
      <w:r w:rsidRPr="00D55D21">
        <w:rPr>
          <w:sz w:val="24"/>
        </w:rPr>
        <w:t>ņemot vērā mainīgos notikumus pasaulē.</w:t>
      </w:r>
    </w:p>
    <w:p w14:paraId="17A5BD42" w14:textId="4C5A3836" w:rsidR="009C75BD" w:rsidRPr="00D55D21" w:rsidRDefault="009C75BD" w:rsidP="009C75BD">
      <w:pPr>
        <w:jc w:val="both"/>
        <w:rPr>
          <w:sz w:val="24"/>
        </w:rPr>
      </w:pPr>
    </w:p>
    <w:p w14:paraId="098962C1" w14:textId="0159A3AF" w:rsidR="009C75BD" w:rsidRPr="00D55D21" w:rsidRDefault="009C75BD" w:rsidP="009C75BD">
      <w:pPr>
        <w:pStyle w:val="ListParagraph"/>
        <w:numPr>
          <w:ilvl w:val="0"/>
          <w:numId w:val="3"/>
        </w:numPr>
        <w:tabs>
          <w:tab w:val="left" w:pos="284"/>
        </w:tabs>
        <w:spacing w:after="120"/>
        <w:ind w:left="0" w:firstLine="0"/>
        <w:jc w:val="center"/>
        <w:rPr>
          <w:sz w:val="24"/>
        </w:rPr>
      </w:pPr>
      <w:r w:rsidRPr="00D55D21">
        <w:rPr>
          <w:sz w:val="24"/>
        </w:rPr>
        <w:t xml:space="preserve">tabula. Būvniecības produkcijas apjoma un </w:t>
      </w:r>
      <w:r w:rsidR="00F56BBA" w:rsidRPr="00D55D21">
        <w:rPr>
          <w:sz w:val="24"/>
        </w:rPr>
        <w:t xml:space="preserve">būvniecības </w:t>
      </w:r>
      <w:r w:rsidRPr="00D55D21">
        <w:rPr>
          <w:sz w:val="24"/>
        </w:rPr>
        <w:t>izmaksu izmaiņas pret iepriekšējo gadu (faktiskais salīdzinājums pret prognozi)</w:t>
      </w:r>
    </w:p>
    <w:p w14:paraId="4552B5BD" w14:textId="2AE6217B" w:rsidR="009C75BD" w:rsidRPr="00D55D21" w:rsidRDefault="009C75BD" w:rsidP="009C75BD">
      <w:pPr>
        <w:jc w:val="center"/>
        <w:rPr>
          <w:sz w:val="24"/>
        </w:rPr>
      </w:pPr>
      <w:r w:rsidRPr="00D55D21">
        <w:rPr>
          <w:noProof/>
        </w:rPr>
        <w:drawing>
          <wp:inline distT="0" distB="0" distL="0" distR="0" wp14:anchorId="0263E9E8" wp14:editId="445FCA78">
            <wp:extent cx="5657850" cy="1136310"/>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3125" cy="1153436"/>
                    </a:xfrm>
                    <a:prstGeom prst="rect">
                      <a:avLst/>
                    </a:prstGeom>
                    <a:noFill/>
                    <a:ln>
                      <a:noFill/>
                    </a:ln>
                  </pic:spPr>
                </pic:pic>
              </a:graphicData>
            </a:graphic>
          </wp:inline>
        </w:drawing>
      </w:r>
    </w:p>
    <w:p w14:paraId="15550ED0" w14:textId="225A1C5E" w:rsidR="009C75BD" w:rsidRPr="00D55D21" w:rsidRDefault="009C75BD" w:rsidP="009C75BD">
      <w:pPr>
        <w:spacing w:before="120"/>
        <w:jc w:val="both"/>
        <w:rPr>
          <w:sz w:val="20"/>
          <w:szCs w:val="20"/>
        </w:rPr>
      </w:pPr>
      <w:r w:rsidRPr="00D55D21">
        <w:rPr>
          <w:sz w:val="20"/>
          <w:szCs w:val="20"/>
        </w:rPr>
        <w:t xml:space="preserve">Datu avots: izveidots pēc SIA “InnoMatrix” </w:t>
      </w:r>
      <w:r w:rsidR="00E579E2" w:rsidRPr="00D55D21">
        <w:rPr>
          <w:sz w:val="20"/>
          <w:szCs w:val="20"/>
        </w:rPr>
        <w:t>2021. gada ziņojuma “</w:t>
      </w:r>
      <w:r w:rsidR="00E67A1B" w:rsidRPr="00D55D21">
        <w:rPr>
          <w:sz w:val="20"/>
          <w:szCs w:val="20"/>
        </w:rPr>
        <w:t>Prognozētās izmaiņas darbaspēka un būvmateriālu izmaksās būvniecības nozarē Latvijā 2021.-2025.</w:t>
      </w:r>
      <w:r w:rsidR="00E579E2" w:rsidRPr="00D55D21">
        <w:rPr>
          <w:sz w:val="20"/>
          <w:szCs w:val="20"/>
        </w:rPr>
        <w:t xml:space="preserve">” un </w:t>
      </w:r>
      <w:r w:rsidR="004D159F" w:rsidRPr="00D55D21">
        <w:rPr>
          <w:sz w:val="20"/>
          <w:szCs w:val="20"/>
        </w:rPr>
        <w:t xml:space="preserve">2022. gada </w:t>
      </w:r>
      <w:r w:rsidRPr="00D55D21">
        <w:rPr>
          <w:sz w:val="20"/>
          <w:szCs w:val="20"/>
        </w:rPr>
        <w:t>ziņojuma “Pētījums par ikgadējām izmaksu dinamikas prognozēm un pārkaršanas riskiem Latvijas būvniecības nozarē”.</w:t>
      </w:r>
    </w:p>
    <w:p w14:paraId="3C2B420A" w14:textId="77777777" w:rsidR="009C75BD" w:rsidRPr="00D55D21" w:rsidRDefault="009C75BD" w:rsidP="009C75BD">
      <w:pPr>
        <w:jc w:val="both"/>
        <w:rPr>
          <w:bCs/>
          <w:sz w:val="24"/>
        </w:rPr>
      </w:pPr>
    </w:p>
    <w:p w14:paraId="76B20A04" w14:textId="4D703FAF" w:rsidR="00385DF6" w:rsidRPr="00D55D21" w:rsidRDefault="004E310D" w:rsidP="00A21352">
      <w:pPr>
        <w:ind w:firstLine="720"/>
        <w:jc w:val="both"/>
        <w:rPr>
          <w:sz w:val="24"/>
        </w:rPr>
      </w:pPr>
      <w:r w:rsidRPr="00D55D21">
        <w:rPr>
          <w:sz w:val="24"/>
          <w:shd w:val="clear" w:color="auto" w:fill="FFFFFF"/>
        </w:rPr>
        <w:t>Informatīv</w:t>
      </w:r>
      <w:r w:rsidR="00AE0BD4" w:rsidRPr="00D55D21">
        <w:rPr>
          <w:sz w:val="24"/>
          <w:shd w:val="clear" w:color="auto" w:fill="FFFFFF"/>
        </w:rPr>
        <w:t>ā</w:t>
      </w:r>
      <w:r w:rsidR="007B31D7" w:rsidRPr="00D55D21">
        <w:rPr>
          <w:sz w:val="24"/>
          <w:shd w:val="clear" w:color="auto" w:fill="FFFFFF"/>
        </w:rPr>
        <w:t xml:space="preserve"> ziņojum</w:t>
      </w:r>
      <w:r w:rsidR="006B09D2">
        <w:rPr>
          <w:sz w:val="24"/>
          <w:shd w:val="clear" w:color="auto" w:fill="FFFFFF"/>
        </w:rPr>
        <w:t>a</w:t>
      </w:r>
      <w:r w:rsidR="00AE0BD4" w:rsidRPr="00D55D21">
        <w:rPr>
          <w:sz w:val="24"/>
          <w:shd w:val="clear" w:color="auto" w:fill="FFFFFF"/>
        </w:rPr>
        <w:t xml:space="preserve"> </w:t>
      </w:r>
      <w:r w:rsidR="007B31D7" w:rsidRPr="00D55D21">
        <w:rPr>
          <w:sz w:val="24"/>
          <w:shd w:val="clear" w:color="auto" w:fill="FFFFFF"/>
        </w:rPr>
        <w:t>pamatā a</w:t>
      </w:r>
      <w:r w:rsidR="00B11649" w:rsidRPr="00D55D21">
        <w:rPr>
          <w:sz w:val="24"/>
          <w:shd w:val="clear" w:color="auto" w:fill="FFFFFF"/>
        </w:rPr>
        <w:t>pkopot</w:t>
      </w:r>
      <w:r w:rsidR="00AE0BD4" w:rsidRPr="00D55D21">
        <w:rPr>
          <w:sz w:val="24"/>
          <w:shd w:val="clear" w:color="auto" w:fill="FFFFFF"/>
        </w:rPr>
        <w:t>a</w:t>
      </w:r>
      <w:r w:rsidR="00B11649" w:rsidRPr="00D55D21">
        <w:rPr>
          <w:sz w:val="24"/>
          <w:shd w:val="clear" w:color="auto" w:fill="FFFFFF"/>
        </w:rPr>
        <w:t xml:space="preserve"> informācij</w:t>
      </w:r>
      <w:r w:rsidR="00AE0BD4" w:rsidRPr="00D55D21">
        <w:rPr>
          <w:sz w:val="24"/>
          <w:shd w:val="clear" w:color="auto" w:fill="FFFFFF"/>
        </w:rPr>
        <w:t>a</w:t>
      </w:r>
      <w:r w:rsidR="00B11649" w:rsidRPr="00D55D21">
        <w:rPr>
          <w:sz w:val="24"/>
          <w:shd w:val="clear" w:color="auto" w:fill="FFFFFF"/>
        </w:rPr>
        <w:t xml:space="preserve"> no </w:t>
      </w:r>
      <w:r w:rsidR="00733BB3" w:rsidRPr="00D55D21">
        <w:rPr>
          <w:sz w:val="24"/>
        </w:rPr>
        <w:t>Ekonomikas ministrija</w:t>
      </w:r>
      <w:r w:rsidR="00DE4A7D" w:rsidRPr="00D55D21">
        <w:rPr>
          <w:sz w:val="24"/>
        </w:rPr>
        <w:t>s</w:t>
      </w:r>
      <w:r w:rsidR="00733BB3" w:rsidRPr="00D55D21">
        <w:rPr>
          <w:sz w:val="24"/>
        </w:rPr>
        <w:t xml:space="preserve"> 2022.</w:t>
      </w:r>
      <w:r w:rsidR="008B5E05" w:rsidRPr="00D55D21">
        <w:rPr>
          <w:sz w:val="24"/>
        </w:rPr>
        <w:t xml:space="preserve"> </w:t>
      </w:r>
      <w:r w:rsidR="00733BB3" w:rsidRPr="00D55D21">
        <w:rPr>
          <w:sz w:val="24"/>
        </w:rPr>
        <w:t>gad</w:t>
      </w:r>
      <w:r w:rsidR="00915283" w:rsidRPr="00D55D21">
        <w:rPr>
          <w:sz w:val="24"/>
        </w:rPr>
        <w:t>a</w:t>
      </w:r>
      <w:r w:rsidR="00DE4A7D" w:rsidRPr="00D55D21">
        <w:rPr>
          <w:sz w:val="24"/>
        </w:rPr>
        <w:t xml:space="preserve"> ziņojum</w:t>
      </w:r>
      <w:r w:rsidR="00B11649" w:rsidRPr="00D55D21">
        <w:rPr>
          <w:sz w:val="24"/>
        </w:rPr>
        <w:t>a</w:t>
      </w:r>
      <w:r w:rsidR="00DE4A7D" w:rsidRPr="00D55D21">
        <w:rPr>
          <w:sz w:val="24"/>
        </w:rPr>
        <w:t xml:space="preserve"> </w:t>
      </w:r>
      <w:r w:rsidR="00B543CC" w:rsidRPr="00D55D21">
        <w:rPr>
          <w:i/>
          <w:iCs/>
          <w:sz w:val="24"/>
        </w:rPr>
        <w:t>“Pētījums par ikgadējām izmaksu dinamikas prognozēm un pārkaršanas riskiem Latvijas būvniecības nozarē”</w:t>
      </w:r>
      <w:r w:rsidR="00AD7A6A" w:rsidRPr="00D55D21">
        <w:rPr>
          <w:sz w:val="24"/>
        </w:rPr>
        <w:t xml:space="preserve">, </w:t>
      </w:r>
      <w:r w:rsidR="00A21352" w:rsidRPr="00D55D21">
        <w:rPr>
          <w:sz w:val="24"/>
        </w:rPr>
        <w:t xml:space="preserve">kas pieejams </w:t>
      </w:r>
      <w:r w:rsidR="00627FC1" w:rsidRPr="00D55D21">
        <w:rPr>
          <w:sz w:val="24"/>
        </w:rPr>
        <w:t xml:space="preserve">ministrijas tīmekļavietnē: </w:t>
      </w:r>
      <w:hyperlink r:id="rId12" w:history="1">
        <w:r w:rsidR="00627FC1" w:rsidRPr="0083780E">
          <w:rPr>
            <w:rStyle w:val="Hyperlink"/>
            <w:sz w:val="24"/>
          </w:rPr>
          <w:t>https://www.em.gov.lv/lv/buvniecibas-nozare-attistiba-strategija-un-petijumi</w:t>
        </w:r>
      </w:hyperlink>
      <w:r w:rsidR="00C810A4">
        <w:rPr>
          <w:sz w:val="24"/>
        </w:rPr>
        <w:t xml:space="preserve"> un Pārresoru koordinācijas centra pētījumu un publikāciju datu bāzē </w:t>
      </w:r>
      <w:hyperlink r:id="rId13" w:history="1">
        <w:r w:rsidR="00C810A4" w:rsidRPr="00F64DE0">
          <w:rPr>
            <w:rStyle w:val="Hyperlink"/>
            <w:sz w:val="24"/>
          </w:rPr>
          <w:t>http://petijumi.mk.gov.lv/node/4078</w:t>
        </w:r>
      </w:hyperlink>
      <w:r w:rsidR="00C810A4">
        <w:rPr>
          <w:sz w:val="24"/>
        </w:rPr>
        <w:t xml:space="preserve"> </w:t>
      </w:r>
      <w:r w:rsidR="009B7A06" w:rsidRPr="00D55D21">
        <w:rPr>
          <w:sz w:val="24"/>
        </w:rPr>
        <w:t xml:space="preserve"> </w:t>
      </w:r>
      <w:r w:rsidR="0035481C" w:rsidRPr="00D55D21">
        <w:rPr>
          <w:sz w:val="24"/>
        </w:rPr>
        <w:t>Aktuālās informācijas atspoguļošanai papildus analizēti Centrālās statistikas pārvaldes (turpmāk – CSP) un Latvijas Bankas dati.</w:t>
      </w:r>
    </w:p>
    <w:p w14:paraId="335E1F68" w14:textId="14AB4ECC" w:rsidR="006E7EF7" w:rsidRPr="00855FB2" w:rsidRDefault="00C32334" w:rsidP="00CA4136">
      <w:pPr>
        <w:pStyle w:val="Heading1"/>
        <w:tabs>
          <w:tab w:val="left" w:pos="426"/>
        </w:tabs>
        <w:jc w:val="both"/>
        <w:rPr>
          <w:color w:val="0099CC"/>
        </w:rPr>
      </w:pPr>
      <w:r w:rsidRPr="00855FB2">
        <w:rPr>
          <w:rFonts w:ascii="Times New Roman" w:hAnsi="Times New Roman" w:cs="Times New Roman"/>
          <w:color w:val="0099CC"/>
          <w:szCs w:val="24"/>
        </w:rPr>
        <w:t>Metodoloģija</w:t>
      </w:r>
      <w:r w:rsidRPr="00855FB2">
        <w:rPr>
          <w:color w:val="0099CC"/>
        </w:rPr>
        <w:t xml:space="preserve"> būvniecības izmaksu tendenču un pārkaršanas risku prognozēšanai</w:t>
      </w:r>
    </w:p>
    <w:p w14:paraId="615D11B5" w14:textId="77777777" w:rsidR="002843C5" w:rsidRPr="00D55D21" w:rsidRDefault="001F26CE" w:rsidP="002843C5">
      <w:pPr>
        <w:ind w:firstLine="720"/>
        <w:jc w:val="both"/>
        <w:rPr>
          <w:sz w:val="24"/>
        </w:rPr>
      </w:pPr>
      <w:r w:rsidRPr="00D55D21">
        <w:rPr>
          <w:sz w:val="24"/>
        </w:rPr>
        <w:t>Pētījum</w:t>
      </w:r>
      <w:r w:rsidR="008127FA" w:rsidRPr="00D55D21">
        <w:rPr>
          <w:sz w:val="24"/>
        </w:rPr>
        <w:t xml:space="preserve">a metodoloģija </w:t>
      </w:r>
      <w:r w:rsidR="004E512A" w:rsidRPr="00D55D21">
        <w:rPr>
          <w:sz w:val="24"/>
        </w:rPr>
        <w:t>balstās</w:t>
      </w:r>
      <w:r w:rsidR="008127FA" w:rsidRPr="00D55D21">
        <w:rPr>
          <w:sz w:val="24"/>
        </w:rPr>
        <w:t xml:space="preserve"> </w:t>
      </w:r>
      <w:r w:rsidRPr="00D55D21">
        <w:rPr>
          <w:sz w:val="24"/>
        </w:rPr>
        <w:t>uz 2018. gadā izstrādāt</w:t>
      </w:r>
      <w:r w:rsidR="000066B1" w:rsidRPr="00D55D21">
        <w:rPr>
          <w:sz w:val="24"/>
        </w:rPr>
        <w:t>o</w:t>
      </w:r>
      <w:r w:rsidR="00C0020D" w:rsidRPr="00D55D21">
        <w:rPr>
          <w:sz w:val="24"/>
        </w:rPr>
        <w:t xml:space="preserve"> un </w:t>
      </w:r>
      <w:r w:rsidRPr="00D55D21">
        <w:rPr>
          <w:sz w:val="24"/>
        </w:rPr>
        <w:t>2022. gad</w:t>
      </w:r>
      <w:r w:rsidR="00C0020D" w:rsidRPr="00D55D21">
        <w:rPr>
          <w:sz w:val="24"/>
        </w:rPr>
        <w:t xml:space="preserve">ā </w:t>
      </w:r>
      <w:r w:rsidR="00C9514D" w:rsidRPr="00D55D21">
        <w:rPr>
          <w:sz w:val="24"/>
        </w:rPr>
        <w:t>aktualizēt</w:t>
      </w:r>
      <w:r w:rsidR="00C0020D" w:rsidRPr="00D55D21">
        <w:rPr>
          <w:sz w:val="24"/>
        </w:rPr>
        <w:t>o metodiku</w:t>
      </w:r>
      <w:r w:rsidR="00C9514D" w:rsidRPr="00D55D21">
        <w:rPr>
          <w:sz w:val="24"/>
        </w:rPr>
        <w:t>.</w:t>
      </w:r>
    </w:p>
    <w:p w14:paraId="3D668604" w14:textId="125D680B" w:rsidR="0045654F" w:rsidRPr="00D55D21" w:rsidRDefault="001D615A" w:rsidP="0045654F">
      <w:pPr>
        <w:ind w:firstLine="720"/>
        <w:jc w:val="both"/>
        <w:rPr>
          <w:sz w:val="24"/>
        </w:rPr>
      </w:pPr>
      <w:r w:rsidRPr="00A63D1A">
        <w:rPr>
          <w:color w:val="0099CC"/>
          <w:sz w:val="24"/>
        </w:rPr>
        <w:t>Metodoloģija b</w:t>
      </w:r>
      <w:r w:rsidRPr="002B2DA7">
        <w:rPr>
          <w:color w:val="0099CC"/>
          <w:sz w:val="24"/>
        </w:rPr>
        <w:t>ūvniec</w:t>
      </w:r>
      <w:r w:rsidRPr="00A63D1A">
        <w:rPr>
          <w:color w:val="0099CC"/>
          <w:sz w:val="24"/>
        </w:rPr>
        <w:t xml:space="preserve">ības izmaksu tendenču prognozēšanai </w:t>
      </w:r>
      <w:r w:rsidR="00DA354A" w:rsidRPr="00D55D21">
        <w:rPr>
          <w:sz w:val="24"/>
        </w:rPr>
        <w:t xml:space="preserve">galvenokārt </w:t>
      </w:r>
      <w:r w:rsidR="009839B9" w:rsidRPr="00D55D21">
        <w:rPr>
          <w:sz w:val="24"/>
        </w:rPr>
        <w:t xml:space="preserve">balstīta </w:t>
      </w:r>
      <w:r w:rsidR="00E551F2" w:rsidRPr="00D55D21">
        <w:rPr>
          <w:sz w:val="24"/>
        </w:rPr>
        <w:t xml:space="preserve">uz </w:t>
      </w:r>
      <w:r w:rsidR="00B62756" w:rsidRPr="00D55D21">
        <w:rPr>
          <w:sz w:val="24"/>
        </w:rPr>
        <w:t>rādītāju</w:t>
      </w:r>
      <w:r w:rsidR="00E551F2" w:rsidRPr="00D55D21">
        <w:rPr>
          <w:sz w:val="24"/>
        </w:rPr>
        <w:t xml:space="preserve"> </w:t>
      </w:r>
      <w:r w:rsidR="00377AEB" w:rsidRPr="00D55D21">
        <w:rPr>
          <w:sz w:val="24"/>
        </w:rPr>
        <w:t>vidējā augšanas tempa un kopējā augšanas tempa aprēķināšan</w:t>
      </w:r>
      <w:r w:rsidR="003E51B2" w:rsidRPr="00D55D21">
        <w:rPr>
          <w:sz w:val="24"/>
        </w:rPr>
        <w:t>u</w:t>
      </w:r>
      <w:r w:rsidR="00C059D6" w:rsidRPr="00D55D21">
        <w:rPr>
          <w:sz w:val="24"/>
        </w:rPr>
        <w:t>,</w:t>
      </w:r>
      <w:r w:rsidR="003E51B2" w:rsidRPr="00D55D21">
        <w:rPr>
          <w:sz w:val="24"/>
        </w:rPr>
        <w:t xml:space="preserve"> </w:t>
      </w:r>
      <w:r w:rsidR="00B62756" w:rsidRPr="00D55D21">
        <w:rPr>
          <w:sz w:val="24"/>
        </w:rPr>
        <w:t xml:space="preserve">par bāzes periodu </w:t>
      </w:r>
      <w:r w:rsidR="00C059D6" w:rsidRPr="00D55D21">
        <w:rPr>
          <w:sz w:val="24"/>
        </w:rPr>
        <w:t>izvēloties</w:t>
      </w:r>
      <w:r w:rsidR="00B62756" w:rsidRPr="00D55D21">
        <w:rPr>
          <w:sz w:val="24"/>
        </w:rPr>
        <w:t xml:space="preserve"> 2012. gadu</w:t>
      </w:r>
      <w:r w:rsidR="00F6156F" w:rsidRPr="00D55D21">
        <w:rPr>
          <w:sz w:val="24"/>
        </w:rPr>
        <w:t xml:space="preserve">. </w:t>
      </w:r>
      <w:r w:rsidR="002843C5" w:rsidRPr="00D55D21">
        <w:rPr>
          <w:sz w:val="24"/>
        </w:rPr>
        <w:t xml:space="preserve">Prognožu veikšanā izmantotas trīs pieejas – statistiskā prognoze, ekspertu prognoze un kombinētā prognoze. </w:t>
      </w:r>
      <w:r w:rsidR="008C13AC" w:rsidRPr="00D55D21">
        <w:rPr>
          <w:sz w:val="24"/>
        </w:rPr>
        <w:t>P</w:t>
      </w:r>
      <w:r w:rsidR="00C059D6" w:rsidRPr="00D55D21">
        <w:rPr>
          <w:sz w:val="24"/>
        </w:rPr>
        <w:t>rognozes veiktas 2022.-2026. gadam</w:t>
      </w:r>
      <w:r w:rsidR="002843C5" w:rsidRPr="00D55D21">
        <w:rPr>
          <w:sz w:val="24"/>
        </w:rPr>
        <w:t>, vienlaikus norādot arī katras prognozes ticamības aspektu.</w:t>
      </w:r>
      <w:r w:rsidR="003B42E2" w:rsidRPr="00D55D21">
        <w:rPr>
          <w:sz w:val="24"/>
        </w:rPr>
        <w:t xml:space="preserve"> </w:t>
      </w:r>
      <w:r w:rsidR="00DA354A" w:rsidRPr="00D55D21">
        <w:rPr>
          <w:sz w:val="24"/>
        </w:rPr>
        <w:t>Pētījumā a</w:t>
      </w:r>
      <w:r w:rsidR="00BC1EEC" w:rsidRPr="00D55D21">
        <w:rPr>
          <w:sz w:val="24"/>
        </w:rPr>
        <w:t>nalizētas pētāmās parādības attīstības likumsakarības, lai novērtētu līdzšinējo attīstības tendenci un iespējamo tālāko virzību nākotnē.</w:t>
      </w:r>
    </w:p>
    <w:p w14:paraId="6FB966E4" w14:textId="46051C6A" w:rsidR="00934AFC" w:rsidRDefault="00D566AD" w:rsidP="00972D79">
      <w:pPr>
        <w:ind w:firstLine="720"/>
        <w:jc w:val="both"/>
        <w:rPr>
          <w:sz w:val="24"/>
        </w:rPr>
      </w:pPr>
      <w:r w:rsidRPr="00D55D21">
        <w:rPr>
          <w:sz w:val="24"/>
        </w:rPr>
        <w:t>Pētījuma ietvaros</w:t>
      </w:r>
      <w:r w:rsidR="00B24201" w:rsidRPr="00D55D21">
        <w:rPr>
          <w:sz w:val="24"/>
        </w:rPr>
        <w:t xml:space="preserve"> tika piesaistīti eksperti aktuālās informācijas iegūšanai par būvniecības izmaksu </w:t>
      </w:r>
      <w:r w:rsidR="006532F3" w:rsidRPr="00D55D21">
        <w:rPr>
          <w:sz w:val="24"/>
        </w:rPr>
        <w:t xml:space="preserve">un produkcijas apjoma </w:t>
      </w:r>
      <w:r w:rsidR="00B24201" w:rsidRPr="00D55D21">
        <w:rPr>
          <w:sz w:val="24"/>
        </w:rPr>
        <w:t xml:space="preserve">prognozēm, </w:t>
      </w:r>
      <w:r w:rsidR="006532F3" w:rsidRPr="00D55D21">
        <w:rPr>
          <w:sz w:val="24"/>
        </w:rPr>
        <w:t>pieņemamo peļņas normu</w:t>
      </w:r>
      <w:r w:rsidR="005E6E30" w:rsidRPr="00D55D21">
        <w:rPr>
          <w:sz w:val="24"/>
        </w:rPr>
        <w:t xml:space="preserve"> būvniecībā</w:t>
      </w:r>
      <w:r w:rsidR="006532F3" w:rsidRPr="00D55D21">
        <w:rPr>
          <w:sz w:val="24"/>
        </w:rPr>
        <w:t xml:space="preserve">, </w:t>
      </w:r>
      <w:r w:rsidR="00B24201" w:rsidRPr="00D55D21">
        <w:rPr>
          <w:sz w:val="24"/>
        </w:rPr>
        <w:t xml:space="preserve">izmaksu ietekmējošiem faktoriem, kā arī </w:t>
      </w:r>
      <w:r w:rsidR="00226C59" w:rsidRPr="00D55D21">
        <w:rPr>
          <w:sz w:val="24"/>
        </w:rPr>
        <w:t xml:space="preserve">par iespējamiem </w:t>
      </w:r>
      <w:r w:rsidR="00B24201" w:rsidRPr="00D55D21">
        <w:rPr>
          <w:sz w:val="24"/>
        </w:rPr>
        <w:t>pārkaršanas riskiem būvniecības nozarē un turpmāk nepieciešamajiem pasākumiem nozares stabilizēšanai. S</w:t>
      </w:r>
      <w:r w:rsidRPr="00D55D21">
        <w:rPr>
          <w:sz w:val="24"/>
        </w:rPr>
        <w:t xml:space="preserve">avu viedokli </w:t>
      </w:r>
      <w:r w:rsidR="005A1267" w:rsidRPr="00D55D21">
        <w:rPr>
          <w:sz w:val="24"/>
        </w:rPr>
        <w:t>pauda</w:t>
      </w:r>
      <w:r w:rsidRPr="00D55D21">
        <w:rPr>
          <w:sz w:val="24"/>
        </w:rPr>
        <w:t xml:space="preserve"> 83 eksperti</w:t>
      </w:r>
      <w:r w:rsidR="00D52DE5">
        <w:rPr>
          <w:sz w:val="24"/>
        </w:rPr>
        <w:t>: 1</w:t>
      </w:r>
      <w:r w:rsidR="00D52DE5" w:rsidRPr="0063652A">
        <w:rPr>
          <w:sz w:val="24"/>
        </w:rPr>
        <w:t>6 makroekonomikas eksperti</w:t>
      </w:r>
      <w:r w:rsidR="00D52DE5">
        <w:rPr>
          <w:sz w:val="24"/>
        </w:rPr>
        <w:t xml:space="preserve">, </w:t>
      </w:r>
      <w:r w:rsidR="00D52DE5" w:rsidRPr="0063652A">
        <w:rPr>
          <w:sz w:val="24"/>
        </w:rPr>
        <w:t>19 vispārīgie eksperti</w:t>
      </w:r>
      <w:r w:rsidR="00D52DE5">
        <w:rPr>
          <w:sz w:val="24"/>
        </w:rPr>
        <w:t xml:space="preserve">, </w:t>
      </w:r>
      <w:r w:rsidR="00D52DE5" w:rsidRPr="0063652A">
        <w:rPr>
          <w:sz w:val="24"/>
        </w:rPr>
        <w:t>10 būvmateriālu tirdzniecības eksperti</w:t>
      </w:r>
      <w:r w:rsidR="00D52DE5">
        <w:rPr>
          <w:sz w:val="24"/>
        </w:rPr>
        <w:t xml:space="preserve">, </w:t>
      </w:r>
      <w:r w:rsidR="00D52DE5" w:rsidRPr="0063652A">
        <w:rPr>
          <w:sz w:val="24"/>
        </w:rPr>
        <w:t>8 ēku būvniecības eksperti</w:t>
      </w:r>
      <w:r w:rsidR="00D52DE5">
        <w:rPr>
          <w:sz w:val="24"/>
        </w:rPr>
        <w:t xml:space="preserve">, </w:t>
      </w:r>
      <w:r w:rsidR="00D52DE5" w:rsidRPr="0063652A">
        <w:rPr>
          <w:sz w:val="24"/>
        </w:rPr>
        <w:t>6 ceļu un dzelzceļu būvniecības eksperti</w:t>
      </w:r>
      <w:r w:rsidR="00D52DE5">
        <w:rPr>
          <w:sz w:val="24"/>
        </w:rPr>
        <w:t xml:space="preserve">, </w:t>
      </w:r>
      <w:r w:rsidR="00D52DE5" w:rsidRPr="0063652A">
        <w:rPr>
          <w:sz w:val="24"/>
        </w:rPr>
        <w:t>7 pilsētsaimniecības infrastruktūras objektu būvniecības eksperti</w:t>
      </w:r>
      <w:r w:rsidR="00D52DE5">
        <w:rPr>
          <w:sz w:val="24"/>
        </w:rPr>
        <w:t xml:space="preserve">, </w:t>
      </w:r>
      <w:r w:rsidR="00D52DE5" w:rsidRPr="0063652A">
        <w:rPr>
          <w:sz w:val="24"/>
        </w:rPr>
        <w:t>9 specializēto būvdarbu eksperti</w:t>
      </w:r>
      <w:r w:rsidR="00D52DE5">
        <w:rPr>
          <w:sz w:val="24"/>
        </w:rPr>
        <w:t xml:space="preserve">, </w:t>
      </w:r>
      <w:r w:rsidR="00D52DE5" w:rsidRPr="0063652A">
        <w:rPr>
          <w:sz w:val="24"/>
        </w:rPr>
        <w:t>8 arhitektūras un inženiertehnisko pakalpojumu, tehniskās pārbaudes un analīzes eksperti</w:t>
      </w:r>
      <w:r w:rsidR="00D52DE5">
        <w:rPr>
          <w:sz w:val="24"/>
        </w:rPr>
        <w:t xml:space="preserve">. </w:t>
      </w:r>
      <w:r w:rsidR="00972D79">
        <w:rPr>
          <w:sz w:val="24"/>
        </w:rPr>
        <w:t xml:space="preserve">Eksperti </w:t>
      </w:r>
      <w:r w:rsidR="005A1267" w:rsidRPr="00D55D21">
        <w:rPr>
          <w:sz w:val="24"/>
        </w:rPr>
        <w:t xml:space="preserve">pārstāv </w:t>
      </w:r>
      <w:r w:rsidR="00532FA1" w:rsidRPr="00D55D21">
        <w:rPr>
          <w:sz w:val="24"/>
        </w:rPr>
        <w:t>publiskās pārvaldes institūcijas, nevalstiskās organizācijas</w:t>
      </w:r>
      <w:r w:rsidR="00532FA1">
        <w:rPr>
          <w:sz w:val="24"/>
        </w:rPr>
        <w:t xml:space="preserve">, </w:t>
      </w:r>
      <w:r w:rsidR="00532FA1" w:rsidRPr="00D55D21">
        <w:rPr>
          <w:sz w:val="24"/>
        </w:rPr>
        <w:t>akadēmisko vidi</w:t>
      </w:r>
      <w:r w:rsidR="00532FA1">
        <w:rPr>
          <w:sz w:val="24"/>
        </w:rPr>
        <w:t xml:space="preserve"> un </w:t>
      </w:r>
      <w:r w:rsidR="002A57C8" w:rsidRPr="00D55D21">
        <w:rPr>
          <w:sz w:val="24"/>
        </w:rPr>
        <w:t>būvniecības uzņēmumus</w:t>
      </w:r>
      <w:r w:rsidRPr="00D55D21">
        <w:rPr>
          <w:sz w:val="24"/>
        </w:rPr>
        <w:t>.</w:t>
      </w:r>
      <w:r w:rsidR="00406EAD" w:rsidRPr="00D55D21">
        <w:rPr>
          <w:sz w:val="24"/>
        </w:rPr>
        <w:t xml:space="preserve"> Viedokli sniedza arī </w:t>
      </w:r>
      <w:r w:rsidR="008648F9" w:rsidRPr="00D55D21">
        <w:rPr>
          <w:sz w:val="24"/>
        </w:rPr>
        <w:t>ar būvniecības nozari profesionāli saistīti eksperti, kas nav specializējušies konkrētā apakšnozarē, lai novērstu iespējamu stereotipisku vērtējumu klātbūtni iegūtajos rezultātos.</w:t>
      </w:r>
      <w:r w:rsidR="00972D79">
        <w:rPr>
          <w:sz w:val="24"/>
        </w:rPr>
        <w:t xml:space="preserve"> </w:t>
      </w:r>
      <w:r w:rsidR="000842B0" w:rsidRPr="00D55D21">
        <w:rPr>
          <w:sz w:val="24"/>
        </w:rPr>
        <w:t xml:space="preserve">Viedokļu iegūšanai </w:t>
      </w:r>
      <w:r w:rsidR="00AB334E" w:rsidRPr="00D55D21">
        <w:rPr>
          <w:sz w:val="24"/>
        </w:rPr>
        <w:t xml:space="preserve">un prognožu veikšanai </w:t>
      </w:r>
      <w:r w:rsidR="000842B0" w:rsidRPr="00D55D21">
        <w:rPr>
          <w:sz w:val="24"/>
        </w:rPr>
        <w:t>izmantota anketēšana, kas veikta 2022. gada jūnijā.</w:t>
      </w:r>
    </w:p>
    <w:p w14:paraId="4D1FEAD2" w14:textId="77777777" w:rsidR="00934AFC" w:rsidRDefault="00934AFC">
      <w:pPr>
        <w:rPr>
          <w:sz w:val="24"/>
        </w:rPr>
      </w:pPr>
      <w:r>
        <w:rPr>
          <w:sz w:val="24"/>
        </w:rPr>
        <w:br w:type="page"/>
      </w:r>
    </w:p>
    <w:p w14:paraId="1E87423F" w14:textId="77777777" w:rsidR="006B16BC" w:rsidRDefault="006B16BC" w:rsidP="00972D79">
      <w:pPr>
        <w:ind w:firstLine="720"/>
        <w:jc w:val="both"/>
        <w:rPr>
          <w:sz w:val="24"/>
        </w:rPr>
      </w:pPr>
    </w:p>
    <w:p w14:paraId="040761A8" w14:textId="009B5670" w:rsidR="005831D2" w:rsidRPr="00855FB2" w:rsidRDefault="005831D2" w:rsidP="00CA4136">
      <w:pPr>
        <w:pStyle w:val="Heading1"/>
        <w:tabs>
          <w:tab w:val="left" w:pos="284"/>
        </w:tabs>
        <w:jc w:val="both"/>
        <w:rPr>
          <w:rFonts w:ascii="Times New Roman" w:hAnsi="Times New Roman" w:cs="Times New Roman"/>
          <w:color w:val="0099CC"/>
          <w:szCs w:val="24"/>
        </w:rPr>
      </w:pPr>
      <w:r w:rsidRPr="00855FB2">
        <w:rPr>
          <w:color w:val="0099CC"/>
        </w:rPr>
        <w:t>Būvniecības produkcijas apjoma izmaiņas un to prognozes</w:t>
      </w:r>
      <w:r w:rsidR="00647A2F" w:rsidRPr="00855FB2">
        <w:rPr>
          <w:color w:val="0099CC"/>
        </w:rPr>
        <w:t xml:space="preserve"> </w:t>
      </w:r>
      <w:r w:rsidR="00647A2F" w:rsidRPr="00855FB2">
        <w:rPr>
          <w:rFonts w:ascii="Times New Roman" w:hAnsi="Times New Roman" w:cs="Times New Roman"/>
          <w:color w:val="0099CC"/>
          <w:szCs w:val="24"/>
        </w:rPr>
        <w:t>Latvijas būvniecības nozarē</w:t>
      </w:r>
    </w:p>
    <w:p w14:paraId="77B45506" w14:textId="053D71B5" w:rsidR="00F81DE1" w:rsidRPr="00D55D21" w:rsidRDefault="00C14BF3" w:rsidP="005759B8">
      <w:pPr>
        <w:ind w:firstLine="720"/>
        <w:jc w:val="both"/>
        <w:rPr>
          <w:sz w:val="24"/>
        </w:rPr>
      </w:pPr>
      <w:r w:rsidRPr="00D55D21">
        <w:rPr>
          <w:sz w:val="24"/>
        </w:rPr>
        <w:t>B</w:t>
      </w:r>
      <w:r w:rsidR="00F81DE1" w:rsidRPr="00D55D21">
        <w:rPr>
          <w:sz w:val="24"/>
        </w:rPr>
        <w:t>ūvniecības produkcijas apjoma prognoz</w:t>
      </w:r>
      <w:r w:rsidRPr="00D55D21">
        <w:rPr>
          <w:sz w:val="24"/>
        </w:rPr>
        <w:t>e</w:t>
      </w:r>
      <w:r w:rsidR="00F81DE1" w:rsidRPr="00D55D21">
        <w:rPr>
          <w:sz w:val="24"/>
        </w:rPr>
        <w:t>i tika izmantota</w:t>
      </w:r>
      <w:r w:rsidRPr="00D55D21">
        <w:rPr>
          <w:sz w:val="24"/>
        </w:rPr>
        <w:t xml:space="preserve"> </w:t>
      </w:r>
      <w:r w:rsidR="00F81DE1" w:rsidRPr="00D55D21">
        <w:rPr>
          <w:sz w:val="24"/>
        </w:rPr>
        <w:t>statistiskā prognoze, ekspertu prognoze un kombinētā prognoze. Lai novērstu iespējamu stereotipisku vērtējumu klātbūtni iegūtajos rezultātos, ekspertvērtējumus sniedza ar būvniecības nozari profesionāli saistīti eksperti, kas nav specializējušies konkrētā apakšnozarē. Savukārt kombinētā prognoze sniedz sabalansētu prognozi</w:t>
      </w:r>
      <w:r w:rsidR="005759B8" w:rsidRPr="00D55D21">
        <w:rPr>
          <w:sz w:val="24"/>
        </w:rPr>
        <w:t xml:space="preserve"> – </w:t>
      </w:r>
      <w:r w:rsidR="00F81DE1" w:rsidRPr="00D55D21">
        <w:rPr>
          <w:sz w:val="24"/>
        </w:rPr>
        <w:t>skatījumu uz nozares attīstības dinamiku starp ekspertu vidējiem novērtējumiem un statistiski ekstrapolētu situācijas attīstību.</w:t>
      </w:r>
    </w:p>
    <w:p w14:paraId="067FD4CD" w14:textId="21D8DCB9" w:rsidR="005831D2" w:rsidRPr="00D55D21" w:rsidRDefault="005831D2" w:rsidP="00130635">
      <w:pPr>
        <w:ind w:firstLine="720"/>
        <w:jc w:val="both"/>
        <w:rPr>
          <w:sz w:val="24"/>
        </w:rPr>
      </w:pPr>
      <w:r w:rsidRPr="00D55D21">
        <w:rPr>
          <w:sz w:val="24"/>
        </w:rPr>
        <w:t>Būvniecības produkcijas apjomam tiek prognozēta pozitīva izaugsme - pieaugums 2022. gadā par 0,9% pēc ekspertu prognozes un 1,3% pēc statistiskās prognozes, kas veido kombinēto prognozi</w:t>
      </w:r>
      <w:r w:rsidR="004038AB">
        <w:rPr>
          <w:sz w:val="24"/>
        </w:rPr>
        <w:t xml:space="preserve"> ar</w:t>
      </w:r>
      <w:r w:rsidRPr="00D55D21">
        <w:rPr>
          <w:sz w:val="24"/>
        </w:rPr>
        <w:t xml:space="preserve"> 1,1% pieaugum</w:t>
      </w:r>
      <w:r w:rsidR="00635CCA" w:rsidRPr="00D55D21">
        <w:rPr>
          <w:sz w:val="24"/>
        </w:rPr>
        <w:t>u</w:t>
      </w:r>
      <w:r w:rsidRPr="00D55D21">
        <w:rPr>
          <w:sz w:val="24"/>
        </w:rPr>
        <w:t xml:space="preserve"> (skat. </w:t>
      </w:r>
      <w:r w:rsidR="005A7DE6">
        <w:rPr>
          <w:sz w:val="24"/>
        </w:rPr>
        <w:t>1</w:t>
      </w:r>
      <w:r w:rsidRPr="00D55D21">
        <w:rPr>
          <w:sz w:val="24"/>
        </w:rPr>
        <w:t>.attēlu). Savukārt 2023. gadā tiek prognozēts mērenāks izaugsmes temps</w:t>
      </w:r>
      <w:r w:rsidR="00BD44F2" w:rsidRPr="00D55D21">
        <w:rPr>
          <w:sz w:val="24"/>
        </w:rPr>
        <w:t xml:space="preserve"> </w:t>
      </w:r>
      <w:r w:rsidR="00130635" w:rsidRPr="00D55D21">
        <w:rPr>
          <w:sz w:val="24"/>
        </w:rPr>
        <w:t>-1,4% līdz 0,9</w:t>
      </w:r>
      <w:r w:rsidRPr="00D55D21">
        <w:rPr>
          <w:sz w:val="24"/>
        </w:rPr>
        <w:t>% robežās.</w:t>
      </w:r>
      <w:bookmarkStart w:id="0" w:name="_Hlk109194404"/>
      <w:r w:rsidRPr="00D55D21">
        <w:rPr>
          <w:sz w:val="24"/>
        </w:rPr>
        <w:t xml:space="preserve"> </w:t>
      </w:r>
      <w:r w:rsidR="00BD44F2" w:rsidRPr="00D55D21">
        <w:rPr>
          <w:sz w:val="24"/>
        </w:rPr>
        <w:t xml:space="preserve">Ekspertu skatījumā būvniecības produkcijas apjoms 2023. gadā varētu samazināties -1,4% apmērā. </w:t>
      </w:r>
      <w:r w:rsidRPr="00D55D21">
        <w:rPr>
          <w:sz w:val="24"/>
        </w:rPr>
        <w:t>Iegūtie rezultāti liecina par relatīvi zemām atšķirībām starp ekspertu novērtēto tirgus attīstības tempu un iegūtajiem statistiskās ekstrapolācijas rezultātiem.</w:t>
      </w:r>
    </w:p>
    <w:bookmarkEnd w:id="0"/>
    <w:p w14:paraId="71136DC6" w14:textId="77777777" w:rsidR="005831D2" w:rsidRPr="00D55D21" w:rsidRDefault="005831D2" w:rsidP="005831D2">
      <w:pPr>
        <w:ind w:firstLine="720"/>
        <w:jc w:val="both"/>
        <w:rPr>
          <w:sz w:val="24"/>
        </w:rPr>
      </w:pPr>
    </w:p>
    <w:p w14:paraId="116732B4" w14:textId="77777777" w:rsidR="005831D2" w:rsidRPr="00D55D21" w:rsidRDefault="005831D2" w:rsidP="005831D2">
      <w:pPr>
        <w:spacing w:before="120"/>
        <w:jc w:val="center"/>
        <w:rPr>
          <w:sz w:val="24"/>
        </w:rPr>
      </w:pPr>
      <w:r w:rsidRPr="00D55D21">
        <w:rPr>
          <w:noProof/>
        </w:rPr>
        <w:drawing>
          <wp:inline distT="0" distB="0" distL="0" distR="0" wp14:anchorId="135F748A" wp14:editId="500692B8">
            <wp:extent cx="5760720" cy="30105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010535"/>
                    </a:xfrm>
                    <a:prstGeom prst="rect">
                      <a:avLst/>
                    </a:prstGeom>
                    <a:noFill/>
                    <a:ln>
                      <a:noFill/>
                    </a:ln>
                  </pic:spPr>
                </pic:pic>
              </a:graphicData>
            </a:graphic>
          </wp:inline>
        </w:drawing>
      </w:r>
    </w:p>
    <w:p w14:paraId="3F10DAEA" w14:textId="77777777" w:rsidR="005831D2" w:rsidRPr="00D55D21" w:rsidRDefault="005831D2" w:rsidP="004D2143">
      <w:pPr>
        <w:pStyle w:val="ListParagraph"/>
        <w:numPr>
          <w:ilvl w:val="0"/>
          <w:numId w:val="1"/>
        </w:numPr>
        <w:tabs>
          <w:tab w:val="left" w:pos="284"/>
        </w:tabs>
        <w:spacing w:before="120"/>
        <w:ind w:left="0" w:hanging="11"/>
        <w:jc w:val="center"/>
        <w:rPr>
          <w:sz w:val="24"/>
        </w:rPr>
      </w:pPr>
      <w:r w:rsidRPr="00D55D21">
        <w:rPr>
          <w:sz w:val="24"/>
        </w:rPr>
        <w:t>attēls. Būvniecības produkcijas apjoma izmaiņas 2012.-2021. gadā un to prognozes 2022.-2026. gadam</w:t>
      </w:r>
      <w:r w:rsidRPr="00D55D21">
        <w:rPr>
          <w:spacing w:val="11"/>
          <w:sz w:val="24"/>
        </w:rPr>
        <w:t xml:space="preserve"> </w:t>
      </w:r>
      <w:r w:rsidRPr="00D55D21">
        <w:rPr>
          <w:sz w:val="24"/>
        </w:rPr>
        <w:t>(% pret iepriekšējo gadu)</w:t>
      </w:r>
    </w:p>
    <w:p w14:paraId="128284F4" w14:textId="506F2ADE" w:rsidR="00375257" w:rsidRDefault="00375257" w:rsidP="005831D2">
      <w:pPr>
        <w:spacing w:before="120"/>
        <w:jc w:val="both"/>
        <w:rPr>
          <w:sz w:val="20"/>
          <w:szCs w:val="20"/>
        </w:rPr>
      </w:pPr>
      <w:r w:rsidRPr="00375257">
        <w:rPr>
          <w:sz w:val="20"/>
          <w:szCs w:val="20"/>
        </w:rPr>
        <w:t>Piezīme. Ekspertu prognozē apkopoti 19 vispārīgo un 10 būvmateriālu tirdzniecības ekspertu paustie viedokļi.</w:t>
      </w:r>
    </w:p>
    <w:p w14:paraId="04AB0D57" w14:textId="28B3BDBB" w:rsidR="005831D2" w:rsidRPr="00D55D21" w:rsidRDefault="005831D2" w:rsidP="005831D2">
      <w:pPr>
        <w:spacing w:before="120"/>
        <w:jc w:val="both"/>
        <w:rPr>
          <w:sz w:val="20"/>
          <w:szCs w:val="20"/>
        </w:rPr>
      </w:pPr>
      <w:r w:rsidRPr="00D55D21">
        <w:rPr>
          <w:sz w:val="20"/>
          <w:szCs w:val="20"/>
        </w:rPr>
        <w:t xml:space="preserve">Datu avots: SIA “InnoMatrix” </w:t>
      </w:r>
      <w:r w:rsidR="004D159F" w:rsidRPr="00D55D21">
        <w:rPr>
          <w:sz w:val="20"/>
          <w:szCs w:val="20"/>
        </w:rPr>
        <w:t xml:space="preserve">2022. gada </w:t>
      </w:r>
      <w:r w:rsidRPr="00D55D21">
        <w:rPr>
          <w:sz w:val="20"/>
          <w:szCs w:val="20"/>
        </w:rPr>
        <w:t>ziņojums “Pētījums par ikgadējām izmaksu dinamikas prognozēm un pārkaršanas riskiem Latvijas būvniecības nozarē”.</w:t>
      </w:r>
    </w:p>
    <w:p w14:paraId="312B7D47" w14:textId="77777777" w:rsidR="005831D2" w:rsidRPr="00D55D21" w:rsidRDefault="005831D2" w:rsidP="005831D2">
      <w:pPr>
        <w:spacing w:before="120"/>
        <w:jc w:val="both"/>
        <w:rPr>
          <w:sz w:val="20"/>
          <w:szCs w:val="20"/>
        </w:rPr>
      </w:pPr>
    </w:p>
    <w:p w14:paraId="6C71C8E2" w14:textId="7824E3B0" w:rsidR="005831D2" w:rsidRDefault="003341D5" w:rsidP="005831D2">
      <w:pPr>
        <w:ind w:firstLine="720"/>
        <w:jc w:val="both"/>
        <w:rPr>
          <w:sz w:val="24"/>
        </w:rPr>
      </w:pPr>
      <w:r w:rsidRPr="00D55D21">
        <w:rPr>
          <w:sz w:val="24"/>
        </w:rPr>
        <w:t xml:space="preserve">Turpmākajos gados </w:t>
      </w:r>
      <w:r w:rsidR="005831D2" w:rsidRPr="00D55D21">
        <w:rPr>
          <w:sz w:val="24"/>
        </w:rPr>
        <w:t>novērojama ekspertu un statistisko prognožu diverģence. Salīdzinot iegūtās prognozes iepriekšējo gadu veiktajos pētījumos, novērojama rezultātu augsta atšķirība. Piemēram, 2021. gadā būvniecības produkcijas apjoms samazinājās par -6,2%, tajā pašā laikā 2021. gada ekspertu prognoze norādīja uz 11,4% pieaugumu, bet kombinētā prognoze – uz gaidāmo 6,6% pieaugumu. Absolūtā izteiksmē kombinētā prognoze bija ar zemāku kļūdu. Iespējamie iemesli šādām būtiskām atšķirībām varētu būt nozarē izteikti saasinātas un būtiskas globālo loģistikas ķēžu darbības problēmas, kas izraisa piegāžu kavēšanos un būtisku cenu kāpumu izejvielām.</w:t>
      </w:r>
    </w:p>
    <w:p w14:paraId="3FCB3F34" w14:textId="44662863" w:rsidR="001D0512" w:rsidRPr="00D55D21" w:rsidRDefault="001D0512" w:rsidP="001D0512">
      <w:pPr>
        <w:ind w:firstLine="720"/>
        <w:jc w:val="both"/>
        <w:rPr>
          <w:sz w:val="24"/>
        </w:rPr>
      </w:pPr>
      <w:r w:rsidRPr="00D55D21">
        <w:rPr>
          <w:sz w:val="24"/>
        </w:rPr>
        <w:lastRenderedPageBreak/>
        <w:t>Pētnieku skatījumā nozares ekspertu paustais optimisms prognožu veikšanā var tikt saistīts ar šoka stāvokli būvniecības nozarē gada pirmajā pusē, ko izraisīja Krievijas uzsāktā karadarbība Ukrainā, kam sekoja straujš izmaksu pieaugums un piegādes kanālu pārrāvumi, kā rezultātā daudzi būvdarbi tika apturēti</w:t>
      </w:r>
      <w:r w:rsidR="004E61CD">
        <w:rPr>
          <w:sz w:val="24"/>
        </w:rPr>
        <w:t>. R</w:t>
      </w:r>
      <w:r w:rsidRPr="00D55D21">
        <w:rPr>
          <w:sz w:val="24"/>
        </w:rPr>
        <w:t>esursu cen</w:t>
      </w:r>
      <w:r w:rsidR="004E61CD">
        <w:rPr>
          <w:sz w:val="24"/>
        </w:rPr>
        <w:t>as</w:t>
      </w:r>
      <w:r w:rsidRPr="00D55D21">
        <w:rPr>
          <w:sz w:val="24"/>
        </w:rPr>
        <w:t xml:space="preserve"> stabilizē</w:t>
      </w:r>
      <w:r w:rsidR="004E61CD">
        <w:rPr>
          <w:sz w:val="24"/>
        </w:rPr>
        <w:t>jas</w:t>
      </w:r>
      <w:r w:rsidRPr="00D55D21">
        <w:rPr>
          <w:sz w:val="24"/>
        </w:rPr>
        <w:t xml:space="preserve"> pazīmes un jaun</w:t>
      </w:r>
      <w:r w:rsidR="004E61CD">
        <w:rPr>
          <w:sz w:val="24"/>
        </w:rPr>
        <w:t>as</w:t>
      </w:r>
      <w:r w:rsidRPr="00D55D21">
        <w:rPr>
          <w:sz w:val="24"/>
        </w:rPr>
        <w:t xml:space="preserve"> loģistikas ķēžu nostiprinā</w:t>
      </w:r>
      <w:r w:rsidR="004E61CD">
        <w:rPr>
          <w:sz w:val="24"/>
        </w:rPr>
        <w:t>jā</w:t>
      </w:r>
      <w:r w:rsidRPr="00D55D21">
        <w:rPr>
          <w:sz w:val="24"/>
        </w:rPr>
        <w:t>s</w:t>
      </w:r>
      <w:r w:rsidR="004E61CD">
        <w:rPr>
          <w:sz w:val="24"/>
        </w:rPr>
        <w:t xml:space="preserve"> tikai</w:t>
      </w:r>
      <w:r w:rsidRPr="00D55D21">
        <w:rPr>
          <w:sz w:val="24"/>
        </w:rPr>
        <w:t xml:space="preserve"> 2. ceturkšņa beigās. Ekspertu skatījumā situācijas stabilizēšanās būvniecības nozarē</w:t>
      </w:r>
      <w:r w:rsidR="004E61CD">
        <w:rPr>
          <w:sz w:val="24"/>
        </w:rPr>
        <w:t xml:space="preserve"> būtu sniegusi</w:t>
      </w:r>
      <w:r w:rsidRPr="00D55D21">
        <w:rPr>
          <w:sz w:val="24"/>
        </w:rPr>
        <w:t xml:space="preserve"> iespēju</w:t>
      </w:r>
      <w:r>
        <w:rPr>
          <w:sz w:val="24"/>
        </w:rPr>
        <w:t xml:space="preserve"> līdz gada beigām</w:t>
      </w:r>
      <w:r w:rsidRPr="00D55D21">
        <w:rPr>
          <w:sz w:val="24"/>
        </w:rPr>
        <w:t xml:space="preserve"> pabeigt būvdarbus</w:t>
      </w:r>
      <w:r>
        <w:rPr>
          <w:sz w:val="24"/>
        </w:rPr>
        <w:t>, kas tika iekavēti</w:t>
      </w:r>
      <w:r w:rsidRPr="00D55D21">
        <w:rPr>
          <w:sz w:val="24"/>
        </w:rPr>
        <w:t xml:space="preserve"> 2022. gada </w:t>
      </w:r>
      <w:r>
        <w:rPr>
          <w:sz w:val="24"/>
        </w:rPr>
        <w:t>1</w:t>
      </w:r>
      <w:r w:rsidRPr="00D55D21">
        <w:rPr>
          <w:sz w:val="24"/>
        </w:rPr>
        <w:t>. pusgadā, tādējādi palielinot kopējo būvniecības produkcijas apjomu un kompensējot 1. pusgada apjoma kritumu.</w:t>
      </w:r>
    </w:p>
    <w:p w14:paraId="3A3FE1EE" w14:textId="77777777" w:rsidR="001D0512" w:rsidRPr="00D55D21" w:rsidRDefault="001D0512" w:rsidP="005831D2">
      <w:pPr>
        <w:ind w:firstLine="720"/>
        <w:jc w:val="both"/>
        <w:rPr>
          <w:sz w:val="24"/>
        </w:rPr>
      </w:pPr>
    </w:p>
    <w:p w14:paraId="2D988F47" w14:textId="752E82F3" w:rsidR="009C496B" w:rsidRDefault="005831D2" w:rsidP="002F70E7">
      <w:pPr>
        <w:ind w:firstLine="720"/>
        <w:jc w:val="both"/>
        <w:rPr>
          <w:sz w:val="24"/>
        </w:rPr>
      </w:pPr>
      <w:r w:rsidRPr="00D55D21">
        <w:rPr>
          <w:sz w:val="24"/>
        </w:rPr>
        <w:t xml:space="preserve">Pēc </w:t>
      </w:r>
      <w:r w:rsidR="003D7CB8" w:rsidRPr="00D55D21">
        <w:rPr>
          <w:sz w:val="24"/>
        </w:rPr>
        <w:t>CSP</w:t>
      </w:r>
      <w:r w:rsidRPr="00D55D21">
        <w:rPr>
          <w:sz w:val="24"/>
        </w:rPr>
        <w:t xml:space="preserve"> datiem, kas tika publicēti pēc ekspertu aptaujas un pētījuma aprēķinos netika iekļauti, </w:t>
      </w:r>
      <w:r w:rsidR="009C496B" w:rsidRPr="009C496B">
        <w:rPr>
          <w:sz w:val="24"/>
        </w:rPr>
        <w:t xml:space="preserve">2022. gada 3. ceturksnī, salīdzinot ar 2021. gada 3. ceturksni, būvniecības produkcijas apjoms pēc </w:t>
      </w:r>
      <w:r w:rsidR="004E61CD">
        <w:rPr>
          <w:sz w:val="24"/>
        </w:rPr>
        <w:t>sezonāli</w:t>
      </w:r>
      <w:r w:rsidR="009C496B" w:rsidRPr="009C496B">
        <w:rPr>
          <w:sz w:val="24"/>
        </w:rPr>
        <w:t xml:space="preserve"> koriģētiem datiem salīdzināmajās cenās samazinājās par 13,6 %</w:t>
      </w:r>
      <w:r w:rsidR="009C496B">
        <w:rPr>
          <w:sz w:val="24"/>
        </w:rPr>
        <w:t xml:space="preserve">. </w:t>
      </w:r>
      <w:r w:rsidR="009C496B" w:rsidRPr="009C496B">
        <w:rPr>
          <w:sz w:val="24"/>
        </w:rPr>
        <w:t>Būvniecības apjoma kritums bija ēku būvniecībā – par 14,2 %, specializētajos būvdarbos – par 13,3 % un inženierbūvniecībā – par 12,2 %</w:t>
      </w:r>
      <w:r w:rsidR="009C496B">
        <w:rPr>
          <w:sz w:val="24"/>
        </w:rPr>
        <w:t xml:space="preserve">. </w:t>
      </w:r>
    </w:p>
    <w:p w14:paraId="07B1E084" w14:textId="5FF71EE5" w:rsidR="009C496B" w:rsidRDefault="004E61CD" w:rsidP="002F70E7">
      <w:pPr>
        <w:ind w:firstLine="720"/>
        <w:jc w:val="both"/>
        <w:rPr>
          <w:sz w:val="24"/>
        </w:rPr>
      </w:pPr>
      <w:r>
        <w:rPr>
          <w:sz w:val="24"/>
        </w:rPr>
        <w:t>Kopumā a</w:t>
      </w:r>
      <w:r w:rsidR="009C496B">
        <w:rPr>
          <w:sz w:val="24"/>
        </w:rPr>
        <w:t xml:space="preserve">tbilstoši jaunākajiem CSP datiem </w:t>
      </w:r>
      <w:r w:rsidR="009C496B" w:rsidRPr="009C496B">
        <w:rPr>
          <w:sz w:val="24"/>
        </w:rPr>
        <w:t xml:space="preserve">2022. gada deviņos mēnešos, salīdzinot ar 2021 gada deviņiem mēnešiem, būvniecības produkcijas apjoms pēc </w:t>
      </w:r>
      <w:r>
        <w:rPr>
          <w:sz w:val="24"/>
        </w:rPr>
        <w:t>sezonāli</w:t>
      </w:r>
      <w:r w:rsidR="009C496B" w:rsidRPr="009C496B">
        <w:rPr>
          <w:sz w:val="24"/>
        </w:rPr>
        <w:t xml:space="preserve"> koriģētiem datiem salīdzināmajās cenās samazinājās par 12,5 %. Inženierbūvniecībā bija kritums – par 14,3 %, specializētajos būvdarbos – par 12,6 % un ēku būvniecībā – par 10,7 %.</w:t>
      </w:r>
      <w:r>
        <w:rPr>
          <w:sz w:val="24"/>
        </w:rPr>
        <w:t xml:space="preserve"> (skat. 2.attēlu)</w:t>
      </w:r>
    </w:p>
    <w:p w14:paraId="789964B5" w14:textId="5633A701" w:rsidR="00C70086" w:rsidRPr="00D55D21" w:rsidRDefault="009C496B" w:rsidP="00130DE4">
      <w:pPr>
        <w:spacing w:before="120"/>
        <w:jc w:val="center"/>
        <w:rPr>
          <w:sz w:val="24"/>
        </w:rPr>
      </w:pPr>
      <w:r>
        <w:rPr>
          <w:noProof/>
          <w:sz w:val="24"/>
        </w:rPr>
        <w:drawing>
          <wp:inline distT="0" distB="0" distL="0" distR="0" wp14:anchorId="1B7915AA" wp14:editId="0B29E2FB">
            <wp:extent cx="5090859" cy="286396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06136" cy="2872563"/>
                    </a:xfrm>
                    <a:prstGeom prst="rect">
                      <a:avLst/>
                    </a:prstGeom>
                    <a:noFill/>
                  </pic:spPr>
                </pic:pic>
              </a:graphicData>
            </a:graphic>
          </wp:inline>
        </w:drawing>
      </w:r>
    </w:p>
    <w:p w14:paraId="58BE0D6B" w14:textId="31AEE5D8" w:rsidR="00130DE4" w:rsidRPr="00D55D21" w:rsidRDefault="00130DE4" w:rsidP="00130DE4">
      <w:pPr>
        <w:pStyle w:val="ListParagraph"/>
        <w:numPr>
          <w:ilvl w:val="0"/>
          <w:numId w:val="1"/>
        </w:numPr>
        <w:tabs>
          <w:tab w:val="left" w:pos="284"/>
        </w:tabs>
        <w:spacing w:before="120"/>
        <w:ind w:left="0" w:firstLine="0"/>
        <w:jc w:val="center"/>
        <w:rPr>
          <w:sz w:val="24"/>
        </w:rPr>
      </w:pPr>
      <w:r w:rsidRPr="00D55D21">
        <w:rPr>
          <w:sz w:val="24"/>
        </w:rPr>
        <w:t xml:space="preserve">attēls. Būvniecības produkcijas apjoma indekss Latvijas būvniecības nozarē </w:t>
      </w:r>
      <w:r w:rsidR="009C496B" w:rsidRPr="00D55D21">
        <w:rPr>
          <w:sz w:val="24"/>
        </w:rPr>
        <w:t>20</w:t>
      </w:r>
      <w:r w:rsidR="009C496B">
        <w:rPr>
          <w:sz w:val="24"/>
        </w:rPr>
        <w:t>20</w:t>
      </w:r>
      <w:r w:rsidRPr="00D55D21">
        <w:rPr>
          <w:sz w:val="24"/>
        </w:rPr>
        <w:t>.-2022. gada ceturkšņos (2015=100)</w:t>
      </w:r>
    </w:p>
    <w:p w14:paraId="75470704" w14:textId="77777777" w:rsidR="00130DE4" w:rsidRPr="00D55D21" w:rsidRDefault="00130DE4" w:rsidP="00130DE4">
      <w:pPr>
        <w:spacing w:before="120"/>
        <w:jc w:val="both"/>
        <w:rPr>
          <w:sz w:val="20"/>
          <w:szCs w:val="20"/>
        </w:rPr>
      </w:pPr>
      <w:r w:rsidRPr="00D55D21">
        <w:rPr>
          <w:sz w:val="20"/>
          <w:szCs w:val="20"/>
        </w:rPr>
        <w:t>Datu avots: izveidots pēc CSP datiem.</w:t>
      </w:r>
    </w:p>
    <w:p w14:paraId="3EC09393" w14:textId="731321B4" w:rsidR="00130DE4" w:rsidRDefault="00130DE4" w:rsidP="005831D2">
      <w:pPr>
        <w:ind w:firstLine="720"/>
        <w:jc w:val="both"/>
        <w:rPr>
          <w:sz w:val="24"/>
        </w:rPr>
      </w:pPr>
    </w:p>
    <w:p w14:paraId="4000EA9B" w14:textId="381069BA" w:rsidR="009C496B" w:rsidRDefault="009C496B" w:rsidP="005831D2">
      <w:pPr>
        <w:ind w:firstLine="720"/>
        <w:jc w:val="both"/>
        <w:rPr>
          <w:sz w:val="24"/>
        </w:rPr>
      </w:pPr>
      <w:r>
        <w:rPr>
          <w:sz w:val="24"/>
        </w:rPr>
        <w:t>Ņemot vērā statistikas datus par būvniecības produkcijas apjomiem varam secināt,</w:t>
      </w:r>
      <w:r w:rsidR="00696179">
        <w:rPr>
          <w:sz w:val="24"/>
        </w:rPr>
        <w:t xml:space="preserve"> </w:t>
      </w:r>
      <w:r w:rsidR="00696179">
        <w:rPr>
          <w:sz w:val="24"/>
          <w:lang w:eastAsia="lv-LV"/>
        </w:rPr>
        <w:t>ka tik liela nestabilitāte nozarē padara neiespējamu precīzu prognožu veikšanu un</w:t>
      </w:r>
      <w:r>
        <w:rPr>
          <w:sz w:val="24"/>
        </w:rPr>
        <w:t xml:space="preserve"> 2022.gadā kopumā ir sagaidāms būvniecības produkcijas apjoma kritums, kas varētu pārsniegt 10% salīdzinot ar 2021.gadu. Līdz ar to pētnieku aprēķinātās prognozes būvniecības produkcijas apjomam</w:t>
      </w:r>
      <w:r w:rsidR="004E61CD">
        <w:rPr>
          <w:sz w:val="24"/>
        </w:rPr>
        <w:t xml:space="preserve"> (prognozēts 1.1.% pieaugums pret 2021.gadu)</w:t>
      </w:r>
      <w:r>
        <w:rPr>
          <w:sz w:val="24"/>
        </w:rPr>
        <w:t xml:space="preserve"> ir </w:t>
      </w:r>
      <w:r w:rsidR="001D0512">
        <w:rPr>
          <w:sz w:val="24"/>
        </w:rPr>
        <w:t xml:space="preserve">pārāk neprecīzas un tās nebūtu </w:t>
      </w:r>
      <w:r w:rsidR="004E61CD">
        <w:rPr>
          <w:sz w:val="24"/>
        </w:rPr>
        <w:t xml:space="preserve">lietderīgi </w:t>
      </w:r>
      <w:r w:rsidR="001D0512">
        <w:rPr>
          <w:sz w:val="24"/>
        </w:rPr>
        <w:t>izmant</w:t>
      </w:r>
      <w:r w:rsidR="004E61CD">
        <w:rPr>
          <w:sz w:val="24"/>
        </w:rPr>
        <w:t>ot</w:t>
      </w:r>
      <w:r w:rsidR="001D0512">
        <w:rPr>
          <w:sz w:val="24"/>
        </w:rPr>
        <w:t xml:space="preserve"> būvniecības nozares apjomu plānošanā un lēmumu pieņemšanā par esošo būvniecības ieceru turpināšanu vai jaunu būvniecības ieceru uzsākšanu.</w:t>
      </w:r>
    </w:p>
    <w:p w14:paraId="7EFA792A" w14:textId="6A0738AA" w:rsidR="001D0512" w:rsidRDefault="001D0512" w:rsidP="005831D2">
      <w:pPr>
        <w:ind w:firstLine="720"/>
        <w:jc w:val="both"/>
        <w:rPr>
          <w:sz w:val="24"/>
        </w:rPr>
      </w:pPr>
    </w:p>
    <w:p w14:paraId="3215CE11" w14:textId="5C804BBC" w:rsidR="00934AFC" w:rsidRDefault="00934AFC">
      <w:pPr>
        <w:rPr>
          <w:sz w:val="24"/>
        </w:rPr>
      </w:pPr>
      <w:r>
        <w:rPr>
          <w:sz w:val="24"/>
        </w:rPr>
        <w:br w:type="page"/>
      </w:r>
    </w:p>
    <w:p w14:paraId="7A4EA387" w14:textId="77777777" w:rsidR="007D7024" w:rsidRPr="00855FB2" w:rsidRDefault="007D7024" w:rsidP="00CA4136">
      <w:pPr>
        <w:pStyle w:val="Heading1"/>
        <w:tabs>
          <w:tab w:val="left" w:pos="284"/>
        </w:tabs>
        <w:jc w:val="both"/>
        <w:rPr>
          <w:rFonts w:ascii="Times New Roman" w:hAnsi="Times New Roman" w:cs="Times New Roman"/>
          <w:color w:val="0099CC"/>
          <w:szCs w:val="24"/>
        </w:rPr>
      </w:pPr>
      <w:r w:rsidRPr="00855FB2">
        <w:rPr>
          <w:rFonts w:ascii="Times New Roman" w:hAnsi="Times New Roman" w:cs="Times New Roman"/>
          <w:color w:val="0099CC"/>
          <w:szCs w:val="24"/>
        </w:rPr>
        <w:lastRenderedPageBreak/>
        <w:t>Būvniecības izmaksu izmaiņas un to prognozes Latvijas būvniecības nozarē</w:t>
      </w:r>
    </w:p>
    <w:p w14:paraId="3C786B11" w14:textId="77777777" w:rsidR="00C31279" w:rsidRPr="00855FB2" w:rsidRDefault="00C31279" w:rsidP="0083780E">
      <w:pPr>
        <w:pStyle w:val="Heading2"/>
        <w:numPr>
          <w:ilvl w:val="1"/>
          <w:numId w:val="4"/>
        </w:numPr>
        <w:spacing w:before="240"/>
        <w:jc w:val="both"/>
        <w:rPr>
          <w:rFonts w:ascii="Times New Roman" w:eastAsia="Calibri" w:hAnsi="Times New Roman" w:cs="Times New Roman"/>
          <w:color w:val="0099CC"/>
          <w:szCs w:val="24"/>
        </w:rPr>
      </w:pPr>
      <w:r w:rsidRPr="00855FB2">
        <w:rPr>
          <w:color w:val="0099CC"/>
        </w:rPr>
        <w:t xml:space="preserve">Būvniecības izmaksu tendences </w:t>
      </w:r>
      <w:r w:rsidRPr="00855FB2">
        <w:rPr>
          <w:rFonts w:ascii="Times New Roman" w:hAnsi="Times New Roman" w:cs="Times New Roman"/>
          <w:color w:val="0099CC"/>
          <w:szCs w:val="24"/>
        </w:rPr>
        <w:t>būvniecības nozarē kopumā</w:t>
      </w:r>
      <w:r w:rsidRPr="00855FB2">
        <w:rPr>
          <w:color w:val="0099CC"/>
        </w:rPr>
        <w:t xml:space="preserve"> </w:t>
      </w:r>
    </w:p>
    <w:p w14:paraId="72B02CF6" w14:textId="77777777" w:rsidR="00C31279" w:rsidRPr="00D55D21" w:rsidRDefault="00C31279" w:rsidP="00C31279">
      <w:pPr>
        <w:ind w:firstLine="709"/>
        <w:jc w:val="both"/>
        <w:rPr>
          <w:sz w:val="24"/>
        </w:rPr>
      </w:pPr>
      <w:r w:rsidRPr="00D55D21">
        <w:rPr>
          <w:sz w:val="24"/>
        </w:rPr>
        <w:t>Būvniecības izmaksas Latvijas būvniecības nozarē tika aplūkotas no būvmateriālu, strādnieku darba samaksas, mašīnu un mehānismu uzturēšanas un ekspluatācijas izmaksu, kā arī arhitektūras un inženiertehnisko pakalpojumu, tehniskās pārbaudes un analīzes izmaksu izmaiņu aspekta, izmantojot gan ekspertu, statistisko, gan arī kombinēto prognozi.</w:t>
      </w:r>
    </w:p>
    <w:p w14:paraId="6BB9C5A3" w14:textId="7B03174E" w:rsidR="00C31279" w:rsidRDefault="00C31279" w:rsidP="00C31279">
      <w:pPr>
        <w:ind w:firstLine="709"/>
        <w:jc w:val="both"/>
        <w:rPr>
          <w:sz w:val="24"/>
        </w:rPr>
      </w:pPr>
      <w:r w:rsidRPr="00D55D21">
        <w:rPr>
          <w:sz w:val="24"/>
        </w:rPr>
        <w:t xml:space="preserve">Būvmateriālu izmaksu izmaiņu prognoze pēc statistiskās prognozes sniedz samērā piezemētu prognozi – 2022. gadā izmaksu pieaugums prognozējams vidēji 13,7% apmērā, bet 2023. gadā – vidēji 7,1% apmērā (skat. </w:t>
      </w:r>
      <w:r w:rsidR="005A7DE6">
        <w:rPr>
          <w:sz w:val="24"/>
        </w:rPr>
        <w:t>3</w:t>
      </w:r>
      <w:r w:rsidRPr="00D55D21">
        <w:rPr>
          <w:sz w:val="24"/>
        </w:rPr>
        <w:t xml:space="preserve">.a attēlu). Tā kā statistiskā prognoze balstās uz ekstrapolāciju, kas ņem vērā iepriekšējo gadu vidējās izmaksu izmaiņas un paredz attīstību atbilstoši tā laika perioda tendencēm, bet neņem vērā esošo notikumu attīstību pasaulē un to ietekmi uz būvmateriālu izmaksām, tad augstāka datu ticamība šobrīd ir ekspertu veiktajām prognozēm. Eksperti sniedzot savas prognozes ņem vērā notikumu attīstību pasaulē un to ietekmi uz būvmateriālu un energoresursu tirgu. Vadoties pēc ekspertu prognozēm būvmateriālu izmaksas 2022. gadā varētu pieaugt vidēji par 21,1%, bet 2023. gadā – vidēji  par 8,6%. </w:t>
      </w:r>
    </w:p>
    <w:p w14:paraId="237940B1" w14:textId="77777777" w:rsidR="00934AFC" w:rsidRPr="00D55D21" w:rsidRDefault="00934AFC" w:rsidP="00934AFC">
      <w:pPr>
        <w:ind w:firstLine="709"/>
        <w:jc w:val="both"/>
        <w:rPr>
          <w:sz w:val="24"/>
        </w:rPr>
      </w:pPr>
      <w:r>
        <w:rPr>
          <w:sz w:val="24"/>
        </w:rPr>
        <w:t>S</w:t>
      </w:r>
      <w:r w:rsidRPr="00D55D21">
        <w:rPr>
          <w:sz w:val="24"/>
        </w:rPr>
        <w:t>trādnieku darba samaksas</w:t>
      </w:r>
      <w:r>
        <w:rPr>
          <w:sz w:val="24"/>
        </w:rPr>
        <w:t xml:space="preserve"> izmaksu</w:t>
      </w:r>
      <w:r w:rsidRPr="00D55D21">
        <w:rPr>
          <w:sz w:val="24"/>
        </w:rPr>
        <w:t xml:space="preserve"> </w:t>
      </w:r>
      <w:r>
        <w:rPr>
          <w:sz w:val="24"/>
        </w:rPr>
        <w:t>p</w:t>
      </w:r>
      <w:r w:rsidRPr="00D55D21">
        <w:rPr>
          <w:sz w:val="24"/>
        </w:rPr>
        <w:t>rognozes 2022. gadam liecina par izmaksu palielināšanos – vidēji par 7,8% pēc ekspertu prognozes un vidēji par 6,9% pēc kombinētās prognozes. Pētnieku skatījumā ticamāka prognoze ir pēc kombinētās prognozes. Balstoties uz veiktajām prognozēm strādnieku darba samaksas izmaksas radīs daudz mazāku spiedienu uz kopējām būvniecības izmaksām nekā būvmateriālu, mašīnu un mehānismu uzturēšanas un ekspluatācijas izmaksas.</w:t>
      </w:r>
    </w:p>
    <w:p w14:paraId="7DB393A0" w14:textId="77777777" w:rsidR="00934AFC" w:rsidRPr="00D55D21" w:rsidRDefault="00934AFC" w:rsidP="00934AFC">
      <w:pPr>
        <w:ind w:firstLine="709"/>
        <w:jc w:val="both"/>
        <w:rPr>
          <w:sz w:val="24"/>
        </w:rPr>
      </w:pPr>
      <w:r w:rsidRPr="00D55D21">
        <w:rPr>
          <w:sz w:val="24"/>
        </w:rPr>
        <w:t>Mašīnu un mehānismu uzturēšanas un ekspluatācijas izmaks</w:t>
      </w:r>
      <w:r>
        <w:rPr>
          <w:sz w:val="24"/>
        </w:rPr>
        <w:t xml:space="preserve">u prognozē ir </w:t>
      </w:r>
      <w:r w:rsidRPr="00D55D21">
        <w:rPr>
          <w:sz w:val="24"/>
        </w:rPr>
        <w:t>ievērojams izmaksu pieaugums 2022. gadā - vidēji par 14,5% pēc ekspertu prognozes un vidēji par 10,3% pēc kombinētās prognozes. Šīs prognozes būtiski atšķiras no statistiskās prognozes 2022. gadam (5,9% pieauguma), kas, līdzīgi kā būvmateriālu izmaksu kontekstā, ir skaidrojams ar neordināro situāciju 2022. gadā, kas nepakļaujas pastāvošajai tendencei. Izmaksu pieaugums var tikt saistīts ar degvielas būtisko cenas pieaugumu, kas tiešā veidā atainojas mašīnu un mehānismu ekspluatācijas izmaksās, un iespējams konkurences trūkumu mašīnu un mehānismu tirgū Latvijā.</w:t>
      </w:r>
    </w:p>
    <w:p w14:paraId="6D334C58" w14:textId="77777777" w:rsidR="00934AFC" w:rsidRPr="00D55D21" w:rsidRDefault="00934AFC" w:rsidP="00934AFC">
      <w:pPr>
        <w:ind w:firstLine="709"/>
        <w:jc w:val="both"/>
        <w:rPr>
          <w:sz w:val="24"/>
        </w:rPr>
      </w:pPr>
      <w:r w:rsidRPr="00D55D21">
        <w:rPr>
          <w:sz w:val="24"/>
        </w:rPr>
        <w:t xml:space="preserve">Arhitektūras un inženiertehnisko pakalpojumu, tehniskās pārbaudes un analīzes izmaksās novērojama cikliska attīstība (skat. </w:t>
      </w:r>
      <w:r>
        <w:rPr>
          <w:sz w:val="24"/>
        </w:rPr>
        <w:t>3</w:t>
      </w:r>
      <w:r w:rsidRPr="00D55D21">
        <w:rPr>
          <w:sz w:val="24"/>
        </w:rPr>
        <w:t>.d attēlu). Ievērojamākās izmaksu izmaiņas tika novērotas 2014. gadā (pieaugums vidēji par 7,08%) un 2018. gadā (pieaugums vidēji par 7,55%). Mazākās izmaksu izmaiņas tika novērotas 2017. gadā (pieaugums vidēji par 1,2%) un 2021. gadā (pieaugums vidēji par 1,7%). Ņemot vērā ciklisko attīstību par kā relatīvi ticama uzskatāma kombinētā prognoze, kuras aprēķinos tiek ņemtas vērā un tādējādi tiek atkārtotas cikliskās svārstības. Vadoties pēc kombinētās prognozes arhitektūras un inženiertehnisko pakalpojumu, tehniskās pārbaudes un analīzes izmaksu pieaugums 2022. gadā prognozējams vidēji par 6,9%, 2023. gadā – vidēji par 5,4%, bet turpmākajā periodā 2024.-2026. gadā – vidēji par 4,7% gadā.</w:t>
      </w:r>
    </w:p>
    <w:p w14:paraId="40A20A7D" w14:textId="77777777" w:rsidR="00934AFC" w:rsidRPr="00D55D21" w:rsidRDefault="00934AFC" w:rsidP="00C31279">
      <w:pPr>
        <w:ind w:firstLine="709"/>
        <w:jc w:val="both"/>
        <w:rPr>
          <w:sz w:val="24"/>
        </w:rPr>
      </w:pPr>
    </w:p>
    <w:p w14:paraId="39280389" w14:textId="77777777" w:rsidR="00C31279" w:rsidRPr="00D55D21" w:rsidRDefault="00C31279" w:rsidP="00C31279">
      <w:pPr>
        <w:ind w:firstLine="851"/>
        <w:jc w:val="both"/>
        <w:rPr>
          <w:sz w:val="24"/>
        </w:rPr>
      </w:pPr>
    </w:p>
    <w:p w14:paraId="4F1C7F47" w14:textId="77777777" w:rsidR="00C31279" w:rsidRPr="00D55D21" w:rsidRDefault="00C31279" w:rsidP="00C31279">
      <w:pPr>
        <w:jc w:val="center"/>
        <w:rPr>
          <w:b/>
          <w:bCs/>
          <w:sz w:val="24"/>
        </w:rPr>
      </w:pPr>
      <w:r w:rsidRPr="00D55D21">
        <w:rPr>
          <w:noProof/>
        </w:rPr>
        <w:lastRenderedPageBreak/>
        <w:drawing>
          <wp:inline distT="0" distB="0" distL="0" distR="0" wp14:anchorId="154C0D8A" wp14:editId="12C17A06">
            <wp:extent cx="5498465" cy="5025224"/>
            <wp:effectExtent l="0" t="0" r="698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40162" cy="5063333"/>
                    </a:xfrm>
                    <a:prstGeom prst="rect">
                      <a:avLst/>
                    </a:prstGeom>
                    <a:noFill/>
                    <a:ln>
                      <a:noFill/>
                    </a:ln>
                  </pic:spPr>
                </pic:pic>
              </a:graphicData>
            </a:graphic>
          </wp:inline>
        </w:drawing>
      </w:r>
    </w:p>
    <w:p w14:paraId="134B9ED6" w14:textId="77777777" w:rsidR="00C31279" w:rsidRPr="00D55D21" w:rsidRDefault="00C31279" w:rsidP="00C31279">
      <w:pPr>
        <w:pStyle w:val="ListParagraph"/>
        <w:numPr>
          <w:ilvl w:val="0"/>
          <w:numId w:val="1"/>
        </w:numPr>
        <w:tabs>
          <w:tab w:val="left" w:pos="284"/>
          <w:tab w:val="left" w:pos="426"/>
        </w:tabs>
        <w:ind w:left="0" w:firstLine="0"/>
        <w:jc w:val="center"/>
        <w:rPr>
          <w:sz w:val="24"/>
        </w:rPr>
      </w:pPr>
      <w:r w:rsidRPr="00D55D21">
        <w:rPr>
          <w:sz w:val="24"/>
        </w:rPr>
        <w:t>attēls. Būvniecības izmaksu izmaiņu prognozes 2022.-2026. gadam Latvijas būvniecības nozarē dalījumā pa resursu veidiem (% pret iepriekšējo gadu)</w:t>
      </w:r>
    </w:p>
    <w:p w14:paraId="57193BA0" w14:textId="77777777" w:rsidR="00C31279" w:rsidRDefault="00C31279" w:rsidP="00C31279">
      <w:pPr>
        <w:spacing w:before="120"/>
        <w:jc w:val="both"/>
        <w:rPr>
          <w:sz w:val="20"/>
          <w:szCs w:val="20"/>
        </w:rPr>
      </w:pPr>
      <w:r w:rsidRPr="0000132E">
        <w:rPr>
          <w:sz w:val="20"/>
          <w:szCs w:val="20"/>
        </w:rPr>
        <w:t>Piezīme. Ekspertu prognozē apkopoti 19 vispārīgo ekspertu paustie viedokļi.</w:t>
      </w:r>
    </w:p>
    <w:p w14:paraId="478DDB2A" w14:textId="6404C979" w:rsidR="00934AFC" w:rsidRDefault="00C31279" w:rsidP="00934AFC">
      <w:pPr>
        <w:spacing w:before="120"/>
        <w:jc w:val="both"/>
        <w:rPr>
          <w:sz w:val="20"/>
          <w:szCs w:val="20"/>
        </w:rPr>
      </w:pPr>
      <w:r w:rsidRPr="00D55D21">
        <w:rPr>
          <w:sz w:val="20"/>
          <w:szCs w:val="20"/>
        </w:rPr>
        <w:t>Datu avots: izveidots pēc SIA “InnoMatrix” 2022. gada ziņojuma “Pētījums par ikgadējām izmaksu dinamikas prognozēm un pārkaršanas riskiem Latvijas būvniecības nozarē”.</w:t>
      </w:r>
    </w:p>
    <w:p w14:paraId="47C53BC6" w14:textId="77777777" w:rsidR="00C31279" w:rsidRPr="00D55D21" w:rsidRDefault="00C31279" w:rsidP="00C31279">
      <w:pPr>
        <w:spacing w:before="120"/>
        <w:jc w:val="both"/>
        <w:rPr>
          <w:sz w:val="20"/>
          <w:szCs w:val="20"/>
        </w:rPr>
      </w:pPr>
    </w:p>
    <w:p w14:paraId="6D848C6E" w14:textId="0735A2B6" w:rsidR="00C31279" w:rsidRPr="00D55D21" w:rsidRDefault="00C31279" w:rsidP="00C31279">
      <w:pPr>
        <w:ind w:firstLine="709"/>
        <w:jc w:val="both"/>
        <w:rPr>
          <w:sz w:val="24"/>
        </w:rPr>
      </w:pPr>
      <w:r w:rsidRPr="00D55D21">
        <w:rPr>
          <w:sz w:val="24"/>
        </w:rPr>
        <w:t xml:space="preserve">Vadoties pēc pētījuma rezultātiem Latvijas būvniecības nozarē 2022. gadā un 2023. gadā tiek prognozēts būtisks izmaksu pieaugums (skat. </w:t>
      </w:r>
      <w:r w:rsidR="00375044">
        <w:rPr>
          <w:sz w:val="24"/>
        </w:rPr>
        <w:t>4</w:t>
      </w:r>
      <w:r w:rsidRPr="00D55D21">
        <w:rPr>
          <w:sz w:val="24"/>
        </w:rPr>
        <w:t>.attēlu). Iegūtie rezultāti ar statistisko prognozi būtiski atšķiras no ekspertu sniegtajām prognozēm. Vadoties pēc ekspertu prognozes būvniecības izmaksas 2022. gadā varētu pieaugt vidēji par 20,5%, bet 2023. gadā – par 9,4%. Savukārt pēc statistiskās prognozes būvniecības izmaksas 2022. gadā varētu pieaugt vidēji par 9,2%, bet 2023. gadā – par 10,4%, ko pētnieki uzskata par maz ticamu prognozi, ņemot vērā 2022. gada notikumus pasaulē (COVID-19 pandēmiju, Krievijas uzsākto karadarbību Ukrainā, augsto inflāciju, u.c.). Zemu statistisko prognozi var pamatot ar vienmērīgu vidējo izmaksu pieaugumu pēdējo 10 gadu laikā, kas nav pārsniegusi 7% gadā. Būvniecības izmaksu pieaugums 2024.-2026. gadā prognozēts vidēji 8,7% gadā pēc kombinētās prognozes un 4,5% gadā pēc ekspertu prognozes.</w:t>
      </w:r>
    </w:p>
    <w:p w14:paraId="110C3F5E" w14:textId="77777777" w:rsidR="00C31279" w:rsidRPr="00D55D21" w:rsidRDefault="00C31279" w:rsidP="00C31279">
      <w:pPr>
        <w:spacing w:before="120"/>
        <w:jc w:val="center"/>
        <w:rPr>
          <w:sz w:val="24"/>
        </w:rPr>
      </w:pPr>
      <w:r w:rsidRPr="00D55D21">
        <w:rPr>
          <w:noProof/>
        </w:rPr>
        <w:lastRenderedPageBreak/>
        <w:drawing>
          <wp:inline distT="0" distB="0" distL="0" distR="0" wp14:anchorId="7D86527E" wp14:editId="2517B246">
            <wp:extent cx="5760720" cy="300926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009265"/>
                    </a:xfrm>
                    <a:prstGeom prst="rect">
                      <a:avLst/>
                    </a:prstGeom>
                    <a:noFill/>
                    <a:ln>
                      <a:noFill/>
                    </a:ln>
                  </pic:spPr>
                </pic:pic>
              </a:graphicData>
            </a:graphic>
          </wp:inline>
        </w:drawing>
      </w:r>
    </w:p>
    <w:p w14:paraId="1DE7B6D1" w14:textId="77777777" w:rsidR="00C31279" w:rsidRPr="00D55D21" w:rsidRDefault="00C31279" w:rsidP="00C31279">
      <w:pPr>
        <w:pStyle w:val="ListParagraph"/>
        <w:numPr>
          <w:ilvl w:val="0"/>
          <w:numId w:val="1"/>
        </w:numPr>
        <w:tabs>
          <w:tab w:val="left" w:pos="284"/>
          <w:tab w:val="left" w:pos="426"/>
        </w:tabs>
        <w:spacing w:before="120"/>
        <w:ind w:left="0" w:hanging="11"/>
        <w:jc w:val="center"/>
        <w:rPr>
          <w:sz w:val="24"/>
        </w:rPr>
      </w:pPr>
      <w:r w:rsidRPr="00D55D21">
        <w:rPr>
          <w:sz w:val="24"/>
        </w:rPr>
        <w:t>attēls. Būvniecības izmaksu izmaiņas 2012.-2021. gadā un to prognozes 2022.-2026. gadam (% pret iepriekšējo gadu)</w:t>
      </w:r>
    </w:p>
    <w:p w14:paraId="5D5D3635" w14:textId="77777777" w:rsidR="00C31279" w:rsidRDefault="00C31279" w:rsidP="00C31279">
      <w:pPr>
        <w:spacing w:before="120"/>
        <w:jc w:val="both"/>
        <w:rPr>
          <w:sz w:val="20"/>
          <w:szCs w:val="20"/>
        </w:rPr>
      </w:pPr>
      <w:r w:rsidRPr="00873563">
        <w:rPr>
          <w:sz w:val="20"/>
          <w:szCs w:val="20"/>
        </w:rPr>
        <w:t>Piezīme. Ekspertu prognozē apkopoti 19 vispārīgo un 10 būvmateriālu tirdzniecības ekspertu paustie viedokļi.</w:t>
      </w:r>
    </w:p>
    <w:p w14:paraId="5BF577A1" w14:textId="77777777" w:rsidR="00C31279" w:rsidRPr="00D55D21" w:rsidRDefault="00C31279" w:rsidP="00C31279">
      <w:pPr>
        <w:spacing w:before="120"/>
        <w:jc w:val="both"/>
        <w:rPr>
          <w:sz w:val="20"/>
          <w:szCs w:val="20"/>
        </w:rPr>
      </w:pPr>
      <w:r w:rsidRPr="00D55D21">
        <w:rPr>
          <w:sz w:val="20"/>
          <w:szCs w:val="20"/>
        </w:rPr>
        <w:t>Datu avots: SIA “InnoMatrix” 2022. gada ziņojums “Pētījums par ikgadējām izmaksu dinamikas prognozēm un pārkaršanas riskiem Latvijas būvniecības nozarē”.</w:t>
      </w:r>
    </w:p>
    <w:p w14:paraId="72FB364C" w14:textId="64D6019D" w:rsidR="00C31279" w:rsidRDefault="00C31279" w:rsidP="00C31279">
      <w:pPr>
        <w:ind w:firstLine="720"/>
        <w:jc w:val="both"/>
        <w:rPr>
          <w:sz w:val="24"/>
        </w:rPr>
      </w:pPr>
    </w:p>
    <w:p w14:paraId="2A5F0782" w14:textId="08B9AFDC" w:rsidR="00C31279" w:rsidRDefault="005A394D" w:rsidP="00C31279">
      <w:pPr>
        <w:ind w:firstLine="720"/>
        <w:jc w:val="both"/>
        <w:rPr>
          <w:sz w:val="24"/>
        </w:rPr>
      </w:pPr>
      <w:r>
        <w:rPr>
          <w:sz w:val="24"/>
        </w:rPr>
        <w:t>J</w:t>
      </w:r>
      <w:r w:rsidR="00BD55F6">
        <w:rPr>
          <w:sz w:val="24"/>
        </w:rPr>
        <w:t xml:space="preserve">aunākie statistikas dati, kas apkopoti 5. attēlā liecina par </w:t>
      </w:r>
      <w:r w:rsidR="008E1AE6">
        <w:rPr>
          <w:sz w:val="24"/>
        </w:rPr>
        <w:t>augstāku</w:t>
      </w:r>
      <w:r w:rsidR="00BD55F6">
        <w:rPr>
          <w:sz w:val="24"/>
        </w:rPr>
        <w:t xml:space="preserve"> būvniecības izmaksu kāpumu 2022.gad</w:t>
      </w:r>
      <w:r w:rsidR="008E1AE6">
        <w:rPr>
          <w:sz w:val="24"/>
        </w:rPr>
        <w:t>a trīs ceturkšņos</w:t>
      </w:r>
      <w:r w:rsidR="00BD55F6">
        <w:rPr>
          <w:sz w:val="24"/>
        </w:rPr>
        <w:t>, nekā norādīts statistiskajā prognozē</w:t>
      </w:r>
      <w:r w:rsidR="008E1AE6">
        <w:rPr>
          <w:sz w:val="24"/>
        </w:rPr>
        <w:t xml:space="preserve">. Pētījuma statistiskajā prognozē aprēķināts 9.2% būvniecības izmaksu kāpums 2022.gadā, bet jaunākie statistikas dati liecina par 17.4% kāpumu 2022.gada pirmajos trīs ceturkšņos, kas ir līdzīgāks rezultāts ekspertu prognozētajam būvniecības izmaksu pieaugumam. </w:t>
      </w:r>
    </w:p>
    <w:p w14:paraId="50EB2B4D" w14:textId="68E903A2" w:rsidR="00BD55F6" w:rsidRDefault="00BD55F6" w:rsidP="00C31279">
      <w:pPr>
        <w:ind w:firstLine="720"/>
        <w:jc w:val="both"/>
        <w:rPr>
          <w:sz w:val="24"/>
        </w:rPr>
      </w:pPr>
    </w:p>
    <w:p w14:paraId="119A8B93" w14:textId="77777777" w:rsidR="00BD55F6" w:rsidRDefault="00BD55F6" w:rsidP="00BD55F6">
      <w:pPr>
        <w:jc w:val="both"/>
        <w:rPr>
          <w:sz w:val="24"/>
        </w:rPr>
      </w:pPr>
      <w:r>
        <w:rPr>
          <w:noProof/>
          <w:sz w:val="24"/>
        </w:rPr>
        <w:drawing>
          <wp:inline distT="0" distB="0" distL="0" distR="0" wp14:anchorId="1C95B538" wp14:editId="5000587B">
            <wp:extent cx="5390985" cy="3032811"/>
            <wp:effectExtent l="0" t="0" r="63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20036" cy="3049154"/>
                    </a:xfrm>
                    <a:prstGeom prst="rect">
                      <a:avLst/>
                    </a:prstGeom>
                    <a:noFill/>
                  </pic:spPr>
                </pic:pic>
              </a:graphicData>
            </a:graphic>
          </wp:inline>
        </w:drawing>
      </w:r>
    </w:p>
    <w:p w14:paraId="70E92F89" w14:textId="1C56235E" w:rsidR="00BD55F6" w:rsidRDefault="00BD55F6" w:rsidP="00BD55F6">
      <w:pPr>
        <w:pStyle w:val="ListParagraph"/>
        <w:numPr>
          <w:ilvl w:val="0"/>
          <w:numId w:val="1"/>
        </w:numPr>
        <w:tabs>
          <w:tab w:val="left" w:pos="284"/>
        </w:tabs>
        <w:spacing w:before="120"/>
        <w:ind w:left="0" w:firstLine="0"/>
        <w:jc w:val="center"/>
        <w:rPr>
          <w:sz w:val="24"/>
        </w:rPr>
      </w:pPr>
      <w:r w:rsidRPr="00D55D21">
        <w:rPr>
          <w:sz w:val="24"/>
        </w:rPr>
        <w:t xml:space="preserve">attēls. Būvniecības </w:t>
      </w:r>
      <w:r>
        <w:rPr>
          <w:sz w:val="24"/>
        </w:rPr>
        <w:t>izmaksu indeksi pa objektu grupām</w:t>
      </w:r>
      <w:r w:rsidRPr="00D55D21">
        <w:rPr>
          <w:sz w:val="24"/>
        </w:rPr>
        <w:t xml:space="preserve"> 20</w:t>
      </w:r>
      <w:r>
        <w:rPr>
          <w:sz w:val="24"/>
        </w:rPr>
        <w:t>20</w:t>
      </w:r>
      <w:r w:rsidRPr="00D55D21">
        <w:rPr>
          <w:sz w:val="24"/>
        </w:rPr>
        <w:t>.-2022. gada ceturkšņos (2015=100)</w:t>
      </w:r>
    </w:p>
    <w:p w14:paraId="0E72B181" w14:textId="6110484D" w:rsidR="00934AFC" w:rsidRDefault="00BD55F6" w:rsidP="00934AFC">
      <w:pPr>
        <w:spacing w:before="120"/>
        <w:jc w:val="both"/>
        <w:rPr>
          <w:sz w:val="20"/>
          <w:szCs w:val="20"/>
        </w:rPr>
      </w:pPr>
      <w:r w:rsidRPr="00D55D21">
        <w:rPr>
          <w:sz w:val="20"/>
          <w:szCs w:val="20"/>
        </w:rPr>
        <w:t>Datu avots: izveidots pēc CSP datiem.</w:t>
      </w:r>
      <w:r w:rsidR="00934AFC">
        <w:rPr>
          <w:sz w:val="20"/>
          <w:szCs w:val="20"/>
        </w:rPr>
        <w:br w:type="page"/>
      </w:r>
    </w:p>
    <w:p w14:paraId="555F4FD9" w14:textId="77777777" w:rsidR="00BD55F6" w:rsidRPr="00D55D21" w:rsidRDefault="00BD55F6" w:rsidP="00BD55F6">
      <w:pPr>
        <w:spacing w:before="120"/>
        <w:jc w:val="both"/>
        <w:rPr>
          <w:sz w:val="20"/>
          <w:szCs w:val="20"/>
        </w:rPr>
      </w:pPr>
    </w:p>
    <w:p w14:paraId="2FEB0EB9" w14:textId="0BB60512" w:rsidR="002B400A" w:rsidRDefault="00375352" w:rsidP="002B400A">
      <w:pPr>
        <w:ind w:firstLine="720"/>
        <w:jc w:val="both"/>
        <w:rPr>
          <w:sz w:val="24"/>
        </w:rPr>
      </w:pPr>
      <w:r>
        <w:rPr>
          <w:sz w:val="24"/>
        </w:rPr>
        <w:t>Ņemot vērā minēto</w:t>
      </w:r>
      <w:r w:rsidR="002B400A">
        <w:rPr>
          <w:sz w:val="24"/>
        </w:rPr>
        <w:t xml:space="preserve"> prognozējot būvniecības izmaksas</w:t>
      </w:r>
      <w:r>
        <w:rPr>
          <w:sz w:val="24"/>
        </w:rPr>
        <w:t xml:space="preserve"> īsākam termiņam</w:t>
      </w:r>
      <w:r w:rsidR="002B400A">
        <w:rPr>
          <w:sz w:val="24"/>
        </w:rPr>
        <w:t xml:space="preserve"> </w:t>
      </w:r>
      <w:r w:rsidR="002B400A" w:rsidRPr="00D55D21">
        <w:rPr>
          <w:sz w:val="24"/>
        </w:rPr>
        <w:t xml:space="preserve">ticamāka būtu </w:t>
      </w:r>
      <w:r w:rsidR="002B400A">
        <w:rPr>
          <w:sz w:val="24"/>
        </w:rPr>
        <w:t xml:space="preserve">tikai </w:t>
      </w:r>
      <w:r w:rsidR="002B400A" w:rsidRPr="00D55D21">
        <w:rPr>
          <w:sz w:val="24"/>
        </w:rPr>
        <w:t>ekspertu prognoze, kurā ņemti vērā būvniecības nozari ietekmējošie notikumi</w:t>
      </w:r>
      <w:r>
        <w:rPr>
          <w:sz w:val="24"/>
        </w:rPr>
        <w:t xml:space="preserve">, nevis statistikas dati, kuri tik elastīgi nepielāgojas tirgus svārstībām. Līdz ar to </w:t>
      </w:r>
      <w:r w:rsidRPr="00D55D21">
        <w:rPr>
          <w:sz w:val="24"/>
        </w:rPr>
        <w:t>izmaksu izmaiņu prognoze 2022. un 2023.</w:t>
      </w:r>
      <w:r>
        <w:rPr>
          <w:sz w:val="24"/>
        </w:rPr>
        <w:t xml:space="preserve"> </w:t>
      </w:r>
      <w:r w:rsidRPr="00D55D21">
        <w:rPr>
          <w:sz w:val="24"/>
        </w:rPr>
        <w:t>gadā</w:t>
      </w:r>
      <w:r>
        <w:rPr>
          <w:sz w:val="24"/>
        </w:rPr>
        <w:t xml:space="preserve"> </w:t>
      </w:r>
      <w:r w:rsidRPr="00D55D21">
        <w:rPr>
          <w:sz w:val="24"/>
        </w:rPr>
        <w:t>būtu veicama</w:t>
      </w:r>
      <w:r>
        <w:rPr>
          <w:sz w:val="24"/>
        </w:rPr>
        <w:t xml:space="preserve"> tikai</w:t>
      </w:r>
      <w:r w:rsidRPr="00D55D21">
        <w:rPr>
          <w:sz w:val="24"/>
        </w:rPr>
        <w:t xml:space="preserve"> pēc ekspertu prognozes.</w:t>
      </w:r>
    </w:p>
    <w:p w14:paraId="1B51E5D6" w14:textId="4298F7FC" w:rsidR="002B400A" w:rsidRDefault="002B400A" w:rsidP="00BD55F6">
      <w:pPr>
        <w:ind w:firstLine="709"/>
        <w:jc w:val="both"/>
        <w:rPr>
          <w:sz w:val="24"/>
        </w:rPr>
      </w:pPr>
    </w:p>
    <w:p w14:paraId="0DB78508" w14:textId="4CBE3431" w:rsidR="00374ED3" w:rsidRPr="0083780E" w:rsidRDefault="00374ED3" w:rsidP="0083780E">
      <w:pPr>
        <w:pStyle w:val="ListParagraph"/>
        <w:numPr>
          <w:ilvl w:val="1"/>
          <w:numId w:val="4"/>
        </w:numPr>
        <w:rPr>
          <w:rFonts w:eastAsia="Calibri"/>
          <w:color w:val="0099CC"/>
        </w:rPr>
      </w:pPr>
      <w:r w:rsidRPr="0083780E">
        <w:rPr>
          <w:color w:val="0099CC"/>
        </w:rPr>
        <w:t xml:space="preserve">Būvniecības izmaksu tendences </w:t>
      </w:r>
      <w:r w:rsidR="00146E8D" w:rsidRPr="0083780E">
        <w:rPr>
          <w:color w:val="0099CC"/>
        </w:rPr>
        <w:t>būvniecības apakšnozarēs</w:t>
      </w:r>
      <w:r w:rsidRPr="0083780E">
        <w:rPr>
          <w:color w:val="0099CC"/>
        </w:rPr>
        <w:t xml:space="preserve"> </w:t>
      </w:r>
    </w:p>
    <w:p w14:paraId="4E089C7F" w14:textId="5FF8B832" w:rsidR="00277F38" w:rsidRPr="00D55D21" w:rsidRDefault="00D241D2" w:rsidP="00277F38">
      <w:pPr>
        <w:ind w:firstLine="709"/>
        <w:jc w:val="both"/>
        <w:rPr>
          <w:sz w:val="24"/>
        </w:rPr>
      </w:pPr>
      <w:r w:rsidRPr="00D55D21">
        <w:rPr>
          <w:sz w:val="24"/>
        </w:rPr>
        <w:t>Būvniecības izmaksas pamatā veidojas no 3 galvenajiem resursu veidiem – būvmateriālu, strādnieku darba samaksas, mašīnu un mehānismu uzturēšanas un ekspluatācijas izmaksām. Papildus aplūkotas arī arhitektūras un inženiertehnisko pakalpojumu, tehniskās pārbaudes un analīzes izmaksu izmaiņu prognozes. Būvniecības izmaksu izmaiņu prognozes veiktas</w:t>
      </w:r>
      <w:r w:rsidR="005831CD" w:rsidRPr="00D55D21">
        <w:rPr>
          <w:sz w:val="24"/>
        </w:rPr>
        <w:t xml:space="preserve"> </w:t>
      </w:r>
      <w:r w:rsidR="00146E8D" w:rsidRPr="00D55D21">
        <w:rPr>
          <w:sz w:val="24"/>
        </w:rPr>
        <w:t xml:space="preserve">būvniecības apakšnozarēm dalījumā pa </w:t>
      </w:r>
      <w:r w:rsidRPr="00D55D21">
        <w:rPr>
          <w:sz w:val="24"/>
        </w:rPr>
        <w:t>resursu veidiem.</w:t>
      </w:r>
      <w:r w:rsidR="00095B7F">
        <w:rPr>
          <w:sz w:val="24"/>
        </w:rPr>
        <w:t xml:space="preserve"> Būvniecības izmaksu tendences būvniecības apakšnozarēs tika noteiktas balstoties tikai uz apakšnozaru ekspertu sniegtajām prognozēm.</w:t>
      </w:r>
      <w:r w:rsidR="00696179">
        <w:rPr>
          <w:sz w:val="24"/>
        </w:rPr>
        <w:t xml:space="preserve"> </w:t>
      </w:r>
      <w:r w:rsidR="00A544CA" w:rsidRPr="00D55D21">
        <w:rPr>
          <w:sz w:val="24"/>
        </w:rPr>
        <w:t xml:space="preserve">Dzīvojamo ēku būvniecībā būvmateriālu izmaksas tiek prognozētas augstākas nekā </w:t>
      </w:r>
      <w:r w:rsidR="003767AB" w:rsidRPr="00D55D21">
        <w:rPr>
          <w:sz w:val="24"/>
        </w:rPr>
        <w:t>kopumā būvniecības nozarē</w:t>
      </w:r>
      <w:r w:rsidR="00A544CA" w:rsidRPr="00D55D21">
        <w:rPr>
          <w:sz w:val="24"/>
        </w:rPr>
        <w:t xml:space="preserve">, </w:t>
      </w:r>
      <w:r w:rsidR="003767AB" w:rsidRPr="00D55D21">
        <w:rPr>
          <w:sz w:val="24"/>
        </w:rPr>
        <w:t>un 2</w:t>
      </w:r>
      <w:r w:rsidR="00A544CA" w:rsidRPr="00D55D21">
        <w:rPr>
          <w:sz w:val="24"/>
        </w:rPr>
        <w:t>022.</w:t>
      </w:r>
      <w:r w:rsidR="003767AB" w:rsidRPr="00D55D21">
        <w:rPr>
          <w:sz w:val="24"/>
        </w:rPr>
        <w:t xml:space="preserve"> </w:t>
      </w:r>
      <w:r w:rsidR="00A544CA" w:rsidRPr="00D55D21">
        <w:rPr>
          <w:sz w:val="24"/>
        </w:rPr>
        <w:t xml:space="preserve">gadā tās varētu pieaugt par 30,0% (skat. </w:t>
      </w:r>
      <w:r w:rsidR="00CA4A2E">
        <w:rPr>
          <w:sz w:val="24"/>
        </w:rPr>
        <w:t>6</w:t>
      </w:r>
      <w:r w:rsidR="00A544CA" w:rsidRPr="00D55D21">
        <w:rPr>
          <w:sz w:val="24"/>
        </w:rPr>
        <w:t xml:space="preserve">.a attēlu). Līdzīgi arī strādnieku darba samaksas izmaksas tiek prognozētas par 14,4% augstākas, kas ir divreiz lielāks pieaugums nekā kopējā prognoze būvniecības nozarē. Mašīnu un </w:t>
      </w:r>
      <w:r w:rsidR="006440DA" w:rsidRPr="00D55D21">
        <w:rPr>
          <w:sz w:val="24"/>
        </w:rPr>
        <w:t xml:space="preserve">mehānismu </w:t>
      </w:r>
      <w:r w:rsidR="00A544CA" w:rsidRPr="00D55D21">
        <w:rPr>
          <w:sz w:val="24"/>
        </w:rPr>
        <w:t>uzturēšanas un ekspluatācijas izmaksas tiek prognozētas par 24,3% augstākas, kas atbilst kopējai tendencei, ka šis būs otrs straujāk augošais resursu veids pēc izmaksām. Savukārt arhitektūras un inženiertehnisko pakalpojumu</w:t>
      </w:r>
      <w:r w:rsidR="006440DA" w:rsidRPr="00D55D21">
        <w:rPr>
          <w:sz w:val="24"/>
        </w:rPr>
        <w:t>, tehniskās pārbaudes un analīzes</w:t>
      </w:r>
      <w:r w:rsidR="00A544CA" w:rsidRPr="00D55D21">
        <w:rPr>
          <w:sz w:val="24"/>
        </w:rPr>
        <w:t xml:space="preserve"> izmaksu pieaugums tiek prognozēts par 13,2%.</w:t>
      </w:r>
    </w:p>
    <w:p w14:paraId="0370D7C5" w14:textId="06FAD64F" w:rsidR="00A544CA" w:rsidRDefault="009A1ABD" w:rsidP="001E017B">
      <w:pPr>
        <w:ind w:firstLine="709"/>
        <w:jc w:val="both"/>
        <w:rPr>
          <w:sz w:val="24"/>
        </w:rPr>
      </w:pPr>
      <w:r w:rsidRPr="00D55D21">
        <w:rPr>
          <w:sz w:val="24"/>
        </w:rPr>
        <w:t>Arī n</w:t>
      </w:r>
      <w:r w:rsidR="0040540B" w:rsidRPr="00D55D21">
        <w:rPr>
          <w:sz w:val="24"/>
        </w:rPr>
        <w:t>edzīvojamo ēku būvniecībā</w:t>
      </w:r>
      <w:r w:rsidR="002C62B6" w:rsidRPr="00D55D21">
        <w:rPr>
          <w:sz w:val="24"/>
        </w:rPr>
        <w:t xml:space="preserve"> izmaksas</w:t>
      </w:r>
      <w:r w:rsidR="0040540B" w:rsidRPr="00D55D21">
        <w:rPr>
          <w:sz w:val="24"/>
        </w:rPr>
        <w:t xml:space="preserve"> tiek prognozētas augstākas nekā</w:t>
      </w:r>
      <w:r w:rsidRPr="00D55D21">
        <w:rPr>
          <w:sz w:val="24"/>
        </w:rPr>
        <w:t xml:space="preserve"> kopumā būvniecības nozarē</w:t>
      </w:r>
      <w:r w:rsidR="00D328E1" w:rsidRPr="00D55D21">
        <w:rPr>
          <w:sz w:val="24"/>
        </w:rPr>
        <w:t xml:space="preserve"> – </w:t>
      </w:r>
      <w:r w:rsidR="00F84140" w:rsidRPr="00D55D21">
        <w:rPr>
          <w:sz w:val="24"/>
        </w:rPr>
        <w:t>ekspertu skatījumā 2</w:t>
      </w:r>
      <w:r w:rsidR="0040540B" w:rsidRPr="00D55D21">
        <w:rPr>
          <w:sz w:val="24"/>
        </w:rPr>
        <w:t>022.</w:t>
      </w:r>
      <w:r w:rsidR="00E51E09" w:rsidRPr="00D55D21">
        <w:rPr>
          <w:sz w:val="24"/>
        </w:rPr>
        <w:t xml:space="preserve"> </w:t>
      </w:r>
      <w:r w:rsidR="0040540B" w:rsidRPr="00D55D21">
        <w:rPr>
          <w:sz w:val="24"/>
        </w:rPr>
        <w:t xml:space="preserve">gadā </w:t>
      </w:r>
      <w:r w:rsidR="002C62B6" w:rsidRPr="00D55D21">
        <w:rPr>
          <w:sz w:val="24"/>
        </w:rPr>
        <w:t>būvmateriālu izmaksas</w:t>
      </w:r>
      <w:r w:rsidR="00D328E1" w:rsidRPr="00D55D21">
        <w:rPr>
          <w:sz w:val="24"/>
        </w:rPr>
        <w:t xml:space="preserve"> </w:t>
      </w:r>
      <w:r w:rsidR="0040540B" w:rsidRPr="00D55D21">
        <w:rPr>
          <w:sz w:val="24"/>
        </w:rPr>
        <w:t>varētu pieaugt par 28,3%</w:t>
      </w:r>
      <w:r w:rsidR="00215D39" w:rsidRPr="00D55D21">
        <w:rPr>
          <w:sz w:val="24"/>
        </w:rPr>
        <w:t xml:space="preserve">, strādnieku darba samaksas izmaksas </w:t>
      </w:r>
      <w:r w:rsidR="00D80E63" w:rsidRPr="00D55D21">
        <w:rPr>
          <w:sz w:val="24"/>
        </w:rPr>
        <w:t xml:space="preserve">– </w:t>
      </w:r>
      <w:r w:rsidR="00215D39" w:rsidRPr="00D55D21">
        <w:rPr>
          <w:sz w:val="24"/>
        </w:rPr>
        <w:t>par 16,0%</w:t>
      </w:r>
      <w:r w:rsidR="004C42D4" w:rsidRPr="00D55D21">
        <w:rPr>
          <w:sz w:val="24"/>
        </w:rPr>
        <w:t>, bet arhitektūras un inženiertehnisko pakalpojumu, tehniskās pārbaudes un analīzes izmaks</w:t>
      </w:r>
      <w:r w:rsidR="00D80E63" w:rsidRPr="00D55D21">
        <w:rPr>
          <w:sz w:val="24"/>
        </w:rPr>
        <w:t xml:space="preserve">as varētu pieaugt </w:t>
      </w:r>
      <w:r w:rsidR="004C42D4" w:rsidRPr="00D55D21">
        <w:rPr>
          <w:sz w:val="24"/>
        </w:rPr>
        <w:t xml:space="preserve">par 11% </w:t>
      </w:r>
      <w:r w:rsidR="0068442A" w:rsidRPr="00D55D21">
        <w:rPr>
          <w:sz w:val="24"/>
        </w:rPr>
        <w:t xml:space="preserve">(skat. </w:t>
      </w:r>
      <w:r w:rsidR="00CA4A2E">
        <w:rPr>
          <w:sz w:val="24"/>
        </w:rPr>
        <w:t>6</w:t>
      </w:r>
      <w:r w:rsidR="0068442A" w:rsidRPr="00D55D21">
        <w:rPr>
          <w:sz w:val="24"/>
        </w:rPr>
        <w:t>.b attēlu)</w:t>
      </w:r>
      <w:r w:rsidR="00F84140" w:rsidRPr="00D55D21">
        <w:rPr>
          <w:sz w:val="24"/>
        </w:rPr>
        <w:t xml:space="preserve">. </w:t>
      </w:r>
      <w:r w:rsidR="004C42D4" w:rsidRPr="00D55D21">
        <w:rPr>
          <w:sz w:val="24"/>
        </w:rPr>
        <w:t xml:space="preserve">Vienīgi </w:t>
      </w:r>
      <w:r w:rsidRPr="00D55D21">
        <w:rPr>
          <w:sz w:val="24"/>
        </w:rPr>
        <w:t>m</w:t>
      </w:r>
      <w:r w:rsidR="0040540B" w:rsidRPr="00D55D21">
        <w:rPr>
          <w:sz w:val="24"/>
        </w:rPr>
        <w:t xml:space="preserve">ašīnu un </w:t>
      </w:r>
      <w:r w:rsidR="00D36F8C" w:rsidRPr="00D55D21">
        <w:rPr>
          <w:sz w:val="24"/>
        </w:rPr>
        <w:t>mehānismu</w:t>
      </w:r>
      <w:r w:rsidR="0040540B" w:rsidRPr="00D55D21">
        <w:rPr>
          <w:sz w:val="24"/>
        </w:rPr>
        <w:t xml:space="preserve"> uzturēšanas un ekspluatācijas izmaksas tiek prognozētas </w:t>
      </w:r>
      <w:r w:rsidRPr="00D55D21">
        <w:rPr>
          <w:sz w:val="24"/>
        </w:rPr>
        <w:t xml:space="preserve">par </w:t>
      </w:r>
      <w:r w:rsidR="0040540B" w:rsidRPr="00D55D21">
        <w:rPr>
          <w:sz w:val="24"/>
        </w:rPr>
        <w:t>22,5% augstākas, kas atbilst kopējai tendencei</w:t>
      </w:r>
      <w:r w:rsidR="00E12B05" w:rsidRPr="00D55D21">
        <w:rPr>
          <w:sz w:val="24"/>
        </w:rPr>
        <w:t xml:space="preserve"> būvniecības nozarē</w:t>
      </w:r>
      <w:r w:rsidR="00D80E63" w:rsidRPr="00D55D21">
        <w:rPr>
          <w:sz w:val="24"/>
        </w:rPr>
        <w:t>.</w:t>
      </w:r>
    </w:p>
    <w:p w14:paraId="5FFC58BC" w14:textId="47F4D9DC" w:rsidR="002D0B5C" w:rsidRPr="00D55D21" w:rsidRDefault="002D0B5C" w:rsidP="001E017B">
      <w:pPr>
        <w:ind w:firstLine="709"/>
        <w:jc w:val="both"/>
        <w:rPr>
          <w:sz w:val="24"/>
        </w:rPr>
      </w:pPr>
      <w:r>
        <w:t>Prognozētais izmaksu pieaugums tieši nedzīvojamo ēku būvniecībā, rada nozīmīgus riskus saistībā ar valsts pakalpojumu sniegšanu iedzīvotājiem, kas būtiski un ilgtermiņā var atstāt negatīvas sekas uz lielu sabiedrības daļu un tautsaimniecības ekonomikas attīstību kopumā.  Piemēram, par jau uzņemtām saistībām iepirkumu līgumos, īpaši ES fondu projektos, izmaksu sadārdzinājumu rezultātā līgumu izpilde esošo finanšu resursu ietvaros praktiski vairs nav iespējama, jo valsts apmaksātu pakalpojumu sniegšana nav orientēta uz peļņas gūšanu un attiecīgi pakalpojumu sniedzējiem neveidojas uzkrājumi sadārdzinājumu segšanai. Apturot būvdarbus, kas paredz ieguldījumus kritiskajā infrastruktūrā vai citu nacionālas nozīmes objektu būvniecībā,</w:t>
      </w:r>
      <w:r w:rsidR="003451E0">
        <w:t xml:space="preserve"> nevarēs tikt nodrošināta</w:t>
      </w:r>
      <w:r>
        <w:t xml:space="preserve"> </w:t>
      </w:r>
      <w:r w:rsidR="003451E0">
        <w:t xml:space="preserve">attiecīgo (ar jaunbūvejamo infrastruktūru saistīto) </w:t>
      </w:r>
      <w:r>
        <w:t xml:space="preserve">valsts pakalpojumu sniegšana. </w:t>
      </w:r>
    </w:p>
    <w:p w14:paraId="77F4E673" w14:textId="7FF433F3" w:rsidR="00CF7341" w:rsidRPr="00D55D21" w:rsidRDefault="00CF7341" w:rsidP="00374ED3">
      <w:pPr>
        <w:jc w:val="center"/>
        <w:rPr>
          <w:b/>
          <w:bCs/>
          <w:sz w:val="24"/>
        </w:rPr>
      </w:pPr>
      <w:r w:rsidRPr="00D55D21">
        <w:rPr>
          <w:noProof/>
        </w:rPr>
        <w:lastRenderedPageBreak/>
        <w:drawing>
          <wp:inline distT="0" distB="0" distL="0" distR="0" wp14:anchorId="118AE480" wp14:editId="6BD7186E">
            <wp:extent cx="5744263" cy="729957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81621" cy="7347044"/>
                    </a:xfrm>
                    <a:prstGeom prst="rect">
                      <a:avLst/>
                    </a:prstGeom>
                    <a:noFill/>
                    <a:ln>
                      <a:noFill/>
                    </a:ln>
                  </pic:spPr>
                </pic:pic>
              </a:graphicData>
            </a:graphic>
          </wp:inline>
        </w:drawing>
      </w:r>
    </w:p>
    <w:p w14:paraId="6BD2588D" w14:textId="77777777" w:rsidR="00374ED3" w:rsidRPr="00D55D21" w:rsidRDefault="00374ED3" w:rsidP="002E4BFB">
      <w:pPr>
        <w:pStyle w:val="ListParagraph"/>
        <w:numPr>
          <w:ilvl w:val="0"/>
          <w:numId w:val="1"/>
        </w:numPr>
        <w:tabs>
          <w:tab w:val="left" w:pos="426"/>
        </w:tabs>
        <w:ind w:left="0" w:hanging="11"/>
        <w:jc w:val="center"/>
        <w:rPr>
          <w:sz w:val="24"/>
        </w:rPr>
      </w:pPr>
      <w:r w:rsidRPr="00D55D21">
        <w:rPr>
          <w:sz w:val="24"/>
        </w:rPr>
        <w:t>attēls. Būvniecības izmaksu izmaiņu prognozes 2022.-2026. gadam būvniecības apakšnozarēs dalījumā pa resursu veidiem pēc ekspertu prognozes (% pret iepriekšējo gadu)</w:t>
      </w:r>
    </w:p>
    <w:p w14:paraId="4800DD3D" w14:textId="020B7F82" w:rsidR="0014567A" w:rsidRDefault="0014567A" w:rsidP="00374ED3">
      <w:pPr>
        <w:spacing w:before="120"/>
        <w:jc w:val="both"/>
        <w:rPr>
          <w:sz w:val="20"/>
          <w:szCs w:val="20"/>
        </w:rPr>
      </w:pPr>
      <w:r w:rsidRPr="0014567A">
        <w:rPr>
          <w:sz w:val="20"/>
          <w:szCs w:val="20"/>
        </w:rPr>
        <w:t>Piezīme. Ekspertu prognozē apkopoti 8 ēku būvniecības, 6 ceļu un dzelzceļu būvniecības, 7 pilsētsaimniecības infrastruktūras objektu būvniecība</w:t>
      </w:r>
      <w:r w:rsidR="007D005C">
        <w:rPr>
          <w:sz w:val="20"/>
          <w:szCs w:val="20"/>
        </w:rPr>
        <w:t xml:space="preserve">s un </w:t>
      </w:r>
      <w:r w:rsidRPr="0014567A">
        <w:rPr>
          <w:sz w:val="20"/>
          <w:szCs w:val="20"/>
        </w:rPr>
        <w:t>9 specializēto būvdarbu</w:t>
      </w:r>
      <w:r w:rsidR="007D005C">
        <w:rPr>
          <w:sz w:val="20"/>
          <w:szCs w:val="20"/>
        </w:rPr>
        <w:t xml:space="preserve"> </w:t>
      </w:r>
      <w:r w:rsidRPr="0014567A">
        <w:rPr>
          <w:sz w:val="20"/>
          <w:szCs w:val="20"/>
        </w:rPr>
        <w:t>ekspertu paustie viedokļi.</w:t>
      </w:r>
    </w:p>
    <w:p w14:paraId="7F9C056A" w14:textId="2327C6C3" w:rsidR="00374ED3" w:rsidRPr="00D55D21" w:rsidRDefault="00374ED3" w:rsidP="00374ED3">
      <w:pPr>
        <w:spacing w:before="120"/>
        <w:jc w:val="both"/>
        <w:rPr>
          <w:sz w:val="20"/>
          <w:szCs w:val="20"/>
        </w:rPr>
      </w:pPr>
      <w:r w:rsidRPr="00D55D21">
        <w:rPr>
          <w:sz w:val="20"/>
          <w:szCs w:val="20"/>
        </w:rPr>
        <w:t>Datu avots:</w:t>
      </w:r>
      <w:r w:rsidR="00687500" w:rsidRPr="00D55D21">
        <w:rPr>
          <w:sz w:val="20"/>
          <w:szCs w:val="20"/>
        </w:rPr>
        <w:t xml:space="preserve"> izveidots pēc</w:t>
      </w:r>
      <w:r w:rsidRPr="00D55D21">
        <w:rPr>
          <w:sz w:val="20"/>
          <w:szCs w:val="20"/>
        </w:rPr>
        <w:t xml:space="preserve"> SIA “InnoMatrix” </w:t>
      </w:r>
      <w:r w:rsidR="004D159F" w:rsidRPr="00D55D21">
        <w:rPr>
          <w:sz w:val="20"/>
          <w:szCs w:val="20"/>
        </w:rPr>
        <w:t xml:space="preserve">2022. gada </w:t>
      </w:r>
      <w:r w:rsidRPr="00D55D21">
        <w:rPr>
          <w:sz w:val="20"/>
          <w:szCs w:val="20"/>
        </w:rPr>
        <w:t>ziņojum</w:t>
      </w:r>
      <w:r w:rsidR="00687500" w:rsidRPr="00D55D21">
        <w:rPr>
          <w:sz w:val="20"/>
          <w:szCs w:val="20"/>
        </w:rPr>
        <w:t>a</w:t>
      </w:r>
      <w:r w:rsidRPr="00D55D21">
        <w:rPr>
          <w:sz w:val="20"/>
          <w:szCs w:val="20"/>
        </w:rPr>
        <w:t xml:space="preserve"> “Pētījums par ikgadējām izmaksu dinamikas prognozēm un pārkaršanas riskiem Latvijas būvniecības nozarē”.</w:t>
      </w:r>
    </w:p>
    <w:p w14:paraId="1F88BECD" w14:textId="083E0D3E" w:rsidR="00374ED3" w:rsidRPr="00D55D21" w:rsidRDefault="00374ED3" w:rsidP="00374ED3">
      <w:pPr>
        <w:jc w:val="center"/>
        <w:rPr>
          <w:b/>
          <w:bCs/>
          <w:sz w:val="24"/>
        </w:rPr>
      </w:pPr>
    </w:p>
    <w:p w14:paraId="63B9178C" w14:textId="2FE811A6" w:rsidR="00277F38" w:rsidRPr="00D55D21" w:rsidRDefault="00E32703" w:rsidP="00277F38">
      <w:pPr>
        <w:ind w:firstLine="709"/>
        <w:jc w:val="both"/>
        <w:rPr>
          <w:sz w:val="24"/>
        </w:rPr>
      </w:pPr>
      <w:r w:rsidRPr="00D55D21">
        <w:rPr>
          <w:sz w:val="24"/>
        </w:rPr>
        <w:t xml:space="preserve">Ceļu un dzelzceļu būvniecībā </w:t>
      </w:r>
      <w:r w:rsidR="005F4DFA" w:rsidRPr="00D55D21">
        <w:rPr>
          <w:sz w:val="24"/>
        </w:rPr>
        <w:t>būvmateriālu izmaksas tiek prognozētas ar būtisku izmaksu pieaugumu, kas 2022.</w:t>
      </w:r>
      <w:r w:rsidRPr="00D55D21">
        <w:rPr>
          <w:sz w:val="24"/>
        </w:rPr>
        <w:t xml:space="preserve"> </w:t>
      </w:r>
      <w:r w:rsidR="005F4DFA" w:rsidRPr="00D55D21">
        <w:rPr>
          <w:sz w:val="24"/>
        </w:rPr>
        <w:t xml:space="preserve">gadā </w:t>
      </w:r>
      <w:r w:rsidRPr="00D55D21">
        <w:rPr>
          <w:sz w:val="24"/>
        </w:rPr>
        <w:t xml:space="preserve">pēc ekspertu domām </w:t>
      </w:r>
      <w:r w:rsidR="005F4DFA" w:rsidRPr="00D55D21">
        <w:rPr>
          <w:sz w:val="24"/>
        </w:rPr>
        <w:t xml:space="preserve">varētu pieaugt par 31,7% </w:t>
      </w:r>
      <w:r w:rsidRPr="00D55D21">
        <w:rPr>
          <w:sz w:val="24"/>
        </w:rPr>
        <w:t xml:space="preserve">(skat. </w:t>
      </w:r>
      <w:r w:rsidR="00CA4A2E">
        <w:rPr>
          <w:sz w:val="24"/>
        </w:rPr>
        <w:t>6</w:t>
      </w:r>
      <w:r w:rsidRPr="00D55D21">
        <w:rPr>
          <w:sz w:val="24"/>
        </w:rPr>
        <w:t>.c attēlu)</w:t>
      </w:r>
      <w:r w:rsidR="005F4DFA" w:rsidRPr="00D55D21">
        <w:rPr>
          <w:sz w:val="24"/>
        </w:rPr>
        <w:t>.</w:t>
      </w:r>
      <w:r w:rsidR="00956623" w:rsidRPr="00D55D21">
        <w:rPr>
          <w:sz w:val="24"/>
        </w:rPr>
        <w:t xml:space="preserve"> </w:t>
      </w:r>
      <w:r w:rsidR="00013AB5" w:rsidRPr="00D55D21">
        <w:rPr>
          <w:sz w:val="24"/>
        </w:rPr>
        <w:t>Turpmāk</w:t>
      </w:r>
      <w:r w:rsidR="000F1A3C" w:rsidRPr="00D55D21">
        <w:rPr>
          <w:sz w:val="24"/>
        </w:rPr>
        <w:t>aj</w:t>
      </w:r>
      <w:r w:rsidR="00013AB5" w:rsidRPr="00D55D21">
        <w:rPr>
          <w:sz w:val="24"/>
        </w:rPr>
        <w:t xml:space="preserve">os </w:t>
      </w:r>
      <w:r w:rsidR="005F4DFA" w:rsidRPr="00D55D21">
        <w:rPr>
          <w:sz w:val="24"/>
        </w:rPr>
        <w:t xml:space="preserve">gados eksperti prognozē samērā zemu būvmateriālu izmaksu pieaugumu </w:t>
      </w:r>
      <w:r w:rsidR="0089648A" w:rsidRPr="00D55D21">
        <w:rPr>
          <w:sz w:val="24"/>
        </w:rPr>
        <w:lastRenderedPageBreak/>
        <w:t xml:space="preserve">– 2024. gadā izmaksām pieaugot par </w:t>
      </w:r>
      <w:r w:rsidR="005F4DFA" w:rsidRPr="00D55D21">
        <w:rPr>
          <w:sz w:val="24"/>
        </w:rPr>
        <w:t xml:space="preserve">3,0%. Strādnieku darba samaksas izmaksas </w:t>
      </w:r>
      <w:r w:rsidR="007C7F54" w:rsidRPr="00D55D21">
        <w:rPr>
          <w:sz w:val="24"/>
        </w:rPr>
        <w:t xml:space="preserve">2022. gadā </w:t>
      </w:r>
      <w:r w:rsidR="005F4DFA" w:rsidRPr="00D55D21">
        <w:rPr>
          <w:sz w:val="24"/>
        </w:rPr>
        <w:t xml:space="preserve">tiek prognozētas par 10,7% augstākas, kas faktiski ir augsts izmaksu pieaugums, bet </w:t>
      </w:r>
      <w:r w:rsidR="007C7F54" w:rsidRPr="00D55D21">
        <w:rPr>
          <w:sz w:val="24"/>
        </w:rPr>
        <w:t xml:space="preserve">salīdzinājumā ar </w:t>
      </w:r>
      <w:r w:rsidR="00592B83" w:rsidRPr="00D55D21">
        <w:rPr>
          <w:sz w:val="24"/>
        </w:rPr>
        <w:t xml:space="preserve">ēku būvniecību </w:t>
      </w:r>
      <w:r w:rsidR="005F4DFA" w:rsidRPr="00D55D21">
        <w:rPr>
          <w:sz w:val="24"/>
        </w:rPr>
        <w:t xml:space="preserve">ir būtiski zemāks. Mašīnu un </w:t>
      </w:r>
      <w:r w:rsidR="0016358A" w:rsidRPr="00D55D21">
        <w:rPr>
          <w:sz w:val="24"/>
        </w:rPr>
        <w:t>mehānismu</w:t>
      </w:r>
      <w:r w:rsidR="005F4DFA" w:rsidRPr="00D55D21">
        <w:rPr>
          <w:sz w:val="24"/>
        </w:rPr>
        <w:t xml:space="preserve"> uzturēšanas un ekspluatācijas izmaksas tiek prognozētas</w:t>
      </w:r>
      <w:r w:rsidR="0016358A" w:rsidRPr="00D55D21">
        <w:rPr>
          <w:sz w:val="24"/>
        </w:rPr>
        <w:t xml:space="preserve"> līdzīgi kā citās būvniecības apakšnozarēs –</w:t>
      </w:r>
      <w:r w:rsidR="00F109A2" w:rsidRPr="00D55D21">
        <w:rPr>
          <w:sz w:val="24"/>
        </w:rPr>
        <w:t xml:space="preserve"> </w:t>
      </w:r>
      <w:r w:rsidR="004C4CC6" w:rsidRPr="00D55D21">
        <w:rPr>
          <w:sz w:val="24"/>
        </w:rPr>
        <w:t>ekspertu</w:t>
      </w:r>
      <w:r w:rsidR="0016358A" w:rsidRPr="00D55D21">
        <w:rPr>
          <w:sz w:val="24"/>
        </w:rPr>
        <w:t xml:space="preserve"> skatījumā </w:t>
      </w:r>
      <w:r w:rsidR="00F109A2" w:rsidRPr="00D55D21">
        <w:rPr>
          <w:sz w:val="24"/>
        </w:rPr>
        <w:t xml:space="preserve">2022. gadā </w:t>
      </w:r>
      <w:r w:rsidR="0016358A" w:rsidRPr="00D55D21">
        <w:rPr>
          <w:sz w:val="24"/>
        </w:rPr>
        <w:t>tās varētu pieaugt</w:t>
      </w:r>
      <w:r w:rsidR="005F4DFA" w:rsidRPr="00D55D21">
        <w:rPr>
          <w:sz w:val="24"/>
        </w:rPr>
        <w:t xml:space="preserve"> par 22,7%. Savukārt arhitektūras un inženiertehnisko pakalpojumu</w:t>
      </w:r>
      <w:r w:rsidR="004A044F" w:rsidRPr="00D55D21">
        <w:rPr>
          <w:sz w:val="24"/>
        </w:rPr>
        <w:t xml:space="preserve">, tehniskās pārbaudes un analīzes </w:t>
      </w:r>
      <w:r w:rsidR="005F4DFA" w:rsidRPr="00D55D21">
        <w:rPr>
          <w:sz w:val="24"/>
        </w:rPr>
        <w:t>izmaksu pieaugums</w:t>
      </w:r>
      <w:r w:rsidR="004A044F" w:rsidRPr="00D55D21">
        <w:rPr>
          <w:sz w:val="24"/>
        </w:rPr>
        <w:t xml:space="preserve"> šajā gadā</w:t>
      </w:r>
      <w:r w:rsidR="005F4DFA" w:rsidRPr="00D55D21">
        <w:rPr>
          <w:sz w:val="24"/>
        </w:rPr>
        <w:t xml:space="preserve"> </w:t>
      </w:r>
      <w:r w:rsidR="00F109A2" w:rsidRPr="00D55D21">
        <w:rPr>
          <w:sz w:val="24"/>
        </w:rPr>
        <w:t xml:space="preserve">varētu palielināties </w:t>
      </w:r>
      <w:r w:rsidR="005F4DFA" w:rsidRPr="00D55D21">
        <w:rPr>
          <w:sz w:val="24"/>
        </w:rPr>
        <w:t>par 5,0%.</w:t>
      </w:r>
    </w:p>
    <w:p w14:paraId="17C0D263" w14:textId="30FA5590" w:rsidR="00277F38" w:rsidRPr="00D55D21" w:rsidRDefault="005F4DFA" w:rsidP="00277F38">
      <w:pPr>
        <w:ind w:firstLine="709"/>
        <w:jc w:val="both"/>
        <w:rPr>
          <w:sz w:val="24"/>
        </w:rPr>
      </w:pPr>
      <w:r w:rsidRPr="00D55D21">
        <w:rPr>
          <w:sz w:val="24"/>
        </w:rPr>
        <w:t>Pilsētsaimniecības infrastruktūras objektu būvniecībā būvmateriālu izmaksas tiek prognozētas ar būtisku izmaksu pieaugumu, kas 2022.</w:t>
      </w:r>
      <w:r w:rsidR="007A097C" w:rsidRPr="00D55D21">
        <w:rPr>
          <w:sz w:val="24"/>
        </w:rPr>
        <w:t xml:space="preserve"> </w:t>
      </w:r>
      <w:r w:rsidRPr="00D55D21">
        <w:rPr>
          <w:sz w:val="24"/>
        </w:rPr>
        <w:t xml:space="preserve">gadā varētu </w:t>
      </w:r>
      <w:r w:rsidR="007A097C" w:rsidRPr="00D55D21">
        <w:rPr>
          <w:sz w:val="24"/>
        </w:rPr>
        <w:t xml:space="preserve">sasniegt </w:t>
      </w:r>
      <w:r w:rsidRPr="00D55D21">
        <w:rPr>
          <w:sz w:val="24"/>
        </w:rPr>
        <w:t>23,3%</w:t>
      </w:r>
      <w:r w:rsidR="007A097C" w:rsidRPr="00D55D21">
        <w:rPr>
          <w:sz w:val="24"/>
        </w:rPr>
        <w:t xml:space="preserve"> palielinājumu, bet turpmākajos gados </w:t>
      </w:r>
      <w:r w:rsidR="007460B1" w:rsidRPr="00D55D21">
        <w:rPr>
          <w:sz w:val="24"/>
        </w:rPr>
        <w:t xml:space="preserve">šīs izmaksas </w:t>
      </w:r>
      <w:r w:rsidR="007A097C" w:rsidRPr="00D55D21">
        <w:rPr>
          <w:sz w:val="24"/>
        </w:rPr>
        <w:t>varētu pakāpeniski samazināties</w:t>
      </w:r>
      <w:r w:rsidR="00462978" w:rsidRPr="00D55D21">
        <w:rPr>
          <w:sz w:val="24"/>
        </w:rPr>
        <w:t>, 2024. gadā p</w:t>
      </w:r>
      <w:r w:rsidR="007460B1" w:rsidRPr="00D55D21">
        <w:rPr>
          <w:sz w:val="24"/>
        </w:rPr>
        <w:t>ieaugot</w:t>
      </w:r>
      <w:r w:rsidR="00462978" w:rsidRPr="00D55D21">
        <w:rPr>
          <w:sz w:val="24"/>
        </w:rPr>
        <w:t xml:space="preserve"> vien par 4,8%</w:t>
      </w:r>
      <w:r w:rsidRPr="00D55D21">
        <w:rPr>
          <w:sz w:val="24"/>
        </w:rPr>
        <w:t xml:space="preserve"> </w:t>
      </w:r>
      <w:r w:rsidR="007A097C" w:rsidRPr="00D55D21">
        <w:rPr>
          <w:sz w:val="24"/>
        </w:rPr>
        <w:t xml:space="preserve">(skat. </w:t>
      </w:r>
      <w:r w:rsidR="00CA4A2E">
        <w:rPr>
          <w:sz w:val="24"/>
        </w:rPr>
        <w:t>6</w:t>
      </w:r>
      <w:r w:rsidR="007A097C" w:rsidRPr="00D55D21">
        <w:rPr>
          <w:sz w:val="24"/>
        </w:rPr>
        <w:t xml:space="preserve">.d attēlu). </w:t>
      </w:r>
      <w:r w:rsidRPr="00D55D21">
        <w:rPr>
          <w:sz w:val="24"/>
        </w:rPr>
        <w:t>Strādnieku darba izmaksas</w:t>
      </w:r>
      <w:r w:rsidR="0089750E" w:rsidRPr="00D55D21">
        <w:rPr>
          <w:sz w:val="24"/>
        </w:rPr>
        <w:t xml:space="preserve"> 2022. gadā</w:t>
      </w:r>
      <w:r w:rsidRPr="00D55D21">
        <w:rPr>
          <w:sz w:val="24"/>
        </w:rPr>
        <w:t xml:space="preserve"> tiek prognozētas par 10,0% augstākas</w:t>
      </w:r>
      <w:r w:rsidR="0089750E" w:rsidRPr="00D55D21">
        <w:rPr>
          <w:sz w:val="24"/>
        </w:rPr>
        <w:t>, bet m</w:t>
      </w:r>
      <w:r w:rsidRPr="00D55D21">
        <w:rPr>
          <w:sz w:val="24"/>
        </w:rPr>
        <w:t xml:space="preserve">ašīnu un </w:t>
      </w:r>
      <w:r w:rsidR="0089750E" w:rsidRPr="00D55D21">
        <w:rPr>
          <w:sz w:val="24"/>
        </w:rPr>
        <w:t>mehānismu</w:t>
      </w:r>
      <w:r w:rsidRPr="00D55D21">
        <w:rPr>
          <w:sz w:val="24"/>
        </w:rPr>
        <w:t xml:space="preserve"> uzturēšanas un ekspluatācijas izmaksas </w:t>
      </w:r>
      <w:r w:rsidR="003632BE" w:rsidRPr="00D55D21">
        <w:rPr>
          <w:sz w:val="24"/>
        </w:rPr>
        <w:t xml:space="preserve">– </w:t>
      </w:r>
      <w:r w:rsidRPr="00D55D21">
        <w:rPr>
          <w:sz w:val="24"/>
        </w:rPr>
        <w:t xml:space="preserve">par 20,0% augstākas, kas ir </w:t>
      </w:r>
      <w:r w:rsidR="003632BE" w:rsidRPr="00D55D21">
        <w:rPr>
          <w:sz w:val="24"/>
        </w:rPr>
        <w:t>līdzīgi kā citās būvniecības a</w:t>
      </w:r>
      <w:r w:rsidRPr="00D55D21">
        <w:rPr>
          <w:sz w:val="24"/>
        </w:rPr>
        <w:t>pakšnozarē</w:t>
      </w:r>
      <w:r w:rsidR="003632BE" w:rsidRPr="00D55D21">
        <w:rPr>
          <w:sz w:val="24"/>
        </w:rPr>
        <w:t>s</w:t>
      </w:r>
      <w:r w:rsidRPr="00D55D21">
        <w:rPr>
          <w:sz w:val="24"/>
        </w:rPr>
        <w:t>. Savukārt arhitektūras un inženiertehnisko pakalpojumu</w:t>
      </w:r>
      <w:r w:rsidR="007460B1" w:rsidRPr="00D55D21">
        <w:rPr>
          <w:sz w:val="24"/>
        </w:rPr>
        <w:t>, tehniskās pārbaudes un analīzes</w:t>
      </w:r>
      <w:r w:rsidRPr="00D55D21">
        <w:rPr>
          <w:sz w:val="24"/>
        </w:rPr>
        <w:t xml:space="preserve"> izmaksu pieaugums </w:t>
      </w:r>
      <w:r w:rsidR="00995ACE" w:rsidRPr="00D55D21">
        <w:rPr>
          <w:sz w:val="24"/>
        </w:rPr>
        <w:t xml:space="preserve">ekspertu skatījumā tiek </w:t>
      </w:r>
      <w:r w:rsidRPr="00D55D21">
        <w:rPr>
          <w:sz w:val="24"/>
        </w:rPr>
        <w:t xml:space="preserve">prognozēts par 2,8% - zemāk nekā citās apakšnozarēs. </w:t>
      </w:r>
    </w:p>
    <w:p w14:paraId="61E9DF51" w14:textId="4427D1FA" w:rsidR="00277F38" w:rsidRPr="00D55D21" w:rsidRDefault="005F4DFA" w:rsidP="00277F38">
      <w:pPr>
        <w:ind w:firstLine="709"/>
        <w:jc w:val="both"/>
        <w:rPr>
          <w:sz w:val="24"/>
        </w:rPr>
      </w:pPr>
      <w:r w:rsidRPr="00D55D21">
        <w:rPr>
          <w:sz w:val="24"/>
        </w:rPr>
        <w:t>Specializēt</w:t>
      </w:r>
      <w:r w:rsidR="003A02B8" w:rsidRPr="00D55D21">
        <w:rPr>
          <w:sz w:val="24"/>
        </w:rPr>
        <w:t>ajos</w:t>
      </w:r>
      <w:r w:rsidRPr="00D55D21">
        <w:rPr>
          <w:sz w:val="24"/>
        </w:rPr>
        <w:t xml:space="preserve"> būvdarb</w:t>
      </w:r>
      <w:r w:rsidR="003A02B8" w:rsidRPr="00D55D21">
        <w:rPr>
          <w:sz w:val="24"/>
        </w:rPr>
        <w:t>os</w:t>
      </w:r>
      <w:r w:rsidRPr="00D55D21">
        <w:rPr>
          <w:sz w:val="24"/>
        </w:rPr>
        <w:t xml:space="preserve"> būvmateriālu izmaksas tiek prognozētas ar būtisku izmaksu pieaugumu, kas 2022.</w:t>
      </w:r>
      <w:r w:rsidR="003A02B8" w:rsidRPr="00D55D21">
        <w:rPr>
          <w:sz w:val="24"/>
        </w:rPr>
        <w:t xml:space="preserve"> </w:t>
      </w:r>
      <w:r w:rsidRPr="00D55D21">
        <w:rPr>
          <w:sz w:val="24"/>
        </w:rPr>
        <w:t xml:space="preserve">gadā varētu pieaugt par 24,2% </w:t>
      </w:r>
      <w:r w:rsidR="003A02B8" w:rsidRPr="00D55D21">
        <w:rPr>
          <w:sz w:val="24"/>
        </w:rPr>
        <w:t xml:space="preserve">(skat. </w:t>
      </w:r>
      <w:r w:rsidR="00CA4A2E">
        <w:rPr>
          <w:sz w:val="24"/>
        </w:rPr>
        <w:t>6</w:t>
      </w:r>
      <w:r w:rsidR="003A02B8" w:rsidRPr="00D55D21">
        <w:rPr>
          <w:sz w:val="24"/>
        </w:rPr>
        <w:t>.</w:t>
      </w:r>
      <w:r w:rsidR="00273E5C" w:rsidRPr="00D55D21">
        <w:rPr>
          <w:sz w:val="24"/>
        </w:rPr>
        <w:t>e</w:t>
      </w:r>
      <w:r w:rsidR="003A02B8" w:rsidRPr="00D55D21">
        <w:rPr>
          <w:sz w:val="24"/>
        </w:rPr>
        <w:t xml:space="preserve"> attēlu)</w:t>
      </w:r>
      <w:r w:rsidRPr="00D55D21">
        <w:rPr>
          <w:sz w:val="24"/>
        </w:rPr>
        <w:t xml:space="preserve">. </w:t>
      </w:r>
      <w:r w:rsidR="003A02B8" w:rsidRPr="00D55D21">
        <w:rPr>
          <w:sz w:val="24"/>
        </w:rPr>
        <w:t xml:space="preserve">Turpmākajos gados </w:t>
      </w:r>
      <w:r w:rsidRPr="00D55D21">
        <w:rPr>
          <w:sz w:val="24"/>
        </w:rPr>
        <w:t>eksperti prognozē pakāpeniski zemāku būvmateriālu izmaksu pieaugumu ar zemāko prognozi 4,2% 2026.</w:t>
      </w:r>
      <w:r w:rsidR="003A02B8" w:rsidRPr="00D55D21">
        <w:rPr>
          <w:sz w:val="24"/>
        </w:rPr>
        <w:t xml:space="preserve"> </w:t>
      </w:r>
      <w:r w:rsidRPr="00D55D21">
        <w:rPr>
          <w:sz w:val="24"/>
        </w:rPr>
        <w:t xml:space="preserve">gadā. Strādnieku darba samaksas izmaksas </w:t>
      </w:r>
      <w:r w:rsidR="003A02B8" w:rsidRPr="00D55D21">
        <w:rPr>
          <w:sz w:val="24"/>
        </w:rPr>
        <w:t xml:space="preserve">2022. gadā </w:t>
      </w:r>
      <w:r w:rsidRPr="00D55D21">
        <w:rPr>
          <w:sz w:val="24"/>
        </w:rPr>
        <w:t>tiek prognozētas par 9,5% augstākas</w:t>
      </w:r>
      <w:r w:rsidR="003A02B8" w:rsidRPr="00D55D21">
        <w:rPr>
          <w:sz w:val="24"/>
        </w:rPr>
        <w:t>, bet m</w:t>
      </w:r>
      <w:r w:rsidRPr="00D55D21">
        <w:rPr>
          <w:sz w:val="24"/>
        </w:rPr>
        <w:t xml:space="preserve">ašīnu un </w:t>
      </w:r>
      <w:r w:rsidR="003A02B8" w:rsidRPr="00D55D21">
        <w:rPr>
          <w:sz w:val="24"/>
        </w:rPr>
        <w:t>mehānismu</w:t>
      </w:r>
      <w:r w:rsidRPr="00D55D21">
        <w:rPr>
          <w:sz w:val="24"/>
        </w:rPr>
        <w:t xml:space="preserve"> uzturēšanas un ekspluatācijas izmaksas </w:t>
      </w:r>
      <w:r w:rsidR="003A02B8" w:rsidRPr="00D55D21">
        <w:rPr>
          <w:sz w:val="24"/>
        </w:rPr>
        <w:t xml:space="preserve">– par </w:t>
      </w:r>
      <w:r w:rsidRPr="00D55D21">
        <w:rPr>
          <w:sz w:val="24"/>
        </w:rPr>
        <w:t xml:space="preserve">17,8% augstākas, </w:t>
      </w:r>
      <w:r w:rsidR="004517B7" w:rsidRPr="00D55D21">
        <w:rPr>
          <w:sz w:val="24"/>
        </w:rPr>
        <w:t>kas ir līdzīgi kā citās būvniecības apakšnozarēs</w:t>
      </w:r>
      <w:r w:rsidRPr="00D55D21">
        <w:rPr>
          <w:sz w:val="24"/>
        </w:rPr>
        <w:t>. Savukārt arhitektūras un inženiertehnisko pakalpojumu</w:t>
      </w:r>
      <w:r w:rsidR="004517B7" w:rsidRPr="00D55D21">
        <w:rPr>
          <w:sz w:val="24"/>
        </w:rPr>
        <w:t xml:space="preserve">, tehniskās pārbaudes un analīzes </w:t>
      </w:r>
      <w:r w:rsidRPr="00D55D21">
        <w:rPr>
          <w:sz w:val="24"/>
        </w:rPr>
        <w:t xml:space="preserve">izmaksu pieaugums tiek prognozēts par 9,2%. </w:t>
      </w:r>
    </w:p>
    <w:p w14:paraId="71F75BA8" w14:textId="43154989" w:rsidR="005831CD" w:rsidRPr="00D55D21" w:rsidRDefault="005831CD" w:rsidP="00277F38">
      <w:pPr>
        <w:ind w:firstLine="709"/>
        <w:jc w:val="both"/>
        <w:rPr>
          <w:sz w:val="24"/>
        </w:rPr>
      </w:pPr>
      <w:r w:rsidRPr="00D55D21">
        <w:rPr>
          <w:sz w:val="24"/>
        </w:rPr>
        <w:t>Ekspertu prognozēs būvniecības izmaksas konsekventi pieaug visās apakšnozarēs, ko var skaidrot ar inflācijas ietekmi un resursu sadārdzināšanos.</w:t>
      </w:r>
    </w:p>
    <w:p w14:paraId="05C39A17" w14:textId="044E7B53" w:rsidR="002C740D" w:rsidRPr="00D55D21" w:rsidRDefault="002C740D" w:rsidP="002C740D">
      <w:pPr>
        <w:jc w:val="center"/>
        <w:rPr>
          <w:b/>
          <w:bCs/>
          <w:sz w:val="24"/>
        </w:rPr>
      </w:pPr>
    </w:p>
    <w:p w14:paraId="10DDDA58" w14:textId="7E018149" w:rsidR="0026763A" w:rsidRPr="00855FB2" w:rsidRDefault="0026763A" w:rsidP="00920B40">
      <w:pPr>
        <w:pStyle w:val="Heading1"/>
        <w:numPr>
          <w:ilvl w:val="0"/>
          <w:numId w:val="0"/>
        </w:numPr>
        <w:rPr>
          <w:rFonts w:ascii="Times New Roman" w:hAnsi="Times New Roman" w:cs="Times New Roman"/>
          <w:color w:val="0099CC"/>
          <w:szCs w:val="24"/>
        </w:rPr>
      </w:pPr>
      <w:r w:rsidRPr="00855FB2">
        <w:rPr>
          <w:rFonts w:ascii="Times New Roman" w:hAnsi="Times New Roman" w:cs="Times New Roman"/>
          <w:color w:val="0099CC"/>
          <w:szCs w:val="24"/>
        </w:rPr>
        <w:t>Secinājumi</w:t>
      </w:r>
    </w:p>
    <w:p w14:paraId="56010E16" w14:textId="221F3479" w:rsidR="00FC21FC" w:rsidRDefault="00FC21FC" w:rsidP="00FC21FC">
      <w:pPr>
        <w:pStyle w:val="ListParagraph"/>
        <w:numPr>
          <w:ilvl w:val="0"/>
          <w:numId w:val="13"/>
        </w:numPr>
        <w:spacing w:line="276" w:lineRule="auto"/>
        <w:jc w:val="both"/>
        <w:rPr>
          <w:sz w:val="24"/>
        </w:rPr>
      </w:pPr>
      <w:r w:rsidRPr="00D55D21">
        <w:rPr>
          <w:sz w:val="24"/>
        </w:rPr>
        <w:t xml:space="preserve">Ņemot vērā COVID-19 pandēmijas </w:t>
      </w:r>
      <w:r w:rsidRPr="0094080F">
        <w:rPr>
          <w:sz w:val="24"/>
        </w:rPr>
        <w:t>un Krievijas</w:t>
      </w:r>
      <w:r w:rsidR="0094080F" w:rsidRPr="0094080F">
        <w:rPr>
          <w:sz w:val="24"/>
        </w:rPr>
        <w:t xml:space="preserve"> militārās agresijas Ukrainā </w:t>
      </w:r>
      <w:r w:rsidRPr="00D55D21">
        <w:rPr>
          <w:sz w:val="24"/>
        </w:rPr>
        <w:t>izraisītās ekonomiskās sekas un valdības pieņemto lēmumu ietekmi uz</w:t>
      </w:r>
      <w:r w:rsidRPr="00D55D21">
        <w:rPr>
          <w:bCs/>
          <w:sz w:val="24"/>
        </w:rPr>
        <w:t xml:space="preserve"> tām, kā arī </w:t>
      </w:r>
      <w:r w:rsidRPr="00D55D21">
        <w:rPr>
          <w:sz w:val="24"/>
        </w:rPr>
        <w:t>aktuālo situāciju Latvijas būvniecības nozarē</w:t>
      </w:r>
      <w:r w:rsidR="003E6E22">
        <w:rPr>
          <w:sz w:val="24"/>
        </w:rPr>
        <w:t>,</w:t>
      </w:r>
      <w:r w:rsidRPr="00D55D21">
        <w:rPr>
          <w:sz w:val="24"/>
        </w:rPr>
        <w:t xml:space="preserve"> Ekonomikas ministrijas skatījumā prognozes ar augstāku ticamības līmeni ir pētījumā iesaistītajiem būvniecības ekspertiem</w:t>
      </w:r>
      <w:r>
        <w:rPr>
          <w:sz w:val="24"/>
        </w:rPr>
        <w:t>, jo eksperti spēj pielāgot savas prognozes balstoties uz aktuālo informāciju un notikumiem pasaulē, bet statistika šādus notikumus vērā neņem. Statistiskās prognozes ir ar augstāku ticamības līmeni, ja nozare attīstās vienmērīgi, bez globālu notikumu radītiem satricinājumiem.</w:t>
      </w:r>
    </w:p>
    <w:p w14:paraId="7B935E64" w14:textId="5ACE01B6" w:rsidR="004E0176" w:rsidRPr="00D55D21" w:rsidRDefault="004E0176" w:rsidP="00FC21FC">
      <w:pPr>
        <w:pStyle w:val="ListParagraph"/>
        <w:numPr>
          <w:ilvl w:val="0"/>
          <w:numId w:val="13"/>
        </w:numPr>
        <w:spacing w:line="276" w:lineRule="auto"/>
        <w:jc w:val="both"/>
        <w:rPr>
          <w:sz w:val="24"/>
        </w:rPr>
      </w:pPr>
      <w:r>
        <w:rPr>
          <w:sz w:val="24"/>
        </w:rPr>
        <w:t>Ņemot vērā aktuālo statistiku par būvniecības produkcijas apjomiem</w:t>
      </w:r>
      <w:r w:rsidR="003E6E22">
        <w:rPr>
          <w:sz w:val="24"/>
        </w:rPr>
        <w:t>,</w:t>
      </w:r>
      <w:r>
        <w:rPr>
          <w:sz w:val="24"/>
        </w:rPr>
        <w:t xml:space="preserve"> kā arī prognozes par būvniecības produkcijas apjomiem</w:t>
      </w:r>
      <w:r w:rsidR="003E6E22">
        <w:rPr>
          <w:sz w:val="24"/>
        </w:rPr>
        <w:t>,</w:t>
      </w:r>
      <w:r>
        <w:rPr>
          <w:sz w:val="24"/>
        </w:rPr>
        <w:t xml:space="preserve"> nozarē šobrīd nav vērojamas klasiskas pārkaršanas pazīmes </w:t>
      </w:r>
      <w:r w:rsidR="00CA4A2E">
        <w:rPr>
          <w:sz w:val="24"/>
        </w:rPr>
        <w:t>(</w:t>
      </w:r>
      <w:r>
        <w:rPr>
          <w:sz w:val="24"/>
        </w:rPr>
        <w:t>kad būvniecības izmaksas strauji pieaug</w:t>
      </w:r>
      <w:r w:rsidR="003E6E22">
        <w:rPr>
          <w:sz w:val="24"/>
        </w:rPr>
        <w:t>,</w:t>
      </w:r>
      <w:r>
        <w:rPr>
          <w:sz w:val="24"/>
        </w:rPr>
        <w:t xml:space="preserve"> jo strauji pieaug </w:t>
      </w:r>
      <w:r w:rsidR="00CA4A2E">
        <w:rPr>
          <w:sz w:val="24"/>
        </w:rPr>
        <w:t>būvniecības apjoms)</w:t>
      </w:r>
      <w:r>
        <w:rPr>
          <w:sz w:val="24"/>
        </w:rPr>
        <w:t>. Būvniecības izmaksas 2021. un 2022.gad</w:t>
      </w:r>
      <w:r w:rsidR="00DF652A">
        <w:rPr>
          <w:sz w:val="24"/>
        </w:rPr>
        <w:t>ā</w:t>
      </w:r>
      <w:r>
        <w:rPr>
          <w:sz w:val="24"/>
        </w:rPr>
        <w:t xml:space="preserve"> ir strauji pieaugušas globālu notikumu </w:t>
      </w:r>
      <w:r w:rsidR="0094080F">
        <w:rPr>
          <w:sz w:val="24"/>
        </w:rPr>
        <w:t xml:space="preserve">– </w:t>
      </w:r>
      <w:r w:rsidRPr="00D55D21">
        <w:rPr>
          <w:sz w:val="24"/>
        </w:rPr>
        <w:t xml:space="preserve">COVID-19 pandēmijas un </w:t>
      </w:r>
      <w:r w:rsidR="0094080F" w:rsidRPr="0094080F">
        <w:rPr>
          <w:sz w:val="24"/>
        </w:rPr>
        <w:t xml:space="preserve">Krievijas militārās agresijas Ukrainā </w:t>
      </w:r>
      <w:r w:rsidRPr="00D55D21">
        <w:rPr>
          <w:sz w:val="24"/>
        </w:rPr>
        <w:t>izraisīt</w:t>
      </w:r>
      <w:r w:rsidR="00DF652A">
        <w:rPr>
          <w:sz w:val="24"/>
        </w:rPr>
        <w:t>o</w:t>
      </w:r>
      <w:r w:rsidRPr="00D55D21">
        <w:rPr>
          <w:sz w:val="24"/>
        </w:rPr>
        <w:t xml:space="preserve"> ekonomisk</w:t>
      </w:r>
      <w:r w:rsidR="00DF652A">
        <w:rPr>
          <w:sz w:val="24"/>
        </w:rPr>
        <w:t xml:space="preserve">o seku </w:t>
      </w:r>
      <w:r>
        <w:rPr>
          <w:sz w:val="24"/>
        </w:rPr>
        <w:t>rezultātā</w:t>
      </w:r>
      <w:r w:rsidR="003E6E22">
        <w:rPr>
          <w:sz w:val="24"/>
        </w:rPr>
        <w:t>.</w:t>
      </w:r>
    </w:p>
    <w:p w14:paraId="2379DF56" w14:textId="6710298C" w:rsidR="008F0AA0" w:rsidRPr="008F0AA0" w:rsidRDefault="0041192A" w:rsidP="002A3BF6">
      <w:pPr>
        <w:pStyle w:val="CommentText"/>
        <w:numPr>
          <w:ilvl w:val="0"/>
          <w:numId w:val="13"/>
        </w:numPr>
        <w:jc w:val="both"/>
        <w:rPr>
          <w:sz w:val="24"/>
          <w:szCs w:val="24"/>
        </w:rPr>
      </w:pPr>
      <w:r w:rsidRPr="00D55D21">
        <w:rPr>
          <w:sz w:val="24"/>
        </w:rPr>
        <w:t>Latvijas būvniecības nozarē 2022. gadā tiek prognozēts būtisks izmaksu pieaugums – 14,9% apjomā pēc kombinētās prognozes un 20,5% pēc ekspertu prognozes ar lielāku ticamību ekspertu prognozei</w:t>
      </w:r>
      <w:r w:rsidR="003E6E22">
        <w:rPr>
          <w:sz w:val="24"/>
        </w:rPr>
        <w:t>.</w:t>
      </w:r>
      <w:r w:rsidRPr="00D55D21">
        <w:rPr>
          <w:sz w:val="24"/>
        </w:rPr>
        <w:t xml:space="preserve"> </w:t>
      </w:r>
      <w:r w:rsidR="008F0AA0">
        <w:rPr>
          <w:sz w:val="24"/>
        </w:rPr>
        <w:t>S</w:t>
      </w:r>
      <w:r w:rsidRPr="00D55D21">
        <w:rPr>
          <w:sz w:val="24"/>
        </w:rPr>
        <w:t xml:space="preserve">avukārt, 2023. gadā tiek prognozēts izmaksu pieaugums 5,9-9,4% robežās. </w:t>
      </w:r>
      <w:r w:rsidR="00A43F17" w:rsidRPr="00D55D21">
        <w:rPr>
          <w:sz w:val="24"/>
        </w:rPr>
        <w:t>Vislielākās izmaksu pieaugums 2022. gadā tiek prognozēts nedzīvojamo ēku būvniecībā (26,6%), dzīvojamo ēku būvniecībā (25,1%), dzelzceļu un metro būvniecībā (25,0%), kā arī tiltu un tuneļu būvniecībā (25,0%). Savukārt 2023. gadā būvniecības izmaksu pieaugums apakšnozarēs tiek prognozēts daudz piezemētāks atšķirībā no 2022. gada prognozēm.</w:t>
      </w:r>
    </w:p>
    <w:p w14:paraId="6104F5A4" w14:textId="784CBF4B" w:rsidR="00760D8E" w:rsidRPr="00627382" w:rsidRDefault="00760D8E" w:rsidP="002A3BF6">
      <w:pPr>
        <w:pStyle w:val="CommentText"/>
        <w:numPr>
          <w:ilvl w:val="0"/>
          <w:numId w:val="13"/>
        </w:numPr>
        <w:jc w:val="both"/>
        <w:rPr>
          <w:sz w:val="24"/>
          <w:szCs w:val="24"/>
        </w:rPr>
      </w:pPr>
      <w:r w:rsidRPr="00D55D21">
        <w:rPr>
          <w:sz w:val="24"/>
        </w:rPr>
        <w:lastRenderedPageBreak/>
        <w:t>Ņemot vērā Krievijas</w:t>
      </w:r>
      <w:r w:rsidR="00CA4A2E">
        <w:rPr>
          <w:sz w:val="24"/>
        </w:rPr>
        <w:t xml:space="preserve"> militārās agresijas </w:t>
      </w:r>
      <w:r w:rsidR="00CA4A2E" w:rsidRPr="00D55D21">
        <w:rPr>
          <w:sz w:val="24"/>
        </w:rPr>
        <w:t>Ukrain</w:t>
      </w:r>
      <w:r w:rsidR="00CA4A2E">
        <w:rPr>
          <w:sz w:val="24"/>
        </w:rPr>
        <w:t>ā</w:t>
      </w:r>
      <w:r w:rsidR="008F0AA0">
        <w:rPr>
          <w:sz w:val="24"/>
        </w:rPr>
        <w:t xml:space="preserve"> radīto</w:t>
      </w:r>
      <w:r w:rsidRPr="00D55D21">
        <w:rPr>
          <w:sz w:val="24"/>
        </w:rPr>
        <w:t xml:space="preserve"> seku negatīvo ietekmi uz </w:t>
      </w:r>
      <w:r w:rsidR="00CA4A2E">
        <w:rPr>
          <w:sz w:val="24"/>
        </w:rPr>
        <w:t>būvniecības nozari</w:t>
      </w:r>
      <w:r w:rsidRPr="00D55D21">
        <w:rPr>
          <w:sz w:val="24"/>
        </w:rPr>
        <w:t>, 2022. gadā iegūtās prognozes ir ar zemāku ticamības līmeni nekā iepriekšējos gados izstrādātās prognozes, jo</w:t>
      </w:r>
      <w:r w:rsidR="00CA4A2E">
        <w:rPr>
          <w:sz w:val="24"/>
        </w:rPr>
        <w:t xml:space="preserve"> nozare ir nestabilāka un</w:t>
      </w:r>
      <w:r w:rsidRPr="00D55D21">
        <w:rPr>
          <w:sz w:val="24"/>
        </w:rPr>
        <w:t xml:space="preserve"> pastāv lielāka nenoteiktība</w:t>
      </w:r>
      <w:r w:rsidR="00627382">
        <w:rPr>
          <w:sz w:val="24"/>
        </w:rPr>
        <w:t>;</w:t>
      </w:r>
    </w:p>
    <w:p w14:paraId="48EC21FB" w14:textId="1FAC1CEC" w:rsidR="00627382" w:rsidRPr="009352F2" w:rsidRDefault="00627382" w:rsidP="002A3BF6">
      <w:pPr>
        <w:pStyle w:val="CommentText"/>
        <w:numPr>
          <w:ilvl w:val="0"/>
          <w:numId w:val="13"/>
        </w:numPr>
        <w:jc w:val="both"/>
        <w:rPr>
          <w:sz w:val="24"/>
          <w:szCs w:val="24"/>
        </w:rPr>
      </w:pPr>
      <w:r>
        <w:rPr>
          <w:sz w:val="24"/>
        </w:rPr>
        <w:t>Ņemot vērā, ka pētījumā izstrādātās prognozes ir neprecīzas un tās nebūtu vēlams izmantot lēmumu pieņemšanā, Ekonomikas ministrijai nav lietderīgi turpināt katru gadu veikt pētījumu par izmaksu</w:t>
      </w:r>
      <w:r w:rsidR="00C45858">
        <w:rPr>
          <w:sz w:val="24"/>
        </w:rPr>
        <w:t xml:space="preserve"> dinamikas</w:t>
      </w:r>
      <w:r>
        <w:rPr>
          <w:sz w:val="24"/>
        </w:rPr>
        <w:t xml:space="preserve"> prognozēm</w:t>
      </w:r>
      <w:r w:rsidR="00C45858">
        <w:rPr>
          <w:sz w:val="24"/>
        </w:rPr>
        <w:t xml:space="preserve"> būvniecības nozarē</w:t>
      </w:r>
      <w:r w:rsidR="009352F2">
        <w:rPr>
          <w:sz w:val="24"/>
        </w:rPr>
        <w:t>;</w:t>
      </w:r>
    </w:p>
    <w:p w14:paraId="1764743A" w14:textId="77777777" w:rsidR="009352F2" w:rsidRPr="00D55D21" w:rsidRDefault="009352F2" w:rsidP="009352F2">
      <w:pPr>
        <w:pStyle w:val="ListParagraph"/>
        <w:numPr>
          <w:ilvl w:val="0"/>
          <w:numId w:val="13"/>
        </w:numPr>
        <w:spacing w:line="276" w:lineRule="auto"/>
        <w:jc w:val="both"/>
        <w:rPr>
          <w:sz w:val="24"/>
        </w:rPr>
      </w:pPr>
      <w:r w:rsidRPr="00D55D21">
        <w:rPr>
          <w:sz w:val="24"/>
        </w:rPr>
        <w:t>Būvprojektu īstenošana jābalsta uz saimnieciskā izdevīguma principiem</w:t>
      </w:r>
      <w:r>
        <w:rPr>
          <w:sz w:val="24"/>
        </w:rPr>
        <w:t>,</w:t>
      </w:r>
      <w:r w:rsidRPr="00D55D21">
        <w:rPr>
          <w:sz w:val="24"/>
        </w:rPr>
        <w:t xml:space="preserve"> ņemot vērā neprognozējamo resursu un izejvielu sadārdzinājumu. Jāseko līdzi nozarē un pasaulē valdošām tendencēm, lai nākotnē Latvijas būvniecības nozarē neveidotos pārmērīgi būvdarbu apjoma pieaugumi, kas var izraisīt nozares pārkaršanu</w:t>
      </w:r>
      <w:r>
        <w:rPr>
          <w:sz w:val="24"/>
        </w:rPr>
        <w:t xml:space="preserve"> (struktūrfondu projektu realizācijas rezultātā, ja šo projektu realizācija tiks atlikta uz vēlāku laiku)</w:t>
      </w:r>
      <w:r w:rsidRPr="00D55D21">
        <w:rPr>
          <w:sz w:val="24"/>
        </w:rPr>
        <w:t>. Lēmums par būvprojekta turpināšanu/pārtraukšanu jāpieņem balstoties ne tikai uz saimnieciskā izdevīguma principiem, bet arī ņemot vērā iespējamos zaudējumus, kas var rasties no objekta apturēšanas un termiņa pagarināšanas, u.c. aspektiem.</w:t>
      </w:r>
      <w:r>
        <w:rPr>
          <w:sz w:val="24"/>
        </w:rPr>
        <w:t xml:space="preserve"> Līdz ar to neskatoties uz būvniecības izmaksu pieauguma, ir jāmeklē iespējas t</w:t>
      </w:r>
      <w:r w:rsidRPr="00DA2966">
        <w:rPr>
          <w:sz w:val="24"/>
        </w:rPr>
        <w:t>urpināt iesāktās</w:t>
      </w:r>
      <w:r>
        <w:rPr>
          <w:sz w:val="24"/>
        </w:rPr>
        <w:t xml:space="preserve"> vai uzsākt būvdarbus plānotajās</w:t>
      </w:r>
      <w:r w:rsidRPr="00DA2966">
        <w:rPr>
          <w:sz w:val="24"/>
        </w:rPr>
        <w:t xml:space="preserve"> būvniecības iecer</w:t>
      </w:r>
      <w:r>
        <w:rPr>
          <w:sz w:val="24"/>
        </w:rPr>
        <w:t>ēs.</w:t>
      </w:r>
    </w:p>
    <w:p w14:paraId="1829F018" w14:textId="794903D9" w:rsidR="00AD5D90" w:rsidRPr="00855FB2" w:rsidRDefault="00AD5D90" w:rsidP="000636DE">
      <w:pPr>
        <w:pStyle w:val="Heading1"/>
        <w:numPr>
          <w:ilvl w:val="0"/>
          <w:numId w:val="0"/>
        </w:numPr>
        <w:rPr>
          <w:rFonts w:ascii="Times New Roman" w:hAnsi="Times New Roman" w:cs="Times New Roman"/>
          <w:color w:val="0099CC"/>
          <w:szCs w:val="24"/>
        </w:rPr>
      </w:pPr>
      <w:r w:rsidRPr="00855FB2">
        <w:rPr>
          <w:rFonts w:ascii="Times New Roman" w:hAnsi="Times New Roman" w:cs="Times New Roman"/>
          <w:color w:val="0099CC"/>
          <w:szCs w:val="24"/>
        </w:rPr>
        <w:t>Ieteikumi</w:t>
      </w:r>
    </w:p>
    <w:p w14:paraId="0E09E4B8" w14:textId="722017F8" w:rsidR="00BA738E" w:rsidRPr="00D55D21" w:rsidRDefault="00BA738E" w:rsidP="00BB0906">
      <w:pPr>
        <w:spacing w:line="276" w:lineRule="auto"/>
        <w:jc w:val="both"/>
        <w:rPr>
          <w:sz w:val="24"/>
        </w:rPr>
      </w:pPr>
      <w:r w:rsidRPr="00D55D21">
        <w:rPr>
          <w:sz w:val="24"/>
        </w:rPr>
        <w:t xml:space="preserve">Balstoties uz </w:t>
      </w:r>
      <w:r w:rsidR="007969A8" w:rsidRPr="00D55D21">
        <w:rPr>
          <w:sz w:val="24"/>
        </w:rPr>
        <w:t>p</w:t>
      </w:r>
      <w:r w:rsidRPr="00D55D21">
        <w:rPr>
          <w:sz w:val="24"/>
        </w:rPr>
        <w:t xml:space="preserve">ētījuma rezultātiem, ekspertu </w:t>
      </w:r>
      <w:r w:rsidR="00576F51" w:rsidRPr="00D55D21">
        <w:rPr>
          <w:sz w:val="24"/>
        </w:rPr>
        <w:t xml:space="preserve">paustajiem </w:t>
      </w:r>
      <w:r w:rsidRPr="00D55D21">
        <w:rPr>
          <w:sz w:val="24"/>
        </w:rPr>
        <w:t>viedokļiem</w:t>
      </w:r>
      <w:r w:rsidR="00546866" w:rsidRPr="00D55D21">
        <w:rPr>
          <w:sz w:val="24"/>
        </w:rPr>
        <w:t xml:space="preserve"> un</w:t>
      </w:r>
      <w:r w:rsidRPr="00D55D21">
        <w:rPr>
          <w:sz w:val="24"/>
        </w:rPr>
        <w:t xml:space="preserve"> nozares attīstības dinamiku</w:t>
      </w:r>
      <w:r w:rsidR="00546866" w:rsidRPr="00D55D21">
        <w:rPr>
          <w:sz w:val="24"/>
        </w:rPr>
        <w:t xml:space="preserve">, </w:t>
      </w:r>
      <w:r w:rsidRPr="00D55D21">
        <w:rPr>
          <w:sz w:val="24"/>
        </w:rPr>
        <w:t>tiek izvirzīti</w:t>
      </w:r>
      <w:r w:rsidR="007969A8" w:rsidRPr="00D55D21">
        <w:rPr>
          <w:sz w:val="24"/>
        </w:rPr>
        <w:t xml:space="preserve"> </w:t>
      </w:r>
      <w:r w:rsidR="0094080F">
        <w:rPr>
          <w:sz w:val="24"/>
        </w:rPr>
        <w:t>sekojoši</w:t>
      </w:r>
      <w:r w:rsidR="008F0AA0">
        <w:rPr>
          <w:sz w:val="24"/>
        </w:rPr>
        <w:t xml:space="preserve"> </w:t>
      </w:r>
      <w:r w:rsidRPr="00D55D21">
        <w:rPr>
          <w:sz w:val="24"/>
        </w:rPr>
        <w:t>ieteikumi</w:t>
      </w:r>
      <w:r w:rsidR="000F2ECE">
        <w:rPr>
          <w:sz w:val="24"/>
        </w:rPr>
        <w:t xml:space="preserve"> (</w:t>
      </w:r>
      <w:r w:rsidR="000F2ECE" w:rsidRPr="000F2ECE">
        <w:rPr>
          <w:i/>
          <w:iCs/>
          <w:sz w:val="24"/>
        </w:rPr>
        <w:t>p</w:t>
      </w:r>
      <w:r w:rsidR="000F2ECE" w:rsidRPr="000F2ECE">
        <w:rPr>
          <w:i/>
          <w:iCs/>
        </w:rPr>
        <w:t>ar ieteikumu ieviešanu atbildīgās iestādes tos nodrošinās tām piešķirto valsts budžeta līdzekļu ietvaros</w:t>
      </w:r>
      <w:r w:rsidR="000F2ECE">
        <w:rPr>
          <w:sz w:val="24"/>
        </w:rPr>
        <w:t>)</w:t>
      </w:r>
      <w:r w:rsidR="007969A8" w:rsidRPr="00D55D21">
        <w:rPr>
          <w:sz w:val="24"/>
        </w:rPr>
        <w:t>:</w:t>
      </w:r>
    </w:p>
    <w:p w14:paraId="2BC07FF4" w14:textId="1604DD7E" w:rsidR="00DD5E9F" w:rsidRDefault="00627382" w:rsidP="00DD5E9F">
      <w:pPr>
        <w:pStyle w:val="ListParagraph"/>
        <w:numPr>
          <w:ilvl w:val="0"/>
          <w:numId w:val="18"/>
        </w:numPr>
        <w:spacing w:line="276" w:lineRule="auto"/>
        <w:jc w:val="both"/>
        <w:rPr>
          <w:sz w:val="24"/>
        </w:rPr>
      </w:pPr>
      <w:r>
        <w:rPr>
          <w:sz w:val="24"/>
        </w:rPr>
        <w:t xml:space="preserve">Ekonomikas ministrijai neturpināt katru gadu veikt pētījumu par </w:t>
      </w:r>
      <w:r w:rsidR="00C45858" w:rsidRPr="00C45858">
        <w:rPr>
          <w:sz w:val="24"/>
        </w:rPr>
        <w:t>izmaksu dinamikas prognozēm</w:t>
      </w:r>
      <w:r w:rsidR="00C45858">
        <w:rPr>
          <w:sz w:val="24"/>
        </w:rPr>
        <w:t xml:space="preserve"> būvniecības nozarē</w:t>
      </w:r>
      <w:r>
        <w:rPr>
          <w:sz w:val="24"/>
        </w:rPr>
        <w:t>;</w:t>
      </w:r>
      <w:r w:rsidR="00FC21FC">
        <w:rPr>
          <w:sz w:val="24"/>
        </w:rPr>
        <w:t xml:space="preserve"> </w:t>
      </w:r>
    </w:p>
    <w:p w14:paraId="72AB07E9" w14:textId="324150D7" w:rsidR="00E11C2B" w:rsidRPr="00D55D21" w:rsidRDefault="00362E0D" w:rsidP="00E11C2B">
      <w:pPr>
        <w:pStyle w:val="ListParagraph"/>
        <w:numPr>
          <w:ilvl w:val="0"/>
          <w:numId w:val="18"/>
        </w:numPr>
        <w:spacing w:line="276" w:lineRule="auto"/>
        <w:jc w:val="both"/>
        <w:rPr>
          <w:rStyle w:val="normaltextrun"/>
          <w:sz w:val="24"/>
        </w:rPr>
      </w:pPr>
      <w:r w:rsidRPr="00D55D21">
        <w:rPr>
          <w:rStyle w:val="normaltextrun"/>
          <w:sz w:val="24"/>
          <w:shd w:val="clear" w:color="auto" w:fill="FFFFFF"/>
        </w:rPr>
        <w:t>Vēlams b</w:t>
      </w:r>
      <w:r w:rsidR="00E11C2B" w:rsidRPr="00D55D21">
        <w:rPr>
          <w:rStyle w:val="normaltextrun"/>
          <w:sz w:val="24"/>
          <w:shd w:val="clear" w:color="auto" w:fill="FFFFFF"/>
        </w:rPr>
        <w:t xml:space="preserve">ūvniecības nozares uzņēmumiem sekot līdzi energoresursu un būvmateriālu tirgus cenu dinamikai pasaules noieta tirgos, lai mazinātu dažādu risku ietekmi uz </w:t>
      </w:r>
      <w:r w:rsidRPr="00D55D21">
        <w:rPr>
          <w:rStyle w:val="normaltextrun"/>
          <w:sz w:val="24"/>
          <w:shd w:val="clear" w:color="auto" w:fill="FFFFFF"/>
        </w:rPr>
        <w:t>būvdarbu īstenošan</w:t>
      </w:r>
      <w:r w:rsidR="00F04820" w:rsidRPr="00D55D21">
        <w:rPr>
          <w:rStyle w:val="normaltextrun"/>
          <w:sz w:val="24"/>
          <w:shd w:val="clear" w:color="auto" w:fill="FFFFFF"/>
        </w:rPr>
        <w:t>u</w:t>
      </w:r>
      <w:r w:rsidRPr="00D55D21">
        <w:rPr>
          <w:rStyle w:val="normaltextrun"/>
          <w:sz w:val="24"/>
          <w:shd w:val="clear" w:color="auto" w:fill="FFFFFF"/>
        </w:rPr>
        <w:t xml:space="preserve"> un </w:t>
      </w:r>
      <w:r w:rsidR="00E11C2B" w:rsidRPr="00D55D21">
        <w:rPr>
          <w:rStyle w:val="normaltextrun"/>
          <w:sz w:val="24"/>
          <w:shd w:val="clear" w:color="auto" w:fill="FFFFFF"/>
        </w:rPr>
        <w:t>nozares attīstību</w:t>
      </w:r>
      <w:r w:rsidRPr="00D55D21">
        <w:rPr>
          <w:rStyle w:val="normaltextrun"/>
          <w:sz w:val="24"/>
          <w:shd w:val="clear" w:color="auto" w:fill="FFFFFF"/>
        </w:rPr>
        <w:t xml:space="preserve"> kopumā</w:t>
      </w:r>
      <w:r w:rsidR="00E11C2B" w:rsidRPr="00D55D21">
        <w:rPr>
          <w:rStyle w:val="normaltextrun"/>
          <w:sz w:val="24"/>
          <w:shd w:val="clear" w:color="auto" w:fill="FFFFFF"/>
        </w:rPr>
        <w:t>.</w:t>
      </w:r>
    </w:p>
    <w:p w14:paraId="11CCD0B2" w14:textId="36CC27D6" w:rsidR="00705A4C" w:rsidRPr="00D55D21" w:rsidRDefault="00C3332C" w:rsidP="00C3332C">
      <w:pPr>
        <w:pStyle w:val="ListParagraph"/>
        <w:numPr>
          <w:ilvl w:val="0"/>
          <w:numId w:val="18"/>
        </w:numPr>
        <w:spacing w:line="276" w:lineRule="auto"/>
        <w:jc w:val="both"/>
        <w:rPr>
          <w:sz w:val="24"/>
        </w:rPr>
      </w:pPr>
      <w:r w:rsidRPr="00C3332C">
        <w:rPr>
          <w:sz w:val="24"/>
        </w:rPr>
        <w:t xml:space="preserve">Ekonomikas ministrija kopīgi ar Finanšu ministriju (Iepirkumu uzraudzības biroju) un Vides aizsardzības un reģionālās attīstības ministriju (Valsts reģionālās attīstības aģentūru) </w:t>
      </w:r>
      <w:r>
        <w:rPr>
          <w:sz w:val="24"/>
        </w:rPr>
        <w:t>rast risinājumu</w:t>
      </w:r>
      <w:r w:rsidRPr="00C3332C">
        <w:rPr>
          <w:sz w:val="24"/>
        </w:rPr>
        <w:t xml:space="preserve"> informācijas sistēmās</w:t>
      </w:r>
      <w:r>
        <w:rPr>
          <w:sz w:val="24"/>
        </w:rPr>
        <w:t xml:space="preserve"> (EIS)</w:t>
      </w:r>
      <w:r w:rsidRPr="00C3332C">
        <w:rPr>
          <w:sz w:val="24"/>
        </w:rPr>
        <w:t xml:space="preserve"> ietverto ar būvprojektiem saistīto datu automātiskai apmaiņai un izmantošanai.</w:t>
      </w:r>
      <w:r>
        <w:rPr>
          <w:sz w:val="24"/>
        </w:rPr>
        <w:t xml:space="preserve"> (</w:t>
      </w:r>
      <w:r w:rsidRPr="00C3332C">
        <w:rPr>
          <w:sz w:val="24"/>
        </w:rPr>
        <w:t>Valsts sekretāru 02.02.2023. sanāksmes protokols Nr. 5</w:t>
      </w:r>
      <w:r>
        <w:rPr>
          <w:sz w:val="24"/>
        </w:rPr>
        <w:t xml:space="preserve"> </w:t>
      </w:r>
      <w:r w:rsidRPr="00C3332C">
        <w:rPr>
          <w:sz w:val="24"/>
        </w:rPr>
        <w:t>1. §</w:t>
      </w:r>
      <w:r>
        <w:rPr>
          <w:sz w:val="24"/>
        </w:rPr>
        <w:t xml:space="preserve"> 3.punkts).</w:t>
      </w:r>
    </w:p>
    <w:sectPr w:rsidR="00705A4C" w:rsidRPr="00D55D21" w:rsidSect="00934AFC">
      <w:headerReference w:type="default" r:id="rId20"/>
      <w:footerReference w:type="default" r:id="rId21"/>
      <w:pgSz w:w="11907" w:h="16840" w:code="9"/>
      <w:pgMar w:top="993" w:right="1134" w:bottom="993"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FB997" w14:textId="77777777" w:rsidR="00C55C7B" w:rsidRDefault="00C55C7B">
      <w:r>
        <w:separator/>
      </w:r>
    </w:p>
  </w:endnote>
  <w:endnote w:type="continuationSeparator" w:id="0">
    <w:p w14:paraId="28FFB1EE" w14:textId="77777777" w:rsidR="00C55C7B" w:rsidRDefault="00C55C7B">
      <w:r>
        <w:continuationSeparator/>
      </w:r>
    </w:p>
  </w:endnote>
  <w:endnote w:type="continuationNotice" w:id="1">
    <w:p w14:paraId="2F55C6FB" w14:textId="77777777" w:rsidR="00C55C7B" w:rsidRDefault="00C55C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335654"/>
      <w:docPartObj>
        <w:docPartGallery w:val="Page Numbers (Bottom of Page)"/>
        <w:docPartUnique/>
      </w:docPartObj>
    </w:sdtPr>
    <w:sdtEndPr>
      <w:rPr>
        <w:noProof/>
      </w:rPr>
    </w:sdtEndPr>
    <w:sdtContent>
      <w:p w14:paraId="402A4B8B" w14:textId="03AA05D8" w:rsidR="00DA2661" w:rsidRDefault="00DA26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1D2BB9" w14:textId="77777777" w:rsidR="004C0A8A" w:rsidRDefault="004C0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B7B8C" w14:textId="77777777" w:rsidR="00C55C7B" w:rsidRDefault="00C55C7B">
      <w:r>
        <w:separator/>
      </w:r>
    </w:p>
  </w:footnote>
  <w:footnote w:type="continuationSeparator" w:id="0">
    <w:p w14:paraId="667BAA83" w14:textId="77777777" w:rsidR="00C55C7B" w:rsidRDefault="00C55C7B">
      <w:r>
        <w:continuationSeparator/>
      </w:r>
    </w:p>
  </w:footnote>
  <w:footnote w:type="continuationNotice" w:id="1">
    <w:p w14:paraId="66CE3CB1" w14:textId="77777777" w:rsidR="00C55C7B" w:rsidRDefault="00C55C7B"/>
  </w:footnote>
  <w:footnote w:id="2">
    <w:p w14:paraId="2E04B291" w14:textId="77777777" w:rsidR="00827F5D" w:rsidRDefault="00827F5D" w:rsidP="00827F5D">
      <w:pPr>
        <w:pStyle w:val="FootnoteText"/>
        <w:jc w:val="both"/>
      </w:pPr>
      <w:r w:rsidRPr="003C65FB">
        <w:rPr>
          <w:rStyle w:val="FootnoteReference"/>
        </w:rPr>
        <w:footnoteRef/>
      </w:r>
      <w:r>
        <w:t xml:space="preserve"> </w:t>
      </w:r>
      <w:r w:rsidRPr="003C65FB">
        <w:rPr>
          <w:shd w:val="clear" w:color="auto" w:fill="FFFFFF"/>
        </w:rPr>
        <w:t xml:space="preserve">Ministru kabineta 2019. gada 23. aprīļa sēdes protokols Nr.21. pieejams </w:t>
      </w:r>
      <w:r w:rsidRPr="00430D64">
        <w:rPr>
          <w:shd w:val="clear" w:color="auto" w:fill="FFFFFF"/>
        </w:rPr>
        <w:t>tiesību aktu projektu</w:t>
      </w:r>
      <w:r w:rsidRPr="00430D64">
        <w:t xml:space="preserve"> portāla tīmekļvietnē</w:t>
      </w:r>
      <w:r w:rsidRPr="003C65FB">
        <w:rPr>
          <w:shd w:val="clear" w:color="auto" w:fill="FFFFFF"/>
        </w:rPr>
        <w:t xml:space="preserve">: </w:t>
      </w:r>
      <w:r w:rsidRPr="003C65FB">
        <w:t>https://tap.mk.gov.lv/mk/mksedes/saraksts/protokols/?protokols=2019-04-23</w:t>
      </w:r>
    </w:p>
  </w:footnote>
  <w:footnote w:id="3">
    <w:p w14:paraId="26FA43C4" w14:textId="77777777" w:rsidR="00A3518D" w:rsidRDefault="00A3518D" w:rsidP="00A3518D">
      <w:pPr>
        <w:pStyle w:val="FootnoteText"/>
      </w:pPr>
      <w:r>
        <w:rPr>
          <w:rStyle w:val="FootnoteReference"/>
        </w:rPr>
        <w:footnoteRef/>
      </w:r>
      <w:r>
        <w:t xml:space="preserve"> </w:t>
      </w:r>
      <w:r w:rsidRPr="00430D64">
        <w:t xml:space="preserve">EM informatīvais ziņojums </w:t>
      </w:r>
      <w:r w:rsidRPr="00430D64">
        <w:rPr>
          <w:i/>
          <w:iCs/>
        </w:rPr>
        <w:t>“Par situāciju būvniecības nozarē saistībā ar Krievijas agresiju Ukrainā un nepieciešamajiem risinājumiem publisko investīciju projektos” (TAP 22-TA-938)</w:t>
      </w:r>
      <w:r w:rsidRPr="00430D64">
        <w:t xml:space="preserve"> pieejams </w:t>
      </w:r>
      <w:r w:rsidRPr="00430D64">
        <w:rPr>
          <w:shd w:val="clear" w:color="auto" w:fill="FFFFFF"/>
        </w:rPr>
        <w:t>tiesību aktu projektu</w:t>
      </w:r>
      <w:r w:rsidRPr="00430D64">
        <w:t xml:space="preserve"> portāla tīmekļvietnē: </w:t>
      </w:r>
      <w:r w:rsidRPr="001F0E5C">
        <w:t>https://tapportals.mk.gov.lv/legal_acts/5ede348a-1c08-43af-a118-d1468eb458b1</w:t>
      </w:r>
    </w:p>
  </w:footnote>
  <w:footnote w:id="4">
    <w:p w14:paraId="68888854" w14:textId="77777777" w:rsidR="00692483" w:rsidRPr="003C65FB" w:rsidRDefault="00692483" w:rsidP="00692483">
      <w:pPr>
        <w:pStyle w:val="FootnoteText"/>
        <w:jc w:val="both"/>
      </w:pPr>
      <w:r w:rsidRPr="003C65FB">
        <w:rPr>
          <w:rStyle w:val="FootnoteReference"/>
        </w:rPr>
        <w:footnoteRef/>
      </w:r>
      <w:r w:rsidRPr="003C65FB">
        <w:t xml:space="preserve"> Ziņojuma </w:t>
      </w:r>
      <w:r w:rsidRPr="003C65FB">
        <w:rPr>
          <w:i/>
          <w:iCs/>
        </w:rPr>
        <w:t>“Pētījums par ikgadējām izmaksu dinamikas prognozēm un pārkaršanas riskiem Latvijas būvniecības nozarē”</w:t>
      </w:r>
      <w:r w:rsidRPr="003C65FB">
        <w:t xml:space="preserve"> mērķis - veikt izmaksu dinamikas prognozes un pārkaršanas risku novērtējumu Latvijas būvniecības nozarē un sniegt ieteikumus nozares stabilitātes un konkurētspējas veicināšanai, ņemot vērā būvniecības nozares attīstību ietekmējošos faktorus un pasaulē notiekošos procesus.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8326A" w14:textId="6423F0A4" w:rsidR="001D08EC" w:rsidRDefault="001D08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F105C"/>
    <w:multiLevelType w:val="hybridMultilevel"/>
    <w:tmpl w:val="794484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56516C"/>
    <w:multiLevelType w:val="hybridMultilevel"/>
    <w:tmpl w:val="6AF23B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C3F4A14"/>
    <w:multiLevelType w:val="hybridMultilevel"/>
    <w:tmpl w:val="468AA1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D7C5216"/>
    <w:multiLevelType w:val="hybridMultilevel"/>
    <w:tmpl w:val="861A01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038312B"/>
    <w:multiLevelType w:val="hybridMultilevel"/>
    <w:tmpl w:val="F642D46E"/>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4C14097"/>
    <w:multiLevelType w:val="multilevel"/>
    <w:tmpl w:val="555AC92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F1B5736"/>
    <w:multiLevelType w:val="hybridMultilevel"/>
    <w:tmpl w:val="861A01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E84D4D"/>
    <w:multiLevelType w:val="hybridMultilevel"/>
    <w:tmpl w:val="1BD04854"/>
    <w:lvl w:ilvl="0" w:tplc="BF4684A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75F00D3"/>
    <w:multiLevelType w:val="hybridMultilevel"/>
    <w:tmpl w:val="2BA8423C"/>
    <w:lvl w:ilvl="0" w:tplc="452E42A2">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B8F198C"/>
    <w:multiLevelType w:val="multilevel"/>
    <w:tmpl w:val="555AC92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232305E"/>
    <w:multiLevelType w:val="hybridMultilevel"/>
    <w:tmpl w:val="6BA07570"/>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B77526A"/>
    <w:multiLevelType w:val="multilevel"/>
    <w:tmpl w:val="826499AA"/>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D5335E4"/>
    <w:multiLevelType w:val="hybridMultilevel"/>
    <w:tmpl w:val="674A1CB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7A75C8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D055409"/>
    <w:multiLevelType w:val="hybridMultilevel"/>
    <w:tmpl w:val="861A01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FEA65F9"/>
    <w:multiLevelType w:val="hybridMultilevel"/>
    <w:tmpl w:val="B6EC10D6"/>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69565D36"/>
    <w:multiLevelType w:val="hybridMultilevel"/>
    <w:tmpl w:val="57A250A6"/>
    <w:lvl w:ilvl="0" w:tplc="4A66917E">
      <w:start w:val="1"/>
      <w:numFmt w:val="bullet"/>
      <w:lvlRestart w:val="0"/>
      <w:lvlText w:val=""/>
      <w:lvlJc w:val="left"/>
      <w:pPr>
        <w:ind w:left="0" w:firstLine="705"/>
      </w:pPr>
      <w:rPr>
        <w:u w:val="none"/>
      </w:rPr>
    </w:lvl>
    <w:lvl w:ilvl="1" w:tplc="2D98881C">
      <w:numFmt w:val="decimal"/>
      <w:lvlText w:val=""/>
      <w:lvlJc w:val="left"/>
    </w:lvl>
    <w:lvl w:ilvl="2" w:tplc="4376928A">
      <w:numFmt w:val="decimal"/>
      <w:lvlText w:val=""/>
      <w:lvlJc w:val="left"/>
    </w:lvl>
    <w:lvl w:ilvl="3" w:tplc="1B888A28">
      <w:numFmt w:val="decimal"/>
      <w:lvlText w:val=""/>
      <w:lvlJc w:val="left"/>
    </w:lvl>
    <w:lvl w:ilvl="4" w:tplc="B5C2605E">
      <w:numFmt w:val="decimal"/>
      <w:lvlText w:val=""/>
      <w:lvlJc w:val="left"/>
    </w:lvl>
    <w:lvl w:ilvl="5" w:tplc="4E1E4F94">
      <w:numFmt w:val="decimal"/>
      <w:lvlText w:val=""/>
      <w:lvlJc w:val="left"/>
    </w:lvl>
    <w:lvl w:ilvl="6" w:tplc="6D968324">
      <w:numFmt w:val="decimal"/>
      <w:lvlText w:val=""/>
      <w:lvlJc w:val="left"/>
    </w:lvl>
    <w:lvl w:ilvl="7" w:tplc="6D445DF2">
      <w:numFmt w:val="decimal"/>
      <w:lvlText w:val=""/>
      <w:lvlJc w:val="left"/>
    </w:lvl>
    <w:lvl w:ilvl="8" w:tplc="6CA2F6F0">
      <w:numFmt w:val="decimal"/>
      <w:lvlText w:val=""/>
      <w:lvlJc w:val="left"/>
    </w:lvl>
  </w:abstractNum>
  <w:abstractNum w:abstractNumId="17" w15:restartNumberingAfterBreak="0">
    <w:nsid w:val="72C01052"/>
    <w:multiLevelType w:val="hybridMultilevel"/>
    <w:tmpl w:val="29C23C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6020B59"/>
    <w:multiLevelType w:val="hybridMultilevel"/>
    <w:tmpl w:val="F1F84D0E"/>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FB102BE"/>
    <w:multiLevelType w:val="hybridMultilevel"/>
    <w:tmpl w:val="ABEC28A8"/>
    <w:lvl w:ilvl="0" w:tplc="04260003">
      <w:start w:val="1"/>
      <w:numFmt w:val="bullet"/>
      <w:lvlText w:val="o"/>
      <w:lvlJc w:val="left"/>
      <w:pPr>
        <w:ind w:left="1800" w:hanging="360"/>
      </w:pPr>
      <w:rPr>
        <w:rFonts w:ascii="Courier New" w:hAnsi="Courier New" w:cs="Courier New"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num w:numId="1" w16cid:durableId="764963931">
    <w:abstractNumId w:val="5"/>
  </w:num>
  <w:num w:numId="2" w16cid:durableId="249780743">
    <w:abstractNumId w:val="17"/>
  </w:num>
  <w:num w:numId="3" w16cid:durableId="840971064">
    <w:abstractNumId w:val="1"/>
  </w:num>
  <w:num w:numId="4" w16cid:durableId="622079082">
    <w:abstractNumId w:val="11"/>
  </w:num>
  <w:num w:numId="5" w16cid:durableId="425806611">
    <w:abstractNumId w:val="13"/>
  </w:num>
  <w:num w:numId="6" w16cid:durableId="1117019078">
    <w:abstractNumId w:val="12"/>
  </w:num>
  <w:num w:numId="7" w16cid:durableId="526993485">
    <w:abstractNumId w:val="10"/>
  </w:num>
  <w:num w:numId="8" w16cid:durableId="1670668481">
    <w:abstractNumId w:val="18"/>
  </w:num>
  <w:num w:numId="9" w16cid:durableId="27335617">
    <w:abstractNumId w:val="7"/>
  </w:num>
  <w:num w:numId="10" w16cid:durableId="987512582">
    <w:abstractNumId w:val="2"/>
  </w:num>
  <w:num w:numId="11" w16cid:durableId="808668346">
    <w:abstractNumId w:val="9"/>
  </w:num>
  <w:num w:numId="12" w16cid:durableId="1804349141">
    <w:abstractNumId w:val="0"/>
  </w:num>
  <w:num w:numId="13" w16cid:durableId="255289066">
    <w:abstractNumId w:val="8"/>
  </w:num>
  <w:num w:numId="14" w16cid:durableId="751701739">
    <w:abstractNumId w:val="6"/>
  </w:num>
  <w:num w:numId="15" w16cid:durableId="572472540">
    <w:abstractNumId w:val="3"/>
  </w:num>
  <w:num w:numId="16" w16cid:durableId="1335188805">
    <w:abstractNumId w:val="14"/>
  </w:num>
  <w:num w:numId="17" w16cid:durableId="271788824">
    <w:abstractNumId w:val="4"/>
  </w:num>
  <w:num w:numId="18" w16cid:durableId="11149078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37934356">
    <w:abstractNumId w:val="16"/>
  </w:num>
  <w:num w:numId="20" w16cid:durableId="1205411423">
    <w:abstractNumId w:val="19"/>
  </w:num>
  <w:num w:numId="21" w16cid:durableId="174996240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A2"/>
    <w:rsid w:val="0000132E"/>
    <w:rsid w:val="00002E01"/>
    <w:rsid w:val="00003A35"/>
    <w:rsid w:val="000047A7"/>
    <w:rsid w:val="00005522"/>
    <w:rsid w:val="00005628"/>
    <w:rsid w:val="00005F6B"/>
    <w:rsid w:val="000066B1"/>
    <w:rsid w:val="000069BC"/>
    <w:rsid w:val="00007782"/>
    <w:rsid w:val="000101E4"/>
    <w:rsid w:val="000104B1"/>
    <w:rsid w:val="00010B31"/>
    <w:rsid w:val="00010DA5"/>
    <w:rsid w:val="00011209"/>
    <w:rsid w:val="000128BB"/>
    <w:rsid w:val="00013AB5"/>
    <w:rsid w:val="00013CA4"/>
    <w:rsid w:val="00015481"/>
    <w:rsid w:val="000163FA"/>
    <w:rsid w:val="000169AA"/>
    <w:rsid w:val="00020255"/>
    <w:rsid w:val="00022D8C"/>
    <w:rsid w:val="00022F64"/>
    <w:rsid w:val="000232FB"/>
    <w:rsid w:val="00023D82"/>
    <w:rsid w:val="000243C1"/>
    <w:rsid w:val="00024B01"/>
    <w:rsid w:val="00024C42"/>
    <w:rsid w:val="00025194"/>
    <w:rsid w:val="000270FC"/>
    <w:rsid w:val="00030837"/>
    <w:rsid w:val="000311ED"/>
    <w:rsid w:val="000312FE"/>
    <w:rsid w:val="000324F3"/>
    <w:rsid w:val="00032605"/>
    <w:rsid w:val="00032E73"/>
    <w:rsid w:val="000330BA"/>
    <w:rsid w:val="00035097"/>
    <w:rsid w:val="00035394"/>
    <w:rsid w:val="00035B77"/>
    <w:rsid w:val="00035CB3"/>
    <w:rsid w:val="0003600A"/>
    <w:rsid w:val="00036472"/>
    <w:rsid w:val="00036F39"/>
    <w:rsid w:val="00036FED"/>
    <w:rsid w:val="0004026E"/>
    <w:rsid w:val="000404C3"/>
    <w:rsid w:val="000404DE"/>
    <w:rsid w:val="00040E66"/>
    <w:rsid w:val="00041CFA"/>
    <w:rsid w:val="00042FB1"/>
    <w:rsid w:val="00044DE9"/>
    <w:rsid w:val="00044F4A"/>
    <w:rsid w:val="000453C0"/>
    <w:rsid w:val="000454FF"/>
    <w:rsid w:val="00045BBE"/>
    <w:rsid w:val="000463C0"/>
    <w:rsid w:val="000472F6"/>
    <w:rsid w:val="0004792C"/>
    <w:rsid w:val="00047C4B"/>
    <w:rsid w:val="000505E8"/>
    <w:rsid w:val="0005121D"/>
    <w:rsid w:val="00051465"/>
    <w:rsid w:val="00051AAD"/>
    <w:rsid w:val="000543D9"/>
    <w:rsid w:val="0005446B"/>
    <w:rsid w:val="00054C84"/>
    <w:rsid w:val="00055BB2"/>
    <w:rsid w:val="00055F05"/>
    <w:rsid w:val="00056267"/>
    <w:rsid w:val="00057237"/>
    <w:rsid w:val="00060741"/>
    <w:rsid w:val="00060E4F"/>
    <w:rsid w:val="000619F7"/>
    <w:rsid w:val="0006283D"/>
    <w:rsid w:val="00062B70"/>
    <w:rsid w:val="000636DE"/>
    <w:rsid w:val="00064A79"/>
    <w:rsid w:val="00064ACA"/>
    <w:rsid w:val="00065997"/>
    <w:rsid w:val="00065F5E"/>
    <w:rsid w:val="0006618D"/>
    <w:rsid w:val="00066CC0"/>
    <w:rsid w:val="00070351"/>
    <w:rsid w:val="00070B5A"/>
    <w:rsid w:val="0007241C"/>
    <w:rsid w:val="0007244B"/>
    <w:rsid w:val="00072B89"/>
    <w:rsid w:val="00073191"/>
    <w:rsid w:val="0007428B"/>
    <w:rsid w:val="0007551E"/>
    <w:rsid w:val="00075913"/>
    <w:rsid w:val="00075F4D"/>
    <w:rsid w:val="000766F3"/>
    <w:rsid w:val="00080CFA"/>
    <w:rsid w:val="00081384"/>
    <w:rsid w:val="0008140C"/>
    <w:rsid w:val="0008184E"/>
    <w:rsid w:val="00082449"/>
    <w:rsid w:val="00082995"/>
    <w:rsid w:val="000836C5"/>
    <w:rsid w:val="00083B2F"/>
    <w:rsid w:val="000842B0"/>
    <w:rsid w:val="000843D3"/>
    <w:rsid w:val="0008451C"/>
    <w:rsid w:val="0008457F"/>
    <w:rsid w:val="00084C94"/>
    <w:rsid w:val="00084DDC"/>
    <w:rsid w:val="00085614"/>
    <w:rsid w:val="0008646B"/>
    <w:rsid w:val="00087ACE"/>
    <w:rsid w:val="0009008A"/>
    <w:rsid w:val="0009018B"/>
    <w:rsid w:val="000907E3"/>
    <w:rsid w:val="00091332"/>
    <w:rsid w:val="00091679"/>
    <w:rsid w:val="00091E0A"/>
    <w:rsid w:val="0009361D"/>
    <w:rsid w:val="00093857"/>
    <w:rsid w:val="00095B7F"/>
    <w:rsid w:val="00096D9D"/>
    <w:rsid w:val="00097C35"/>
    <w:rsid w:val="000A04B1"/>
    <w:rsid w:val="000A0ED2"/>
    <w:rsid w:val="000A1501"/>
    <w:rsid w:val="000A1C92"/>
    <w:rsid w:val="000A1E82"/>
    <w:rsid w:val="000A24C8"/>
    <w:rsid w:val="000A2D31"/>
    <w:rsid w:val="000A2EB6"/>
    <w:rsid w:val="000A5A4C"/>
    <w:rsid w:val="000A5D6C"/>
    <w:rsid w:val="000A615C"/>
    <w:rsid w:val="000A648C"/>
    <w:rsid w:val="000B0141"/>
    <w:rsid w:val="000B03A5"/>
    <w:rsid w:val="000B04F4"/>
    <w:rsid w:val="000B0653"/>
    <w:rsid w:val="000B0A2B"/>
    <w:rsid w:val="000B1835"/>
    <w:rsid w:val="000B31F0"/>
    <w:rsid w:val="000B32F3"/>
    <w:rsid w:val="000B392E"/>
    <w:rsid w:val="000B3FA5"/>
    <w:rsid w:val="000B4E37"/>
    <w:rsid w:val="000B4F28"/>
    <w:rsid w:val="000B5AB1"/>
    <w:rsid w:val="000B5C1B"/>
    <w:rsid w:val="000B63B7"/>
    <w:rsid w:val="000B6748"/>
    <w:rsid w:val="000B6971"/>
    <w:rsid w:val="000B6C97"/>
    <w:rsid w:val="000B7957"/>
    <w:rsid w:val="000B7E2D"/>
    <w:rsid w:val="000B7FD7"/>
    <w:rsid w:val="000C10D1"/>
    <w:rsid w:val="000C1191"/>
    <w:rsid w:val="000C1B00"/>
    <w:rsid w:val="000C1BE1"/>
    <w:rsid w:val="000C24CD"/>
    <w:rsid w:val="000C2905"/>
    <w:rsid w:val="000C4CCB"/>
    <w:rsid w:val="000C62CA"/>
    <w:rsid w:val="000C63BB"/>
    <w:rsid w:val="000C652B"/>
    <w:rsid w:val="000C71D2"/>
    <w:rsid w:val="000C7485"/>
    <w:rsid w:val="000D03ED"/>
    <w:rsid w:val="000D0911"/>
    <w:rsid w:val="000D288F"/>
    <w:rsid w:val="000D2F3F"/>
    <w:rsid w:val="000D40C1"/>
    <w:rsid w:val="000D4322"/>
    <w:rsid w:val="000D511E"/>
    <w:rsid w:val="000D6529"/>
    <w:rsid w:val="000D6E9E"/>
    <w:rsid w:val="000D797A"/>
    <w:rsid w:val="000E00A2"/>
    <w:rsid w:val="000E25B6"/>
    <w:rsid w:val="000E2CD9"/>
    <w:rsid w:val="000E2FA8"/>
    <w:rsid w:val="000E35E7"/>
    <w:rsid w:val="000E407B"/>
    <w:rsid w:val="000E576D"/>
    <w:rsid w:val="000E6417"/>
    <w:rsid w:val="000E7B9D"/>
    <w:rsid w:val="000F0902"/>
    <w:rsid w:val="000F09D3"/>
    <w:rsid w:val="000F0BA0"/>
    <w:rsid w:val="000F101C"/>
    <w:rsid w:val="000F1710"/>
    <w:rsid w:val="000F1A3C"/>
    <w:rsid w:val="000F20F4"/>
    <w:rsid w:val="000F2CE6"/>
    <w:rsid w:val="000F2ECE"/>
    <w:rsid w:val="000F31E5"/>
    <w:rsid w:val="000F40C7"/>
    <w:rsid w:val="000F4C27"/>
    <w:rsid w:val="000F4EB0"/>
    <w:rsid w:val="000F525A"/>
    <w:rsid w:val="000F561E"/>
    <w:rsid w:val="000F5F2E"/>
    <w:rsid w:val="000F6F73"/>
    <w:rsid w:val="000F7007"/>
    <w:rsid w:val="00100147"/>
    <w:rsid w:val="00100270"/>
    <w:rsid w:val="001013D6"/>
    <w:rsid w:val="00102897"/>
    <w:rsid w:val="00103F56"/>
    <w:rsid w:val="00104005"/>
    <w:rsid w:val="001043A7"/>
    <w:rsid w:val="00104526"/>
    <w:rsid w:val="00104CE9"/>
    <w:rsid w:val="00105BD5"/>
    <w:rsid w:val="00105D39"/>
    <w:rsid w:val="00106322"/>
    <w:rsid w:val="001064C2"/>
    <w:rsid w:val="00106E94"/>
    <w:rsid w:val="00112C19"/>
    <w:rsid w:val="001147F3"/>
    <w:rsid w:val="00114E6D"/>
    <w:rsid w:val="00116ABB"/>
    <w:rsid w:val="001201EF"/>
    <w:rsid w:val="001209B9"/>
    <w:rsid w:val="0012129D"/>
    <w:rsid w:val="00121377"/>
    <w:rsid w:val="001214A1"/>
    <w:rsid w:val="001216D8"/>
    <w:rsid w:val="0012197A"/>
    <w:rsid w:val="00121F60"/>
    <w:rsid w:val="0012246C"/>
    <w:rsid w:val="00124D80"/>
    <w:rsid w:val="001252DB"/>
    <w:rsid w:val="001267C8"/>
    <w:rsid w:val="00126EDF"/>
    <w:rsid w:val="001278FD"/>
    <w:rsid w:val="00130635"/>
    <w:rsid w:val="00130DE4"/>
    <w:rsid w:val="00131FD6"/>
    <w:rsid w:val="00132181"/>
    <w:rsid w:val="001328B4"/>
    <w:rsid w:val="00132C1F"/>
    <w:rsid w:val="00133B33"/>
    <w:rsid w:val="00134FD3"/>
    <w:rsid w:val="0013540E"/>
    <w:rsid w:val="00135CB0"/>
    <w:rsid w:val="001363F9"/>
    <w:rsid w:val="0013651B"/>
    <w:rsid w:val="00136C71"/>
    <w:rsid w:val="00137716"/>
    <w:rsid w:val="00137FCA"/>
    <w:rsid w:val="00140425"/>
    <w:rsid w:val="00140816"/>
    <w:rsid w:val="00140BB1"/>
    <w:rsid w:val="00140E88"/>
    <w:rsid w:val="00142E9B"/>
    <w:rsid w:val="0014410D"/>
    <w:rsid w:val="00144D55"/>
    <w:rsid w:val="00144E87"/>
    <w:rsid w:val="001451CD"/>
    <w:rsid w:val="0014567A"/>
    <w:rsid w:val="00145B15"/>
    <w:rsid w:val="00145DBC"/>
    <w:rsid w:val="00145EEF"/>
    <w:rsid w:val="00146912"/>
    <w:rsid w:val="00146E8D"/>
    <w:rsid w:val="001471C7"/>
    <w:rsid w:val="00147CEB"/>
    <w:rsid w:val="00150727"/>
    <w:rsid w:val="001509B3"/>
    <w:rsid w:val="00150EDC"/>
    <w:rsid w:val="00153815"/>
    <w:rsid w:val="00153DD4"/>
    <w:rsid w:val="00154655"/>
    <w:rsid w:val="00156280"/>
    <w:rsid w:val="0015685E"/>
    <w:rsid w:val="00156FA2"/>
    <w:rsid w:val="0015767C"/>
    <w:rsid w:val="00157A22"/>
    <w:rsid w:val="001610BC"/>
    <w:rsid w:val="001614DF"/>
    <w:rsid w:val="00161852"/>
    <w:rsid w:val="00161FF4"/>
    <w:rsid w:val="0016358A"/>
    <w:rsid w:val="00163C4F"/>
    <w:rsid w:val="00164193"/>
    <w:rsid w:val="0016511B"/>
    <w:rsid w:val="00165466"/>
    <w:rsid w:val="00165E05"/>
    <w:rsid w:val="00166191"/>
    <w:rsid w:val="00166822"/>
    <w:rsid w:val="00167A30"/>
    <w:rsid w:val="00167BEA"/>
    <w:rsid w:val="00171BC2"/>
    <w:rsid w:val="001722EF"/>
    <w:rsid w:val="0017305E"/>
    <w:rsid w:val="0017348B"/>
    <w:rsid w:val="00173A6D"/>
    <w:rsid w:val="001742B7"/>
    <w:rsid w:val="001743F6"/>
    <w:rsid w:val="00175888"/>
    <w:rsid w:val="001760D8"/>
    <w:rsid w:val="00176414"/>
    <w:rsid w:val="00177BC1"/>
    <w:rsid w:val="00180E9D"/>
    <w:rsid w:val="00181306"/>
    <w:rsid w:val="00181676"/>
    <w:rsid w:val="00181A58"/>
    <w:rsid w:val="001825BE"/>
    <w:rsid w:val="001827DC"/>
    <w:rsid w:val="00182B93"/>
    <w:rsid w:val="00185A3C"/>
    <w:rsid w:val="001861F0"/>
    <w:rsid w:val="001863F0"/>
    <w:rsid w:val="00186620"/>
    <w:rsid w:val="00186694"/>
    <w:rsid w:val="00187376"/>
    <w:rsid w:val="00187524"/>
    <w:rsid w:val="001907E2"/>
    <w:rsid w:val="001907E3"/>
    <w:rsid w:val="00190A67"/>
    <w:rsid w:val="00190A81"/>
    <w:rsid w:val="001916B2"/>
    <w:rsid w:val="00191DC2"/>
    <w:rsid w:val="001931A3"/>
    <w:rsid w:val="00193409"/>
    <w:rsid w:val="001941A6"/>
    <w:rsid w:val="0019583C"/>
    <w:rsid w:val="00196CA2"/>
    <w:rsid w:val="001979FC"/>
    <w:rsid w:val="001A00D7"/>
    <w:rsid w:val="001A04F6"/>
    <w:rsid w:val="001A1439"/>
    <w:rsid w:val="001A1667"/>
    <w:rsid w:val="001A18F0"/>
    <w:rsid w:val="001A1B05"/>
    <w:rsid w:val="001A2321"/>
    <w:rsid w:val="001A2538"/>
    <w:rsid w:val="001A3566"/>
    <w:rsid w:val="001A40D6"/>
    <w:rsid w:val="001A4C3F"/>
    <w:rsid w:val="001A4CFD"/>
    <w:rsid w:val="001A5095"/>
    <w:rsid w:val="001A55AD"/>
    <w:rsid w:val="001A57AC"/>
    <w:rsid w:val="001A6483"/>
    <w:rsid w:val="001A698B"/>
    <w:rsid w:val="001A7430"/>
    <w:rsid w:val="001B0A80"/>
    <w:rsid w:val="001B0AD3"/>
    <w:rsid w:val="001B0F5E"/>
    <w:rsid w:val="001B11F8"/>
    <w:rsid w:val="001B36C1"/>
    <w:rsid w:val="001B3ED0"/>
    <w:rsid w:val="001B44FA"/>
    <w:rsid w:val="001B4E3D"/>
    <w:rsid w:val="001B52F3"/>
    <w:rsid w:val="001B675B"/>
    <w:rsid w:val="001B6F27"/>
    <w:rsid w:val="001B7763"/>
    <w:rsid w:val="001B7F17"/>
    <w:rsid w:val="001C0045"/>
    <w:rsid w:val="001C0780"/>
    <w:rsid w:val="001C0B8A"/>
    <w:rsid w:val="001C0C2E"/>
    <w:rsid w:val="001C1BEC"/>
    <w:rsid w:val="001C322F"/>
    <w:rsid w:val="001C3EA7"/>
    <w:rsid w:val="001C4040"/>
    <w:rsid w:val="001C419F"/>
    <w:rsid w:val="001C4E5D"/>
    <w:rsid w:val="001C54A1"/>
    <w:rsid w:val="001C58E3"/>
    <w:rsid w:val="001C5923"/>
    <w:rsid w:val="001C676D"/>
    <w:rsid w:val="001C6970"/>
    <w:rsid w:val="001C6D16"/>
    <w:rsid w:val="001C7562"/>
    <w:rsid w:val="001C769E"/>
    <w:rsid w:val="001D005F"/>
    <w:rsid w:val="001D0512"/>
    <w:rsid w:val="001D08EC"/>
    <w:rsid w:val="001D0CD4"/>
    <w:rsid w:val="001D19E5"/>
    <w:rsid w:val="001D1E7C"/>
    <w:rsid w:val="001D2139"/>
    <w:rsid w:val="001D243B"/>
    <w:rsid w:val="001D244D"/>
    <w:rsid w:val="001D352E"/>
    <w:rsid w:val="001D3AEA"/>
    <w:rsid w:val="001D4715"/>
    <w:rsid w:val="001D5B61"/>
    <w:rsid w:val="001D615A"/>
    <w:rsid w:val="001D714C"/>
    <w:rsid w:val="001D7F25"/>
    <w:rsid w:val="001E017B"/>
    <w:rsid w:val="001E0623"/>
    <w:rsid w:val="001E0636"/>
    <w:rsid w:val="001E0BC8"/>
    <w:rsid w:val="001E1BD8"/>
    <w:rsid w:val="001E1D8B"/>
    <w:rsid w:val="001E3DEA"/>
    <w:rsid w:val="001E497E"/>
    <w:rsid w:val="001E5220"/>
    <w:rsid w:val="001E5CED"/>
    <w:rsid w:val="001E663E"/>
    <w:rsid w:val="001E6AEF"/>
    <w:rsid w:val="001E78A7"/>
    <w:rsid w:val="001F073F"/>
    <w:rsid w:val="001F0E5C"/>
    <w:rsid w:val="001F1A54"/>
    <w:rsid w:val="001F2654"/>
    <w:rsid w:val="001F26CE"/>
    <w:rsid w:val="001F319E"/>
    <w:rsid w:val="001F352E"/>
    <w:rsid w:val="001F3694"/>
    <w:rsid w:val="001F373F"/>
    <w:rsid w:val="001F3BA2"/>
    <w:rsid w:val="001F4608"/>
    <w:rsid w:val="001F6E7D"/>
    <w:rsid w:val="001F7088"/>
    <w:rsid w:val="001F77D2"/>
    <w:rsid w:val="001F7B4A"/>
    <w:rsid w:val="00200143"/>
    <w:rsid w:val="002004EF"/>
    <w:rsid w:val="00203813"/>
    <w:rsid w:val="00203C52"/>
    <w:rsid w:val="0020446F"/>
    <w:rsid w:val="002050F1"/>
    <w:rsid w:val="00206418"/>
    <w:rsid w:val="00207520"/>
    <w:rsid w:val="00207EF6"/>
    <w:rsid w:val="00210ECE"/>
    <w:rsid w:val="002126A8"/>
    <w:rsid w:val="00212D5F"/>
    <w:rsid w:val="002131F7"/>
    <w:rsid w:val="00215515"/>
    <w:rsid w:val="00215D39"/>
    <w:rsid w:val="00215F25"/>
    <w:rsid w:val="002169D8"/>
    <w:rsid w:val="00217329"/>
    <w:rsid w:val="002178A5"/>
    <w:rsid w:val="00217C60"/>
    <w:rsid w:val="0022022E"/>
    <w:rsid w:val="00220758"/>
    <w:rsid w:val="002208D3"/>
    <w:rsid w:val="002210C8"/>
    <w:rsid w:val="00221260"/>
    <w:rsid w:val="00221519"/>
    <w:rsid w:val="002225C5"/>
    <w:rsid w:val="002228A4"/>
    <w:rsid w:val="002230E0"/>
    <w:rsid w:val="002232F6"/>
    <w:rsid w:val="00223A80"/>
    <w:rsid w:val="00223D3A"/>
    <w:rsid w:val="00224070"/>
    <w:rsid w:val="00226C59"/>
    <w:rsid w:val="00227101"/>
    <w:rsid w:val="00227399"/>
    <w:rsid w:val="002276F2"/>
    <w:rsid w:val="002279FC"/>
    <w:rsid w:val="00227A14"/>
    <w:rsid w:val="00227FD2"/>
    <w:rsid w:val="002312F6"/>
    <w:rsid w:val="002328BB"/>
    <w:rsid w:val="0023314B"/>
    <w:rsid w:val="002331C3"/>
    <w:rsid w:val="002345C4"/>
    <w:rsid w:val="00234F41"/>
    <w:rsid w:val="00235633"/>
    <w:rsid w:val="0023720C"/>
    <w:rsid w:val="0023768C"/>
    <w:rsid w:val="00237CE3"/>
    <w:rsid w:val="00237EE3"/>
    <w:rsid w:val="00240FB1"/>
    <w:rsid w:val="00242663"/>
    <w:rsid w:val="002441F6"/>
    <w:rsid w:val="0024479D"/>
    <w:rsid w:val="00245308"/>
    <w:rsid w:val="00245549"/>
    <w:rsid w:val="002477B8"/>
    <w:rsid w:val="00250138"/>
    <w:rsid w:val="002506D2"/>
    <w:rsid w:val="00251090"/>
    <w:rsid w:val="00251098"/>
    <w:rsid w:val="00251132"/>
    <w:rsid w:val="00251736"/>
    <w:rsid w:val="00252ACB"/>
    <w:rsid w:val="00252D45"/>
    <w:rsid w:val="002534EA"/>
    <w:rsid w:val="0025379F"/>
    <w:rsid w:val="00253CB5"/>
    <w:rsid w:val="00253DE8"/>
    <w:rsid w:val="002543EF"/>
    <w:rsid w:val="002548D6"/>
    <w:rsid w:val="00254AAE"/>
    <w:rsid w:val="00254D81"/>
    <w:rsid w:val="0025551E"/>
    <w:rsid w:val="002558E1"/>
    <w:rsid w:val="00255ADA"/>
    <w:rsid w:val="002567D3"/>
    <w:rsid w:val="00257541"/>
    <w:rsid w:val="00257A37"/>
    <w:rsid w:val="00257FBD"/>
    <w:rsid w:val="00260B1F"/>
    <w:rsid w:val="00260BF5"/>
    <w:rsid w:val="00261A33"/>
    <w:rsid w:val="0026231F"/>
    <w:rsid w:val="00263CE5"/>
    <w:rsid w:val="00263FD5"/>
    <w:rsid w:val="002641CB"/>
    <w:rsid w:val="00264B37"/>
    <w:rsid w:val="002660FC"/>
    <w:rsid w:val="00266681"/>
    <w:rsid w:val="0026763A"/>
    <w:rsid w:val="00267843"/>
    <w:rsid w:val="00267F10"/>
    <w:rsid w:val="002708B9"/>
    <w:rsid w:val="00270DA3"/>
    <w:rsid w:val="00271466"/>
    <w:rsid w:val="002722BB"/>
    <w:rsid w:val="00272ADD"/>
    <w:rsid w:val="00272DB1"/>
    <w:rsid w:val="00273E5C"/>
    <w:rsid w:val="0027458D"/>
    <w:rsid w:val="00274BA2"/>
    <w:rsid w:val="00274F00"/>
    <w:rsid w:val="00274F46"/>
    <w:rsid w:val="0027693E"/>
    <w:rsid w:val="00276F59"/>
    <w:rsid w:val="0027753D"/>
    <w:rsid w:val="00277547"/>
    <w:rsid w:val="00277F38"/>
    <w:rsid w:val="00281C11"/>
    <w:rsid w:val="0028306E"/>
    <w:rsid w:val="0028353E"/>
    <w:rsid w:val="00283CA9"/>
    <w:rsid w:val="0028410B"/>
    <w:rsid w:val="002843C5"/>
    <w:rsid w:val="0028494A"/>
    <w:rsid w:val="0028536A"/>
    <w:rsid w:val="00286A62"/>
    <w:rsid w:val="00290300"/>
    <w:rsid w:val="002904B3"/>
    <w:rsid w:val="00290E88"/>
    <w:rsid w:val="002916EF"/>
    <w:rsid w:val="00291809"/>
    <w:rsid w:val="00291FAA"/>
    <w:rsid w:val="00292409"/>
    <w:rsid w:val="002926A0"/>
    <w:rsid w:val="00292D26"/>
    <w:rsid w:val="0029473D"/>
    <w:rsid w:val="00294AA6"/>
    <w:rsid w:val="0029563C"/>
    <w:rsid w:val="002958DD"/>
    <w:rsid w:val="00296BC7"/>
    <w:rsid w:val="002A0562"/>
    <w:rsid w:val="002A064B"/>
    <w:rsid w:val="002A224B"/>
    <w:rsid w:val="002A234D"/>
    <w:rsid w:val="002A2B22"/>
    <w:rsid w:val="002A35E8"/>
    <w:rsid w:val="002A3BF6"/>
    <w:rsid w:val="002A47C1"/>
    <w:rsid w:val="002A52F6"/>
    <w:rsid w:val="002A538F"/>
    <w:rsid w:val="002A57C8"/>
    <w:rsid w:val="002A5BD7"/>
    <w:rsid w:val="002A7434"/>
    <w:rsid w:val="002A7E8C"/>
    <w:rsid w:val="002A7ED6"/>
    <w:rsid w:val="002B00D1"/>
    <w:rsid w:val="002B0F4F"/>
    <w:rsid w:val="002B2480"/>
    <w:rsid w:val="002B2DA7"/>
    <w:rsid w:val="002B35DD"/>
    <w:rsid w:val="002B3737"/>
    <w:rsid w:val="002B400A"/>
    <w:rsid w:val="002B60BF"/>
    <w:rsid w:val="002B639C"/>
    <w:rsid w:val="002B7009"/>
    <w:rsid w:val="002B7394"/>
    <w:rsid w:val="002B7998"/>
    <w:rsid w:val="002B7FC7"/>
    <w:rsid w:val="002C0234"/>
    <w:rsid w:val="002C1C11"/>
    <w:rsid w:val="002C294C"/>
    <w:rsid w:val="002C2E95"/>
    <w:rsid w:val="002C435C"/>
    <w:rsid w:val="002C43EC"/>
    <w:rsid w:val="002C4C5D"/>
    <w:rsid w:val="002C4DBF"/>
    <w:rsid w:val="002C58D2"/>
    <w:rsid w:val="002C62B6"/>
    <w:rsid w:val="002C7192"/>
    <w:rsid w:val="002C740D"/>
    <w:rsid w:val="002C7669"/>
    <w:rsid w:val="002C7904"/>
    <w:rsid w:val="002D02E9"/>
    <w:rsid w:val="002D04AE"/>
    <w:rsid w:val="002D0781"/>
    <w:rsid w:val="002D0B5C"/>
    <w:rsid w:val="002D2122"/>
    <w:rsid w:val="002D25C0"/>
    <w:rsid w:val="002D2FCD"/>
    <w:rsid w:val="002D37AD"/>
    <w:rsid w:val="002D3BBE"/>
    <w:rsid w:val="002D3E62"/>
    <w:rsid w:val="002D4036"/>
    <w:rsid w:val="002D43A8"/>
    <w:rsid w:val="002D4AEC"/>
    <w:rsid w:val="002D5D41"/>
    <w:rsid w:val="002D622F"/>
    <w:rsid w:val="002D72D7"/>
    <w:rsid w:val="002E0C48"/>
    <w:rsid w:val="002E0CBF"/>
    <w:rsid w:val="002E1031"/>
    <w:rsid w:val="002E23E2"/>
    <w:rsid w:val="002E261D"/>
    <w:rsid w:val="002E2ADD"/>
    <w:rsid w:val="002E3DFE"/>
    <w:rsid w:val="002E4BFB"/>
    <w:rsid w:val="002E5EEF"/>
    <w:rsid w:val="002E74C1"/>
    <w:rsid w:val="002E773D"/>
    <w:rsid w:val="002E7743"/>
    <w:rsid w:val="002E779E"/>
    <w:rsid w:val="002F0074"/>
    <w:rsid w:val="002F1EAB"/>
    <w:rsid w:val="002F284E"/>
    <w:rsid w:val="002F5508"/>
    <w:rsid w:val="002F5EA3"/>
    <w:rsid w:val="002F6407"/>
    <w:rsid w:val="002F68EC"/>
    <w:rsid w:val="002F6A80"/>
    <w:rsid w:val="002F6D8A"/>
    <w:rsid w:val="002F70E7"/>
    <w:rsid w:val="002F7103"/>
    <w:rsid w:val="002F721F"/>
    <w:rsid w:val="002F7C11"/>
    <w:rsid w:val="002F7D8C"/>
    <w:rsid w:val="00300FCD"/>
    <w:rsid w:val="0030150B"/>
    <w:rsid w:val="00302F61"/>
    <w:rsid w:val="00303327"/>
    <w:rsid w:val="003046EB"/>
    <w:rsid w:val="00304AD0"/>
    <w:rsid w:val="003051B1"/>
    <w:rsid w:val="00306A5E"/>
    <w:rsid w:val="00306FF5"/>
    <w:rsid w:val="003073A2"/>
    <w:rsid w:val="003077EB"/>
    <w:rsid w:val="003100F4"/>
    <w:rsid w:val="00310B33"/>
    <w:rsid w:val="00312217"/>
    <w:rsid w:val="003125A4"/>
    <w:rsid w:val="0031274F"/>
    <w:rsid w:val="0031296B"/>
    <w:rsid w:val="003134F5"/>
    <w:rsid w:val="00313A3C"/>
    <w:rsid w:val="00313CE2"/>
    <w:rsid w:val="00314DCA"/>
    <w:rsid w:val="00314EE6"/>
    <w:rsid w:val="00315210"/>
    <w:rsid w:val="003154CC"/>
    <w:rsid w:val="00316C6F"/>
    <w:rsid w:val="00317A89"/>
    <w:rsid w:val="00317B0E"/>
    <w:rsid w:val="00317C4A"/>
    <w:rsid w:val="003203F4"/>
    <w:rsid w:val="00320E4F"/>
    <w:rsid w:val="0032168D"/>
    <w:rsid w:val="00321B66"/>
    <w:rsid w:val="00322071"/>
    <w:rsid w:val="003220E7"/>
    <w:rsid w:val="003224D7"/>
    <w:rsid w:val="0032352B"/>
    <w:rsid w:val="00324216"/>
    <w:rsid w:val="00324FC1"/>
    <w:rsid w:val="0032506C"/>
    <w:rsid w:val="00325F4D"/>
    <w:rsid w:val="0032683D"/>
    <w:rsid w:val="00326FA1"/>
    <w:rsid w:val="003270FD"/>
    <w:rsid w:val="00327151"/>
    <w:rsid w:val="003278A9"/>
    <w:rsid w:val="00327AC2"/>
    <w:rsid w:val="00330851"/>
    <w:rsid w:val="0033186B"/>
    <w:rsid w:val="0033212F"/>
    <w:rsid w:val="003321A9"/>
    <w:rsid w:val="003324B1"/>
    <w:rsid w:val="003340C3"/>
    <w:rsid w:val="003341D5"/>
    <w:rsid w:val="0033656B"/>
    <w:rsid w:val="0033657A"/>
    <w:rsid w:val="0034001C"/>
    <w:rsid w:val="003419BF"/>
    <w:rsid w:val="00341C7D"/>
    <w:rsid w:val="00341FFE"/>
    <w:rsid w:val="003430FE"/>
    <w:rsid w:val="003451E0"/>
    <w:rsid w:val="003453D1"/>
    <w:rsid w:val="003457FC"/>
    <w:rsid w:val="00350471"/>
    <w:rsid w:val="00350502"/>
    <w:rsid w:val="00350CFA"/>
    <w:rsid w:val="0035104B"/>
    <w:rsid w:val="00351C75"/>
    <w:rsid w:val="00351EB5"/>
    <w:rsid w:val="00353657"/>
    <w:rsid w:val="00353A1C"/>
    <w:rsid w:val="00353EB3"/>
    <w:rsid w:val="0035481C"/>
    <w:rsid w:val="00354BC4"/>
    <w:rsid w:val="00354C80"/>
    <w:rsid w:val="003560E7"/>
    <w:rsid w:val="0035796B"/>
    <w:rsid w:val="00362E0D"/>
    <w:rsid w:val="003632BE"/>
    <w:rsid w:val="003639FA"/>
    <w:rsid w:val="003647BB"/>
    <w:rsid w:val="00364F56"/>
    <w:rsid w:val="003651C0"/>
    <w:rsid w:val="003672A2"/>
    <w:rsid w:val="00367D4E"/>
    <w:rsid w:val="003704EF"/>
    <w:rsid w:val="00370838"/>
    <w:rsid w:val="00370EC2"/>
    <w:rsid w:val="0037106E"/>
    <w:rsid w:val="00371122"/>
    <w:rsid w:val="0037126C"/>
    <w:rsid w:val="003713FE"/>
    <w:rsid w:val="00372F13"/>
    <w:rsid w:val="00374156"/>
    <w:rsid w:val="00374504"/>
    <w:rsid w:val="00374B89"/>
    <w:rsid w:val="00374ED3"/>
    <w:rsid w:val="00375044"/>
    <w:rsid w:val="00375257"/>
    <w:rsid w:val="00375352"/>
    <w:rsid w:val="00375DDE"/>
    <w:rsid w:val="00376367"/>
    <w:rsid w:val="003767AB"/>
    <w:rsid w:val="0037748E"/>
    <w:rsid w:val="0037793E"/>
    <w:rsid w:val="00377AEB"/>
    <w:rsid w:val="00377D3C"/>
    <w:rsid w:val="00377DE2"/>
    <w:rsid w:val="00380285"/>
    <w:rsid w:val="003806A0"/>
    <w:rsid w:val="00381660"/>
    <w:rsid w:val="00381DFB"/>
    <w:rsid w:val="003822D9"/>
    <w:rsid w:val="0038251C"/>
    <w:rsid w:val="00382FF1"/>
    <w:rsid w:val="00383956"/>
    <w:rsid w:val="00385DF6"/>
    <w:rsid w:val="00386427"/>
    <w:rsid w:val="00387363"/>
    <w:rsid w:val="00391DC9"/>
    <w:rsid w:val="003922C0"/>
    <w:rsid w:val="00392366"/>
    <w:rsid w:val="00393657"/>
    <w:rsid w:val="00394840"/>
    <w:rsid w:val="003950CF"/>
    <w:rsid w:val="003952B1"/>
    <w:rsid w:val="0039531F"/>
    <w:rsid w:val="00396363"/>
    <w:rsid w:val="00396643"/>
    <w:rsid w:val="003969A7"/>
    <w:rsid w:val="00397734"/>
    <w:rsid w:val="003A02B8"/>
    <w:rsid w:val="003A09A4"/>
    <w:rsid w:val="003A2144"/>
    <w:rsid w:val="003A22FC"/>
    <w:rsid w:val="003A23A2"/>
    <w:rsid w:val="003A38DC"/>
    <w:rsid w:val="003A4B03"/>
    <w:rsid w:val="003A4DEE"/>
    <w:rsid w:val="003A5BC3"/>
    <w:rsid w:val="003A60F9"/>
    <w:rsid w:val="003B0A52"/>
    <w:rsid w:val="003B10E1"/>
    <w:rsid w:val="003B18CC"/>
    <w:rsid w:val="003B35CC"/>
    <w:rsid w:val="003B42E2"/>
    <w:rsid w:val="003B47D3"/>
    <w:rsid w:val="003B481B"/>
    <w:rsid w:val="003B5483"/>
    <w:rsid w:val="003B7F05"/>
    <w:rsid w:val="003C00FD"/>
    <w:rsid w:val="003C31C5"/>
    <w:rsid w:val="003C44D9"/>
    <w:rsid w:val="003C4BCE"/>
    <w:rsid w:val="003C54BA"/>
    <w:rsid w:val="003C57A4"/>
    <w:rsid w:val="003C58F7"/>
    <w:rsid w:val="003C60D6"/>
    <w:rsid w:val="003C61C4"/>
    <w:rsid w:val="003C65FB"/>
    <w:rsid w:val="003C76D6"/>
    <w:rsid w:val="003C7E52"/>
    <w:rsid w:val="003D0E13"/>
    <w:rsid w:val="003D11B2"/>
    <w:rsid w:val="003D144E"/>
    <w:rsid w:val="003D1B23"/>
    <w:rsid w:val="003D1EE7"/>
    <w:rsid w:val="003D2152"/>
    <w:rsid w:val="003D242D"/>
    <w:rsid w:val="003D26E5"/>
    <w:rsid w:val="003D339C"/>
    <w:rsid w:val="003D352B"/>
    <w:rsid w:val="003D3B4A"/>
    <w:rsid w:val="003D3CE4"/>
    <w:rsid w:val="003D4001"/>
    <w:rsid w:val="003D5665"/>
    <w:rsid w:val="003D6A3A"/>
    <w:rsid w:val="003D7CB8"/>
    <w:rsid w:val="003E076C"/>
    <w:rsid w:val="003E1075"/>
    <w:rsid w:val="003E150C"/>
    <w:rsid w:val="003E167C"/>
    <w:rsid w:val="003E2320"/>
    <w:rsid w:val="003E2371"/>
    <w:rsid w:val="003E3CEA"/>
    <w:rsid w:val="003E44E6"/>
    <w:rsid w:val="003E4A9E"/>
    <w:rsid w:val="003E4D0B"/>
    <w:rsid w:val="003E51B2"/>
    <w:rsid w:val="003E58A2"/>
    <w:rsid w:val="003E5D71"/>
    <w:rsid w:val="003E6997"/>
    <w:rsid w:val="003E6CC7"/>
    <w:rsid w:val="003E6E22"/>
    <w:rsid w:val="003E6E70"/>
    <w:rsid w:val="003E779D"/>
    <w:rsid w:val="003F05C3"/>
    <w:rsid w:val="003F0630"/>
    <w:rsid w:val="003F07D7"/>
    <w:rsid w:val="003F091B"/>
    <w:rsid w:val="003F0A08"/>
    <w:rsid w:val="003F1A37"/>
    <w:rsid w:val="003F2537"/>
    <w:rsid w:val="003F2629"/>
    <w:rsid w:val="003F376E"/>
    <w:rsid w:val="003F44F4"/>
    <w:rsid w:val="003F5021"/>
    <w:rsid w:val="003F54BC"/>
    <w:rsid w:val="003F562D"/>
    <w:rsid w:val="003F65CA"/>
    <w:rsid w:val="003F76A0"/>
    <w:rsid w:val="003F7EF6"/>
    <w:rsid w:val="003F7F19"/>
    <w:rsid w:val="00400B9E"/>
    <w:rsid w:val="00400BF3"/>
    <w:rsid w:val="00401E33"/>
    <w:rsid w:val="0040278A"/>
    <w:rsid w:val="004035AD"/>
    <w:rsid w:val="004038AB"/>
    <w:rsid w:val="00404863"/>
    <w:rsid w:val="0040540B"/>
    <w:rsid w:val="00405637"/>
    <w:rsid w:val="0040659F"/>
    <w:rsid w:val="00406EAD"/>
    <w:rsid w:val="00407080"/>
    <w:rsid w:val="004076C1"/>
    <w:rsid w:val="0040771A"/>
    <w:rsid w:val="0040792B"/>
    <w:rsid w:val="00410841"/>
    <w:rsid w:val="0041192A"/>
    <w:rsid w:val="00411C5A"/>
    <w:rsid w:val="00411FFE"/>
    <w:rsid w:val="00413840"/>
    <w:rsid w:val="0041444A"/>
    <w:rsid w:val="00415411"/>
    <w:rsid w:val="004158C9"/>
    <w:rsid w:val="00416A9A"/>
    <w:rsid w:val="00417AAA"/>
    <w:rsid w:val="00422EEC"/>
    <w:rsid w:val="00424726"/>
    <w:rsid w:val="004247C9"/>
    <w:rsid w:val="00425317"/>
    <w:rsid w:val="004266E3"/>
    <w:rsid w:val="00426938"/>
    <w:rsid w:val="0042707E"/>
    <w:rsid w:val="00427E06"/>
    <w:rsid w:val="00430B56"/>
    <w:rsid w:val="00430D64"/>
    <w:rsid w:val="00430F66"/>
    <w:rsid w:val="00431CF5"/>
    <w:rsid w:val="004327C6"/>
    <w:rsid w:val="004329B1"/>
    <w:rsid w:val="00432B4A"/>
    <w:rsid w:val="00433A78"/>
    <w:rsid w:val="004344B1"/>
    <w:rsid w:val="004362E8"/>
    <w:rsid w:val="0043678B"/>
    <w:rsid w:val="004367E4"/>
    <w:rsid w:val="004373E8"/>
    <w:rsid w:val="0043779A"/>
    <w:rsid w:val="00437DCB"/>
    <w:rsid w:val="004400DF"/>
    <w:rsid w:val="0044059A"/>
    <w:rsid w:val="00441027"/>
    <w:rsid w:val="00441BD6"/>
    <w:rsid w:val="004430FC"/>
    <w:rsid w:val="004449E7"/>
    <w:rsid w:val="0044555E"/>
    <w:rsid w:val="004456D0"/>
    <w:rsid w:val="0044589A"/>
    <w:rsid w:val="00445B29"/>
    <w:rsid w:val="00446AA7"/>
    <w:rsid w:val="00446CF0"/>
    <w:rsid w:val="00450349"/>
    <w:rsid w:val="004508A8"/>
    <w:rsid w:val="00450E63"/>
    <w:rsid w:val="00450E66"/>
    <w:rsid w:val="004517B7"/>
    <w:rsid w:val="004519A6"/>
    <w:rsid w:val="004520D0"/>
    <w:rsid w:val="004523BD"/>
    <w:rsid w:val="004526D0"/>
    <w:rsid w:val="00454149"/>
    <w:rsid w:val="00454184"/>
    <w:rsid w:val="00454603"/>
    <w:rsid w:val="004559E6"/>
    <w:rsid w:val="0045654F"/>
    <w:rsid w:val="00456B7D"/>
    <w:rsid w:val="00456CBB"/>
    <w:rsid w:val="00456E28"/>
    <w:rsid w:val="00457BCC"/>
    <w:rsid w:val="0046134D"/>
    <w:rsid w:val="00461A2F"/>
    <w:rsid w:val="00462016"/>
    <w:rsid w:val="0046217A"/>
    <w:rsid w:val="00462607"/>
    <w:rsid w:val="00462770"/>
    <w:rsid w:val="00462978"/>
    <w:rsid w:val="00462D0C"/>
    <w:rsid w:val="00463255"/>
    <w:rsid w:val="004633DA"/>
    <w:rsid w:val="004636C2"/>
    <w:rsid w:val="0046395A"/>
    <w:rsid w:val="00463E52"/>
    <w:rsid w:val="004643E0"/>
    <w:rsid w:val="0046456E"/>
    <w:rsid w:val="00464787"/>
    <w:rsid w:val="00466248"/>
    <w:rsid w:val="00466DDA"/>
    <w:rsid w:val="004675C7"/>
    <w:rsid w:val="00467C17"/>
    <w:rsid w:val="00467E9F"/>
    <w:rsid w:val="00472063"/>
    <w:rsid w:val="004726C2"/>
    <w:rsid w:val="00474276"/>
    <w:rsid w:val="00474E59"/>
    <w:rsid w:val="00474F53"/>
    <w:rsid w:val="004769C4"/>
    <w:rsid w:val="00477152"/>
    <w:rsid w:val="004773A1"/>
    <w:rsid w:val="00477740"/>
    <w:rsid w:val="0047790C"/>
    <w:rsid w:val="004808F4"/>
    <w:rsid w:val="00481145"/>
    <w:rsid w:val="00481277"/>
    <w:rsid w:val="0048229F"/>
    <w:rsid w:val="00482D1C"/>
    <w:rsid w:val="00482FA1"/>
    <w:rsid w:val="0048355F"/>
    <w:rsid w:val="00483BB4"/>
    <w:rsid w:val="004843DE"/>
    <w:rsid w:val="00485027"/>
    <w:rsid w:val="00485BCE"/>
    <w:rsid w:val="004863B8"/>
    <w:rsid w:val="00486B5F"/>
    <w:rsid w:val="00486BBB"/>
    <w:rsid w:val="0049013F"/>
    <w:rsid w:val="00490464"/>
    <w:rsid w:val="00491B8D"/>
    <w:rsid w:val="004936C5"/>
    <w:rsid w:val="0049395D"/>
    <w:rsid w:val="00493F2A"/>
    <w:rsid w:val="004943FE"/>
    <w:rsid w:val="00494CC6"/>
    <w:rsid w:val="00494FF6"/>
    <w:rsid w:val="00495074"/>
    <w:rsid w:val="00495680"/>
    <w:rsid w:val="0049752C"/>
    <w:rsid w:val="004979CD"/>
    <w:rsid w:val="00497E09"/>
    <w:rsid w:val="004A044F"/>
    <w:rsid w:val="004A22B3"/>
    <w:rsid w:val="004A2D2A"/>
    <w:rsid w:val="004A3969"/>
    <w:rsid w:val="004A433B"/>
    <w:rsid w:val="004A4CC2"/>
    <w:rsid w:val="004A6410"/>
    <w:rsid w:val="004A6423"/>
    <w:rsid w:val="004A791F"/>
    <w:rsid w:val="004A7AB6"/>
    <w:rsid w:val="004B0142"/>
    <w:rsid w:val="004B08E1"/>
    <w:rsid w:val="004B22E0"/>
    <w:rsid w:val="004B251F"/>
    <w:rsid w:val="004B258A"/>
    <w:rsid w:val="004B2D2B"/>
    <w:rsid w:val="004B2D48"/>
    <w:rsid w:val="004B3C2D"/>
    <w:rsid w:val="004B46F5"/>
    <w:rsid w:val="004B4757"/>
    <w:rsid w:val="004B555A"/>
    <w:rsid w:val="004B736F"/>
    <w:rsid w:val="004B7857"/>
    <w:rsid w:val="004B7C95"/>
    <w:rsid w:val="004B7D3F"/>
    <w:rsid w:val="004C03F2"/>
    <w:rsid w:val="004C05B2"/>
    <w:rsid w:val="004C07D9"/>
    <w:rsid w:val="004C0875"/>
    <w:rsid w:val="004C0A8A"/>
    <w:rsid w:val="004C15E6"/>
    <w:rsid w:val="004C1FFB"/>
    <w:rsid w:val="004C3085"/>
    <w:rsid w:val="004C383F"/>
    <w:rsid w:val="004C3C1F"/>
    <w:rsid w:val="004C42D4"/>
    <w:rsid w:val="004C49EA"/>
    <w:rsid w:val="004C4AE2"/>
    <w:rsid w:val="004C4CC6"/>
    <w:rsid w:val="004C4DF4"/>
    <w:rsid w:val="004C5105"/>
    <w:rsid w:val="004C5848"/>
    <w:rsid w:val="004C587B"/>
    <w:rsid w:val="004C5E8C"/>
    <w:rsid w:val="004C7211"/>
    <w:rsid w:val="004D159F"/>
    <w:rsid w:val="004D2143"/>
    <w:rsid w:val="004D26D8"/>
    <w:rsid w:val="004D4460"/>
    <w:rsid w:val="004D44DC"/>
    <w:rsid w:val="004D577E"/>
    <w:rsid w:val="004D5CBA"/>
    <w:rsid w:val="004D6F5B"/>
    <w:rsid w:val="004D7CF2"/>
    <w:rsid w:val="004E00AD"/>
    <w:rsid w:val="004E0176"/>
    <w:rsid w:val="004E03BF"/>
    <w:rsid w:val="004E03C9"/>
    <w:rsid w:val="004E16A2"/>
    <w:rsid w:val="004E24CC"/>
    <w:rsid w:val="004E2721"/>
    <w:rsid w:val="004E310D"/>
    <w:rsid w:val="004E3143"/>
    <w:rsid w:val="004E373B"/>
    <w:rsid w:val="004E37A5"/>
    <w:rsid w:val="004E3C54"/>
    <w:rsid w:val="004E3F93"/>
    <w:rsid w:val="004E512A"/>
    <w:rsid w:val="004E524D"/>
    <w:rsid w:val="004E5722"/>
    <w:rsid w:val="004E5996"/>
    <w:rsid w:val="004E59C9"/>
    <w:rsid w:val="004E5D64"/>
    <w:rsid w:val="004E61CD"/>
    <w:rsid w:val="004E63E0"/>
    <w:rsid w:val="004E6E72"/>
    <w:rsid w:val="004E768A"/>
    <w:rsid w:val="004E79FF"/>
    <w:rsid w:val="004E7EA6"/>
    <w:rsid w:val="004F00F4"/>
    <w:rsid w:val="004F0B7D"/>
    <w:rsid w:val="004F0E58"/>
    <w:rsid w:val="004F14D5"/>
    <w:rsid w:val="004F198A"/>
    <w:rsid w:val="004F1EA6"/>
    <w:rsid w:val="004F2024"/>
    <w:rsid w:val="004F277A"/>
    <w:rsid w:val="004F2B24"/>
    <w:rsid w:val="004F4A71"/>
    <w:rsid w:val="004F5192"/>
    <w:rsid w:val="004F51CF"/>
    <w:rsid w:val="004F5926"/>
    <w:rsid w:val="004F5DAB"/>
    <w:rsid w:val="004F5E01"/>
    <w:rsid w:val="004F60B6"/>
    <w:rsid w:val="004F623D"/>
    <w:rsid w:val="004F6742"/>
    <w:rsid w:val="004F7EF4"/>
    <w:rsid w:val="0050163E"/>
    <w:rsid w:val="0050259C"/>
    <w:rsid w:val="00503748"/>
    <w:rsid w:val="00504A3F"/>
    <w:rsid w:val="00504E7E"/>
    <w:rsid w:val="0050635F"/>
    <w:rsid w:val="005063A9"/>
    <w:rsid w:val="005101DF"/>
    <w:rsid w:val="00510B7D"/>
    <w:rsid w:val="00510D49"/>
    <w:rsid w:val="00510E1C"/>
    <w:rsid w:val="00510F1A"/>
    <w:rsid w:val="0051217A"/>
    <w:rsid w:val="00512534"/>
    <w:rsid w:val="00512763"/>
    <w:rsid w:val="0051316A"/>
    <w:rsid w:val="0051325E"/>
    <w:rsid w:val="0051343E"/>
    <w:rsid w:val="005134D0"/>
    <w:rsid w:val="00514A9A"/>
    <w:rsid w:val="00514E45"/>
    <w:rsid w:val="0051544D"/>
    <w:rsid w:val="00516DBB"/>
    <w:rsid w:val="00516F9B"/>
    <w:rsid w:val="005209BD"/>
    <w:rsid w:val="005209F7"/>
    <w:rsid w:val="005211F8"/>
    <w:rsid w:val="0052156C"/>
    <w:rsid w:val="00521F1A"/>
    <w:rsid w:val="00523006"/>
    <w:rsid w:val="00523EA7"/>
    <w:rsid w:val="00524234"/>
    <w:rsid w:val="00524F58"/>
    <w:rsid w:val="00525E5F"/>
    <w:rsid w:val="005269F3"/>
    <w:rsid w:val="00526A8F"/>
    <w:rsid w:val="00530D56"/>
    <w:rsid w:val="005315CD"/>
    <w:rsid w:val="00531F23"/>
    <w:rsid w:val="005329D5"/>
    <w:rsid w:val="00532FA1"/>
    <w:rsid w:val="005330AF"/>
    <w:rsid w:val="005332EE"/>
    <w:rsid w:val="005337F3"/>
    <w:rsid w:val="00534628"/>
    <w:rsid w:val="00534E9E"/>
    <w:rsid w:val="00534F22"/>
    <w:rsid w:val="005361C2"/>
    <w:rsid w:val="00536224"/>
    <w:rsid w:val="00536BF6"/>
    <w:rsid w:val="0054061A"/>
    <w:rsid w:val="00541C54"/>
    <w:rsid w:val="0054347F"/>
    <w:rsid w:val="0054354D"/>
    <w:rsid w:val="00543C52"/>
    <w:rsid w:val="0054424C"/>
    <w:rsid w:val="0054583E"/>
    <w:rsid w:val="0054585B"/>
    <w:rsid w:val="00545876"/>
    <w:rsid w:val="00546866"/>
    <w:rsid w:val="00546C42"/>
    <w:rsid w:val="00546D74"/>
    <w:rsid w:val="0055194E"/>
    <w:rsid w:val="00551B6B"/>
    <w:rsid w:val="005525A3"/>
    <w:rsid w:val="00552C3B"/>
    <w:rsid w:val="00552E7D"/>
    <w:rsid w:val="005538D9"/>
    <w:rsid w:val="00553978"/>
    <w:rsid w:val="00554258"/>
    <w:rsid w:val="005543D2"/>
    <w:rsid w:val="00554E3B"/>
    <w:rsid w:val="0055512B"/>
    <w:rsid w:val="005557CC"/>
    <w:rsid w:val="00555F14"/>
    <w:rsid w:val="00556025"/>
    <w:rsid w:val="00556051"/>
    <w:rsid w:val="005564B7"/>
    <w:rsid w:val="005567DC"/>
    <w:rsid w:val="00561033"/>
    <w:rsid w:val="0056108A"/>
    <w:rsid w:val="0056238F"/>
    <w:rsid w:val="00562549"/>
    <w:rsid w:val="005626E4"/>
    <w:rsid w:val="00562CA3"/>
    <w:rsid w:val="00563BC3"/>
    <w:rsid w:val="00564C1B"/>
    <w:rsid w:val="005657DB"/>
    <w:rsid w:val="00565CA1"/>
    <w:rsid w:val="00567E51"/>
    <w:rsid w:val="0057029A"/>
    <w:rsid w:val="005704A1"/>
    <w:rsid w:val="00570869"/>
    <w:rsid w:val="0057086B"/>
    <w:rsid w:val="005708F1"/>
    <w:rsid w:val="00571453"/>
    <w:rsid w:val="00571B61"/>
    <w:rsid w:val="00571F35"/>
    <w:rsid w:val="00572C40"/>
    <w:rsid w:val="005738FA"/>
    <w:rsid w:val="00574566"/>
    <w:rsid w:val="00574DD8"/>
    <w:rsid w:val="005751AF"/>
    <w:rsid w:val="005759B8"/>
    <w:rsid w:val="00575C31"/>
    <w:rsid w:val="00575D98"/>
    <w:rsid w:val="005763B0"/>
    <w:rsid w:val="00576F51"/>
    <w:rsid w:val="00577029"/>
    <w:rsid w:val="0058228C"/>
    <w:rsid w:val="00582705"/>
    <w:rsid w:val="00582F30"/>
    <w:rsid w:val="005831CD"/>
    <w:rsid w:val="005831D2"/>
    <w:rsid w:val="00583332"/>
    <w:rsid w:val="00584EB1"/>
    <w:rsid w:val="0058541F"/>
    <w:rsid w:val="005857B1"/>
    <w:rsid w:val="00585ACB"/>
    <w:rsid w:val="00585CB0"/>
    <w:rsid w:val="00587DFB"/>
    <w:rsid w:val="00587EB5"/>
    <w:rsid w:val="005903E0"/>
    <w:rsid w:val="00592747"/>
    <w:rsid w:val="005928CD"/>
    <w:rsid w:val="00592B83"/>
    <w:rsid w:val="005931A6"/>
    <w:rsid w:val="0059354B"/>
    <w:rsid w:val="00593D97"/>
    <w:rsid w:val="0059572B"/>
    <w:rsid w:val="00595C92"/>
    <w:rsid w:val="00596392"/>
    <w:rsid w:val="00596394"/>
    <w:rsid w:val="00596F98"/>
    <w:rsid w:val="005977C1"/>
    <w:rsid w:val="00597CDA"/>
    <w:rsid w:val="00597F83"/>
    <w:rsid w:val="005A025B"/>
    <w:rsid w:val="005A1267"/>
    <w:rsid w:val="005A1727"/>
    <w:rsid w:val="005A394D"/>
    <w:rsid w:val="005A3E07"/>
    <w:rsid w:val="005A3FCD"/>
    <w:rsid w:val="005A43EB"/>
    <w:rsid w:val="005A4536"/>
    <w:rsid w:val="005A5239"/>
    <w:rsid w:val="005A5477"/>
    <w:rsid w:val="005A562B"/>
    <w:rsid w:val="005A6E4B"/>
    <w:rsid w:val="005A6F66"/>
    <w:rsid w:val="005A703C"/>
    <w:rsid w:val="005A7DE6"/>
    <w:rsid w:val="005B03AD"/>
    <w:rsid w:val="005B0B2B"/>
    <w:rsid w:val="005B2112"/>
    <w:rsid w:val="005B27AD"/>
    <w:rsid w:val="005B2B7F"/>
    <w:rsid w:val="005B4553"/>
    <w:rsid w:val="005B6D4D"/>
    <w:rsid w:val="005C0919"/>
    <w:rsid w:val="005C0F85"/>
    <w:rsid w:val="005C1C2F"/>
    <w:rsid w:val="005C1D9A"/>
    <w:rsid w:val="005C21BB"/>
    <w:rsid w:val="005C3A33"/>
    <w:rsid w:val="005C4930"/>
    <w:rsid w:val="005C614B"/>
    <w:rsid w:val="005C7E73"/>
    <w:rsid w:val="005D0D6A"/>
    <w:rsid w:val="005D1852"/>
    <w:rsid w:val="005D1FE5"/>
    <w:rsid w:val="005D27A5"/>
    <w:rsid w:val="005D2F38"/>
    <w:rsid w:val="005D397F"/>
    <w:rsid w:val="005D3EBC"/>
    <w:rsid w:val="005D418F"/>
    <w:rsid w:val="005D4EA5"/>
    <w:rsid w:val="005D51E7"/>
    <w:rsid w:val="005D5FD2"/>
    <w:rsid w:val="005D60E6"/>
    <w:rsid w:val="005D6639"/>
    <w:rsid w:val="005D6AF9"/>
    <w:rsid w:val="005D6D78"/>
    <w:rsid w:val="005D7049"/>
    <w:rsid w:val="005D7C2A"/>
    <w:rsid w:val="005E01BB"/>
    <w:rsid w:val="005E09EB"/>
    <w:rsid w:val="005E0F7B"/>
    <w:rsid w:val="005E13B2"/>
    <w:rsid w:val="005E16A4"/>
    <w:rsid w:val="005E21A3"/>
    <w:rsid w:val="005E268E"/>
    <w:rsid w:val="005E2D37"/>
    <w:rsid w:val="005E3C38"/>
    <w:rsid w:val="005E4130"/>
    <w:rsid w:val="005E487E"/>
    <w:rsid w:val="005E4DDB"/>
    <w:rsid w:val="005E56BC"/>
    <w:rsid w:val="005E6CBD"/>
    <w:rsid w:val="005E6E30"/>
    <w:rsid w:val="005E7374"/>
    <w:rsid w:val="005F061C"/>
    <w:rsid w:val="005F126F"/>
    <w:rsid w:val="005F153D"/>
    <w:rsid w:val="005F226B"/>
    <w:rsid w:val="005F2453"/>
    <w:rsid w:val="005F3498"/>
    <w:rsid w:val="005F3883"/>
    <w:rsid w:val="005F3DDE"/>
    <w:rsid w:val="005F425B"/>
    <w:rsid w:val="005F4DCE"/>
    <w:rsid w:val="005F4DFA"/>
    <w:rsid w:val="005F621A"/>
    <w:rsid w:val="005F70F7"/>
    <w:rsid w:val="005F749A"/>
    <w:rsid w:val="00600C5B"/>
    <w:rsid w:val="00601469"/>
    <w:rsid w:val="0060215D"/>
    <w:rsid w:val="00602C15"/>
    <w:rsid w:val="00604218"/>
    <w:rsid w:val="00604483"/>
    <w:rsid w:val="00604888"/>
    <w:rsid w:val="00604A61"/>
    <w:rsid w:val="00604C3C"/>
    <w:rsid w:val="00604F87"/>
    <w:rsid w:val="00605067"/>
    <w:rsid w:val="006057ED"/>
    <w:rsid w:val="00605A1D"/>
    <w:rsid w:val="006064E1"/>
    <w:rsid w:val="0061077E"/>
    <w:rsid w:val="006114E1"/>
    <w:rsid w:val="0061192D"/>
    <w:rsid w:val="006121F5"/>
    <w:rsid w:val="0061227C"/>
    <w:rsid w:val="006123F5"/>
    <w:rsid w:val="0061276F"/>
    <w:rsid w:val="0061308C"/>
    <w:rsid w:val="006144CA"/>
    <w:rsid w:val="00614656"/>
    <w:rsid w:val="00614E04"/>
    <w:rsid w:val="00615699"/>
    <w:rsid w:val="006158B5"/>
    <w:rsid w:val="0061593D"/>
    <w:rsid w:val="006166B0"/>
    <w:rsid w:val="006173AC"/>
    <w:rsid w:val="00617467"/>
    <w:rsid w:val="006179FF"/>
    <w:rsid w:val="00617BA2"/>
    <w:rsid w:val="006225D7"/>
    <w:rsid w:val="00622E30"/>
    <w:rsid w:val="00623443"/>
    <w:rsid w:val="00626621"/>
    <w:rsid w:val="006271A1"/>
    <w:rsid w:val="00627382"/>
    <w:rsid w:val="006274C9"/>
    <w:rsid w:val="006275EC"/>
    <w:rsid w:val="006278CB"/>
    <w:rsid w:val="00627B78"/>
    <w:rsid w:val="00627C54"/>
    <w:rsid w:val="00627FC1"/>
    <w:rsid w:val="006322EE"/>
    <w:rsid w:val="00632742"/>
    <w:rsid w:val="00632A24"/>
    <w:rsid w:val="00632BD7"/>
    <w:rsid w:val="0063354C"/>
    <w:rsid w:val="00635415"/>
    <w:rsid w:val="006354F8"/>
    <w:rsid w:val="00635B3D"/>
    <w:rsid w:val="00635CCA"/>
    <w:rsid w:val="00635D31"/>
    <w:rsid w:val="00635DF1"/>
    <w:rsid w:val="0063652A"/>
    <w:rsid w:val="0064088A"/>
    <w:rsid w:val="006410CD"/>
    <w:rsid w:val="0064175C"/>
    <w:rsid w:val="00642694"/>
    <w:rsid w:val="00642C42"/>
    <w:rsid w:val="006436C7"/>
    <w:rsid w:val="006440DA"/>
    <w:rsid w:val="0064554E"/>
    <w:rsid w:val="006463E8"/>
    <w:rsid w:val="006464A9"/>
    <w:rsid w:val="00647A2F"/>
    <w:rsid w:val="00647B11"/>
    <w:rsid w:val="00647E1A"/>
    <w:rsid w:val="00647EAF"/>
    <w:rsid w:val="00651049"/>
    <w:rsid w:val="00651350"/>
    <w:rsid w:val="00651578"/>
    <w:rsid w:val="00651BF6"/>
    <w:rsid w:val="00652338"/>
    <w:rsid w:val="006532F3"/>
    <w:rsid w:val="006557D4"/>
    <w:rsid w:val="00656588"/>
    <w:rsid w:val="006569BB"/>
    <w:rsid w:val="006570A8"/>
    <w:rsid w:val="00657EC1"/>
    <w:rsid w:val="006606E5"/>
    <w:rsid w:val="00661ECF"/>
    <w:rsid w:val="006622A4"/>
    <w:rsid w:val="0066490F"/>
    <w:rsid w:val="00664FC7"/>
    <w:rsid w:val="00665A83"/>
    <w:rsid w:val="00666B3A"/>
    <w:rsid w:val="00666F97"/>
    <w:rsid w:val="00667384"/>
    <w:rsid w:val="006675E9"/>
    <w:rsid w:val="00670D50"/>
    <w:rsid w:val="00671C54"/>
    <w:rsid w:val="0067214B"/>
    <w:rsid w:val="00673972"/>
    <w:rsid w:val="00673975"/>
    <w:rsid w:val="006748C1"/>
    <w:rsid w:val="00674AED"/>
    <w:rsid w:val="00675015"/>
    <w:rsid w:val="00675DF2"/>
    <w:rsid w:val="006766AD"/>
    <w:rsid w:val="006770F0"/>
    <w:rsid w:val="0068014C"/>
    <w:rsid w:val="006801FB"/>
    <w:rsid w:val="00680A73"/>
    <w:rsid w:val="0068233F"/>
    <w:rsid w:val="00682CA7"/>
    <w:rsid w:val="00682EA3"/>
    <w:rsid w:val="0068442A"/>
    <w:rsid w:val="00685178"/>
    <w:rsid w:val="006869A6"/>
    <w:rsid w:val="0068741E"/>
    <w:rsid w:val="00687500"/>
    <w:rsid w:val="00691D04"/>
    <w:rsid w:val="00692483"/>
    <w:rsid w:val="00692708"/>
    <w:rsid w:val="00692CE6"/>
    <w:rsid w:val="0069451C"/>
    <w:rsid w:val="00694E37"/>
    <w:rsid w:val="00696074"/>
    <w:rsid w:val="00696179"/>
    <w:rsid w:val="0069650A"/>
    <w:rsid w:val="00696C97"/>
    <w:rsid w:val="00697E3E"/>
    <w:rsid w:val="00697FF5"/>
    <w:rsid w:val="006A01C4"/>
    <w:rsid w:val="006A0D11"/>
    <w:rsid w:val="006A1616"/>
    <w:rsid w:val="006A223A"/>
    <w:rsid w:val="006A233B"/>
    <w:rsid w:val="006A30ED"/>
    <w:rsid w:val="006A3676"/>
    <w:rsid w:val="006A3D0F"/>
    <w:rsid w:val="006A41D7"/>
    <w:rsid w:val="006A5474"/>
    <w:rsid w:val="006A5AB8"/>
    <w:rsid w:val="006A68DF"/>
    <w:rsid w:val="006A76D1"/>
    <w:rsid w:val="006A7DFA"/>
    <w:rsid w:val="006A7E8E"/>
    <w:rsid w:val="006A7FA6"/>
    <w:rsid w:val="006B02A1"/>
    <w:rsid w:val="006B09D2"/>
    <w:rsid w:val="006B0E96"/>
    <w:rsid w:val="006B1468"/>
    <w:rsid w:val="006B16BC"/>
    <w:rsid w:val="006B172A"/>
    <w:rsid w:val="006B2147"/>
    <w:rsid w:val="006B24B4"/>
    <w:rsid w:val="006B304D"/>
    <w:rsid w:val="006B4A47"/>
    <w:rsid w:val="006B6C47"/>
    <w:rsid w:val="006B6E73"/>
    <w:rsid w:val="006B7B97"/>
    <w:rsid w:val="006B7C19"/>
    <w:rsid w:val="006B7D4D"/>
    <w:rsid w:val="006C1A0C"/>
    <w:rsid w:val="006C1F1B"/>
    <w:rsid w:val="006C2593"/>
    <w:rsid w:val="006C2945"/>
    <w:rsid w:val="006C2C4F"/>
    <w:rsid w:val="006C30CA"/>
    <w:rsid w:val="006D1A5A"/>
    <w:rsid w:val="006D1B2D"/>
    <w:rsid w:val="006D2385"/>
    <w:rsid w:val="006D2D0C"/>
    <w:rsid w:val="006D3F44"/>
    <w:rsid w:val="006D6230"/>
    <w:rsid w:val="006D62C8"/>
    <w:rsid w:val="006D7A24"/>
    <w:rsid w:val="006D7E99"/>
    <w:rsid w:val="006E1AB0"/>
    <w:rsid w:val="006E3D66"/>
    <w:rsid w:val="006E40DF"/>
    <w:rsid w:val="006E4553"/>
    <w:rsid w:val="006E501C"/>
    <w:rsid w:val="006E5B30"/>
    <w:rsid w:val="006E68F8"/>
    <w:rsid w:val="006E6938"/>
    <w:rsid w:val="006E69FA"/>
    <w:rsid w:val="006E75F1"/>
    <w:rsid w:val="006E7EF7"/>
    <w:rsid w:val="006F0008"/>
    <w:rsid w:val="006F055B"/>
    <w:rsid w:val="006F0CE5"/>
    <w:rsid w:val="006F0DCB"/>
    <w:rsid w:val="006F0F91"/>
    <w:rsid w:val="006F18D8"/>
    <w:rsid w:val="006F2AC5"/>
    <w:rsid w:val="006F375F"/>
    <w:rsid w:val="006F73A4"/>
    <w:rsid w:val="0070167E"/>
    <w:rsid w:val="00702115"/>
    <w:rsid w:val="00702723"/>
    <w:rsid w:val="00703A84"/>
    <w:rsid w:val="00703B08"/>
    <w:rsid w:val="00703EF6"/>
    <w:rsid w:val="00703F34"/>
    <w:rsid w:val="007049A8"/>
    <w:rsid w:val="007051E3"/>
    <w:rsid w:val="00705A4C"/>
    <w:rsid w:val="00705DED"/>
    <w:rsid w:val="00705F8B"/>
    <w:rsid w:val="00706F00"/>
    <w:rsid w:val="00707AAE"/>
    <w:rsid w:val="00710D06"/>
    <w:rsid w:val="00710ECA"/>
    <w:rsid w:val="007113AA"/>
    <w:rsid w:val="00711B92"/>
    <w:rsid w:val="00712209"/>
    <w:rsid w:val="00712502"/>
    <w:rsid w:val="007147C1"/>
    <w:rsid w:val="00715782"/>
    <w:rsid w:val="007157B5"/>
    <w:rsid w:val="007157D6"/>
    <w:rsid w:val="00715F52"/>
    <w:rsid w:val="00716A7E"/>
    <w:rsid w:val="007173BA"/>
    <w:rsid w:val="00717EF0"/>
    <w:rsid w:val="0072013B"/>
    <w:rsid w:val="0072058C"/>
    <w:rsid w:val="0072145A"/>
    <w:rsid w:val="00721EE7"/>
    <w:rsid w:val="00721FDD"/>
    <w:rsid w:val="00722257"/>
    <w:rsid w:val="00724726"/>
    <w:rsid w:val="00724857"/>
    <w:rsid w:val="00724934"/>
    <w:rsid w:val="007256CE"/>
    <w:rsid w:val="007260C5"/>
    <w:rsid w:val="007262AB"/>
    <w:rsid w:val="007273CD"/>
    <w:rsid w:val="0072769E"/>
    <w:rsid w:val="007279A6"/>
    <w:rsid w:val="0073017E"/>
    <w:rsid w:val="0073041A"/>
    <w:rsid w:val="007306B5"/>
    <w:rsid w:val="007325D6"/>
    <w:rsid w:val="00733014"/>
    <w:rsid w:val="00733BB3"/>
    <w:rsid w:val="00734660"/>
    <w:rsid w:val="0073466A"/>
    <w:rsid w:val="00734DAC"/>
    <w:rsid w:val="007357ED"/>
    <w:rsid w:val="00735A58"/>
    <w:rsid w:val="00736EED"/>
    <w:rsid w:val="007370FF"/>
    <w:rsid w:val="00740191"/>
    <w:rsid w:val="00740E5B"/>
    <w:rsid w:val="00742A9F"/>
    <w:rsid w:val="007434F2"/>
    <w:rsid w:val="00743EDB"/>
    <w:rsid w:val="00743F31"/>
    <w:rsid w:val="00744237"/>
    <w:rsid w:val="00744610"/>
    <w:rsid w:val="00744F26"/>
    <w:rsid w:val="007460B1"/>
    <w:rsid w:val="00746640"/>
    <w:rsid w:val="007467A3"/>
    <w:rsid w:val="007468D5"/>
    <w:rsid w:val="00746CF9"/>
    <w:rsid w:val="00746EA1"/>
    <w:rsid w:val="0074772B"/>
    <w:rsid w:val="00747880"/>
    <w:rsid w:val="00750379"/>
    <w:rsid w:val="00751599"/>
    <w:rsid w:val="0075204E"/>
    <w:rsid w:val="00752245"/>
    <w:rsid w:val="00752D57"/>
    <w:rsid w:val="007543E5"/>
    <w:rsid w:val="00754A5A"/>
    <w:rsid w:val="00754C1B"/>
    <w:rsid w:val="00755465"/>
    <w:rsid w:val="007557AE"/>
    <w:rsid w:val="0075593C"/>
    <w:rsid w:val="00755A61"/>
    <w:rsid w:val="00756126"/>
    <w:rsid w:val="00756970"/>
    <w:rsid w:val="007574F4"/>
    <w:rsid w:val="0075762A"/>
    <w:rsid w:val="007606AD"/>
    <w:rsid w:val="00760D8E"/>
    <w:rsid w:val="00761B4E"/>
    <w:rsid w:val="007624C7"/>
    <w:rsid w:val="00762CB6"/>
    <w:rsid w:val="00762D4B"/>
    <w:rsid w:val="00762F88"/>
    <w:rsid w:val="0076313B"/>
    <w:rsid w:val="0076327C"/>
    <w:rsid w:val="00763A4C"/>
    <w:rsid w:val="00763AAD"/>
    <w:rsid w:val="00763CCF"/>
    <w:rsid w:val="007644D2"/>
    <w:rsid w:val="00764B71"/>
    <w:rsid w:val="00765446"/>
    <w:rsid w:val="00765FD9"/>
    <w:rsid w:val="007661EA"/>
    <w:rsid w:val="007663AB"/>
    <w:rsid w:val="00766725"/>
    <w:rsid w:val="007674E0"/>
    <w:rsid w:val="00767DA5"/>
    <w:rsid w:val="00770068"/>
    <w:rsid w:val="00770247"/>
    <w:rsid w:val="007706AD"/>
    <w:rsid w:val="007709FA"/>
    <w:rsid w:val="00770D92"/>
    <w:rsid w:val="007717D6"/>
    <w:rsid w:val="007739C8"/>
    <w:rsid w:val="00773AE2"/>
    <w:rsid w:val="007743DE"/>
    <w:rsid w:val="007746ED"/>
    <w:rsid w:val="00774818"/>
    <w:rsid w:val="007754A3"/>
    <w:rsid w:val="007756AD"/>
    <w:rsid w:val="00775C61"/>
    <w:rsid w:val="00775F95"/>
    <w:rsid w:val="007764CB"/>
    <w:rsid w:val="0077702F"/>
    <w:rsid w:val="00777BF8"/>
    <w:rsid w:val="00780507"/>
    <w:rsid w:val="00780641"/>
    <w:rsid w:val="00780D9F"/>
    <w:rsid w:val="00784433"/>
    <w:rsid w:val="007844F7"/>
    <w:rsid w:val="00784D30"/>
    <w:rsid w:val="00785741"/>
    <w:rsid w:val="00785C64"/>
    <w:rsid w:val="00786E0B"/>
    <w:rsid w:val="0078707A"/>
    <w:rsid w:val="00790BAB"/>
    <w:rsid w:val="00790E8F"/>
    <w:rsid w:val="00791A8F"/>
    <w:rsid w:val="00792281"/>
    <w:rsid w:val="00792423"/>
    <w:rsid w:val="00792B3F"/>
    <w:rsid w:val="00792E92"/>
    <w:rsid w:val="0079399E"/>
    <w:rsid w:val="00793A15"/>
    <w:rsid w:val="00794C07"/>
    <w:rsid w:val="0079560C"/>
    <w:rsid w:val="00795675"/>
    <w:rsid w:val="007969A8"/>
    <w:rsid w:val="00796D90"/>
    <w:rsid w:val="007972AA"/>
    <w:rsid w:val="00797564"/>
    <w:rsid w:val="00797D0F"/>
    <w:rsid w:val="007A0032"/>
    <w:rsid w:val="007A097C"/>
    <w:rsid w:val="007A17AA"/>
    <w:rsid w:val="007A2271"/>
    <w:rsid w:val="007A300A"/>
    <w:rsid w:val="007A31E3"/>
    <w:rsid w:val="007A3234"/>
    <w:rsid w:val="007A52AA"/>
    <w:rsid w:val="007A67DB"/>
    <w:rsid w:val="007A7F7A"/>
    <w:rsid w:val="007B1989"/>
    <w:rsid w:val="007B1D9A"/>
    <w:rsid w:val="007B31D7"/>
    <w:rsid w:val="007B37E6"/>
    <w:rsid w:val="007B6060"/>
    <w:rsid w:val="007B70C9"/>
    <w:rsid w:val="007B777F"/>
    <w:rsid w:val="007B7A2D"/>
    <w:rsid w:val="007C035F"/>
    <w:rsid w:val="007C1453"/>
    <w:rsid w:val="007C3082"/>
    <w:rsid w:val="007C30C5"/>
    <w:rsid w:val="007C3F2A"/>
    <w:rsid w:val="007C4593"/>
    <w:rsid w:val="007C510C"/>
    <w:rsid w:val="007C5FE2"/>
    <w:rsid w:val="007C65E0"/>
    <w:rsid w:val="007C69C2"/>
    <w:rsid w:val="007C72AF"/>
    <w:rsid w:val="007C7F54"/>
    <w:rsid w:val="007D005C"/>
    <w:rsid w:val="007D1617"/>
    <w:rsid w:val="007D170A"/>
    <w:rsid w:val="007D177B"/>
    <w:rsid w:val="007D351F"/>
    <w:rsid w:val="007D3897"/>
    <w:rsid w:val="007D5ABB"/>
    <w:rsid w:val="007D5E13"/>
    <w:rsid w:val="007D5E71"/>
    <w:rsid w:val="007D5F8F"/>
    <w:rsid w:val="007D6030"/>
    <w:rsid w:val="007D6AD0"/>
    <w:rsid w:val="007D6C4C"/>
    <w:rsid w:val="007D7024"/>
    <w:rsid w:val="007D7329"/>
    <w:rsid w:val="007D7AE7"/>
    <w:rsid w:val="007D7C3B"/>
    <w:rsid w:val="007E0895"/>
    <w:rsid w:val="007E098C"/>
    <w:rsid w:val="007E117E"/>
    <w:rsid w:val="007E11F3"/>
    <w:rsid w:val="007E124C"/>
    <w:rsid w:val="007E1F5C"/>
    <w:rsid w:val="007E2387"/>
    <w:rsid w:val="007E314D"/>
    <w:rsid w:val="007E32F4"/>
    <w:rsid w:val="007E3929"/>
    <w:rsid w:val="007E3EDF"/>
    <w:rsid w:val="007E58D3"/>
    <w:rsid w:val="007E5BF0"/>
    <w:rsid w:val="007F0C0A"/>
    <w:rsid w:val="007F297B"/>
    <w:rsid w:val="007F2C1E"/>
    <w:rsid w:val="007F4DA1"/>
    <w:rsid w:val="007F559E"/>
    <w:rsid w:val="007F57DD"/>
    <w:rsid w:val="007F5F21"/>
    <w:rsid w:val="007F681D"/>
    <w:rsid w:val="007F7282"/>
    <w:rsid w:val="007F73E5"/>
    <w:rsid w:val="00800823"/>
    <w:rsid w:val="00800CE6"/>
    <w:rsid w:val="0080103B"/>
    <w:rsid w:val="00801DD0"/>
    <w:rsid w:val="00802355"/>
    <w:rsid w:val="00802493"/>
    <w:rsid w:val="0080297E"/>
    <w:rsid w:val="008038AB"/>
    <w:rsid w:val="0080390F"/>
    <w:rsid w:val="00803D4B"/>
    <w:rsid w:val="0080426B"/>
    <w:rsid w:val="00805312"/>
    <w:rsid w:val="00805582"/>
    <w:rsid w:val="008066F7"/>
    <w:rsid w:val="00807849"/>
    <w:rsid w:val="008103D2"/>
    <w:rsid w:val="008105D5"/>
    <w:rsid w:val="00810E9B"/>
    <w:rsid w:val="00810F38"/>
    <w:rsid w:val="00811A75"/>
    <w:rsid w:val="008126C8"/>
    <w:rsid w:val="0081273D"/>
    <w:rsid w:val="008127FA"/>
    <w:rsid w:val="00812853"/>
    <w:rsid w:val="008139E5"/>
    <w:rsid w:val="00814B34"/>
    <w:rsid w:val="008160C8"/>
    <w:rsid w:val="008160DE"/>
    <w:rsid w:val="008163A3"/>
    <w:rsid w:val="00816713"/>
    <w:rsid w:val="008178C5"/>
    <w:rsid w:val="008205DA"/>
    <w:rsid w:val="00821DBE"/>
    <w:rsid w:val="00822056"/>
    <w:rsid w:val="0082345F"/>
    <w:rsid w:val="008241A9"/>
    <w:rsid w:val="00826B79"/>
    <w:rsid w:val="00826ED6"/>
    <w:rsid w:val="00827944"/>
    <w:rsid w:val="00827F0E"/>
    <w:rsid w:val="00827F5D"/>
    <w:rsid w:val="008303E6"/>
    <w:rsid w:val="008318CD"/>
    <w:rsid w:val="00831F3D"/>
    <w:rsid w:val="00832A28"/>
    <w:rsid w:val="00832C28"/>
    <w:rsid w:val="008333DA"/>
    <w:rsid w:val="00833575"/>
    <w:rsid w:val="00833EA7"/>
    <w:rsid w:val="00833F32"/>
    <w:rsid w:val="008353F4"/>
    <w:rsid w:val="0083592A"/>
    <w:rsid w:val="00835E6D"/>
    <w:rsid w:val="00835F6E"/>
    <w:rsid w:val="0083661F"/>
    <w:rsid w:val="00836F6A"/>
    <w:rsid w:val="0083723C"/>
    <w:rsid w:val="00837566"/>
    <w:rsid w:val="0083780E"/>
    <w:rsid w:val="00841054"/>
    <w:rsid w:val="008411B3"/>
    <w:rsid w:val="00841F61"/>
    <w:rsid w:val="008420A4"/>
    <w:rsid w:val="00842450"/>
    <w:rsid w:val="0084260C"/>
    <w:rsid w:val="0084270B"/>
    <w:rsid w:val="008430B3"/>
    <w:rsid w:val="00844ACC"/>
    <w:rsid w:val="00844B43"/>
    <w:rsid w:val="00845D2C"/>
    <w:rsid w:val="00846436"/>
    <w:rsid w:val="0084671C"/>
    <w:rsid w:val="00846D98"/>
    <w:rsid w:val="0085032B"/>
    <w:rsid w:val="008514B4"/>
    <w:rsid w:val="00852B07"/>
    <w:rsid w:val="00852C4C"/>
    <w:rsid w:val="00853D6F"/>
    <w:rsid w:val="00854798"/>
    <w:rsid w:val="008549E0"/>
    <w:rsid w:val="0085552F"/>
    <w:rsid w:val="00855BF5"/>
    <w:rsid w:val="00855FB2"/>
    <w:rsid w:val="0086074E"/>
    <w:rsid w:val="008608F3"/>
    <w:rsid w:val="00860A0A"/>
    <w:rsid w:val="00860B01"/>
    <w:rsid w:val="008613C8"/>
    <w:rsid w:val="00861C66"/>
    <w:rsid w:val="00861EF4"/>
    <w:rsid w:val="00862ABD"/>
    <w:rsid w:val="00863333"/>
    <w:rsid w:val="00863739"/>
    <w:rsid w:val="00863938"/>
    <w:rsid w:val="00863D08"/>
    <w:rsid w:val="008648F9"/>
    <w:rsid w:val="00864982"/>
    <w:rsid w:val="00865ACB"/>
    <w:rsid w:val="00865F91"/>
    <w:rsid w:val="0086625E"/>
    <w:rsid w:val="00866446"/>
    <w:rsid w:val="00866B5B"/>
    <w:rsid w:val="00867091"/>
    <w:rsid w:val="00867A27"/>
    <w:rsid w:val="00870CB4"/>
    <w:rsid w:val="008714A1"/>
    <w:rsid w:val="0087189E"/>
    <w:rsid w:val="00872D88"/>
    <w:rsid w:val="00873563"/>
    <w:rsid w:val="00874587"/>
    <w:rsid w:val="00874BD5"/>
    <w:rsid w:val="008759D4"/>
    <w:rsid w:val="00875B6E"/>
    <w:rsid w:val="00880D51"/>
    <w:rsid w:val="008820A0"/>
    <w:rsid w:val="00882D13"/>
    <w:rsid w:val="00882FDF"/>
    <w:rsid w:val="0088445A"/>
    <w:rsid w:val="008847E5"/>
    <w:rsid w:val="008847F1"/>
    <w:rsid w:val="00886D00"/>
    <w:rsid w:val="008873C7"/>
    <w:rsid w:val="00887838"/>
    <w:rsid w:val="00887D80"/>
    <w:rsid w:val="00890A47"/>
    <w:rsid w:val="00892522"/>
    <w:rsid w:val="00892DAD"/>
    <w:rsid w:val="00893405"/>
    <w:rsid w:val="00894486"/>
    <w:rsid w:val="00894571"/>
    <w:rsid w:val="008956C2"/>
    <w:rsid w:val="00895844"/>
    <w:rsid w:val="0089591F"/>
    <w:rsid w:val="0089648A"/>
    <w:rsid w:val="00896A87"/>
    <w:rsid w:val="00896ED0"/>
    <w:rsid w:val="008974BC"/>
    <w:rsid w:val="0089750E"/>
    <w:rsid w:val="008A3669"/>
    <w:rsid w:val="008A4547"/>
    <w:rsid w:val="008A4980"/>
    <w:rsid w:val="008A60C3"/>
    <w:rsid w:val="008A7126"/>
    <w:rsid w:val="008A7DC8"/>
    <w:rsid w:val="008B0A5B"/>
    <w:rsid w:val="008B0E68"/>
    <w:rsid w:val="008B1074"/>
    <w:rsid w:val="008B1EB0"/>
    <w:rsid w:val="008B29E1"/>
    <w:rsid w:val="008B2BBB"/>
    <w:rsid w:val="008B3380"/>
    <w:rsid w:val="008B34B1"/>
    <w:rsid w:val="008B3A8E"/>
    <w:rsid w:val="008B48B0"/>
    <w:rsid w:val="008B494C"/>
    <w:rsid w:val="008B4BDD"/>
    <w:rsid w:val="008B51E3"/>
    <w:rsid w:val="008B556B"/>
    <w:rsid w:val="008B5E05"/>
    <w:rsid w:val="008B5F8D"/>
    <w:rsid w:val="008B67B7"/>
    <w:rsid w:val="008B6B49"/>
    <w:rsid w:val="008B6B9F"/>
    <w:rsid w:val="008B6F7E"/>
    <w:rsid w:val="008B72B1"/>
    <w:rsid w:val="008B73E6"/>
    <w:rsid w:val="008B7786"/>
    <w:rsid w:val="008C13AC"/>
    <w:rsid w:val="008C2789"/>
    <w:rsid w:val="008C3BB0"/>
    <w:rsid w:val="008C3F66"/>
    <w:rsid w:val="008C7C7E"/>
    <w:rsid w:val="008C7FDC"/>
    <w:rsid w:val="008D01DD"/>
    <w:rsid w:val="008D02DC"/>
    <w:rsid w:val="008D1D61"/>
    <w:rsid w:val="008D2038"/>
    <w:rsid w:val="008D22CE"/>
    <w:rsid w:val="008D23BC"/>
    <w:rsid w:val="008D330C"/>
    <w:rsid w:val="008D34AC"/>
    <w:rsid w:val="008D4F00"/>
    <w:rsid w:val="008D5910"/>
    <w:rsid w:val="008D6E2C"/>
    <w:rsid w:val="008D7671"/>
    <w:rsid w:val="008E033A"/>
    <w:rsid w:val="008E0405"/>
    <w:rsid w:val="008E17BA"/>
    <w:rsid w:val="008E1AE6"/>
    <w:rsid w:val="008E2390"/>
    <w:rsid w:val="008E3609"/>
    <w:rsid w:val="008E41D9"/>
    <w:rsid w:val="008E4900"/>
    <w:rsid w:val="008E4ABB"/>
    <w:rsid w:val="008E5782"/>
    <w:rsid w:val="008E724C"/>
    <w:rsid w:val="008E734F"/>
    <w:rsid w:val="008E75FD"/>
    <w:rsid w:val="008F08F5"/>
    <w:rsid w:val="008F0A68"/>
    <w:rsid w:val="008F0AA0"/>
    <w:rsid w:val="008F102E"/>
    <w:rsid w:val="008F17CB"/>
    <w:rsid w:val="008F19B4"/>
    <w:rsid w:val="008F1C5E"/>
    <w:rsid w:val="008F2E11"/>
    <w:rsid w:val="008F2FF9"/>
    <w:rsid w:val="008F33B7"/>
    <w:rsid w:val="008F4DF9"/>
    <w:rsid w:val="008F51B7"/>
    <w:rsid w:val="008F576A"/>
    <w:rsid w:val="008F5B22"/>
    <w:rsid w:val="008F5B6F"/>
    <w:rsid w:val="008F5CAD"/>
    <w:rsid w:val="00900561"/>
    <w:rsid w:val="00901908"/>
    <w:rsid w:val="0090269D"/>
    <w:rsid w:val="00905B56"/>
    <w:rsid w:val="00906166"/>
    <w:rsid w:val="00906670"/>
    <w:rsid w:val="00906AD8"/>
    <w:rsid w:val="00906F61"/>
    <w:rsid w:val="00907280"/>
    <w:rsid w:val="00907C58"/>
    <w:rsid w:val="00910D7B"/>
    <w:rsid w:val="00911572"/>
    <w:rsid w:val="00912308"/>
    <w:rsid w:val="009123F9"/>
    <w:rsid w:val="0091287B"/>
    <w:rsid w:val="0091294B"/>
    <w:rsid w:val="00913156"/>
    <w:rsid w:val="00914677"/>
    <w:rsid w:val="00915283"/>
    <w:rsid w:val="00915A03"/>
    <w:rsid w:val="0091610A"/>
    <w:rsid w:val="0091636E"/>
    <w:rsid w:val="00916657"/>
    <w:rsid w:val="00916AE4"/>
    <w:rsid w:val="00916CC7"/>
    <w:rsid w:val="00917156"/>
    <w:rsid w:val="009179B4"/>
    <w:rsid w:val="00917D94"/>
    <w:rsid w:val="00920769"/>
    <w:rsid w:val="00920B40"/>
    <w:rsid w:val="0092111E"/>
    <w:rsid w:val="00921D68"/>
    <w:rsid w:val="00921EA1"/>
    <w:rsid w:val="00922517"/>
    <w:rsid w:val="00922595"/>
    <w:rsid w:val="00923879"/>
    <w:rsid w:val="00923CAB"/>
    <w:rsid w:val="00924253"/>
    <w:rsid w:val="009263D3"/>
    <w:rsid w:val="00926F7A"/>
    <w:rsid w:val="00927892"/>
    <w:rsid w:val="0092791E"/>
    <w:rsid w:val="0093018C"/>
    <w:rsid w:val="00931765"/>
    <w:rsid w:val="0093176D"/>
    <w:rsid w:val="0093272F"/>
    <w:rsid w:val="009332CE"/>
    <w:rsid w:val="0093355E"/>
    <w:rsid w:val="009335D3"/>
    <w:rsid w:val="009337B3"/>
    <w:rsid w:val="00933C47"/>
    <w:rsid w:val="009343A1"/>
    <w:rsid w:val="009346C2"/>
    <w:rsid w:val="009347FB"/>
    <w:rsid w:val="00934AFC"/>
    <w:rsid w:val="009352F2"/>
    <w:rsid w:val="00935AEB"/>
    <w:rsid w:val="00937713"/>
    <w:rsid w:val="0094080F"/>
    <w:rsid w:val="009418A5"/>
    <w:rsid w:val="00941BA3"/>
    <w:rsid w:val="00943019"/>
    <w:rsid w:val="00944626"/>
    <w:rsid w:val="00946C15"/>
    <w:rsid w:val="00946EA7"/>
    <w:rsid w:val="00947CAA"/>
    <w:rsid w:val="00950181"/>
    <w:rsid w:val="0095109A"/>
    <w:rsid w:val="0095147B"/>
    <w:rsid w:val="00952D08"/>
    <w:rsid w:val="009530DD"/>
    <w:rsid w:val="00954ACC"/>
    <w:rsid w:val="00954C2D"/>
    <w:rsid w:val="00955167"/>
    <w:rsid w:val="009557D7"/>
    <w:rsid w:val="009565DC"/>
    <w:rsid w:val="00956623"/>
    <w:rsid w:val="009566A7"/>
    <w:rsid w:val="00960FEC"/>
    <w:rsid w:val="009614F6"/>
    <w:rsid w:val="00961F0D"/>
    <w:rsid w:val="00961F78"/>
    <w:rsid w:val="00962A4D"/>
    <w:rsid w:val="009630E7"/>
    <w:rsid w:val="00963852"/>
    <w:rsid w:val="00964765"/>
    <w:rsid w:val="00965940"/>
    <w:rsid w:val="00965979"/>
    <w:rsid w:val="00965BDF"/>
    <w:rsid w:val="00966132"/>
    <w:rsid w:val="00966476"/>
    <w:rsid w:val="00967C1C"/>
    <w:rsid w:val="00970FCB"/>
    <w:rsid w:val="009724B5"/>
    <w:rsid w:val="00972D79"/>
    <w:rsid w:val="00973D3E"/>
    <w:rsid w:val="0097406B"/>
    <w:rsid w:val="0097479C"/>
    <w:rsid w:val="00974904"/>
    <w:rsid w:val="00974BFB"/>
    <w:rsid w:val="00974D8D"/>
    <w:rsid w:val="009750AC"/>
    <w:rsid w:val="00975DEB"/>
    <w:rsid w:val="0097727B"/>
    <w:rsid w:val="009834C1"/>
    <w:rsid w:val="009839B9"/>
    <w:rsid w:val="00983DAD"/>
    <w:rsid w:val="00984E60"/>
    <w:rsid w:val="0098553A"/>
    <w:rsid w:val="00985623"/>
    <w:rsid w:val="00985B3C"/>
    <w:rsid w:val="00986392"/>
    <w:rsid w:val="009863B7"/>
    <w:rsid w:val="00986BF9"/>
    <w:rsid w:val="00987A0B"/>
    <w:rsid w:val="00991B1A"/>
    <w:rsid w:val="0099284F"/>
    <w:rsid w:val="00992E66"/>
    <w:rsid w:val="00993D1E"/>
    <w:rsid w:val="009941C3"/>
    <w:rsid w:val="00994501"/>
    <w:rsid w:val="00994B6B"/>
    <w:rsid w:val="00995776"/>
    <w:rsid w:val="00995ACE"/>
    <w:rsid w:val="00995D98"/>
    <w:rsid w:val="009967B0"/>
    <w:rsid w:val="00996F1C"/>
    <w:rsid w:val="009970F6"/>
    <w:rsid w:val="009974D1"/>
    <w:rsid w:val="009A1318"/>
    <w:rsid w:val="009A14B8"/>
    <w:rsid w:val="009A1ABD"/>
    <w:rsid w:val="009A1B10"/>
    <w:rsid w:val="009A215A"/>
    <w:rsid w:val="009A2ED5"/>
    <w:rsid w:val="009A4282"/>
    <w:rsid w:val="009A4299"/>
    <w:rsid w:val="009A43E0"/>
    <w:rsid w:val="009A4E57"/>
    <w:rsid w:val="009A5474"/>
    <w:rsid w:val="009A5AC4"/>
    <w:rsid w:val="009A60A7"/>
    <w:rsid w:val="009A6177"/>
    <w:rsid w:val="009A6A04"/>
    <w:rsid w:val="009A6F62"/>
    <w:rsid w:val="009A7F50"/>
    <w:rsid w:val="009B050A"/>
    <w:rsid w:val="009B0B23"/>
    <w:rsid w:val="009B0C73"/>
    <w:rsid w:val="009B1E94"/>
    <w:rsid w:val="009B29C4"/>
    <w:rsid w:val="009B4365"/>
    <w:rsid w:val="009B5352"/>
    <w:rsid w:val="009B5E67"/>
    <w:rsid w:val="009B6490"/>
    <w:rsid w:val="009B68FC"/>
    <w:rsid w:val="009B71D4"/>
    <w:rsid w:val="009B76D5"/>
    <w:rsid w:val="009B78F4"/>
    <w:rsid w:val="009B7A06"/>
    <w:rsid w:val="009C0576"/>
    <w:rsid w:val="009C0E2C"/>
    <w:rsid w:val="009C1B62"/>
    <w:rsid w:val="009C2F19"/>
    <w:rsid w:val="009C390B"/>
    <w:rsid w:val="009C3B71"/>
    <w:rsid w:val="009C3B7E"/>
    <w:rsid w:val="009C458A"/>
    <w:rsid w:val="009C464D"/>
    <w:rsid w:val="009C496B"/>
    <w:rsid w:val="009C5DB1"/>
    <w:rsid w:val="009C6C58"/>
    <w:rsid w:val="009C75BD"/>
    <w:rsid w:val="009C7891"/>
    <w:rsid w:val="009C7A2F"/>
    <w:rsid w:val="009D0376"/>
    <w:rsid w:val="009D15BA"/>
    <w:rsid w:val="009D1E65"/>
    <w:rsid w:val="009D2C2A"/>
    <w:rsid w:val="009D2F7C"/>
    <w:rsid w:val="009D2F92"/>
    <w:rsid w:val="009D5382"/>
    <w:rsid w:val="009D5F89"/>
    <w:rsid w:val="009D6359"/>
    <w:rsid w:val="009D6BC0"/>
    <w:rsid w:val="009D75C0"/>
    <w:rsid w:val="009E0392"/>
    <w:rsid w:val="009E0A5A"/>
    <w:rsid w:val="009E11C8"/>
    <w:rsid w:val="009E17F1"/>
    <w:rsid w:val="009E1872"/>
    <w:rsid w:val="009E1B05"/>
    <w:rsid w:val="009E1F56"/>
    <w:rsid w:val="009E2131"/>
    <w:rsid w:val="009E21F6"/>
    <w:rsid w:val="009E228F"/>
    <w:rsid w:val="009E4147"/>
    <w:rsid w:val="009E463B"/>
    <w:rsid w:val="009E46E2"/>
    <w:rsid w:val="009E4B42"/>
    <w:rsid w:val="009E56D9"/>
    <w:rsid w:val="009E5CF9"/>
    <w:rsid w:val="009E6375"/>
    <w:rsid w:val="009E64E0"/>
    <w:rsid w:val="009E7FE7"/>
    <w:rsid w:val="009F03AE"/>
    <w:rsid w:val="009F15AE"/>
    <w:rsid w:val="009F1B77"/>
    <w:rsid w:val="009F1D14"/>
    <w:rsid w:val="009F1EDF"/>
    <w:rsid w:val="009F34C8"/>
    <w:rsid w:val="009F35C6"/>
    <w:rsid w:val="009F39A3"/>
    <w:rsid w:val="009F4F90"/>
    <w:rsid w:val="009F62DC"/>
    <w:rsid w:val="009F6819"/>
    <w:rsid w:val="009F6C48"/>
    <w:rsid w:val="00A01FA3"/>
    <w:rsid w:val="00A02070"/>
    <w:rsid w:val="00A0253E"/>
    <w:rsid w:val="00A02609"/>
    <w:rsid w:val="00A038CF"/>
    <w:rsid w:val="00A0391C"/>
    <w:rsid w:val="00A04560"/>
    <w:rsid w:val="00A04A35"/>
    <w:rsid w:val="00A04A56"/>
    <w:rsid w:val="00A06217"/>
    <w:rsid w:val="00A07F8C"/>
    <w:rsid w:val="00A101F2"/>
    <w:rsid w:val="00A11433"/>
    <w:rsid w:val="00A12579"/>
    <w:rsid w:val="00A12AA6"/>
    <w:rsid w:val="00A14214"/>
    <w:rsid w:val="00A14294"/>
    <w:rsid w:val="00A162DE"/>
    <w:rsid w:val="00A169FA"/>
    <w:rsid w:val="00A16B85"/>
    <w:rsid w:val="00A21352"/>
    <w:rsid w:val="00A21F86"/>
    <w:rsid w:val="00A226F8"/>
    <w:rsid w:val="00A22F75"/>
    <w:rsid w:val="00A24DFF"/>
    <w:rsid w:val="00A24F61"/>
    <w:rsid w:val="00A25162"/>
    <w:rsid w:val="00A25809"/>
    <w:rsid w:val="00A2612A"/>
    <w:rsid w:val="00A264B1"/>
    <w:rsid w:val="00A27718"/>
    <w:rsid w:val="00A27C34"/>
    <w:rsid w:val="00A30129"/>
    <w:rsid w:val="00A30991"/>
    <w:rsid w:val="00A30D15"/>
    <w:rsid w:val="00A31E77"/>
    <w:rsid w:val="00A32132"/>
    <w:rsid w:val="00A32561"/>
    <w:rsid w:val="00A32DC3"/>
    <w:rsid w:val="00A3367E"/>
    <w:rsid w:val="00A33996"/>
    <w:rsid w:val="00A33CD7"/>
    <w:rsid w:val="00A33D38"/>
    <w:rsid w:val="00A34CA9"/>
    <w:rsid w:val="00A34F07"/>
    <w:rsid w:val="00A3518D"/>
    <w:rsid w:val="00A3524D"/>
    <w:rsid w:val="00A35599"/>
    <w:rsid w:val="00A35CD7"/>
    <w:rsid w:val="00A36B83"/>
    <w:rsid w:val="00A36E1F"/>
    <w:rsid w:val="00A3787B"/>
    <w:rsid w:val="00A40859"/>
    <w:rsid w:val="00A42047"/>
    <w:rsid w:val="00A43BBE"/>
    <w:rsid w:val="00A43F17"/>
    <w:rsid w:val="00A452A5"/>
    <w:rsid w:val="00A453A8"/>
    <w:rsid w:val="00A460A0"/>
    <w:rsid w:val="00A46259"/>
    <w:rsid w:val="00A4686D"/>
    <w:rsid w:val="00A47E43"/>
    <w:rsid w:val="00A513AB"/>
    <w:rsid w:val="00A533AC"/>
    <w:rsid w:val="00A544CA"/>
    <w:rsid w:val="00A54AB9"/>
    <w:rsid w:val="00A5596A"/>
    <w:rsid w:val="00A5635D"/>
    <w:rsid w:val="00A564D3"/>
    <w:rsid w:val="00A56DD5"/>
    <w:rsid w:val="00A56E77"/>
    <w:rsid w:val="00A57058"/>
    <w:rsid w:val="00A571FB"/>
    <w:rsid w:val="00A6066E"/>
    <w:rsid w:val="00A606D5"/>
    <w:rsid w:val="00A61171"/>
    <w:rsid w:val="00A61799"/>
    <w:rsid w:val="00A63432"/>
    <w:rsid w:val="00A63588"/>
    <w:rsid w:val="00A636CA"/>
    <w:rsid w:val="00A63D1A"/>
    <w:rsid w:val="00A6422D"/>
    <w:rsid w:val="00A64815"/>
    <w:rsid w:val="00A6508B"/>
    <w:rsid w:val="00A652FC"/>
    <w:rsid w:val="00A65A7E"/>
    <w:rsid w:val="00A66551"/>
    <w:rsid w:val="00A67E02"/>
    <w:rsid w:val="00A7210D"/>
    <w:rsid w:val="00A7328B"/>
    <w:rsid w:val="00A7356E"/>
    <w:rsid w:val="00A736F2"/>
    <w:rsid w:val="00A74843"/>
    <w:rsid w:val="00A7622B"/>
    <w:rsid w:val="00A76661"/>
    <w:rsid w:val="00A77801"/>
    <w:rsid w:val="00A81AB8"/>
    <w:rsid w:val="00A82650"/>
    <w:rsid w:val="00A844CF"/>
    <w:rsid w:val="00A84617"/>
    <w:rsid w:val="00A84959"/>
    <w:rsid w:val="00A85B48"/>
    <w:rsid w:val="00A8618D"/>
    <w:rsid w:val="00A86A37"/>
    <w:rsid w:val="00A86E51"/>
    <w:rsid w:val="00A87A72"/>
    <w:rsid w:val="00A9099A"/>
    <w:rsid w:val="00A9428D"/>
    <w:rsid w:val="00A9523F"/>
    <w:rsid w:val="00A9542A"/>
    <w:rsid w:val="00A957DF"/>
    <w:rsid w:val="00A957FA"/>
    <w:rsid w:val="00A95BF0"/>
    <w:rsid w:val="00A95C41"/>
    <w:rsid w:val="00A95D1C"/>
    <w:rsid w:val="00A95DE2"/>
    <w:rsid w:val="00A95F56"/>
    <w:rsid w:val="00A9630D"/>
    <w:rsid w:val="00A9658A"/>
    <w:rsid w:val="00A968F3"/>
    <w:rsid w:val="00AA0548"/>
    <w:rsid w:val="00AA256E"/>
    <w:rsid w:val="00AA2585"/>
    <w:rsid w:val="00AA2751"/>
    <w:rsid w:val="00AA3A3D"/>
    <w:rsid w:val="00AA3F78"/>
    <w:rsid w:val="00AA523F"/>
    <w:rsid w:val="00AA6428"/>
    <w:rsid w:val="00AA72B7"/>
    <w:rsid w:val="00AA74DC"/>
    <w:rsid w:val="00AA76D8"/>
    <w:rsid w:val="00AB0590"/>
    <w:rsid w:val="00AB0D44"/>
    <w:rsid w:val="00AB1FF3"/>
    <w:rsid w:val="00AB334E"/>
    <w:rsid w:val="00AB396F"/>
    <w:rsid w:val="00AB41CE"/>
    <w:rsid w:val="00AB613B"/>
    <w:rsid w:val="00AB6E6F"/>
    <w:rsid w:val="00AB7ABE"/>
    <w:rsid w:val="00AC054B"/>
    <w:rsid w:val="00AC098F"/>
    <w:rsid w:val="00AC1342"/>
    <w:rsid w:val="00AC16F2"/>
    <w:rsid w:val="00AC35BD"/>
    <w:rsid w:val="00AC3C0A"/>
    <w:rsid w:val="00AC3EF0"/>
    <w:rsid w:val="00AC5A23"/>
    <w:rsid w:val="00AC6563"/>
    <w:rsid w:val="00AC666F"/>
    <w:rsid w:val="00AD0540"/>
    <w:rsid w:val="00AD0A72"/>
    <w:rsid w:val="00AD1451"/>
    <w:rsid w:val="00AD1C65"/>
    <w:rsid w:val="00AD2622"/>
    <w:rsid w:val="00AD2677"/>
    <w:rsid w:val="00AD26EB"/>
    <w:rsid w:val="00AD3037"/>
    <w:rsid w:val="00AD39A9"/>
    <w:rsid w:val="00AD4377"/>
    <w:rsid w:val="00AD4A8B"/>
    <w:rsid w:val="00AD4AD7"/>
    <w:rsid w:val="00AD565E"/>
    <w:rsid w:val="00AD5D90"/>
    <w:rsid w:val="00AD6451"/>
    <w:rsid w:val="00AD70F8"/>
    <w:rsid w:val="00AD7A6A"/>
    <w:rsid w:val="00AE0BD4"/>
    <w:rsid w:val="00AE0E96"/>
    <w:rsid w:val="00AE1C4A"/>
    <w:rsid w:val="00AE2273"/>
    <w:rsid w:val="00AE2754"/>
    <w:rsid w:val="00AE372C"/>
    <w:rsid w:val="00AE397B"/>
    <w:rsid w:val="00AE4D43"/>
    <w:rsid w:val="00AE57E7"/>
    <w:rsid w:val="00AE674B"/>
    <w:rsid w:val="00AE70AA"/>
    <w:rsid w:val="00AE76ED"/>
    <w:rsid w:val="00AF003E"/>
    <w:rsid w:val="00AF0169"/>
    <w:rsid w:val="00AF0483"/>
    <w:rsid w:val="00AF1D34"/>
    <w:rsid w:val="00AF1FC8"/>
    <w:rsid w:val="00AF221F"/>
    <w:rsid w:val="00AF2A13"/>
    <w:rsid w:val="00AF2A4A"/>
    <w:rsid w:val="00AF2AB9"/>
    <w:rsid w:val="00AF2F29"/>
    <w:rsid w:val="00AF3598"/>
    <w:rsid w:val="00AF38D8"/>
    <w:rsid w:val="00AF5B6B"/>
    <w:rsid w:val="00AF62D8"/>
    <w:rsid w:val="00AF64F9"/>
    <w:rsid w:val="00AF7496"/>
    <w:rsid w:val="00AF7635"/>
    <w:rsid w:val="00AF7683"/>
    <w:rsid w:val="00AF7F2E"/>
    <w:rsid w:val="00B00EC3"/>
    <w:rsid w:val="00B01262"/>
    <w:rsid w:val="00B01F33"/>
    <w:rsid w:val="00B02CF7"/>
    <w:rsid w:val="00B041FF"/>
    <w:rsid w:val="00B05785"/>
    <w:rsid w:val="00B05ED6"/>
    <w:rsid w:val="00B07ACC"/>
    <w:rsid w:val="00B105C7"/>
    <w:rsid w:val="00B1090A"/>
    <w:rsid w:val="00B10953"/>
    <w:rsid w:val="00B10C9B"/>
    <w:rsid w:val="00B1118F"/>
    <w:rsid w:val="00B1137A"/>
    <w:rsid w:val="00B11649"/>
    <w:rsid w:val="00B11A41"/>
    <w:rsid w:val="00B11CE8"/>
    <w:rsid w:val="00B11F5D"/>
    <w:rsid w:val="00B14327"/>
    <w:rsid w:val="00B14449"/>
    <w:rsid w:val="00B15FAD"/>
    <w:rsid w:val="00B1602B"/>
    <w:rsid w:val="00B16748"/>
    <w:rsid w:val="00B207F6"/>
    <w:rsid w:val="00B22D90"/>
    <w:rsid w:val="00B23A23"/>
    <w:rsid w:val="00B23F4E"/>
    <w:rsid w:val="00B24201"/>
    <w:rsid w:val="00B26B54"/>
    <w:rsid w:val="00B2753F"/>
    <w:rsid w:val="00B30021"/>
    <w:rsid w:val="00B32CE2"/>
    <w:rsid w:val="00B33FB2"/>
    <w:rsid w:val="00B349DE"/>
    <w:rsid w:val="00B353A4"/>
    <w:rsid w:val="00B369C8"/>
    <w:rsid w:val="00B372C7"/>
    <w:rsid w:val="00B37476"/>
    <w:rsid w:val="00B410BA"/>
    <w:rsid w:val="00B41311"/>
    <w:rsid w:val="00B41F33"/>
    <w:rsid w:val="00B42A05"/>
    <w:rsid w:val="00B42E24"/>
    <w:rsid w:val="00B43538"/>
    <w:rsid w:val="00B439BC"/>
    <w:rsid w:val="00B4416F"/>
    <w:rsid w:val="00B443E5"/>
    <w:rsid w:val="00B4627E"/>
    <w:rsid w:val="00B46363"/>
    <w:rsid w:val="00B46C94"/>
    <w:rsid w:val="00B47C12"/>
    <w:rsid w:val="00B50EDA"/>
    <w:rsid w:val="00B53267"/>
    <w:rsid w:val="00B536BA"/>
    <w:rsid w:val="00B53E08"/>
    <w:rsid w:val="00B5420F"/>
    <w:rsid w:val="00B543CC"/>
    <w:rsid w:val="00B548D1"/>
    <w:rsid w:val="00B55055"/>
    <w:rsid w:val="00B56185"/>
    <w:rsid w:val="00B56A93"/>
    <w:rsid w:val="00B56D13"/>
    <w:rsid w:val="00B61906"/>
    <w:rsid w:val="00B61E39"/>
    <w:rsid w:val="00B62756"/>
    <w:rsid w:val="00B62A4A"/>
    <w:rsid w:val="00B63059"/>
    <w:rsid w:val="00B63F5A"/>
    <w:rsid w:val="00B643C9"/>
    <w:rsid w:val="00B64EE9"/>
    <w:rsid w:val="00B6506C"/>
    <w:rsid w:val="00B7114A"/>
    <w:rsid w:val="00B7159C"/>
    <w:rsid w:val="00B717E3"/>
    <w:rsid w:val="00B71B1F"/>
    <w:rsid w:val="00B728C1"/>
    <w:rsid w:val="00B73271"/>
    <w:rsid w:val="00B74401"/>
    <w:rsid w:val="00B764E6"/>
    <w:rsid w:val="00B76ED9"/>
    <w:rsid w:val="00B76F0B"/>
    <w:rsid w:val="00B77641"/>
    <w:rsid w:val="00B779F5"/>
    <w:rsid w:val="00B80005"/>
    <w:rsid w:val="00B80D34"/>
    <w:rsid w:val="00B8138D"/>
    <w:rsid w:val="00B82A4B"/>
    <w:rsid w:val="00B82F22"/>
    <w:rsid w:val="00B830B9"/>
    <w:rsid w:val="00B839FC"/>
    <w:rsid w:val="00B845AA"/>
    <w:rsid w:val="00B8480A"/>
    <w:rsid w:val="00B854A1"/>
    <w:rsid w:val="00B8550E"/>
    <w:rsid w:val="00B856FD"/>
    <w:rsid w:val="00B8790B"/>
    <w:rsid w:val="00B87A32"/>
    <w:rsid w:val="00B87ECB"/>
    <w:rsid w:val="00B905E9"/>
    <w:rsid w:val="00B9070D"/>
    <w:rsid w:val="00B90877"/>
    <w:rsid w:val="00B9134A"/>
    <w:rsid w:val="00B91791"/>
    <w:rsid w:val="00B91C3D"/>
    <w:rsid w:val="00B92165"/>
    <w:rsid w:val="00B92530"/>
    <w:rsid w:val="00B92B3D"/>
    <w:rsid w:val="00B94139"/>
    <w:rsid w:val="00B944CA"/>
    <w:rsid w:val="00B94F83"/>
    <w:rsid w:val="00B95519"/>
    <w:rsid w:val="00B96445"/>
    <w:rsid w:val="00B97B08"/>
    <w:rsid w:val="00B97D4A"/>
    <w:rsid w:val="00BA0F84"/>
    <w:rsid w:val="00BA114C"/>
    <w:rsid w:val="00BA1E60"/>
    <w:rsid w:val="00BA28C1"/>
    <w:rsid w:val="00BA34B0"/>
    <w:rsid w:val="00BA3ACD"/>
    <w:rsid w:val="00BA4705"/>
    <w:rsid w:val="00BA4805"/>
    <w:rsid w:val="00BA519C"/>
    <w:rsid w:val="00BA692C"/>
    <w:rsid w:val="00BA738E"/>
    <w:rsid w:val="00BA75E2"/>
    <w:rsid w:val="00BB0041"/>
    <w:rsid w:val="00BB022C"/>
    <w:rsid w:val="00BB046E"/>
    <w:rsid w:val="00BB0906"/>
    <w:rsid w:val="00BB194B"/>
    <w:rsid w:val="00BB3BFA"/>
    <w:rsid w:val="00BB3D11"/>
    <w:rsid w:val="00BB4A57"/>
    <w:rsid w:val="00BB57CC"/>
    <w:rsid w:val="00BB5C37"/>
    <w:rsid w:val="00BB6144"/>
    <w:rsid w:val="00BB66D7"/>
    <w:rsid w:val="00BB78F3"/>
    <w:rsid w:val="00BB79B1"/>
    <w:rsid w:val="00BC0227"/>
    <w:rsid w:val="00BC03DD"/>
    <w:rsid w:val="00BC136C"/>
    <w:rsid w:val="00BC14B3"/>
    <w:rsid w:val="00BC1BBF"/>
    <w:rsid w:val="00BC1EEC"/>
    <w:rsid w:val="00BC2894"/>
    <w:rsid w:val="00BC2E3E"/>
    <w:rsid w:val="00BC45FD"/>
    <w:rsid w:val="00BC5BDD"/>
    <w:rsid w:val="00BC5C45"/>
    <w:rsid w:val="00BC652E"/>
    <w:rsid w:val="00BC65DF"/>
    <w:rsid w:val="00BC6AD3"/>
    <w:rsid w:val="00BC6DA6"/>
    <w:rsid w:val="00BC7E86"/>
    <w:rsid w:val="00BD0E4E"/>
    <w:rsid w:val="00BD1F3F"/>
    <w:rsid w:val="00BD3309"/>
    <w:rsid w:val="00BD4286"/>
    <w:rsid w:val="00BD44F2"/>
    <w:rsid w:val="00BD536A"/>
    <w:rsid w:val="00BD55F6"/>
    <w:rsid w:val="00BD684A"/>
    <w:rsid w:val="00BD7104"/>
    <w:rsid w:val="00BD71D7"/>
    <w:rsid w:val="00BD720E"/>
    <w:rsid w:val="00BD7DAF"/>
    <w:rsid w:val="00BD7DC2"/>
    <w:rsid w:val="00BE0723"/>
    <w:rsid w:val="00BE0800"/>
    <w:rsid w:val="00BE1837"/>
    <w:rsid w:val="00BE2712"/>
    <w:rsid w:val="00BE2823"/>
    <w:rsid w:val="00BE4373"/>
    <w:rsid w:val="00BE4684"/>
    <w:rsid w:val="00BE49AE"/>
    <w:rsid w:val="00BE5987"/>
    <w:rsid w:val="00BE786E"/>
    <w:rsid w:val="00BE7AAD"/>
    <w:rsid w:val="00BF07FE"/>
    <w:rsid w:val="00BF0AE4"/>
    <w:rsid w:val="00BF1515"/>
    <w:rsid w:val="00BF18B4"/>
    <w:rsid w:val="00BF1A93"/>
    <w:rsid w:val="00BF1BCE"/>
    <w:rsid w:val="00BF21D4"/>
    <w:rsid w:val="00BF2421"/>
    <w:rsid w:val="00BF3DA6"/>
    <w:rsid w:val="00BF4CAF"/>
    <w:rsid w:val="00BF50CE"/>
    <w:rsid w:val="00BF51F3"/>
    <w:rsid w:val="00BF5457"/>
    <w:rsid w:val="00BF60E6"/>
    <w:rsid w:val="00BF6D4A"/>
    <w:rsid w:val="00BF6F3A"/>
    <w:rsid w:val="00BF7402"/>
    <w:rsid w:val="00BF7859"/>
    <w:rsid w:val="00BF7C57"/>
    <w:rsid w:val="00C0020D"/>
    <w:rsid w:val="00C01550"/>
    <w:rsid w:val="00C01B13"/>
    <w:rsid w:val="00C02634"/>
    <w:rsid w:val="00C037CE"/>
    <w:rsid w:val="00C03F7D"/>
    <w:rsid w:val="00C04B02"/>
    <w:rsid w:val="00C04B59"/>
    <w:rsid w:val="00C04CDC"/>
    <w:rsid w:val="00C054AA"/>
    <w:rsid w:val="00C05750"/>
    <w:rsid w:val="00C059D6"/>
    <w:rsid w:val="00C05A98"/>
    <w:rsid w:val="00C06058"/>
    <w:rsid w:val="00C062BA"/>
    <w:rsid w:val="00C06505"/>
    <w:rsid w:val="00C06843"/>
    <w:rsid w:val="00C068D9"/>
    <w:rsid w:val="00C07816"/>
    <w:rsid w:val="00C079C1"/>
    <w:rsid w:val="00C07F96"/>
    <w:rsid w:val="00C10236"/>
    <w:rsid w:val="00C1039B"/>
    <w:rsid w:val="00C1186E"/>
    <w:rsid w:val="00C118BD"/>
    <w:rsid w:val="00C12549"/>
    <w:rsid w:val="00C12592"/>
    <w:rsid w:val="00C12E4F"/>
    <w:rsid w:val="00C1380E"/>
    <w:rsid w:val="00C13A0B"/>
    <w:rsid w:val="00C13C35"/>
    <w:rsid w:val="00C13F76"/>
    <w:rsid w:val="00C14BF3"/>
    <w:rsid w:val="00C15CB5"/>
    <w:rsid w:val="00C166C1"/>
    <w:rsid w:val="00C170A4"/>
    <w:rsid w:val="00C222E4"/>
    <w:rsid w:val="00C22F33"/>
    <w:rsid w:val="00C231F3"/>
    <w:rsid w:val="00C238C2"/>
    <w:rsid w:val="00C24310"/>
    <w:rsid w:val="00C26108"/>
    <w:rsid w:val="00C265A8"/>
    <w:rsid w:val="00C2715C"/>
    <w:rsid w:val="00C27869"/>
    <w:rsid w:val="00C27CCD"/>
    <w:rsid w:val="00C30799"/>
    <w:rsid w:val="00C3116E"/>
    <w:rsid w:val="00C31279"/>
    <w:rsid w:val="00C31E2C"/>
    <w:rsid w:val="00C32334"/>
    <w:rsid w:val="00C324FD"/>
    <w:rsid w:val="00C3257B"/>
    <w:rsid w:val="00C3332C"/>
    <w:rsid w:val="00C341E2"/>
    <w:rsid w:val="00C344A4"/>
    <w:rsid w:val="00C359F5"/>
    <w:rsid w:val="00C36193"/>
    <w:rsid w:val="00C36B7D"/>
    <w:rsid w:val="00C36E3F"/>
    <w:rsid w:val="00C3731A"/>
    <w:rsid w:val="00C379A0"/>
    <w:rsid w:val="00C37A25"/>
    <w:rsid w:val="00C37A9D"/>
    <w:rsid w:val="00C4006A"/>
    <w:rsid w:val="00C40FE9"/>
    <w:rsid w:val="00C412BC"/>
    <w:rsid w:val="00C436E6"/>
    <w:rsid w:val="00C43B12"/>
    <w:rsid w:val="00C45858"/>
    <w:rsid w:val="00C45A2C"/>
    <w:rsid w:val="00C46556"/>
    <w:rsid w:val="00C50D2E"/>
    <w:rsid w:val="00C5180A"/>
    <w:rsid w:val="00C51FDA"/>
    <w:rsid w:val="00C53062"/>
    <w:rsid w:val="00C535CD"/>
    <w:rsid w:val="00C53C3C"/>
    <w:rsid w:val="00C54043"/>
    <w:rsid w:val="00C5437E"/>
    <w:rsid w:val="00C54BF6"/>
    <w:rsid w:val="00C55C7B"/>
    <w:rsid w:val="00C561B1"/>
    <w:rsid w:val="00C571C1"/>
    <w:rsid w:val="00C57D29"/>
    <w:rsid w:val="00C605F2"/>
    <w:rsid w:val="00C61309"/>
    <w:rsid w:val="00C61EC2"/>
    <w:rsid w:val="00C61F97"/>
    <w:rsid w:val="00C62A98"/>
    <w:rsid w:val="00C63169"/>
    <w:rsid w:val="00C63C87"/>
    <w:rsid w:val="00C64101"/>
    <w:rsid w:val="00C64106"/>
    <w:rsid w:val="00C64C2D"/>
    <w:rsid w:val="00C64C9B"/>
    <w:rsid w:val="00C6554D"/>
    <w:rsid w:val="00C65F42"/>
    <w:rsid w:val="00C663A4"/>
    <w:rsid w:val="00C66877"/>
    <w:rsid w:val="00C66AAC"/>
    <w:rsid w:val="00C66AB6"/>
    <w:rsid w:val="00C66CF3"/>
    <w:rsid w:val="00C70086"/>
    <w:rsid w:val="00C70E38"/>
    <w:rsid w:val="00C71222"/>
    <w:rsid w:val="00C72016"/>
    <w:rsid w:val="00C72AF9"/>
    <w:rsid w:val="00C733F6"/>
    <w:rsid w:val="00C738C4"/>
    <w:rsid w:val="00C73B73"/>
    <w:rsid w:val="00C7463B"/>
    <w:rsid w:val="00C750F3"/>
    <w:rsid w:val="00C75171"/>
    <w:rsid w:val="00C75FED"/>
    <w:rsid w:val="00C762F2"/>
    <w:rsid w:val="00C7634D"/>
    <w:rsid w:val="00C763AD"/>
    <w:rsid w:val="00C773BD"/>
    <w:rsid w:val="00C77B7F"/>
    <w:rsid w:val="00C77BAE"/>
    <w:rsid w:val="00C77CE2"/>
    <w:rsid w:val="00C80F61"/>
    <w:rsid w:val="00C810A4"/>
    <w:rsid w:val="00C810C1"/>
    <w:rsid w:val="00C8160F"/>
    <w:rsid w:val="00C821F0"/>
    <w:rsid w:val="00C82BE2"/>
    <w:rsid w:val="00C82F42"/>
    <w:rsid w:val="00C838CF"/>
    <w:rsid w:val="00C83F2D"/>
    <w:rsid w:val="00C84097"/>
    <w:rsid w:val="00C84E74"/>
    <w:rsid w:val="00C852A4"/>
    <w:rsid w:val="00C85A2E"/>
    <w:rsid w:val="00C85F69"/>
    <w:rsid w:val="00C87E03"/>
    <w:rsid w:val="00C9021A"/>
    <w:rsid w:val="00C90366"/>
    <w:rsid w:val="00C90F65"/>
    <w:rsid w:val="00C911D1"/>
    <w:rsid w:val="00C921A3"/>
    <w:rsid w:val="00C9514D"/>
    <w:rsid w:val="00C967FA"/>
    <w:rsid w:val="00CA04F6"/>
    <w:rsid w:val="00CA0857"/>
    <w:rsid w:val="00CA101E"/>
    <w:rsid w:val="00CA2919"/>
    <w:rsid w:val="00CA4136"/>
    <w:rsid w:val="00CA414B"/>
    <w:rsid w:val="00CA44BF"/>
    <w:rsid w:val="00CA4A2E"/>
    <w:rsid w:val="00CA4FA9"/>
    <w:rsid w:val="00CA6B4C"/>
    <w:rsid w:val="00CA708C"/>
    <w:rsid w:val="00CA7A04"/>
    <w:rsid w:val="00CB042D"/>
    <w:rsid w:val="00CB106B"/>
    <w:rsid w:val="00CB19C1"/>
    <w:rsid w:val="00CB1DB1"/>
    <w:rsid w:val="00CB2053"/>
    <w:rsid w:val="00CB262C"/>
    <w:rsid w:val="00CB2F95"/>
    <w:rsid w:val="00CB3ABE"/>
    <w:rsid w:val="00CB49C8"/>
    <w:rsid w:val="00CB622E"/>
    <w:rsid w:val="00CB6697"/>
    <w:rsid w:val="00CB7E0E"/>
    <w:rsid w:val="00CC05CF"/>
    <w:rsid w:val="00CC1181"/>
    <w:rsid w:val="00CC156C"/>
    <w:rsid w:val="00CC1E5E"/>
    <w:rsid w:val="00CC22D5"/>
    <w:rsid w:val="00CC2739"/>
    <w:rsid w:val="00CC27A4"/>
    <w:rsid w:val="00CC282D"/>
    <w:rsid w:val="00CC445F"/>
    <w:rsid w:val="00CC4607"/>
    <w:rsid w:val="00CC6399"/>
    <w:rsid w:val="00CC79A0"/>
    <w:rsid w:val="00CD00E1"/>
    <w:rsid w:val="00CD028B"/>
    <w:rsid w:val="00CD1125"/>
    <w:rsid w:val="00CD2239"/>
    <w:rsid w:val="00CD2BB9"/>
    <w:rsid w:val="00CD4014"/>
    <w:rsid w:val="00CD47A7"/>
    <w:rsid w:val="00CD4F30"/>
    <w:rsid w:val="00CD52A3"/>
    <w:rsid w:val="00CD5C18"/>
    <w:rsid w:val="00CD6B74"/>
    <w:rsid w:val="00CD72FE"/>
    <w:rsid w:val="00CE0BF4"/>
    <w:rsid w:val="00CE1BEE"/>
    <w:rsid w:val="00CE2804"/>
    <w:rsid w:val="00CE33B1"/>
    <w:rsid w:val="00CE341D"/>
    <w:rsid w:val="00CE3F06"/>
    <w:rsid w:val="00CE5A41"/>
    <w:rsid w:val="00CE5BCD"/>
    <w:rsid w:val="00CE5CA5"/>
    <w:rsid w:val="00CE6960"/>
    <w:rsid w:val="00CE7FBE"/>
    <w:rsid w:val="00CF0C00"/>
    <w:rsid w:val="00CF1219"/>
    <w:rsid w:val="00CF1BA0"/>
    <w:rsid w:val="00CF1BCE"/>
    <w:rsid w:val="00CF1F46"/>
    <w:rsid w:val="00CF2FA0"/>
    <w:rsid w:val="00CF36C1"/>
    <w:rsid w:val="00CF3A0A"/>
    <w:rsid w:val="00CF3B3D"/>
    <w:rsid w:val="00CF47C7"/>
    <w:rsid w:val="00CF4E19"/>
    <w:rsid w:val="00CF52D1"/>
    <w:rsid w:val="00CF5604"/>
    <w:rsid w:val="00CF64CD"/>
    <w:rsid w:val="00CF6C87"/>
    <w:rsid w:val="00CF7341"/>
    <w:rsid w:val="00D0189E"/>
    <w:rsid w:val="00D02436"/>
    <w:rsid w:val="00D02530"/>
    <w:rsid w:val="00D0382F"/>
    <w:rsid w:val="00D03E94"/>
    <w:rsid w:val="00D044E9"/>
    <w:rsid w:val="00D04601"/>
    <w:rsid w:val="00D04959"/>
    <w:rsid w:val="00D051A1"/>
    <w:rsid w:val="00D06338"/>
    <w:rsid w:val="00D112D3"/>
    <w:rsid w:val="00D11420"/>
    <w:rsid w:val="00D118A6"/>
    <w:rsid w:val="00D122EB"/>
    <w:rsid w:val="00D13A5C"/>
    <w:rsid w:val="00D13EAC"/>
    <w:rsid w:val="00D13ECB"/>
    <w:rsid w:val="00D13F22"/>
    <w:rsid w:val="00D14E73"/>
    <w:rsid w:val="00D1628F"/>
    <w:rsid w:val="00D163D0"/>
    <w:rsid w:val="00D16C8A"/>
    <w:rsid w:val="00D17681"/>
    <w:rsid w:val="00D176CA"/>
    <w:rsid w:val="00D222AD"/>
    <w:rsid w:val="00D239E9"/>
    <w:rsid w:val="00D23E65"/>
    <w:rsid w:val="00D241D2"/>
    <w:rsid w:val="00D25CE5"/>
    <w:rsid w:val="00D266C4"/>
    <w:rsid w:val="00D278C6"/>
    <w:rsid w:val="00D31347"/>
    <w:rsid w:val="00D3197D"/>
    <w:rsid w:val="00D32513"/>
    <w:rsid w:val="00D328E1"/>
    <w:rsid w:val="00D35036"/>
    <w:rsid w:val="00D352E9"/>
    <w:rsid w:val="00D35856"/>
    <w:rsid w:val="00D35865"/>
    <w:rsid w:val="00D36F8C"/>
    <w:rsid w:val="00D40C34"/>
    <w:rsid w:val="00D40F40"/>
    <w:rsid w:val="00D41300"/>
    <w:rsid w:val="00D41D9C"/>
    <w:rsid w:val="00D42E9E"/>
    <w:rsid w:val="00D4596D"/>
    <w:rsid w:val="00D46D62"/>
    <w:rsid w:val="00D47E9B"/>
    <w:rsid w:val="00D50BC7"/>
    <w:rsid w:val="00D50DB8"/>
    <w:rsid w:val="00D5173D"/>
    <w:rsid w:val="00D51F3E"/>
    <w:rsid w:val="00D51FD9"/>
    <w:rsid w:val="00D52DE5"/>
    <w:rsid w:val="00D53ACA"/>
    <w:rsid w:val="00D5451C"/>
    <w:rsid w:val="00D54E23"/>
    <w:rsid w:val="00D557E4"/>
    <w:rsid w:val="00D55D21"/>
    <w:rsid w:val="00D56174"/>
    <w:rsid w:val="00D566AD"/>
    <w:rsid w:val="00D5683C"/>
    <w:rsid w:val="00D56A57"/>
    <w:rsid w:val="00D57A0A"/>
    <w:rsid w:val="00D60444"/>
    <w:rsid w:val="00D61D5F"/>
    <w:rsid w:val="00D62296"/>
    <w:rsid w:val="00D62489"/>
    <w:rsid w:val="00D637A1"/>
    <w:rsid w:val="00D639CE"/>
    <w:rsid w:val="00D639F9"/>
    <w:rsid w:val="00D642A4"/>
    <w:rsid w:val="00D64E98"/>
    <w:rsid w:val="00D652F0"/>
    <w:rsid w:val="00D65CDE"/>
    <w:rsid w:val="00D65FF9"/>
    <w:rsid w:val="00D66012"/>
    <w:rsid w:val="00D660E3"/>
    <w:rsid w:val="00D66F7F"/>
    <w:rsid w:val="00D67DBE"/>
    <w:rsid w:val="00D702B6"/>
    <w:rsid w:val="00D70C12"/>
    <w:rsid w:val="00D71932"/>
    <w:rsid w:val="00D71F9D"/>
    <w:rsid w:val="00D72785"/>
    <w:rsid w:val="00D727D8"/>
    <w:rsid w:val="00D73105"/>
    <w:rsid w:val="00D73429"/>
    <w:rsid w:val="00D7369A"/>
    <w:rsid w:val="00D74037"/>
    <w:rsid w:val="00D7420A"/>
    <w:rsid w:val="00D74A97"/>
    <w:rsid w:val="00D75749"/>
    <w:rsid w:val="00D7632A"/>
    <w:rsid w:val="00D76401"/>
    <w:rsid w:val="00D808A5"/>
    <w:rsid w:val="00D80E63"/>
    <w:rsid w:val="00D8132E"/>
    <w:rsid w:val="00D81A28"/>
    <w:rsid w:val="00D828C7"/>
    <w:rsid w:val="00D8456C"/>
    <w:rsid w:val="00D84D8E"/>
    <w:rsid w:val="00D85955"/>
    <w:rsid w:val="00D86153"/>
    <w:rsid w:val="00D904FE"/>
    <w:rsid w:val="00D9064B"/>
    <w:rsid w:val="00D9068B"/>
    <w:rsid w:val="00D9073B"/>
    <w:rsid w:val="00D908CB"/>
    <w:rsid w:val="00D9142C"/>
    <w:rsid w:val="00D91C13"/>
    <w:rsid w:val="00D91DD2"/>
    <w:rsid w:val="00D926BF"/>
    <w:rsid w:val="00D92A41"/>
    <w:rsid w:val="00D92B3F"/>
    <w:rsid w:val="00D93086"/>
    <w:rsid w:val="00D935D7"/>
    <w:rsid w:val="00D94086"/>
    <w:rsid w:val="00D95291"/>
    <w:rsid w:val="00D96D00"/>
    <w:rsid w:val="00D971A4"/>
    <w:rsid w:val="00D97E88"/>
    <w:rsid w:val="00DA0BE0"/>
    <w:rsid w:val="00DA2661"/>
    <w:rsid w:val="00DA2777"/>
    <w:rsid w:val="00DA2966"/>
    <w:rsid w:val="00DA2C05"/>
    <w:rsid w:val="00DA2E4C"/>
    <w:rsid w:val="00DA354A"/>
    <w:rsid w:val="00DA3DF1"/>
    <w:rsid w:val="00DA476E"/>
    <w:rsid w:val="00DA4F0F"/>
    <w:rsid w:val="00DA599B"/>
    <w:rsid w:val="00DA6DF3"/>
    <w:rsid w:val="00DA754D"/>
    <w:rsid w:val="00DB0B7E"/>
    <w:rsid w:val="00DB2D78"/>
    <w:rsid w:val="00DB7829"/>
    <w:rsid w:val="00DC0AE2"/>
    <w:rsid w:val="00DC15D7"/>
    <w:rsid w:val="00DC28F4"/>
    <w:rsid w:val="00DC2AF3"/>
    <w:rsid w:val="00DC2B9E"/>
    <w:rsid w:val="00DC3AD5"/>
    <w:rsid w:val="00DC5091"/>
    <w:rsid w:val="00DC5640"/>
    <w:rsid w:val="00DC5FA6"/>
    <w:rsid w:val="00DC60E3"/>
    <w:rsid w:val="00DC7694"/>
    <w:rsid w:val="00DC78FF"/>
    <w:rsid w:val="00DC7F28"/>
    <w:rsid w:val="00DD017F"/>
    <w:rsid w:val="00DD1252"/>
    <w:rsid w:val="00DD1FC9"/>
    <w:rsid w:val="00DD2D9B"/>
    <w:rsid w:val="00DD3A56"/>
    <w:rsid w:val="00DD488D"/>
    <w:rsid w:val="00DD50AD"/>
    <w:rsid w:val="00DD58A9"/>
    <w:rsid w:val="00DD5E16"/>
    <w:rsid w:val="00DD5E9F"/>
    <w:rsid w:val="00DD6208"/>
    <w:rsid w:val="00DD6401"/>
    <w:rsid w:val="00DD6C39"/>
    <w:rsid w:val="00DE129B"/>
    <w:rsid w:val="00DE187F"/>
    <w:rsid w:val="00DE297D"/>
    <w:rsid w:val="00DE2A92"/>
    <w:rsid w:val="00DE3968"/>
    <w:rsid w:val="00DE4069"/>
    <w:rsid w:val="00DE4A7D"/>
    <w:rsid w:val="00DE5238"/>
    <w:rsid w:val="00DE5CC6"/>
    <w:rsid w:val="00DE5F88"/>
    <w:rsid w:val="00DE6F0C"/>
    <w:rsid w:val="00DF078B"/>
    <w:rsid w:val="00DF1DFD"/>
    <w:rsid w:val="00DF26E9"/>
    <w:rsid w:val="00DF2CBE"/>
    <w:rsid w:val="00DF3073"/>
    <w:rsid w:val="00DF3CF4"/>
    <w:rsid w:val="00DF5BE8"/>
    <w:rsid w:val="00DF5D5C"/>
    <w:rsid w:val="00DF5D60"/>
    <w:rsid w:val="00DF652A"/>
    <w:rsid w:val="00DF6DF4"/>
    <w:rsid w:val="00E00710"/>
    <w:rsid w:val="00E02CF6"/>
    <w:rsid w:val="00E02E86"/>
    <w:rsid w:val="00E03BF5"/>
    <w:rsid w:val="00E053CD"/>
    <w:rsid w:val="00E06D72"/>
    <w:rsid w:val="00E07622"/>
    <w:rsid w:val="00E11C2B"/>
    <w:rsid w:val="00E126A3"/>
    <w:rsid w:val="00E127C5"/>
    <w:rsid w:val="00E1284C"/>
    <w:rsid w:val="00E12B05"/>
    <w:rsid w:val="00E12ED0"/>
    <w:rsid w:val="00E13B4E"/>
    <w:rsid w:val="00E13E9E"/>
    <w:rsid w:val="00E14B8E"/>
    <w:rsid w:val="00E166AC"/>
    <w:rsid w:val="00E1685D"/>
    <w:rsid w:val="00E21D3B"/>
    <w:rsid w:val="00E22291"/>
    <w:rsid w:val="00E225B4"/>
    <w:rsid w:val="00E22658"/>
    <w:rsid w:val="00E22CF2"/>
    <w:rsid w:val="00E22F57"/>
    <w:rsid w:val="00E23847"/>
    <w:rsid w:val="00E26C69"/>
    <w:rsid w:val="00E26F02"/>
    <w:rsid w:val="00E30F6A"/>
    <w:rsid w:val="00E3115B"/>
    <w:rsid w:val="00E3159F"/>
    <w:rsid w:val="00E31BB3"/>
    <w:rsid w:val="00E31BD9"/>
    <w:rsid w:val="00E32703"/>
    <w:rsid w:val="00E32F9C"/>
    <w:rsid w:val="00E352E5"/>
    <w:rsid w:val="00E35EAB"/>
    <w:rsid w:val="00E367D2"/>
    <w:rsid w:val="00E37E2E"/>
    <w:rsid w:val="00E40A47"/>
    <w:rsid w:val="00E40C34"/>
    <w:rsid w:val="00E41D6D"/>
    <w:rsid w:val="00E425DA"/>
    <w:rsid w:val="00E43803"/>
    <w:rsid w:val="00E43CAF"/>
    <w:rsid w:val="00E445CA"/>
    <w:rsid w:val="00E4570A"/>
    <w:rsid w:val="00E46841"/>
    <w:rsid w:val="00E468FD"/>
    <w:rsid w:val="00E46AF0"/>
    <w:rsid w:val="00E47285"/>
    <w:rsid w:val="00E50FE8"/>
    <w:rsid w:val="00E51274"/>
    <w:rsid w:val="00E51311"/>
    <w:rsid w:val="00E51E09"/>
    <w:rsid w:val="00E51EFA"/>
    <w:rsid w:val="00E5285E"/>
    <w:rsid w:val="00E52A42"/>
    <w:rsid w:val="00E52BE2"/>
    <w:rsid w:val="00E5394E"/>
    <w:rsid w:val="00E5518E"/>
    <w:rsid w:val="00E551F2"/>
    <w:rsid w:val="00E5536A"/>
    <w:rsid w:val="00E55439"/>
    <w:rsid w:val="00E56946"/>
    <w:rsid w:val="00E5739B"/>
    <w:rsid w:val="00E574B9"/>
    <w:rsid w:val="00E576FD"/>
    <w:rsid w:val="00E579E2"/>
    <w:rsid w:val="00E6089C"/>
    <w:rsid w:val="00E60FF5"/>
    <w:rsid w:val="00E61799"/>
    <w:rsid w:val="00E61E73"/>
    <w:rsid w:val="00E630D1"/>
    <w:rsid w:val="00E63518"/>
    <w:rsid w:val="00E63A76"/>
    <w:rsid w:val="00E63E3E"/>
    <w:rsid w:val="00E64077"/>
    <w:rsid w:val="00E64274"/>
    <w:rsid w:val="00E64628"/>
    <w:rsid w:val="00E64DC2"/>
    <w:rsid w:val="00E65051"/>
    <w:rsid w:val="00E65E40"/>
    <w:rsid w:val="00E668F9"/>
    <w:rsid w:val="00E66A3A"/>
    <w:rsid w:val="00E674B5"/>
    <w:rsid w:val="00E67A1B"/>
    <w:rsid w:val="00E67ACC"/>
    <w:rsid w:val="00E67E76"/>
    <w:rsid w:val="00E71F5E"/>
    <w:rsid w:val="00E73512"/>
    <w:rsid w:val="00E73DDE"/>
    <w:rsid w:val="00E74D25"/>
    <w:rsid w:val="00E756F0"/>
    <w:rsid w:val="00E759D2"/>
    <w:rsid w:val="00E75FD0"/>
    <w:rsid w:val="00E77D9F"/>
    <w:rsid w:val="00E805A1"/>
    <w:rsid w:val="00E806E7"/>
    <w:rsid w:val="00E80E9C"/>
    <w:rsid w:val="00E8112E"/>
    <w:rsid w:val="00E817F3"/>
    <w:rsid w:val="00E81DED"/>
    <w:rsid w:val="00E81FB2"/>
    <w:rsid w:val="00E81FD1"/>
    <w:rsid w:val="00E829A0"/>
    <w:rsid w:val="00E82BCC"/>
    <w:rsid w:val="00E82E61"/>
    <w:rsid w:val="00E83DC0"/>
    <w:rsid w:val="00E852AB"/>
    <w:rsid w:val="00E8555C"/>
    <w:rsid w:val="00E859F9"/>
    <w:rsid w:val="00E861B0"/>
    <w:rsid w:val="00E86A5E"/>
    <w:rsid w:val="00E8742A"/>
    <w:rsid w:val="00E90138"/>
    <w:rsid w:val="00E90169"/>
    <w:rsid w:val="00E903D4"/>
    <w:rsid w:val="00E9097A"/>
    <w:rsid w:val="00E91120"/>
    <w:rsid w:val="00E914A7"/>
    <w:rsid w:val="00E9304E"/>
    <w:rsid w:val="00E94068"/>
    <w:rsid w:val="00E94285"/>
    <w:rsid w:val="00E94379"/>
    <w:rsid w:val="00E94774"/>
    <w:rsid w:val="00E94D9E"/>
    <w:rsid w:val="00E958BB"/>
    <w:rsid w:val="00E97947"/>
    <w:rsid w:val="00E97B77"/>
    <w:rsid w:val="00E97CB6"/>
    <w:rsid w:val="00E97E4F"/>
    <w:rsid w:val="00EA084B"/>
    <w:rsid w:val="00EA1D1E"/>
    <w:rsid w:val="00EA2F85"/>
    <w:rsid w:val="00EA42A3"/>
    <w:rsid w:val="00EA514F"/>
    <w:rsid w:val="00EA5EE0"/>
    <w:rsid w:val="00EA6DCF"/>
    <w:rsid w:val="00EA7C63"/>
    <w:rsid w:val="00EB0BE0"/>
    <w:rsid w:val="00EB0FCC"/>
    <w:rsid w:val="00EB18D2"/>
    <w:rsid w:val="00EB3F43"/>
    <w:rsid w:val="00EB4091"/>
    <w:rsid w:val="00EB45FB"/>
    <w:rsid w:val="00EB47C6"/>
    <w:rsid w:val="00EB4BF9"/>
    <w:rsid w:val="00EB5C92"/>
    <w:rsid w:val="00EB74C5"/>
    <w:rsid w:val="00EB7676"/>
    <w:rsid w:val="00EB7E84"/>
    <w:rsid w:val="00EC0CC8"/>
    <w:rsid w:val="00EC1534"/>
    <w:rsid w:val="00EC3362"/>
    <w:rsid w:val="00EC3390"/>
    <w:rsid w:val="00EC36E6"/>
    <w:rsid w:val="00EC448B"/>
    <w:rsid w:val="00EC4C31"/>
    <w:rsid w:val="00EC5A16"/>
    <w:rsid w:val="00EC60A8"/>
    <w:rsid w:val="00ED083C"/>
    <w:rsid w:val="00ED14D6"/>
    <w:rsid w:val="00ED2873"/>
    <w:rsid w:val="00ED2D8D"/>
    <w:rsid w:val="00ED3015"/>
    <w:rsid w:val="00ED3083"/>
    <w:rsid w:val="00ED3B36"/>
    <w:rsid w:val="00ED48F6"/>
    <w:rsid w:val="00ED4EE8"/>
    <w:rsid w:val="00ED4F79"/>
    <w:rsid w:val="00ED56E8"/>
    <w:rsid w:val="00ED6C43"/>
    <w:rsid w:val="00ED75DB"/>
    <w:rsid w:val="00ED78F8"/>
    <w:rsid w:val="00ED7ABB"/>
    <w:rsid w:val="00EE1A1C"/>
    <w:rsid w:val="00EE1A39"/>
    <w:rsid w:val="00EE21E1"/>
    <w:rsid w:val="00EE274E"/>
    <w:rsid w:val="00EE2953"/>
    <w:rsid w:val="00EE2996"/>
    <w:rsid w:val="00EE2AD9"/>
    <w:rsid w:val="00EE3FBC"/>
    <w:rsid w:val="00EE3FCE"/>
    <w:rsid w:val="00EE5550"/>
    <w:rsid w:val="00EE5FCC"/>
    <w:rsid w:val="00EE625A"/>
    <w:rsid w:val="00EE6B39"/>
    <w:rsid w:val="00EE79AF"/>
    <w:rsid w:val="00EE7BAC"/>
    <w:rsid w:val="00EF0557"/>
    <w:rsid w:val="00EF0FCE"/>
    <w:rsid w:val="00EF1FF0"/>
    <w:rsid w:val="00EF2D54"/>
    <w:rsid w:val="00EF4155"/>
    <w:rsid w:val="00EF441C"/>
    <w:rsid w:val="00EF617F"/>
    <w:rsid w:val="00EF66CE"/>
    <w:rsid w:val="00EF6916"/>
    <w:rsid w:val="00EF6D51"/>
    <w:rsid w:val="00EF7414"/>
    <w:rsid w:val="00EF7A30"/>
    <w:rsid w:val="00F00993"/>
    <w:rsid w:val="00F01EAA"/>
    <w:rsid w:val="00F03912"/>
    <w:rsid w:val="00F03E44"/>
    <w:rsid w:val="00F03FB5"/>
    <w:rsid w:val="00F04820"/>
    <w:rsid w:val="00F04BC3"/>
    <w:rsid w:val="00F05AEE"/>
    <w:rsid w:val="00F07095"/>
    <w:rsid w:val="00F100E6"/>
    <w:rsid w:val="00F109A2"/>
    <w:rsid w:val="00F11013"/>
    <w:rsid w:val="00F11758"/>
    <w:rsid w:val="00F12225"/>
    <w:rsid w:val="00F12E26"/>
    <w:rsid w:val="00F133EA"/>
    <w:rsid w:val="00F13740"/>
    <w:rsid w:val="00F139B8"/>
    <w:rsid w:val="00F1509B"/>
    <w:rsid w:val="00F1532A"/>
    <w:rsid w:val="00F15981"/>
    <w:rsid w:val="00F15BAF"/>
    <w:rsid w:val="00F15D70"/>
    <w:rsid w:val="00F170EB"/>
    <w:rsid w:val="00F204A9"/>
    <w:rsid w:val="00F208AD"/>
    <w:rsid w:val="00F21255"/>
    <w:rsid w:val="00F21972"/>
    <w:rsid w:val="00F222A8"/>
    <w:rsid w:val="00F22631"/>
    <w:rsid w:val="00F230F3"/>
    <w:rsid w:val="00F23177"/>
    <w:rsid w:val="00F232F8"/>
    <w:rsid w:val="00F24FB8"/>
    <w:rsid w:val="00F253BF"/>
    <w:rsid w:val="00F2702C"/>
    <w:rsid w:val="00F272E8"/>
    <w:rsid w:val="00F274DC"/>
    <w:rsid w:val="00F3040D"/>
    <w:rsid w:val="00F30D04"/>
    <w:rsid w:val="00F30E81"/>
    <w:rsid w:val="00F31212"/>
    <w:rsid w:val="00F3154D"/>
    <w:rsid w:val="00F32108"/>
    <w:rsid w:val="00F3376A"/>
    <w:rsid w:val="00F34355"/>
    <w:rsid w:val="00F359EF"/>
    <w:rsid w:val="00F35C08"/>
    <w:rsid w:val="00F35CBA"/>
    <w:rsid w:val="00F36941"/>
    <w:rsid w:val="00F37337"/>
    <w:rsid w:val="00F37538"/>
    <w:rsid w:val="00F37A60"/>
    <w:rsid w:val="00F37BB8"/>
    <w:rsid w:val="00F37E10"/>
    <w:rsid w:val="00F4013C"/>
    <w:rsid w:val="00F40888"/>
    <w:rsid w:val="00F41471"/>
    <w:rsid w:val="00F41F6C"/>
    <w:rsid w:val="00F41FE2"/>
    <w:rsid w:val="00F42B1F"/>
    <w:rsid w:val="00F43B23"/>
    <w:rsid w:val="00F43B43"/>
    <w:rsid w:val="00F45FB9"/>
    <w:rsid w:val="00F46739"/>
    <w:rsid w:val="00F46C36"/>
    <w:rsid w:val="00F475B1"/>
    <w:rsid w:val="00F477BA"/>
    <w:rsid w:val="00F47D5A"/>
    <w:rsid w:val="00F503C5"/>
    <w:rsid w:val="00F51DF8"/>
    <w:rsid w:val="00F5249D"/>
    <w:rsid w:val="00F53317"/>
    <w:rsid w:val="00F53B3B"/>
    <w:rsid w:val="00F53D37"/>
    <w:rsid w:val="00F53DBB"/>
    <w:rsid w:val="00F5458A"/>
    <w:rsid w:val="00F56A72"/>
    <w:rsid w:val="00F56BBA"/>
    <w:rsid w:val="00F56BC3"/>
    <w:rsid w:val="00F56BDE"/>
    <w:rsid w:val="00F56C7F"/>
    <w:rsid w:val="00F56DD8"/>
    <w:rsid w:val="00F5754C"/>
    <w:rsid w:val="00F607CC"/>
    <w:rsid w:val="00F6156F"/>
    <w:rsid w:val="00F620E6"/>
    <w:rsid w:val="00F63100"/>
    <w:rsid w:val="00F648BE"/>
    <w:rsid w:val="00F65BFF"/>
    <w:rsid w:val="00F67712"/>
    <w:rsid w:val="00F710A5"/>
    <w:rsid w:val="00F7119F"/>
    <w:rsid w:val="00F71BAE"/>
    <w:rsid w:val="00F725AD"/>
    <w:rsid w:val="00F72D23"/>
    <w:rsid w:val="00F74813"/>
    <w:rsid w:val="00F74CD1"/>
    <w:rsid w:val="00F7590D"/>
    <w:rsid w:val="00F75A5D"/>
    <w:rsid w:val="00F76A30"/>
    <w:rsid w:val="00F77794"/>
    <w:rsid w:val="00F77949"/>
    <w:rsid w:val="00F80641"/>
    <w:rsid w:val="00F80661"/>
    <w:rsid w:val="00F80997"/>
    <w:rsid w:val="00F81DE1"/>
    <w:rsid w:val="00F8293D"/>
    <w:rsid w:val="00F82996"/>
    <w:rsid w:val="00F84140"/>
    <w:rsid w:val="00F84AF9"/>
    <w:rsid w:val="00F84B1A"/>
    <w:rsid w:val="00F86F27"/>
    <w:rsid w:val="00F870F7"/>
    <w:rsid w:val="00F871D8"/>
    <w:rsid w:val="00F87532"/>
    <w:rsid w:val="00F875CB"/>
    <w:rsid w:val="00F876EE"/>
    <w:rsid w:val="00F87740"/>
    <w:rsid w:val="00F90F56"/>
    <w:rsid w:val="00F916B6"/>
    <w:rsid w:val="00F91B6D"/>
    <w:rsid w:val="00F926D1"/>
    <w:rsid w:val="00F92A7C"/>
    <w:rsid w:val="00F92E05"/>
    <w:rsid w:val="00F93457"/>
    <w:rsid w:val="00F93DF7"/>
    <w:rsid w:val="00F93FA4"/>
    <w:rsid w:val="00F9558D"/>
    <w:rsid w:val="00F95BB5"/>
    <w:rsid w:val="00F95CAE"/>
    <w:rsid w:val="00F96513"/>
    <w:rsid w:val="00F96A66"/>
    <w:rsid w:val="00F97DBB"/>
    <w:rsid w:val="00FA02B8"/>
    <w:rsid w:val="00FA0DCF"/>
    <w:rsid w:val="00FA0F6C"/>
    <w:rsid w:val="00FA116C"/>
    <w:rsid w:val="00FA24CA"/>
    <w:rsid w:val="00FA28F7"/>
    <w:rsid w:val="00FA368D"/>
    <w:rsid w:val="00FA450D"/>
    <w:rsid w:val="00FA4573"/>
    <w:rsid w:val="00FA534A"/>
    <w:rsid w:val="00FA5BB0"/>
    <w:rsid w:val="00FA6649"/>
    <w:rsid w:val="00FA6751"/>
    <w:rsid w:val="00FB15E4"/>
    <w:rsid w:val="00FB1D6B"/>
    <w:rsid w:val="00FB1DE4"/>
    <w:rsid w:val="00FB1E4A"/>
    <w:rsid w:val="00FB1E89"/>
    <w:rsid w:val="00FB2B9F"/>
    <w:rsid w:val="00FB3FCA"/>
    <w:rsid w:val="00FB42B1"/>
    <w:rsid w:val="00FB4754"/>
    <w:rsid w:val="00FB4C0A"/>
    <w:rsid w:val="00FB5363"/>
    <w:rsid w:val="00FB555B"/>
    <w:rsid w:val="00FB57ED"/>
    <w:rsid w:val="00FB5B67"/>
    <w:rsid w:val="00FB644C"/>
    <w:rsid w:val="00FB69C4"/>
    <w:rsid w:val="00FB7286"/>
    <w:rsid w:val="00FB7302"/>
    <w:rsid w:val="00FB7D5C"/>
    <w:rsid w:val="00FB7E33"/>
    <w:rsid w:val="00FC0013"/>
    <w:rsid w:val="00FC0416"/>
    <w:rsid w:val="00FC21FC"/>
    <w:rsid w:val="00FC3172"/>
    <w:rsid w:val="00FC398A"/>
    <w:rsid w:val="00FC3D8C"/>
    <w:rsid w:val="00FC4CC9"/>
    <w:rsid w:val="00FC4F86"/>
    <w:rsid w:val="00FC5168"/>
    <w:rsid w:val="00FC5227"/>
    <w:rsid w:val="00FC545E"/>
    <w:rsid w:val="00FC76E7"/>
    <w:rsid w:val="00FC7D07"/>
    <w:rsid w:val="00FD0604"/>
    <w:rsid w:val="00FD0BEF"/>
    <w:rsid w:val="00FD0F90"/>
    <w:rsid w:val="00FD11B0"/>
    <w:rsid w:val="00FD1CFC"/>
    <w:rsid w:val="00FD1ED2"/>
    <w:rsid w:val="00FD31CB"/>
    <w:rsid w:val="00FD3273"/>
    <w:rsid w:val="00FD40D8"/>
    <w:rsid w:val="00FD49CC"/>
    <w:rsid w:val="00FD64C8"/>
    <w:rsid w:val="00FD68E1"/>
    <w:rsid w:val="00FD6D4B"/>
    <w:rsid w:val="00FD6F66"/>
    <w:rsid w:val="00FD741A"/>
    <w:rsid w:val="00FD74D6"/>
    <w:rsid w:val="00FD74E1"/>
    <w:rsid w:val="00FD7617"/>
    <w:rsid w:val="00FD78A0"/>
    <w:rsid w:val="00FE127D"/>
    <w:rsid w:val="00FE166E"/>
    <w:rsid w:val="00FE1A95"/>
    <w:rsid w:val="00FE30BA"/>
    <w:rsid w:val="00FE3F1F"/>
    <w:rsid w:val="00FE40F9"/>
    <w:rsid w:val="00FE47CA"/>
    <w:rsid w:val="00FE4871"/>
    <w:rsid w:val="00FE5D16"/>
    <w:rsid w:val="00FE6416"/>
    <w:rsid w:val="00FE643D"/>
    <w:rsid w:val="00FE73EC"/>
    <w:rsid w:val="00FF06AD"/>
    <w:rsid w:val="00FF0856"/>
    <w:rsid w:val="00FF0E23"/>
    <w:rsid w:val="00FF0F06"/>
    <w:rsid w:val="00FF17A2"/>
    <w:rsid w:val="00FF17C0"/>
    <w:rsid w:val="00FF2229"/>
    <w:rsid w:val="00FF22F5"/>
    <w:rsid w:val="00FF24F8"/>
    <w:rsid w:val="00FF2C39"/>
    <w:rsid w:val="00FF30C0"/>
    <w:rsid w:val="00FF3309"/>
    <w:rsid w:val="00FF3800"/>
    <w:rsid w:val="00FF3BA3"/>
    <w:rsid w:val="00FF3F65"/>
    <w:rsid w:val="00FF400E"/>
    <w:rsid w:val="00FF473C"/>
    <w:rsid w:val="00FF4BDB"/>
    <w:rsid w:val="00FF6333"/>
    <w:rsid w:val="00FF6A1B"/>
    <w:rsid w:val="00FF7D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02E556"/>
  <w15:docId w15:val="{395C8933-A119-4B86-A4FE-6E8F6FD3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5665"/>
    <w:rPr>
      <w:sz w:val="26"/>
      <w:lang w:eastAsia="en-US"/>
    </w:rPr>
  </w:style>
  <w:style w:type="paragraph" w:styleId="Heading1">
    <w:name w:val="heading 1"/>
    <w:basedOn w:val="Normal"/>
    <w:next w:val="Normal"/>
    <w:link w:val="Heading1Char"/>
    <w:qFormat/>
    <w:rsid w:val="00907280"/>
    <w:pPr>
      <w:keepNext/>
      <w:keepLines/>
      <w:numPr>
        <w:numId w:val="4"/>
      </w:numPr>
      <w:spacing w:before="240" w:after="120"/>
      <w:ind w:left="0" w:firstLine="0"/>
      <w:outlineLvl w:val="0"/>
    </w:pPr>
    <w:rPr>
      <w:rFonts w:ascii="Times" w:eastAsiaTheme="majorEastAsia" w:hAnsi="Times" w:cstheme="majorBidi"/>
      <w:b/>
      <w:bCs/>
      <w:color w:val="365F91" w:themeColor="accent1" w:themeShade="BF"/>
      <w:sz w:val="24"/>
      <w:szCs w:val="28"/>
    </w:rPr>
  </w:style>
  <w:style w:type="paragraph" w:styleId="Heading2">
    <w:name w:val="heading 2"/>
    <w:basedOn w:val="Normal"/>
    <w:next w:val="Normal"/>
    <w:link w:val="Heading2Char"/>
    <w:unhideWhenUsed/>
    <w:qFormat/>
    <w:rsid w:val="00907280"/>
    <w:pPr>
      <w:keepNext/>
      <w:keepLines/>
      <w:spacing w:before="120" w:after="120"/>
      <w:outlineLvl w:val="1"/>
    </w:pPr>
    <w:rPr>
      <w:rFonts w:ascii="Times" w:eastAsiaTheme="majorEastAsia" w:hAnsi="Times" w:cstheme="majorBidi"/>
      <w:color w:val="365F91" w:themeColor="accent1" w:themeShade="BF"/>
      <w:sz w:val="24"/>
      <w:szCs w:val="26"/>
    </w:rPr>
  </w:style>
  <w:style w:type="paragraph" w:styleId="Heading3">
    <w:name w:val="heading 3"/>
    <w:basedOn w:val="Normal"/>
    <w:next w:val="Normal"/>
    <w:link w:val="Heading3Char"/>
    <w:unhideWhenUsed/>
    <w:qFormat/>
    <w:rsid w:val="003D566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6B54"/>
    <w:pPr>
      <w:tabs>
        <w:tab w:val="center" w:pos="4153"/>
        <w:tab w:val="right" w:pos="8306"/>
      </w:tabs>
    </w:pPr>
  </w:style>
  <w:style w:type="paragraph" w:styleId="Footer">
    <w:name w:val="footer"/>
    <w:basedOn w:val="Normal"/>
    <w:link w:val="FooterChar"/>
    <w:uiPriority w:val="99"/>
    <w:rsid w:val="00B26B54"/>
    <w:pPr>
      <w:tabs>
        <w:tab w:val="center" w:pos="4153"/>
        <w:tab w:val="right" w:pos="8306"/>
      </w:tabs>
    </w:pPr>
  </w:style>
  <w:style w:type="paragraph" w:styleId="Subtitle">
    <w:name w:val="Subtitle"/>
    <w:basedOn w:val="Normal"/>
    <w:next w:val="Normal"/>
    <w:link w:val="SubtitleChar"/>
    <w:qFormat/>
    <w:rsid w:val="003D5665"/>
    <w:pPr>
      <w:keepNext/>
      <w:keepLines/>
      <w:widowControl w:val="0"/>
      <w:suppressAutoHyphens/>
      <w:spacing w:before="600" w:after="600"/>
      <w:ind w:right="4820"/>
    </w:pPr>
    <w:rPr>
      <w:b/>
      <w:sz w:val="24"/>
    </w:rPr>
  </w:style>
  <w:style w:type="paragraph" w:styleId="BodyText">
    <w:name w:val="Body Text"/>
    <w:basedOn w:val="Normal"/>
    <w:rsid w:val="00B26B54"/>
    <w:pPr>
      <w:widowControl w:val="0"/>
      <w:spacing w:before="60" w:after="60"/>
    </w:pPr>
    <w:rPr>
      <w:sz w:val="20"/>
    </w:rPr>
  </w:style>
  <w:style w:type="character" w:customStyle="1" w:styleId="Heading1Char">
    <w:name w:val="Heading 1 Char"/>
    <w:basedOn w:val="DefaultParagraphFont"/>
    <w:link w:val="Heading1"/>
    <w:rsid w:val="00907280"/>
    <w:rPr>
      <w:rFonts w:ascii="Times" w:eastAsiaTheme="majorEastAsia" w:hAnsi="Times" w:cstheme="majorBidi"/>
      <w:b/>
      <w:bCs/>
      <w:color w:val="365F91" w:themeColor="accent1" w:themeShade="BF"/>
      <w:szCs w:val="28"/>
      <w:lang w:eastAsia="en-US"/>
    </w:rPr>
  </w:style>
  <w:style w:type="character" w:customStyle="1" w:styleId="Heading3Char">
    <w:name w:val="Heading 3 Char"/>
    <w:basedOn w:val="DefaultParagraphFont"/>
    <w:link w:val="Heading3"/>
    <w:rsid w:val="003D5665"/>
    <w:rPr>
      <w:rFonts w:asciiTheme="majorHAnsi" w:eastAsiaTheme="majorEastAsia" w:hAnsiTheme="majorHAnsi" w:cstheme="majorBidi"/>
      <w:b/>
      <w:bCs/>
      <w:color w:val="4F81BD" w:themeColor="accent1"/>
      <w:sz w:val="26"/>
      <w:lang w:eastAsia="en-US"/>
    </w:rPr>
  </w:style>
  <w:style w:type="character" w:customStyle="1" w:styleId="SubtitleChar">
    <w:name w:val="Subtitle Char"/>
    <w:basedOn w:val="DefaultParagraphFont"/>
    <w:link w:val="Subtitle"/>
    <w:rsid w:val="003D5665"/>
    <w:rPr>
      <w:b/>
      <w:lang w:eastAsia="en-US"/>
    </w:rPr>
  </w:style>
  <w:style w:type="character" w:styleId="Strong">
    <w:name w:val="Strong"/>
    <w:basedOn w:val="DefaultParagraphFont"/>
    <w:uiPriority w:val="22"/>
    <w:qFormat/>
    <w:rsid w:val="003D5665"/>
    <w:rPr>
      <w:b/>
      <w:bCs/>
    </w:rPr>
  </w:style>
  <w:style w:type="character" w:styleId="Emphasis">
    <w:name w:val="Emphasis"/>
    <w:basedOn w:val="DefaultParagraphFont"/>
    <w:qFormat/>
    <w:rsid w:val="003D5665"/>
    <w:rPr>
      <w:i/>
      <w:iCs/>
    </w:rPr>
  </w:style>
  <w:style w:type="paragraph" w:styleId="ListParagraph">
    <w:name w:val="List Paragraph"/>
    <w:aliases w:val="H&amp;P List Paragraph,Strip,Colorful List - Accent 12,2,Normal bullet 2,Bullet list,Syle 1,PPS_Bullet,Saistīto dokumentu saraksts,Numurets,Table of contents numbered,Citation List,Virsraksti,List Paragraph1,Bullet EY,ERP-List Paragraph,LP1."/>
    <w:basedOn w:val="Normal"/>
    <w:link w:val="ListParagraphChar"/>
    <w:uiPriority w:val="34"/>
    <w:qFormat/>
    <w:rsid w:val="003D5665"/>
    <w:pPr>
      <w:ind w:left="720"/>
      <w:contextualSpacing/>
    </w:pPr>
  </w:style>
  <w:style w:type="character" w:customStyle="1" w:styleId="FooterChar">
    <w:name w:val="Footer Char"/>
    <w:basedOn w:val="DefaultParagraphFont"/>
    <w:link w:val="Footer"/>
    <w:uiPriority w:val="99"/>
    <w:rsid w:val="001C4040"/>
    <w:rPr>
      <w:sz w:val="26"/>
      <w:lang w:eastAsia="en-US"/>
    </w:rPr>
  </w:style>
  <w:style w:type="paragraph" w:styleId="BalloonText">
    <w:name w:val="Balloon Text"/>
    <w:basedOn w:val="Normal"/>
    <w:link w:val="BalloonTextChar"/>
    <w:rsid w:val="00867091"/>
    <w:rPr>
      <w:rFonts w:ascii="Tahoma" w:hAnsi="Tahoma" w:cs="Tahoma"/>
      <w:sz w:val="16"/>
      <w:szCs w:val="16"/>
    </w:rPr>
  </w:style>
  <w:style w:type="character" w:customStyle="1" w:styleId="BalloonTextChar">
    <w:name w:val="Balloon Text Char"/>
    <w:basedOn w:val="DefaultParagraphFont"/>
    <w:link w:val="BalloonText"/>
    <w:rsid w:val="00867091"/>
    <w:rPr>
      <w:rFonts w:ascii="Tahoma" w:hAnsi="Tahoma" w:cs="Tahoma"/>
      <w:sz w:val="16"/>
      <w:szCs w:val="16"/>
      <w:lang w:eastAsia="en-US"/>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qFormat/>
    <w:rsid w:val="00B1137A"/>
    <w:rPr>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B1137A"/>
    <w:rPr>
      <w:sz w:val="20"/>
      <w:szCs w:val="20"/>
      <w:lang w:eastAsia="en-US"/>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qFormat/>
    <w:rsid w:val="00B1137A"/>
    <w:rPr>
      <w:vertAlign w:val="superscript"/>
    </w:rPr>
  </w:style>
  <w:style w:type="character" w:styleId="Hyperlink">
    <w:name w:val="Hyperlink"/>
    <w:basedOn w:val="DefaultParagraphFont"/>
    <w:rsid w:val="009D15BA"/>
    <w:rPr>
      <w:color w:val="0000FF" w:themeColor="hyperlink"/>
      <w:u w:val="single"/>
    </w:rPr>
  </w:style>
  <w:style w:type="character" w:customStyle="1" w:styleId="HeaderChar">
    <w:name w:val="Header Char"/>
    <w:basedOn w:val="DefaultParagraphFont"/>
    <w:link w:val="Header"/>
    <w:uiPriority w:val="99"/>
    <w:rsid w:val="001D08EC"/>
    <w:rPr>
      <w:sz w:val="26"/>
      <w:lang w:eastAsia="en-US"/>
    </w:rPr>
  </w:style>
  <w:style w:type="table" w:styleId="TableGrid">
    <w:name w:val="Table Grid"/>
    <w:basedOn w:val="TableNormal"/>
    <w:rsid w:val="00C054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AF2F29"/>
    <w:rPr>
      <w:sz w:val="16"/>
      <w:szCs w:val="16"/>
    </w:rPr>
  </w:style>
  <w:style w:type="paragraph" w:styleId="CommentText">
    <w:name w:val="annotation text"/>
    <w:basedOn w:val="Normal"/>
    <w:link w:val="CommentTextChar"/>
    <w:uiPriority w:val="99"/>
    <w:unhideWhenUsed/>
    <w:rsid w:val="00AF2F29"/>
    <w:rPr>
      <w:sz w:val="20"/>
      <w:szCs w:val="20"/>
    </w:rPr>
  </w:style>
  <w:style w:type="character" w:customStyle="1" w:styleId="CommentTextChar">
    <w:name w:val="Comment Text Char"/>
    <w:basedOn w:val="DefaultParagraphFont"/>
    <w:link w:val="CommentText"/>
    <w:uiPriority w:val="99"/>
    <w:rsid w:val="00AF2F29"/>
    <w:rPr>
      <w:sz w:val="20"/>
      <w:szCs w:val="20"/>
      <w:lang w:eastAsia="en-US"/>
    </w:rPr>
  </w:style>
  <w:style w:type="paragraph" w:styleId="CommentSubject">
    <w:name w:val="annotation subject"/>
    <w:basedOn w:val="CommentText"/>
    <w:next w:val="CommentText"/>
    <w:link w:val="CommentSubjectChar"/>
    <w:semiHidden/>
    <w:unhideWhenUsed/>
    <w:rsid w:val="00AF2F29"/>
    <w:rPr>
      <w:b/>
      <w:bCs/>
    </w:rPr>
  </w:style>
  <w:style w:type="character" w:customStyle="1" w:styleId="CommentSubjectChar">
    <w:name w:val="Comment Subject Char"/>
    <w:basedOn w:val="CommentTextChar"/>
    <w:link w:val="CommentSubject"/>
    <w:semiHidden/>
    <w:rsid w:val="00AF2F29"/>
    <w:rPr>
      <w:b/>
      <w:bCs/>
      <w:sz w:val="20"/>
      <w:szCs w:val="20"/>
      <w:lang w:eastAsia="en-US"/>
    </w:rPr>
  </w:style>
  <w:style w:type="paragraph" w:customStyle="1" w:styleId="Default">
    <w:name w:val="Default"/>
    <w:rsid w:val="001B0AD3"/>
    <w:pPr>
      <w:autoSpaceDE w:val="0"/>
      <w:autoSpaceDN w:val="0"/>
      <w:adjustRightInd w:val="0"/>
    </w:pPr>
    <w:rPr>
      <w:color w:val="000000"/>
    </w:rPr>
  </w:style>
  <w:style w:type="character" w:customStyle="1" w:styleId="cf01">
    <w:name w:val="cf01"/>
    <w:basedOn w:val="DefaultParagraphFont"/>
    <w:rsid w:val="00BC2894"/>
    <w:rPr>
      <w:rFonts w:ascii="Segoe UI" w:hAnsi="Segoe UI" w:cs="Segoe UI" w:hint="default"/>
      <w:sz w:val="18"/>
      <w:szCs w:val="18"/>
    </w:rPr>
  </w:style>
  <w:style w:type="character" w:styleId="UnresolvedMention">
    <w:name w:val="Unresolved Mention"/>
    <w:basedOn w:val="DefaultParagraphFont"/>
    <w:uiPriority w:val="99"/>
    <w:semiHidden/>
    <w:unhideWhenUsed/>
    <w:rsid w:val="004F5192"/>
    <w:rPr>
      <w:color w:val="605E5C"/>
      <w:shd w:val="clear" w:color="auto" w:fill="E1DFDD"/>
    </w:rPr>
  </w:style>
  <w:style w:type="paragraph" w:styleId="Revision">
    <w:name w:val="Revision"/>
    <w:hidden/>
    <w:uiPriority w:val="99"/>
    <w:semiHidden/>
    <w:rsid w:val="004C0A8A"/>
    <w:rPr>
      <w:sz w:val="26"/>
      <w:lang w:eastAsia="en-US"/>
    </w:rPr>
  </w:style>
  <w:style w:type="paragraph" w:styleId="NormalWeb">
    <w:name w:val="Normal (Web)"/>
    <w:basedOn w:val="Normal"/>
    <w:uiPriority w:val="99"/>
    <w:unhideWhenUsed/>
    <w:rsid w:val="00D639CE"/>
    <w:pPr>
      <w:spacing w:before="100" w:beforeAutospacing="1" w:after="100" w:afterAutospacing="1"/>
    </w:pPr>
    <w:rPr>
      <w:sz w:val="24"/>
      <w:lang w:eastAsia="lv-LV"/>
    </w:rPr>
  </w:style>
  <w:style w:type="paragraph" w:customStyle="1" w:styleId="CharCharCharChar">
    <w:name w:val="Char Char Char Char"/>
    <w:aliases w:val="Char2"/>
    <w:basedOn w:val="Normal"/>
    <w:next w:val="Normal"/>
    <w:link w:val="FootnoteReference"/>
    <w:uiPriority w:val="99"/>
    <w:qFormat/>
    <w:rsid w:val="00DC7694"/>
    <w:pPr>
      <w:spacing w:after="160" w:line="240" w:lineRule="exact"/>
      <w:ind w:left="567" w:hanging="499"/>
      <w:jc w:val="both"/>
    </w:pPr>
    <w:rPr>
      <w:sz w:val="24"/>
      <w:vertAlign w:val="superscript"/>
      <w:lang w:eastAsia="lv-LV"/>
    </w:rPr>
  </w:style>
  <w:style w:type="character" w:customStyle="1" w:styleId="Heading2Char">
    <w:name w:val="Heading 2 Char"/>
    <w:basedOn w:val="DefaultParagraphFont"/>
    <w:link w:val="Heading2"/>
    <w:rsid w:val="00907280"/>
    <w:rPr>
      <w:rFonts w:ascii="Times" w:eastAsiaTheme="majorEastAsia" w:hAnsi="Times" w:cstheme="majorBidi"/>
      <w:color w:val="365F91" w:themeColor="accent1" w:themeShade="BF"/>
      <w:szCs w:val="26"/>
      <w:lang w:eastAsia="en-US"/>
    </w:rPr>
  </w:style>
  <w:style w:type="character" w:customStyle="1" w:styleId="ListParagraphChar">
    <w:name w:val="List Paragraph Char"/>
    <w:aliases w:val="H&amp;P List Paragraph Char,Strip Char,Colorful List - Accent 12 Char,2 Char,Normal bullet 2 Char,Bullet list Char,Syle 1 Char,PPS_Bullet Char,Saistīto dokumentu saraksts Char,Numurets Char,Table of contents numbered Char,Virsraksti Char"/>
    <w:link w:val="ListParagraph"/>
    <w:qFormat/>
    <w:rsid w:val="00736EED"/>
    <w:rPr>
      <w:sz w:val="26"/>
      <w:lang w:eastAsia="en-US"/>
    </w:rPr>
  </w:style>
  <w:style w:type="paragraph" w:styleId="Caption">
    <w:name w:val="caption"/>
    <w:basedOn w:val="Normal"/>
    <w:next w:val="Normal"/>
    <w:uiPriority w:val="35"/>
    <w:unhideWhenUsed/>
    <w:qFormat/>
    <w:rsid w:val="003430FE"/>
    <w:pPr>
      <w:spacing w:before="120" w:after="120"/>
      <w:ind w:firstLine="720"/>
      <w:jc w:val="both"/>
    </w:pPr>
    <w:rPr>
      <w:rFonts w:asciiTheme="minorHAnsi" w:eastAsiaTheme="minorHAnsi" w:hAnsiTheme="minorHAnsi" w:cstheme="minorBidi"/>
      <w:i/>
      <w:iCs/>
      <w:color w:val="000000" w:themeColor="text1"/>
      <w:sz w:val="18"/>
      <w:szCs w:val="18"/>
    </w:rPr>
  </w:style>
  <w:style w:type="table" w:styleId="GridTable6Colorful">
    <w:name w:val="Grid Table 6 Colorful"/>
    <w:basedOn w:val="TableNormal"/>
    <w:uiPriority w:val="51"/>
    <w:rsid w:val="004808F4"/>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3">
    <w:name w:val="Grid Table 6 Colorful Accent 3"/>
    <w:basedOn w:val="TableNormal"/>
    <w:uiPriority w:val="51"/>
    <w:rsid w:val="004808F4"/>
    <w:rPr>
      <w:rFonts w:asciiTheme="minorHAnsi" w:eastAsiaTheme="minorHAnsi" w:hAnsiTheme="minorHAnsi" w:cstheme="minorBidi"/>
      <w:color w:val="76923C" w:themeColor="accent3" w:themeShade="BF"/>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normaltextrun">
    <w:name w:val="normaltextrun"/>
    <w:basedOn w:val="DefaultParagraphFont"/>
    <w:rsid w:val="001E78A7"/>
  </w:style>
  <w:style w:type="character" w:customStyle="1" w:styleId="eop">
    <w:name w:val="eop"/>
    <w:basedOn w:val="DefaultParagraphFont"/>
    <w:rsid w:val="001E78A7"/>
  </w:style>
  <w:style w:type="paragraph" w:styleId="EndnoteText">
    <w:name w:val="endnote text"/>
    <w:basedOn w:val="Normal"/>
    <w:link w:val="EndnoteTextChar"/>
    <w:semiHidden/>
    <w:unhideWhenUsed/>
    <w:rsid w:val="000F2CE6"/>
    <w:rPr>
      <w:sz w:val="20"/>
      <w:szCs w:val="20"/>
    </w:rPr>
  </w:style>
  <w:style w:type="character" w:customStyle="1" w:styleId="EndnoteTextChar">
    <w:name w:val="Endnote Text Char"/>
    <w:basedOn w:val="DefaultParagraphFont"/>
    <w:link w:val="EndnoteText"/>
    <w:semiHidden/>
    <w:rsid w:val="000F2CE6"/>
    <w:rPr>
      <w:sz w:val="20"/>
      <w:szCs w:val="20"/>
      <w:lang w:eastAsia="en-US"/>
    </w:rPr>
  </w:style>
  <w:style w:type="character" w:styleId="EndnoteReference">
    <w:name w:val="endnote reference"/>
    <w:basedOn w:val="DefaultParagraphFont"/>
    <w:semiHidden/>
    <w:unhideWhenUsed/>
    <w:rsid w:val="000F2C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630814">
      <w:bodyDiv w:val="1"/>
      <w:marLeft w:val="0"/>
      <w:marRight w:val="0"/>
      <w:marTop w:val="0"/>
      <w:marBottom w:val="0"/>
      <w:divBdr>
        <w:top w:val="none" w:sz="0" w:space="0" w:color="auto"/>
        <w:left w:val="none" w:sz="0" w:space="0" w:color="auto"/>
        <w:bottom w:val="none" w:sz="0" w:space="0" w:color="auto"/>
        <w:right w:val="none" w:sz="0" w:space="0" w:color="auto"/>
      </w:divBdr>
    </w:div>
    <w:div w:id="503670710">
      <w:bodyDiv w:val="1"/>
      <w:marLeft w:val="0"/>
      <w:marRight w:val="0"/>
      <w:marTop w:val="0"/>
      <w:marBottom w:val="0"/>
      <w:divBdr>
        <w:top w:val="none" w:sz="0" w:space="0" w:color="auto"/>
        <w:left w:val="none" w:sz="0" w:space="0" w:color="auto"/>
        <w:bottom w:val="none" w:sz="0" w:space="0" w:color="auto"/>
        <w:right w:val="none" w:sz="0" w:space="0" w:color="auto"/>
      </w:divBdr>
    </w:div>
    <w:div w:id="506359873">
      <w:bodyDiv w:val="1"/>
      <w:marLeft w:val="0"/>
      <w:marRight w:val="0"/>
      <w:marTop w:val="0"/>
      <w:marBottom w:val="0"/>
      <w:divBdr>
        <w:top w:val="none" w:sz="0" w:space="0" w:color="auto"/>
        <w:left w:val="none" w:sz="0" w:space="0" w:color="auto"/>
        <w:bottom w:val="none" w:sz="0" w:space="0" w:color="auto"/>
        <w:right w:val="none" w:sz="0" w:space="0" w:color="auto"/>
      </w:divBdr>
      <w:divsChild>
        <w:div w:id="1625849246">
          <w:marLeft w:val="0"/>
          <w:marRight w:val="0"/>
          <w:marTop w:val="0"/>
          <w:marBottom w:val="0"/>
          <w:divBdr>
            <w:top w:val="none" w:sz="0" w:space="0" w:color="auto"/>
            <w:left w:val="none" w:sz="0" w:space="0" w:color="auto"/>
            <w:bottom w:val="none" w:sz="0" w:space="0" w:color="auto"/>
            <w:right w:val="none" w:sz="0" w:space="0" w:color="auto"/>
          </w:divBdr>
        </w:div>
        <w:div w:id="1219166909">
          <w:marLeft w:val="0"/>
          <w:marRight w:val="0"/>
          <w:marTop w:val="0"/>
          <w:marBottom w:val="0"/>
          <w:divBdr>
            <w:top w:val="none" w:sz="0" w:space="0" w:color="auto"/>
            <w:left w:val="none" w:sz="0" w:space="0" w:color="auto"/>
            <w:bottom w:val="none" w:sz="0" w:space="0" w:color="auto"/>
            <w:right w:val="none" w:sz="0" w:space="0" w:color="auto"/>
          </w:divBdr>
        </w:div>
      </w:divsChild>
    </w:div>
    <w:div w:id="568031802">
      <w:bodyDiv w:val="1"/>
      <w:marLeft w:val="0"/>
      <w:marRight w:val="0"/>
      <w:marTop w:val="0"/>
      <w:marBottom w:val="0"/>
      <w:divBdr>
        <w:top w:val="none" w:sz="0" w:space="0" w:color="auto"/>
        <w:left w:val="none" w:sz="0" w:space="0" w:color="auto"/>
        <w:bottom w:val="none" w:sz="0" w:space="0" w:color="auto"/>
        <w:right w:val="none" w:sz="0" w:space="0" w:color="auto"/>
      </w:divBdr>
    </w:div>
    <w:div w:id="1579290446">
      <w:bodyDiv w:val="1"/>
      <w:marLeft w:val="0"/>
      <w:marRight w:val="0"/>
      <w:marTop w:val="0"/>
      <w:marBottom w:val="0"/>
      <w:divBdr>
        <w:top w:val="none" w:sz="0" w:space="0" w:color="auto"/>
        <w:left w:val="none" w:sz="0" w:space="0" w:color="auto"/>
        <w:bottom w:val="none" w:sz="0" w:space="0" w:color="auto"/>
        <w:right w:val="none" w:sz="0" w:space="0" w:color="auto"/>
      </w:divBdr>
      <w:divsChild>
        <w:div w:id="886257394">
          <w:marLeft w:val="0"/>
          <w:marRight w:val="0"/>
          <w:marTop w:val="15"/>
          <w:marBottom w:val="0"/>
          <w:divBdr>
            <w:top w:val="single" w:sz="48" w:space="0" w:color="auto"/>
            <w:left w:val="single" w:sz="48" w:space="0" w:color="auto"/>
            <w:bottom w:val="single" w:sz="48" w:space="0" w:color="auto"/>
            <w:right w:val="single" w:sz="48" w:space="0" w:color="auto"/>
          </w:divBdr>
          <w:divsChild>
            <w:div w:id="973947196">
              <w:marLeft w:val="0"/>
              <w:marRight w:val="0"/>
              <w:marTop w:val="0"/>
              <w:marBottom w:val="0"/>
              <w:divBdr>
                <w:top w:val="none" w:sz="0" w:space="0" w:color="auto"/>
                <w:left w:val="none" w:sz="0" w:space="0" w:color="auto"/>
                <w:bottom w:val="none" w:sz="0" w:space="0" w:color="auto"/>
                <w:right w:val="none" w:sz="0" w:space="0" w:color="auto"/>
              </w:divBdr>
              <w:divsChild>
                <w:div w:id="962223820">
                  <w:marLeft w:val="0"/>
                  <w:marRight w:val="0"/>
                  <w:marTop w:val="0"/>
                  <w:marBottom w:val="0"/>
                  <w:divBdr>
                    <w:top w:val="none" w:sz="0" w:space="0" w:color="auto"/>
                    <w:left w:val="none" w:sz="0" w:space="0" w:color="auto"/>
                    <w:bottom w:val="none" w:sz="0" w:space="0" w:color="auto"/>
                    <w:right w:val="none" w:sz="0" w:space="0" w:color="auto"/>
                  </w:divBdr>
                </w:div>
                <w:div w:id="1382628337">
                  <w:marLeft w:val="0"/>
                  <w:marRight w:val="0"/>
                  <w:marTop w:val="0"/>
                  <w:marBottom w:val="0"/>
                  <w:divBdr>
                    <w:top w:val="none" w:sz="0" w:space="0" w:color="auto"/>
                    <w:left w:val="none" w:sz="0" w:space="0" w:color="auto"/>
                    <w:bottom w:val="none" w:sz="0" w:space="0" w:color="auto"/>
                    <w:right w:val="none" w:sz="0" w:space="0" w:color="auto"/>
                  </w:divBdr>
                </w:div>
                <w:div w:id="536086845">
                  <w:marLeft w:val="0"/>
                  <w:marRight w:val="0"/>
                  <w:marTop w:val="0"/>
                  <w:marBottom w:val="0"/>
                  <w:divBdr>
                    <w:top w:val="none" w:sz="0" w:space="0" w:color="auto"/>
                    <w:left w:val="none" w:sz="0" w:space="0" w:color="auto"/>
                    <w:bottom w:val="none" w:sz="0" w:space="0" w:color="auto"/>
                    <w:right w:val="none" w:sz="0" w:space="0" w:color="auto"/>
                  </w:divBdr>
                </w:div>
                <w:div w:id="2003971225">
                  <w:marLeft w:val="0"/>
                  <w:marRight w:val="0"/>
                  <w:marTop w:val="0"/>
                  <w:marBottom w:val="0"/>
                  <w:divBdr>
                    <w:top w:val="none" w:sz="0" w:space="0" w:color="auto"/>
                    <w:left w:val="none" w:sz="0" w:space="0" w:color="auto"/>
                    <w:bottom w:val="none" w:sz="0" w:space="0" w:color="auto"/>
                    <w:right w:val="none" w:sz="0" w:space="0" w:color="auto"/>
                  </w:divBdr>
                </w:div>
                <w:div w:id="2054697839">
                  <w:marLeft w:val="0"/>
                  <w:marRight w:val="0"/>
                  <w:marTop w:val="0"/>
                  <w:marBottom w:val="0"/>
                  <w:divBdr>
                    <w:top w:val="none" w:sz="0" w:space="0" w:color="auto"/>
                    <w:left w:val="none" w:sz="0" w:space="0" w:color="auto"/>
                    <w:bottom w:val="none" w:sz="0" w:space="0" w:color="auto"/>
                    <w:right w:val="none" w:sz="0" w:space="0" w:color="auto"/>
                  </w:divBdr>
                </w:div>
                <w:div w:id="1332367515">
                  <w:marLeft w:val="0"/>
                  <w:marRight w:val="0"/>
                  <w:marTop w:val="0"/>
                  <w:marBottom w:val="0"/>
                  <w:divBdr>
                    <w:top w:val="none" w:sz="0" w:space="0" w:color="auto"/>
                    <w:left w:val="none" w:sz="0" w:space="0" w:color="auto"/>
                    <w:bottom w:val="none" w:sz="0" w:space="0" w:color="auto"/>
                    <w:right w:val="none" w:sz="0" w:space="0" w:color="auto"/>
                  </w:divBdr>
                </w:div>
                <w:div w:id="1705792036">
                  <w:marLeft w:val="0"/>
                  <w:marRight w:val="0"/>
                  <w:marTop w:val="0"/>
                  <w:marBottom w:val="0"/>
                  <w:divBdr>
                    <w:top w:val="none" w:sz="0" w:space="0" w:color="auto"/>
                    <w:left w:val="none" w:sz="0" w:space="0" w:color="auto"/>
                    <w:bottom w:val="none" w:sz="0" w:space="0" w:color="auto"/>
                    <w:right w:val="none" w:sz="0" w:space="0" w:color="auto"/>
                  </w:divBdr>
                </w:div>
                <w:div w:id="1193153684">
                  <w:marLeft w:val="0"/>
                  <w:marRight w:val="0"/>
                  <w:marTop w:val="0"/>
                  <w:marBottom w:val="0"/>
                  <w:divBdr>
                    <w:top w:val="none" w:sz="0" w:space="0" w:color="auto"/>
                    <w:left w:val="none" w:sz="0" w:space="0" w:color="auto"/>
                    <w:bottom w:val="none" w:sz="0" w:space="0" w:color="auto"/>
                    <w:right w:val="none" w:sz="0" w:space="0" w:color="auto"/>
                  </w:divBdr>
                </w:div>
                <w:div w:id="1855610861">
                  <w:marLeft w:val="0"/>
                  <w:marRight w:val="0"/>
                  <w:marTop w:val="0"/>
                  <w:marBottom w:val="0"/>
                  <w:divBdr>
                    <w:top w:val="none" w:sz="0" w:space="0" w:color="auto"/>
                    <w:left w:val="none" w:sz="0" w:space="0" w:color="auto"/>
                    <w:bottom w:val="none" w:sz="0" w:space="0" w:color="auto"/>
                    <w:right w:val="none" w:sz="0" w:space="0" w:color="auto"/>
                  </w:divBdr>
                </w:div>
                <w:div w:id="756486595">
                  <w:marLeft w:val="0"/>
                  <w:marRight w:val="0"/>
                  <w:marTop w:val="0"/>
                  <w:marBottom w:val="0"/>
                  <w:divBdr>
                    <w:top w:val="none" w:sz="0" w:space="0" w:color="auto"/>
                    <w:left w:val="none" w:sz="0" w:space="0" w:color="auto"/>
                    <w:bottom w:val="none" w:sz="0" w:space="0" w:color="auto"/>
                    <w:right w:val="none" w:sz="0" w:space="0" w:color="auto"/>
                  </w:divBdr>
                </w:div>
                <w:div w:id="1936745749">
                  <w:marLeft w:val="0"/>
                  <w:marRight w:val="0"/>
                  <w:marTop w:val="0"/>
                  <w:marBottom w:val="0"/>
                  <w:divBdr>
                    <w:top w:val="none" w:sz="0" w:space="0" w:color="auto"/>
                    <w:left w:val="none" w:sz="0" w:space="0" w:color="auto"/>
                    <w:bottom w:val="none" w:sz="0" w:space="0" w:color="auto"/>
                    <w:right w:val="none" w:sz="0" w:space="0" w:color="auto"/>
                  </w:divBdr>
                </w:div>
                <w:div w:id="123819877">
                  <w:marLeft w:val="0"/>
                  <w:marRight w:val="0"/>
                  <w:marTop w:val="0"/>
                  <w:marBottom w:val="0"/>
                  <w:divBdr>
                    <w:top w:val="none" w:sz="0" w:space="0" w:color="auto"/>
                    <w:left w:val="none" w:sz="0" w:space="0" w:color="auto"/>
                    <w:bottom w:val="none" w:sz="0" w:space="0" w:color="auto"/>
                    <w:right w:val="none" w:sz="0" w:space="0" w:color="auto"/>
                  </w:divBdr>
                </w:div>
                <w:div w:id="1427313324">
                  <w:marLeft w:val="0"/>
                  <w:marRight w:val="0"/>
                  <w:marTop w:val="0"/>
                  <w:marBottom w:val="0"/>
                  <w:divBdr>
                    <w:top w:val="none" w:sz="0" w:space="0" w:color="auto"/>
                    <w:left w:val="none" w:sz="0" w:space="0" w:color="auto"/>
                    <w:bottom w:val="none" w:sz="0" w:space="0" w:color="auto"/>
                    <w:right w:val="none" w:sz="0" w:space="0" w:color="auto"/>
                  </w:divBdr>
                </w:div>
                <w:div w:id="1350839213">
                  <w:marLeft w:val="0"/>
                  <w:marRight w:val="0"/>
                  <w:marTop w:val="0"/>
                  <w:marBottom w:val="0"/>
                  <w:divBdr>
                    <w:top w:val="none" w:sz="0" w:space="0" w:color="auto"/>
                    <w:left w:val="none" w:sz="0" w:space="0" w:color="auto"/>
                    <w:bottom w:val="none" w:sz="0" w:space="0" w:color="auto"/>
                    <w:right w:val="none" w:sz="0" w:space="0" w:color="auto"/>
                  </w:divBdr>
                </w:div>
                <w:div w:id="828130738">
                  <w:marLeft w:val="0"/>
                  <w:marRight w:val="0"/>
                  <w:marTop w:val="0"/>
                  <w:marBottom w:val="0"/>
                  <w:divBdr>
                    <w:top w:val="none" w:sz="0" w:space="0" w:color="auto"/>
                    <w:left w:val="none" w:sz="0" w:space="0" w:color="auto"/>
                    <w:bottom w:val="none" w:sz="0" w:space="0" w:color="auto"/>
                    <w:right w:val="none" w:sz="0" w:space="0" w:color="auto"/>
                  </w:divBdr>
                </w:div>
                <w:div w:id="1319461661">
                  <w:marLeft w:val="0"/>
                  <w:marRight w:val="0"/>
                  <w:marTop w:val="0"/>
                  <w:marBottom w:val="0"/>
                  <w:divBdr>
                    <w:top w:val="none" w:sz="0" w:space="0" w:color="auto"/>
                    <w:left w:val="none" w:sz="0" w:space="0" w:color="auto"/>
                    <w:bottom w:val="none" w:sz="0" w:space="0" w:color="auto"/>
                    <w:right w:val="none" w:sz="0" w:space="0" w:color="auto"/>
                  </w:divBdr>
                </w:div>
                <w:div w:id="93673743">
                  <w:marLeft w:val="0"/>
                  <w:marRight w:val="0"/>
                  <w:marTop w:val="0"/>
                  <w:marBottom w:val="0"/>
                  <w:divBdr>
                    <w:top w:val="none" w:sz="0" w:space="0" w:color="auto"/>
                    <w:left w:val="none" w:sz="0" w:space="0" w:color="auto"/>
                    <w:bottom w:val="none" w:sz="0" w:space="0" w:color="auto"/>
                    <w:right w:val="none" w:sz="0" w:space="0" w:color="auto"/>
                  </w:divBdr>
                </w:div>
                <w:div w:id="726034912">
                  <w:marLeft w:val="0"/>
                  <w:marRight w:val="0"/>
                  <w:marTop w:val="0"/>
                  <w:marBottom w:val="0"/>
                  <w:divBdr>
                    <w:top w:val="none" w:sz="0" w:space="0" w:color="auto"/>
                    <w:left w:val="none" w:sz="0" w:space="0" w:color="auto"/>
                    <w:bottom w:val="none" w:sz="0" w:space="0" w:color="auto"/>
                    <w:right w:val="none" w:sz="0" w:space="0" w:color="auto"/>
                  </w:divBdr>
                </w:div>
                <w:div w:id="1605766058">
                  <w:marLeft w:val="0"/>
                  <w:marRight w:val="0"/>
                  <w:marTop w:val="0"/>
                  <w:marBottom w:val="0"/>
                  <w:divBdr>
                    <w:top w:val="none" w:sz="0" w:space="0" w:color="auto"/>
                    <w:left w:val="none" w:sz="0" w:space="0" w:color="auto"/>
                    <w:bottom w:val="none" w:sz="0" w:space="0" w:color="auto"/>
                    <w:right w:val="none" w:sz="0" w:space="0" w:color="auto"/>
                  </w:divBdr>
                </w:div>
                <w:div w:id="1914122150">
                  <w:marLeft w:val="0"/>
                  <w:marRight w:val="0"/>
                  <w:marTop w:val="0"/>
                  <w:marBottom w:val="0"/>
                  <w:divBdr>
                    <w:top w:val="none" w:sz="0" w:space="0" w:color="auto"/>
                    <w:left w:val="none" w:sz="0" w:space="0" w:color="auto"/>
                    <w:bottom w:val="none" w:sz="0" w:space="0" w:color="auto"/>
                    <w:right w:val="none" w:sz="0" w:space="0" w:color="auto"/>
                  </w:divBdr>
                </w:div>
                <w:div w:id="159779533">
                  <w:marLeft w:val="0"/>
                  <w:marRight w:val="0"/>
                  <w:marTop w:val="0"/>
                  <w:marBottom w:val="0"/>
                  <w:divBdr>
                    <w:top w:val="none" w:sz="0" w:space="0" w:color="auto"/>
                    <w:left w:val="none" w:sz="0" w:space="0" w:color="auto"/>
                    <w:bottom w:val="none" w:sz="0" w:space="0" w:color="auto"/>
                    <w:right w:val="none" w:sz="0" w:space="0" w:color="auto"/>
                  </w:divBdr>
                </w:div>
                <w:div w:id="1441490114">
                  <w:marLeft w:val="0"/>
                  <w:marRight w:val="0"/>
                  <w:marTop w:val="0"/>
                  <w:marBottom w:val="0"/>
                  <w:divBdr>
                    <w:top w:val="none" w:sz="0" w:space="0" w:color="auto"/>
                    <w:left w:val="none" w:sz="0" w:space="0" w:color="auto"/>
                    <w:bottom w:val="none" w:sz="0" w:space="0" w:color="auto"/>
                    <w:right w:val="none" w:sz="0" w:space="0" w:color="auto"/>
                  </w:divBdr>
                </w:div>
                <w:div w:id="457575980">
                  <w:marLeft w:val="0"/>
                  <w:marRight w:val="0"/>
                  <w:marTop w:val="0"/>
                  <w:marBottom w:val="0"/>
                  <w:divBdr>
                    <w:top w:val="none" w:sz="0" w:space="0" w:color="auto"/>
                    <w:left w:val="none" w:sz="0" w:space="0" w:color="auto"/>
                    <w:bottom w:val="none" w:sz="0" w:space="0" w:color="auto"/>
                    <w:right w:val="none" w:sz="0" w:space="0" w:color="auto"/>
                  </w:divBdr>
                </w:div>
                <w:div w:id="1120412225">
                  <w:marLeft w:val="0"/>
                  <w:marRight w:val="0"/>
                  <w:marTop w:val="0"/>
                  <w:marBottom w:val="0"/>
                  <w:divBdr>
                    <w:top w:val="none" w:sz="0" w:space="0" w:color="auto"/>
                    <w:left w:val="none" w:sz="0" w:space="0" w:color="auto"/>
                    <w:bottom w:val="none" w:sz="0" w:space="0" w:color="auto"/>
                    <w:right w:val="none" w:sz="0" w:space="0" w:color="auto"/>
                  </w:divBdr>
                </w:div>
                <w:div w:id="693576559">
                  <w:marLeft w:val="0"/>
                  <w:marRight w:val="0"/>
                  <w:marTop w:val="0"/>
                  <w:marBottom w:val="0"/>
                  <w:divBdr>
                    <w:top w:val="none" w:sz="0" w:space="0" w:color="auto"/>
                    <w:left w:val="none" w:sz="0" w:space="0" w:color="auto"/>
                    <w:bottom w:val="none" w:sz="0" w:space="0" w:color="auto"/>
                    <w:right w:val="none" w:sz="0" w:space="0" w:color="auto"/>
                  </w:divBdr>
                </w:div>
                <w:div w:id="1890603948">
                  <w:marLeft w:val="0"/>
                  <w:marRight w:val="0"/>
                  <w:marTop w:val="0"/>
                  <w:marBottom w:val="0"/>
                  <w:divBdr>
                    <w:top w:val="none" w:sz="0" w:space="0" w:color="auto"/>
                    <w:left w:val="none" w:sz="0" w:space="0" w:color="auto"/>
                    <w:bottom w:val="none" w:sz="0" w:space="0" w:color="auto"/>
                    <w:right w:val="none" w:sz="0" w:space="0" w:color="auto"/>
                  </w:divBdr>
                </w:div>
                <w:div w:id="382603029">
                  <w:marLeft w:val="0"/>
                  <w:marRight w:val="0"/>
                  <w:marTop w:val="0"/>
                  <w:marBottom w:val="0"/>
                  <w:divBdr>
                    <w:top w:val="none" w:sz="0" w:space="0" w:color="auto"/>
                    <w:left w:val="none" w:sz="0" w:space="0" w:color="auto"/>
                    <w:bottom w:val="none" w:sz="0" w:space="0" w:color="auto"/>
                    <w:right w:val="none" w:sz="0" w:space="0" w:color="auto"/>
                  </w:divBdr>
                </w:div>
                <w:div w:id="550657673">
                  <w:marLeft w:val="0"/>
                  <w:marRight w:val="0"/>
                  <w:marTop w:val="0"/>
                  <w:marBottom w:val="0"/>
                  <w:divBdr>
                    <w:top w:val="none" w:sz="0" w:space="0" w:color="auto"/>
                    <w:left w:val="none" w:sz="0" w:space="0" w:color="auto"/>
                    <w:bottom w:val="none" w:sz="0" w:space="0" w:color="auto"/>
                    <w:right w:val="none" w:sz="0" w:space="0" w:color="auto"/>
                  </w:divBdr>
                </w:div>
                <w:div w:id="1559435440">
                  <w:marLeft w:val="0"/>
                  <w:marRight w:val="0"/>
                  <w:marTop w:val="0"/>
                  <w:marBottom w:val="0"/>
                  <w:divBdr>
                    <w:top w:val="none" w:sz="0" w:space="0" w:color="auto"/>
                    <w:left w:val="none" w:sz="0" w:space="0" w:color="auto"/>
                    <w:bottom w:val="none" w:sz="0" w:space="0" w:color="auto"/>
                    <w:right w:val="none" w:sz="0" w:space="0" w:color="auto"/>
                  </w:divBdr>
                </w:div>
                <w:div w:id="397365184">
                  <w:marLeft w:val="0"/>
                  <w:marRight w:val="0"/>
                  <w:marTop w:val="0"/>
                  <w:marBottom w:val="0"/>
                  <w:divBdr>
                    <w:top w:val="none" w:sz="0" w:space="0" w:color="auto"/>
                    <w:left w:val="none" w:sz="0" w:space="0" w:color="auto"/>
                    <w:bottom w:val="none" w:sz="0" w:space="0" w:color="auto"/>
                    <w:right w:val="none" w:sz="0" w:space="0" w:color="auto"/>
                  </w:divBdr>
                </w:div>
                <w:div w:id="412510182">
                  <w:marLeft w:val="0"/>
                  <w:marRight w:val="0"/>
                  <w:marTop w:val="0"/>
                  <w:marBottom w:val="0"/>
                  <w:divBdr>
                    <w:top w:val="none" w:sz="0" w:space="0" w:color="auto"/>
                    <w:left w:val="none" w:sz="0" w:space="0" w:color="auto"/>
                    <w:bottom w:val="none" w:sz="0" w:space="0" w:color="auto"/>
                    <w:right w:val="none" w:sz="0" w:space="0" w:color="auto"/>
                  </w:divBdr>
                </w:div>
                <w:div w:id="13120146">
                  <w:marLeft w:val="0"/>
                  <w:marRight w:val="0"/>
                  <w:marTop w:val="0"/>
                  <w:marBottom w:val="0"/>
                  <w:divBdr>
                    <w:top w:val="none" w:sz="0" w:space="0" w:color="auto"/>
                    <w:left w:val="none" w:sz="0" w:space="0" w:color="auto"/>
                    <w:bottom w:val="none" w:sz="0" w:space="0" w:color="auto"/>
                    <w:right w:val="none" w:sz="0" w:space="0" w:color="auto"/>
                  </w:divBdr>
                </w:div>
                <w:div w:id="471824803">
                  <w:marLeft w:val="0"/>
                  <w:marRight w:val="0"/>
                  <w:marTop w:val="0"/>
                  <w:marBottom w:val="0"/>
                  <w:divBdr>
                    <w:top w:val="none" w:sz="0" w:space="0" w:color="auto"/>
                    <w:left w:val="none" w:sz="0" w:space="0" w:color="auto"/>
                    <w:bottom w:val="none" w:sz="0" w:space="0" w:color="auto"/>
                    <w:right w:val="none" w:sz="0" w:space="0" w:color="auto"/>
                  </w:divBdr>
                </w:div>
                <w:div w:id="146165635">
                  <w:marLeft w:val="0"/>
                  <w:marRight w:val="0"/>
                  <w:marTop w:val="0"/>
                  <w:marBottom w:val="0"/>
                  <w:divBdr>
                    <w:top w:val="none" w:sz="0" w:space="0" w:color="auto"/>
                    <w:left w:val="none" w:sz="0" w:space="0" w:color="auto"/>
                    <w:bottom w:val="none" w:sz="0" w:space="0" w:color="auto"/>
                    <w:right w:val="none" w:sz="0" w:space="0" w:color="auto"/>
                  </w:divBdr>
                </w:div>
                <w:div w:id="30618767">
                  <w:marLeft w:val="0"/>
                  <w:marRight w:val="0"/>
                  <w:marTop w:val="0"/>
                  <w:marBottom w:val="0"/>
                  <w:divBdr>
                    <w:top w:val="none" w:sz="0" w:space="0" w:color="auto"/>
                    <w:left w:val="none" w:sz="0" w:space="0" w:color="auto"/>
                    <w:bottom w:val="none" w:sz="0" w:space="0" w:color="auto"/>
                    <w:right w:val="none" w:sz="0" w:space="0" w:color="auto"/>
                  </w:divBdr>
                </w:div>
                <w:div w:id="2077320549">
                  <w:marLeft w:val="0"/>
                  <w:marRight w:val="0"/>
                  <w:marTop w:val="0"/>
                  <w:marBottom w:val="0"/>
                  <w:divBdr>
                    <w:top w:val="none" w:sz="0" w:space="0" w:color="auto"/>
                    <w:left w:val="none" w:sz="0" w:space="0" w:color="auto"/>
                    <w:bottom w:val="none" w:sz="0" w:space="0" w:color="auto"/>
                    <w:right w:val="none" w:sz="0" w:space="0" w:color="auto"/>
                  </w:divBdr>
                </w:div>
                <w:div w:id="1905722248">
                  <w:marLeft w:val="0"/>
                  <w:marRight w:val="0"/>
                  <w:marTop w:val="0"/>
                  <w:marBottom w:val="0"/>
                  <w:divBdr>
                    <w:top w:val="none" w:sz="0" w:space="0" w:color="auto"/>
                    <w:left w:val="none" w:sz="0" w:space="0" w:color="auto"/>
                    <w:bottom w:val="none" w:sz="0" w:space="0" w:color="auto"/>
                    <w:right w:val="none" w:sz="0" w:space="0" w:color="auto"/>
                  </w:divBdr>
                </w:div>
                <w:div w:id="149256621">
                  <w:marLeft w:val="0"/>
                  <w:marRight w:val="0"/>
                  <w:marTop w:val="0"/>
                  <w:marBottom w:val="0"/>
                  <w:divBdr>
                    <w:top w:val="none" w:sz="0" w:space="0" w:color="auto"/>
                    <w:left w:val="none" w:sz="0" w:space="0" w:color="auto"/>
                    <w:bottom w:val="none" w:sz="0" w:space="0" w:color="auto"/>
                    <w:right w:val="none" w:sz="0" w:space="0" w:color="auto"/>
                  </w:divBdr>
                </w:div>
                <w:div w:id="282616214">
                  <w:marLeft w:val="0"/>
                  <w:marRight w:val="0"/>
                  <w:marTop w:val="0"/>
                  <w:marBottom w:val="0"/>
                  <w:divBdr>
                    <w:top w:val="none" w:sz="0" w:space="0" w:color="auto"/>
                    <w:left w:val="none" w:sz="0" w:space="0" w:color="auto"/>
                    <w:bottom w:val="none" w:sz="0" w:space="0" w:color="auto"/>
                    <w:right w:val="none" w:sz="0" w:space="0" w:color="auto"/>
                  </w:divBdr>
                </w:div>
                <w:div w:id="1287196084">
                  <w:marLeft w:val="0"/>
                  <w:marRight w:val="0"/>
                  <w:marTop w:val="0"/>
                  <w:marBottom w:val="0"/>
                  <w:divBdr>
                    <w:top w:val="none" w:sz="0" w:space="0" w:color="auto"/>
                    <w:left w:val="none" w:sz="0" w:space="0" w:color="auto"/>
                    <w:bottom w:val="none" w:sz="0" w:space="0" w:color="auto"/>
                    <w:right w:val="none" w:sz="0" w:space="0" w:color="auto"/>
                  </w:divBdr>
                </w:div>
                <w:div w:id="910652402">
                  <w:marLeft w:val="0"/>
                  <w:marRight w:val="0"/>
                  <w:marTop w:val="0"/>
                  <w:marBottom w:val="0"/>
                  <w:divBdr>
                    <w:top w:val="none" w:sz="0" w:space="0" w:color="auto"/>
                    <w:left w:val="none" w:sz="0" w:space="0" w:color="auto"/>
                    <w:bottom w:val="none" w:sz="0" w:space="0" w:color="auto"/>
                    <w:right w:val="none" w:sz="0" w:space="0" w:color="auto"/>
                  </w:divBdr>
                </w:div>
                <w:div w:id="1184395571">
                  <w:marLeft w:val="0"/>
                  <w:marRight w:val="0"/>
                  <w:marTop w:val="0"/>
                  <w:marBottom w:val="0"/>
                  <w:divBdr>
                    <w:top w:val="none" w:sz="0" w:space="0" w:color="auto"/>
                    <w:left w:val="none" w:sz="0" w:space="0" w:color="auto"/>
                    <w:bottom w:val="none" w:sz="0" w:space="0" w:color="auto"/>
                    <w:right w:val="none" w:sz="0" w:space="0" w:color="auto"/>
                  </w:divBdr>
                </w:div>
                <w:div w:id="1778596910">
                  <w:marLeft w:val="0"/>
                  <w:marRight w:val="0"/>
                  <w:marTop w:val="0"/>
                  <w:marBottom w:val="0"/>
                  <w:divBdr>
                    <w:top w:val="none" w:sz="0" w:space="0" w:color="auto"/>
                    <w:left w:val="none" w:sz="0" w:space="0" w:color="auto"/>
                    <w:bottom w:val="none" w:sz="0" w:space="0" w:color="auto"/>
                    <w:right w:val="none" w:sz="0" w:space="0" w:color="auto"/>
                  </w:divBdr>
                </w:div>
                <w:div w:id="1195314780">
                  <w:marLeft w:val="0"/>
                  <w:marRight w:val="0"/>
                  <w:marTop w:val="0"/>
                  <w:marBottom w:val="0"/>
                  <w:divBdr>
                    <w:top w:val="none" w:sz="0" w:space="0" w:color="auto"/>
                    <w:left w:val="none" w:sz="0" w:space="0" w:color="auto"/>
                    <w:bottom w:val="none" w:sz="0" w:space="0" w:color="auto"/>
                    <w:right w:val="none" w:sz="0" w:space="0" w:color="auto"/>
                  </w:divBdr>
                </w:div>
                <w:div w:id="1729722239">
                  <w:marLeft w:val="0"/>
                  <w:marRight w:val="0"/>
                  <w:marTop w:val="0"/>
                  <w:marBottom w:val="0"/>
                  <w:divBdr>
                    <w:top w:val="none" w:sz="0" w:space="0" w:color="auto"/>
                    <w:left w:val="none" w:sz="0" w:space="0" w:color="auto"/>
                    <w:bottom w:val="none" w:sz="0" w:space="0" w:color="auto"/>
                    <w:right w:val="none" w:sz="0" w:space="0" w:color="auto"/>
                  </w:divBdr>
                </w:div>
                <w:div w:id="1682314743">
                  <w:marLeft w:val="0"/>
                  <w:marRight w:val="0"/>
                  <w:marTop w:val="0"/>
                  <w:marBottom w:val="0"/>
                  <w:divBdr>
                    <w:top w:val="none" w:sz="0" w:space="0" w:color="auto"/>
                    <w:left w:val="none" w:sz="0" w:space="0" w:color="auto"/>
                    <w:bottom w:val="none" w:sz="0" w:space="0" w:color="auto"/>
                    <w:right w:val="none" w:sz="0" w:space="0" w:color="auto"/>
                  </w:divBdr>
                </w:div>
                <w:div w:id="601180401">
                  <w:marLeft w:val="0"/>
                  <w:marRight w:val="0"/>
                  <w:marTop w:val="0"/>
                  <w:marBottom w:val="0"/>
                  <w:divBdr>
                    <w:top w:val="none" w:sz="0" w:space="0" w:color="auto"/>
                    <w:left w:val="none" w:sz="0" w:space="0" w:color="auto"/>
                    <w:bottom w:val="none" w:sz="0" w:space="0" w:color="auto"/>
                    <w:right w:val="none" w:sz="0" w:space="0" w:color="auto"/>
                  </w:divBdr>
                </w:div>
                <w:div w:id="1438209443">
                  <w:marLeft w:val="0"/>
                  <w:marRight w:val="0"/>
                  <w:marTop w:val="0"/>
                  <w:marBottom w:val="0"/>
                  <w:divBdr>
                    <w:top w:val="none" w:sz="0" w:space="0" w:color="auto"/>
                    <w:left w:val="none" w:sz="0" w:space="0" w:color="auto"/>
                    <w:bottom w:val="none" w:sz="0" w:space="0" w:color="auto"/>
                    <w:right w:val="none" w:sz="0" w:space="0" w:color="auto"/>
                  </w:divBdr>
                </w:div>
                <w:div w:id="1719739088">
                  <w:marLeft w:val="0"/>
                  <w:marRight w:val="0"/>
                  <w:marTop w:val="0"/>
                  <w:marBottom w:val="0"/>
                  <w:divBdr>
                    <w:top w:val="none" w:sz="0" w:space="0" w:color="auto"/>
                    <w:left w:val="none" w:sz="0" w:space="0" w:color="auto"/>
                    <w:bottom w:val="none" w:sz="0" w:space="0" w:color="auto"/>
                    <w:right w:val="none" w:sz="0" w:space="0" w:color="auto"/>
                  </w:divBdr>
                </w:div>
                <w:div w:id="454760142">
                  <w:marLeft w:val="0"/>
                  <w:marRight w:val="0"/>
                  <w:marTop w:val="0"/>
                  <w:marBottom w:val="0"/>
                  <w:divBdr>
                    <w:top w:val="none" w:sz="0" w:space="0" w:color="auto"/>
                    <w:left w:val="none" w:sz="0" w:space="0" w:color="auto"/>
                    <w:bottom w:val="none" w:sz="0" w:space="0" w:color="auto"/>
                    <w:right w:val="none" w:sz="0" w:space="0" w:color="auto"/>
                  </w:divBdr>
                </w:div>
                <w:div w:id="2113627662">
                  <w:marLeft w:val="0"/>
                  <w:marRight w:val="0"/>
                  <w:marTop w:val="0"/>
                  <w:marBottom w:val="0"/>
                  <w:divBdr>
                    <w:top w:val="none" w:sz="0" w:space="0" w:color="auto"/>
                    <w:left w:val="none" w:sz="0" w:space="0" w:color="auto"/>
                    <w:bottom w:val="none" w:sz="0" w:space="0" w:color="auto"/>
                    <w:right w:val="none" w:sz="0" w:space="0" w:color="auto"/>
                  </w:divBdr>
                </w:div>
                <w:div w:id="1166748590">
                  <w:marLeft w:val="0"/>
                  <w:marRight w:val="0"/>
                  <w:marTop w:val="0"/>
                  <w:marBottom w:val="0"/>
                  <w:divBdr>
                    <w:top w:val="none" w:sz="0" w:space="0" w:color="auto"/>
                    <w:left w:val="none" w:sz="0" w:space="0" w:color="auto"/>
                    <w:bottom w:val="none" w:sz="0" w:space="0" w:color="auto"/>
                    <w:right w:val="none" w:sz="0" w:space="0" w:color="auto"/>
                  </w:divBdr>
                </w:div>
                <w:div w:id="88074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23328">
          <w:marLeft w:val="0"/>
          <w:marRight w:val="0"/>
          <w:marTop w:val="15"/>
          <w:marBottom w:val="0"/>
          <w:divBdr>
            <w:top w:val="single" w:sz="48" w:space="0" w:color="auto"/>
            <w:left w:val="single" w:sz="48" w:space="0" w:color="auto"/>
            <w:bottom w:val="single" w:sz="48" w:space="0" w:color="auto"/>
            <w:right w:val="single" w:sz="48" w:space="0" w:color="auto"/>
          </w:divBdr>
          <w:divsChild>
            <w:div w:id="1445887027">
              <w:marLeft w:val="0"/>
              <w:marRight w:val="0"/>
              <w:marTop w:val="0"/>
              <w:marBottom w:val="0"/>
              <w:divBdr>
                <w:top w:val="none" w:sz="0" w:space="0" w:color="auto"/>
                <w:left w:val="none" w:sz="0" w:space="0" w:color="auto"/>
                <w:bottom w:val="none" w:sz="0" w:space="0" w:color="auto"/>
                <w:right w:val="none" w:sz="0" w:space="0" w:color="auto"/>
              </w:divBdr>
              <w:divsChild>
                <w:div w:id="1895698644">
                  <w:marLeft w:val="0"/>
                  <w:marRight w:val="0"/>
                  <w:marTop w:val="0"/>
                  <w:marBottom w:val="0"/>
                  <w:divBdr>
                    <w:top w:val="none" w:sz="0" w:space="0" w:color="auto"/>
                    <w:left w:val="none" w:sz="0" w:space="0" w:color="auto"/>
                    <w:bottom w:val="none" w:sz="0" w:space="0" w:color="auto"/>
                    <w:right w:val="none" w:sz="0" w:space="0" w:color="auto"/>
                  </w:divBdr>
                </w:div>
                <w:div w:id="247424188">
                  <w:marLeft w:val="0"/>
                  <w:marRight w:val="0"/>
                  <w:marTop w:val="0"/>
                  <w:marBottom w:val="0"/>
                  <w:divBdr>
                    <w:top w:val="none" w:sz="0" w:space="0" w:color="auto"/>
                    <w:left w:val="none" w:sz="0" w:space="0" w:color="auto"/>
                    <w:bottom w:val="none" w:sz="0" w:space="0" w:color="auto"/>
                    <w:right w:val="none" w:sz="0" w:space="0" w:color="auto"/>
                  </w:divBdr>
                </w:div>
                <w:div w:id="420028210">
                  <w:marLeft w:val="0"/>
                  <w:marRight w:val="0"/>
                  <w:marTop w:val="0"/>
                  <w:marBottom w:val="0"/>
                  <w:divBdr>
                    <w:top w:val="none" w:sz="0" w:space="0" w:color="auto"/>
                    <w:left w:val="none" w:sz="0" w:space="0" w:color="auto"/>
                    <w:bottom w:val="none" w:sz="0" w:space="0" w:color="auto"/>
                    <w:right w:val="none" w:sz="0" w:space="0" w:color="auto"/>
                  </w:divBdr>
                </w:div>
                <w:div w:id="1333340431">
                  <w:marLeft w:val="0"/>
                  <w:marRight w:val="0"/>
                  <w:marTop w:val="0"/>
                  <w:marBottom w:val="0"/>
                  <w:divBdr>
                    <w:top w:val="none" w:sz="0" w:space="0" w:color="auto"/>
                    <w:left w:val="none" w:sz="0" w:space="0" w:color="auto"/>
                    <w:bottom w:val="none" w:sz="0" w:space="0" w:color="auto"/>
                    <w:right w:val="none" w:sz="0" w:space="0" w:color="auto"/>
                  </w:divBdr>
                </w:div>
                <w:div w:id="12215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59757">
      <w:bodyDiv w:val="1"/>
      <w:marLeft w:val="0"/>
      <w:marRight w:val="0"/>
      <w:marTop w:val="0"/>
      <w:marBottom w:val="0"/>
      <w:divBdr>
        <w:top w:val="none" w:sz="0" w:space="0" w:color="auto"/>
        <w:left w:val="none" w:sz="0" w:space="0" w:color="auto"/>
        <w:bottom w:val="none" w:sz="0" w:space="0" w:color="auto"/>
        <w:right w:val="none" w:sz="0" w:space="0" w:color="auto"/>
      </w:divBdr>
    </w:div>
    <w:div w:id="1779449942">
      <w:bodyDiv w:val="1"/>
      <w:marLeft w:val="0"/>
      <w:marRight w:val="0"/>
      <w:marTop w:val="0"/>
      <w:marBottom w:val="0"/>
      <w:divBdr>
        <w:top w:val="none" w:sz="0" w:space="0" w:color="auto"/>
        <w:left w:val="none" w:sz="0" w:space="0" w:color="auto"/>
        <w:bottom w:val="none" w:sz="0" w:space="0" w:color="auto"/>
        <w:right w:val="none" w:sz="0" w:space="0" w:color="auto"/>
      </w:divBdr>
    </w:div>
    <w:div w:id="1782068014">
      <w:bodyDiv w:val="1"/>
      <w:marLeft w:val="0"/>
      <w:marRight w:val="0"/>
      <w:marTop w:val="0"/>
      <w:marBottom w:val="0"/>
      <w:divBdr>
        <w:top w:val="none" w:sz="0" w:space="0" w:color="auto"/>
        <w:left w:val="none" w:sz="0" w:space="0" w:color="auto"/>
        <w:bottom w:val="none" w:sz="0" w:space="0" w:color="auto"/>
        <w:right w:val="none" w:sz="0" w:space="0" w:color="auto"/>
      </w:divBdr>
    </w:div>
    <w:div w:id="1883052414">
      <w:bodyDiv w:val="1"/>
      <w:marLeft w:val="0"/>
      <w:marRight w:val="0"/>
      <w:marTop w:val="0"/>
      <w:marBottom w:val="0"/>
      <w:divBdr>
        <w:top w:val="none" w:sz="0" w:space="0" w:color="auto"/>
        <w:left w:val="none" w:sz="0" w:space="0" w:color="auto"/>
        <w:bottom w:val="none" w:sz="0" w:space="0" w:color="auto"/>
        <w:right w:val="none" w:sz="0" w:space="0" w:color="auto"/>
      </w:divBdr>
    </w:div>
    <w:div w:id="204768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etijumi.mk.gov.lv/node/4078"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m.gov.lv/lv/buvniecibas-nozare-attistiba-strategija-un-petijumi" TargetMode="Externa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9A6E0A5577AAB64BBC02552CE6366509" ma:contentTypeVersion="15" ma:contentTypeDescription="Izveidot jaunu dokumentu." ma:contentTypeScope="" ma:versionID="ceb58de9804651d4693276a8070a0410">
  <xsd:schema xmlns:xsd="http://www.w3.org/2001/XMLSchema" xmlns:xs="http://www.w3.org/2001/XMLSchema" xmlns:p="http://schemas.microsoft.com/office/2006/metadata/properties" xmlns:ns1="http://schemas.microsoft.com/sharepoint/v3" xmlns:ns2="1bc3c780-2bb1-47eb-9d86-5e03f4973a45" xmlns:ns3="a69edea8-00eb-4580-9f73-f1910d8c677f" targetNamespace="http://schemas.microsoft.com/office/2006/metadata/properties" ma:root="true" ma:fieldsID="d74a7cacbd59c0ec595ee073a813aa7b" ns1:_="" ns2:_="" ns3:_="">
    <xsd:import namespace="http://schemas.microsoft.com/sharepoint/v3"/>
    <xsd:import namespace="1bc3c780-2bb1-47eb-9d86-5e03f4973a45"/>
    <xsd:import namespace="a69edea8-00eb-4580-9f73-f1910d8c67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Vienotās atbilstības politikas rekvizīti" ma:hidden="true" ma:internalName="_ip_UnifiedCompliancePolicyProperties">
      <xsd:simpleType>
        <xsd:restriction base="dms:Note"/>
      </xsd:simpleType>
    </xsd:element>
    <xsd:element name="_ip_UnifiedCompliancePolicyUIAction" ma:index="21"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c3c780-2bb1-47eb-9d86-5e03f4973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9edea8-00eb-4580-9f73-f1910d8c677f"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DCC3C2B-56BD-4A6A-8FCA-73FB8618D1CF}">
  <ds:schemaRefs>
    <ds:schemaRef ds:uri="http://schemas.microsoft.com/sharepoint/v3/contenttype/forms"/>
  </ds:schemaRefs>
</ds:datastoreItem>
</file>

<file path=customXml/itemProps2.xml><?xml version="1.0" encoding="utf-8"?>
<ds:datastoreItem xmlns:ds="http://schemas.openxmlformats.org/officeDocument/2006/customXml" ds:itemID="{60D4E389-89DC-427D-9610-7DFA161F2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c3c780-2bb1-47eb-9d86-5e03f4973a45"/>
    <ds:schemaRef ds:uri="a69edea8-00eb-4580-9f73-f1910d8c6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C13CAF-4873-482A-B7CC-A5258FBE840C}">
  <ds:schemaRefs>
    <ds:schemaRef ds:uri="http://schemas.openxmlformats.org/officeDocument/2006/bibliography"/>
  </ds:schemaRefs>
</ds:datastoreItem>
</file>

<file path=customXml/itemProps4.xml><?xml version="1.0" encoding="utf-8"?>
<ds:datastoreItem xmlns:ds="http://schemas.openxmlformats.org/officeDocument/2006/customXml" ds:itemID="{70EC9F21-1A1A-4626-9581-4C57477DCB1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11</Pages>
  <Words>16307</Words>
  <Characters>9295</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Informatīvais ziņojums par vadlīnijām būvniecības izmaksu indeksācijai</vt:lpstr>
    </vt:vector>
  </TitlesOfParts>
  <Company>Ekonomikas ministrija</Company>
  <LinksUpToDate>false</LinksUpToDate>
  <CharactersWithSpaces>25551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vadlīnijām būvniecības izmaksu indeksācijai</dc:title>
  <dc:subject>Informatīvais ziņojums</dc:subject>
  <dc:creator>Gunta Piņķe</dc:creator>
  <cp:keywords/>
  <dc:description/>
  <cp:lastModifiedBy>Gusts Sproģis</cp:lastModifiedBy>
  <cp:revision>8</cp:revision>
  <cp:lastPrinted>2022-03-28T08:41:00Z</cp:lastPrinted>
  <dcterms:created xsi:type="dcterms:W3CDTF">2022-11-29T08:50:00Z</dcterms:created>
  <dcterms:modified xsi:type="dcterms:W3CDTF">2023-02-06T08:34:00Z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0x0101009A6E0A5577AAB64BBC02552CE6366509</vt:lpwstr>
  </property>
</Properties>
</file>