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025E5" w14:textId="1BB92CA1" w:rsidR="603E1169" w:rsidRPr="0025749F" w:rsidRDefault="603E1169" w:rsidP="26BD9954">
      <w:pPr>
        <w:pStyle w:val="Heading3"/>
        <w:jc w:val="center"/>
        <w:rPr>
          <w:b/>
          <w:bCs/>
          <w:color w:val="2F5496" w:themeColor="accent1" w:themeShade="BF"/>
          <w:sz w:val="32"/>
          <w:szCs w:val="32"/>
        </w:rPr>
      </w:pPr>
      <w:r w:rsidRPr="0025749F">
        <w:rPr>
          <w:b/>
          <w:bCs/>
          <w:color w:val="2F5496" w:themeColor="accent1" w:themeShade="BF"/>
          <w:sz w:val="32"/>
          <w:szCs w:val="32"/>
        </w:rPr>
        <w:t>Informatīvais ziņojums par rīcību ar nekustamo īpašumu Krišjāņa Valdemāra ielā 26, Rīgā</w:t>
      </w:r>
      <w:r w:rsidR="06F5DE7A" w:rsidRPr="0025749F">
        <w:rPr>
          <w:b/>
          <w:bCs/>
          <w:color w:val="2F5496" w:themeColor="accent1" w:themeShade="BF"/>
          <w:sz w:val="32"/>
          <w:szCs w:val="32"/>
        </w:rPr>
        <w:t xml:space="preserve"> un Eksporta ielā 6, Rīgā</w:t>
      </w:r>
    </w:p>
    <w:p w14:paraId="596845A9" w14:textId="3A0F8464" w:rsidR="26BD9954" w:rsidRPr="0025749F" w:rsidRDefault="26BD9954" w:rsidP="26BD9954">
      <w:pPr>
        <w:rPr>
          <w:rFonts w:asciiTheme="majorHAnsi" w:eastAsiaTheme="majorEastAsia" w:hAnsiTheme="majorHAnsi" w:cstheme="majorBidi"/>
          <w:b/>
          <w:bCs/>
          <w:sz w:val="26"/>
          <w:szCs w:val="26"/>
        </w:rPr>
      </w:pPr>
    </w:p>
    <w:p w14:paraId="62E52A05" w14:textId="67082134" w:rsidR="78438C7D" w:rsidRPr="0025749F" w:rsidRDefault="78438C7D" w:rsidP="039F6687">
      <w:pPr>
        <w:pStyle w:val="Heading2"/>
        <w:rPr>
          <w:b/>
          <w:bCs/>
          <w:sz w:val="32"/>
          <w:szCs w:val="32"/>
        </w:rPr>
      </w:pPr>
      <w:r w:rsidRPr="0025749F">
        <w:rPr>
          <w:b/>
          <w:bCs/>
          <w:sz w:val="32"/>
          <w:szCs w:val="32"/>
        </w:rPr>
        <w:t>Ievads</w:t>
      </w:r>
    </w:p>
    <w:p w14:paraId="6E4ED44B" w14:textId="7EF1D1E3" w:rsidR="78438C7D" w:rsidRPr="0025749F" w:rsidRDefault="78438C7D" w:rsidP="039F6687">
      <w:pPr>
        <w:ind w:firstLine="720"/>
        <w:jc w:val="both"/>
        <w:rPr>
          <w:rFonts w:ascii="Calibri" w:eastAsia="Calibri" w:hAnsi="Calibri" w:cs="Calibri"/>
          <w:sz w:val="24"/>
          <w:szCs w:val="24"/>
        </w:rPr>
      </w:pPr>
      <w:r w:rsidRPr="0025749F">
        <w:rPr>
          <w:rFonts w:ascii="Calibri" w:eastAsia="Calibri" w:hAnsi="Calibri" w:cs="Calibri"/>
          <w:sz w:val="24"/>
          <w:szCs w:val="24"/>
        </w:rPr>
        <w:t>VAS “Valsts nekustamie īpašumi” (turpmāk – VNĪ) ir viena no lielākajām kapitālsabiedrībām Latvijā, kas veic valsts nekustamo īpašum</w:t>
      </w:r>
      <w:r w:rsidR="1CF45F64" w:rsidRPr="0025749F">
        <w:rPr>
          <w:rFonts w:ascii="Calibri" w:eastAsia="Calibri" w:hAnsi="Calibri" w:cs="Calibri"/>
          <w:sz w:val="24"/>
          <w:szCs w:val="24"/>
        </w:rPr>
        <w:t>u</w:t>
      </w:r>
      <w:r w:rsidRPr="0025749F">
        <w:rPr>
          <w:rFonts w:ascii="Calibri" w:eastAsia="Calibri" w:hAnsi="Calibri" w:cs="Calibri"/>
          <w:sz w:val="24"/>
          <w:szCs w:val="24"/>
        </w:rPr>
        <w:t xml:space="preserve"> (turpmāk – NĪ) pārvaldīšanu, apsaimniekošanu un attīstīšanu. VNĪ dibināšanas mērķis ir valsts interešu realizēšana valsts nekustam</w:t>
      </w:r>
      <w:r w:rsidR="58F14812" w:rsidRPr="0025749F">
        <w:rPr>
          <w:rFonts w:ascii="Calibri" w:eastAsia="Calibri" w:hAnsi="Calibri" w:cs="Calibri"/>
          <w:sz w:val="24"/>
          <w:szCs w:val="24"/>
        </w:rPr>
        <w:t>o</w:t>
      </w:r>
      <w:r w:rsidRPr="0025749F">
        <w:rPr>
          <w:rFonts w:ascii="Calibri" w:eastAsia="Calibri" w:hAnsi="Calibri" w:cs="Calibri"/>
          <w:sz w:val="24"/>
          <w:szCs w:val="24"/>
        </w:rPr>
        <w:t xml:space="preserve"> īpašum</w:t>
      </w:r>
      <w:r w:rsidR="6D603486" w:rsidRPr="0025749F">
        <w:rPr>
          <w:rFonts w:ascii="Calibri" w:eastAsia="Calibri" w:hAnsi="Calibri" w:cs="Calibri"/>
          <w:sz w:val="24"/>
          <w:szCs w:val="24"/>
        </w:rPr>
        <w:t>u</w:t>
      </w:r>
      <w:r w:rsidRPr="0025749F">
        <w:rPr>
          <w:rFonts w:ascii="Calibri" w:eastAsia="Calibri" w:hAnsi="Calibri" w:cs="Calibri"/>
          <w:sz w:val="24"/>
          <w:szCs w:val="24"/>
        </w:rPr>
        <w:t xml:space="preserve"> pārvaldīšanā un efektīvā apsaimniekošanā un</w:t>
      </w:r>
      <w:r w:rsidR="00C63799" w:rsidRPr="0025749F">
        <w:rPr>
          <w:rFonts w:ascii="Calibri" w:eastAsia="Calibri" w:hAnsi="Calibri" w:cs="Calibri"/>
          <w:sz w:val="24"/>
          <w:szCs w:val="24"/>
        </w:rPr>
        <w:t xml:space="preserve"> </w:t>
      </w:r>
      <w:r w:rsidRPr="0025749F">
        <w:rPr>
          <w:rFonts w:ascii="Calibri" w:eastAsia="Calibri" w:hAnsi="Calibri" w:cs="Calibri"/>
          <w:sz w:val="24"/>
          <w:szCs w:val="24"/>
        </w:rPr>
        <w:t xml:space="preserve">VNĪ prevalējošie ir nevis finanšu, bet </w:t>
      </w:r>
      <w:proofErr w:type="spellStart"/>
      <w:r w:rsidRPr="0025749F">
        <w:rPr>
          <w:rFonts w:ascii="Calibri" w:eastAsia="Calibri" w:hAnsi="Calibri" w:cs="Calibri"/>
          <w:sz w:val="24"/>
          <w:szCs w:val="24"/>
        </w:rPr>
        <w:t>nefinanšu</w:t>
      </w:r>
      <w:proofErr w:type="spellEnd"/>
      <w:r w:rsidRPr="0025749F">
        <w:rPr>
          <w:rFonts w:ascii="Calibri" w:eastAsia="Calibri" w:hAnsi="Calibri" w:cs="Calibri"/>
          <w:sz w:val="24"/>
          <w:szCs w:val="24"/>
        </w:rPr>
        <w:t xml:space="preserve"> mērķi, proti, valsts un sabiedrības interešu un vajadzību efektīva nodrošināšana. VNĪ darbības stratēģiskais mērķis ir sabiedrības interesēs nodrošināt NĪ, kas ir stratēģiski svarīgi valsts drošībai, nepieciešami valsts iestādēm valsts funkciju veikšanai, kultūras mantojuma saglabāšanai, valsts un pašvaldību administratīvas teritorijas attīstībai, mērķtiecīgu un efektīvu pārvaldīšanu, tostarp vērtības saglabāšanu un vairošanu. Nodrošināt lietderīgu rīcību ar valsts funkciju veikšanai neizmantotiem NĪ. </w:t>
      </w:r>
    </w:p>
    <w:p w14:paraId="160D1D9A" w14:textId="46ECF678" w:rsidR="78438C7D" w:rsidRPr="0025749F" w:rsidRDefault="78438C7D" w:rsidP="039F6687">
      <w:pPr>
        <w:ind w:firstLine="720"/>
        <w:jc w:val="both"/>
        <w:rPr>
          <w:rFonts w:ascii="Calibri" w:eastAsia="Calibri" w:hAnsi="Calibri" w:cs="Calibri"/>
          <w:sz w:val="24"/>
          <w:szCs w:val="24"/>
        </w:rPr>
      </w:pPr>
      <w:r w:rsidRPr="0025749F">
        <w:rPr>
          <w:rFonts w:ascii="Calibri" w:eastAsia="Calibri" w:hAnsi="Calibri" w:cs="Calibri"/>
          <w:sz w:val="24"/>
          <w:szCs w:val="24"/>
        </w:rPr>
        <w:t>VNĪ stratēģiskās prioritātes “Vērtīgi īpašumi” ietvaros tiek veikta esošā NĪ portfeļa struktūras analīze, lai pārgrupētu un noteiktu katra NĪ efektīvāko pārvaldības modeli, segmentējot NĪ lietošanas mērķu griezumā, kā arī izstrādāt NĪ portfeļa attīstības stratēģiju, nodrošinot sistēmiski pieeju NĪ efektīvāka</w:t>
      </w:r>
      <w:r w:rsidR="22B84464" w:rsidRPr="0025749F">
        <w:rPr>
          <w:rFonts w:ascii="Calibri" w:eastAsia="Calibri" w:hAnsi="Calibri" w:cs="Calibri"/>
          <w:sz w:val="24"/>
          <w:szCs w:val="24"/>
        </w:rPr>
        <w:t>i</w:t>
      </w:r>
      <w:r w:rsidRPr="0025749F">
        <w:rPr>
          <w:rFonts w:ascii="Calibri" w:eastAsia="Calibri" w:hAnsi="Calibri" w:cs="Calibri"/>
          <w:sz w:val="24"/>
          <w:szCs w:val="24"/>
        </w:rPr>
        <w:t xml:space="preserve"> un rentablāka</w:t>
      </w:r>
      <w:r w:rsidR="2884FA59" w:rsidRPr="0025749F">
        <w:rPr>
          <w:rFonts w:ascii="Calibri" w:eastAsia="Calibri" w:hAnsi="Calibri" w:cs="Calibri"/>
          <w:sz w:val="24"/>
          <w:szCs w:val="24"/>
        </w:rPr>
        <w:t>i</w:t>
      </w:r>
      <w:r w:rsidRPr="0025749F">
        <w:rPr>
          <w:rFonts w:ascii="Calibri" w:eastAsia="Calibri" w:hAnsi="Calibri" w:cs="Calibri"/>
          <w:sz w:val="24"/>
          <w:szCs w:val="24"/>
        </w:rPr>
        <w:t xml:space="preserve"> izmantošanas veida noteikšanai, ņemot vērā gan apsaimniekošanas un uzturēšanas izmaksas, gan dažādus NĪ raksturojošus parametrus, kā arī ieņēmumu un izdevumu struktūru.</w:t>
      </w:r>
    </w:p>
    <w:p w14:paraId="7719E14C" w14:textId="101ECF53" w:rsidR="78438C7D" w:rsidRPr="0025749F" w:rsidRDefault="78438C7D" w:rsidP="039F6687">
      <w:pPr>
        <w:ind w:firstLine="720"/>
        <w:jc w:val="both"/>
        <w:rPr>
          <w:rFonts w:ascii="Calibri" w:eastAsia="Calibri" w:hAnsi="Calibri" w:cs="Calibri"/>
          <w:sz w:val="24"/>
          <w:szCs w:val="24"/>
        </w:rPr>
      </w:pPr>
      <w:r w:rsidRPr="0025749F">
        <w:rPr>
          <w:rFonts w:ascii="Calibri" w:eastAsia="Calibri" w:hAnsi="Calibri" w:cs="Calibri"/>
          <w:sz w:val="24"/>
          <w:szCs w:val="24"/>
        </w:rPr>
        <w:t>Šīs stratēģiskās prioritātes ieviešanai ir pieņemta VNĪ NĪ portfeļa attīstības stratēģija 2020. – 2022.gadam. VNĪ NĪ portfeļa attīstības stratēģija ir:</w:t>
      </w:r>
    </w:p>
    <w:p w14:paraId="2034C624" w14:textId="40D9A931" w:rsidR="78438C7D" w:rsidRPr="0025749F" w:rsidRDefault="78438C7D" w:rsidP="039F6687">
      <w:pPr>
        <w:pStyle w:val="ListParagraph"/>
        <w:numPr>
          <w:ilvl w:val="0"/>
          <w:numId w:val="15"/>
        </w:numPr>
        <w:rPr>
          <w:rFonts w:ascii="Calibri" w:eastAsia="Calibri" w:hAnsi="Calibri" w:cs="Calibri"/>
          <w:sz w:val="24"/>
          <w:szCs w:val="24"/>
        </w:rPr>
      </w:pPr>
      <w:r w:rsidRPr="0025749F">
        <w:rPr>
          <w:rFonts w:ascii="Calibri" w:eastAsia="Calibri" w:hAnsi="Calibri" w:cs="Calibri"/>
          <w:sz w:val="24"/>
          <w:szCs w:val="24"/>
        </w:rPr>
        <w:t xml:space="preserve">kopējais (vispārīgās) izvērtēšanas rīks, kas nodrošina īpašumu iedalīšanas ietvaru, iedalot trīs primārajos portfeļos (pamata, aktīvu un atsavināmais portfelis) atbilstoši </w:t>
      </w:r>
      <w:proofErr w:type="spellStart"/>
      <w:r w:rsidRPr="0025749F">
        <w:rPr>
          <w:rFonts w:ascii="Calibri" w:eastAsia="Calibri" w:hAnsi="Calibri" w:cs="Calibri"/>
          <w:sz w:val="24"/>
          <w:szCs w:val="24"/>
        </w:rPr>
        <w:t>izvērtējumam</w:t>
      </w:r>
      <w:proofErr w:type="spellEnd"/>
      <w:r w:rsidRPr="0025749F">
        <w:rPr>
          <w:rFonts w:ascii="Calibri" w:eastAsia="Calibri" w:hAnsi="Calibri" w:cs="Calibri"/>
          <w:sz w:val="24"/>
          <w:szCs w:val="24"/>
        </w:rPr>
        <w:t xml:space="preserve"> par katra NĪ atbilstību noteiktiem kritērijiem, lai noskaidrotu turpmāku nepieciešamīb</w:t>
      </w:r>
      <w:r w:rsidR="1CD5E022" w:rsidRPr="0025749F">
        <w:rPr>
          <w:rFonts w:ascii="Calibri" w:eastAsia="Calibri" w:hAnsi="Calibri" w:cs="Calibri"/>
          <w:sz w:val="24"/>
          <w:szCs w:val="24"/>
        </w:rPr>
        <w:t>u</w:t>
      </w:r>
      <w:r w:rsidRPr="0025749F">
        <w:rPr>
          <w:rFonts w:ascii="Calibri" w:eastAsia="Calibri" w:hAnsi="Calibri" w:cs="Calibri"/>
          <w:sz w:val="24"/>
          <w:szCs w:val="24"/>
        </w:rPr>
        <w:t xml:space="preserve"> konkrēto īpašumu saglabāt;</w:t>
      </w:r>
    </w:p>
    <w:p w14:paraId="77FCA13D" w14:textId="5D9C5782" w:rsidR="78438C7D" w:rsidRPr="0025749F" w:rsidRDefault="78438C7D" w:rsidP="039F6687">
      <w:pPr>
        <w:pStyle w:val="ListParagraph"/>
        <w:numPr>
          <w:ilvl w:val="0"/>
          <w:numId w:val="15"/>
        </w:numPr>
        <w:rPr>
          <w:rFonts w:ascii="Calibri" w:eastAsia="Calibri" w:hAnsi="Calibri" w:cs="Calibri"/>
          <w:sz w:val="24"/>
          <w:szCs w:val="24"/>
        </w:rPr>
      </w:pPr>
      <w:r w:rsidRPr="0025749F">
        <w:rPr>
          <w:rFonts w:ascii="Calibri" w:eastAsia="Calibri" w:hAnsi="Calibri" w:cs="Calibri"/>
          <w:sz w:val="24"/>
          <w:szCs w:val="24"/>
        </w:rPr>
        <w:t>pārskata rīks, kurā apkopota informācija par primāro portfeļu NĪ un to grupām atbilstoši NĪ lietošanas veidam, to rentabilitāti;</w:t>
      </w:r>
    </w:p>
    <w:p w14:paraId="7E942BCB" w14:textId="0B698AC0" w:rsidR="78438C7D" w:rsidRPr="0025749F" w:rsidRDefault="78438C7D" w:rsidP="039F6687">
      <w:pPr>
        <w:pStyle w:val="ListParagraph"/>
        <w:numPr>
          <w:ilvl w:val="0"/>
          <w:numId w:val="15"/>
        </w:numPr>
        <w:rPr>
          <w:rFonts w:ascii="Calibri" w:eastAsia="Calibri" w:hAnsi="Calibri" w:cs="Calibri"/>
          <w:sz w:val="24"/>
          <w:szCs w:val="24"/>
        </w:rPr>
      </w:pPr>
      <w:r w:rsidRPr="0025749F">
        <w:rPr>
          <w:rFonts w:ascii="Calibri" w:eastAsia="Calibri" w:hAnsi="Calibri" w:cs="Calibri"/>
          <w:sz w:val="24"/>
          <w:szCs w:val="24"/>
        </w:rPr>
        <w:t>ietvara dokuments</w:t>
      </w:r>
      <w:r w:rsidR="7DEB3FA4" w:rsidRPr="0025749F">
        <w:rPr>
          <w:rFonts w:ascii="Calibri" w:eastAsia="Calibri" w:hAnsi="Calibri" w:cs="Calibri"/>
          <w:sz w:val="24"/>
          <w:szCs w:val="24"/>
        </w:rPr>
        <w:t>,</w:t>
      </w:r>
      <w:r w:rsidRPr="0025749F">
        <w:rPr>
          <w:rFonts w:ascii="Calibri" w:eastAsia="Calibri" w:hAnsi="Calibri" w:cs="Calibri"/>
          <w:sz w:val="24"/>
          <w:szCs w:val="24"/>
        </w:rPr>
        <w:t xml:space="preserve"> kas nosaka turpmāku stratēģisko lēmumu pieņemšanas procesu, kā arī vienotu noteikumu izveidi rīcībai ar katra primārā portfeļa īpašumiem, paredzot vienotus īpašumu pārvaldības principus, attīstības scenārijus, uzdevumus un sasniedzamos rezultatīvos rādītājus.</w:t>
      </w:r>
    </w:p>
    <w:p w14:paraId="00638EC0" w14:textId="502A188B" w:rsidR="78438C7D" w:rsidRPr="0025749F" w:rsidRDefault="6083F967" w:rsidP="29017FB3">
      <w:pPr>
        <w:ind w:firstLine="720"/>
        <w:jc w:val="both"/>
        <w:rPr>
          <w:rFonts w:ascii="Calibri" w:eastAsia="Calibri" w:hAnsi="Calibri" w:cs="Calibri"/>
          <w:sz w:val="24"/>
          <w:szCs w:val="24"/>
        </w:rPr>
      </w:pPr>
      <w:r w:rsidRPr="0025749F">
        <w:rPr>
          <w:rFonts w:ascii="Calibri" w:eastAsia="Calibri" w:hAnsi="Calibri" w:cs="Calibri"/>
          <w:sz w:val="24"/>
          <w:szCs w:val="24"/>
        </w:rPr>
        <w:t>VNĪ NĪ portfeļa attīstības stratēģija 2020. – 2022.gadam paredz kopēju VNĪ NĪ portfeļa sakārtošanu, veicinot valsts NĪ vērtības saglabāšanu un vairošanu. Pašreizējais VNĪ NĪ portfeļa sadalījums pa primārajiem portfeļiem ir šāds</w:t>
      </w:r>
      <w:r w:rsidR="665B8E0C" w:rsidRPr="0025749F">
        <w:rPr>
          <w:rFonts w:ascii="Calibri" w:eastAsia="Calibri" w:hAnsi="Calibri" w:cs="Calibri"/>
          <w:sz w:val="24"/>
          <w:szCs w:val="24"/>
        </w:rPr>
        <w:t>:</w:t>
      </w:r>
    </w:p>
    <w:p w14:paraId="266EAAD2" w14:textId="3374BC84" w:rsidR="039F6687" w:rsidRPr="0025749F" w:rsidRDefault="039F6687" w:rsidP="039F6687">
      <w:pPr>
        <w:jc w:val="both"/>
      </w:pPr>
    </w:p>
    <w:p w14:paraId="6590D35D" w14:textId="2983B917" w:rsidR="76814924" w:rsidRPr="0025749F" w:rsidRDefault="5868614C" w:rsidP="0025749F">
      <w:pPr>
        <w:ind w:firstLine="1418"/>
        <w:jc w:val="both"/>
      </w:pPr>
      <w:r w:rsidRPr="0025749F">
        <w:rPr>
          <w:noProof/>
        </w:rPr>
        <w:lastRenderedPageBreak/>
        <w:drawing>
          <wp:inline distT="0" distB="0" distL="0" distR="0" wp14:anchorId="6B25A9EA" wp14:editId="37FC504D">
            <wp:extent cx="4572000" cy="2562225"/>
            <wp:effectExtent l="0" t="0" r="0" b="0"/>
            <wp:docPr id="388792353" name="Picture 388792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7923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0" cy="2562225"/>
                    </a:xfrm>
                    <a:prstGeom prst="rect">
                      <a:avLst/>
                    </a:prstGeom>
                  </pic:spPr>
                </pic:pic>
              </a:graphicData>
            </a:graphic>
          </wp:inline>
        </w:drawing>
      </w:r>
    </w:p>
    <w:p w14:paraId="2CB2ACBD" w14:textId="028EADB6" w:rsidR="78438C7D" w:rsidRPr="0025749F" w:rsidRDefault="78438C7D" w:rsidP="5E046EF2">
      <w:pPr>
        <w:ind w:firstLine="720"/>
        <w:jc w:val="both"/>
        <w:rPr>
          <w:rFonts w:ascii="Calibri" w:eastAsia="Calibri" w:hAnsi="Calibri" w:cs="Calibri"/>
          <w:sz w:val="24"/>
          <w:szCs w:val="24"/>
        </w:rPr>
      </w:pPr>
      <w:r w:rsidRPr="0025749F">
        <w:rPr>
          <w:rFonts w:ascii="Calibri" w:eastAsia="Calibri" w:hAnsi="Calibri" w:cs="Calibri"/>
          <w:sz w:val="24"/>
          <w:szCs w:val="24"/>
        </w:rPr>
        <w:t xml:space="preserve">VNĪ NĪ portfeļa sakārtošanas ietvaros tiek veikta tā pakāpeniska pārveidošana, proti, pakāpeniski tiek paaugstināts pamata portfeļa NĪ platības īpatsvars kopējā portfelī (nākotnē nodrošinot to 80% apmērā no kopējām ēku un būvju platībām), pakāpeniski tiek samazināts aktīvu portfeļa NĪ platības īpatsvars (nākotnē uzturot pārvaldībā līdz 15% no kopējām ēku un būvju platībām), kā arī  pēc iespējas maksimāli samazināt (nākotnē līdz 5%) atsavināmā portfeļa uzturamo ēku un būvju platības īpatsvaru. Turklāt šādas optimālas NĪ portfeļa struktūras ieviešana netiek veikta tikai noteiktu rezultatīvo rādītāju sasniegšanai, bet VNĪ </w:t>
      </w:r>
      <w:r w:rsidR="00C63799" w:rsidRPr="0025749F">
        <w:rPr>
          <w:rFonts w:ascii="Calibri" w:eastAsia="Calibri" w:hAnsi="Calibri" w:cs="Calibri"/>
          <w:sz w:val="24"/>
          <w:szCs w:val="24"/>
        </w:rPr>
        <w:t xml:space="preserve">arī </w:t>
      </w:r>
      <w:r w:rsidRPr="0025749F">
        <w:rPr>
          <w:rFonts w:ascii="Calibri" w:eastAsia="Calibri" w:hAnsi="Calibri" w:cs="Calibri"/>
          <w:sz w:val="24"/>
          <w:szCs w:val="24"/>
        </w:rPr>
        <w:t>tiecas nodrošināt mūsdienīgu, pieejamu un ērtu darba vidi publiskajā sektorā strādājošajiem, lai esošie un potenciālie darbinieki vēlētos strādāt publiskajā sektorā.</w:t>
      </w:r>
    </w:p>
    <w:p w14:paraId="76E8E1FF" w14:textId="4BF1488A" w:rsidR="78438C7D" w:rsidRPr="0025749F" w:rsidRDefault="78438C7D" w:rsidP="5E046EF2">
      <w:pPr>
        <w:ind w:firstLine="720"/>
        <w:jc w:val="both"/>
        <w:rPr>
          <w:rFonts w:ascii="Calibri" w:eastAsia="Calibri" w:hAnsi="Calibri" w:cs="Calibri"/>
          <w:sz w:val="24"/>
          <w:szCs w:val="24"/>
        </w:rPr>
      </w:pPr>
      <w:r w:rsidRPr="0025749F">
        <w:rPr>
          <w:rFonts w:ascii="Calibri" w:eastAsia="Calibri" w:hAnsi="Calibri" w:cs="Calibri"/>
          <w:sz w:val="24"/>
          <w:szCs w:val="24"/>
        </w:rPr>
        <w:t>Līdz ar to</w:t>
      </w:r>
      <w:r w:rsidR="2765C52E" w:rsidRPr="0025749F">
        <w:rPr>
          <w:rFonts w:ascii="Calibri" w:eastAsia="Calibri" w:hAnsi="Calibri" w:cs="Calibri"/>
          <w:sz w:val="24"/>
          <w:szCs w:val="24"/>
        </w:rPr>
        <w:t>,</w:t>
      </w:r>
      <w:r w:rsidRPr="0025749F">
        <w:rPr>
          <w:rFonts w:ascii="Calibri" w:eastAsia="Calibri" w:hAnsi="Calibri" w:cs="Calibri"/>
          <w:sz w:val="24"/>
          <w:szCs w:val="24"/>
        </w:rPr>
        <w:t xml:space="preserve"> šo kopīgo stratēģisko mērķu sasniegšanai</w:t>
      </w:r>
      <w:r w:rsidR="3CA4C937" w:rsidRPr="0025749F">
        <w:rPr>
          <w:rFonts w:ascii="Calibri" w:eastAsia="Calibri" w:hAnsi="Calibri" w:cs="Calibri"/>
          <w:sz w:val="24"/>
          <w:szCs w:val="24"/>
        </w:rPr>
        <w:t>,</w:t>
      </w:r>
      <w:r w:rsidRPr="0025749F">
        <w:rPr>
          <w:rFonts w:ascii="Calibri" w:eastAsia="Calibri" w:hAnsi="Calibri" w:cs="Calibri"/>
          <w:sz w:val="24"/>
          <w:szCs w:val="24"/>
        </w:rPr>
        <w:t xml:space="preserve"> ir nepieciešams maksimāli</w:t>
      </w:r>
      <w:r w:rsidR="1355243A" w:rsidRPr="0025749F">
        <w:rPr>
          <w:rFonts w:ascii="Calibri" w:eastAsia="Calibri" w:hAnsi="Calibri" w:cs="Calibri"/>
          <w:sz w:val="24"/>
          <w:szCs w:val="24"/>
        </w:rPr>
        <w:t xml:space="preserve"> izmantot </w:t>
      </w:r>
      <w:r w:rsidR="4D0F1F9F" w:rsidRPr="0025749F">
        <w:rPr>
          <w:rFonts w:ascii="Calibri" w:eastAsia="Calibri" w:hAnsi="Calibri" w:cs="Calibri"/>
          <w:sz w:val="24"/>
          <w:szCs w:val="24"/>
        </w:rPr>
        <w:t xml:space="preserve"> gan atsavināmā portfeļa resursu</w:t>
      </w:r>
      <w:r w:rsidR="19D6917B" w:rsidRPr="0025749F">
        <w:rPr>
          <w:rFonts w:ascii="Calibri" w:eastAsia="Calibri" w:hAnsi="Calibri" w:cs="Calibri"/>
          <w:sz w:val="24"/>
          <w:szCs w:val="24"/>
        </w:rPr>
        <w:t>s</w:t>
      </w:r>
      <w:r w:rsidR="4D0F1F9F" w:rsidRPr="0025749F">
        <w:rPr>
          <w:rFonts w:ascii="Calibri" w:eastAsia="Calibri" w:hAnsi="Calibri" w:cs="Calibri"/>
          <w:sz w:val="24"/>
          <w:szCs w:val="24"/>
        </w:rPr>
        <w:t xml:space="preserve">, </w:t>
      </w:r>
      <w:r w:rsidRPr="0025749F">
        <w:rPr>
          <w:rFonts w:ascii="Calibri" w:eastAsia="Calibri" w:hAnsi="Calibri" w:cs="Calibri"/>
          <w:sz w:val="24"/>
          <w:szCs w:val="24"/>
        </w:rPr>
        <w:t>gan aktīvu portfeļa</w:t>
      </w:r>
      <w:r w:rsidR="40964F48" w:rsidRPr="0025749F">
        <w:rPr>
          <w:rFonts w:ascii="Calibri" w:eastAsia="Calibri" w:hAnsi="Calibri" w:cs="Calibri"/>
          <w:sz w:val="24"/>
          <w:szCs w:val="24"/>
        </w:rPr>
        <w:t xml:space="preserve"> resursus</w:t>
      </w:r>
      <w:r w:rsidR="0427FFC2" w:rsidRPr="0025749F">
        <w:rPr>
          <w:rFonts w:ascii="Calibri" w:eastAsia="Calibri" w:hAnsi="Calibri" w:cs="Calibri"/>
          <w:sz w:val="24"/>
          <w:szCs w:val="24"/>
        </w:rPr>
        <w:t>, kur</w:t>
      </w:r>
      <w:r w:rsidR="7D435D77" w:rsidRPr="0025749F">
        <w:rPr>
          <w:rFonts w:ascii="Calibri" w:eastAsia="Calibri" w:hAnsi="Calibri" w:cs="Calibri"/>
          <w:sz w:val="24"/>
          <w:szCs w:val="24"/>
        </w:rPr>
        <w:t>ā</w:t>
      </w:r>
      <w:r w:rsidR="0427FFC2" w:rsidRPr="0025749F">
        <w:rPr>
          <w:rFonts w:ascii="Calibri" w:eastAsia="Calibri" w:hAnsi="Calibri" w:cs="Calibri"/>
          <w:sz w:val="24"/>
          <w:szCs w:val="24"/>
        </w:rPr>
        <w:t xml:space="preserve"> </w:t>
      </w:r>
      <w:r w:rsidRPr="0025749F">
        <w:rPr>
          <w:rFonts w:ascii="Calibri" w:eastAsia="Calibri" w:hAnsi="Calibri" w:cs="Calibri"/>
          <w:sz w:val="24"/>
          <w:szCs w:val="24"/>
        </w:rPr>
        <w:t>ietverti īpašumi</w:t>
      </w:r>
      <w:r w:rsidR="104AFCD0" w:rsidRPr="0025749F">
        <w:rPr>
          <w:rFonts w:ascii="Calibri" w:eastAsia="Calibri" w:hAnsi="Calibri" w:cs="Calibri"/>
          <w:sz w:val="24"/>
          <w:szCs w:val="24"/>
        </w:rPr>
        <w:t xml:space="preserve">, kas atbilst </w:t>
      </w:r>
      <w:r w:rsidR="30058F6B" w:rsidRPr="0025749F">
        <w:rPr>
          <w:rFonts w:ascii="Calibri" w:eastAsia="Calibri" w:hAnsi="Calibri" w:cs="Calibri"/>
          <w:sz w:val="24"/>
          <w:szCs w:val="24"/>
        </w:rPr>
        <w:t xml:space="preserve">šādām pazīmēm: </w:t>
      </w:r>
    </w:p>
    <w:p w14:paraId="1FA8FF2E" w14:textId="4D9A1E89" w:rsidR="78438C7D" w:rsidRPr="0025749F" w:rsidRDefault="78438C7D" w:rsidP="26BD9954">
      <w:pPr>
        <w:pStyle w:val="ListParagraph"/>
        <w:numPr>
          <w:ilvl w:val="1"/>
          <w:numId w:val="8"/>
        </w:numPr>
        <w:spacing w:after="0"/>
        <w:ind w:left="720"/>
        <w:jc w:val="both"/>
        <w:rPr>
          <w:rFonts w:ascii="Calibri" w:eastAsia="Calibri" w:hAnsi="Calibri" w:cs="Calibri"/>
          <w:sz w:val="24"/>
          <w:szCs w:val="24"/>
        </w:rPr>
      </w:pPr>
      <w:r w:rsidRPr="0025749F">
        <w:rPr>
          <w:rFonts w:ascii="Calibri" w:eastAsia="Calibri" w:hAnsi="Calibri" w:cs="Calibri"/>
          <w:sz w:val="24"/>
          <w:szCs w:val="24"/>
        </w:rPr>
        <w:t>kuri ilgtermiņā nav nepieciešami publisko funkciju nodrošināšanai, tai skaitā īpašumi, kurus šobrīd pilnīb</w:t>
      </w:r>
      <w:r w:rsidR="2152A679" w:rsidRPr="0025749F">
        <w:rPr>
          <w:rFonts w:ascii="Calibri" w:eastAsia="Calibri" w:hAnsi="Calibri" w:cs="Calibri"/>
          <w:sz w:val="24"/>
          <w:szCs w:val="24"/>
        </w:rPr>
        <w:t>ā</w:t>
      </w:r>
      <w:r w:rsidRPr="0025749F">
        <w:rPr>
          <w:rFonts w:ascii="Calibri" w:eastAsia="Calibri" w:hAnsi="Calibri" w:cs="Calibri"/>
          <w:sz w:val="24"/>
          <w:szCs w:val="24"/>
        </w:rPr>
        <w:t xml:space="preserve"> vai daļēji izmanto valsts iestādes, bet nākotnē var tikt atsavināti, </w:t>
      </w:r>
    </w:p>
    <w:p w14:paraId="164EEE11" w14:textId="22692D83" w:rsidR="78438C7D" w:rsidRPr="0025749F" w:rsidRDefault="78438C7D" w:rsidP="26BD9954">
      <w:pPr>
        <w:pStyle w:val="ListParagraph"/>
        <w:numPr>
          <w:ilvl w:val="1"/>
          <w:numId w:val="8"/>
        </w:numPr>
        <w:spacing w:after="0"/>
        <w:ind w:left="720"/>
        <w:jc w:val="both"/>
        <w:rPr>
          <w:rFonts w:ascii="Calibri" w:eastAsia="Calibri" w:hAnsi="Calibri" w:cs="Calibri"/>
          <w:sz w:val="24"/>
          <w:szCs w:val="24"/>
        </w:rPr>
      </w:pPr>
      <w:r w:rsidRPr="0025749F">
        <w:rPr>
          <w:rFonts w:ascii="Calibri" w:eastAsia="Calibri" w:hAnsi="Calibri" w:cs="Calibri"/>
          <w:sz w:val="24"/>
          <w:szCs w:val="24"/>
        </w:rPr>
        <w:t>kuri potenciāli var tikt pārvietoti uz pamata portfeli</w:t>
      </w:r>
      <w:r w:rsidR="357273BD" w:rsidRPr="0025749F">
        <w:rPr>
          <w:rFonts w:ascii="Calibri" w:eastAsia="Calibri" w:hAnsi="Calibri" w:cs="Calibri"/>
          <w:sz w:val="24"/>
          <w:szCs w:val="24"/>
        </w:rPr>
        <w:t>,</w:t>
      </w:r>
      <w:r w:rsidRPr="0025749F">
        <w:rPr>
          <w:rFonts w:ascii="Calibri" w:eastAsia="Calibri" w:hAnsi="Calibri" w:cs="Calibri"/>
          <w:sz w:val="24"/>
          <w:szCs w:val="24"/>
        </w:rPr>
        <w:t xml:space="preserve"> tos attīstot un pielāgojot valsts iestādes vajadzībām, </w:t>
      </w:r>
    </w:p>
    <w:p w14:paraId="4DA93A6D" w14:textId="06038BE6" w:rsidR="78438C7D" w:rsidRPr="0025749F" w:rsidRDefault="78438C7D" w:rsidP="26BD9954">
      <w:pPr>
        <w:pStyle w:val="ListParagraph"/>
        <w:numPr>
          <w:ilvl w:val="1"/>
          <w:numId w:val="8"/>
        </w:numPr>
        <w:spacing w:after="0"/>
        <w:ind w:left="720"/>
        <w:jc w:val="both"/>
        <w:rPr>
          <w:rFonts w:ascii="Calibri" w:eastAsia="Calibri" w:hAnsi="Calibri" w:cs="Calibri"/>
          <w:sz w:val="24"/>
          <w:szCs w:val="24"/>
        </w:rPr>
      </w:pPr>
      <w:r w:rsidRPr="0025749F">
        <w:rPr>
          <w:rFonts w:ascii="Calibri" w:eastAsia="Calibri" w:hAnsi="Calibri" w:cs="Calibri"/>
          <w:sz w:val="24"/>
          <w:szCs w:val="24"/>
        </w:rPr>
        <w:t>kā arī vērtīgi vai rentabli īpašumi, kurus atsavinot vai iznomājot var gūt līdzekļus investīcijām pamata portfeļa īpašumos, bet kurus īstermiņā nav nepieciešams atsavināt</w:t>
      </w:r>
      <w:r w:rsidR="53F9E825" w:rsidRPr="0025749F">
        <w:rPr>
          <w:rFonts w:ascii="Calibri" w:eastAsia="Calibri" w:hAnsi="Calibri" w:cs="Calibri"/>
          <w:sz w:val="24"/>
          <w:szCs w:val="24"/>
        </w:rPr>
        <w:t>.</w:t>
      </w:r>
    </w:p>
    <w:p w14:paraId="7545635E" w14:textId="61D7AF6B" w:rsidR="78438C7D" w:rsidRPr="0025749F" w:rsidRDefault="5375B603" w:rsidP="26BD9954">
      <w:pPr>
        <w:spacing w:before="120"/>
        <w:ind w:firstLine="720"/>
        <w:jc w:val="both"/>
        <w:rPr>
          <w:rFonts w:ascii="Calibri" w:eastAsia="Calibri" w:hAnsi="Calibri" w:cs="Calibri"/>
          <w:sz w:val="24"/>
          <w:szCs w:val="24"/>
        </w:rPr>
      </w:pPr>
      <w:r w:rsidRPr="0025749F">
        <w:rPr>
          <w:rFonts w:ascii="Calibri" w:eastAsia="Calibri" w:hAnsi="Calibri" w:cs="Calibri"/>
          <w:sz w:val="24"/>
          <w:szCs w:val="24"/>
        </w:rPr>
        <w:t>Tā rezultātā tiktu p</w:t>
      </w:r>
      <w:r w:rsidR="78438C7D" w:rsidRPr="0025749F">
        <w:rPr>
          <w:rFonts w:ascii="Calibri" w:eastAsia="Calibri" w:hAnsi="Calibri" w:cs="Calibri"/>
          <w:sz w:val="24"/>
          <w:szCs w:val="24"/>
        </w:rPr>
        <w:t>iedāvā</w:t>
      </w:r>
      <w:r w:rsidR="685E7AE6" w:rsidRPr="0025749F">
        <w:rPr>
          <w:rFonts w:ascii="Calibri" w:eastAsia="Calibri" w:hAnsi="Calibri" w:cs="Calibri"/>
          <w:sz w:val="24"/>
          <w:szCs w:val="24"/>
        </w:rPr>
        <w:t>ti</w:t>
      </w:r>
      <w:r w:rsidR="78438C7D" w:rsidRPr="0025749F">
        <w:rPr>
          <w:rFonts w:ascii="Calibri" w:eastAsia="Calibri" w:hAnsi="Calibri" w:cs="Calibri"/>
          <w:sz w:val="24"/>
          <w:szCs w:val="24"/>
        </w:rPr>
        <w:t xml:space="preserve"> vienot</w:t>
      </w:r>
      <w:r w:rsidR="53DBD5D8" w:rsidRPr="0025749F">
        <w:rPr>
          <w:rFonts w:ascii="Calibri" w:eastAsia="Calibri" w:hAnsi="Calibri" w:cs="Calibri"/>
          <w:sz w:val="24"/>
          <w:szCs w:val="24"/>
        </w:rPr>
        <w:t xml:space="preserve">i </w:t>
      </w:r>
      <w:r w:rsidR="78438C7D" w:rsidRPr="0025749F">
        <w:rPr>
          <w:rFonts w:ascii="Calibri" w:eastAsia="Calibri" w:hAnsi="Calibri" w:cs="Calibri"/>
          <w:sz w:val="24"/>
          <w:szCs w:val="24"/>
        </w:rPr>
        <w:t>risinājum</w:t>
      </w:r>
      <w:r w:rsidR="77988B69" w:rsidRPr="0025749F">
        <w:rPr>
          <w:rFonts w:ascii="Calibri" w:eastAsia="Calibri" w:hAnsi="Calibri" w:cs="Calibri"/>
          <w:sz w:val="24"/>
          <w:szCs w:val="24"/>
        </w:rPr>
        <w:t>i</w:t>
      </w:r>
      <w:r w:rsidR="78438C7D" w:rsidRPr="0025749F">
        <w:rPr>
          <w:rFonts w:ascii="Calibri" w:eastAsia="Calibri" w:hAnsi="Calibri" w:cs="Calibri"/>
          <w:sz w:val="24"/>
          <w:szCs w:val="24"/>
        </w:rPr>
        <w:t>, kas vienlaicīgi aptver rīcību ar vairākiem NĪ, piemēram, atbrīvojot un atsavinot vairāk</w:t>
      </w:r>
      <w:r w:rsidR="48894B9D" w:rsidRPr="0025749F">
        <w:rPr>
          <w:rFonts w:ascii="Calibri" w:eastAsia="Calibri" w:hAnsi="Calibri" w:cs="Calibri"/>
          <w:sz w:val="24"/>
          <w:szCs w:val="24"/>
        </w:rPr>
        <w:t>us</w:t>
      </w:r>
      <w:r w:rsidR="78438C7D" w:rsidRPr="0025749F">
        <w:rPr>
          <w:rFonts w:ascii="Calibri" w:eastAsia="Calibri" w:hAnsi="Calibri" w:cs="Calibri"/>
          <w:sz w:val="24"/>
          <w:szCs w:val="24"/>
        </w:rPr>
        <w:t xml:space="preserve"> daļēji izmantotus NĪ un radot jaunas vai attīstot esošās ēkas, kurās tiek nodrošināta mūsdienīga un klientu prasībām atbilstoša vide, sniegti konkurētspējīgi pakalpojumi, kā arī vienlaicīgi veicot vairāku klientu pārcelšanu uz šo NĪ. Tādejādi tiktu veikta gan VNĪ N</w:t>
      </w:r>
      <w:r w:rsidR="19370E5E" w:rsidRPr="0025749F">
        <w:rPr>
          <w:rFonts w:ascii="Calibri" w:eastAsia="Calibri" w:hAnsi="Calibri" w:cs="Calibri"/>
          <w:sz w:val="24"/>
          <w:szCs w:val="24"/>
        </w:rPr>
        <w:t>Ī</w:t>
      </w:r>
      <w:r w:rsidR="78438C7D" w:rsidRPr="0025749F">
        <w:rPr>
          <w:rFonts w:ascii="Calibri" w:eastAsia="Calibri" w:hAnsi="Calibri" w:cs="Calibri"/>
          <w:sz w:val="24"/>
          <w:szCs w:val="24"/>
        </w:rPr>
        <w:t xml:space="preserve"> portfeļa struktūras uzlabošana, gan paaugstināta telpu izmantošanas efektivitāte, samazinot neiznomāto platību īpatsvaru no kopējās iznomājamās platības.</w:t>
      </w:r>
      <w:r w:rsidR="512E4910" w:rsidRPr="0025749F">
        <w:rPr>
          <w:rFonts w:ascii="Calibri" w:eastAsia="Calibri" w:hAnsi="Calibri" w:cs="Calibri"/>
          <w:sz w:val="24"/>
          <w:szCs w:val="24"/>
        </w:rPr>
        <w:t xml:space="preserve"> </w:t>
      </w:r>
      <w:r w:rsidR="78438C7D" w:rsidRPr="0025749F">
        <w:rPr>
          <w:rFonts w:ascii="Calibri" w:eastAsia="Calibri" w:hAnsi="Calibri" w:cs="Calibri"/>
          <w:sz w:val="24"/>
          <w:szCs w:val="24"/>
        </w:rPr>
        <w:t xml:space="preserve"> </w:t>
      </w:r>
      <w:r w:rsidR="2E42549A" w:rsidRPr="0025749F">
        <w:rPr>
          <w:rFonts w:ascii="Calibri" w:eastAsia="Calibri" w:hAnsi="Calibri" w:cs="Calibri"/>
          <w:sz w:val="24"/>
          <w:szCs w:val="24"/>
        </w:rPr>
        <w:t>Š</w:t>
      </w:r>
      <w:r w:rsidR="78438C7D" w:rsidRPr="0025749F">
        <w:rPr>
          <w:rFonts w:ascii="Calibri" w:eastAsia="Calibri" w:hAnsi="Calibri" w:cs="Calibri"/>
          <w:sz w:val="24"/>
          <w:szCs w:val="24"/>
        </w:rPr>
        <w:t xml:space="preserve">ajā ziņojumā sniegtais piedāvājums paredz atbrīvot no publiskiem nomniekiem aktīvu portfeļa </w:t>
      </w:r>
      <w:r w:rsidR="014BCC8D" w:rsidRPr="0025749F">
        <w:rPr>
          <w:rFonts w:ascii="Calibri" w:eastAsia="Calibri" w:hAnsi="Calibri" w:cs="Calibri"/>
          <w:sz w:val="24"/>
          <w:szCs w:val="24"/>
        </w:rPr>
        <w:t>N</w:t>
      </w:r>
      <w:r w:rsidR="6C9C045C" w:rsidRPr="0025749F">
        <w:rPr>
          <w:rFonts w:ascii="Calibri" w:eastAsia="Calibri" w:hAnsi="Calibri" w:cs="Calibri"/>
          <w:sz w:val="24"/>
          <w:szCs w:val="24"/>
        </w:rPr>
        <w:t>Ī</w:t>
      </w:r>
      <w:r w:rsidR="78438C7D" w:rsidRPr="0025749F">
        <w:rPr>
          <w:rFonts w:ascii="Calibri" w:eastAsia="Calibri" w:hAnsi="Calibri" w:cs="Calibri"/>
          <w:sz w:val="24"/>
          <w:szCs w:val="24"/>
        </w:rPr>
        <w:t xml:space="preserve">, tos atsavināt </w:t>
      </w:r>
      <w:r w:rsidR="3750E781" w:rsidRPr="0025749F">
        <w:rPr>
          <w:rFonts w:ascii="Calibri" w:eastAsia="Calibri" w:hAnsi="Calibri" w:cs="Calibri"/>
          <w:sz w:val="24"/>
          <w:szCs w:val="24"/>
        </w:rPr>
        <w:t xml:space="preserve">un </w:t>
      </w:r>
      <w:r w:rsidR="78438C7D" w:rsidRPr="0025749F">
        <w:rPr>
          <w:rFonts w:ascii="Calibri" w:eastAsia="Calibri" w:hAnsi="Calibri" w:cs="Calibri"/>
          <w:sz w:val="24"/>
          <w:szCs w:val="24"/>
        </w:rPr>
        <w:t>līdzekļus ieguldīt pamata portfeļa īpašumos</w:t>
      </w:r>
      <w:r w:rsidR="7762199E" w:rsidRPr="0025749F">
        <w:rPr>
          <w:rFonts w:ascii="Calibri" w:eastAsia="Calibri" w:hAnsi="Calibri" w:cs="Calibri"/>
          <w:sz w:val="24"/>
          <w:szCs w:val="24"/>
        </w:rPr>
        <w:t>,</w:t>
      </w:r>
      <w:r w:rsidR="78438C7D" w:rsidRPr="0025749F">
        <w:rPr>
          <w:rFonts w:ascii="Calibri" w:eastAsia="Calibri" w:hAnsi="Calibri" w:cs="Calibri"/>
          <w:sz w:val="24"/>
          <w:szCs w:val="24"/>
        </w:rPr>
        <w:t xml:space="preserve"> un tajos koncentrēt publiskos nomniekus ar tiem pieejamo finansējumu</w:t>
      </w:r>
      <w:r w:rsidR="4C39AC64" w:rsidRPr="0025749F">
        <w:rPr>
          <w:rFonts w:ascii="Calibri" w:eastAsia="Calibri" w:hAnsi="Calibri" w:cs="Calibri"/>
          <w:sz w:val="24"/>
          <w:szCs w:val="24"/>
        </w:rPr>
        <w:t>,</w:t>
      </w:r>
      <w:r w:rsidR="78438C7D" w:rsidRPr="0025749F">
        <w:rPr>
          <w:rFonts w:ascii="Calibri" w:eastAsia="Calibri" w:hAnsi="Calibri" w:cs="Calibri"/>
          <w:sz w:val="24"/>
          <w:szCs w:val="24"/>
        </w:rPr>
        <w:t xml:space="preserve"> nomas maksām neprasot kapitālieguldījumu atmaksu. </w:t>
      </w:r>
    </w:p>
    <w:p w14:paraId="6D6C00A2" w14:textId="06C70CEF" w:rsidR="039F6687" w:rsidRPr="0025749F" w:rsidRDefault="039F6687" w:rsidP="039F6687">
      <w:pPr>
        <w:ind w:firstLine="720"/>
        <w:jc w:val="both"/>
        <w:rPr>
          <w:rFonts w:ascii="Calibri" w:eastAsia="Calibri" w:hAnsi="Calibri" w:cs="Calibri"/>
          <w:sz w:val="24"/>
          <w:szCs w:val="24"/>
        </w:rPr>
      </w:pPr>
    </w:p>
    <w:p w14:paraId="05A871C8" w14:textId="0F75D60A" w:rsidR="00602E0D" w:rsidRPr="0025749F" w:rsidRDefault="000402FB" w:rsidP="26BD9954">
      <w:pPr>
        <w:pStyle w:val="Heading2"/>
        <w:rPr>
          <w:b/>
          <w:bCs/>
          <w:sz w:val="32"/>
          <w:szCs w:val="32"/>
        </w:rPr>
      </w:pPr>
      <w:r w:rsidRPr="0025749F">
        <w:rPr>
          <w:b/>
          <w:bCs/>
          <w:sz w:val="32"/>
          <w:szCs w:val="32"/>
        </w:rPr>
        <w:lastRenderedPageBreak/>
        <w:t>Esošā situācija</w:t>
      </w:r>
    </w:p>
    <w:p w14:paraId="69A2EC36" w14:textId="569C9316" w:rsidR="00602E0D" w:rsidRPr="0025749F" w:rsidRDefault="000402FB" w:rsidP="26BD9954">
      <w:pPr>
        <w:pStyle w:val="Heading3"/>
        <w:rPr>
          <w:sz w:val="28"/>
          <w:szCs w:val="28"/>
        </w:rPr>
      </w:pPr>
      <w:r w:rsidRPr="0025749F">
        <w:rPr>
          <w:sz w:val="28"/>
          <w:szCs w:val="28"/>
        </w:rPr>
        <w:t>N</w:t>
      </w:r>
      <w:r w:rsidR="447685C0" w:rsidRPr="0025749F">
        <w:rPr>
          <w:sz w:val="28"/>
          <w:szCs w:val="28"/>
        </w:rPr>
        <w:t>ekustamais īpašums</w:t>
      </w:r>
      <w:r w:rsidRPr="0025749F">
        <w:rPr>
          <w:sz w:val="28"/>
          <w:szCs w:val="28"/>
        </w:rPr>
        <w:t xml:space="preserve"> Krišjāņa Valdemāra ielā 26, Rīgā</w:t>
      </w:r>
    </w:p>
    <w:p w14:paraId="179400FF" w14:textId="76552EBF" w:rsidR="00602E0D" w:rsidRPr="0025749F" w:rsidRDefault="000402FB" w:rsidP="26BD9954">
      <w:pPr>
        <w:spacing w:before="120"/>
        <w:ind w:firstLine="720"/>
        <w:jc w:val="both"/>
        <w:rPr>
          <w:sz w:val="24"/>
          <w:szCs w:val="24"/>
        </w:rPr>
      </w:pPr>
      <w:r w:rsidRPr="0025749F">
        <w:rPr>
          <w:sz w:val="24"/>
          <w:szCs w:val="24"/>
        </w:rPr>
        <w:t xml:space="preserve">VNĪ 2020. gadā ir uzsākusi VNĪ īpašumā esošā </w:t>
      </w:r>
      <w:r w:rsidR="4228979E" w:rsidRPr="0025749F">
        <w:rPr>
          <w:sz w:val="24"/>
          <w:szCs w:val="24"/>
        </w:rPr>
        <w:t>NĪ</w:t>
      </w:r>
      <w:r w:rsidRPr="0025749F">
        <w:rPr>
          <w:sz w:val="24"/>
          <w:szCs w:val="24"/>
        </w:rPr>
        <w:t xml:space="preserve"> Krišjāņa Valdemāra ielā 26, Rīgā (NĪ kadastra numurs 01000200118) sastāvā esošās ēkas (</w:t>
      </w:r>
      <w:r w:rsidR="283A3C14" w:rsidRPr="0025749F">
        <w:rPr>
          <w:sz w:val="24"/>
          <w:szCs w:val="24"/>
        </w:rPr>
        <w:t xml:space="preserve">būves </w:t>
      </w:r>
      <w:r w:rsidRPr="0025749F">
        <w:rPr>
          <w:sz w:val="24"/>
          <w:szCs w:val="24"/>
        </w:rPr>
        <w:t>kadastra apzīmējums 01000200118001) ārējās apdares atjaunošanas projektu, kuru plānots pabeigt 2022.</w:t>
      </w:r>
      <w:r w:rsidR="1DE69417" w:rsidRPr="0025749F">
        <w:rPr>
          <w:sz w:val="24"/>
          <w:szCs w:val="24"/>
        </w:rPr>
        <w:t xml:space="preserve"> </w:t>
      </w:r>
      <w:r w:rsidRPr="0025749F">
        <w:rPr>
          <w:sz w:val="24"/>
          <w:szCs w:val="24"/>
        </w:rPr>
        <w:t>gada martā. Projekta ietvaros ēkai tiks atjaunotas fasādes, logi, ārdurvis, nomainīts jumta segums</w:t>
      </w:r>
      <w:r w:rsidR="00602E0D" w:rsidRPr="0025749F">
        <w:rPr>
          <w:sz w:val="24"/>
          <w:szCs w:val="24"/>
        </w:rPr>
        <w:t xml:space="preserve">, </w:t>
      </w:r>
      <w:r w:rsidRPr="0025749F">
        <w:rPr>
          <w:sz w:val="24"/>
          <w:szCs w:val="24"/>
        </w:rPr>
        <w:t>izbūvēts jauns lifts</w:t>
      </w:r>
      <w:r w:rsidR="00602E0D" w:rsidRPr="0025749F">
        <w:rPr>
          <w:sz w:val="24"/>
          <w:szCs w:val="24"/>
        </w:rPr>
        <w:t xml:space="preserve"> un labiek</w:t>
      </w:r>
      <w:r w:rsidR="00EF7B52" w:rsidRPr="0025749F">
        <w:rPr>
          <w:sz w:val="24"/>
          <w:szCs w:val="24"/>
        </w:rPr>
        <w:t>ā</w:t>
      </w:r>
      <w:r w:rsidR="00602E0D" w:rsidRPr="0025749F">
        <w:rPr>
          <w:sz w:val="24"/>
          <w:szCs w:val="24"/>
        </w:rPr>
        <w:t>rtots iekšpagalms</w:t>
      </w:r>
      <w:r w:rsidRPr="0025749F">
        <w:rPr>
          <w:sz w:val="24"/>
          <w:szCs w:val="24"/>
        </w:rPr>
        <w:t>. Kopējie VNĪ ieguldījumi plānoti 1,22 milj. EUR apmērā</w:t>
      </w:r>
      <w:r w:rsidR="007542EA" w:rsidRPr="0025749F">
        <w:rPr>
          <w:sz w:val="24"/>
          <w:szCs w:val="24"/>
        </w:rPr>
        <w:t xml:space="preserve">. </w:t>
      </w:r>
    </w:p>
    <w:p w14:paraId="26EE07C6" w14:textId="3C018CCB" w:rsidR="000402FB" w:rsidRPr="0025749F" w:rsidRDefault="007542EA" w:rsidP="26BD9954">
      <w:pPr>
        <w:ind w:firstLine="720"/>
        <w:jc w:val="both"/>
        <w:rPr>
          <w:sz w:val="24"/>
          <w:szCs w:val="24"/>
        </w:rPr>
      </w:pPr>
      <w:r w:rsidRPr="0025749F">
        <w:rPr>
          <w:sz w:val="24"/>
          <w:szCs w:val="24"/>
        </w:rPr>
        <w:t>No ēkas kopējās platības 78% ir iznomājama</w:t>
      </w:r>
      <w:r w:rsidR="00602E0D" w:rsidRPr="0025749F">
        <w:rPr>
          <w:sz w:val="24"/>
          <w:szCs w:val="24"/>
        </w:rPr>
        <w:t xml:space="preserve"> (attēls Nr.1)</w:t>
      </w:r>
      <w:r w:rsidRPr="0025749F">
        <w:rPr>
          <w:sz w:val="24"/>
          <w:szCs w:val="24"/>
        </w:rPr>
        <w:t xml:space="preserve"> un šobrīd ir iznomāti 30% no iznomājamās platības (</w:t>
      </w:r>
      <w:r w:rsidR="00602E0D" w:rsidRPr="0025749F">
        <w:rPr>
          <w:sz w:val="24"/>
          <w:szCs w:val="24"/>
        </w:rPr>
        <w:t xml:space="preserve">attēls </w:t>
      </w:r>
      <w:r w:rsidRPr="0025749F">
        <w:rPr>
          <w:sz w:val="24"/>
          <w:szCs w:val="24"/>
        </w:rPr>
        <w:t>Nr.2)</w:t>
      </w:r>
      <w:r w:rsidR="00602E0D" w:rsidRPr="0025749F">
        <w:rPr>
          <w:sz w:val="24"/>
          <w:szCs w:val="24"/>
        </w:rPr>
        <w:t>. No iznomātās platības 543,8 kv</w:t>
      </w:r>
      <w:r w:rsidR="20081872" w:rsidRPr="0025749F">
        <w:rPr>
          <w:sz w:val="24"/>
          <w:szCs w:val="24"/>
        </w:rPr>
        <w:t>adrātmetri</w:t>
      </w:r>
      <w:r w:rsidR="00602E0D" w:rsidRPr="0025749F">
        <w:rPr>
          <w:sz w:val="24"/>
          <w:szCs w:val="24"/>
        </w:rPr>
        <w:t xml:space="preserve"> ir iznomāti Pilsonības un migrācijas lietu pārvaldei</w:t>
      </w:r>
      <w:r w:rsidR="005163D5" w:rsidRPr="0025749F">
        <w:rPr>
          <w:sz w:val="24"/>
          <w:szCs w:val="24"/>
        </w:rPr>
        <w:t>.</w:t>
      </w:r>
    </w:p>
    <w:p w14:paraId="4E70E5DA" w14:textId="5ADECD3D" w:rsidR="007542EA" w:rsidRPr="0025749F" w:rsidRDefault="00AB55D9" w:rsidP="007542EA">
      <w:pPr>
        <w:jc w:val="both"/>
        <w:rPr>
          <w:i/>
          <w:iCs/>
          <w:sz w:val="20"/>
          <w:szCs w:val="20"/>
        </w:rPr>
      </w:pPr>
      <w:r>
        <w:rPr>
          <w:noProof/>
        </w:rPr>
        <mc:AlternateContent>
          <mc:Choice Requires="wps">
            <w:drawing>
              <wp:anchor distT="0" distB="0" distL="114300" distR="114300" simplePos="0" relativeHeight="251661312" behindDoc="0" locked="0" layoutInCell="1" allowOverlap="1" wp14:anchorId="06B03638" wp14:editId="706E8485">
                <wp:simplePos x="0" y="0"/>
                <wp:positionH relativeFrom="column">
                  <wp:posOffset>1121410</wp:posOffset>
                </wp:positionH>
                <wp:positionV relativeFrom="paragraph">
                  <wp:posOffset>1133475</wp:posOffset>
                </wp:positionV>
                <wp:extent cx="872490" cy="863600"/>
                <wp:effectExtent l="0" t="0" r="0" b="0"/>
                <wp:wrapNone/>
                <wp:docPr id="53"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2490" cy="863600"/>
                        </a:xfrm>
                        <a:prstGeom prst="rect">
                          <a:avLst/>
                        </a:prstGeom>
                        <a:noFill/>
                      </wps:spPr>
                      <wps:txbx>
                        <w:txbxContent>
                          <w:p w14:paraId="3B7C598D" w14:textId="77777777" w:rsidR="005163D5" w:rsidRDefault="005163D5" w:rsidP="005163D5">
                            <w:pPr>
                              <w:jc w:val="center"/>
                              <w:rPr>
                                <w:rFonts w:ascii="Calibri" w:eastAsia="+mn-ea" w:hAnsi="Calibri" w:cs="+mn-cs"/>
                                <w:b/>
                                <w:bCs/>
                                <w:color w:val="35373E"/>
                                <w:kern w:val="24"/>
                                <w:sz w:val="36"/>
                                <w:szCs w:val="36"/>
                              </w:rPr>
                            </w:pPr>
                            <w:r>
                              <w:rPr>
                                <w:rFonts w:ascii="Calibri" w:eastAsia="+mn-ea" w:hAnsi="Calibri" w:cs="+mn-cs"/>
                                <w:b/>
                                <w:bCs/>
                                <w:color w:val="35373E"/>
                                <w:kern w:val="24"/>
                                <w:sz w:val="36"/>
                                <w:szCs w:val="36"/>
                              </w:rPr>
                              <w:t>3 260</w:t>
                            </w:r>
                            <w:r>
                              <w:rPr>
                                <w:rFonts w:ascii="Calibri" w:eastAsia="+mn-ea" w:hAnsi="Calibri" w:cs="+mn-cs"/>
                                <w:b/>
                                <w:bCs/>
                                <w:color w:val="6B6F7B"/>
                                <w:kern w:val="24"/>
                                <w:sz w:val="36"/>
                                <w:szCs w:val="36"/>
                              </w:rPr>
                              <w:t xml:space="preserve"> </w:t>
                            </w:r>
                            <w:r>
                              <w:rPr>
                                <w:rFonts w:ascii="Calibri" w:eastAsia="+mn-ea" w:hAnsi="Calibri" w:cs="+mn-cs"/>
                                <w:b/>
                                <w:bCs/>
                                <w:color w:val="6B6F7B"/>
                                <w:kern w:val="24"/>
                              </w:rPr>
                              <w:t>m</w:t>
                            </w:r>
                            <w:r>
                              <w:rPr>
                                <w:rFonts w:ascii="Calibri" w:eastAsia="+mn-ea" w:hAnsi="Calibri" w:cs="+mn-cs"/>
                                <w:b/>
                                <w:bCs/>
                                <w:color w:val="6B6F7B"/>
                                <w:kern w:val="24"/>
                                <w:position w:val="7"/>
                                <w:vertAlign w:val="superscript"/>
                              </w:rPr>
                              <w:t>2</w:t>
                            </w:r>
                          </w:p>
                          <w:p w14:paraId="2C845801" w14:textId="77777777" w:rsidR="005163D5" w:rsidRPr="005163D5" w:rsidRDefault="005163D5" w:rsidP="005163D5">
                            <w:pPr>
                              <w:jc w:val="center"/>
                              <w:rPr>
                                <w:rFonts w:ascii="Calibri" w:eastAsia="+mn-ea" w:hAnsi="Calibri" w:cs="+mn-cs"/>
                                <w:color w:val="6B6F7B"/>
                                <w:kern w:val="24"/>
                                <w:position w:val="8"/>
                                <w:sz w:val="32"/>
                                <w:szCs w:val="30"/>
                                <w:vertAlign w:val="superscript"/>
                              </w:rPr>
                            </w:pPr>
                            <w:r w:rsidRPr="005163D5">
                              <w:rPr>
                                <w:rFonts w:ascii="Calibri" w:eastAsia="+mn-ea" w:hAnsi="Calibri" w:cs="+mn-cs"/>
                                <w:color w:val="6B6F7B"/>
                                <w:kern w:val="24"/>
                                <w:position w:val="8"/>
                                <w:sz w:val="32"/>
                                <w:szCs w:val="30"/>
                                <w:vertAlign w:val="superscript"/>
                              </w:rPr>
                              <w:t>Kopējā platība</w:t>
                            </w:r>
                          </w:p>
                        </w:txbxContent>
                      </wps:txbx>
                      <wps:bodyPr wrap="square" lIns="0" rIns="0" rtlCol="0" anchor="t" anchorCtr="0">
                        <a:spAutoFit/>
                      </wps:bodyPr>
                    </wps:wsp>
                  </a:graphicData>
                </a:graphic>
                <wp14:sizeRelH relativeFrom="page">
                  <wp14:pctWidth>0</wp14:pctWidth>
                </wp14:sizeRelH>
                <wp14:sizeRelV relativeFrom="page">
                  <wp14:pctHeight>0</wp14:pctHeight>
                </wp14:sizeRelV>
              </wp:anchor>
            </w:drawing>
          </mc:Choice>
          <mc:Fallback>
            <w:pict>
              <v:shapetype w14:anchorId="06B03638" id="_x0000_t202" coordsize="21600,21600" o:spt="202" path="m,l,21600r21600,l21600,xe">
                <v:stroke joinstyle="miter"/>
                <v:path gradientshapeok="t" o:connecttype="rect"/>
              </v:shapetype>
              <v:shape id="TextBox 52" o:spid="_x0000_s1026" type="#_x0000_t202" style="position:absolute;left:0;text-align:left;margin-left:88.3pt;margin-top:89.25pt;width:68.7pt;height: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" filled="f" stroked="f">
                <v:textbox style="mso-fit-shape-to-text:t" inset="0,,0">
                  <w:txbxContent>
                    <w:p w14:paraId="3B7C598D" w14:textId="77777777" w:rsidR="005163D5" w:rsidRDefault="005163D5" w:rsidP="005163D5">
                      <w:pPr>
                        <w:jc w:val="center"/>
                        <w:rPr>
                          <w:rFonts w:ascii="Calibri" w:eastAsia="+mn-ea" w:hAnsi="Calibri" w:cs="+mn-cs"/>
                          <w:b/>
                          <w:bCs/>
                          <w:color w:val="35373E"/>
                          <w:kern w:val="24"/>
                          <w:sz w:val="36"/>
                          <w:szCs w:val="36"/>
                        </w:rPr>
                      </w:pPr>
                      <w:r>
                        <w:rPr>
                          <w:rFonts w:ascii="Calibri" w:eastAsia="+mn-ea" w:hAnsi="Calibri" w:cs="+mn-cs"/>
                          <w:b/>
                          <w:bCs/>
                          <w:color w:val="35373E"/>
                          <w:kern w:val="24"/>
                          <w:sz w:val="36"/>
                          <w:szCs w:val="36"/>
                        </w:rPr>
                        <w:t>3 260</w:t>
                      </w:r>
                      <w:r>
                        <w:rPr>
                          <w:rFonts w:ascii="Calibri" w:eastAsia="+mn-ea" w:hAnsi="Calibri" w:cs="+mn-cs"/>
                          <w:b/>
                          <w:bCs/>
                          <w:color w:val="6B6F7B"/>
                          <w:kern w:val="24"/>
                          <w:sz w:val="36"/>
                          <w:szCs w:val="36"/>
                        </w:rPr>
                        <w:t xml:space="preserve"> </w:t>
                      </w:r>
                      <w:r>
                        <w:rPr>
                          <w:rFonts w:ascii="Calibri" w:eastAsia="+mn-ea" w:hAnsi="Calibri" w:cs="+mn-cs"/>
                          <w:b/>
                          <w:bCs/>
                          <w:color w:val="6B6F7B"/>
                          <w:kern w:val="24"/>
                        </w:rPr>
                        <w:t>m</w:t>
                      </w:r>
                      <w:r>
                        <w:rPr>
                          <w:rFonts w:ascii="Calibri" w:eastAsia="+mn-ea" w:hAnsi="Calibri" w:cs="+mn-cs"/>
                          <w:b/>
                          <w:bCs/>
                          <w:color w:val="6B6F7B"/>
                          <w:kern w:val="24"/>
                          <w:position w:val="7"/>
                          <w:vertAlign w:val="superscript"/>
                        </w:rPr>
                        <w:t>2</w:t>
                      </w:r>
                    </w:p>
                    <w:p w14:paraId="2C845801" w14:textId="77777777" w:rsidR="005163D5" w:rsidRPr="005163D5" w:rsidRDefault="005163D5" w:rsidP="005163D5">
                      <w:pPr>
                        <w:jc w:val="center"/>
                        <w:rPr>
                          <w:rFonts w:ascii="Calibri" w:eastAsia="+mn-ea" w:hAnsi="Calibri" w:cs="+mn-cs"/>
                          <w:color w:val="6B6F7B"/>
                          <w:kern w:val="24"/>
                          <w:position w:val="8"/>
                          <w:sz w:val="32"/>
                          <w:szCs w:val="30"/>
                          <w:vertAlign w:val="superscript"/>
                        </w:rPr>
                      </w:pPr>
                      <w:r w:rsidRPr="005163D5">
                        <w:rPr>
                          <w:rFonts w:ascii="Calibri" w:eastAsia="+mn-ea" w:hAnsi="Calibri" w:cs="+mn-cs"/>
                          <w:color w:val="6B6F7B"/>
                          <w:kern w:val="24"/>
                          <w:position w:val="8"/>
                          <w:sz w:val="32"/>
                          <w:szCs w:val="30"/>
                          <w:vertAlign w:val="superscript"/>
                        </w:rPr>
                        <w:t>Kopējā platība</w:t>
                      </w:r>
                    </w:p>
                  </w:txbxContent>
                </v:textbox>
              </v:shape>
            </w:pict>
          </mc:Fallback>
        </mc:AlternateContent>
      </w:r>
      <w:r w:rsidR="005163D5" w:rsidRPr="0025749F">
        <w:rPr>
          <w:noProof/>
        </w:rPr>
        <w:drawing>
          <wp:anchor distT="0" distB="0" distL="114300" distR="114300" simplePos="0" relativeHeight="251658240" behindDoc="1" locked="0" layoutInCell="1" allowOverlap="1" wp14:anchorId="1D392CD5" wp14:editId="52650316">
            <wp:simplePos x="0" y="0"/>
            <wp:positionH relativeFrom="margin">
              <wp:align>right</wp:align>
            </wp:positionH>
            <wp:positionV relativeFrom="paragraph">
              <wp:posOffset>266065</wp:posOffset>
            </wp:positionV>
            <wp:extent cx="2912745" cy="2426970"/>
            <wp:effectExtent l="0" t="0" r="1905" b="0"/>
            <wp:wrapTopAndBottom/>
            <wp:docPr id="4" name="Chart 4">
              <a:extLst xmlns:a="http://schemas.openxmlformats.org/drawingml/2006/main">
                <a:ext uri="{FF2B5EF4-FFF2-40B4-BE49-F238E27FC236}">
                  <a16:creationId xmlns:a16="http://schemas.microsoft.com/office/drawing/2014/main" id="{6C7410C7-55D7-4D5A-BF68-A5187CCEA9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5163D5" w:rsidRPr="0025749F">
        <w:rPr>
          <w:noProof/>
          <w:sz w:val="20"/>
          <w:szCs w:val="20"/>
        </w:rPr>
        <w:drawing>
          <wp:anchor distT="0" distB="0" distL="114300" distR="114300" simplePos="0" relativeHeight="251659264" behindDoc="0" locked="0" layoutInCell="1" allowOverlap="1" wp14:anchorId="4111E554" wp14:editId="73B91E04">
            <wp:simplePos x="0" y="0"/>
            <wp:positionH relativeFrom="margin">
              <wp:align>left</wp:align>
            </wp:positionH>
            <wp:positionV relativeFrom="paragraph">
              <wp:posOffset>266397</wp:posOffset>
            </wp:positionV>
            <wp:extent cx="3110230" cy="2432685"/>
            <wp:effectExtent l="0" t="0" r="0" b="5715"/>
            <wp:wrapThrough wrapText="bothSides">
              <wp:wrapPolygon edited="0">
                <wp:start x="0" y="0"/>
                <wp:lineTo x="0" y="21482"/>
                <wp:lineTo x="21432" y="21482"/>
                <wp:lineTo x="21432" y="0"/>
                <wp:lineTo x="0" y="0"/>
              </wp:wrapPolygon>
            </wp:wrapThrough>
            <wp:docPr id="1" name="Chart 1">
              <a:extLst xmlns:a="http://schemas.openxmlformats.org/drawingml/2006/main">
                <a:ext uri="{FF2B5EF4-FFF2-40B4-BE49-F238E27FC236}">
                  <a16:creationId xmlns:a16="http://schemas.microsoft.com/office/drawing/2014/main" id="{754D5BB9-F852-46D7-95FA-62BB4415DE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7542EA" w:rsidRPr="0025749F">
        <w:rPr>
          <w:i/>
          <w:iCs/>
          <w:sz w:val="20"/>
          <w:szCs w:val="20"/>
        </w:rPr>
        <w:t>Attēls Nr.1: kopējās platības sadalījums:</w:t>
      </w:r>
      <w:r w:rsidR="00602E0D" w:rsidRPr="0025749F">
        <w:rPr>
          <w:i/>
          <w:iCs/>
          <w:sz w:val="20"/>
          <w:szCs w:val="20"/>
        </w:rPr>
        <w:t xml:space="preserve"> </w:t>
      </w:r>
      <w:r w:rsidR="00602E0D" w:rsidRPr="0025749F">
        <w:rPr>
          <w:i/>
          <w:iCs/>
          <w:sz w:val="20"/>
          <w:szCs w:val="20"/>
        </w:rPr>
        <w:tab/>
      </w:r>
      <w:r w:rsidR="00602E0D" w:rsidRPr="0025749F">
        <w:rPr>
          <w:i/>
          <w:iCs/>
          <w:sz w:val="20"/>
          <w:szCs w:val="20"/>
        </w:rPr>
        <w:tab/>
      </w:r>
      <w:r w:rsidR="00602E0D" w:rsidRPr="0025749F">
        <w:rPr>
          <w:i/>
          <w:iCs/>
          <w:sz w:val="20"/>
          <w:szCs w:val="20"/>
        </w:rPr>
        <w:tab/>
      </w:r>
      <w:r w:rsidR="00602E0D" w:rsidRPr="0025749F">
        <w:rPr>
          <w:i/>
          <w:iCs/>
          <w:sz w:val="20"/>
          <w:szCs w:val="20"/>
        </w:rPr>
        <w:tab/>
        <w:t xml:space="preserve">           Attēls Nr.2: iznomājamās platības sadalījums:</w:t>
      </w:r>
    </w:p>
    <w:p w14:paraId="4D00F68D" w14:textId="649B12A7" w:rsidR="005163D5" w:rsidRPr="0025749F" w:rsidRDefault="005163D5" w:rsidP="007542EA">
      <w:pPr>
        <w:jc w:val="both"/>
        <w:rPr>
          <w:sz w:val="20"/>
          <w:szCs w:val="20"/>
        </w:rPr>
      </w:pPr>
    </w:p>
    <w:p w14:paraId="10BD5FDA" w14:textId="06F5723F" w:rsidR="00EF7B52" w:rsidRPr="0025749F" w:rsidRDefault="00EF7B52">
      <w:pPr>
        <w:pStyle w:val="Heading3"/>
        <w:rPr>
          <w:sz w:val="28"/>
          <w:szCs w:val="28"/>
        </w:rPr>
      </w:pPr>
      <w:r w:rsidRPr="0025749F">
        <w:rPr>
          <w:sz w:val="28"/>
          <w:szCs w:val="28"/>
        </w:rPr>
        <w:t>N</w:t>
      </w:r>
      <w:r w:rsidR="6034A9B1" w:rsidRPr="0025749F">
        <w:rPr>
          <w:sz w:val="28"/>
          <w:szCs w:val="28"/>
        </w:rPr>
        <w:t xml:space="preserve">ekustamais īpašums </w:t>
      </w:r>
      <w:r w:rsidRPr="0025749F">
        <w:rPr>
          <w:sz w:val="28"/>
          <w:szCs w:val="28"/>
        </w:rPr>
        <w:t>Eksporta ielā 6, Rīgā</w:t>
      </w:r>
    </w:p>
    <w:p w14:paraId="083710C0" w14:textId="0D48673E" w:rsidR="005532F7" w:rsidRPr="0025749F" w:rsidRDefault="005532F7" w:rsidP="26BD9954">
      <w:pPr>
        <w:ind w:firstLine="720"/>
        <w:jc w:val="both"/>
        <w:rPr>
          <w:sz w:val="24"/>
          <w:szCs w:val="24"/>
        </w:rPr>
      </w:pPr>
      <w:r w:rsidRPr="0025749F">
        <w:rPr>
          <w:sz w:val="24"/>
          <w:szCs w:val="24"/>
        </w:rPr>
        <w:t xml:space="preserve">Nekustamais īpašums (nekustamā īpašuma kadastra Nr. 0100 011 0166) Eksporta ielā 6, Rīgā, sastāv no zemes vienības (zemes vienības kadastra apzīmējums 0100 011 0166) 1650 </w:t>
      </w:r>
      <w:r w:rsidR="7FD88671" w:rsidRPr="0025749F">
        <w:rPr>
          <w:sz w:val="24"/>
          <w:szCs w:val="24"/>
        </w:rPr>
        <w:t>kvadrātmetru</w:t>
      </w:r>
      <w:r w:rsidRPr="0025749F">
        <w:rPr>
          <w:sz w:val="24"/>
          <w:szCs w:val="24"/>
        </w:rPr>
        <w:t xml:space="preserve"> platībā, vienas būves – administratīvā ēka (būves kadastra apzīmējums 0100 011 0166 001) 5870</w:t>
      </w:r>
      <w:r w:rsidR="5C8B7948" w:rsidRPr="0025749F">
        <w:rPr>
          <w:sz w:val="24"/>
          <w:szCs w:val="24"/>
        </w:rPr>
        <w:t>,</w:t>
      </w:r>
      <w:r w:rsidRPr="0025749F">
        <w:rPr>
          <w:sz w:val="24"/>
          <w:szCs w:val="24"/>
        </w:rPr>
        <w:t xml:space="preserve">90 </w:t>
      </w:r>
      <w:r w:rsidR="799540EC" w:rsidRPr="0025749F">
        <w:rPr>
          <w:sz w:val="24"/>
          <w:szCs w:val="24"/>
        </w:rPr>
        <w:t>kvadrātmetru</w:t>
      </w:r>
      <w:r w:rsidRPr="0025749F">
        <w:rPr>
          <w:sz w:val="24"/>
          <w:szCs w:val="24"/>
        </w:rPr>
        <w:t xml:space="preserve"> platībā un vienas inženierbūves – bruģēts un betonēts laukums</w:t>
      </w:r>
      <w:r w:rsidR="3CF7009E" w:rsidRPr="0025749F">
        <w:rPr>
          <w:sz w:val="24"/>
          <w:szCs w:val="24"/>
        </w:rPr>
        <w:t xml:space="preserve"> </w:t>
      </w:r>
      <w:r w:rsidRPr="0025749F">
        <w:rPr>
          <w:sz w:val="24"/>
          <w:szCs w:val="24"/>
        </w:rPr>
        <w:t>(būves kadastra apzīmējums</w:t>
      </w:r>
      <w:r w:rsidR="2F5BF351" w:rsidRPr="0025749F">
        <w:rPr>
          <w:sz w:val="24"/>
          <w:szCs w:val="24"/>
        </w:rPr>
        <w:t xml:space="preserve"> </w:t>
      </w:r>
      <w:r w:rsidRPr="0025749F">
        <w:rPr>
          <w:sz w:val="24"/>
          <w:szCs w:val="24"/>
        </w:rPr>
        <w:t>0100 011 0166 002) 408</w:t>
      </w:r>
      <w:r w:rsidR="62F20FAC" w:rsidRPr="0025749F">
        <w:rPr>
          <w:sz w:val="24"/>
          <w:szCs w:val="24"/>
        </w:rPr>
        <w:t>,</w:t>
      </w:r>
      <w:r w:rsidRPr="0025749F">
        <w:rPr>
          <w:sz w:val="24"/>
          <w:szCs w:val="24"/>
        </w:rPr>
        <w:t xml:space="preserve">54 </w:t>
      </w:r>
      <w:r w:rsidR="5F9EF724" w:rsidRPr="0025749F">
        <w:rPr>
          <w:sz w:val="24"/>
          <w:szCs w:val="24"/>
        </w:rPr>
        <w:t>kvadrātmetri</w:t>
      </w:r>
      <w:r w:rsidRPr="0025749F">
        <w:rPr>
          <w:sz w:val="24"/>
          <w:szCs w:val="24"/>
        </w:rPr>
        <w:t xml:space="preserve"> platībā.</w:t>
      </w:r>
    </w:p>
    <w:p w14:paraId="438A566A" w14:textId="77777777" w:rsidR="005532F7" w:rsidRPr="0025749F" w:rsidRDefault="005532F7" w:rsidP="005532F7">
      <w:pPr>
        <w:ind w:firstLine="720"/>
        <w:jc w:val="both"/>
        <w:rPr>
          <w:sz w:val="24"/>
          <w:szCs w:val="24"/>
        </w:rPr>
      </w:pPr>
      <w:r w:rsidRPr="0025749F">
        <w:rPr>
          <w:sz w:val="24"/>
          <w:szCs w:val="24"/>
        </w:rPr>
        <w:t xml:space="preserve">Īpašuma tiesības uz 44194/53679 nekustamā īpašuma domājamām daļām nostiprinātas Rīgas zemesgrāmatas nodalījumā Nr.2454 uz valsts vārda Finanšu ministrijas personā (pamats: 2004.gada 2.aprīļa Ministru kabineta rīkojums Nr.197, 2006.gada 30.maija akts par nekustamā īpašuma nodošanu un pārņemšanu valdījumā). </w:t>
      </w:r>
    </w:p>
    <w:p w14:paraId="2D21F0FB" w14:textId="5AFC53B4" w:rsidR="005532F7" w:rsidRPr="0025749F" w:rsidRDefault="005532F7" w:rsidP="26BD9954">
      <w:pPr>
        <w:ind w:firstLine="720"/>
        <w:jc w:val="both"/>
        <w:rPr>
          <w:sz w:val="24"/>
          <w:szCs w:val="24"/>
        </w:rPr>
      </w:pPr>
      <w:r w:rsidRPr="0025749F">
        <w:rPr>
          <w:sz w:val="24"/>
          <w:szCs w:val="24"/>
        </w:rPr>
        <w:t>No ēkas kopējās platības 69% ir iznomājamā platība, no kuras 55% ir iznomāti Iepirkumu uzraudzības birojam</w:t>
      </w:r>
      <w:r w:rsidR="1B305E7A" w:rsidRPr="0025749F">
        <w:rPr>
          <w:sz w:val="24"/>
          <w:szCs w:val="24"/>
        </w:rPr>
        <w:t xml:space="preserve"> </w:t>
      </w:r>
      <w:r w:rsidRPr="0025749F">
        <w:rPr>
          <w:sz w:val="24"/>
          <w:szCs w:val="24"/>
        </w:rPr>
        <w:t>933</w:t>
      </w:r>
      <w:r w:rsidR="41FCC28D" w:rsidRPr="0025749F">
        <w:rPr>
          <w:sz w:val="24"/>
          <w:szCs w:val="24"/>
        </w:rPr>
        <w:t>,</w:t>
      </w:r>
      <w:r w:rsidRPr="0025749F">
        <w:rPr>
          <w:sz w:val="24"/>
          <w:szCs w:val="24"/>
        </w:rPr>
        <w:t xml:space="preserve">7 </w:t>
      </w:r>
      <w:r w:rsidR="56085C37" w:rsidRPr="0025749F">
        <w:rPr>
          <w:sz w:val="24"/>
          <w:szCs w:val="24"/>
        </w:rPr>
        <w:t>kvadrātmetri</w:t>
      </w:r>
      <w:r w:rsidRPr="0025749F">
        <w:rPr>
          <w:sz w:val="24"/>
          <w:szCs w:val="24"/>
        </w:rPr>
        <w:t>, Valsts valodas centram 689</w:t>
      </w:r>
      <w:r w:rsidR="66F7E784" w:rsidRPr="0025749F">
        <w:rPr>
          <w:sz w:val="24"/>
          <w:szCs w:val="24"/>
        </w:rPr>
        <w:t>,</w:t>
      </w:r>
      <w:r w:rsidRPr="0025749F">
        <w:rPr>
          <w:sz w:val="24"/>
          <w:szCs w:val="24"/>
        </w:rPr>
        <w:t xml:space="preserve">5 </w:t>
      </w:r>
      <w:r w:rsidR="79F73C38" w:rsidRPr="0025749F">
        <w:rPr>
          <w:sz w:val="24"/>
          <w:szCs w:val="24"/>
        </w:rPr>
        <w:t>kvadrātmetri</w:t>
      </w:r>
      <w:r w:rsidRPr="0025749F">
        <w:rPr>
          <w:sz w:val="24"/>
          <w:szCs w:val="24"/>
        </w:rPr>
        <w:t>, Nodarbinātības valsts aģentūrai 605</w:t>
      </w:r>
      <w:r w:rsidR="0D1CF8A5" w:rsidRPr="0025749F">
        <w:rPr>
          <w:sz w:val="24"/>
          <w:szCs w:val="24"/>
        </w:rPr>
        <w:t>,</w:t>
      </w:r>
      <w:r w:rsidRPr="0025749F">
        <w:rPr>
          <w:sz w:val="24"/>
          <w:szCs w:val="24"/>
        </w:rPr>
        <w:t xml:space="preserve">2 </w:t>
      </w:r>
      <w:r w:rsidR="19CD7855" w:rsidRPr="0025749F">
        <w:rPr>
          <w:sz w:val="24"/>
          <w:szCs w:val="24"/>
        </w:rPr>
        <w:t>kvadrātmetri</w:t>
      </w:r>
      <w:r w:rsidRPr="0025749F">
        <w:rPr>
          <w:sz w:val="24"/>
          <w:szCs w:val="24"/>
        </w:rPr>
        <w:t xml:space="preserve"> un diviem </w:t>
      </w:r>
      <w:proofErr w:type="spellStart"/>
      <w:r w:rsidRPr="0025749F">
        <w:rPr>
          <w:sz w:val="24"/>
          <w:szCs w:val="24"/>
        </w:rPr>
        <w:t>komercnomniekiem</w:t>
      </w:r>
      <w:proofErr w:type="spellEnd"/>
      <w:r w:rsidRPr="0025749F">
        <w:rPr>
          <w:sz w:val="24"/>
          <w:szCs w:val="24"/>
        </w:rPr>
        <w:t xml:space="preserve"> 22</w:t>
      </w:r>
      <w:r w:rsidR="5139DD6B" w:rsidRPr="0025749F">
        <w:rPr>
          <w:sz w:val="24"/>
          <w:szCs w:val="24"/>
        </w:rPr>
        <w:t>,</w:t>
      </w:r>
      <w:r w:rsidRPr="0025749F">
        <w:rPr>
          <w:sz w:val="24"/>
          <w:szCs w:val="24"/>
        </w:rPr>
        <w:t xml:space="preserve">5 </w:t>
      </w:r>
      <w:r w:rsidR="692FC44B" w:rsidRPr="0025749F">
        <w:rPr>
          <w:sz w:val="24"/>
          <w:szCs w:val="24"/>
        </w:rPr>
        <w:t>kvadrātmetri</w:t>
      </w:r>
      <w:r w:rsidR="4D989DBB" w:rsidRPr="0025749F">
        <w:rPr>
          <w:sz w:val="24"/>
          <w:szCs w:val="24"/>
        </w:rPr>
        <w:t>, kā arī</w:t>
      </w:r>
      <w:r w:rsidRPr="0025749F">
        <w:rPr>
          <w:sz w:val="24"/>
          <w:szCs w:val="24"/>
        </w:rPr>
        <w:t xml:space="preserve"> 7% izīrēti  divām privātpersonām. Pārējā ēkas daļa sadalīta dzīvokļu īpašumos.</w:t>
      </w:r>
    </w:p>
    <w:p w14:paraId="0A26AA2C" w14:textId="2D6053FC" w:rsidR="005532F7" w:rsidRPr="0025749F" w:rsidRDefault="005532F7" w:rsidP="26BD9954">
      <w:pPr>
        <w:ind w:firstLine="720"/>
        <w:jc w:val="both"/>
        <w:rPr>
          <w:sz w:val="24"/>
          <w:szCs w:val="24"/>
        </w:rPr>
      </w:pPr>
      <w:r w:rsidRPr="0025749F">
        <w:rPr>
          <w:sz w:val="24"/>
          <w:szCs w:val="24"/>
        </w:rPr>
        <w:lastRenderedPageBreak/>
        <w:t>Atbilstoši 2020.gadā akciju sabiedrības “</w:t>
      </w:r>
      <w:proofErr w:type="spellStart"/>
      <w:r w:rsidRPr="0025749F">
        <w:rPr>
          <w:sz w:val="24"/>
          <w:szCs w:val="24"/>
        </w:rPr>
        <w:t>Inspecta</w:t>
      </w:r>
      <w:proofErr w:type="spellEnd"/>
      <w:r w:rsidRPr="0025749F">
        <w:rPr>
          <w:sz w:val="24"/>
          <w:szCs w:val="24"/>
        </w:rPr>
        <w:t>” būvinženieru veiktajam nekustamā īpašuma tehniskās apsekošanas atzinumam, konstatēts, ka administratīvā ēka Eksporta ielā 6, Rīgā, ir apmierinošā stāvoklī un kopējais vizuālais nolietojums ir 29</w:t>
      </w:r>
      <w:r w:rsidR="7504F8E8" w:rsidRPr="0025749F">
        <w:rPr>
          <w:sz w:val="24"/>
          <w:szCs w:val="24"/>
        </w:rPr>
        <w:t>,</w:t>
      </w:r>
      <w:r w:rsidRPr="0025749F">
        <w:rPr>
          <w:sz w:val="24"/>
          <w:szCs w:val="24"/>
        </w:rPr>
        <w:t xml:space="preserve">7%. Atsevišķu ēkas elementu (elektroinstalācijas, kāpņu konstrukcijas un starpstāvu koka pārsegumi) stāvoklis ir tehniski neapmierinošā stāvoklī. </w:t>
      </w:r>
    </w:p>
    <w:p w14:paraId="6382C343" w14:textId="795EC89E" w:rsidR="00145209" w:rsidRPr="0025749F" w:rsidRDefault="00145209" w:rsidP="00145209">
      <w:pPr>
        <w:ind w:firstLine="720"/>
        <w:jc w:val="both"/>
        <w:rPr>
          <w:sz w:val="24"/>
          <w:szCs w:val="24"/>
        </w:rPr>
      </w:pPr>
      <w:r w:rsidRPr="0025749F">
        <w:rPr>
          <w:sz w:val="24"/>
          <w:szCs w:val="24"/>
        </w:rPr>
        <w:t xml:space="preserve">Šobrīd tiek realizēts projekts “Finanšu ministrijas resora iestāžu izvietošana”, kura ietvaros paredzēts Iepirkumu uzraudzības biroju (IUB), Izložu un Azartspēļu Uzraudzības Inspekciju un Valsts kasi izvietot Smilšu ielā 1, Rīgā (Lit.005), atjaunojot ēku un ieviešot uz aktivitātēm </w:t>
      </w:r>
      <w:r w:rsidR="00014B11" w:rsidRPr="0025749F">
        <w:rPr>
          <w:sz w:val="24"/>
          <w:szCs w:val="24"/>
        </w:rPr>
        <w:t xml:space="preserve">balstīta biroja </w:t>
      </w:r>
      <w:r w:rsidRPr="0025749F">
        <w:rPr>
          <w:sz w:val="24"/>
          <w:szCs w:val="24"/>
        </w:rPr>
        <w:t>principus. Pēc projekta realizācijas IUB plānots pārcelties no nomātajām telpām Eksporta ielā 6 uz telpām Smilšu ielā 1, Rīgā. Projekta realizācijas termiņš – 31.12.2023.</w:t>
      </w:r>
    </w:p>
    <w:p w14:paraId="6B398E60" w14:textId="6C972E32" w:rsidR="00145209" w:rsidRPr="0025749F" w:rsidRDefault="00145209" w:rsidP="00145209">
      <w:pPr>
        <w:ind w:firstLine="720"/>
        <w:jc w:val="both"/>
        <w:rPr>
          <w:sz w:val="24"/>
          <w:szCs w:val="24"/>
        </w:rPr>
      </w:pPr>
      <w:r w:rsidRPr="0025749F">
        <w:rPr>
          <w:sz w:val="24"/>
          <w:szCs w:val="24"/>
        </w:rPr>
        <w:t>Pēc ēkas Eksporta ielā 6 atbrīvošanas no publiskā sektora nomniekiem, tā tiktu atsavināta, tādējādi uzlabojot NĪ izmantošanas efektivitāti un samazinot NĪ kopējo brīvo platību īpatsvaru.</w:t>
      </w:r>
    </w:p>
    <w:p w14:paraId="3B011682" w14:textId="459A8FC8" w:rsidR="005532F7" w:rsidRPr="0025749F" w:rsidRDefault="005532F7" w:rsidP="039F6687">
      <w:pPr>
        <w:jc w:val="both"/>
        <w:rPr>
          <w:sz w:val="24"/>
          <w:szCs w:val="24"/>
        </w:rPr>
      </w:pPr>
    </w:p>
    <w:p w14:paraId="65F43518" w14:textId="7FFD232C" w:rsidR="00C2641B" w:rsidRPr="0025749F" w:rsidRDefault="002C324B" w:rsidP="2CC57F08">
      <w:pPr>
        <w:pStyle w:val="Heading2"/>
        <w:rPr>
          <w:b/>
          <w:bCs/>
          <w:sz w:val="32"/>
          <w:szCs w:val="32"/>
        </w:rPr>
      </w:pPr>
      <w:r w:rsidRPr="0025749F">
        <w:rPr>
          <w:b/>
          <w:bCs/>
          <w:sz w:val="32"/>
          <w:szCs w:val="32"/>
        </w:rPr>
        <w:t>Iespējamie risinājumi</w:t>
      </w:r>
    </w:p>
    <w:p w14:paraId="3B1470AD" w14:textId="326EC8E6" w:rsidR="38EAAE78" w:rsidRPr="0025749F" w:rsidRDefault="38EAAE78" w:rsidP="26BD9954">
      <w:pPr>
        <w:spacing w:before="120"/>
        <w:ind w:firstLine="720"/>
        <w:jc w:val="both"/>
        <w:rPr>
          <w:rFonts w:ascii="Calibri" w:eastAsia="Calibri" w:hAnsi="Calibri" w:cs="Calibri"/>
          <w:sz w:val="24"/>
          <w:szCs w:val="24"/>
        </w:rPr>
      </w:pPr>
      <w:r w:rsidRPr="0025749F">
        <w:rPr>
          <w:rFonts w:ascii="Calibri" w:eastAsia="Calibri" w:hAnsi="Calibri" w:cs="Calibri"/>
          <w:sz w:val="24"/>
          <w:szCs w:val="24"/>
        </w:rPr>
        <w:t xml:space="preserve">Aplūkojot abus iepriekš minētos īpašumus un lemjot par tālāko rīcību ir </w:t>
      </w:r>
      <w:r w:rsidR="3B394BC9" w:rsidRPr="0025749F">
        <w:rPr>
          <w:rFonts w:ascii="Calibri" w:eastAsia="Calibri" w:hAnsi="Calibri" w:cs="Calibri"/>
          <w:sz w:val="24"/>
          <w:szCs w:val="24"/>
        </w:rPr>
        <w:t>secināms, ka ar katru īpašumu varētu rīko</w:t>
      </w:r>
      <w:r w:rsidR="37A25691" w:rsidRPr="0025749F">
        <w:rPr>
          <w:rFonts w:ascii="Calibri" w:eastAsia="Calibri" w:hAnsi="Calibri" w:cs="Calibri"/>
          <w:sz w:val="24"/>
          <w:szCs w:val="24"/>
        </w:rPr>
        <w:t xml:space="preserve">ties atsevišķi, bet tādejādi gala rezultātā netiktu panākts iespējami labākais rezultāts. </w:t>
      </w:r>
      <w:r w:rsidR="3B394BC9" w:rsidRPr="0025749F">
        <w:rPr>
          <w:rFonts w:ascii="Calibri" w:eastAsia="Calibri" w:hAnsi="Calibri" w:cs="Calibri"/>
          <w:sz w:val="24"/>
          <w:szCs w:val="24"/>
        </w:rPr>
        <w:t>T</w:t>
      </w:r>
      <w:r w:rsidR="382688B3" w:rsidRPr="0025749F">
        <w:rPr>
          <w:rFonts w:ascii="Calibri" w:eastAsia="Calibri" w:hAnsi="Calibri" w:cs="Calibri"/>
          <w:sz w:val="24"/>
          <w:szCs w:val="24"/>
        </w:rPr>
        <w:t xml:space="preserve">āpēc </w:t>
      </w:r>
      <w:r w:rsidR="3B394BC9" w:rsidRPr="0025749F">
        <w:rPr>
          <w:rFonts w:ascii="Calibri" w:eastAsia="Calibri" w:hAnsi="Calibri" w:cs="Calibri"/>
          <w:sz w:val="24"/>
          <w:szCs w:val="24"/>
        </w:rPr>
        <w:t xml:space="preserve">šajā ziņojumā sniegtais paredz atbrīvot no publiskiem nomniekiem </w:t>
      </w:r>
      <w:r w:rsidR="5C0044BF" w:rsidRPr="0025749F">
        <w:rPr>
          <w:rFonts w:ascii="Calibri" w:eastAsia="Calibri" w:hAnsi="Calibri" w:cs="Calibri"/>
          <w:sz w:val="24"/>
          <w:szCs w:val="24"/>
        </w:rPr>
        <w:t xml:space="preserve">vienu </w:t>
      </w:r>
      <w:r w:rsidR="3B394BC9" w:rsidRPr="0025749F">
        <w:rPr>
          <w:rFonts w:ascii="Calibri" w:eastAsia="Calibri" w:hAnsi="Calibri" w:cs="Calibri"/>
          <w:sz w:val="24"/>
          <w:szCs w:val="24"/>
        </w:rPr>
        <w:t>aktīvu portfeļa īpašumu, to</w:t>
      </w:r>
      <w:r w:rsidR="123B09A2" w:rsidRPr="0025749F">
        <w:rPr>
          <w:rFonts w:ascii="Calibri" w:eastAsia="Calibri" w:hAnsi="Calibri" w:cs="Calibri"/>
          <w:sz w:val="24"/>
          <w:szCs w:val="24"/>
        </w:rPr>
        <w:t xml:space="preserve"> </w:t>
      </w:r>
      <w:r w:rsidR="3B394BC9" w:rsidRPr="0025749F">
        <w:rPr>
          <w:rFonts w:ascii="Calibri" w:eastAsia="Calibri" w:hAnsi="Calibri" w:cs="Calibri"/>
          <w:sz w:val="24"/>
          <w:szCs w:val="24"/>
        </w:rPr>
        <w:t>atsavināt</w:t>
      </w:r>
      <w:r w:rsidR="2F9082D2" w:rsidRPr="0025749F">
        <w:rPr>
          <w:rFonts w:ascii="Calibri" w:eastAsia="Calibri" w:hAnsi="Calibri" w:cs="Calibri"/>
          <w:sz w:val="24"/>
          <w:szCs w:val="24"/>
        </w:rPr>
        <w:t xml:space="preserve"> un </w:t>
      </w:r>
      <w:r w:rsidR="3B394BC9" w:rsidRPr="0025749F">
        <w:rPr>
          <w:rFonts w:ascii="Calibri" w:eastAsia="Calibri" w:hAnsi="Calibri" w:cs="Calibri"/>
          <w:sz w:val="24"/>
          <w:szCs w:val="24"/>
        </w:rPr>
        <w:t xml:space="preserve">līdzekļus ieguldīt </w:t>
      </w:r>
      <w:r w:rsidR="1677C766" w:rsidRPr="0025749F">
        <w:rPr>
          <w:rFonts w:ascii="Calibri" w:eastAsia="Calibri" w:hAnsi="Calibri" w:cs="Calibri"/>
          <w:sz w:val="24"/>
          <w:szCs w:val="24"/>
        </w:rPr>
        <w:t xml:space="preserve">citā </w:t>
      </w:r>
      <w:r w:rsidR="3B394BC9" w:rsidRPr="0025749F">
        <w:rPr>
          <w:rFonts w:ascii="Calibri" w:eastAsia="Calibri" w:hAnsi="Calibri" w:cs="Calibri"/>
          <w:sz w:val="24"/>
          <w:szCs w:val="24"/>
        </w:rPr>
        <w:t>pamata portfeļa īpašu</w:t>
      </w:r>
      <w:r w:rsidR="53FD2375" w:rsidRPr="0025749F">
        <w:rPr>
          <w:rFonts w:ascii="Calibri" w:eastAsia="Calibri" w:hAnsi="Calibri" w:cs="Calibri"/>
          <w:sz w:val="24"/>
          <w:szCs w:val="24"/>
        </w:rPr>
        <w:t xml:space="preserve">mā, </w:t>
      </w:r>
      <w:r w:rsidR="3B394BC9" w:rsidRPr="0025749F">
        <w:rPr>
          <w:rFonts w:ascii="Calibri" w:eastAsia="Calibri" w:hAnsi="Calibri" w:cs="Calibri"/>
          <w:sz w:val="24"/>
          <w:szCs w:val="24"/>
        </w:rPr>
        <w:t xml:space="preserve"> koncentrē</w:t>
      </w:r>
      <w:r w:rsidR="102E6537" w:rsidRPr="0025749F">
        <w:rPr>
          <w:rFonts w:ascii="Calibri" w:eastAsia="Calibri" w:hAnsi="Calibri" w:cs="Calibri"/>
          <w:sz w:val="24"/>
          <w:szCs w:val="24"/>
        </w:rPr>
        <w:t>jot</w:t>
      </w:r>
      <w:r w:rsidR="3B394BC9" w:rsidRPr="0025749F">
        <w:rPr>
          <w:rFonts w:ascii="Calibri" w:eastAsia="Calibri" w:hAnsi="Calibri" w:cs="Calibri"/>
          <w:sz w:val="24"/>
          <w:szCs w:val="24"/>
        </w:rPr>
        <w:t xml:space="preserve"> publiskos nomniekus ar tiem pieejamo finansējumu nomas maksām</w:t>
      </w:r>
      <w:r w:rsidR="207564DF" w:rsidRPr="0025749F">
        <w:rPr>
          <w:rFonts w:ascii="Calibri" w:eastAsia="Calibri" w:hAnsi="Calibri" w:cs="Calibri"/>
          <w:sz w:val="24"/>
          <w:szCs w:val="24"/>
        </w:rPr>
        <w:t>,</w:t>
      </w:r>
      <w:r w:rsidR="3B394BC9" w:rsidRPr="0025749F">
        <w:rPr>
          <w:rFonts w:ascii="Calibri" w:eastAsia="Calibri" w:hAnsi="Calibri" w:cs="Calibri"/>
          <w:sz w:val="24"/>
          <w:szCs w:val="24"/>
        </w:rPr>
        <w:t xml:space="preserve"> </w:t>
      </w:r>
      <w:r w:rsidR="148F11DD" w:rsidRPr="0025749F">
        <w:rPr>
          <w:rFonts w:ascii="Calibri" w:eastAsia="Calibri" w:hAnsi="Calibri" w:cs="Calibri"/>
          <w:sz w:val="24"/>
          <w:szCs w:val="24"/>
        </w:rPr>
        <w:t xml:space="preserve">neparedzot </w:t>
      </w:r>
      <w:r w:rsidR="3B394BC9" w:rsidRPr="0025749F">
        <w:rPr>
          <w:rFonts w:ascii="Calibri" w:eastAsia="Calibri" w:hAnsi="Calibri" w:cs="Calibri"/>
          <w:sz w:val="24"/>
          <w:szCs w:val="24"/>
        </w:rPr>
        <w:t>kapitālieguldījumu atmaks</w:t>
      </w:r>
      <w:r w:rsidR="1CDE5DCA" w:rsidRPr="0025749F">
        <w:rPr>
          <w:rFonts w:ascii="Calibri" w:eastAsia="Calibri" w:hAnsi="Calibri" w:cs="Calibri"/>
          <w:sz w:val="24"/>
          <w:szCs w:val="24"/>
        </w:rPr>
        <w:t>as atprasīšanu</w:t>
      </w:r>
      <w:r w:rsidR="3B394BC9" w:rsidRPr="0025749F">
        <w:rPr>
          <w:rFonts w:ascii="Calibri" w:eastAsia="Calibri" w:hAnsi="Calibri" w:cs="Calibri"/>
          <w:sz w:val="24"/>
          <w:szCs w:val="24"/>
        </w:rPr>
        <w:t>.</w:t>
      </w:r>
      <w:r w:rsidR="7EF9006B" w:rsidRPr="0025749F">
        <w:rPr>
          <w:rFonts w:ascii="Calibri" w:eastAsia="Calibri" w:hAnsi="Calibri" w:cs="Calibri"/>
          <w:sz w:val="24"/>
          <w:szCs w:val="24"/>
        </w:rPr>
        <w:t xml:space="preserve"> Turpmāk tiek aplūkotas vairākas iespējamas rīcības alternatīvas. </w:t>
      </w:r>
    </w:p>
    <w:p w14:paraId="5A75E678" w14:textId="2E53732B" w:rsidR="00EF7B52" w:rsidRPr="0025749F" w:rsidRDefault="002C324B" w:rsidP="26BD9954">
      <w:pPr>
        <w:pStyle w:val="Heading3"/>
        <w:rPr>
          <w:b/>
          <w:bCs/>
          <w:sz w:val="28"/>
          <w:szCs w:val="28"/>
        </w:rPr>
      </w:pPr>
      <w:r w:rsidRPr="0025749F">
        <w:rPr>
          <w:b/>
          <w:bCs/>
          <w:sz w:val="28"/>
          <w:szCs w:val="28"/>
        </w:rPr>
        <w:t>1.</w:t>
      </w:r>
      <w:r w:rsidR="00EC7445" w:rsidRPr="0025749F">
        <w:rPr>
          <w:b/>
          <w:bCs/>
          <w:sz w:val="28"/>
          <w:szCs w:val="28"/>
        </w:rPr>
        <w:t xml:space="preserve"> </w:t>
      </w:r>
      <w:r w:rsidRPr="0025749F">
        <w:rPr>
          <w:b/>
          <w:bCs/>
          <w:sz w:val="28"/>
          <w:szCs w:val="28"/>
        </w:rPr>
        <w:t>Alternatīva</w:t>
      </w:r>
    </w:p>
    <w:p w14:paraId="44EA2ECA" w14:textId="37DCC9DC" w:rsidR="00552A87" w:rsidRPr="006D4EEC" w:rsidRDefault="00552A87" w:rsidP="006D4EEC">
      <w:pPr>
        <w:ind w:firstLine="720"/>
        <w:jc w:val="both"/>
        <w:rPr>
          <w:b/>
          <w:bCs/>
          <w:sz w:val="24"/>
          <w:szCs w:val="24"/>
        </w:rPr>
      </w:pPr>
      <w:r w:rsidRPr="0025749F">
        <w:rPr>
          <w:sz w:val="24"/>
          <w:szCs w:val="24"/>
        </w:rPr>
        <w:t>Pārce</w:t>
      </w:r>
      <w:r w:rsidR="00565F13" w:rsidRPr="0025749F">
        <w:rPr>
          <w:sz w:val="24"/>
          <w:szCs w:val="24"/>
        </w:rPr>
        <w:t>l</w:t>
      </w:r>
      <w:r w:rsidRPr="0025749F">
        <w:rPr>
          <w:sz w:val="24"/>
          <w:szCs w:val="24"/>
        </w:rPr>
        <w:t>t</w:t>
      </w:r>
      <w:r w:rsidR="00C2641B" w:rsidRPr="0025749F">
        <w:rPr>
          <w:sz w:val="24"/>
          <w:szCs w:val="24"/>
        </w:rPr>
        <w:t xml:space="preserve"> no ēkas Eksporta ielā 6, Rīgā</w:t>
      </w:r>
      <w:r w:rsidR="36DD4B64" w:rsidRPr="0025749F">
        <w:rPr>
          <w:sz w:val="24"/>
          <w:szCs w:val="24"/>
        </w:rPr>
        <w:t>,</w:t>
      </w:r>
      <w:r w:rsidR="00C2641B" w:rsidRPr="0025749F">
        <w:rPr>
          <w:sz w:val="24"/>
          <w:szCs w:val="24"/>
        </w:rPr>
        <w:t xml:space="preserve"> uz ēku Krišjāņa Valdemāra ielā 26</w:t>
      </w:r>
      <w:r w:rsidR="3E5E4A10" w:rsidRPr="0025749F">
        <w:rPr>
          <w:sz w:val="24"/>
          <w:szCs w:val="24"/>
        </w:rPr>
        <w:t>, Rīgā</w:t>
      </w:r>
      <w:r w:rsidR="5D99ADF6" w:rsidRPr="0025749F">
        <w:rPr>
          <w:sz w:val="24"/>
          <w:szCs w:val="24"/>
        </w:rPr>
        <w:t>,</w:t>
      </w:r>
      <w:r w:rsidR="00C2641B" w:rsidRPr="0025749F">
        <w:rPr>
          <w:sz w:val="24"/>
          <w:szCs w:val="24"/>
        </w:rPr>
        <w:t xml:space="preserve"> Nodarbinātības valsts aģentūr</w:t>
      </w:r>
      <w:r w:rsidRPr="0025749F">
        <w:rPr>
          <w:sz w:val="24"/>
          <w:szCs w:val="24"/>
        </w:rPr>
        <w:t>u</w:t>
      </w:r>
      <w:r w:rsidR="00C2641B" w:rsidRPr="0025749F">
        <w:rPr>
          <w:sz w:val="24"/>
          <w:szCs w:val="24"/>
        </w:rPr>
        <w:t xml:space="preserve"> un Valsts valodas centr</w:t>
      </w:r>
      <w:r w:rsidRPr="0025749F">
        <w:rPr>
          <w:sz w:val="24"/>
          <w:szCs w:val="24"/>
        </w:rPr>
        <w:t>u, vei</w:t>
      </w:r>
      <w:r w:rsidR="00565F13" w:rsidRPr="0025749F">
        <w:rPr>
          <w:sz w:val="24"/>
          <w:szCs w:val="24"/>
        </w:rPr>
        <w:t>cot</w:t>
      </w:r>
      <w:r w:rsidRPr="0025749F">
        <w:rPr>
          <w:sz w:val="24"/>
          <w:szCs w:val="24"/>
        </w:rPr>
        <w:t xml:space="preserve"> telpu </w:t>
      </w:r>
      <w:r w:rsidR="00565F13" w:rsidRPr="0025749F">
        <w:rPr>
          <w:sz w:val="24"/>
          <w:szCs w:val="24"/>
        </w:rPr>
        <w:t>Krišjāņa Valdemāra ielā 26, Rīgā</w:t>
      </w:r>
      <w:r w:rsidR="399C72FD" w:rsidRPr="0025749F">
        <w:rPr>
          <w:sz w:val="24"/>
          <w:szCs w:val="24"/>
        </w:rPr>
        <w:t xml:space="preserve">, </w:t>
      </w:r>
      <w:r w:rsidRPr="0025749F">
        <w:rPr>
          <w:sz w:val="24"/>
          <w:szCs w:val="24"/>
        </w:rPr>
        <w:t>pārbūvi un pielāgošanu iestāžu vajadzībām</w:t>
      </w:r>
      <w:r w:rsidR="00B22EDA" w:rsidRPr="0025749F">
        <w:rPr>
          <w:sz w:val="24"/>
          <w:szCs w:val="24"/>
        </w:rPr>
        <w:t>, ievērojot publiskā sektora biroja izveides vadlīnijas un</w:t>
      </w:r>
      <w:r w:rsidR="00565F13" w:rsidRPr="0025749F">
        <w:rPr>
          <w:sz w:val="24"/>
          <w:szCs w:val="24"/>
        </w:rPr>
        <w:t xml:space="preserve"> </w:t>
      </w:r>
      <w:r w:rsidR="00E07A52" w:rsidRPr="0025749F">
        <w:rPr>
          <w:sz w:val="24"/>
          <w:szCs w:val="24"/>
        </w:rPr>
        <w:t xml:space="preserve">telpu pielāgošanas </w:t>
      </w:r>
      <w:r w:rsidR="00565F13" w:rsidRPr="0025749F">
        <w:rPr>
          <w:sz w:val="24"/>
          <w:szCs w:val="24"/>
        </w:rPr>
        <w:t>darbus finansējot no</w:t>
      </w:r>
      <w:r w:rsidR="00D76246" w:rsidRPr="0025749F">
        <w:rPr>
          <w:sz w:val="24"/>
          <w:szCs w:val="24"/>
        </w:rPr>
        <w:t xml:space="preserve"> </w:t>
      </w:r>
      <w:r w:rsidR="0025749F" w:rsidRPr="0025749F">
        <w:rPr>
          <w:sz w:val="24"/>
          <w:szCs w:val="24"/>
        </w:rPr>
        <w:t xml:space="preserve">citu </w:t>
      </w:r>
      <w:r w:rsidR="00D76246" w:rsidRPr="0025749F">
        <w:rPr>
          <w:sz w:val="24"/>
          <w:szCs w:val="24"/>
        </w:rPr>
        <w:t xml:space="preserve">VNĪ </w:t>
      </w:r>
      <w:r w:rsidR="0025749F" w:rsidRPr="0025749F">
        <w:rPr>
          <w:sz w:val="24"/>
          <w:szCs w:val="24"/>
        </w:rPr>
        <w:t>īpašumu atsavināšanas ieņēmumiem</w:t>
      </w:r>
      <w:r w:rsidR="00565F13" w:rsidRPr="0025749F">
        <w:rPr>
          <w:sz w:val="24"/>
          <w:szCs w:val="24"/>
        </w:rPr>
        <w:t>.</w:t>
      </w:r>
      <w:r w:rsidR="00E07A52" w:rsidRPr="0025749F">
        <w:rPr>
          <w:sz w:val="24"/>
          <w:szCs w:val="24"/>
        </w:rPr>
        <w:t xml:space="preserve"> </w:t>
      </w:r>
      <w:r w:rsidR="00FD20B4" w:rsidRPr="0025749F">
        <w:rPr>
          <w:sz w:val="24"/>
          <w:szCs w:val="24"/>
        </w:rPr>
        <w:t>Tādējādi</w:t>
      </w:r>
      <w:r w:rsidR="00E07A52" w:rsidRPr="0025749F">
        <w:rPr>
          <w:sz w:val="24"/>
          <w:szCs w:val="24"/>
        </w:rPr>
        <w:t xml:space="preserve"> ēkā</w:t>
      </w:r>
      <w:r w:rsidR="00FD20B4" w:rsidRPr="0025749F">
        <w:rPr>
          <w:sz w:val="24"/>
          <w:szCs w:val="24"/>
        </w:rPr>
        <w:t xml:space="preserve"> Krišjāņa Valdemāra ielā 26, Rīgā, tiktu centralizētas vairākas publiskās iestādes vienkopus un publisko personu nomātā platība </w:t>
      </w:r>
      <w:r w:rsidR="003D3696" w:rsidRPr="0025749F">
        <w:rPr>
          <w:sz w:val="24"/>
          <w:szCs w:val="24"/>
        </w:rPr>
        <w:t>ir plānota vismaz</w:t>
      </w:r>
      <w:r w:rsidR="002B4554" w:rsidRPr="0025749F">
        <w:rPr>
          <w:sz w:val="24"/>
          <w:szCs w:val="24"/>
        </w:rPr>
        <w:t xml:space="preserve"> </w:t>
      </w:r>
      <w:r w:rsidR="003F7079" w:rsidRPr="0025749F">
        <w:rPr>
          <w:sz w:val="24"/>
          <w:szCs w:val="24"/>
        </w:rPr>
        <w:t>8</w:t>
      </w:r>
      <w:r w:rsidR="003D3696" w:rsidRPr="0025749F">
        <w:rPr>
          <w:sz w:val="24"/>
          <w:szCs w:val="24"/>
        </w:rPr>
        <w:t>0</w:t>
      </w:r>
      <w:r w:rsidR="00D76246" w:rsidRPr="0025749F">
        <w:rPr>
          <w:sz w:val="24"/>
          <w:szCs w:val="24"/>
        </w:rPr>
        <w:t>%</w:t>
      </w:r>
      <w:r w:rsidR="002B4554" w:rsidRPr="0025749F">
        <w:rPr>
          <w:sz w:val="24"/>
          <w:szCs w:val="24"/>
        </w:rPr>
        <w:t xml:space="preserve"> no īpašuma kopējās iznomājamās platības, kas ir būtisks priekšnosacījums 1. alternatīvas finansējuma modelim.</w:t>
      </w:r>
      <w:r w:rsidR="006D4EEC">
        <w:rPr>
          <w:sz w:val="24"/>
          <w:szCs w:val="24"/>
        </w:rPr>
        <w:t xml:space="preserve"> </w:t>
      </w:r>
      <w:r w:rsidR="006D4EEC" w:rsidRPr="006D4EEC">
        <w:rPr>
          <w:b/>
          <w:bCs/>
          <w:sz w:val="24"/>
          <w:szCs w:val="24"/>
        </w:rPr>
        <w:t>Telpu Krišjāņa Valdemāra ielā 26, Rīgā pielāgošanai un pārbūvei nav ietekme uz Pilsonības un migrācijas lietu pārvaldei iznomātajām telpām.</w:t>
      </w:r>
    </w:p>
    <w:p w14:paraId="78433A7C" w14:textId="226E962D" w:rsidR="67CC3DA1" w:rsidRPr="0025749F" w:rsidRDefault="67CC3DA1" w:rsidP="26BD9954">
      <w:pPr>
        <w:ind w:firstLine="720"/>
        <w:jc w:val="both"/>
        <w:rPr>
          <w:sz w:val="24"/>
          <w:szCs w:val="24"/>
        </w:rPr>
      </w:pPr>
      <w:r w:rsidRPr="0025749F">
        <w:rPr>
          <w:sz w:val="24"/>
          <w:szCs w:val="24"/>
        </w:rPr>
        <w:t>Šīs alternatīvas ieguvumi būtu:</w:t>
      </w:r>
    </w:p>
    <w:p w14:paraId="12F35051" w14:textId="622E7C54" w:rsidR="080B9D44" w:rsidRPr="0025749F" w:rsidRDefault="080B9D44" w:rsidP="003862A4">
      <w:pPr>
        <w:pStyle w:val="ListParagraph"/>
        <w:numPr>
          <w:ilvl w:val="0"/>
          <w:numId w:val="10"/>
        </w:numPr>
        <w:spacing w:after="0"/>
        <w:ind w:hanging="371"/>
        <w:jc w:val="both"/>
        <w:rPr>
          <w:rFonts w:ascii="Calibri" w:eastAsia="Calibri" w:hAnsi="Calibri" w:cs="Calibri"/>
          <w:sz w:val="24"/>
          <w:szCs w:val="24"/>
        </w:rPr>
      </w:pPr>
      <w:r w:rsidRPr="0025749F">
        <w:rPr>
          <w:rFonts w:ascii="Calibri" w:eastAsia="Calibri" w:hAnsi="Calibri" w:cs="Calibri"/>
          <w:sz w:val="24"/>
          <w:szCs w:val="24"/>
        </w:rPr>
        <w:t xml:space="preserve">Valsts pārvaldes iestādes tiek nodrošinātas ar to funkciju veikšanai piemērotām telpām, </w:t>
      </w:r>
      <w:r w:rsidR="00B6105D" w:rsidRPr="0025749F">
        <w:rPr>
          <w:rFonts w:ascii="Calibri" w:eastAsia="Calibri" w:hAnsi="Calibri" w:cs="Calibri"/>
          <w:sz w:val="24"/>
          <w:szCs w:val="24"/>
        </w:rPr>
        <w:t>ievērojot</w:t>
      </w:r>
      <w:r w:rsidR="00AB6F94" w:rsidRPr="0025749F">
        <w:rPr>
          <w:rFonts w:ascii="Calibri" w:eastAsia="Calibri" w:hAnsi="Calibri" w:cs="Calibri"/>
          <w:sz w:val="24"/>
          <w:szCs w:val="24"/>
        </w:rPr>
        <w:t xml:space="preserve"> publiskā sektora biroja izveides vadlīnij</w:t>
      </w:r>
      <w:r w:rsidR="00B6105D" w:rsidRPr="0025749F">
        <w:rPr>
          <w:rFonts w:ascii="Calibri" w:eastAsia="Calibri" w:hAnsi="Calibri" w:cs="Calibri"/>
          <w:sz w:val="24"/>
          <w:szCs w:val="24"/>
        </w:rPr>
        <w:t>as</w:t>
      </w:r>
      <w:r w:rsidR="00AB6F94" w:rsidRPr="0025749F">
        <w:rPr>
          <w:rFonts w:ascii="Calibri" w:eastAsia="Calibri" w:hAnsi="Calibri" w:cs="Calibri"/>
          <w:sz w:val="24"/>
          <w:szCs w:val="24"/>
        </w:rPr>
        <w:t>, cik to pieļauj esošās ēkas tehniskās iespējas.</w:t>
      </w:r>
    </w:p>
    <w:p w14:paraId="6646B058" w14:textId="37F34BA2" w:rsidR="00A56CD3" w:rsidRPr="0025749F" w:rsidRDefault="00A56CD3" w:rsidP="039F6687">
      <w:pPr>
        <w:pStyle w:val="ListParagraph"/>
        <w:numPr>
          <w:ilvl w:val="0"/>
          <w:numId w:val="10"/>
        </w:numPr>
        <w:spacing w:after="0"/>
        <w:jc w:val="both"/>
        <w:rPr>
          <w:rFonts w:ascii="Calibri" w:eastAsia="Calibri" w:hAnsi="Calibri" w:cs="Calibri"/>
          <w:sz w:val="24"/>
          <w:szCs w:val="24"/>
        </w:rPr>
      </w:pPr>
      <w:r w:rsidRPr="0025749F">
        <w:rPr>
          <w:rFonts w:ascii="Calibri" w:eastAsia="Calibri" w:hAnsi="Calibri" w:cs="Calibri"/>
          <w:sz w:val="24"/>
          <w:szCs w:val="24"/>
        </w:rPr>
        <w:t xml:space="preserve">Telpu pielāgošanā ieguldot VNĪ līdzekļus, tos neprasot segt publiskā sektora nomniekiem, </w:t>
      </w:r>
      <w:r w:rsidR="00C86FBA" w:rsidRPr="0025749F">
        <w:rPr>
          <w:rFonts w:ascii="Calibri" w:eastAsia="Calibri" w:hAnsi="Calibri" w:cs="Calibri"/>
          <w:sz w:val="24"/>
          <w:szCs w:val="24"/>
        </w:rPr>
        <w:t xml:space="preserve">tiek </w:t>
      </w:r>
      <w:r w:rsidRPr="0025749F">
        <w:rPr>
          <w:rFonts w:ascii="Calibri" w:eastAsia="Calibri" w:hAnsi="Calibri" w:cs="Calibri"/>
          <w:sz w:val="24"/>
          <w:szCs w:val="24"/>
        </w:rPr>
        <w:t>efektīvāk īstenoti VNĪ vidēja termiņa darbības stratēģijā 2018. – 2022.gadam un NĪ portfeļa attīstības stratēģijā noteiktie mērķi</w:t>
      </w:r>
      <w:r w:rsidR="7CB50284" w:rsidRPr="0025749F">
        <w:rPr>
          <w:rFonts w:ascii="Calibri" w:eastAsia="Calibri" w:hAnsi="Calibri" w:cs="Calibri"/>
          <w:sz w:val="24"/>
          <w:szCs w:val="24"/>
        </w:rPr>
        <w:t>;</w:t>
      </w:r>
    </w:p>
    <w:p w14:paraId="3D6E00B3" w14:textId="1E594305" w:rsidR="00A56CD3" w:rsidRPr="0025749F" w:rsidRDefault="55AFB2B8" w:rsidP="039F6687">
      <w:pPr>
        <w:pStyle w:val="ListParagraph"/>
        <w:numPr>
          <w:ilvl w:val="0"/>
          <w:numId w:val="10"/>
        </w:numPr>
        <w:spacing w:after="0"/>
        <w:jc w:val="both"/>
        <w:rPr>
          <w:sz w:val="24"/>
          <w:szCs w:val="24"/>
        </w:rPr>
      </w:pPr>
      <w:bookmarkStart w:id="0" w:name="_Hlk88732684"/>
      <w:r w:rsidRPr="0025749F">
        <w:rPr>
          <w:rFonts w:ascii="Calibri" w:eastAsia="Calibri" w:hAnsi="Calibri" w:cs="Calibri"/>
          <w:sz w:val="24"/>
          <w:szCs w:val="24"/>
        </w:rPr>
        <w:lastRenderedPageBreak/>
        <w:t>Netiek radīta negatīva</w:t>
      </w:r>
      <w:r w:rsidR="00A56CD3" w:rsidRPr="0025749F">
        <w:rPr>
          <w:rFonts w:ascii="Calibri" w:eastAsia="Calibri" w:hAnsi="Calibri" w:cs="Calibri"/>
          <w:sz w:val="24"/>
          <w:szCs w:val="24"/>
        </w:rPr>
        <w:t xml:space="preserve"> ietekm</w:t>
      </w:r>
      <w:r w:rsidR="0DEE0186" w:rsidRPr="0025749F">
        <w:rPr>
          <w:rFonts w:ascii="Calibri" w:eastAsia="Calibri" w:hAnsi="Calibri" w:cs="Calibri"/>
          <w:sz w:val="24"/>
          <w:szCs w:val="24"/>
        </w:rPr>
        <w:t>e uz</w:t>
      </w:r>
      <w:r w:rsidR="00A56CD3" w:rsidRPr="0025749F">
        <w:rPr>
          <w:rFonts w:ascii="Calibri" w:eastAsia="Calibri" w:hAnsi="Calibri" w:cs="Calibri"/>
          <w:sz w:val="24"/>
          <w:szCs w:val="24"/>
        </w:rPr>
        <w:t xml:space="preserve"> valsts budžet</w:t>
      </w:r>
      <w:r w:rsidR="008401E3" w:rsidRPr="0025749F">
        <w:rPr>
          <w:rFonts w:ascii="Calibri" w:eastAsia="Calibri" w:hAnsi="Calibri" w:cs="Calibri"/>
          <w:sz w:val="24"/>
          <w:szCs w:val="24"/>
        </w:rPr>
        <w:t xml:space="preserve">u, jo telpu pielāgošanas izdevumi tiek segti no </w:t>
      </w:r>
      <w:r w:rsidR="0025749F" w:rsidRPr="0025749F">
        <w:rPr>
          <w:rFonts w:ascii="Calibri" w:eastAsia="Calibri" w:hAnsi="Calibri" w:cs="Calibri"/>
          <w:sz w:val="24"/>
          <w:szCs w:val="24"/>
        </w:rPr>
        <w:t>citu VNĪ īpašumu atsavināšanas ieņēmumiem</w:t>
      </w:r>
      <w:r w:rsidR="008401E3" w:rsidRPr="0025749F">
        <w:rPr>
          <w:rFonts w:ascii="Calibri" w:eastAsia="Calibri" w:hAnsi="Calibri" w:cs="Calibri"/>
          <w:sz w:val="24"/>
          <w:szCs w:val="24"/>
        </w:rPr>
        <w:t>, tādējādi nav nepieciešama valsts budžeta dotācija vai papildu finansējums pielāgošanas izdevumu segšanai nomas maksā</w:t>
      </w:r>
      <w:r w:rsidR="41DE03A5" w:rsidRPr="0025749F">
        <w:rPr>
          <w:rFonts w:ascii="Calibri" w:eastAsia="Calibri" w:hAnsi="Calibri" w:cs="Calibri"/>
          <w:sz w:val="24"/>
          <w:szCs w:val="24"/>
        </w:rPr>
        <w:t>;</w:t>
      </w:r>
    </w:p>
    <w:bookmarkEnd w:id="0"/>
    <w:p w14:paraId="401DA9CB" w14:textId="4774516B" w:rsidR="00A56CD3" w:rsidRPr="0025749F" w:rsidRDefault="00A56CD3" w:rsidP="039F6687">
      <w:pPr>
        <w:pStyle w:val="ListParagraph"/>
        <w:numPr>
          <w:ilvl w:val="0"/>
          <w:numId w:val="10"/>
        </w:numPr>
        <w:spacing w:after="0"/>
        <w:jc w:val="both"/>
        <w:rPr>
          <w:rFonts w:ascii="Calibri" w:eastAsia="Calibri" w:hAnsi="Calibri" w:cs="Calibri"/>
          <w:sz w:val="24"/>
          <w:szCs w:val="24"/>
        </w:rPr>
      </w:pPr>
      <w:r w:rsidRPr="0025749F">
        <w:rPr>
          <w:rFonts w:ascii="Calibri" w:eastAsia="Calibri" w:hAnsi="Calibri" w:cs="Calibri"/>
          <w:sz w:val="24"/>
          <w:szCs w:val="24"/>
        </w:rPr>
        <w:t>Valsts iestāžu telpu maksimāla koncentrēšana vienā ēkā</w:t>
      </w:r>
      <w:r w:rsidR="111090B0" w:rsidRPr="0025749F">
        <w:rPr>
          <w:rFonts w:ascii="Calibri" w:eastAsia="Calibri" w:hAnsi="Calibri" w:cs="Calibri"/>
          <w:sz w:val="24"/>
          <w:szCs w:val="24"/>
        </w:rPr>
        <w:t>;</w:t>
      </w:r>
    </w:p>
    <w:p w14:paraId="4D07B79F" w14:textId="77C98902" w:rsidR="00A56CD3" w:rsidRPr="0025749F" w:rsidRDefault="00A56CD3" w:rsidP="039F6687">
      <w:pPr>
        <w:pStyle w:val="ListParagraph"/>
        <w:numPr>
          <w:ilvl w:val="0"/>
          <w:numId w:val="10"/>
        </w:numPr>
        <w:spacing w:after="0"/>
        <w:jc w:val="both"/>
        <w:rPr>
          <w:rFonts w:ascii="Calibri" w:eastAsia="Calibri" w:hAnsi="Calibri" w:cs="Calibri"/>
          <w:sz w:val="24"/>
          <w:szCs w:val="24"/>
        </w:rPr>
      </w:pPr>
      <w:r w:rsidRPr="0025749F">
        <w:rPr>
          <w:rFonts w:ascii="Calibri" w:eastAsia="Calibri" w:hAnsi="Calibri" w:cs="Calibri"/>
          <w:sz w:val="24"/>
          <w:szCs w:val="24"/>
        </w:rPr>
        <w:t>Palielināts pamata portfeļ</w:t>
      </w:r>
      <w:r w:rsidR="3365D0E1" w:rsidRPr="0025749F">
        <w:rPr>
          <w:rFonts w:ascii="Calibri" w:eastAsia="Calibri" w:hAnsi="Calibri" w:cs="Calibri"/>
          <w:sz w:val="24"/>
          <w:szCs w:val="24"/>
        </w:rPr>
        <w:t>a</w:t>
      </w:r>
      <w:r w:rsidRPr="0025749F">
        <w:rPr>
          <w:rFonts w:ascii="Calibri" w:eastAsia="Calibri" w:hAnsi="Calibri" w:cs="Calibri"/>
          <w:sz w:val="24"/>
          <w:szCs w:val="24"/>
        </w:rPr>
        <w:t xml:space="preserve"> NĪ īpatsvars, uzlabojot kopējo NĪ portfeļa struktūru un kvalitāti.</w:t>
      </w:r>
      <w:r w:rsidR="26F5EFDA" w:rsidRPr="0025749F">
        <w:rPr>
          <w:rFonts w:ascii="Calibri" w:eastAsia="Calibri" w:hAnsi="Calibri" w:cs="Calibri"/>
          <w:sz w:val="24"/>
          <w:szCs w:val="24"/>
        </w:rPr>
        <w:t xml:space="preserve"> Tiek samazināts daļēji </w:t>
      </w:r>
      <w:r w:rsidR="00C86FBA" w:rsidRPr="0025749F">
        <w:rPr>
          <w:rFonts w:ascii="Calibri" w:eastAsia="Calibri" w:hAnsi="Calibri" w:cs="Calibri"/>
          <w:sz w:val="24"/>
          <w:szCs w:val="24"/>
        </w:rPr>
        <w:t xml:space="preserve">izmantoto </w:t>
      </w:r>
      <w:r w:rsidR="26F5EFDA" w:rsidRPr="0025749F">
        <w:rPr>
          <w:rFonts w:ascii="Calibri" w:eastAsia="Calibri" w:hAnsi="Calibri" w:cs="Calibri"/>
          <w:sz w:val="24"/>
          <w:szCs w:val="24"/>
        </w:rPr>
        <w:t xml:space="preserve">NĪ skaits, kuros ir vairāki lietotāji un </w:t>
      </w:r>
      <w:r w:rsidR="00C86FBA" w:rsidRPr="0025749F">
        <w:rPr>
          <w:rFonts w:ascii="Calibri" w:eastAsia="Calibri" w:hAnsi="Calibri" w:cs="Calibri"/>
          <w:sz w:val="24"/>
          <w:szCs w:val="24"/>
        </w:rPr>
        <w:t>dalīt</w:t>
      </w:r>
      <w:r w:rsidR="0020585D" w:rsidRPr="0025749F">
        <w:rPr>
          <w:rFonts w:ascii="Calibri" w:eastAsia="Calibri" w:hAnsi="Calibri" w:cs="Calibri"/>
          <w:sz w:val="24"/>
          <w:szCs w:val="24"/>
        </w:rPr>
        <w:t>a</w:t>
      </w:r>
      <w:r w:rsidR="00C86FBA" w:rsidRPr="0025749F">
        <w:rPr>
          <w:rFonts w:ascii="Calibri" w:eastAsia="Calibri" w:hAnsi="Calibri" w:cs="Calibri"/>
          <w:sz w:val="24"/>
          <w:szCs w:val="24"/>
        </w:rPr>
        <w:t>s īpašumtiesības</w:t>
      </w:r>
      <w:r w:rsidR="26F5EFDA" w:rsidRPr="0025749F">
        <w:rPr>
          <w:rFonts w:ascii="Calibri" w:eastAsia="Calibri" w:hAnsi="Calibri" w:cs="Calibri"/>
          <w:sz w:val="24"/>
          <w:szCs w:val="24"/>
        </w:rPr>
        <w:t>, tādejādi ietaupot finanšu līdzekļus ilgtermiņā</w:t>
      </w:r>
      <w:r w:rsidR="26FC33DC" w:rsidRPr="0025749F">
        <w:rPr>
          <w:rFonts w:ascii="Calibri" w:eastAsia="Calibri" w:hAnsi="Calibri" w:cs="Calibri"/>
          <w:sz w:val="24"/>
          <w:szCs w:val="24"/>
        </w:rPr>
        <w:t>;</w:t>
      </w:r>
    </w:p>
    <w:p w14:paraId="3330CB52" w14:textId="6A0DC66B" w:rsidR="000F38A1" w:rsidRPr="006D4EEC" w:rsidRDefault="00A56CD3" w:rsidP="006D4EEC">
      <w:pPr>
        <w:pStyle w:val="ListParagraph"/>
        <w:numPr>
          <w:ilvl w:val="0"/>
          <w:numId w:val="10"/>
        </w:numPr>
        <w:spacing w:after="0"/>
        <w:jc w:val="both"/>
        <w:rPr>
          <w:rFonts w:ascii="Calibri" w:eastAsia="Calibri" w:hAnsi="Calibri" w:cs="Calibri"/>
          <w:sz w:val="24"/>
          <w:szCs w:val="24"/>
        </w:rPr>
      </w:pPr>
      <w:r w:rsidRPr="0025749F">
        <w:rPr>
          <w:rFonts w:ascii="Calibri" w:eastAsia="Calibri" w:hAnsi="Calibri" w:cs="Calibri"/>
          <w:sz w:val="24"/>
          <w:szCs w:val="24"/>
        </w:rPr>
        <w:t>Uzlabota NĪ izmantošanas efektivitāte, samazinot NĪ kopējo brīvo platību īpatsvaru.</w:t>
      </w:r>
    </w:p>
    <w:p w14:paraId="79242D22" w14:textId="0595A985" w:rsidR="039F6687" w:rsidRPr="0025749F" w:rsidRDefault="039F6687" w:rsidP="039F6687">
      <w:pPr>
        <w:spacing w:after="0"/>
        <w:rPr>
          <w:rFonts w:ascii="Calibri" w:eastAsia="Calibri" w:hAnsi="Calibri" w:cs="Calibri"/>
          <w:sz w:val="24"/>
          <w:szCs w:val="24"/>
        </w:rPr>
      </w:pPr>
    </w:p>
    <w:p w14:paraId="407913E5" w14:textId="2B9FD8F8" w:rsidR="00565F13" w:rsidRPr="0025749F" w:rsidRDefault="00565F13" w:rsidP="26BD9954">
      <w:pPr>
        <w:pStyle w:val="Heading3"/>
        <w:rPr>
          <w:b/>
          <w:bCs/>
          <w:sz w:val="28"/>
          <w:szCs w:val="28"/>
        </w:rPr>
      </w:pPr>
      <w:r w:rsidRPr="0025749F">
        <w:rPr>
          <w:b/>
          <w:bCs/>
          <w:sz w:val="28"/>
          <w:szCs w:val="28"/>
        </w:rPr>
        <w:t>2.</w:t>
      </w:r>
      <w:r w:rsidR="00EC7445" w:rsidRPr="0025749F">
        <w:rPr>
          <w:b/>
          <w:bCs/>
          <w:sz w:val="28"/>
          <w:szCs w:val="28"/>
        </w:rPr>
        <w:t xml:space="preserve"> </w:t>
      </w:r>
      <w:r w:rsidRPr="0025749F">
        <w:rPr>
          <w:b/>
          <w:bCs/>
          <w:sz w:val="28"/>
          <w:szCs w:val="28"/>
        </w:rPr>
        <w:t>Alternatīva</w:t>
      </w:r>
    </w:p>
    <w:p w14:paraId="1D718C73" w14:textId="7B0BA3D9" w:rsidR="00565F13" w:rsidRPr="008E6B29" w:rsidRDefault="00565F13" w:rsidP="00565F13">
      <w:pPr>
        <w:ind w:firstLine="720"/>
        <w:jc w:val="both"/>
        <w:rPr>
          <w:b/>
          <w:bCs/>
          <w:sz w:val="24"/>
          <w:szCs w:val="24"/>
        </w:rPr>
      </w:pPr>
      <w:r w:rsidRPr="0025749F">
        <w:rPr>
          <w:sz w:val="24"/>
          <w:szCs w:val="24"/>
        </w:rPr>
        <w:t>Pārcelt no ēkas Eksporta ielā 6, Rīgā</w:t>
      </w:r>
      <w:r w:rsidR="5F425200" w:rsidRPr="0025749F">
        <w:rPr>
          <w:sz w:val="24"/>
          <w:szCs w:val="24"/>
        </w:rPr>
        <w:t xml:space="preserve">, </w:t>
      </w:r>
      <w:r w:rsidRPr="0025749F">
        <w:rPr>
          <w:sz w:val="24"/>
          <w:szCs w:val="24"/>
        </w:rPr>
        <w:t>uz ēku Krišjāņa Valdemāra ielā 26</w:t>
      </w:r>
      <w:r w:rsidR="558042CC" w:rsidRPr="0025749F">
        <w:rPr>
          <w:sz w:val="24"/>
          <w:szCs w:val="24"/>
        </w:rPr>
        <w:t>, Rīgā</w:t>
      </w:r>
      <w:r w:rsidR="6369B9AD" w:rsidRPr="0025749F">
        <w:rPr>
          <w:sz w:val="24"/>
          <w:szCs w:val="24"/>
        </w:rPr>
        <w:t xml:space="preserve">, </w:t>
      </w:r>
      <w:r w:rsidRPr="0025749F">
        <w:rPr>
          <w:sz w:val="24"/>
          <w:szCs w:val="24"/>
        </w:rPr>
        <w:t xml:space="preserve"> Nodarbinātības valsts aģentūru un Valsts valodas centru, veicot telpu Krišjāņa Valdemāra ielā 26, Rīgā pārbūvi un pielāgošanu iestāžu vajadzībām, </w:t>
      </w:r>
      <w:r w:rsidR="00B22EDA" w:rsidRPr="0025749F">
        <w:rPr>
          <w:sz w:val="24"/>
          <w:szCs w:val="24"/>
        </w:rPr>
        <w:t xml:space="preserve">ievērojot publiskā sektora biroja izveides vadlīnijas un </w:t>
      </w:r>
      <w:r w:rsidRPr="0025749F">
        <w:rPr>
          <w:sz w:val="24"/>
          <w:szCs w:val="24"/>
        </w:rPr>
        <w:t xml:space="preserve">darbus finansējot no </w:t>
      </w:r>
      <w:r w:rsidR="004B2009" w:rsidRPr="0025749F">
        <w:rPr>
          <w:sz w:val="24"/>
          <w:szCs w:val="24"/>
        </w:rPr>
        <w:t>iestāžu budžeta ilgtermiņa nomas maksas veidā</w:t>
      </w:r>
      <w:r w:rsidRPr="0025749F">
        <w:rPr>
          <w:sz w:val="24"/>
          <w:szCs w:val="24"/>
        </w:rPr>
        <w:t>.</w:t>
      </w:r>
      <w:r w:rsidR="008E6B29">
        <w:rPr>
          <w:sz w:val="24"/>
          <w:szCs w:val="24"/>
        </w:rPr>
        <w:t xml:space="preserve"> </w:t>
      </w:r>
      <w:r w:rsidR="008E6B29" w:rsidRPr="008E6B29">
        <w:rPr>
          <w:b/>
          <w:bCs/>
          <w:sz w:val="24"/>
          <w:szCs w:val="24"/>
        </w:rPr>
        <w:t>Telpu Krišjāņa Valdemāra ielā 26, Rīgā pielāgošanai un pārbūvei nav ietekme uz Pilsonības un migrācijas lietu pārvaldei iznomātajām telpām</w:t>
      </w:r>
      <w:r w:rsidR="008E6B29" w:rsidRPr="008E6B29">
        <w:rPr>
          <w:b/>
          <w:bCs/>
          <w:sz w:val="24"/>
          <w:szCs w:val="24"/>
        </w:rPr>
        <w:t>.</w:t>
      </w:r>
    </w:p>
    <w:p w14:paraId="3A6A3DB0" w14:textId="3BC852D9" w:rsidR="62C8FC98" w:rsidRPr="0025749F" w:rsidRDefault="62C8FC98" w:rsidP="26BD9954">
      <w:pPr>
        <w:ind w:firstLine="720"/>
        <w:jc w:val="both"/>
        <w:rPr>
          <w:sz w:val="24"/>
          <w:szCs w:val="24"/>
        </w:rPr>
      </w:pPr>
      <w:r w:rsidRPr="0025749F">
        <w:rPr>
          <w:sz w:val="24"/>
          <w:szCs w:val="24"/>
        </w:rPr>
        <w:t>Šīs alternatīvas ieguvumi būtu:</w:t>
      </w:r>
    </w:p>
    <w:p w14:paraId="32AD1269" w14:textId="25CDBC68" w:rsidR="00B6105D" w:rsidRPr="0025749F" w:rsidRDefault="00B6105D" w:rsidP="00B6105D">
      <w:pPr>
        <w:pStyle w:val="ListParagraph"/>
        <w:numPr>
          <w:ilvl w:val="0"/>
          <w:numId w:val="10"/>
        </w:numPr>
        <w:spacing w:after="0"/>
        <w:jc w:val="both"/>
        <w:rPr>
          <w:rFonts w:ascii="Calibri" w:eastAsia="Calibri" w:hAnsi="Calibri" w:cs="Calibri"/>
          <w:sz w:val="24"/>
          <w:szCs w:val="24"/>
        </w:rPr>
      </w:pPr>
      <w:r w:rsidRPr="0025749F">
        <w:rPr>
          <w:rFonts w:ascii="Calibri" w:eastAsia="Calibri" w:hAnsi="Calibri" w:cs="Calibri"/>
          <w:sz w:val="24"/>
          <w:szCs w:val="24"/>
        </w:rPr>
        <w:t>Valsts pārvaldes iestādes tiek nodrošinātas ar to funkciju veikšanai piemērotām telpām, ievērojot publiskā sektora biroja izveides vadlīnijas, cik to pieļauj esošās ēkas tehniskās iespējas.</w:t>
      </w:r>
    </w:p>
    <w:p w14:paraId="7E8CDA87" w14:textId="377D2E3E" w:rsidR="00AC13E1" w:rsidRPr="0025749F" w:rsidRDefault="00AC13E1" w:rsidP="039F6687">
      <w:pPr>
        <w:pStyle w:val="ListParagraph"/>
        <w:numPr>
          <w:ilvl w:val="0"/>
          <w:numId w:val="10"/>
        </w:numPr>
        <w:spacing w:after="0"/>
        <w:jc w:val="both"/>
        <w:rPr>
          <w:rFonts w:ascii="Calibri" w:eastAsia="Calibri" w:hAnsi="Calibri" w:cs="Calibri"/>
          <w:sz w:val="24"/>
          <w:szCs w:val="24"/>
        </w:rPr>
      </w:pPr>
      <w:r w:rsidRPr="0025749F">
        <w:rPr>
          <w:rFonts w:ascii="Calibri" w:eastAsia="Calibri" w:hAnsi="Calibri" w:cs="Calibri"/>
          <w:sz w:val="24"/>
          <w:szCs w:val="24"/>
        </w:rPr>
        <w:t>Valsts iestāžu telpu maksimāla koncentrēšana vienā ēkā</w:t>
      </w:r>
      <w:r w:rsidR="57301646" w:rsidRPr="0025749F">
        <w:rPr>
          <w:rFonts w:ascii="Calibri" w:eastAsia="Calibri" w:hAnsi="Calibri" w:cs="Calibri"/>
          <w:sz w:val="24"/>
          <w:szCs w:val="24"/>
        </w:rPr>
        <w:t>;</w:t>
      </w:r>
    </w:p>
    <w:p w14:paraId="7CA86BD1" w14:textId="020B62AA" w:rsidR="00AC13E1" w:rsidRPr="0025749F" w:rsidRDefault="00AC13E1" w:rsidP="039F6687">
      <w:pPr>
        <w:pStyle w:val="ListParagraph"/>
        <w:numPr>
          <w:ilvl w:val="0"/>
          <w:numId w:val="10"/>
        </w:numPr>
        <w:spacing w:after="0"/>
        <w:jc w:val="both"/>
        <w:rPr>
          <w:rFonts w:ascii="Calibri" w:eastAsia="Calibri" w:hAnsi="Calibri" w:cs="Calibri"/>
          <w:sz w:val="24"/>
          <w:szCs w:val="24"/>
        </w:rPr>
      </w:pPr>
      <w:r w:rsidRPr="0025749F">
        <w:rPr>
          <w:rFonts w:ascii="Calibri" w:eastAsia="Calibri" w:hAnsi="Calibri" w:cs="Calibri"/>
          <w:sz w:val="24"/>
          <w:szCs w:val="24"/>
        </w:rPr>
        <w:t>Palielināts pamata portfeļu NĪ īpatsvars, uzlabojot kopējo NĪ portfeļa struktūru un kvalitāti</w:t>
      </w:r>
      <w:r w:rsidR="0B39C502" w:rsidRPr="0025749F">
        <w:rPr>
          <w:rFonts w:ascii="Calibri" w:eastAsia="Calibri" w:hAnsi="Calibri" w:cs="Calibri"/>
          <w:sz w:val="24"/>
          <w:szCs w:val="24"/>
        </w:rPr>
        <w:t>,</w:t>
      </w:r>
      <w:r w:rsidR="0CAEF8D7" w:rsidRPr="0025749F">
        <w:rPr>
          <w:rFonts w:ascii="Calibri" w:eastAsia="Calibri" w:hAnsi="Calibri" w:cs="Calibri"/>
          <w:sz w:val="24"/>
          <w:szCs w:val="24"/>
        </w:rPr>
        <w:t xml:space="preserve"> </w:t>
      </w:r>
      <w:r w:rsidR="367EA67C" w:rsidRPr="0025749F">
        <w:rPr>
          <w:rFonts w:ascii="Calibri" w:eastAsia="Calibri" w:hAnsi="Calibri" w:cs="Calibri"/>
          <w:sz w:val="24"/>
          <w:szCs w:val="24"/>
        </w:rPr>
        <w:t>t</w:t>
      </w:r>
      <w:r w:rsidR="0CAEF8D7" w:rsidRPr="0025749F">
        <w:rPr>
          <w:rFonts w:ascii="Calibri" w:eastAsia="Calibri" w:hAnsi="Calibri" w:cs="Calibri"/>
          <w:sz w:val="24"/>
          <w:szCs w:val="24"/>
        </w:rPr>
        <w:t xml:space="preserve">iek samazināts daļēji </w:t>
      </w:r>
      <w:r w:rsidR="0020585D" w:rsidRPr="0025749F">
        <w:rPr>
          <w:rFonts w:ascii="Calibri" w:eastAsia="Calibri" w:hAnsi="Calibri" w:cs="Calibri"/>
          <w:sz w:val="24"/>
          <w:szCs w:val="24"/>
        </w:rPr>
        <w:t xml:space="preserve">izmantoto </w:t>
      </w:r>
      <w:r w:rsidR="0CAEF8D7" w:rsidRPr="0025749F">
        <w:rPr>
          <w:rFonts w:ascii="Calibri" w:eastAsia="Calibri" w:hAnsi="Calibri" w:cs="Calibri"/>
          <w:sz w:val="24"/>
          <w:szCs w:val="24"/>
        </w:rPr>
        <w:t xml:space="preserve">NĪ skaits, kuros ir vairāki lietotāji un </w:t>
      </w:r>
      <w:r w:rsidR="0020585D" w:rsidRPr="0025749F">
        <w:rPr>
          <w:rFonts w:ascii="Calibri" w:eastAsia="Calibri" w:hAnsi="Calibri" w:cs="Calibri"/>
          <w:sz w:val="24"/>
          <w:szCs w:val="24"/>
        </w:rPr>
        <w:t>dalītas īpašumtiesības</w:t>
      </w:r>
      <w:r w:rsidR="0CAEF8D7" w:rsidRPr="0025749F">
        <w:rPr>
          <w:rFonts w:ascii="Calibri" w:eastAsia="Calibri" w:hAnsi="Calibri" w:cs="Calibri"/>
          <w:sz w:val="24"/>
          <w:szCs w:val="24"/>
        </w:rPr>
        <w:t>, tādejādi ietaupot finanšu līdzekļus ilgtermiņā</w:t>
      </w:r>
      <w:r w:rsidR="191E667C" w:rsidRPr="0025749F">
        <w:rPr>
          <w:rFonts w:ascii="Calibri" w:eastAsia="Calibri" w:hAnsi="Calibri" w:cs="Calibri"/>
          <w:sz w:val="24"/>
          <w:szCs w:val="24"/>
        </w:rPr>
        <w:t>;</w:t>
      </w:r>
    </w:p>
    <w:p w14:paraId="643D3E04" w14:textId="2897DE02" w:rsidR="00AC13E1" w:rsidRPr="0025749F" w:rsidRDefault="00AC13E1" w:rsidP="039F6687">
      <w:pPr>
        <w:pStyle w:val="ListParagraph"/>
        <w:numPr>
          <w:ilvl w:val="0"/>
          <w:numId w:val="10"/>
        </w:numPr>
        <w:spacing w:after="0"/>
        <w:jc w:val="both"/>
        <w:rPr>
          <w:rFonts w:ascii="Calibri" w:eastAsia="Calibri" w:hAnsi="Calibri" w:cs="Calibri"/>
          <w:sz w:val="24"/>
          <w:szCs w:val="24"/>
        </w:rPr>
      </w:pPr>
      <w:r w:rsidRPr="0025749F">
        <w:rPr>
          <w:rFonts w:ascii="Calibri" w:eastAsia="Calibri" w:hAnsi="Calibri" w:cs="Calibri"/>
          <w:sz w:val="24"/>
          <w:szCs w:val="24"/>
        </w:rPr>
        <w:t>Uzlabota NĪ izmantošanas efektivitāte, samazinot NĪ kopējo brīvo platību īpatsvaru.</w:t>
      </w:r>
    </w:p>
    <w:p w14:paraId="3A604A01" w14:textId="1575B200" w:rsidR="26BD9954" w:rsidRPr="0025749F" w:rsidRDefault="26BD9954" w:rsidP="26BD9954">
      <w:pPr>
        <w:spacing w:after="0"/>
        <w:ind w:left="360"/>
        <w:jc w:val="both"/>
        <w:rPr>
          <w:rFonts w:ascii="Calibri" w:eastAsia="Calibri" w:hAnsi="Calibri" w:cs="Calibri"/>
          <w:sz w:val="24"/>
          <w:szCs w:val="24"/>
        </w:rPr>
      </w:pPr>
    </w:p>
    <w:p w14:paraId="4DB3BB36" w14:textId="6C338CE4" w:rsidR="00AC13E1" w:rsidRPr="0025749F" w:rsidRDefault="21F6657C" w:rsidP="26BD9954">
      <w:pPr>
        <w:spacing w:after="0"/>
        <w:ind w:left="360"/>
        <w:jc w:val="both"/>
        <w:rPr>
          <w:rFonts w:ascii="Calibri" w:eastAsia="Calibri" w:hAnsi="Calibri" w:cs="Calibri"/>
          <w:sz w:val="24"/>
          <w:szCs w:val="24"/>
        </w:rPr>
      </w:pPr>
      <w:r w:rsidRPr="0025749F">
        <w:rPr>
          <w:rFonts w:ascii="Calibri" w:eastAsia="Calibri" w:hAnsi="Calibri" w:cs="Calibri"/>
          <w:sz w:val="24"/>
          <w:szCs w:val="24"/>
        </w:rPr>
        <w:t>Šīs alternatīvas īstenošanai ir nepieciešami papildu līdzekļi no valsts budžeta</w:t>
      </w:r>
      <w:r w:rsidR="008625A7" w:rsidRPr="0025749F">
        <w:rPr>
          <w:rFonts w:ascii="Calibri" w:eastAsia="Calibri" w:hAnsi="Calibri" w:cs="Calibri"/>
          <w:sz w:val="24"/>
          <w:szCs w:val="24"/>
        </w:rPr>
        <w:t>, lai telpu pielāgošanas izmaksas segtu ilgtermiņa nomas maksā</w:t>
      </w:r>
      <w:r w:rsidR="00EC7445" w:rsidRPr="0025749F">
        <w:rPr>
          <w:rFonts w:ascii="Calibri" w:eastAsia="Calibri" w:hAnsi="Calibri" w:cs="Calibri"/>
          <w:sz w:val="24"/>
          <w:szCs w:val="24"/>
        </w:rPr>
        <w:t xml:space="preserve"> vai vienreizējā maksājumā pēc pielāgošanas darbu veikšanas.</w:t>
      </w:r>
    </w:p>
    <w:p w14:paraId="17F06AB1" w14:textId="70EA7484" w:rsidR="26BD9954" w:rsidRPr="0025749F" w:rsidRDefault="26BD9954" w:rsidP="26BD9954">
      <w:pPr>
        <w:jc w:val="both"/>
        <w:rPr>
          <w:sz w:val="24"/>
          <w:szCs w:val="24"/>
        </w:rPr>
      </w:pPr>
    </w:p>
    <w:p w14:paraId="4CEF7509" w14:textId="189F201E" w:rsidR="004B2009" w:rsidRPr="0025749F" w:rsidRDefault="004B2009">
      <w:pPr>
        <w:pStyle w:val="Heading3"/>
        <w:rPr>
          <w:sz w:val="28"/>
          <w:szCs w:val="28"/>
        </w:rPr>
      </w:pPr>
      <w:r w:rsidRPr="0025749F">
        <w:rPr>
          <w:b/>
          <w:bCs/>
          <w:sz w:val="28"/>
          <w:szCs w:val="28"/>
        </w:rPr>
        <w:t>3.</w:t>
      </w:r>
      <w:r w:rsidR="00EC7445" w:rsidRPr="0025749F">
        <w:rPr>
          <w:b/>
          <w:bCs/>
          <w:sz w:val="28"/>
          <w:szCs w:val="28"/>
        </w:rPr>
        <w:t xml:space="preserve"> </w:t>
      </w:r>
      <w:r w:rsidRPr="0025749F">
        <w:rPr>
          <w:b/>
          <w:bCs/>
          <w:sz w:val="28"/>
          <w:szCs w:val="28"/>
        </w:rPr>
        <w:t>Alternatīva</w:t>
      </w:r>
    </w:p>
    <w:p w14:paraId="0E305FEF" w14:textId="53557EA8" w:rsidR="004B2009" w:rsidRPr="0025749F" w:rsidRDefault="004B2009" w:rsidP="26BD9954">
      <w:pPr>
        <w:rPr>
          <w:sz w:val="24"/>
          <w:szCs w:val="24"/>
        </w:rPr>
      </w:pPr>
      <w:r w:rsidRPr="0025749F">
        <w:tab/>
      </w:r>
      <w:r w:rsidRPr="0025749F">
        <w:rPr>
          <w:sz w:val="24"/>
          <w:szCs w:val="24"/>
        </w:rPr>
        <w:t>Nodarbinātības valsts aģentūra un Valsts valodas centrs turpina nomāt no VNĪ telpas Eksporta ielā 6, Rīgā.</w:t>
      </w:r>
      <w:r w:rsidR="0094275D" w:rsidRPr="0025749F">
        <w:rPr>
          <w:sz w:val="24"/>
          <w:szCs w:val="24"/>
        </w:rPr>
        <w:t xml:space="preserve"> Telpas Krišjāņa Valdemāra ielā 26, Rīgā</w:t>
      </w:r>
      <w:r w:rsidR="00EC7445" w:rsidRPr="0025749F">
        <w:rPr>
          <w:sz w:val="24"/>
          <w:szCs w:val="24"/>
        </w:rPr>
        <w:t>,</w:t>
      </w:r>
      <w:r w:rsidR="0094275D" w:rsidRPr="0025749F">
        <w:rPr>
          <w:sz w:val="24"/>
          <w:szCs w:val="24"/>
        </w:rPr>
        <w:t xml:space="preserve"> tiek piedāvātas citiem publiskā un privātā sektora klientiem.</w:t>
      </w:r>
    </w:p>
    <w:p w14:paraId="52136525" w14:textId="6B67C6DD" w:rsidR="004B2009" w:rsidRPr="0025749F" w:rsidRDefault="4EA99CEB" w:rsidP="26BD9954">
      <w:pPr>
        <w:ind w:firstLine="720"/>
        <w:rPr>
          <w:sz w:val="24"/>
          <w:szCs w:val="24"/>
        </w:rPr>
      </w:pPr>
      <w:r w:rsidRPr="0025749F">
        <w:rPr>
          <w:sz w:val="24"/>
          <w:szCs w:val="24"/>
        </w:rPr>
        <w:t xml:space="preserve">Šīs alternatīvas </w:t>
      </w:r>
      <w:r w:rsidR="3D931B8F" w:rsidRPr="0025749F">
        <w:rPr>
          <w:sz w:val="24"/>
          <w:szCs w:val="24"/>
        </w:rPr>
        <w:t>neizmantotās iespējas</w:t>
      </w:r>
      <w:r w:rsidRPr="0025749F">
        <w:rPr>
          <w:sz w:val="24"/>
          <w:szCs w:val="24"/>
        </w:rPr>
        <w:t>:</w:t>
      </w:r>
    </w:p>
    <w:p w14:paraId="3485BE09" w14:textId="413AEB30" w:rsidR="00776F20" w:rsidRPr="0025749F" w:rsidRDefault="003D3696" w:rsidP="039F6687">
      <w:pPr>
        <w:pStyle w:val="ListParagraph"/>
        <w:numPr>
          <w:ilvl w:val="0"/>
          <w:numId w:val="12"/>
        </w:numPr>
        <w:spacing w:after="0"/>
        <w:rPr>
          <w:rFonts w:ascii="Calibri" w:eastAsia="Calibri" w:hAnsi="Calibri" w:cs="Calibri"/>
          <w:sz w:val="24"/>
          <w:szCs w:val="24"/>
        </w:rPr>
      </w:pPr>
      <w:r w:rsidRPr="0025749F">
        <w:rPr>
          <w:rFonts w:ascii="Calibri" w:eastAsia="Calibri" w:hAnsi="Calibri" w:cs="Calibri"/>
          <w:sz w:val="24"/>
          <w:szCs w:val="24"/>
        </w:rPr>
        <w:t>Nav iespējams virzīt atsavināšanai</w:t>
      </w:r>
      <w:r w:rsidR="00796A3C" w:rsidRPr="0025749F">
        <w:rPr>
          <w:rFonts w:ascii="Calibri" w:eastAsia="Calibri" w:hAnsi="Calibri" w:cs="Calibri"/>
          <w:sz w:val="24"/>
          <w:szCs w:val="24"/>
        </w:rPr>
        <w:t xml:space="preserve"> FM īpašumu Eksporta ielā 6, Rīgā</w:t>
      </w:r>
      <w:r w:rsidR="41D10DB4" w:rsidRPr="0025749F">
        <w:rPr>
          <w:rFonts w:ascii="Calibri" w:eastAsia="Calibri" w:hAnsi="Calibri" w:cs="Calibri"/>
          <w:sz w:val="24"/>
          <w:szCs w:val="24"/>
        </w:rPr>
        <w:t>.</w:t>
      </w:r>
    </w:p>
    <w:p w14:paraId="0DC8AF09" w14:textId="0C974596" w:rsidR="002A1E2A" w:rsidRPr="0025749F" w:rsidRDefault="002A1E2A" w:rsidP="039F6687">
      <w:pPr>
        <w:pStyle w:val="ListParagraph"/>
        <w:numPr>
          <w:ilvl w:val="0"/>
          <w:numId w:val="12"/>
        </w:numPr>
        <w:spacing w:after="0"/>
        <w:rPr>
          <w:rFonts w:ascii="Calibri" w:eastAsia="Calibri" w:hAnsi="Calibri" w:cs="Calibri"/>
          <w:sz w:val="24"/>
          <w:szCs w:val="24"/>
        </w:rPr>
      </w:pPr>
      <w:r w:rsidRPr="0025749F">
        <w:rPr>
          <w:rFonts w:ascii="Calibri" w:eastAsia="Calibri" w:hAnsi="Calibri" w:cs="Calibri"/>
          <w:sz w:val="24"/>
          <w:szCs w:val="24"/>
        </w:rPr>
        <w:t>VNĪ un FM NĪ portfelī saglabājas divi daļēji iznomāti</w:t>
      </w:r>
      <w:r w:rsidR="4622B33A" w:rsidRPr="0025749F">
        <w:rPr>
          <w:rFonts w:ascii="Calibri" w:eastAsia="Calibri" w:hAnsi="Calibri" w:cs="Calibri"/>
          <w:sz w:val="24"/>
          <w:szCs w:val="24"/>
        </w:rPr>
        <w:t>, tādējādi zaudējumus nesoši,</w:t>
      </w:r>
      <w:r w:rsidRPr="0025749F">
        <w:rPr>
          <w:rFonts w:ascii="Calibri" w:eastAsia="Calibri" w:hAnsi="Calibri" w:cs="Calibri"/>
          <w:sz w:val="24"/>
          <w:szCs w:val="24"/>
        </w:rPr>
        <w:t xml:space="preserve"> īpašumi</w:t>
      </w:r>
      <w:r w:rsidR="00441E03" w:rsidRPr="0025749F">
        <w:rPr>
          <w:rFonts w:ascii="Calibri" w:eastAsia="Calibri" w:hAnsi="Calibri" w:cs="Calibri"/>
          <w:sz w:val="24"/>
          <w:szCs w:val="24"/>
        </w:rPr>
        <w:t>.</w:t>
      </w:r>
    </w:p>
    <w:p w14:paraId="22553A40" w14:textId="4D3C83C5" w:rsidR="00B22EDA" w:rsidRPr="0025749F" w:rsidRDefault="00B22EDA" w:rsidP="039F6687">
      <w:pPr>
        <w:pStyle w:val="ListParagraph"/>
        <w:numPr>
          <w:ilvl w:val="0"/>
          <w:numId w:val="12"/>
        </w:numPr>
        <w:spacing w:after="0"/>
        <w:rPr>
          <w:rFonts w:ascii="Calibri" w:eastAsia="Calibri" w:hAnsi="Calibri" w:cs="Calibri"/>
          <w:sz w:val="24"/>
          <w:szCs w:val="24"/>
        </w:rPr>
      </w:pPr>
      <w:r w:rsidRPr="0025749F">
        <w:rPr>
          <w:rFonts w:ascii="Calibri" w:eastAsia="Calibri" w:hAnsi="Calibri" w:cs="Calibri"/>
          <w:sz w:val="24"/>
          <w:szCs w:val="24"/>
        </w:rPr>
        <w:t>Telp</w:t>
      </w:r>
      <w:r w:rsidR="0078509F" w:rsidRPr="0025749F">
        <w:rPr>
          <w:rFonts w:ascii="Calibri" w:eastAsia="Calibri" w:hAnsi="Calibri" w:cs="Calibri"/>
          <w:sz w:val="24"/>
          <w:szCs w:val="24"/>
        </w:rPr>
        <w:t>u</w:t>
      </w:r>
      <w:r w:rsidRPr="0025749F">
        <w:rPr>
          <w:rFonts w:ascii="Calibri" w:eastAsia="Calibri" w:hAnsi="Calibri" w:cs="Calibri"/>
          <w:sz w:val="24"/>
          <w:szCs w:val="24"/>
        </w:rPr>
        <w:t xml:space="preserve"> neatbilstība publiskā sektora biroja izveides vadlīnijām.</w:t>
      </w:r>
    </w:p>
    <w:p w14:paraId="200DC23F" w14:textId="34F3899C" w:rsidR="039F6687" w:rsidRPr="0025749F" w:rsidRDefault="039F6687" w:rsidP="039F6687">
      <w:pPr>
        <w:spacing w:after="0"/>
        <w:rPr>
          <w:rFonts w:ascii="Calibri" w:eastAsia="Calibri" w:hAnsi="Calibri" w:cs="Calibri"/>
          <w:sz w:val="24"/>
          <w:szCs w:val="24"/>
        </w:rPr>
      </w:pPr>
    </w:p>
    <w:p w14:paraId="4D141CC0" w14:textId="269C1385" w:rsidR="00484E79" w:rsidRPr="0025749F" w:rsidRDefault="7985F53F" w:rsidP="26BD9954">
      <w:pPr>
        <w:pStyle w:val="Heading2"/>
        <w:spacing w:before="120" w:after="120"/>
        <w:rPr>
          <w:b/>
          <w:bCs/>
          <w:sz w:val="32"/>
          <w:szCs w:val="32"/>
        </w:rPr>
      </w:pPr>
      <w:proofErr w:type="spellStart"/>
      <w:r w:rsidRPr="0025749F">
        <w:rPr>
          <w:b/>
          <w:bCs/>
          <w:sz w:val="32"/>
          <w:szCs w:val="32"/>
        </w:rPr>
        <w:lastRenderedPageBreak/>
        <w:t>Izvērtējums</w:t>
      </w:r>
      <w:proofErr w:type="spellEnd"/>
    </w:p>
    <w:p w14:paraId="5D97A8C2" w14:textId="77777777" w:rsidR="00005C4C" w:rsidRPr="0025749F" w:rsidRDefault="00005C4C" w:rsidP="26BD9954">
      <w:pPr>
        <w:spacing w:before="120" w:after="120"/>
        <w:jc w:val="both"/>
        <w:rPr>
          <w:sz w:val="24"/>
          <w:szCs w:val="24"/>
        </w:rPr>
      </w:pPr>
      <w:r w:rsidRPr="0025749F">
        <w:rPr>
          <w:sz w:val="24"/>
          <w:szCs w:val="24"/>
        </w:rPr>
        <w:t>1. Vispārējie principi rīcībai ar publiskas personas kapitālsabiedrības finanšu līdzekļiem un mantu ir noteikti Publiskas personas finanšu līdzekļu un mantas izšķērdēšanas novēršanas likumā, t.i.:</w:t>
      </w:r>
    </w:p>
    <w:p w14:paraId="078F0FAD" w14:textId="70728513" w:rsidR="00005C4C" w:rsidRPr="0025749F" w:rsidRDefault="00005C4C" w:rsidP="26BD9954">
      <w:pPr>
        <w:pStyle w:val="ListParagraph"/>
        <w:numPr>
          <w:ilvl w:val="0"/>
          <w:numId w:val="7"/>
        </w:numPr>
        <w:jc w:val="both"/>
        <w:rPr>
          <w:sz w:val="24"/>
          <w:szCs w:val="24"/>
        </w:rPr>
      </w:pPr>
      <w:r w:rsidRPr="0025749F">
        <w:rPr>
          <w:sz w:val="24"/>
          <w:szCs w:val="24"/>
        </w:rPr>
        <w:t>savā rīcībā ar finanšu līdzekļiem un mantu ievērot Valsts pārvaldes iekārtas likumā noteiktos publiskas personas komercdarbības pamatus, kā arī attiecībā uz minētajām kapitālsabiedrībām šajā likumā un citos normatīvajos aktos noteiktos pienākumus un ierobežojumus (2.panta trešā daļa);</w:t>
      </w:r>
    </w:p>
    <w:p w14:paraId="01EEA5A1" w14:textId="7E883918" w:rsidR="00005C4C" w:rsidRPr="0025749F" w:rsidRDefault="00005C4C" w:rsidP="26BD9954">
      <w:pPr>
        <w:pStyle w:val="ListParagraph"/>
        <w:numPr>
          <w:ilvl w:val="0"/>
          <w:numId w:val="7"/>
        </w:numPr>
        <w:jc w:val="both"/>
        <w:rPr>
          <w:sz w:val="24"/>
          <w:szCs w:val="24"/>
        </w:rPr>
      </w:pPr>
      <w:r w:rsidRPr="0025749F">
        <w:rPr>
          <w:sz w:val="24"/>
          <w:szCs w:val="24"/>
        </w:rPr>
        <w:t>rīkoties ar finanšu līdzekļiem un mantu lietderīgi, tās rīcībai jābūt tādai, lai mērķi sasniegtu ar mazāko finanšu līdzekļu un mantas izlietojumu, kā arī manta nododama lietošanā citai personai par iespējami augstāku cenu (3.panta pirmās daļas 1. un 2. punkts).</w:t>
      </w:r>
    </w:p>
    <w:p w14:paraId="47FE6E23" w14:textId="55A67193" w:rsidR="00005C4C" w:rsidRPr="0025749F" w:rsidRDefault="00005C4C" w:rsidP="00264B79">
      <w:pPr>
        <w:jc w:val="both"/>
        <w:rPr>
          <w:sz w:val="24"/>
          <w:szCs w:val="24"/>
        </w:rPr>
      </w:pPr>
      <w:r w:rsidRPr="0025749F">
        <w:rPr>
          <w:sz w:val="24"/>
          <w:szCs w:val="24"/>
        </w:rPr>
        <w:t xml:space="preserve">2. Saskaņā ar VNĪ īpašumā esošo īpašumu iznomāšanas kārtību publiskai personai, iznomājot nomas objektu, nomas maksu nosaka pusēm vienojoties, bet ne zemāku kā </w:t>
      </w:r>
      <w:r w:rsidR="1AAC5A4F" w:rsidRPr="0025749F">
        <w:rPr>
          <w:sz w:val="24"/>
          <w:szCs w:val="24"/>
        </w:rPr>
        <w:t>m</w:t>
      </w:r>
      <w:r w:rsidRPr="0025749F">
        <w:rPr>
          <w:sz w:val="24"/>
          <w:szCs w:val="24"/>
        </w:rPr>
        <w:t xml:space="preserve">inimālo nomas maksu, kas pilnīgi sedz ar </w:t>
      </w:r>
      <w:r w:rsidR="404F721D" w:rsidRPr="0025749F">
        <w:rPr>
          <w:sz w:val="24"/>
          <w:szCs w:val="24"/>
        </w:rPr>
        <w:t>n</w:t>
      </w:r>
      <w:r w:rsidRPr="0025749F">
        <w:rPr>
          <w:sz w:val="24"/>
          <w:szCs w:val="24"/>
        </w:rPr>
        <w:t>omas objektu saistītus pārvaldīšanas izdevumus (tiešās un netiešās izmaksas) iznomāšanas periodā, kuru</w:t>
      </w:r>
      <w:r w:rsidR="00BB7585" w:rsidRPr="0025749F">
        <w:rPr>
          <w:sz w:val="24"/>
          <w:szCs w:val="24"/>
        </w:rPr>
        <w:t>s</w:t>
      </w:r>
      <w:r w:rsidRPr="0025749F">
        <w:rPr>
          <w:sz w:val="24"/>
          <w:szCs w:val="24"/>
        </w:rPr>
        <w:t xml:space="preserve"> aprēķina atbilstoši VNĪ īpašumā, valdījumā, un</w:t>
      </w:r>
      <w:r w:rsidR="5823F888" w:rsidRPr="0025749F">
        <w:rPr>
          <w:sz w:val="24"/>
          <w:szCs w:val="24"/>
        </w:rPr>
        <w:t>/</w:t>
      </w:r>
      <w:r w:rsidRPr="0025749F">
        <w:rPr>
          <w:sz w:val="24"/>
          <w:szCs w:val="24"/>
        </w:rPr>
        <w:t>vai pārvaldīšanā esošu valsts nekustamo īpašumu nomas maksas aprēķināšanas kārtībai.</w:t>
      </w:r>
    </w:p>
    <w:p w14:paraId="06D41C92" w14:textId="4842F582" w:rsidR="00005C4C" w:rsidRPr="0025749F" w:rsidRDefault="6F6601D4" w:rsidP="00264B79">
      <w:pPr>
        <w:jc w:val="both"/>
        <w:rPr>
          <w:sz w:val="24"/>
          <w:szCs w:val="24"/>
        </w:rPr>
      </w:pPr>
      <w:r w:rsidRPr="0025749F">
        <w:rPr>
          <w:sz w:val="24"/>
          <w:szCs w:val="24"/>
        </w:rPr>
        <w:t xml:space="preserve">Savukārt </w:t>
      </w:r>
      <w:r w:rsidR="00005C4C" w:rsidRPr="0025749F">
        <w:rPr>
          <w:sz w:val="24"/>
          <w:szCs w:val="24"/>
        </w:rPr>
        <w:t xml:space="preserve">VNĪ īpašumā, valdījumā un/vai pārvaldīšanā esošo nekustamo īpašumu nomas maksas aprēķināšanas kārtībā </w:t>
      </w:r>
      <w:r w:rsidR="7CA6C96A" w:rsidRPr="0025749F">
        <w:rPr>
          <w:sz w:val="24"/>
          <w:szCs w:val="24"/>
        </w:rPr>
        <w:t>paredz</w:t>
      </w:r>
      <w:r w:rsidR="00005C4C" w:rsidRPr="0025749F">
        <w:rPr>
          <w:sz w:val="24"/>
          <w:szCs w:val="24"/>
        </w:rPr>
        <w:t>:</w:t>
      </w:r>
    </w:p>
    <w:p w14:paraId="3380AA16" w14:textId="36AAC3D5" w:rsidR="00005C4C" w:rsidRPr="0025749F" w:rsidRDefault="00005C4C" w:rsidP="26BD9954">
      <w:pPr>
        <w:pStyle w:val="ListParagraph"/>
        <w:numPr>
          <w:ilvl w:val="0"/>
          <w:numId w:val="6"/>
        </w:numPr>
        <w:jc w:val="both"/>
        <w:rPr>
          <w:sz w:val="24"/>
          <w:szCs w:val="24"/>
        </w:rPr>
      </w:pPr>
      <w:r w:rsidRPr="0025749F">
        <w:rPr>
          <w:sz w:val="24"/>
          <w:szCs w:val="24"/>
        </w:rPr>
        <w:t>nomas maksas aprēķināšanai piemēroti Ministru kabineta 2018.gada 20.februāra noteikumu Nr.97 „Publiskas personas mantas iznomāšanas noteikumu” 3. un 4. nodaļā minētie principi</w:t>
      </w:r>
      <w:r w:rsidR="34BCB93D" w:rsidRPr="0025749F">
        <w:rPr>
          <w:sz w:val="24"/>
          <w:szCs w:val="24"/>
        </w:rPr>
        <w:t xml:space="preserve"> un </w:t>
      </w:r>
      <w:r w:rsidRPr="0025749F">
        <w:rPr>
          <w:sz w:val="24"/>
          <w:szCs w:val="24"/>
        </w:rPr>
        <w:t>nosacījumi</w:t>
      </w:r>
      <w:r w:rsidR="002CA3DA" w:rsidRPr="0025749F">
        <w:rPr>
          <w:sz w:val="24"/>
          <w:szCs w:val="24"/>
        </w:rPr>
        <w:t>;</w:t>
      </w:r>
    </w:p>
    <w:p w14:paraId="707429EB" w14:textId="4BAC574F" w:rsidR="00005C4C" w:rsidRPr="0025749F" w:rsidRDefault="00005C4C" w:rsidP="26BD9954">
      <w:pPr>
        <w:pStyle w:val="ListParagraph"/>
        <w:numPr>
          <w:ilvl w:val="0"/>
          <w:numId w:val="6"/>
        </w:numPr>
        <w:jc w:val="both"/>
        <w:rPr>
          <w:sz w:val="24"/>
          <w:szCs w:val="24"/>
        </w:rPr>
      </w:pPr>
      <w:r w:rsidRPr="0025749F">
        <w:rPr>
          <w:sz w:val="24"/>
          <w:szCs w:val="24"/>
        </w:rPr>
        <w:t>nomas maksā iekļauj aizņemtā kapitāla vai pašu ieguldīto līdzekļu izmaksas nekustamā īpašuma attīstības projekta īstenošanai, kas sevī ietver aizņemtā kapitāla vai pašu ieguldīto līdzekļu atmaksu un aizņemtā kapitāla izmaksas.</w:t>
      </w:r>
    </w:p>
    <w:p w14:paraId="33790A4B" w14:textId="415DDC16" w:rsidR="00005C4C" w:rsidRPr="0025749F" w:rsidRDefault="05ACC000" w:rsidP="26BD9954">
      <w:pPr>
        <w:jc w:val="both"/>
        <w:rPr>
          <w:sz w:val="24"/>
          <w:szCs w:val="24"/>
        </w:rPr>
      </w:pPr>
      <w:r w:rsidRPr="0025749F">
        <w:rPr>
          <w:sz w:val="24"/>
          <w:szCs w:val="24"/>
        </w:rPr>
        <w:t xml:space="preserve">3. Saskaņā ar </w:t>
      </w:r>
      <w:proofErr w:type="spellStart"/>
      <w:r w:rsidRPr="0025749F">
        <w:rPr>
          <w:sz w:val="24"/>
          <w:szCs w:val="24"/>
        </w:rPr>
        <w:t>Pārresoru</w:t>
      </w:r>
      <w:proofErr w:type="spellEnd"/>
      <w:r w:rsidRPr="0025749F">
        <w:rPr>
          <w:sz w:val="24"/>
          <w:szCs w:val="24"/>
        </w:rPr>
        <w:t xml:space="preserve"> koordinācijas centra </w:t>
      </w:r>
      <w:r w:rsidR="58500B9A" w:rsidRPr="0025749F">
        <w:rPr>
          <w:sz w:val="24"/>
          <w:szCs w:val="24"/>
        </w:rPr>
        <w:t>2016 .gada 30. martā</w:t>
      </w:r>
      <w:r w:rsidRPr="0025749F">
        <w:rPr>
          <w:sz w:val="24"/>
          <w:szCs w:val="24"/>
        </w:rPr>
        <w:t xml:space="preserve"> apstiprinātajām Valsts līdzdalības vispārējo stratēģisko mērķu noteikšanas vadlīnijām</w:t>
      </w:r>
      <w:r w:rsidR="526DA758" w:rsidRPr="0025749F">
        <w:rPr>
          <w:sz w:val="24"/>
          <w:szCs w:val="24"/>
        </w:rPr>
        <w:t xml:space="preserve"> (22. punkts)</w:t>
      </w:r>
      <w:r w:rsidRPr="0025749F">
        <w:rPr>
          <w:sz w:val="24"/>
          <w:szCs w:val="24"/>
        </w:rPr>
        <w:t xml:space="preserve"> kapitālsabiedrības atbilstoši to vispārējiem stratēģiskiem mērķiem ir:</w:t>
      </w:r>
    </w:p>
    <w:p w14:paraId="35BC6A2B" w14:textId="7E88FEC9" w:rsidR="00005C4C" w:rsidRPr="0025749F" w:rsidRDefault="00005C4C" w:rsidP="26BD9954">
      <w:pPr>
        <w:pStyle w:val="ListParagraph"/>
        <w:numPr>
          <w:ilvl w:val="0"/>
          <w:numId w:val="5"/>
        </w:numPr>
        <w:jc w:val="both"/>
        <w:rPr>
          <w:sz w:val="24"/>
          <w:szCs w:val="24"/>
        </w:rPr>
      </w:pPr>
      <w:r w:rsidRPr="0025749F">
        <w:rPr>
          <w:sz w:val="24"/>
          <w:szCs w:val="24"/>
        </w:rPr>
        <w:t>komerciālās kapitālsabiedrības;</w:t>
      </w:r>
    </w:p>
    <w:p w14:paraId="03F0C47C" w14:textId="194DA839" w:rsidR="00005C4C" w:rsidRPr="0025749F" w:rsidRDefault="00005C4C" w:rsidP="26BD9954">
      <w:pPr>
        <w:pStyle w:val="ListParagraph"/>
        <w:numPr>
          <w:ilvl w:val="0"/>
          <w:numId w:val="5"/>
        </w:numPr>
        <w:jc w:val="both"/>
        <w:rPr>
          <w:sz w:val="24"/>
          <w:szCs w:val="24"/>
        </w:rPr>
      </w:pPr>
      <w:r w:rsidRPr="0025749F">
        <w:rPr>
          <w:sz w:val="24"/>
          <w:szCs w:val="24"/>
        </w:rPr>
        <w:t>daļēji komerciālās kapitālsabiedrības;</w:t>
      </w:r>
    </w:p>
    <w:p w14:paraId="30909AE3" w14:textId="3895A196" w:rsidR="00005C4C" w:rsidRPr="0025749F" w:rsidRDefault="00005C4C" w:rsidP="26BD9954">
      <w:pPr>
        <w:pStyle w:val="ListParagraph"/>
        <w:numPr>
          <w:ilvl w:val="0"/>
          <w:numId w:val="5"/>
        </w:numPr>
        <w:jc w:val="both"/>
        <w:rPr>
          <w:sz w:val="24"/>
          <w:szCs w:val="24"/>
        </w:rPr>
      </w:pPr>
      <w:r w:rsidRPr="0025749F">
        <w:rPr>
          <w:sz w:val="24"/>
          <w:szCs w:val="24"/>
        </w:rPr>
        <w:t>kapitālsabiedrības, kas veic īpašus uzdevumus .</w:t>
      </w:r>
    </w:p>
    <w:p w14:paraId="3692D1E1" w14:textId="1F6C6A48" w:rsidR="00005C4C" w:rsidRPr="0025749F" w:rsidRDefault="05ACC000" w:rsidP="00264B79">
      <w:pPr>
        <w:jc w:val="both"/>
        <w:rPr>
          <w:sz w:val="24"/>
          <w:szCs w:val="24"/>
        </w:rPr>
      </w:pPr>
      <w:r w:rsidRPr="0025749F">
        <w:rPr>
          <w:sz w:val="24"/>
          <w:szCs w:val="24"/>
        </w:rPr>
        <w:t>VNĪ atbilst daļēji komerciāl</w:t>
      </w:r>
      <w:r w:rsidR="52419446" w:rsidRPr="0025749F">
        <w:rPr>
          <w:sz w:val="24"/>
          <w:szCs w:val="24"/>
        </w:rPr>
        <w:t>ai</w:t>
      </w:r>
      <w:r w:rsidRPr="0025749F">
        <w:rPr>
          <w:sz w:val="24"/>
          <w:szCs w:val="24"/>
        </w:rPr>
        <w:t xml:space="preserve"> kapitālsabiedrība</w:t>
      </w:r>
      <w:r w:rsidR="47976DDA" w:rsidRPr="0025749F">
        <w:rPr>
          <w:sz w:val="24"/>
          <w:szCs w:val="24"/>
        </w:rPr>
        <w:t>i</w:t>
      </w:r>
      <w:r w:rsidR="5CEC36CF" w:rsidRPr="0025749F">
        <w:rPr>
          <w:sz w:val="24"/>
          <w:szCs w:val="24"/>
        </w:rPr>
        <w:t xml:space="preserve">, </w:t>
      </w:r>
      <w:r w:rsidRPr="0025749F">
        <w:rPr>
          <w:sz w:val="24"/>
          <w:szCs w:val="24"/>
        </w:rPr>
        <w:t>kas saņem budžeta finansējumu, pilda tiesību aktos noteikto pakalpojumu sniegšanas funkciju, darbojas ierobežotas konkurences apstākļos vai brīvā tirgus konkurences apstākļos un citādi atšķiras no privātā sektora komersantiem. Daļēji komerciālām kapitālsabiedrībām vispārējo stratēģisko mērķu izstrādes procesā jāiekļauj, piemēram, šādi nosacījumi – valsts noteiktās prioritātes un mērķi attiecīgajā nozarē, līdzsvars starp kapitālsabiedrības ietekmi uz vidi un ekonomiku un sabiedrisko labumu, labas pārvaldības principi, kā arī pēc iespējas jāizvērtē kapitālsabiedrības starptautiskās konkurētspējas un peļņas gūšanas iespējas un jāizvērtē attiecīgā tirgus nepilnības, kā arī jāiekļauj apsvērumi par to, kādēļ privātais sektors nespēj nodrošināt attiecīgo mērķu sasniegšanu (24. punkts).</w:t>
      </w:r>
    </w:p>
    <w:p w14:paraId="398A6F4B" w14:textId="69FF128E" w:rsidR="00005C4C" w:rsidRPr="0025749F" w:rsidRDefault="05ACC000" w:rsidP="00264B79">
      <w:pPr>
        <w:jc w:val="both"/>
        <w:rPr>
          <w:sz w:val="24"/>
          <w:szCs w:val="24"/>
        </w:rPr>
      </w:pPr>
      <w:r w:rsidRPr="0025749F">
        <w:rPr>
          <w:sz w:val="24"/>
          <w:szCs w:val="24"/>
        </w:rPr>
        <w:lastRenderedPageBreak/>
        <w:t>Secīgi, daļēji komerciāla</w:t>
      </w:r>
      <w:r w:rsidR="297FF539" w:rsidRPr="0025749F">
        <w:rPr>
          <w:sz w:val="24"/>
          <w:szCs w:val="24"/>
        </w:rPr>
        <w:t>i</w:t>
      </w:r>
      <w:r w:rsidRPr="0025749F">
        <w:rPr>
          <w:sz w:val="24"/>
          <w:szCs w:val="24"/>
        </w:rPr>
        <w:t xml:space="preserve"> kapitālsabiedrība</w:t>
      </w:r>
      <w:r w:rsidR="3E0BD92F" w:rsidRPr="0025749F">
        <w:rPr>
          <w:sz w:val="24"/>
          <w:szCs w:val="24"/>
        </w:rPr>
        <w:t>i</w:t>
      </w:r>
      <w:r w:rsidRPr="0025749F">
        <w:rPr>
          <w:sz w:val="24"/>
          <w:szCs w:val="24"/>
        </w:rPr>
        <w:t xml:space="preserve"> prioritāri ir jāievēro valsts noteiktās prioritātes un mērķi attiecīgajā nozarē un tikai sekundāri kapitālsabiedrības konkurētspēja un peļņas gūšanas iespējas.  </w:t>
      </w:r>
    </w:p>
    <w:p w14:paraId="0EDC5FD3" w14:textId="03FA1D01" w:rsidR="00005C4C" w:rsidRPr="0025749F" w:rsidRDefault="00005C4C" w:rsidP="00264B79">
      <w:pPr>
        <w:jc w:val="both"/>
        <w:rPr>
          <w:sz w:val="24"/>
          <w:szCs w:val="24"/>
        </w:rPr>
      </w:pPr>
      <w:r w:rsidRPr="0025749F">
        <w:rPr>
          <w:sz w:val="24"/>
          <w:szCs w:val="24"/>
        </w:rPr>
        <w:t xml:space="preserve">4. </w:t>
      </w:r>
      <w:r w:rsidR="00C63799" w:rsidRPr="0025749F">
        <w:rPr>
          <w:sz w:val="24"/>
          <w:szCs w:val="24"/>
        </w:rPr>
        <w:t>VNĪ vidēja termiņa darbības stratēģija 2018.-2022. gadam (turpmāk – Stratēģija), kas izstrādāta saskaņā ar Publiskas personas kapitāla daļu un kapitālsabiedrību pārvaldības likumu un Valsts pārvaldes iekārtas likumu, pamatojoties uz VNĪ vispārējo stratēģisko mērķi, kas noteikts ar Ministru kabineta 2017.gada 28.marta lēmumu (protokols Nr.16, 56. §), kā arī ņemot vērā nekustamā īpašuma nozarē un uzņēmējdarbības vidē sagaidāmos izaicinājumus:</w:t>
      </w:r>
    </w:p>
    <w:p w14:paraId="7842CC45" w14:textId="672DC846" w:rsidR="00005C4C" w:rsidRPr="0025749F" w:rsidRDefault="00005C4C" w:rsidP="26BD9954">
      <w:pPr>
        <w:pStyle w:val="ListParagraph"/>
        <w:numPr>
          <w:ilvl w:val="0"/>
          <w:numId w:val="4"/>
        </w:numPr>
        <w:jc w:val="both"/>
        <w:rPr>
          <w:sz w:val="24"/>
          <w:szCs w:val="24"/>
        </w:rPr>
      </w:pPr>
      <w:r w:rsidRPr="0025749F">
        <w:rPr>
          <w:sz w:val="24"/>
          <w:szCs w:val="24"/>
        </w:rPr>
        <w:t>Atbilstoši vispārējam stratēģiskam mērķim VNĪ sabiedrības interesēs nodrošina nekustamo īpašumu, kas ir stratēģiski svarīgi valsts drošībai, nepieciešami valsts institūcijām valsts funkciju veikšanai, kultūras mantojuma saglabāšanai, valsts vai pašvaldību administratīvās teritorijas  attīstībai, mērķtiecīgu un efektīvu pārvaldīšanu, tostarp vērtības saglabāšanu un vairošanu. Nodrošināt lietderīgu rīcību ar valsts funkciju veikšanai neizmantotiem nekustamajiem īpašumiem.</w:t>
      </w:r>
    </w:p>
    <w:p w14:paraId="0DFF0D6D" w14:textId="0DECAFFF" w:rsidR="00005C4C" w:rsidRPr="0025749F" w:rsidRDefault="00005C4C" w:rsidP="26BD9954">
      <w:pPr>
        <w:pStyle w:val="ListParagraph"/>
        <w:numPr>
          <w:ilvl w:val="0"/>
          <w:numId w:val="4"/>
        </w:numPr>
        <w:jc w:val="both"/>
        <w:rPr>
          <w:sz w:val="24"/>
          <w:szCs w:val="24"/>
        </w:rPr>
      </w:pPr>
      <w:r w:rsidRPr="0025749F">
        <w:rPr>
          <w:sz w:val="24"/>
          <w:szCs w:val="24"/>
        </w:rPr>
        <w:t>Saskaņā ar Stratēģijas stratēģiskās prioritātes “Vērtīgi īpašumi” noteikto viena no būtiskām uzņēmuma vērtības sastāvdaļām ir nekustamie īpašumi, kā arī prasme saglabāt un vairot nekustamo īpašumu vērtību. Šī stratēģiskā prioritāte tiešā veidā ir saistīta ar VNĪ vispārējo stratēģisko mērķi. Lai palielinātu Nekustamā īpašuma portfeļa vērtību, ir jāuzlabo Nekustamā īpašuma portfeļa struktūra, izmantošanas efektivitāte, attīstot nekustamā īpašuma objektus. Šī prioritātes īstenošana atstāj tiešu ietekmi uz VNĪ pārvaldībā vai īpašumā esošo aktīvu un VNĪ pārvaldībā vai īpašumā esošo aktīvu vērtību un rentabilitāti.</w:t>
      </w:r>
    </w:p>
    <w:p w14:paraId="07A79241" w14:textId="7F331135" w:rsidR="00005C4C" w:rsidRPr="0025749F" w:rsidRDefault="00005C4C" w:rsidP="26BD9954">
      <w:pPr>
        <w:pStyle w:val="ListParagraph"/>
        <w:numPr>
          <w:ilvl w:val="0"/>
          <w:numId w:val="4"/>
        </w:numPr>
        <w:jc w:val="both"/>
        <w:rPr>
          <w:sz w:val="24"/>
          <w:szCs w:val="24"/>
        </w:rPr>
      </w:pPr>
      <w:r w:rsidRPr="0025749F">
        <w:rPr>
          <w:sz w:val="24"/>
          <w:szCs w:val="24"/>
        </w:rPr>
        <w:t>Stratēģiskās prioritātes “Vērtīgi īpašumi” prioritārais darba uzdevums ir attīstīt efektīvas valsts biroju ēkas, tādējādi prioritāri nodrošinot Nekustamā īpašuma portfelī īpašumus, kas ir nepieciešami publiskās funkcijas veikšanai.</w:t>
      </w:r>
    </w:p>
    <w:p w14:paraId="42A2831B" w14:textId="36C4A27D" w:rsidR="00005C4C" w:rsidRPr="0025749F" w:rsidRDefault="3182517E" w:rsidP="00264B79">
      <w:pPr>
        <w:jc w:val="both"/>
        <w:rPr>
          <w:sz w:val="24"/>
          <w:szCs w:val="24"/>
        </w:rPr>
      </w:pPr>
      <w:r w:rsidRPr="0025749F">
        <w:rPr>
          <w:sz w:val="24"/>
          <w:szCs w:val="24"/>
        </w:rPr>
        <w:t xml:space="preserve">5. </w:t>
      </w:r>
      <w:r w:rsidR="00005C4C" w:rsidRPr="0025749F">
        <w:rPr>
          <w:sz w:val="24"/>
          <w:szCs w:val="24"/>
        </w:rPr>
        <w:t>Atbilstoši VNĪ nekustamā īpašuma portfeļa attīstības stratēģijā 2020. – 2022. gadam noteiktajam:</w:t>
      </w:r>
    </w:p>
    <w:p w14:paraId="3377A06D" w14:textId="7237CBBB" w:rsidR="00005C4C" w:rsidRPr="0025749F" w:rsidRDefault="52B41107" w:rsidP="26BD9954">
      <w:pPr>
        <w:pStyle w:val="ListParagraph"/>
        <w:numPr>
          <w:ilvl w:val="0"/>
          <w:numId w:val="3"/>
        </w:numPr>
        <w:jc w:val="both"/>
        <w:rPr>
          <w:sz w:val="24"/>
          <w:szCs w:val="24"/>
        </w:rPr>
      </w:pPr>
      <w:r w:rsidRPr="0025749F">
        <w:rPr>
          <w:sz w:val="24"/>
          <w:szCs w:val="24"/>
        </w:rPr>
        <w:t>S</w:t>
      </w:r>
      <w:r w:rsidR="00005C4C" w:rsidRPr="0025749F">
        <w:rPr>
          <w:sz w:val="24"/>
          <w:szCs w:val="24"/>
        </w:rPr>
        <w:t xml:space="preserve">askaņā ar Stratēģijā stratēģiskās prioritātes “Vērtīgi īpašumi” ietvaros noteiktajām darbībām un rezultātiem turpmāk VNĪ Nekustamā īpašuma portfeļa īpašumi ir iedalāmi trīs primārajos portfeļos (pamata, aktīvu un atsavināmais portfelis), pamatojoties uz </w:t>
      </w:r>
      <w:proofErr w:type="spellStart"/>
      <w:r w:rsidR="00005C4C" w:rsidRPr="0025749F">
        <w:rPr>
          <w:sz w:val="24"/>
          <w:szCs w:val="24"/>
        </w:rPr>
        <w:t>izvērtējumu</w:t>
      </w:r>
      <w:proofErr w:type="spellEnd"/>
      <w:r w:rsidR="00005C4C" w:rsidRPr="0025749F">
        <w:rPr>
          <w:sz w:val="24"/>
          <w:szCs w:val="24"/>
        </w:rPr>
        <w:t xml:space="preserve"> par katra nekustamā īpašuma atbilstību noteiktiem kritērijiem (nepieciešamība).</w:t>
      </w:r>
    </w:p>
    <w:p w14:paraId="7CDE6F3B" w14:textId="627CF7BD" w:rsidR="00005C4C" w:rsidRPr="0025749F" w:rsidRDefault="2BA93B9D" w:rsidP="26BD9954">
      <w:pPr>
        <w:pStyle w:val="ListParagraph"/>
        <w:numPr>
          <w:ilvl w:val="0"/>
          <w:numId w:val="3"/>
        </w:numPr>
        <w:jc w:val="both"/>
        <w:rPr>
          <w:sz w:val="24"/>
          <w:szCs w:val="24"/>
        </w:rPr>
      </w:pPr>
      <w:r w:rsidRPr="0025749F">
        <w:rPr>
          <w:sz w:val="24"/>
          <w:szCs w:val="24"/>
        </w:rPr>
        <w:t>P</w:t>
      </w:r>
      <w:r w:rsidR="00005C4C" w:rsidRPr="0025749F">
        <w:rPr>
          <w:sz w:val="24"/>
          <w:szCs w:val="24"/>
        </w:rPr>
        <w:t>amata portfeļa nekustamajos īpašumos ir nepieciešams nodrošināt regulāras investīcijas</w:t>
      </w:r>
      <w:r w:rsidR="3E79E5E0" w:rsidRPr="0025749F">
        <w:rPr>
          <w:sz w:val="24"/>
          <w:szCs w:val="24"/>
        </w:rPr>
        <w:t>,</w:t>
      </w:r>
      <w:r w:rsidR="00005C4C" w:rsidRPr="0025749F">
        <w:rPr>
          <w:sz w:val="24"/>
          <w:szCs w:val="24"/>
        </w:rPr>
        <w:t xml:space="preserve"> uzturot tos labā vai apmierinošā tehniskajā stāvoklī, </w:t>
      </w:r>
      <w:r w:rsidR="437B0427" w:rsidRPr="0025749F">
        <w:rPr>
          <w:sz w:val="24"/>
          <w:szCs w:val="24"/>
        </w:rPr>
        <w:t>un</w:t>
      </w:r>
      <w:r w:rsidR="00005C4C" w:rsidRPr="0025749F">
        <w:rPr>
          <w:sz w:val="24"/>
          <w:szCs w:val="24"/>
        </w:rPr>
        <w:t xml:space="preserve"> veikt regulārus kapitālieguldījumus NĪ atjaunošanā un vērtības palielināšanā (5.3. punkts).</w:t>
      </w:r>
    </w:p>
    <w:p w14:paraId="7C5E20BE" w14:textId="575FA2DC" w:rsidR="00005C4C" w:rsidRPr="0025749F" w:rsidRDefault="2865857D" w:rsidP="039F6687">
      <w:pPr>
        <w:jc w:val="both"/>
        <w:rPr>
          <w:sz w:val="24"/>
          <w:szCs w:val="24"/>
        </w:rPr>
      </w:pPr>
      <w:r w:rsidRPr="0025749F">
        <w:rPr>
          <w:sz w:val="24"/>
          <w:szCs w:val="24"/>
        </w:rPr>
        <w:t>6</w:t>
      </w:r>
      <w:r w:rsidR="00005C4C" w:rsidRPr="0025749F">
        <w:rPr>
          <w:sz w:val="24"/>
          <w:szCs w:val="24"/>
        </w:rPr>
        <w:t>. VNĪ nekustamais īpašums Krišjāņa Valdemāra ielā 26, Rīgā</w:t>
      </w:r>
      <w:r w:rsidR="72CC4617" w:rsidRPr="0025749F">
        <w:rPr>
          <w:sz w:val="24"/>
          <w:szCs w:val="24"/>
        </w:rPr>
        <w:t>,</w:t>
      </w:r>
      <w:r w:rsidR="00005C4C" w:rsidRPr="0025749F">
        <w:rPr>
          <w:sz w:val="24"/>
          <w:szCs w:val="24"/>
        </w:rPr>
        <w:t xml:space="preserve"> ir iekļauts Nekustamā īpašuma </w:t>
      </w:r>
      <w:proofErr w:type="spellStart"/>
      <w:r w:rsidR="00005C4C" w:rsidRPr="0025749F">
        <w:rPr>
          <w:sz w:val="24"/>
          <w:szCs w:val="24"/>
        </w:rPr>
        <w:t>pamatportfelī</w:t>
      </w:r>
      <w:proofErr w:type="spellEnd"/>
      <w:r w:rsidR="00005C4C" w:rsidRPr="0025749F">
        <w:rPr>
          <w:sz w:val="24"/>
          <w:szCs w:val="24"/>
        </w:rPr>
        <w:t>.</w:t>
      </w:r>
    </w:p>
    <w:p w14:paraId="2B139C05" w14:textId="5B1472E3" w:rsidR="007914A3" w:rsidRPr="0025749F" w:rsidRDefault="00ED5053" w:rsidP="00FD76B5">
      <w:pPr>
        <w:jc w:val="both"/>
        <w:rPr>
          <w:sz w:val="24"/>
          <w:szCs w:val="24"/>
        </w:rPr>
      </w:pPr>
      <w:r w:rsidRPr="0025749F">
        <w:rPr>
          <w:sz w:val="24"/>
          <w:szCs w:val="24"/>
        </w:rPr>
        <w:t xml:space="preserve">7. </w:t>
      </w:r>
      <w:r w:rsidR="00FD76B5" w:rsidRPr="0025749F">
        <w:rPr>
          <w:sz w:val="24"/>
          <w:szCs w:val="24"/>
        </w:rPr>
        <w:t>VNĪ ir izstrādājusi Publiskā sektora biroja izveides vadlīnijas, sniedzot tajās ieteikumus un standartus, kā veidot darba vidi publiskajā sektorā. Ievērojot vadlīnijas, tiek nodrošināts, ka darba vide ir veidota tā, lai atbalstītu viedāku strādāšanu, izprotot, ka dažādi darba pienākumi pieprasa dažāda veida telpas šo pienākumu veikšanai. Pielāgojot telpas publiskā sektora klientiem Krišjāņa Valdemāra ielā 26, Rīgā</w:t>
      </w:r>
      <w:r w:rsidR="000538B1" w:rsidRPr="0025749F">
        <w:rPr>
          <w:sz w:val="24"/>
          <w:szCs w:val="24"/>
        </w:rPr>
        <w:t>,</w:t>
      </w:r>
      <w:r w:rsidR="00FD76B5" w:rsidRPr="0025749F">
        <w:rPr>
          <w:sz w:val="24"/>
          <w:szCs w:val="24"/>
        </w:rPr>
        <w:t xml:space="preserve"> tiktu </w:t>
      </w:r>
      <w:r w:rsidR="008C0232" w:rsidRPr="0025749F">
        <w:rPr>
          <w:sz w:val="24"/>
          <w:szCs w:val="24"/>
        </w:rPr>
        <w:t>ņemtas vērā gan klientu vajadzības, gan iespēju robežās piemēroti vadlīnijās noteiktie standarti.</w:t>
      </w:r>
    </w:p>
    <w:p w14:paraId="421B1208" w14:textId="4273D69D" w:rsidR="00005C4C" w:rsidRPr="0025749F" w:rsidRDefault="00ED5053" w:rsidP="039F6687">
      <w:pPr>
        <w:jc w:val="both"/>
        <w:rPr>
          <w:sz w:val="24"/>
          <w:szCs w:val="24"/>
        </w:rPr>
      </w:pPr>
      <w:r w:rsidRPr="0025749F">
        <w:rPr>
          <w:sz w:val="24"/>
          <w:szCs w:val="24"/>
        </w:rPr>
        <w:t>8</w:t>
      </w:r>
      <w:r w:rsidR="00005C4C" w:rsidRPr="0025749F">
        <w:rPr>
          <w:sz w:val="24"/>
          <w:szCs w:val="24"/>
        </w:rPr>
        <w:t>. Ieguvumi no nekustamā īpašuma Krišjāņa Valdemāra ielā 26, Rīgā</w:t>
      </w:r>
      <w:r w:rsidR="07200DF0" w:rsidRPr="0025749F">
        <w:rPr>
          <w:sz w:val="24"/>
          <w:szCs w:val="24"/>
        </w:rPr>
        <w:t xml:space="preserve">, </w:t>
      </w:r>
      <w:r w:rsidR="00005C4C" w:rsidRPr="0025749F">
        <w:rPr>
          <w:sz w:val="24"/>
          <w:szCs w:val="24"/>
        </w:rPr>
        <w:t>sakārtošanas:</w:t>
      </w:r>
    </w:p>
    <w:p w14:paraId="61C87FE0" w14:textId="4B16DD4A" w:rsidR="00005C4C" w:rsidRPr="0025749F" w:rsidRDefault="00005C4C" w:rsidP="26BD9954">
      <w:pPr>
        <w:pStyle w:val="ListParagraph"/>
        <w:numPr>
          <w:ilvl w:val="0"/>
          <w:numId w:val="2"/>
        </w:numPr>
        <w:jc w:val="both"/>
        <w:rPr>
          <w:sz w:val="24"/>
          <w:szCs w:val="24"/>
        </w:rPr>
      </w:pPr>
      <w:r w:rsidRPr="0025749F">
        <w:rPr>
          <w:sz w:val="24"/>
          <w:szCs w:val="24"/>
        </w:rPr>
        <w:t>palielināta nekustamā īpašuma vērtība;</w:t>
      </w:r>
    </w:p>
    <w:p w14:paraId="19EE720F" w14:textId="33B9AB37" w:rsidR="00005C4C" w:rsidRPr="0025749F" w:rsidRDefault="00005C4C" w:rsidP="26BD9954">
      <w:pPr>
        <w:pStyle w:val="ListParagraph"/>
        <w:numPr>
          <w:ilvl w:val="0"/>
          <w:numId w:val="2"/>
        </w:numPr>
        <w:jc w:val="both"/>
        <w:rPr>
          <w:sz w:val="24"/>
          <w:szCs w:val="24"/>
        </w:rPr>
      </w:pPr>
      <w:r w:rsidRPr="0025749F">
        <w:rPr>
          <w:sz w:val="24"/>
          <w:szCs w:val="24"/>
        </w:rPr>
        <w:lastRenderedPageBreak/>
        <w:t>iespēja nodrošināt publiskā sektora klientu ar to funkcijām nepieciešamajām telpām un iespējami augstāku sniegto pakalpojumu kvalitāti;</w:t>
      </w:r>
    </w:p>
    <w:p w14:paraId="4B1E9956" w14:textId="078BD23C" w:rsidR="00005C4C" w:rsidRPr="0025749F" w:rsidRDefault="00005C4C" w:rsidP="26BD9954">
      <w:pPr>
        <w:pStyle w:val="ListParagraph"/>
        <w:numPr>
          <w:ilvl w:val="0"/>
          <w:numId w:val="2"/>
        </w:numPr>
        <w:jc w:val="both"/>
        <w:rPr>
          <w:sz w:val="24"/>
          <w:szCs w:val="24"/>
        </w:rPr>
      </w:pPr>
      <w:r w:rsidRPr="0025749F">
        <w:rPr>
          <w:sz w:val="24"/>
          <w:szCs w:val="24"/>
        </w:rPr>
        <w:t>nekustamā īpašuma nomas maksā iekļauta uzkrājumu komponente, kas nodrošinās nekustamā īpašuma ilgtermiņa uzturēšanu;</w:t>
      </w:r>
    </w:p>
    <w:p w14:paraId="469F6BEF" w14:textId="0668E0BB" w:rsidR="00005C4C" w:rsidRPr="0025749F" w:rsidRDefault="00005C4C" w:rsidP="26BD9954">
      <w:pPr>
        <w:pStyle w:val="ListParagraph"/>
        <w:numPr>
          <w:ilvl w:val="0"/>
          <w:numId w:val="2"/>
        </w:numPr>
        <w:jc w:val="both"/>
        <w:rPr>
          <w:sz w:val="24"/>
          <w:szCs w:val="24"/>
        </w:rPr>
      </w:pPr>
      <w:r w:rsidRPr="0025749F">
        <w:rPr>
          <w:sz w:val="24"/>
          <w:szCs w:val="24"/>
        </w:rPr>
        <w:t>nekustamais īpašums tiek sakārtots un pienācīgi uzturēts, turpmāk plānojot ilgtermiņa un īstermiņa remontdarbus, ko būs iespējams veikt no veiktajiem nekustamā īpašuma uzkrājumiem;</w:t>
      </w:r>
    </w:p>
    <w:p w14:paraId="4148C01F" w14:textId="26CFA6E9" w:rsidR="5E046EF2" w:rsidRPr="0025749F" w:rsidRDefault="41374BDB" w:rsidP="005F102F">
      <w:pPr>
        <w:pStyle w:val="ListParagraph"/>
        <w:numPr>
          <w:ilvl w:val="0"/>
          <w:numId w:val="2"/>
        </w:numPr>
        <w:jc w:val="both"/>
        <w:rPr>
          <w:sz w:val="24"/>
          <w:szCs w:val="24"/>
        </w:rPr>
      </w:pPr>
      <w:r w:rsidRPr="0025749F">
        <w:rPr>
          <w:sz w:val="24"/>
          <w:szCs w:val="24"/>
        </w:rPr>
        <w:t>minimālā</w:t>
      </w:r>
      <w:r w:rsidR="00005C4C" w:rsidRPr="0025749F">
        <w:rPr>
          <w:sz w:val="24"/>
          <w:szCs w:val="24"/>
        </w:rPr>
        <w:t xml:space="preserve"> nomas maksa publiskajam klientam</w:t>
      </w:r>
      <w:r w:rsidR="5EAA7183" w:rsidRPr="0025749F">
        <w:rPr>
          <w:sz w:val="24"/>
          <w:szCs w:val="24"/>
        </w:rPr>
        <w:t>, nomas maksā neiekļaujot kapitālieguldījumu atmaksu</w:t>
      </w:r>
      <w:r w:rsidR="00A20484" w:rsidRPr="0025749F">
        <w:rPr>
          <w:sz w:val="24"/>
          <w:szCs w:val="24"/>
        </w:rPr>
        <w:t>, tādējādi nenoslogojot iestādes budžetu ar ilgtermiņa saistībām</w:t>
      </w:r>
      <w:r w:rsidR="00005C4C" w:rsidRPr="0025749F">
        <w:rPr>
          <w:sz w:val="24"/>
          <w:szCs w:val="24"/>
        </w:rPr>
        <w:t>;</w:t>
      </w:r>
    </w:p>
    <w:p w14:paraId="1F10D734" w14:textId="27EF92BF" w:rsidR="008C0232" w:rsidRPr="0025749F" w:rsidRDefault="008C0232">
      <w:pPr>
        <w:pStyle w:val="ListParagraph"/>
        <w:numPr>
          <w:ilvl w:val="0"/>
          <w:numId w:val="2"/>
        </w:numPr>
        <w:spacing w:after="0"/>
        <w:jc w:val="both"/>
        <w:rPr>
          <w:rFonts w:ascii="Calibri" w:eastAsia="Calibri" w:hAnsi="Calibri" w:cs="Calibri"/>
          <w:sz w:val="24"/>
          <w:szCs w:val="24"/>
        </w:rPr>
      </w:pPr>
      <w:r w:rsidRPr="0025749F">
        <w:rPr>
          <w:rFonts w:ascii="Calibri" w:eastAsia="Calibri" w:hAnsi="Calibri" w:cs="Calibri"/>
          <w:sz w:val="24"/>
          <w:szCs w:val="24"/>
        </w:rPr>
        <w:t>Telpu atbilstība publiskā sektora biroja izveides vadlīnijām, cik to pieļauj esošās ēkas tehniskās iespējas.</w:t>
      </w:r>
    </w:p>
    <w:p w14:paraId="2CDD7092" w14:textId="77777777" w:rsidR="00460F93" w:rsidRPr="0025749F" w:rsidRDefault="00460F93" w:rsidP="003812A2">
      <w:pPr>
        <w:pStyle w:val="ListParagraph"/>
        <w:spacing w:after="0"/>
        <w:jc w:val="both"/>
        <w:rPr>
          <w:rFonts w:ascii="Calibri" w:eastAsia="Calibri" w:hAnsi="Calibri" w:cs="Calibri"/>
          <w:sz w:val="24"/>
          <w:szCs w:val="24"/>
        </w:rPr>
      </w:pPr>
    </w:p>
    <w:p w14:paraId="45E66765" w14:textId="1A4C4090" w:rsidR="00005C4C" w:rsidRPr="0025749F" w:rsidRDefault="00ED5053" w:rsidP="26BD9954">
      <w:pPr>
        <w:jc w:val="both"/>
        <w:rPr>
          <w:sz w:val="24"/>
          <w:szCs w:val="24"/>
        </w:rPr>
      </w:pPr>
      <w:r w:rsidRPr="0025749F">
        <w:rPr>
          <w:sz w:val="24"/>
          <w:szCs w:val="24"/>
        </w:rPr>
        <w:t>9</w:t>
      </w:r>
      <w:r w:rsidR="00005C4C" w:rsidRPr="0025749F">
        <w:rPr>
          <w:sz w:val="24"/>
          <w:szCs w:val="24"/>
        </w:rPr>
        <w:t>. Ņemot vērā minēto, konstatējams, ka:</w:t>
      </w:r>
    </w:p>
    <w:p w14:paraId="141354E2" w14:textId="595616D7" w:rsidR="00005C4C" w:rsidRPr="0025749F" w:rsidRDefault="38700CAE" w:rsidP="26BD9954">
      <w:pPr>
        <w:pStyle w:val="ListParagraph"/>
        <w:numPr>
          <w:ilvl w:val="0"/>
          <w:numId w:val="1"/>
        </w:numPr>
        <w:jc w:val="both"/>
        <w:rPr>
          <w:sz w:val="24"/>
          <w:szCs w:val="24"/>
        </w:rPr>
      </w:pPr>
      <w:r w:rsidRPr="0025749F">
        <w:rPr>
          <w:sz w:val="24"/>
          <w:szCs w:val="24"/>
        </w:rPr>
        <w:t>par atbilstošāko risinājumu ir atzīstama 1.alternatīva;</w:t>
      </w:r>
    </w:p>
    <w:p w14:paraId="4CB37A2A" w14:textId="131A31B4" w:rsidR="00005C4C" w:rsidRPr="0025749F" w:rsidRDefault="1236878D" w:rsidP="26BD9954">
      <w:pPr>
        <w:pStyle w:val="ListParagraph"/>
        <w:numPr>
          <w:ilvl w:val="0"/>
          <w:numId w:val="1"/>
        </w:numPr>
        <w:jc w:val="both"/>
        <w:rPr>
          <w:sz w:val="24"/>
          <w:szCs w:val="24"/>
        </w:rPr>
      </w:pPr>
      <w:r w:rsidRPr="0025749F">
        <w:rPr>
          <w:sz w:val="24"/>
          <w:szCs w:val="24"/>
        </w:rPr>
        <w:t>l</w:t>
      </w:r>
      <w:r w:rsidR="05ACC000" w:rsidRPr="0025749F">
        <w:rPr>
          <w:sz w:val="24"/>
          <w:szCs w:val="24"/>
        </w:rPr>
        <w:t>ai VNĪ plānotā rīcība atbilstu normatīvajiem aktiem, ir nepieciešams saņemt kapitāla daļu turētāja piekrišana pēc būtības, ka šāda veida izņēmuma gadījums var tikt iekļauts VNĪ īpašumā esošo īpašumu iznomāšanas kārtībā (Publiskas personas finanšu līdzekļu un mantas izšķērdēšanas novēršanas likuma 6.4 panta pirmā daļa) un secīgi arī VNĪ īpašumā, valdījumā, un</w:t>
      </w:r>
      <w:r w:rsidR="74176888" w:rsidRPr="0025749F">
        <w:rPr>
          <w:sz w:val="24"/>
          <w:szCs w:val="24"/>
        </w:rPr>
        <w:t>/</w:t>
      </w:r>
      <w:r w:rsidR="05ACC000" w:rsidRPr="0025749F">
        <w:rPr>
          <w:sz w:val="24"/>
          <w:szCs w:val="24"/>
        </w:rPr>
        <w:t>vai pārvaldīšanā esošu valsts nekustamo īpašumu nomas maksas aprēķināšanas kārtībā;</w:t>
      </w:r>
      <w:r w:rsidR="00743F7B" w:rsidRPr="0025749F">
        <w:rPr>
          <w:sz w:val="24"/>
          <w:szCs w:val="24"/>
        </w:rPr>
        <w:t xml:space="preserve"> </w:t>
      </w:r>
    </w:p>
    <w:p w14:paraId="719CD1DA" w14:textId="3D35BD7A" w:rsidR="00005C4C" w:rsidRPr="0025749F" w:rsidRDefault="00005C4C" w:rsidP="26BD9954">
      <w:pPr>
        <w:pStyle w:val="ListParagraph"/>
        <w:numPr>
          <w:ilvl w:val="0"/>
          <w:numId w:val="1"/>
        </w:numPr>
        <w:jc w:val="both"/>
        <w:rPr>
          <w:sz w:val="24"/>
          <w:szCs w:val="24"/>
        </w:rPr>
      </w:pPr>
      <w:r w:rsidRPr="0025749F">
        <w:rPr>
          <w:sz w:val="24"/>
          <w:szCs w:val="24"/>
        </w:rPr>
        <w:t xml:space="preserve">no finanšu </w:t>
      </w:r>
      <w:proofErr w:type="spellStart"/>
      <w:r w:rsidRPr="0025749F">
        <w:rPr>
          <w:sz w:val="24"/>
          <w:szCs w:val="24"/>
        </w:rPr>
        <w:t>izvērtējuma</w:t>
      </w:r>
      <w:proofErr w:type="spellEnd"/>
      <w:r w:rsidRPr="0025749F">
        <w:rPr>
          <w:sz w:val="24"/>
          <w:szCs w:val="24"/>
        </w:rPr>
        <w:t xml:space="preserve"> izdarāms secinājums, vai plānotā rīcība ir lietderīga, tā atbilst ekonomiskuma, produktivitātes un efektivitātes principiem;</w:t>
      </w:r>
    </w:p>
    <w:p w14:paraId="3013C85E" w14:textId="69C4CD0D" w:rsidR="00DB0E1E" w:rsidRPr="0025749F" w:rsidRDefault="00005C4C" w:rsidP="00B4729D">
      <w:pPr>
        <w:pStyle w:val="ListParagraph"/>
        <w:numPr>
          <w:ilvl w:val="0"/>
          <w:numId w:val="1"/>
        </w:numPr>
        <w:jc w:val="both"/>
        <w:rPr>
          <w:sz w:val="24"/>
          <w:szCs w:val="24"/>
        </w:rPr>
      </w:pPr>
      <w:r w:rsidRPr="0025749F">
        <w:rPr>
          <w:sz w:val="24"/>
          <w:szCs w:val="24"/>
        </w:rPr>
        <w:t>ja ir saņemt</w:t>
      </w:r>
      <w:r w:rsidR="4720E07B" w:rsidRPr="0025749F">
        <w:rPr>
          <w:sz w:val="24"/>
          <w:szCs w:val="24"/>
        </w:rPr>
        <w:t>a</w:t>
      </w:r>
      <w:r w:rsidRPr="0025749F">
        <w:rPr>
          <w:sz w:val="24"/>
          <w:szCs w:val="24"/>
        </w:rPr>
        <w:t xml:space="preserve"> kapitāla daļu turētāja piekrišana izņēmuma iekļaušanai VNĪ īpašumā esošo īpašumu iznomāšanas kārtībā un tiek secināts, ka plānotā rīcība ir lietderīga, ir saņemama VNĪ padomes piekrišana, ka vienlaikus ar nākamo grozījumu veikšanu Stratēģijā, ir veicamas attiecīgas izmaiņas Stratēģijas 10.5. punktā “Finansēšanas avoti un instrumenti nekustamā īpašuma attīstībai, kurā šobrīd noteikts, ka VNĪ investīcijas prioritāri tiek plānotas VNĪ īpašumā esošajā nekustamajā īpašumā, tās tiek finansētas no VNĪ finanšu resursiem (pašu līdzekļi, aizņēmumi no kredītiestādēm) un pēc nekustamā īpašuma nodošanas ekspluatācijā tiek segtas ilgtermiņa nomas maksas veidā.</w:t>
      </w:r>
      <w:bookmarkStart w:id="1" w:name="_Hlk85728701"/>
    </w:p>
    <w:p w14:paraId="0321B38E" w14:textId="77777777" w:rsidR="00DB0E1E" w:rsidRPr="0025749F" w:rsidRDefault="00DB0E1E" w:rsidP="00DB0E1E">
      <w:pPr>
        <w:pStyle w:val="ListParagraph"/>
        <w:spacing w:after="0" w:line="240" w:lineRule="auto"/>
        <w:rPr>
          <w:rFonts w:ascii="Times New Roman" w:hAnsi="Times New Roman" w:cs="Times New Roman"/>
          <w:b/>
          <w:bCs/>
          <w:sz w:val="28"/>
          <w:szCs w:val="28"/>
        </w:rPr>
      </w:pPr>
    </w:p>
    <w:p w14:paraId="5091A0BA" w14:textId="01FA8735" w:rsidR="00DB0E1E" w:rsidRPr="0025749F" w:rsidRDefault="00DB0E1E" w:rsidP="00BB0632">
      <w:pPr>
        <w:pStyle w:val="ListParagraph"/>
        <w:spacing w:after="0" w:line="240" w:lineRule="auto"/>
        <w:jc w:val="center"/>
        <w:rPr>
          <w:rFonts w:asciiTheme="majorHAnsi" w:eastAsiaTheme="majorEastAsia" w:hAnsiTheme="majorHAnsi" w:cstheme="majorBidi"/>
          <w:b/>
          <w:bCs/>
          <w:color w:val="2F5496" w:themeColor="accent1" w:themeShade="BF"/>
          <w:sz w:val="32"/>
          <w:szCs w:val="32"/>
        </w:rPr>
      </w:pPr>
      <w:r w:rsidRPr="0025749F">
        <w:rPr>
          <w:rFonts w:asciiTheme="majorHAnsi" w:eastAsiaTheme="majorEastAsia" w:hAnsiTheme="majorHAnsi" w:cstheme="majorBidi"/>
          <w:b/>
          <w:bCs/>
          <w:color w:val="2F5496" w:themeColor="accent1" w:themeShade="BF"/>
          <w:sz w:val="32"/>
          <w:szCs w:val="32"/>
        </w:rPr>
        <w:t>Priekšlikumi turpmākajai rīcībai</w:t>
      </w:r>
      <w:bookmarkEnd w:id="1"/>
    </w:p>
    <w:p w14:paraId="06D58563" w14:textId="77777777" w:rsidR="00DB0E1E" w:rsidRPr="0025749F" w:rsidRDefault="00DB0E1E" w:rsidP="26BD9954">
      <w:pPr>
        <w:pStyle w:val="Heading2"/>
        <w:spacing w:before="120" w:after="120"/>
        <w:rPr>
          <w:b/>
          <w:bCs/>
          <w:sz w:val="32"/>
          <w:szCs w:val="32"/>
        </w:rPr>
      </w:pPr>
    </w:p>
    <w:p w14:paraId="34A9DADB" w14:textId="77777777" w:rsidR="00DB0E1E" w:rsidRPr="0025749F" w:rsidRDefault="00DB0E1E" w:rsidP="00DB0E1E">
      <w:pPr>
        <w:pStyle w:val="Header"/>
        <w:tabs>
          <w:tab w:val="clear" w:pos="4153"/>
          <w:tab w:val="clear" w:pos="8306"/>
          <w:tab w:val="left" w:pos="0"/>
          <w:tab w:val="right" w:pos="180"/>
          <w:tab w:val="left" w:pos="7340"/>
        </w:tabs>
        <w:jc w:val="both"/>
        <w:rPr>
          <w:sz w:val="24"/>
          <w:szCs w:val="24"/>
        </w:rPr>
      </w:pPr>
      <w:r w:rsidRPr="0025749F">
        <w:rPr>
          <w:sz w:val="24"/>
          <w:szCs w:val="24"/>
        </w:rPr>
        <w:t xml:space="preserve">1. Pieņemt zināšanai iesniegto informatīvo ziņojumu. </w:t>
      </w:r>
    </w:p>
    <w:p w14:paraId="733DD886" w14:textId="77777777" w:rsidR="00DB0E1E" w:rsidRPr="0025749F" w:rsidRDefault="00DB0E1E" w:rsidP="00DB0E1E">
      <w:pPr>
        <w:pStyle w:val="Header"/>
        <w:tabs>
          <w:tab w:val="left" w:pos="0"/>
          <w:tab w:val="right" w:pos="180"/>
        </w:tabs>
        <w:jc w:val="both"/>
        <w:rPr>
          <w:sz w:val="24"/>
          <w:szCs w:val="24"/>
        </w:rPr>
      </w:pPr>
    </w:p>
    <w:p w14:paraId="26A88C22" w14:textId="24DAC668" w:rsidR="00DB0E1E" w:rsidRPr="0025749F" w:rsidRDefault="00DB0E1E" w:rsidP="00DB0E1E">
      <w:pPr>
        <w:pStyle w:val="BodyText"/>
        <w:tabs>
          <w:tab w:val="left" w:pos="6804"/>
        </w:tabs>
        <w:jc w:val="both"/>
        <w:rPr>
          <w:rFonts w:asciiTheme="minorHAnsi" w:eastAsiaTheme="minorHAnsi" w:hAnsiTheme="minorHAnsi" w:cstheme="minorBidi"/>
          <w:b w:val="0"/>
          <w:bCs w:val="0"/>
          <w:sz w:val="24"/>
          <w:szCs w:val="24"/>
        </w:rPr>
      </w:pPr>
      <w:r w:rsidRPr="0025749F">
        <w:rPr>
          <w:rFonts w:asciiTheme="minorHAnsi" w:eastAsiaTheme="minorHAnsi" w:hAnsiTheme="minorHAnsi" w:cstheme="minorBidi"/>
          <w:b w:val="0"/>
          <w:bCs w:val="0"/>
          <w:sz w:val="24"/>
          <w:szCs w:val="24"/>
        </w:rPr>
        <w:t>2. Kā atbilstošāko risinājumu atbalstīt 1.alternatīvas īstenošanu - pārcelt no ēkas Eksporta ielā 6, Rīgā, uz ēku Krišjāņa Valdemāra ielā 26, Rīgā, Nodarbinātības valsts aģentūru un Valsts valodas centru, veicot telpu Krišjāņa Valdemāra ielā 26, Rīgā, pārbūvi un pielāgošanu iestāžu vajadzībām</w:t>
      </w:r>
      <w:r w:rsidR="008C0232" w:rsidRPr="0025749F">
        <w:rPr>
          <w:rFonts w:asciiTheme="minorHAnsi" w:eastAsiaTheme="minorHAnsi" w:hAnsiTheme="minorHAnsi" w:cstheme="minorBidi"/>
          <w:b w:val="0"/>
          <w:bCs w:val="0"/>
          <w:sz w:val="24"/>
          <w:szCs w:val="24"/>
        </w:rPr>
        <w:t>,</w:t>
      </w:r>
      <w:r w:rsidR="008C0232" w:rsidRPr="0025749F">
        <w:t xml:space="preserve"> </w:t>
      </w:r>
      <w:r w:rsidR="008C0232" w:rsidRPr="0025749F">
        <w:rPr>
          <w:rFonts w:asciiTheme="minorHAnsi" w:eastAsiaTheme="minorHAnsi" w:hAnsiTheme="minorHAnsi" w:cstheme="minorBidi"/>
          <w:b w:val="0"/>
          <w:bCs w:val="0"/>
          <w:sz w:val="24"/>
          <w:szCs w:val="24"/>
        </w:rPr>
        <w:t>ievērojot publiskā sektora biroja izveides vadlīnijas</w:t>
      </w:r>
      <w:r w:rsidR="003812A2" w:rsidRPr="0025749F">
        <w:rPr>
          <w:rFonts w:asciiTheme="minorHAnsi" w:eastAsiaTheme="minorHAnsi" w:hAnsiTheme="minorHAnsi" w:cstheme="minorBidi"/>
          <w:b w:val="0"/>
          <w:bCs w:val="0"/>
          <w:sz w:val="24"/>
          <w:szCs w:val="24"/>
        </w:rPr>
        <w:t>, cik to pieļauj esošās ēkas tehniskās iespējas</w:t>
      </w:r>
      <w:r w:rsidRPr="0025749F">
        <w:rPr>
          <w:rFonts w:asciiTheme="minorHAnsi" w:eastAsiaTheme="minorHAnsi" w:hAnsiTheme="minorHAnsi" w:cstheme="minorBidi"/>
          <w:b w:val="0"/>
          <w:bCs w:val="0"/>
          <w:sz w:val="24"/>
          <w:szCs w:val="24"/>
        </w:rPr>
        <w:t>.</w:t>
      </w:r>
    </w:p>
    <w:p w14:paraId="2B14CD25" w14:textId="77777777" w:rsidR="00DB0E1E" w:rsidRPr="0025749F" w:rsidRDefault="00DB0E1E" w:rsidP="00DB0E1E">
      <w:pPr>
        <w:pStyle w:val="BodyText"/>
        <w:tabs>
          <w:tab w:val="left" w:pos="6804"/>
        </w:tabs>
        <w:jc w:val="both"/>
        <w:rPr>
          <w:rFonts w:asciiTheme="minorHAnsi" w:eastAsiaTheme="minorHAnsi" w:hAnsiTheme="minorHAnsi" w:cstheme="minorBidi"/>
          <w:b w:val="0"/>
          <w:bCs w:val="0"/>
          <w:sz w:val="24"/>
          <w:szCs w:val="24"/>
        </w:rPr>
      </w:pPr>
    </w:p>
    <w:p w14:paraId="34659C5A" w14:textId="77777777" w:rsidR="00CB0E00" w:rsidRPr="00CB0E00" w:rsidRDefault="00EB4B5F" w:rsidP="00CB0E00">
      <w:pPr>
        <w:pStyle w:val="BodyText"/>
        <w:tabs>
          <w:tab w:val="left" w:pos="6804"/>
        </w:tabs>
        <w:jc w:val="both"/>
        <w:rPr>
          <w:rFonts w:asciiTheme="minorHAnsi" w:eastAsiaTheme="minorHAnsi" w:hAnsiTheme="minorHAnsi" w:cstheme="minorBidi"/>
          <w:b w:val="0"/>
          <w:bCs w:val="0"/>
          <w:sz w:val="24"/>
          <w:szCs w:val="24"/>
        </w:rPr>
      </w:pPr>
      <w:r w:rsidRPr="0025749F">
        <w:rPr>
          <w:rFonts w:asciiTheme="minorHAnsi" w:eastAsiaTheme="minorHAnsi" w:hAnsiTheme="minorHAnsi" w:cstheme="minorBidi"/>
          <w:b w:val="0"/>
          <w:bCs w:val="0"/>
          <w:sz w:val="24"/>
          <w:szCs w:val="24"/>
        </w:rPr>
        <w:t>3</w:t>
      </w:r>
      <w:r w:rsidR="00DB0E1E" w:rsidRPr="0025749F">
        <w:rPr>
          <w:rFonts w:asciiTheme="minorHAnsi" w:eastAsiaTheme="minorHAnsi" w:hAnsiTheme="minorHAnsi" w:cstheme="minorBidi"/>
          <w:b w:val="0"/>
          <w:bCs w:val="0"/>
          <w:sz w:val="24"/>
          <w:szCs w:val="24"/>
        </w:rPr>
        <w:t>. </w:t>
      </w:r>
      <w:r w:rsidR="00CB0E00" w:rsidRPr="00CB0E00">
        <w:rPr>
          <w:rFonts w:asciiTheme="minorHAnsi" w:eastAsiaTheme="minorHAnsi" w:hAnsiTheme="minorHAnsi" w:cstheme="minorBidi"/>
          <w:b w:val="0"/>
          <w:bCs w:val="0"/>
          <w:sz w:val="24"/>
          <w:szCs w:val="24"/>
        </w:rPr>
        <w:t>Pieņemt zināšanai, ka veicot  valsts akciju sabiedrības “Valsts nekustamie īpašumi”  īpašumā esošā nekustamā īpašuma Krišjāņa Valdemāra ielā 26, Rīgā, pārbūvi un pielāgošanu iestāžu vajadzībām, darbi tiks finansēti no citu valsts akciju sabiedrības “Valsts nekustamie īpašumi” īpašumā esošo nekustamo īpašumu atsavināšanā iegūtajiem līdzekļiem.</w:t>
      </w:r>
    </w:p>
    <w:p w14:paraId="392BE922" w14:textId="77777777" w:rsidR="00CB0E00" w:rsidRPr="00CB0E00" w:rsidRDefault="00CB0E00" w:rsidP="00CB0E00">
      <w:pPr>
        <w:pStyle w:val="BodyText"/>
        <w:tabs>
          <w:tab w:val="left" w:pos="6804"/>
        </w:tabs>
        <w:jc w:val="both"/>
        <w:rPr>
          <w:rFonts w:asciiTheme="minorHAnsi" w:eastAsiaTheme="minorHAnsi" w:hAnsiTheme="minorHAnsi" w:cstheme="minorBidi"/>
          <w:b w:val="0"/>
          <w:bCs w:val="0"/>
          <w:sz w:val="24"/>
          <w:szCs w:val="24"/>
        </w:rPr>
      </w:pPr>
    </w:p>
    <w:p w14:paraId="649B9F48" w14:textId="77777777" w:rsidR="00CB0E00" w:rsidRPr="00CB0E00" w:rsidRDefault="00CB0E00" w:rsidP="00CB0E00">
      <w:pPr>
        <w:pStyle w:val="BodyText"/>
        <w:tabs>
          <w:tab w:val="left" w:pos="6804"/>
        </w:tabs>
        <w:jc w:val="both"/>
        <w:rPr>
          <w:rFonts w:asciiTheme="minorHAnsi" w:eastAsiaTheme="minorHAnsi" w:hAnsiTheme="minorHAnsi" w:cstheme="minorBidi"/>
          <w:b w:val="0"/>
          <w:bCs w:val="0"/>
          <w:sz w:val="24"/>
          <w:szCs w:val="24"/>
        </w:rPr>
      </w:pPr>
      <w:r w:rsidRPr="00CB0E00">
        <w:rPr>
          <w:rFonts w:asciiTheme="minorHAnsi" w:eastAsiaTheme="minorHAnsi" w:hAnsiTheme="minorHAnsi" w:cstheme="minorBidi"/>
          <w:b w:val="0"/>
          <w:bCs w:val="0"/>
          <w:sz w:val="24"/>
          <w:szCs w:val="24"/>
        </w:rPr>
        <w:t>2. Pieņemt zināšanai, ka publiskā sektora iestāžu nomas maksā netiks iekļauta telpu pielāgošanas izdevumu atmaksa, kā rezultātā valsts akciju sabiedrība “Valsts nekustamie īpašumi” neatgūs telpu pielāgošanā ieguldītos finanšu līdzekļus.</w:t>
      </w:r>
    </w:p>
    <w:p w14:paraId="5C9484A0" w14:textId="413A7681" w:rsidR="00EB4B5F" w:rsidRPr="00BB0632" w:rsidRDefault="00EB4B5F" w:rsidP="00CB0E00">
      <w:pPr>
        <w:pStyle w:val="BodyText"/>
        <w:tabs>
          <w:tab w:val="left" w:pos="6804"/>
        </w:tabs>
        <w:jc w:val="both"/>
        <w:rPr>
          <w:rFonts w:asciiTheme="minorHAnsi" w:eastAsiaTheme="minorHAnsi" w:hAnsiTheme="minorHAnsi" w:cstheme="minorBidi"/>
          <w:b w:val="0"/>
          <w:bCs w:val="0"/>
          <w:sz w:val="24"/>
          <w:szCs w:val="24"/>
        </w:rPr>
      </w:pPr>
    </w:p>
    <w:sectPr w:rsidR="00EB4B5F" w:rsidRPr="00BB0632" w:rsidSect="00CB2426">
      <w:headerReference w:type="default" r:id="rId14"/>
      <w:pgSz w:w="11906" w:h="16838"/>
      <w:pgMar w:top="1440" w:right="1133"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03D47" w14:textId="77777777" w:rsidR="00643F2F" w:rsidRDefault="00643F2F" w:rsidP="00A90B38">
      <w:pPr>
        <w:spacing w:after="0" w:line="240" w:lineRule="auto"/>
      </w:pPr>
      <w:r>
        <w:separator/>
      </w:r>
    </w:p>
  </w:endnote>
  <w:endnote w:type="continuationSeparator" w:id="0">
    <w:p w14:paraId="18ABEC6C" w14:textId="77777777" w:rsidR="00643F2F" w:rsidRDefault="00643F2F" w:rsidP="00A90B38">
      <w:pPr>
        <w:spacing w:after="0" w:line="240" w:lineRule="auto"/>
      </w:pPr>
      <w:r>
        <w:continuationSeparator/>
      </w:r>
    </w:p>
  </w:endnote>
  <w:endnote w:type="continuationNotice" w:id="1">
    <w:p w14:paraId="218C79B6" w14:textId="77777777" w:rsidR="00643F2F" w:rsidRDefault="00643F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A5822" w14:textId="77777777" w:rsidR="00643F2F" w:rsidRDefault="00643F2F" w:rsidP="00A90B38">
      <w:pPr>
        <w:spacing w:after="0" w:line="240" w:lineRule="auto"/>
      </w:pPr>
      <w:r>
        <w:separator/>
      </w:r>
    </w:p>
  </w:footnote>
  <w:footnote w:type="continuationSeparator" w:id="0">
    <w:p w14:paraId="1CCD0947" w14:textId="77777777" w:rsidR="00643F2F" w:rsidRDefault="00643F2F" w:rsidP="00A90B38">
      <w:pPr>
        <w:spacing w:after="0" w:line="240" w:lineRule="auto"/>
      </w:pPr>
      <w:r>
        <w:continuationSeparator/>
      </w:r>
    </w:p>
  </w:footnote>
  <w:footnote w:type="continuationNotice" w:id="1">
    <w:p w14:paraId="1E0B6A02" w14:textId="77777777" w:rsidR="00643F2F" w:rsidRDefault="00643F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2661750"/>
      <w:docPartObj>
        <w:docPartGallery w:val="Page Numbers (Top of Page)"/>
        <w:docPartUnique/>
      </w:docPartObj>
    </w:sdtPr>
    <w:sdtEndPr>
      <w:rPr>
        <w:noProof/>
      </w:rPr>
    </w:sdtEndPr>
    <w:sdtContent>
      <w:p w14:paraId="226B5B1A" w14:textId="16EA1BC2" w:rsidR="00CB2426" w:rsidRDefault="00CB2426">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E1521C5" w14:textId="77777777" w:rsidR="00CB2426" w:rsidRDefault="00CB24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56579"/>
    <w:multiLevelType w:val="hybridMultilevel"/>
    <w:tmpl w:val="4ED827C8"/>
    <w:lvl w:ilvl="0" w:tplc="67B290F6">
      <w:start w:val="1"/>
      <w:numFmt w:val="decimal"/>
      <w:lvlText w:val="%1."/>
      <w:lvlJc w:val="left"/>
      <w:pPr>
        <w:ind w:left="720" w:hanging="360"/>
      </w:pPr>
    </w:lvl>
    <w:lvl w:ilvl="1" w:tplc="C73CF852">
      <w:start w:val="1"/>
      <w:numFmt w:val="lowerLetter"/>
      <w:lvlText w:val="%2."/>
      <w:lvlJc w:val="left"/>
      <w:pPr>
        <w:ind w:left="1440" w:hanging="360"/>
      </w:pPr>
    </w:lvl>
    <w:lvl w:ilvl="2" w:tplc="E82460DC">
      <w:start w:val="1"/>
      <w:numFmt w:val="lowerRoman"/>
      <w:lvlText w:val="%3."/>
      <w:lvlJc w:val="right"/>
      <w:pPr>
        <w:ind w:left="2160" w:hanging="180"/>
      </w:pPr>
    </w:lvl>
    <w:lvl w:ilvl="3" w:tplc="6CE407BE">
      <w:start w:val="1"/>
      <w:numFmt w:val="decimal"/>
      <w:lvlText w:val="%4."/>
      <w:lvlJc w:val="left"/>
      <w:pPr>
        <w:ind w:left="2880" w:hanging="360"/>
      </w:pPr>
    </w:lvl>
    <w:lvl w:ilvl="4" w:tplc="82EAE440">
      <w:start w:val="1"/>
      <w:numFmt w:val="lowerLetter"/>
      <w:lvlText w:val="%5."/>
      <w:lvlJc w:val="left"/>
      <w:pPr>
        <w:ind w:left="3600" w:hanging="360"/>
      </w:pPr>
    </w:lvl>
    <w:lvl w:ilvl="5" w:tplc="170CA714">
      <w:start w:val="1"/>
      <w:numFmt w:val="lowerRoman"/>
      <w:lvlText w:val="%6."/>
      <w:lvlJc w:val="right"/>
      <w:pPr>
        <w:ind w:left="4320" w:hanging="180"/>
      </w:pPr>
    </w:lvl>
    <w:lvl w:ilvl="6" w:tplc="20A0FF48">
      <w:start w:val="1"/>
      <w:numFmt w:val="decimal"/>
      <w:lvlText w:val="%7."/>
      <w:lvlJc w:val="left"/>
      <w:pPr>
        <w:ind w:left="5040" w:hanging="360"/>
      </w:pPr>
    </w:lvl>
    <w:lvl w:ilvl="7" w:tplc="0C30036A">
      <w:start w:val="1"/>
      <w:numFmt w:val="lowerLetter"/>
      <w:lvlText w:val="%8."/>
      <w:lvlJc w:val="left"/>
      <w:pPr>
        <w:ind w:left="5760" w:hanging="360"/>
      </w:pPr>
    </w:lvl>
    <w:lvl w:ilvl="8" w:tplc="3F8E884E">
      <w:start w:val="1"/>
      <w:numFmt w:val="lowerRoman"/>
      <w:lvlText w:val="%9."/>
      <w:lvlJc w:val="right"/>
      <w:pPr>
        <w:ind w:left="6480" w:hanging="180"/>
      </w:pPr>
    </w:lvl>
  </w:abstractNum>
  <w:abstractNum w:abstractNumId="1" w15:restartNumberingAfterBreak="0">
    <w:nsid w:val="064A6233"/>
    <w:multiLevelType w:val="hybridMultilevel"/>
    <w:tmpl w:val="272C401A"/>
    <w:lvl w:ilvl="0" w:tplc="7BD4DD74">
      <w:start w:val="1"/>
      <w:numFmt w:val="bullet"/>
      <w:lvlText w:val="ü"/>
      <w:lvlJc w:val="left"/>
      <w:pPr>
        <w:ind w:left="1080" w:hanging="360"/>
      </w:pPr>
      <w:rPr>
        <w:rFonts w:ascii="Wingdings" w:hAnsi="Wingdings" w:hint="default"/>
        <w:i/>
        <w:sz w:val="24"/>
      </w:rPr>
    </w:lvl>
    <w:lvl w:ilvl="1" w:tplc="686C6B38" w:tentative="1">
      <w:start w:val="1"/>
      <w:numFmt w:val="bullet"/>
      <w:lvlText w:val="o"/>
      <w:lvlJc w:val="left"/>
      <w:pPr>
        <w:ind w:left="1800" w:hanging="360"/>
      </w:pPr>
      <w:rPr>
        <w:rFonts w:ascii="Courier New" w:hAnsi="Courier New" w:hint="default"/>
      </w:rPr>
    </w:lvl>
    <w:lvl w:ilvl="2" w:tplc="AF0CF90A" w:tentative="1">
      <w:start w:val="1"/>
      <w:numFmt w:val="bullet"/>
      <w:lvlText w:val=""/>
      <w:lvlJc w:val="left"/>
      <w:pPr>
        <w:ind w:left="2520" w:hanging="360"/>
      </w:pPr>
      <w:rPr>
        <w:rFonts w:ascii="Wingdings" w:hAnsi="Wingdings" w:hint="default"/>
      </w:rPr>
    </w:lvl>
    <w:lvl w:ilvl="3" w:tplc="998039A4" w:tentative="1">
      <w:start w:val="1"/>
      <w:numFmt w:val="bullet"/>
      <w:lvlText w:val=""/>
      <w:lvlJc w:val="left"/>
      <w:pPr>
        <w:ind w:left="3240" w:hanging="360"/>
      </w:pPr>
      <w:rPr>
        <w:rFonts w:ascii="Symbol" w:hAnsi="Symbol" w:hint="default"/>
      </w:rPr>
    </w:lvl>
    <w:lvl w:ilvl="4" w:tplc="C29EB1F4" w:tentative="1">
      <w:start w:val="1"/>
      <w:numFmt w:val="bullet"/>
      <w:lvlText w:val="o"/>
      <w:lvlJc w:val="left"/>
      <w:pPr>
        <w:ind w:left="3960" w:hanging="360"/>
      </w:pPr>
      <w:rPr>
        <w:rFonts w:ascii="Courier New" w:hAnsi="Courier New" w:hint="default"/>
      </w:rPr>
    </w:lvl>
    <w:lvl w:ilvl="5" w:tplc="66CE4824" w:tentative="1">
      <w:start w:val="1"/>
      <w:numFmt w:val="bullet"/>
      <w:lvlText w:val=""/>
      <w:lvlJc w:val="left"/>
      <w:pPr>
        <w:ind w:left="4680" w:hanging="360"/>
      </w:pPr>
      <w:rPr>
        <w:rFonts w:ascii="Wingdings" w:hAnsi="Wingdings" w:hint="default"/>
      </w:rPr>
    </w:lvl>
    <w:lvl w:ilvl="6" w:tplc="DF764AB2" w:tentative="1">
      <w:start w:val="1"/>
      <w:numFmt w:val="bullet"/>
      <w:lvlText w:val=""/>
      <w:lvlJc w:val="left"/>
      <w:pPr>
        <w:ind w:left="5400" w:hanging="360"/>
      </w:pPr>
      <w:rPr>
        <w:rFonts w:ascii="Symbol" w:hAnsi="Symbol" w:hint="default"/>
      </w:rPr>
    </w:lvl>
    <w:lvl w:ilvl="7" w:tplc="E4820B4A" w:tentative="1">
      <w:start w:val="1"/>
      <w:numFmt w:val="bullet"/>
      <w:lvlText w:val="o"/>
      <w:lvlJc w:val="left"/>
      <w:pPr>
        <w:ind w:left="6120" w:hanging="360"/>
      </w:pPr>
      <w:rPr>
        <w:rFonts w:ascii="Courier New" w:hAnsi="Courier New" w:hint="default"/>
      </w:rPr>
    </w:lvl>
    <w:lvl w:ilvl="8" w:tplc="7C5685E2" w:tentative="1">
      <w:start w:val="1"/>
      <w:numFmt w:val="bullet"/>
      <w:lvlText w:val=""/>
      <w:lvlJc w:val="left"/>
      <w:pPr>
        <w:ind w:left="6840" w:hanging="360"/>
      </w:pPr>
      <w:rPr>
        <w:rFonts w:ascii="Wingdings" w:hAnsi="Wingdings" w:hint="default"/>
      </w:rPr>
    </w:lvl>
  </w:abstractNum>
  <w:abstractNum w:abstractNumId="2" w15:restartNumberingAfterBreak="0">
    <w:nsid w:val="06842DC5"/>
    <w:multiLevelType w:val="hybridMultilevel"/>
    <w:tmpl w:val="178E2A7C"/>
    <w:lvl w:ilvl="0" w:tplc="4658F326">
      <w:start w:val="1"/>
      <w:numFmt w:val="bullet"/>
      <w:lvlText w:val=""/>
      <w:lvlJc w:val="left"/>
      <w:pPr>
        <w:ind w:left="720" w:hanging="360"/>
      </w:pPr>
      <w:rPr>
        <w:rFonts w:ascii="Symbol" w:hAnsi="Symbol" w:hint="default"/>
      </w:rPr>
    </w:lvl>
    <w:lvl w:ilvl="1" w:tplc="B7388B5A">
      <w:start w:val="1"/>
      <w:numFmt w:val="bullet"/>
      <w:lvlText w:val="ü"/>
      <w:lvlJc w:val="left"/>
      <w:pPr>
        <w:ind w:left="1440" w:hanging="360"/>
      </w:pPr>
      <w:rPr>
        <w:rFonts w:ascii="Wingdings" w:hAnsi="Wingdings" w:hint="default"/>
      </w:rPr>
    </w:lvl>
    <w:lvl w:ilvl="2" w:tplc="9EB62A70">
      <w:start w:val="1"/>
      <w:numFmt w:val="bullet"/>
      <w:lvlText w:val=""/>
      <w:lvlJc w:val="left"/>
      <w:pPr>
        <w:ind w:left="2160" w:hanging="360"/>
      </w:pPr>
      <w:rPr>
        <w:rFonts w:ascii="Wingdings" w:hAnsi="Wingdings" w:hint="default"/>
      </w:rPr>
    </w:lvl>
    <w:lvl w:ilvl="3" w:tplc="8E76C8D2">
      <w:start w:val="1"/>
      <w:numFmt w:val="bullet"/>
      <w:lvlText w:val=""/>
      <w:lvlJc w:val="left"/>
      <w:pPr>
        <w:ind w:left="2880" w:hanging="360"/>
      </w:pPr>
      <w:rPr>
        <w:rFonts w:ascii="Symbol" w:hAnsi="Symbol" w:hint="default"/>
      </w:rPr>
    </w:lvl>
    <w:lvl w:ilvl="4" w:tplc="9ABE16A4">
      <w:start w:val="1"/>
      <w:numFmt w:val="bullet"/>
      <w:lvlText w:val="o"/>
      <w:lvlJc w:val="left"/>
      <w:pPr>
        <w:ind w:left="3600" w:hanging="360"/>
      </w:pPr>
      <w:rPr>
        <w:rFonts w:ascii="Courier New" w:hAnsi="Courier New" w:hint="default"/>
      </w:rPr>
    </w:lvl>
    <w:lvl w:ilvl="5" w:tplc="09C063C2">
      <w:start w:val="1"/>
      <w:numFmt w:val="bullet"/>
      <w:lvlText w:val=""/>
      <w:lvlJc w:val="left"/>
      <w:pPr>
        <w:ind w:left="4320" w:hanging="360"/>
      </w:pPr>
      <w:rPr>
        <w:rFonts w:ascii="Wingdings" w:hAnsi="Wingdings" w:hint="default"/>
      </w:rPr>
    </w:lvl>
    <w:lvl w:ilvl="6" w:tplc="62E2DA0C">
      <w:start w:val="1"/>
      <w:numFmt w:val="bullet"/>
      <w:lvlText w:val=""/>
      <w:lvlJc w:val="left"/>
      <w:pPr>
        <w:ind w:left="5040" w:hanging="360"/>
      </w:pPr>
      <w:rPr>
        <w:rFonts w:ascii="Symbol" w:hAnsi="Symbol" w:hint="default"/>
      </w:rPr>
    </w:lvl>
    <w:lvl w:ilvl="7" w:tplc="7F8A4B5E">
      <w:start w:val="1"/>
      <w:numFmt w:val="bullet"/>
      <w:lvlText w:val="o"/>
      <w:lvlJc w:val="left"/>
      <w:pPr>
        <w:ind w:left="5760" w:hanging="360"/>
      </w:pPr>
      <w:rPr>
        <w:rFonts w:ascii="Courier New" w:hAnsi="Courier New" w:hint="default"/>
      </w:rPr>
    </w:lvl>
    <w:lvl w:ilvl="8" w:tplc="E2B6F55A">
      <w:start w:val="1"/>
      <w:numFmt w:val="bullet"/>
      <w:lvlText w:val=""/>
      <w:lvlJc w:val="left"/>
      <w:pPr>
        <w:ind w:left="6480" w:hanging="360"/>
      </w:pPr>
      <w:rPr>
        <w:rFonts w:ascii="Wingdings" w:hAnsi="Wingdings" w:hint="default"/>
      </w:rPr>
    </w:lvl>
  </w:abstractNum>
  <w:abstractNum w:abstractNumId="3" w15:restartNumberingAfterBreak="0">
    <w:nsid w:val="0A73151C"/>
    <w:multiLevelType w:val="hybridMultilevel"/>
    <w:tmpl w:val="20A0ECD6"/>
    <w:lvl w:ilvl="0" w:tplc="6A1C347E">
      <w:start w:val="1"/>
      <w:numFmt w:val="bullet"/>
      <w:lvlText w:val=""/>
      <w:lvlJc w:val="left"/>
      <w:pPr>
        <w:ind w:left="720" w:hanging="360"/>
      </w:pPr>
      <w:rPr>
        <w:rFonts w:ascii="Wingdings" w:hAnsi="Wingdings" w:hint="default"/>
      </w:rPr>
    </w:lvl>
    <w:lvl w:ilvl="1" w:tplc="25440F84">
      <w:start w:val="1"/>
      <w:numFmt w:val="bullet"/>
      <w:lvlText w:val="o"/>
      <w:lvlJc w:val="left"/>
      <w:pPr>
        <w:ind w:left="1440" w:hanging="360"/>
      </w:pPr>
      <w:rPr>
        <w:rFonts w:ascii="Courier New" w:hAnsi="Courier New" w:hint="default"/>
      </w:rPr>
    </w:lvl>
    <w:lvl w:ilvl="2" w:tplc="A3CA0AA0">
      <w:start w:val="1"/>
      <w:numFmt w:val="bullet"/>
      <w:lvlText w:val=""/>
      <w:lvlJc w:val="left"/>
      <w:pPr>
        <w:ind w:left="2160" w:hanging="360"/>
      </w:pPr>
      <w:rPr>
        <w:rFonts w:ascii="Wingdings" w:hAnsi="Wingdings" w:hint="default"/>
      </w:rPr>
    </w:lvl>
    <w:lvl w:ilvl="3" w:tplc="F040843C">
      <w:start w:val="1"/>
      <w:numFmt w:val="bullet"/>
      <w:lvlText w:val=""/>
      <w:lvlJc w:val="left"/>
      <w:pPr>
        <w:ind w:left="2880" w:hanging="360"/>
      </w:pPr>
      <w:rPr>
        <w:rFonts w:ascii="Symbol" w:hAnsi="Symbol" w:hint="default"/>
      </w:rPr>
    </w:lvl>
    <w:lvl w:ilvl="4" w:tplc="5DDEAA8A">
      <w:start w:val="1"/>
      <w:numFmt w:val="bullet"/>
      <w:lvlText w:val="o"/>
      <w:lvlJc w:val="left"/>
      <w:pPr>
        <w:ind w:left="3600" w:hanging="360"/>
      </w:pPr>
      <w:rPr>
        <w:rFonts w:ascii="Courier New" w:hAnsi="Courier New" w:hint="default"/>
      </w:rPr>
    </w:lvl>
    <w:lvl w:ilvl="5" w:tplc="E9588292">
      <w:start w:val="1"/>
      <w:numFmt w:val="bullet"/>
      <w:lvlText w:val=""/>
      <w:lvlJc w:val="left"/>
      <w:pPr>
        <w:ind w:left="4320" w:hanging="360"/>
      </w:pPr>
      <w:rPr>
        <w:rFonts w:ascii="Wingdings" w:hAnsi="Wingdings" w:hint="default"/>
      </w:rPr>
    </w:lvl>
    <w:lvl w:ilvl="6" w:tplc="A76EA7B2">
      <w:start w:val="1"/>
      <w:numFmt w:val="bullet"/>
      <w:lvlText w:val=""/>
      <w:lvlJc w:val="left"/>
      <w:pPr>
        <w:ind w:left="5040" w:hanging="360"/>
      </w:pPr>
      <w:rPr>
        <w:rFonts w:ascii="Symbol" w:hAnsi="Symbol" w:hint="default"/>
      </w:rPr>
    </w:lvl>
    <w:lvl w:ilvl="7" w:tplc="F2B0F5BC">
      <w:start w:val="1"/>
      <w:numFmt w:val="bullet"/>
      <w:lvlText w:val="o"/>
      <w:lvlJc w:val="left"/>
      <w:pPr>
        <w:ind w:left="5760" w:hanging="360"/>
      </w:pPr>
      <w:rPr>
        <w:rFonts w:ascii="Courier New" w:hAnsi="Courier New" w:hint="default"/>
      </w:rPr>
    </w:lvl>
    <w:lvl w:ilvl="8" w:tplc="C7B642DE">
      <w:start w:val="1"/>
      <w:numFmt w:val="bullet"/>
      <w:lvlText w:val=""/>
      <w:lvlJc w:val="left"/>
      <w:pPr>
        <w:ind w:left="6480" w:hanging="360"/>
      </w:pPr>
      <w:rPr>
        <w:rFonts w:ascii="Wingdings" w:hAnsi="Wingdings" w:hint="default"/>
      </w:rPr>
    </w:lvl>
  </w:abstractNum>
  <w:abstractNum w:abstractNumId="4" w15:restartNumberingAfterBreak="0">
    <w:nsid w:val="0FA7365C"/>
    <w:multiLevelType w:val="hybridMultilevel"/>
    <w:tmpl w:val="1C9AC7CA"/>
    <w:lvl w:ilvl="0" w:tplc="FD787D72">
      <w:start w:val="1"/>
      <w:numFmt w:val="decimal"/>
      <w:lvlText w:val="%1."/>
      <w:lvlJc w:val="left"/>
      <w:pPr>
        <w:ind w:left="1353" w:hanging="360"/>
      </w:pPr>
      <w:rPr>
        <w:rFonts w:hint="default"/>
      </w:rPr>
    </w:lvl>
    <w:lvl w:ilvl="1" w:tplc="04260019">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5" w15:restartNumberingAfterBreak="0">
    <w:nsid w:val="168341F8"/>
    <w:multiLevelType w:val="hybridMultilevel"/>
    <w:tmpl w:val="2544E838"/>
    <w:lvl w:ilvl="0" w:tplc="6F80E76E">
      <w:start w:val="1"/>
      <w:numFmt w:val="bullet"/>
      <w:lvlText w:val=""/>
      <w:lvlJc w:val="left"/>
      <w:pPr>
        <w:ind w:left="720" w:hanging="360"/>
      </w:pPr>
      <w:rPr>
        <w:rFonts w:ascii="Symbol" w:hAnsi="Symbol" w:hint="default"/>
      </w:rPr>
    </w:lvl>
    <w:lvl w:ilvl="1" w:tplc="287467E2">
      <w:start w:val="1"/>
      <w:numFmt w:val="bullet"/>
      <w:lvlText w:val=""/>
      <w:lvlJc w:val="left"/>
      <w:pPr>
        <w:ind w:left="1440" w:hanging="360"/>
      </w:pPr>
      <w:rPr>
        <w:rFonts w:ascii="Symbol" w:hAnsi="Symbol" w:hint="default"/>
      </w:rPr>
    </w:lvl>
    <w:lvl w:ilvl="2" w:tplc="9F4CAA7A">
      <w:start w:val="1"/>
      <w:numFmt w:val="bullet"/>
      <w:lvlText w:val=""/>
      <w:lvlJc w:val="left"/>
      <w:pPr>
        <w:ind w:left="2160" w:hanging="360"/>
      </w:pPr>
      <w:rPr>
        <w:rFonts w:ascii="Wingdings" w:hAnsi="Wingdings" w:hint="default"/>
      </w:rPr>
    </w:lvl>
    <w:lvl w:ilvl="3" w:tplc="BB22B3F8">
      <w:start w:val="1"/>
      <w:numFmt w:val="bullet"/>
      <w:lvlText w:val=""/>
      <w:lvlJc w:val="left"/>
      <w:pPr>
        <w:ind w:left="2880" w:hanging="360"/>
      </w:pPr>
      <w:rPr>
        <w:rFonts w:ascii="Symbol" w:hAnsi="Symbol" w:hint="default"/>
      </w:rPr>
    </w:lvl>
    <w:lvl w:ilvl="4" w:tplc="E2F45244">
      <w:start w:val="1"/>
      <w:numFmt w:val="bullet"/>
      <w:lvlText w:val="o"/>
      <w:lvlJc w:val="left"/>
      <w:pPr>
        <w:ind w:left="3600" w:hanging="360"/>
      </w:pPr>
      <w:rPr>
        <w:rFonts w:ascii="Courier New" w:hAnsi="Courier New" w:hint="default"/>
      </w:rPr>
    </w:lvl>
    <w:lvl w:ilvl="5" w:tplc="8C44855E">
      <w:start w:val="1"/>
      <w:numFmt w:val="bullet"/>
      <w:lvlText w:val=""/>
      <w:lvlJc w:val="left"/>
      <w:pPr>
        <w:ind w:left="4320" w:hanging="360"/>
      </w:pPr>
      <w:rPr>
        <w:rFonts w:ascii="Wingdings" w:hAnsi="Wingdings" w:hint="default"/>
      </w:rPr>
    </w:lvl>
    <w:lvl w:ilvl="6" w:tplc="F4920B30">
      <w:start w:val="1"/>
      <w:numFmt w:val="bullet"/>
      <w:lvlText w:val=""/>
      <w:lvlJc w:val="left"/>
      <w:pPr>
        <w:ind w:left="5040" w:hanging="360"/>
      </w:pPr>
      <w:rPr>
        <w:rFonts w:ascii="Symbol" w:hAnsi="Symbol" w:hint="default"/>
      </w:rPr>
    </w:lvl>
    <w:lvl w:ilvl="7" w:tplc="8258F1C2">
      <w:start w:val="1"/>
      <w:numFmt w:val="bullet"/>
      <w:lvlText w:val="o"/>
      <w:lvlJc w:val="left"/>
      <w:pPr>
        <w:ind w:left="5760" w:hanging="360"/>
      </w:pPr>
      <w:rPr>
        <w:rFonts w:ascii="Courier New" w:hAnsi="Courier New" w:hint="default"/>
      </w:rPr>
    </w:lvl>
    <w:lvl w:ilvl="8" w:tplc="456A86D0">
      <w:start w:val="1"/>
      <w:numFmt w:val="bullet"/>
      <w:lvlText w:val=""/>
      <w:lvlJc w:val="left"/>
      <w:pPr>
        <w:ind w:left="6480" w:hanging="360"/>
      </w:pPr>
      <w:rPr>
        <w:rFonts w:ascii="Wingdings" w:hAnsi="Wingdings" w:hint="default"/>
      </w:rPr>
    </w:lvl>
  </w:abstractNum>
  <w:abstractNum w:abstractNumId="6" w15:restartNumberingAfterBreak="0">
    <w:nsid w:val="16F67DB9"/>
    <w:multiLevelType w:val="hybridMultilevel"/>
    <w:tmpl w:val="72824A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29D11AF"/>
    <w:multiLevelType w:val="hybridMultilevel"/>
    <w:tmpl w:val="B73E6176"/>
    <w:lvl w:ilvl="0" w:tplc="9FD2A6D4">
      <w:start w:val="3"/>
      <w:numFmt w:val="bullet"/>
      <w:lvlText w:val="-"/>
      <w:lvlJc w:val="left"/>
      <w:pPr>
        <w:ind w:left="720" w:hanging="360"/>
      </w:pPr>
      <w:rPr>
        <w:rFonts w:ascii="Calibri" w:eastAsiaTheme="minorHAnsi" w:hAnsi="Calibri" w:cs="Calibri" w:hint="default"/>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D5931C3"/>
    <w:multiLevelType w:val="hybridMultilevel"/>
    <w:tmpl w:val="9ED495E0"/>
    <w:lvl w:ilvl="0" w:tplc="CE4CF652">
      <w:start w:val="1"/>
      <w:numFmt w:val="bullet"/>
      <w:lvlText w:val="ü"/>
      <w:lvlJc w:val="left"/>
      <w:pPr>
        <w:tabs>
          <w:tab w:val="num" w:pos="720"/>
        </w:tabs>
        <w:ind w:left="1080" w:hanging="360"/>
      </w:pPr>
      <w:rPr>
        <w:rFonts w:ascii="Wingdings" w:hAnsi="Wingdings" w:hint="default"/>
      </w:rPr>
    </w:lvl>
    <w:lvl w:ilvl="1" w:tplc="7126439C" w:tentative="1">
      <w:start w:val="1"/>
      <w:numFmt w:val="bullet"/>
      <w:lvlText w:val="•"/>
      <w:lvlJc w:val="left"/>
      <w:pPr>
        <w:tabs>
          <w:tab w:val="num" w:pos="1440"/>
        </w:tabs>
        <w:ind w:left="1800" w:hanging="360"/>
      </w:pPr>
      <w:rPr>
        <w:rFonts w:ascii="Arial" w:hAnsi="Arial" w:hint="default"/>
      </w:rPr>
    </w:lvl>
    <w:lvl w:ilvl="2" w:tplc="0552833C" w:tentative="1">
      <w:start w:val="1"/>
      <w:numFmt w:val="bullet"/>
      <w:lvlText w:val="•"/>
      <w:lvlJc w:val="left"/>
      <w:pPr>
        <w:tabs>
          <w:tab w:val="num" w:pos="2160"/>
        </w:tabs>
        <w:ind w:left="2520" w:hanging="360"/>
      </w:pPr>
      <w:rPr>
        <w:rFonts w:ascii="Arial" w:hAnsi="Arial" w:hint="default"/>
      </w:rPr>
    </w:lvl>
    <w:lvl w:ilvl="3" w:tplc="2760D4C0" w:tentative="1">
      <w:start w:val="1"/>
      <w:numFmt w:val="bullet"/>
      <w:lvlText w:val="•"/>
      <w:lvlJc w:val="left"/>
      <w:pPr>
        <w:tabs>
          <w:tab w:val="num" w:pos="2880"/>
        </w:tabs>
        <w:ind w:left="3240" w:hanging="360"/>
      </w:pPr>
      <w:rPr>
        <w:rFonts w:ascii="Arial" w:hAnsi="Arial" w:hint="default"/>
      </w:rPr>
    </w:lvl>
    <w:lvl w:ilvl="4" w:tplc="66F084B2" w:tentative="1">
      <w:start w:val="1"/>
      <w:numFmt w:val="bullet"/>
      <w:lvlText w:val="•"/>
      <w:lvlJc w:val="left"/>
      <w:pPr>
        <w:tabs>
          <w:tab w:val="num" w:pos="3600"/>
        </w:tabs>
        <w:ind w:left="3960" w:hanging="360"/>
      </w:pPr>
      <w:rPr>
        <w:rFonts w:ascii="Arial" w:hAnsi="Arial" w:hint="default"/>
      </w:rPr>
    </w:lvl>
    <w:lvl w:ilvl="5" w:tplc="1FE621CE" w:tentative="1">
      <w:start w:val="1"/>
      <w:numFmt w:val="bullet"/>
      <w:lvlText w:val="•"/>
      <w:lvlJc w:val="left"/>
      <w:pPr>
        <w:tabs>
          <w:tab w:val="num" w:pos="4320"/>
        </w:tabs>
        <w:ind w:left="4680" w:hanging="360"/>
      </w:pPr>
      <w:rPr>
        <w:rFonts w:ascii="Arial" w:hAnsi="Arial" w:hint="default"/>
      </w:rPr>
    </w:lvl>
    <w:lvl w:ilvl="6" w:tplc="48CAF186" w:tentative="1">
      <w:start w:val="1"/>
      <w:numFmt w:val="bullet"/>
      <w:lvlText w:val="•"/>
      <w:lvlJc w:val="left"/>
      <w:pPr>
        <w:tabs>
          <w:tab w:val="num" w:pos="5040"/>
        </w:tabs>
        <w:ind w:left="5400" w:hanging="360"/>
      </w:pPr>
      <w:rPr>
        <w:rFonts w:ascii="Arial" w:hAnsi="Arial" w:hint="default"/>
      </w:rPr>
    </w:lvl>
    <w:lvl w:ilvl="7" w:tplc="55EA4958" w:tentative="1">
      <w:start w:val="1"/>
      <w:numFmt w:val="bullet"/>
      <w:lvlText w:val="•"/>
      <w:lvlJc w:val="left"/>
      <w:pPr>
        <w:tabs>
          <w:tab w:val="num" w:pos="5760"/>
        </w:tabs>
        <w:ind w:left="6120" w:hanging="360"/>
      </w:pPr>
      <w:rPr>
        <w:rFonts w:ascii="Arial" w:hAnsi="Arial" w:hint="default"/>
      </w:rPr>
    </w:lvl>
    <w:lvl w:ilvl="8" w:tplc="0B60D1AA" w:tentative="1">
      <w:start w:val="1"/>
      <w:numFmt w:val="bullet"/>
      <w:lvlText w:val="•"/>
      <w:lvlJc w:val="left"/>
      <w:pPr>
        <w:tabs>
          <w:tab w:val="num" w:pos="6480"/>
        </w:tabs>
        <w:ind w:left="6840" w:hanging="360"/>
      </w:pPr>
      <w:rPr>
        <w:rFonts w:ascii="Arial" w:hAnsi="Arial" w:hint="default"/>
      </w:rPr>
    </w:lvl>
  </w:abstractNum>
  <w:abstractNum w:abstractNumId="9" w15:restartNumberingAfterBreak="0">
    <w:nsid w:val="3DDB3897"/>
    <w:multiLevelType w:val="hybridMultilevel"/>
    <w:tmpl w:val="6C8E2558"/>
    <w:lvl w:ilvl="0" w:tplc="1CC03792">
      <w:start w:val="1"/>
      <w:numFmt w:val="bullet"/>
      <w:lvlText w:val="ü"/>
      <w:lvlJc w:val="left"/>
      <w:pPr>
        <w:ind w:left="720" w:hanging="360"/>
      </w:pPr>
      <w:rPr>
        <w:rFonts w:ascii="Wingdings" w:hAnsi="Wingdings" w:hint="default"/>
      </w:rPr>
    </w:lvl>
    <w:lvl w:ilvl="1" w:tplc="40B4BB44">
      <w:start w:val="1"/>
      <w:numFmt w:val="bullet"/>
      <w:lvlText w:val="o"/>
      <w:lvlJc w:val="left"/>
      <w:pPr>
        <w:ind w:left="1440" w:hanging="360"/>
      </w:pPr>
      <w:rPr>
        <w:rFonts w:ascii="Courier New" w:hAnsi="Courier New" w:hint="default"/>
      </w:rPr>
    </w:lvl>
    <w:lvl w:ilvl="2" w:tplc="B3DECA1C">
      <w:start w:val="1"/>
      <w:numFmt w:val="bullet"/>
      <w:lvlText w:val=""/>
      <w:lvlJc w:val="left"/>
      <w:pPr>
        <w:ind w:left="2160" w:hanging="360"/>
      </w:pPr>
      <w:rPr>
        <w:rFonts w:ascii="Wingdings" w:hAnsi="Wingdings" w:hint="default"/>
      </w:rPr>
    </w:lvl>
    <w:lvl w:ilvl="3" w:tplc="171A90B2">
      <w:start w:val="1"/>
      <w:numFmt w:val="bullet"/>
      <w:lvlText w:val=""/>
      <w:lvlJc w:val="left"/>
      <w:pPr>
        <w:ind w:left="2880" w:hanging="360"/>
      </w:pPr>
      <w:rPr>
        <w:rFonts w:ascii="Symbol" w:hAnsi="Symbol" w:hint="default"/>
      </w:rPr>
    </w:lvl>
    <w:lvl w:ilvl="4" w:tplc="994EB6E0">
      <w:start w:val="1"/>
      <w:numFmt w:val="bullet"/>
      <w:lvlText w:val="o"/>
      <w:lvlJc w:val="left"/>
      <w:pPr>
        <w:ind w:left="3600" w:hanging="360"/>
      </w:pPr>
      <w:rPr>
        <w:rFonts w:ascii="Courier New" w:hAnsi="Courier New" w:hint="default"/>
      </w:rPr>
    </w:lvl>
    <w:lvl w:ilvl="5" w:tplc="38E291BA">
      <w:start w:val="1"/>
      <w:numFmt w:val="bullet"/>
      <w:lvlText w:val=""/>
      <w:lvlJc w:val="left"/>
      <w:pPr>
        <w:ind w:left="4320" w:hanging="360"/>
      </w:pPr>
      <w:rPr>
        <w:rFonts w:ascii="Wingdings" w:hAnsi="Wingdings" w:hint="default"/>
      </w:rPr>
    </w:lvl>
    <w:lvl w:ilvl="6" w:tplc="25D81CB2">
      <w:start w:val="1"/>
      <w:numFmt w:val="bullet"/>
      <w:lvlText w:val=""/>
      <w:lvlJc w:val="left"/>
      <w:pPr>
        <w:ind w:left="5040" w:hanging="360"/>
      </w:pPr>
      <w:rPr>
        <w:rFonts w:ascii="Symbol" w:hAnsi="Symbol" w:hint="default"/>
      </w:rPr>
    </w:lvl>
    <w:lvl w:ilvl="7" w:tplc="26668776">
      <w:start w:val="1"/>
      <w:numFmt w:val="bullet"/>
      <w:lvlText w:val="o"/>
      <w:lvlJc w:val="left"/>
      <w:pPr>
        <w:ind w:left="5760" w:hanging="360"/>
      </w:pPr>
      <w:rPr>
        <w:rFonts w:ascii="Courier New" w:hAnsi="Courier New" w:hint="default"/>
      </w:rPr>
    </w:lvl>
    <w:lvl w:ilvl="8" w:tplc="363269AA">
      <w:start w:val="1"/>
      <w:numFmt w:val="bullet"/>
      <w:lvlText w:val=""/>
      <w:lvlJc w:val="left"/>
      <w:pPr>
        <w:ind w:left="6480" w:hanging="360"/>
      </w:pPr>
      <w:rPr>
        <w:rFonts w:ascii="Wingdings" w:hAnsi="Wingdings" w:hint="default"/>
      </w:rPr>
    </w:lvl>
  </w:abstractNum>
  <w:abstractNum w:abstractNumId="10" w15:restartNumberingAfterBreak="0">
    <w:nsid w:val="4F8908F3"/>
    <w:multiLevelType w:val="hybridMultilevel"/>
    <w:tmpl w:val="EB98C9F2"/>
    <w:lvl w:ilvl="0" w:tplc="F6FCB764">
      <w:start w:val="1"/>
      <w:numFmt w:val="bullet"/>
      <w:lvlText w:val=""/>
      <w:lvlJc w:val="left"/>
      <w:pPr>
        <w:ind w:left="720" w:hanging="360"/>
      </w:pPr>
      <w:rPr>
        <w:rFonts w:ascii="Wingdings" w:hAnsi="Wingdings" w:hint="default"/>
      </w:rPr>
    </w:lvl>
    <w:lvl w:ilvl="1" w:tplc="FFE4687C">
      <w:start w:val="1"/>
      <w:numFmt w:val="bullet"/>
      <w:lvlText w:val="o"/>
      <w:lvlJc w:val="left"/>
      <w:pPr>
        <w:ind w:left="1440" w:hanging="360"/>
      </w:pPr>
      <w:rPr>
        <w:rFonts w:ascii="Courier New" w:hAnsi="Courier New" w:hint="default"/>
      </w:rPr>
    </w:lvl>
    <w:lvl w:ilvl="2" w:tplc="DD92E892">
      <w:start w:val="1"/>
      <w:numFmt w:val="bullet"/>
      <w:lvlText w:val=""/>
      <w:lvlJc w:val="left"/>
      <w:pPr>
        <w:ind w:left="2160" w:hanging="360"/>
      </w:pPr>
      <w:rPr>
        <w:rFonts w:ascii="Wingdings" w:hAnsi="Wingdings" w:hint="default"/>
      </w:rPr>
    </w:lvl>
    <w:lvl w:ilvl="3" w:tplc="E280DCBE">
      <w:start w:val="1"/>
      <w:numFmt w:val="bullet"/>
      <w:lvlText w:val=""/>
      <w:lvlJc w:val="left"/>
      <w:pPr>
        <w:ind w:left="2880" w:hanging="360"/>
      </w:pPr>
      <w:rPr>
        <w:rFonts w:ascii="Symbol" w:hAnsi="Symbol" w:hint="default"/>
      </w:rPr>
    </w:lvl>
    <w:lvl w:ilvl="4" w:tplc="F0489FCA">
      <w:start w:val="1"/>
      <w:numFmt w:val="bullet"/>
      <w:lvlText w:val="o"/>
      <w:lvlJc w:val="left"/>
      <w:pPr>
        <w:ind w:left="3600" w:hanging="360"/>
      </w:pPr>
      <w:rPr>
        <w:rFonts w:ascii="Courier New" w:hAnsi="Courier New" w:hint="default"/>
      </w:rPr>
    </w:lvl>
    <w:lvl w:ilvl="5" w:tplc="9EC69F52">
      <w:start w:val="1"/>
      <w:numFmt w:val="bullet"/>
      <w:lvlText w:val=""/>
      <w:lvlJc w:val="left"/>
      <w:pPr>
        <w:ind w:left="4320" w:hanging="360"/>
      </w:pPr>
      <w:rPr>
        <w:rFonts w:ascii="Wingdings" w:hAnsi="Wingdings" w:hint="default"/>
      </w:rPr>
    </w:lvl>
    <w:lvl w:ilvl="6" w:tplc="A350B8A6">
      <w:start w:val="1"/>
      <w:numFmt w:val="bullet"/>
      <w:lvlText w:val=""/>
      <w:lvlJc w:val="left"/>
      <w:pPr>
        <w:ind w:left="5040" w:hanging="360"/>
      </w:pPr>
      <w:rPr>
        <w:rFonts w:ascii="Symbol" w:hAnsi="Symbol" w:hint="default"/>
      </w:rPr>
    </w:lvl>
    <w:lvl w:ilvl="7" w:tplc="309E8552">
      <w:start w:val="1"/>
      <w:numFmt w:val="bullet"/>
      <w:lvlText w:val="o"/>
      <w:lvlJc w:val="left"/>
      <w:pPr>
        <w:ind w:left="5760" w:hanging="360"/>
      </w:pPr>
      <w:rPr>
        <w:rFonts w:ascii="Courier New" w:hAnsi="Courier New" w:hint="default"/>
      </w:rPr>
    </w:lvl>
    <w:lvl w:ilvl="8" w:tplc="0532A31C">
      <w:start w:val="1"/>
      <w:numFmt w:val="bullet"/>
      <w:lvlText w:val=""/>
      <w:lvlJc w:val="left"/>
      <w:pPr>
        <w:ind w:left="6480" w:hanging="360"/>
      </w:pPr>
      <w:rPr>
        <w:rFonts w:ascii="Wingdings" w:hAnsi="Wingdings" w:hint="default"/>
      </w:rPr>
    </w:lvl>
  </w:abstractNum>
  <w:abstractNum w:abstractNumId="11" w15:restartNumberingAfterBreak="0">
    <w:nsid w:val="5DFB2420"/>
    <w:multiLevelType w:val="hybridMultilevel"/>
    <w:tmpl w:val="10BA34D4"/>
    <w:lvl w:ilvl="0" w:tplc="1466103C">
      <w:start w:val="1"/>
      <w:numFmt w:val="bullet"/>
      <w:lvlText w:val=""/>
      <w:lvlJc w:val="left"/>
      <w:pPr>
        <w:ind w:left="720" w:hanging="360"/>
      </w:pPr>
      <w:rPr>
        <w:rFonts w:ascii="Wingdings" w:hAnsi="Wingdings" w:hint="default"/>
      </w:rPr>
    </w:lvl>
    <w:lvl w:ilvl="1" w:tplc="0ADE62A8">
      <w:start w:val="1"/>
      <w:numFmt w:val="bullet"/>
      <w:lvlText w:val="o"/>
      <w:lvlJc w:val="left"/>
      <w:pPr>
        <w:ind w:left="1440" w:hanging="360"/>
      </w:pPr>
      <w:rPr>
        <w:rFonts w:ascii="Courier New" w:hAnsi="Courier New" w:hint="default"/>
      </w:rPr>
    </w:lvl>
    <w:lvl w:ilvl="2" w:tplc="3304A89A">
      <w:start w:val="1"/>
      <w:numFmt w:val="bullet"/>
      <w:lvlText w:val=""/>
      <w:lvlJc w:val="left"/>
      <w:pPr>
        <w:ind w:left="2160" w:hanging="360"/>
      </w:pPr>
      <w:rPr>
        <w:rFonts w:ascii="Wingdings" w:hAnsi="Wingdings" w:hint="default"/>
      </w:rPr>
    </w:lvl>
    <w:lvl w:ilvl="3" w:tplc="CB0E6390">
      <w:start w:val="1"/>
      <w:numFmt w:val="bullet"/>
      <w:lvlText w:val=""/>
      <w:lvlJc w:val="left"/>
      <w:pPr>
        <w:ind w:left="2880" w:hanging="360"/>
      </w:pPr>
      <w:rPr>
        <w:rFonts w:ascii="Symbol" w:hAnsi="Symbol" w:hint="default"/>
      </w:rPr>
    </w:lvl>
    <w:lvl w:ilvl="4" w:tplc="E7D4551C">
      <w:start w:val="1"/>
      <w:numFmt w:val="bullet"/>
      <w:lvlText w:val="o"/>
      <w:lvlJc w:val="left"/>
      <w:pPr>
        <w:ind w:left="3600" w:hanging="360"/>
      </w:pPr>
      <w:rPr>
        <w:rFonts w:ascii="Courier New" w:hAnsi="Courier New" w:hint="default"/>
      </w:rPr>
    </w:lvl>
    <w:lvl w:ilvl="5" w:tplc="8E1662E2">
      <w:start w:val="1"/>
      <w:numFmt w:val="bullet"/>
      <w:lvlText w:val=""/>
      <w:lvlJc w:val="left"/>
      <w:pPr>
        <w:ind w:left="4320" w:hanging="360"/>
      </w:pPr>
      <w:rPr>
        <w:rFonts w:ascii="Wingdings" w:hAnsi="Wingdings" w:hint="default"/>
      </w:rPr>
    </w:lvl>
    <w:lvl w:ilvl="6" w:tplc="16D0A71E">
      <w:start w:val="1"/>
      <w:numFmt w:val="bullet"/>
      <w:lvlText w:val=""/>
      <w:lvlJc w:val="left"/>
      <w:pPr>
        <w:ind w:left="5040" w:hanging="360"/>
      </w:pPr>
      <w:rPr>
        <w:rFonts w:ascii="Symbol" w:hAnsi="Symbol" w:hint="default"/>
      </w:rPr>
    </w:lvl>
    <w:lvl w:ilvl="7" w:tplc="94062298">
      <w:start w:val="1"/>
      <w:numFmt w:val="bullet"/>
      <w:lvlText w:val="o"/>
      <w:lvlJc w:val="left"/>
      <w:pPr>
        <w:ind w:left="5760" w:hanging="360"/>
      </w:pPr>
      <w:rPr>
        <w:rFonts w:ascii="Courier New" w:hAnsi="Courier New" w:hint="default"/>
      </w:rPr>
    </w:lvl>
    <w:lvl w:ilvl="8" w:tplc="6810B94A">
      <w:start w:val="1"/>
      <w:numFmt w:val="bullet"/>
      <w:lvlText w:val=""/>
      <w:lvlJc w:val="left"/>
      <w:pPr>
        <w:ind w:left="6480" w:hanging="360"/>
      </w:pPr>
      <w:rPr>
        <w:rFonts w:ascii="Wingdings" w:hAnsi="Wingdings" w:hint="default"/>
      </w:rPr>
    </w:lvl>
  </w:abstractNum>
  <w:abstractNum w:abstractNumId="12" w15:restartNumberingAfterBreak="0">
    <w:nsid w:val="61B06589"/>
    <w:multiLevelType w:val="hybridMultilevel"/>
    <w:tmpl w:val="10A29B3E"/>
    <w:lvl w:ilvl="0" w:tplc="2BBAFED6">
      <w:start w:val="1"/>
      <w:numFmt w:val="bullet"/>
      <w:lvlText w:val=""/>
      <w:lvlJc w:val="left"/>
      <w:pPr>
        <w:ind w:left="720" w:hanging="360"/>
      </w:pPr>
      <w:rPr>
        <w:rFonts w:ascii="Wingdings" w:hAnsi="Wingdings" w:hint="default"/>
      </w:rPr>
    </w:lvl>
    <w:lvl w:ilvl="1" w:tplc="2256AEB6">
      <w:start w:val="1"/>
      <w:numFmt w:val="bullet"/>
      <w:lvlText w:val="o"/>
      <w:lvlJc w:val="left"/>
      <w:pPr>
        <w:ind w:left="1440" w:hanging="360"/>
      </w:pPr>
      <w:rPr>
        <w:rFonts w:ascii="Courier New" w:hAnsi="Courier New" w:hint="default"/>
      </w:rPr>
    </w:lvl>
    <w:lvl w:ilvl="2" w:tplc="EE68AEDA">
      <w:start w:val="1"/>
      <w:numFmt w:val="bullet"/>
      <w:lvlText w:val=""/>
      <w:lvlJc w:val="left"/>
      <w:pPr>
        <w:ind w:left="2160" w:hanging="360"/>
      </w:pPr>
      <w:rPr>
        <w:rFonts w:ascii="Wingdings" w:hAnsi="Wingdings" w:hint="default"/>
      </w:rPr>
    </w:lvl>
    <w:lvl w:ilvl="3" w:tplc="4E6C037A">
      <w:start w:val="1"/>
      <w:numFmt w:val="bullet"/>
      <w:lvlText w:val=""/>
      <w:lvlJc w:val="left"/>
      <w:pPr>
        <w:ind w:left="2880" w:hanging="360"/>
      </w:pPr>
      <w:rPr>
        <w:rFonts w:ascii="Symbol" w:hAnsi="Symbol" w:hint="default"/>
      </w:rPr>
    </w:lvl>
    <w:lvl w:ilvl="4" w:tplc="C4C0A93E">
      <w:start w:val="1"/>
      <w:numFmt w:val="bullet"/>
      <w:lvlText w:val="o"/>
      <w:lvlJc w:val="left"/>
      <w:pPr>
        <w:ind w:left="3600" w:hanging="360"/>
      </w:pPr>
      <w:rPr>
        <w:rFonts w:ascii="Courier New" w:hAnsi="Courier New" w:hint="default"/>
      </w:rPr>
    </w:lvl>
    <w:lvl w:ilvl="5" w:tplc="23303F58">
      <w:start w:val="1"/>
      <w:numFmt w:val="bullet"/>
      <w:lvlText w:val=""/>
      <w:lvlJc w:val="left"/>
      <w:pPr>
        <w:ind w:left="4320" w:hanging="360"/>
      </w:pPr>
      <w:rPr>
        <w:rFonts w:ascii="Wingdings" w:hAnsi="Wingdings" w:hint="default"/>
      </w:rPr>
    </w:lvl>
    <w:lvl w:ilvl="6" w:tplc="6846C4E8">
      <w:start w:val="1"/>
      <w:numFmt w:val="bullet"/>
      <w:lvlText w:val=""/>
      <w:lvlJc w:val="left"/>
      <w:pPr>
        <w:ind w:left="5040" w:hanging="360"/>
      </w:pPr>
      <w:rPr>
        <w:rFonts w:ascii="Symbol" w:hAnsi="Symbol" w:hint="default"/>
      </w:rPr>
    </w:lvl>
    <w:lvl w:ilvl="7" w:tplc="9E883A44">
      <w:start w:val="1"/>
      <w:numFmt w:val="bullet"/>
      <w:lvlText w:val="o"/>
      <w:lvlJc w:val="left"/>
      <w:pPr>
        <w:ind w:left="5760" w:hanging="360"/>
      </w:pPr>
      <w:rPr>
        <w:rFonts w:ascii="Courier New" w:hAnsi="Courier New" w:hint="default"/>
      </w:rPr>
    </w:lvl>
    <w:lvl w:ilvl="8" w:tplc="9BF69C7E">
      <w:start w:val="1"/>
      <w:numFmt w:val="bullet"/>
      <w:lvlText w:val=""/>
      <w:lvlJc w:val="left"/>
      <w:pPr>
        <w:ind w:left="6480" w:hanging="360"/>
      </w:pPr>
      <w:rPr>
        <w:rFonts w:ascii="Wingdings" w:hAnsi="Wingdings" w:hint="default"/>
      </w:rPr>
    </w:lvl>
  </w:abstractNum>
  <w:abstractNum w:abstractNumId="13" w15:restartNumberingAfterBreak="0">
    <w:nsid w:val="6BDE69D9"/>
    <w:multiLevelType w:val="hybridMultilevel"/>
    <w:tmpl w:val="E7B24CCA"/>
    <w:lvl w:ilvl="0" w:tplc="6CEAEB58">
      <w:start w:val="1"/>
      <w:numFmt w:val="bullet"/>
      <w:lvlText w:val=""/>
      <w:lvlJc w:val="left"/>
      <w:pPr>
        <w:ind w:left="720" w:hanging="360"/>
      </w:pPr>
      <w:rPr>
        <w:rFonts w:ascii="Wingdings" w:hAnsi="Wingdings" w:hint="default"/>
      </w:rPr>
    </w:lvl>
    <w:lvl w:ilvl="1" w:tplc="127EDCB0">
      <w:start w:val="1"/>
      <w:numFmt w:val="bullet"/>
      <w:lvlText w:val="o"/>
      <w:lvlJc w:val="left"/>
      <w:pPr>
        <w:ind w:left="1440" w:hanging="360"/>
      </w:pPr>
      <w:rPr>
        <w:rFonts w:ascii="Courier New" w:hAnsi="Courier New" w:hint="default"/>
      </w:rPr>
    </w:lvl>
    <w:lvl w:ilvl="2" w:tplc="C91CDE24">
      <w:start w:val="1"/>
      <w:numFmt w:val="bullet"/>
      <w:lvlText w:val=""/>
      <w:lvlJc w:val="left"/>
      <w:pPr>
        <w:ind w:left="2160" w:hanging="360"/>
      </w:pPr>
      <w:rPr>
        <w:rFonts w:ascii="Wingdings" w:hAnsi="Wingdings" w:hint="default"/>
      </w:rPr>
    </w:lvl>
    <w:lvl w:ilvl="3" w:tplc="93383FD0">
      <w:start w:val="1"/>
      <w:numFmt w:val="bullet"/>
      <w:lvlText w:val=""/>
      <w:lvlJc w:val="left"/>
      <w:pPr>
        <w:ind w:left="2880" w:hanging="360"/>
      </w:pPr>
      <w:rPr>
        <w:rFonts w:ascii="Symbol" w:hAnsi="Symbol" w:hint="default"/>
      </w:rPr>
    </w:lvl>
    <w:lvl w:ilvl="4" w:tplc="7730E42C">
      <w:start w:val="1"/>
      <w:numFmt w:val="bullet"/>
      <w:lvlText w:val="o"/>
      <w:lvlJc w:val="left"/>
      <w:pPr>
        <w:ind w:left="3600" w:hanging="360"/>
      </w:pPr>
      <w:rPr>
        <w:rFonts w:ascii="Courier New" w:hAnsi="Courier New" w:hint="default"/>
      </w:rPr>
    </w:lvl>
    <w:lvl w:ilvl="5" w:tplc="2850CEDA">
      <w:start w:val="1"/>
      <w:numFmt w:val="bullet"/>
      <w:lvlText w:val=""/>
      <w:lvlJc w:val="left"/>
      <w:pPr>
        <w:ind w:left="4320" w:hanging="360"/>
      </w:pPr>
      <w:rPr>
        <w:rFonts w:ascii="Wingdings" w:hAnsi="Wingdings" w:hint="default"/>
      </w:rPr>
    </w:lvl>
    <w:lvl w:ilvl="6" w:tplc="14D8FEF0">
      <w:start w:val="1"/>
      <w:numFmt w:val="bullet"/>
      <w:lvlText w:val=""/>
      <w:lvlJc w:val="left"/>
      <w:pPr>
        <w:ind w:left="5040" w:hanging="360"/>
      </w:pPr>
      <w:rPr>
        <w:rFonts w:ascii="Symbol" w:hAnsi="Symbol" w:hint="default"/>
      </w:rPr>
    </w:lvl>
    <w:lvl w:ilvl="7" w:tplc="FDE4B3F0">
      <w:start w:val="1"/>
      <w:numFmt w:val="bullet"/>
      <w:lvlText w:val="o"/>
      <w:lvlJc w:val="left"/>
      <w:pPr>
        <w:ind w:left="5760" w:hanging="360"/>
      </w:pPr>
      <w:rPr>
        <w:rFonts w:ascii="Courier New" w:hAnsi="Courier New" w:hint="default"/>
      </w:rPr>
    </w:lvl>
    <w:lvl w:ilvl="8" w:tplc="91E47F3C">
      <w:start w:val="1"/>
      <w:numFmt w:val="bullet"/>
      <w:lvlText w:val=""/>
      <w:lvlJc w:val="left"/>
      <w:pPr>
        <w:ind w:left="6480" w:hanging="360"/>
      </w:pPr>
      <w:rPr>
        <w:rFonts w:ascii="Wingdings" w:hAnsi="Wingdings" w:hint="default"/>
      </w:rPr>
    </w:lvl>
  </w:abstractNum>
  <w:abstractNum w:abstractNumId="14" w15:restartNumberingAfterBreak="0">
    <w:nsid w:val="6C80264A"/>
    <w:multiLevelType w:val="hybridMultilevel"/>
    <w:tmpl w:val="4CE444F6"/>
    <w:lvl w:ilvl="0" w:tplc="0CDEFD16">
      <w:start w:val="1"/>
      <w:numFmt w:val="bullet"/>
      <w:lvlText w:val=""/>
      <w:lvlJc w:val="left"/>
      <w:pPr>
        <w:ind w:left="720" w:hanging="360"/>
      </w:pPr>
      <w:rPr>
        <w:rFonts w:ascii="Wingdings" w:hAnsi="Wingdings" w:hint="default"/>
      </w:rPr>
    </w:lvl>
    <w:lvl w:ilvl="1" w:tplc="034CDF1C">
      <w:start w:val="1"/>
      <w:numFmt w:val="bullet"/>
      <w:lvlText w:val="o"/>
      <w:lvlJc w:val="left"/>
      <w:pPr>
        <w:ind w:left="1440" w:hanging="360"/>
      </w:pPr>
      <w:rPr>
        <w:rFonts w:ascii="Courier New" w:hAnsi="Courier New" w:hint="default"/>
      </w:rPr>
    </w:lvl>
    <w:lvl w:ilvl="2" w:tplc="EFE0093A">
      <w:start w:val="1"/>
      <w:numFmt w:val="bullet"/>
      <w:lvlText w:val=""/>
      <w:lvlJc w:val="left"/>
      <w:pPr>
        <w:ind w:left="2160" w:hanging="360"/>
      </w:pPr>
      <w:rPr>
        <w:rFonts w:ascii="Wingdings" w:hAnsi="Wingdings" w:hint="default"/>
      </w:rPr>
    </w:lvl>
    <w:lvl w:ilvl="3" w:tplc="76D09D98">
      <w:start w:val="1"/>
      <w:numFmt w:val="bullet"/>
      <w:lvlText w:val=""/>
      <w:lvlJc w:val="left"/>
      <w:pPr>
        <w:ind w:left="2880" w:hanging="360"/>
      </w:pPr>
      <w:rPr>
        <w:rFonts w:ascii="Symbol" w:hAnsi="Symbol" w:hint="default"/>
      </w:rPr>
    </w:lvl>
    <w:lvl w:ilvl="4" w:tplc="46CEB474">
      <w:start w:val="1"/>
      <w:numFmt w:val="bullet"/>
      <w:lvlText w:val="o"/>
      <w:lvlJc w:val="left"/>
      <w:pPr>
        <w:ind w:left="3600" w:hanging="360"/>
      </w:pPr>
      <w:rPr>
        <w:rFonts w:ascii="Courier New" w:hAnsi="Courier New" w:hint="default"/>
      </w:rPr>
    </w:lvl>
    <w:lvl w:ilvl="5" w:tplc="66622C9C">
      <w:start w:val="1"/>
      <w:numFmt w:val="bullet"/>
      <w:lvlText w:val=""/>
      <w:lvlJc w:val="left"/>
      <w:pPr>
        <w:ind w:left="4320" w:hanging="360"/>
      </w:pPr>
      <w:rPr>
        <w:rFonts w:ascii="Wingdings" w:hAnsi="Wingdings" w:hint="default"/>
      </w:rPr>
    </w:lvl>
    <w:lvl w:ilvl="6" w:tplc="DC70588E">
      <w:start w:val="1"/>
      <w:numFmt w:val="bullet"/>
      <w:lvlText w:val=""/>
      <w:lvlJc w:val="left"/>
      <w:pPr>
        <w:ind w:left="5040" w:hanging="360"/>
      </w:pPr>
      <w:rPr>
        <w:rFonts w:ascii="Symbol" w:hAnsi="Symbol" w:hint="default"/>
      </w:rPr>
    </w:lvl>
    <w:lvl w:ilvl="7" w:tplc="9ACC00B4">
      <w:start w:val="1"/>
      <w:numFmt w:val="bullet"/>
      <w:lvlText w:val="o"/>
      <w:lvlJc w:val="left"/>
      <w:pPr>
        <w:ind w:left="5760" w:hanging="360"/>
      </w:pPr>
      <w:rPr>
        <w:rFonts w:ascii="Courier New" w:hAnsi="Courier New" w:hint="default"/>
      </w:rPr>
    </w:lvl>
    <w:lvl w:ilvl="8" w:tplc="33468704">
      <w:start w:val="1"/>
      <w:numFmt w:val="bullet"/>
      <w:lvlText w:val=""/>
      <w:lvlJc w:val="left"/>
      <w:pPr>
        <w:ind w:left="6480" w:hanging="360"/>
      </w:pPr>
      <w:rPr>
        <w:rFonts w:ascii="Wingdings" w:hAnsi="Wingdings" w:hint="default"/>
      </w:rPr>
    </w:lvl>
  </w:abstractNum>
  <w:abstractNum w:abstractNumId="15" w15:restartNumberingAfterBreak="0">
    <w:nsid w:val="7BDA3651"/>
    <w:multiLevelType w:val="hybridMultilevel"/>
    <w:tmpl w:val="F144644A"/>
    <w:lvl w:ilvl="0" w:tplc="092E7404">
      <w:start w:val="1"/>
      <w:numFmt w:val="bullet"/>
      <w:lvlText w:val=""/>
      <w:lvlJc w:val="left"/>
      <w:pPr>
        <w:ind w:left="720" w:hanging="360"/>
      </w:pPr>
      <w:rPr>
        <w:rFonts w:ascii="Wingdings" w:hAnsi="Wingdings" w:hint="default"/>
      </w:rPr>
    </w:lvl>
    <w:lvl w:ilvl="1" w:tplc="1E6C8C82">
      <w:start w:val="1"/>
      <w:numFmt w:val="bullet"/>
      <w:lvlText w:val="o"/>
      <w:lvlJc w:val="left"/>
      <w:pPr>
        <w:ind w:left="1440" w:hanging="360"/>
      </w:pPr>
      <w:rPr>
        <w:rFonts w:ascii="Courier New" w:hAnsi="Courier New" w:hint="default"/>
      </w:rPr>
    </w:lvl>
    <w:lvl w:ilvl="2" w:tplc="F5B00176">
      <w:start w:val="1"/>
      <w:numFmt w:val="bullet"/>
      <w:lvlText w:val=""/>
      <w:lvlJc w:val="left"/>
      <w:pPr>
        <w:ind w:left="2160" w:hanging="360"/>
      </w:pPr>
      <w:rPr>
        <w:rFonts w:ascii="Wingdings" w:hAnsi="Wingdings" w:hint="default"/>
      </w:rPr>
    </w:lvl>
    <w:lvl w:ilvl="3" w:tplc="84F88BA8">
      <w:start w:val="1"/>
      <w:numFmt w:val="bullet"/>
      <w:lvlText w:val=""/>
      <w:lvlJc w:val="left"/>
      <w:pPr>
        <w:ind w:left="2880" w:hanging="360"/>
      </w:pPr>
      <w:rPr>
        <w:rFonts w:ascii="Symbol" w:hAnsi="Symbol" w:hint="default"/>
      </w:rPr>
    </w:lvl>
    <w:lvl w:ilvl="4" w:tplc="4072A414">
      <w:start w:val="1"/>
      <w:numFmt w:val="bullet"/>
      <w:lvlText w:val="o"/>
      <w:lvlJc w:val="left"/>
      <w:pPr>
        <w:ind w:left="3600" w:hanging="360"/>
      </w:pPr>
      <w:rPr>
        <w:rFonts w:ascii="Courier New" w:hAnsi="Courier New" w:hint="default"/>
      </w:rPr>
    </w:lvl>
    <w:lvl w:ilvl="5" w:tplc="3A202A84">
      <w:start w:val="1"/>
      <w:numFmt w:val="bullet"/>
      <w:lvlText w:val=""/>
      <w:lvlJc w:val="left"/>
      <w:pPr>
        <w:ind w:left="4320" w:hanging="360"/>
      </w:pPr>
      <w:rPr>
        <w:rFonts w:ascii="Wingdings" w:hAnsi="Wingdings" w:hint="default"/>
      </w:rPr>
    </w:lvl>
    <w:lvl w:ilvl="6" w:tplc="4E3A8EEC">
      <w:start w:val="1"/>
      <w:numFmt w:val="bullet"/>
      <w:lvlText w:val=""/>
      <w:lvlJc w:val="left"/>
      <w:pPr>
        <w:ind w:left="5040" w:hanging="360"/>
      </w:pPr>
      <w:rPr>
        <w:rFonts w:ascii="Symbol" w:hAnsi="Symbol" w:hint="default"/>
      </w:rPr>
    </w:lvl>
    <w:lvl w:ilvl="7" w:tplc="72328B34">
      <w:start w:val="1"/>
      <w:numFmt w:val="bullet"/>
      <w:lvlText w:val="o"/>
      <w:lvlJc w:val="left"/>
      <w:pPr>
        <w:ind w:left="5760" w:hanging="360"/>
      </w:pPr>
      <w:rPr>
        <w:rFonts w:ascii="Courier New" w:hAnsi="Courier New" w:hint="default"/>
      </w:rPr>
    </w:lvl>
    <w:lvl w:ilvl="8" w:tplc="C2A0EA4A">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3"/>
  </w:num>
  <w:num w:numId="4">
    <w:abstractNumId w:val="10"/>
  </w:num>
  <w:num w:numId="5">
    <w:abstractNumId w:val="15"/>
  </w:num>
  <w:num w:numId="6">
    <w:abstractNumId w:val="13"/>
  </w:num>
  <w:num w:numId="7">
    <w:abstractNumId w:val="12"/>
  </w:num>
  <w:num w:numId="8">
    <w:abstractNumId w:val="2"/>
  </w:num>
  <w:num w:numId="9">
    <w:abstractNumId w:val="5"/>
  </w:num>
  <w:num w:numId="10">
    <w:abstractNumId w:val="8"/>
  </w:num>
  <w:num w:numId="11">
    <w:abstractNumId w:val="7"/>
  </w:num>
  <w:num w:numId="12">
    <w:abstractNumId w:val="1"/>
  </w:num>
  <w:num w:numId="13">
    <w:abstractNumId w:val="6"/>
  </w:num>
  <w:num w:numId="14">
    <w:abstractNumId w:val="0"/>
  </w:num>
  <w:num w:numId="15">
    <w:abstractNumId w:val="9"/>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298"/>
    <w:rsid w:val="00002B6F"/>
    <w:rsid w:val="00005C4C"/>
    <w:rsid w:val="00006B14"/>
    <w:rsid w:val="0001253B"/>
    <w:rsid w:val="00012B46"/>
    <w:rsid w:val="00014B11"/>
    <w:rsid w:val="00015BA0"/>
    <w:rsid w:val="000402FB"/>
    <w:rsid w:val="000538B1"/>
    <w:rsid w:val="00055280"/>
    <w:rsid w:val="000922EF"/>
    <w:rsid w:val="000E04A6"/>
    <w:rsid w:val="000E2395"/>
    <w:rsid w:val="000F38A1"/>
    <w:rsid w:val="00145209"/>
    <w:rsid w:val="0016718C"/>
    <w:rsid w:val="001E6D80"/>
    <w:rsid w:val="001F2104"/>
    <w:rsid w:val="0020585D"/>
    <w:rsid w:val="0025749F"/>
    <w:rsid w:val="00263CA7"/>
    <w:rsid w:val="00264B79"/>
    <w:rsid w:val="002A1E2A"/>
    <w:rsid w:val="002B4554"/>
    <w:rsid w:val="002C324B"/>
    <w:rsid w:val="002CA3DA"/>
    <w:rsid w:val="00346360"/>
    <w:rsid w:val="003812A2"/>
    <w:rsid w:val="00384E1C"/>
    <w:rsid w:val="003862A4"/>
    <w:rsid w:val="003D3696"/>
    <w:rsid w:val="003F7079"/>
    <w:rsid w:val="0040BD9F"/>
    <w:rsid w:val="00441E03"/>
    <w:rsid w:val="00460F93"/>
    <w:rsid w:val="00483AAF"/>
    <w:rsid w:val="00484E79"/>
    <w:rsid w:val="004B2009"/>
    <w:rsid w:val="004D0946"/>
    <w:rsid w:val="0050BAF8"/>
    <w:rsid w:val="0051174E"/>
    <w:rsid w:val="005163D5"/>
    <w:rsid w:val="005241FB"/>
    <w:rsid w:val="00536AEE"/>
    <w:rsid w:val="005439D6"/>
    <w:rsid w:val="00547595"/>
    <w:rsid w:val="00552A87"/>
    <w:rsid w:val="005532F7"/>
    <w:rsid w:val="00565F13"/>
    <w:rsid w:val="005D62C8"/>
    <w:rsid w:val="005F102F"/>
    <w:rsid w:val="00602E0D"/>
    <w:rsid w:val="00627287"/>
    <w:rsid w:val="00643F2F"/>
    <w:rsid w:val="00651162"/>
    <w:rsid w:val="006D4EEC"/>
    <w:rsid w:val="00723CBE"/>
    <w:rsid w:val="00743F7B"/>
    <w:rsid w:val="007542EA"/>
    <w:rsid w:val="00776F20"/>
    <w:rsid w:val="0078509F"/>
    <w:rsid w:val="007914A3"/>
    <w:rsid w:val="00796A3C"/>
    <w:rsid w:val="007A31C3"/>
    <w:rsid w:val="007C3756"/>
    <w:rsid w:val="008401E3"/>
    <w:rsid w:val="008625A7"/>
    <w:rsid w:val="00864E98"/>
    <w:rsid w:val="008B5B01"/>
    <w:rsid w:val="008C0232"/>
    <w:rsid w:val="008E6B29"/>
    <w:rsid w:val="008F1298"/>
    <w:rsid w:val="0091074D"/>
    <w:rsid w:val="0094275D"/>
    <w:rsid w:val="00944372"/>
    <w:rsid w:val="00945046"/>
    <w:rsid w:val="0097460F"/>
    <w:rsid w:val="00A20484"/>
    <w:rsid w:val="00A40A49"/>
    <w:rsid w:val="00A45569"/>
    <w:rsid w:val="00A56CD3"/>
    <w:rsid w:val="00A7B6E9"/>
    <w:rsid w:val="00A90B38"/>
    <w:rsid w:val="00AB55D9"/>
    <w:rsid w:val="00AB6F94"/>
    <w:rsid w:val="00AC13E1"/>
    <w:rsid w:val="00AF3784"/>
    <w:rsid w:val="00B22EDA"/>
    <w:rsid w:val="00B310CA"/>
    <w:rsid w:val="00B427F8"/>
    <w:rsid w:val="00B4729D"/>
    <w:rsid w:val="00B6105D"/>
    <w:rsid w:val="00BB0632"/>
    <w:rsid w:val="00BB7585"/>
    <w:rsid w:val="00BE4C51"/>
    <w:rsid w:val="00C2641B"/>
    <w:rsid w:val="00C63799"/>
    <w:rsid w:val="00C86FBA"/>
    <w:rsid w:val="00CA172C"/>
    <w:rsid w:val="00CB0E00"/>
    <w:rsid w:val="00CB2426"/>
    <w:rsid w:val="00D109DE"/>
    <w:rsid w:val="00D4368F"/>
    <w:rsid w:val="00D711B2"/>
    <w:rsid w:val="00D76246"/>
    <w:rsid w:val="00DB0E1E"/>
    <w:rsid w:val="00DC474F"/>
    <w:rsid w:val="00DC7386"/>
    <w:rsid w:val="00E07A52"/>
    <w:rsid w:val="00E90C04"/>
    <w:rsid w:val="00EB2ECC"/>
    <w:rsid w:val="00EB4B5F"/>
    <w:rsid w:val="00EC7445"/>
    <w:rsid w:val="00ED5053"/>
    <w:rsid w:val="00EF7B52"/>
    <w:rsid w:val="00F2090E"/>
    <w:rsid w:val="00F60098"/>
    <w:rsid w:val="00F62D37"/>
    <w:rsid w:val="00FD20B4"/>
    <w:rsid w:val="00FD76B5"/>
    <w:rsid w:val="014BCC8D"/>
    <w:rsid w:val="03785E61"/>
    <w:rsid w:val="039F6687"/>
    <w:rsid w:val="03A7540D"/>
    <w:rsid w:val="0427FFC2"/>
    <w:rsid w:val="0554CCC2"/>
    <w:rsid w:val="05ACC000"/>
    <w:rsid w:val="05C346A6"/>
    <w:rsid w:val="0637F5C9"/>
    <w:rsid w:val="06BCD025"/>
    <w:rsid w:val="06F5DE7A"/>
    <w:rsid w:val="07033C8C"/>
    <w:rsid w:val="07200DF0"/>
    <w:rsid w:val="07CACA3C"/>
    <w:rsid w:val="080B9D44"/>
    <w:rsid w:val="0830B686"/>
    <w:rsid w:val="0849CE27"/>
    <w:rsid w:val="08D5FCE3"/>
    <w:rsid w:val="08F1DB95"/>
    <w:rsid w:val="08F5CEC7"/>
    <w:rsid w:val="09CFD6A5"/>
    <w:rsid w:val="09EEF34F"/>
    <w:rsid w:val="09FB3668"/>
    <w:rsid w:val="0B39C502"/>
    <w:rsid w:val="0B7001CA"/>
    <w:rsid w:val="0B7828AD"/>
    <w:rsid w:val="0C3A81AB"/>
    <w:rsid w:val="0CAEF8D7"/>
    <w:rsid w:val="0CBAFB38"/>
    <w:rsid w:val="0D1CF8A5"/>
    <w:rsid w:val="0DEE0186"/>
    <w:rsid w:val="102E6537"/>
    <w:rsid w:val="104372ED"/>
    <w:rsid w:val="104AFCD0"/>
    <w:rsid w:val="1085D715"/>
    <w:rsid w:val="109C6EC1"/>
    <w:rsid w:val="111090B0"/>
    <w:rsid w:val="11174F5F"/>
    <w:rsid w:val="1236878D"/>
    <w:rsid w:val="123B09A2"/>
    <w:rsid w:val="125D1CC9"/>
    <w:rsid w:val="1355243A"/>
    <w:rsid w:val="136477CD"/>
    <w:rsid w:val="14899888"/>
    <w:rsid w:val="148F11DD"/>
    <w:rsid w:val="1512894C"/>
    <w:rsid w:val="15C0993E"/>
    <w:rsid w:val="162568E9"/>
    <w:rsid w:val="1677C766"/>
    <w:rsid w:val="16AAF933"/>
    <w:rsid w:val="176259F6"/>
    <w:rsid w:val="18ADA8D3"/>
    <w:rsid w:val="18DDACE7"/>
    <w:rsid w:val="191E667C"/>
    <w:rsid w:val="192174E6"/>
    <w:rsid w:val="19370E5E"/>
    <w:rsid w:val="19CD7855"/>
    <w:rsid w:val="19CE22C0"/>
    <w:rsid w:val="19D6917B"/>
    <w:rsid w:val="1A2E1CA9"/>
    <w:rsid w:val="1A5D07D1"/>
    <w:rsid w:val="1AAC5A4F"/>
    <w:rsid w:val="1AD85E45"/>
    <w:rsid w:val="1B225357"/>
    <w:rsid w:val="1B305E7A"/>
    <w:rsid w:val="1C5915A8"/>
    <w:rsid w:val="1C758DC3"/>
    <w:rsid w:val="1CD5E022"/>
    <w:rsid w:val="1CDE5DCA"/>
    <w:rsid w:val="1CF45F64"/>
    <w:rsid w:val="1D8EF9BF"/>
    <w:rsid w:val="1D9EC383"/>
    <w:rsid w:val="1DE69417"/>
    <w:rsid w:val="1E04B76E"/>
    <w:rsid w:val="1E60F83B"/>
    <w:rsid w:val="1EFD3391"/>
    <w:rsid w:val="1F2E6297"/>
    <w:rsid w:val="1FA087CF"/>
    <w:rsid w:val="1FB188C0"/>
    <w:rsid w:val="1FD93405"/>
    <w:rsid w:val="20081872"/>
    <w:rsid w:val="207564DF"/>
    <w:rsid w:val="2082D282"/>
    <w:rsid w:val="21173E6B"/>
    <w:rsid w:val="212FD689"/>
    <w:rsid w:val="2148FEE6"/>
    <w:rsid w:val="2152A679"/>
    <w:rsid w:val="21530A96"/>
    <w:rsid w:val="21F6657C"/>
    <w:rsid w:val="223B62BC"/>
    <w:rsid w:val="223D7A14"/>
    <w:rsid w:val="2282819A"/>
    <w:rsid w:val="22B84464"/>
    <w:rsid w:val="241D1274"/>
    <w:rsid w:val="24950DDA"/>
    <w:rsid w:val="26190F8F"/>
    <w:rsid w:val="26BD9954"/>
    <w:rsid w:val="26F5EFDA"/>
    <w:rsid w:val="26FC33DC"/>
    <w:rsid w:val="2765C52E"/>
    <w:rsid w:val="2778953D"/>
    <w:rsid w:val="283A3C14"/>
    <w:rsid w:val="2865857D"/>
    <w:rsid w:val="2884FA59"/>
    <w:rsid w:val="29017FB3"/>
    <w:rsid w:val="2970DC6B"/>
    <w:rsid w:val="297FF539"/>
    <w:rsid w:val="29D71724"/>
    <w:rsid w:val="2BA93B9D"/>
    <w:rsid w:val="2C44076B"/>
    <w:rsid w:val="2C5719EE"/>
    <w:rsid w:val="2CC18BCF"/>
    <w:rsid w:val="2CC57F08"/>
    <w:rsid w:val="2D213D32"/>
    <w:rsid w:val="2D26DEE8"/>
    <w:rsid w:val="2E0842C2"/>
    <w:rsid w:val="2E3BF020"/>
    <w:rsid w:val="2E42549A"/>
    <w:rsid w:val="2E9386B8"/>
    <w:rsid w:val="2EC2AF49"/>
    <w:rsid w:val="2F5BF351"/>
    <w:rsid w:val="2F9082D2"/>
    <w:rsid w:val="2FC0926C"/>
    <w:rsid w:val="30058F6B"/>
    <w:rsid w:val="30270D82"/>
    <w:rsid w:val="30753997"/>
    <w:rsid w:val="30BB6F7D"/>
    <w:rsid w:val="30FBDE06"/>
    <w:rsid w:val="3133912B"/>
    <w:rsid w:val="3172821B"/>
    <w:rsid w:val="317390E2"/>
    <w:rsid w:val="3182517E"/>
    <w:rsid w:val="31B758E1"/>
    <w:rsid w:val="320BBD2A"/>
    <w:rsid w:val="3339B511"/>
    <w:rsid w:val="3365D0E1"/>
    <w:rsid w:val="33E20F4E"/>
    <w:rsid w:val="34394BED"/>
    <w:rsid w:val="349B507E"/>
    <w:rsid w:val="34BCB93D"/>
    <w:rsid w:val="35435DEC"/>
    <w:rsid w:val="357273BD"/>
    <w:rsid w:val="367EA67C"/>
    <w:rsid w:val="3689BB3D"/>
    <w:rsid w:val="36DD4B64"/>
    <w:rsid w:val="3750E781"/>
    <w:rsid w:val="3751AEA3"/>
    <w:rsid w:val="37A25691"/>
    <w:rsid w:val="37E2D266"/>
    <w:rsid w:val="37F13EAF"/>
    <w:rsid w:val="382688B3"/>
    <w:rsid w:val="38700CAE"/>
    <w:rsid w:val="387AFEAE"/>
    <w:rsid w:val="38EAAE78"/>
    <w:rsid w:val="399C72FD"/>
    <w:rsid w:val="39D83924"/>
    <w:rsid w:val="3A01072C"/>
    <w:rsid w:val="3A32CCAF"/>
    <w:rsid w:val="3A6EB2BB"/>
    <w:rsid w:val="3A7265BA"/>
    <w:rsid w:val="3AF4CA1F"/>
    <w:rsid w:val="3B2021FC"/>
    <w:rsid w:val="3B394BC9"/>
    <w:rsid w:val="3C82962B"/>
    <w:rsid w:val="3CA4C937"/>
    <w:rsid w:val="3CF7009E"/>
    <w:rsid w:val="3D931B8F"/>
    <w:rsid w:val="3DE5E2FF"/>
    <w:rsid w:val="3E0BD92F"/>
    <w:rsid w:val="3E5A0170"/>
    <w:rsid w:val="3E5E4A10"/>
    <w:rsid w:val="3E79E5E0"/>
    <w:rsid w:val="3F7B279B"/>
    <w:rsid w:val="3FB5F806"/>
    <w:rsid w:val="404F721D"/>
    <w:rsid w:val="406E7A25"/>
    <w:rsid w:val="40964F48"/>
    <w:rsid w:val="41374BDB"/>
    <w:rsid w:val="41B2DC37"/>
    <w:rsid w:val="41B5E9EF"/>
    <w:rsid w:val="41D0E04C"/>
    <w:rsid w:val="41D10DB4"/>
    <w:rsid w:val="41DE03A5"/>
    <w:rsid w:val="41FCC28D"/>
    <w:rsid w:val="4228979E"/>
    <w:rsid w:val="4376A8F3"/>
    <w:rsid w:val="437B0427"/>
    <w:rsid w:val="446CA497"/>
    <w:rsid w:val="447685C0"/>
    <w:rsid w:val="44774E9C"/>
    <w:rsid w:val="44F53C47"/>
    <w:rsid w:val="45FE8F34"/>
    <w:rsid w:val="4622B33A"/>
    <w:rsid w:val="4653397F"/>
    <w:rsid w:val="46DFD4E5"/>
    <w:rsid w:val="471CFDE5"/>
    <w:rsid w:val="4720E07B"/>
    <w:rsid w:val="47976DDA"/>
    <w:rsid w:val="48894B9D"/>
    <w:rsid w:val="496F1D88"/>
    <w:rsid w:val="49CB39C9"/>
    <w:rsid w:val="4A1E69D2"/>
    <w:rsid w:val="4B3E334C"/>
    <w:rsid w:val="4C39AC64"/>
    <w:rsid w:val="4C96998A"/>
    <w:rsid w:val="4CD9A13A"/>
    <w:rsid w:val="4D0F1F9F"/>
    <w:rsid w:val="4D989DBB"/>
    <w:rsid w:val="4DC79A3B"/>
    <w:rsid w:val="4DD044E7"/>
    <w:rsid w:val="4DE43361"/>
    <w:rsid w:val="4E9C1E8D"/>
    <w:rsid w:val="4EA99CEB"/>
    <w:rsid w:val="4F0F24EC"/>
    <w:rsid w:val="4FC536AF"/>
    <w:rsid w:val="4FC990EA"/>
    <w:rsid w:val="4FD80ABE"/>
    <w:rsid w:val="500BF59B"/>
    <w:rsid w:val="5031D02D"/>
    <w:rsid w:val="50556C6E"/>
    <w:rsid w:val="505AAD3C"/>
    <w:rsid w:val="50BB13D3"/>
    <w:rsid w:val="50C57B49"/>
    <w:rsid w:val="50F4A3DA"/>
    <w:rsid w:val="512E4910"/>
    <w:rsid w:val="5139DD6B"/>
    <w:rsid w:val="516634B3"/>
    <w:rsid w:val="52419446"/>
    <w:rsid w:val="526DA758"/>
    <w:rsid w:val="528A8DAD"/>
    <w:rsid w:val="52B41107"/>
    <w:rsid w:val="53017539"/>
    <w:rsid w:val="5375B603"/>
    <w:rsid w:val="53DBD5D8"/>
    <w:rsid w:val="53E2960F"/>
    <w:rsid w:val="53E74278"/>
    <w:rsid w:val="53F9E825"/>
    <w:rsid w:val="53FD2375"/>
    <w:rsid w:val="541E30F3"/>
    <w:rsid w:val="545A015F"/>
    <w:rsid w:val="54B0AD88"/>
    <w:rsid w:val="553D7952"/>
    <w:rsid w:val="558042CC"/>
    <w:rsid w:val="55AFB2B8"/>
    <w:rsid w:val="56085C37"/>
    <w:rsid w:val="56DD5D80"/>
    <w:rsid w:val="57301646"/>
    <w:rsid w:val="5823F888"/>
    <w:rsid w:val="58500B9A"/>
    <w:rsid w:val="5868614C"/>
    <w:rsid w:val="58B60732"/>
    <w:rsid w:val="58EA1A77"/>
    <w:rsid w:val="58F14812"/>
    <w:rsid w:val="5960137F"/>
    <w:rsid w:val="5963C652"/>
    <w:rsid w:val="59945A17"/>
    <w:rsid w:val="5A98A70D"/>
    <w:rsid w:val="5AE5090F"/>
    <w:rsid w:val="5AF3818E"/>
    <w:rsid w:val="5C0044BF"/>
    <w:rsid w:val="5C101A7B"/>
    <w:rsid w:val="5C8B7948"/>
    <w:rsid w:val="5CEC36CF"/>
    <w:rsid w:val="5D13EE51"/>
    <w:rsid w:val="5D151845"/>
    <w:rsid w:val="5D7DB316"/>
    <w:rsid w:val="5D99ADF6"/>
    <w:rsid w:val="5DCAC20D"/>
    <w:rsid w:val="5DDDA289"/>
    <w:rsid w:val="5E046EF2"/>
    <w:rsid w:val="5E21204C"/>
    <w:rsid w:val="5E47779E"/>
    <w:rsid w:val="5EAA7183"/>
    <w:rsid w:val="5F425200"/>
    <w:rsid w:val="5F49C1AD"/>
    <w:rsid w:val="5F9EF724"/>
    <w:rsid w:val="5FD9F9B3"/>
    <w:rsid w:val="5FE347FF"/>
    <w:rsid w:val="5FFFA09C"/>
    <w:rsid w:val="6034A9B1"/>
    <w:rsid w:val="603E1169"/>
    <w:rsid w:val="605267DB"/>
    <w:rsid w:val="6083F967"/>
    <w:rsid w:val="60C6693C"/>
    <w:rsid w:val="61413E81"/>
    <w:rsid w:val="616A4AC7"/>
    <w:rsid w:val="616DAED5"/>
    <w:rsid w:val="61E2D0A3"/>
    <w:rsid w:val="6254E0B4"/>
    <w:rsid w:val="62C8FC98"/>
    <w:rsid w:val="62EBA82A"/>
    <w:rsid w:val="62F20FAC"/>
    <w:rsid w:val="6364A50D"/>
    <w:rsid w:val="6369B9AD"/>
    <w:rsid w:val="63CEE90A"/>
    <w:rsid w:val="642098B6"/>
    <w:rsid w:val="647BB533"/>
    <w:rsid w:val="64EC7CCC"/>
    <w:rsid w:val="6525D8FE"/>
    <w:rsid w:val="665B8E0C"/>
    <w:rsid w:val="6667CFBD"/>
    <w:rsid w:val="66E58B66"/>
    <w:rsid w:val="66F7E784"/>
    <w:rsid w:val="678ACCB0"/>
    <w:rsid w:val="67BAAD20"/>
    <w:rsid w:val="67CC3DA1"/>
    <w:rsid w:val="67F2DD94"/>
    <w:rsid w:val="685E7AE6"/>
    <w:rsid w:val="6906E763"/>
    <w:rsid w:val="692FC44B"/>
    <w:rsid w:val="69F94A21"/>
    <w:rsid w:val="6A563A7D"/>
    <w:rsid w:val="6A69C962"/>
    <w:rsid w:val="6AA94515"/>
    <w:rsid w:val="6B25CC7B"/>
    <w:rsid w:val="6B458FD5"/>
    <w:rsid w:val="6B568E95"/>
    <w:rsid w:val="6BBEF205"/>
    <w:rsid w:val="6C88DD75"/>
    <w:rsid w:val="6C9C045C"/>
    <w:rsid w:val="6D603486"/>
    <w:rsid w:val="6D7CA068"/>
    <w:rsid w:val="6D9929DC"/>
    <w:rsid w:val="6E584BCF"/>
    <w:rsid w:val="6F6601D4"/>
    <w:rsid w:val="6F9B1AA7"/>
    <w:rsid w:val="6FD50A1E"/>
    <w:rsid w:val="6FD519F8"/>
    <w:rsid w:val="7029FFB8"/>
    <w:rsid w:val="706C2E2E"/>
    <w:rsid w:val="708E535E"/>
    <w:rsid w:val="715A0365"/>
    <w:rsid w:val="726FD6C0"/>
    <w:rsid w:val="72AB80F8"/>
    <w:rsid w:val="72CC4617"/>
    <w:rsid w:val="73717410"/>
    <w:rsid w:val="74176888"/>
    <w:rsid w:val="7445FACF"/>
    <w:rsid w:val="74888DFD"/>
    <w:rsid w:val="749A054E"/>
    <w:rsid w:val="7504F8E8"/>
    <w:rsid w:val="75804AD0"/>
    <w:rsid w:val="75BD3F65"/>
    <w:rsid w:val="76814924"/>
    <w:rsid w:val="7762199E"/>
    <w:rsid w:val="778ECEB4"/>
    <w:rsid w:val="77988B69"/>
    <w:rsid w:val="78438C7D"/>
    <w:rsid w:val="786BD261"/>
    <w:rsid w:val="7985F53F"/>
    <w:rsid w:val="799540EC"/>
    <w:rsid w:val="79F73C38"/>
    <w:rsid w:val="7AC552A6"/>
    <w:rsid w:val="7B6C1054"/>
    <w:rsid w:val="7BDDCB74"/>
    <w:rsid w:val="7C13588C"/>
    <w:rsid w:val="7C939C96"/>
    <w:rsid w:val="7CA6C96A"/>
    <w:rsid w:val="7CA6EEC5"/>
    <w:rsid w:val="7CB50284"/>
    <w:rsid w:val="7CF75621"/>
    <w:rsid w:val="7D16FDA0"/>
    <w:rsid w:val="7D435D77"/>
    <w:rsid w:val="7DDC6CF7"/>
    <w:rsid w:val="7DEB3FA4"/>
    <w:rsid w:val="7E984805"/>
    <w:rsid w:val="7EF9006B"/>
    <w:rsid w:val="7F7C91B2"/>
    <w:rsid w:val="7FD8867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51665"/>
  <w15:docId w15:val="{5D933902-EFC2-42C4-AE05-930984F84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02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402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402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02F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402F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402FB"/>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263C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3CA7"/>
    <w:rPr>
      <w:rFonts w:ascii="Segoe UI" w:hAnsi="Segoe UI" w:cs="Segoe UI"/>
      <w:sz w:val="18"/>
      <w:szCs w:val="18"/>
    </w:rPr>
  </w:style>
  <w:style w:type="paragraph" w:styleId="Header">
    <w:name w:val="header"/>
    <w:basedOn w:val="Normal"/>
    <w:link w:val="HeaderChar"/>
    <w:unhideWhenUsed/>
    <w:rsid w:val="00EB2ECC"/>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2ECC"/>
  </w:style>
  <w:style w:type="paragraph" w:styleId="Footer">
    <w:name w:val="footer"/>
    <w:basedOn w:val="Normal"/>
    <w:link w:val="FooterChar"/>
    <w:uiPriority w:val="99"/>
    <w:unhideWhenUsed/>
    <w:rsid w:val="00EB2E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2ECC"/>
  </w:style>
  <w:style w:type="paragraph" w:styleId="ListParagraph">
    <w:name w:val="List Paragraph"/>
    <w:aliases w:val="2,Normal bullet 2,Bullet list,Saistīto dokumentu saraksts,Syle 1,Numurets,H&amp;P List Paragraph,Krāsains saraksts — izcēlums 11,Strip,Colorful List - Accent 12,Table of contents numbered,Citation List,PPS_Bullet,Virsraksti,Bullet EY,body"/>
    <w:basedOn w:val="Normal"/>
    <w:link w:val="ListParagraphChar"/>
    <w:uiPriority w:val="34"/>
    <w:qFormat/>
    <w:rsid w:val="00796A3C"/>
    <w:pPr>
      <w:ind w:left="720"/>
      <w:contextualSpacing/>
    </w:pPr>
  </w:style>
  <w:style w:type="character" w:styleId="CommentReference">
    <w:name w:val="annotation reference"/>
    <w:basedOn w:val="DefaultParagraphFont"/>
    <w:uiPriority w:val="99"/>
    <w:semiHidden/>
    <w:unhideWhenUsed/>
    <w:rsid w:val="00002B6F"/>
    <w:rPr>
      <w:sz w:val="16"/>
      <w:szCs w:val="16"/>
    </w:rPr>
  </w:style>
  <w:style w:type="paragraph" w:styleId="CommentText">
    <w:name w:val="annotation text"/>
    <w:basedOn w:val="Normal"/>
    <w:link w:val="CommentTextChar"/>
    <w:uiPriority w:val="99"/>
    <w:semiHidden/>
    <w:unhideWhenUsed/>
    <w:rsid w:val="00002B6F"/>
    <w:pPr>
      <w:spacing w:line="240" w:lineRule="auto"/>
    </w:pPr>
    <w:rPr>
      <w:sz w:val="20"/>
      <w:szCs w:val="20"/>
    </w:rPr>
  </w:style>
  <w:style w:type="character" w:customStyle="1" w:styleId="CommentTextChar">
    <w:name w:val="Comment Text Char"/>
    <w:basedOn w:val="DefaultParagraphFont"/>
    <w:link w:val="CommentText"/>
    <w:uiPriority w:val="99"/>
    <w:semiHidden/>
    <w:rsid w:val="00002B6F"/>
    <w:rPr>
      <w:sz w:val="20"/>
      <w:szCs w:val="20"/>
    </w:rPr>
  </w:style>
  <w:style w:type="paragraph" w:styleId="CommentSubject">
    <w:name w:val="annotation subject"/>
    <w:basedOn w:val="CommentText"/>
    <w:next w:val="CommentText"/>
    <w:link w:val="CommentSubjectChar"/>
    <w:uiPriority w:val="99"/>
    <w:semiHidden/>
    <w:unhideWhenUsed/>
    <w:rsid w:val="00002B6F"/>
    <w:rPr>
      <w:b/>
      <w:bCs/>
    </w:rPr>
  </w:style>
  <w:style w:type="character" w:customStyle="1" w:styleId="CommentSubjectChar">
    <w:name w:val="Comment Subject Char"/>
    <w:basedOn w:val="CommentTextChar"/>
    <w:link w:val="CommentSubject"/>
    <w:uiPriority w:val="99"/>
    <w:semiHidden/>
    <w:rsid w:val="00002B6F"/>
    <w:rPr>
      <w:b/>
      <w:bCs/>
      <w:sz w:val="20"/>
      <w:szCs w:val="20"/>
    </w:rPr>
  </w:style>
  <w:style w:type="character" w:styleId="Mention">
    <w:name w:val="Mention"/>
    <w:basedOn w:val="DefaultParagraphFont"/>
    <w:uiPriority w:val="99"/>
    <w:unhideWhenUsed/>
    <w:rPr>
      <w:color w:val="2B579A"/>
      <w:shd w:val="clear" w:color="auto" w:fill="E6E6E6"/>
    </w:rPr>
  </w:style>
  <w:style w:type="character" w:customStyle="1" w:styleId="ListParagraphChar">
    <w:name w:val="List Paragraph Char"/>
    <w:aliases w:val="2 Char,Normal bullet 2 Char,Bullet list Char,Saistīto dokumentu saraksts Char,Syle 1 Char,Numurets Char,H&amp;P List Paragraph Char,Krāsains saraksts — izcēlums 11 Char,Strip Char,Colorful List - Accent 12 Char,Citation List Char"/>
    <w:link w:val="ListParagraph"/>
    <w:uiPriority w:val="34"/>
    <w:qFormat/>
    <w:locked/>
    <w:rsid w:val="00DB0E1E"/>
  </w:style>
  <w:style w:type="paragraph" w:styleId="BodyText">
    <w:name w:val="Body Text"/>
    <w:basedOn w:val="Normal"/>
    <w:link w:val="BodyTextChar"/>
    <w:rsid w:val="00DB0E1E"/>
    <w:pPr>
      <w:spacing w:after="0" w:line="240" w:lineRule="auto"/>
      <w:jc w:val="center"/>
    </w:pPr>
    <w:rPr>
      <w:rFonts w:ascii="Times New Roman" w:eastAsia="Times New Roman" w:hAnsi="Times New Roman" w:cs="Times New Roman"/>
      <w:b/>
      <w:bCs/>
      <w:sz w:val="28"/>
      <w:szCs w:val="28"/>
    </w:rPr>
  </w:style>
  <w:style w:type="character" w:customStyle="1" w:styleId="BodyTextChar">
    <w:name w:val="Body Text Char"/>
    <w:basedOn w:val="DefaultParagraphFont"/>
    <w:link w:val="BodyText"/>
    <w:rsid w:val="00DB0E1E"/>
    <w:rPr>
      <w:rFonts w:ascii="Times New Roman" w:eastAsia="Times New Roman" w:hAnsi="Times New Roman" w:cs="Times New Roman"/>
      <w:b/>
      <w:bCs/>
      <w:sz w:val="28"/>
      <w:szCs w:val="28"/>
    </w:rPr>
  </w:style>
  <w:style w:type="paragraph" w:styleId="Revision">
    <w:name w:val="Revision"/>
    <w:hidden/>
    <w:uiPriority w:val="99"/>
    <w:semiHidden/>
    <w:rsid w:val="00483A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3078919">
      <w:bodyDiv w:val="1"/>
      <w:marLeft w:val="0"/>
      <w:marRight w:val="0"/>
      <w:marTop w:val="0"/>
      <w:marBottom w:val="0"/>
      <w:divBdr>
        <w:top w:val="none" w:sz="0" w:space="0" w:color="auto"/>
        <w:left w:val="none" w:sz="0" w:space="0" w:color="auto"/>
        <w:bottom w:val="none" w:sz="0" w:space="0" w:color="auto"/>
        <w:right w:val="none" w:sz="0" w:space="0" w:color="auto"/>
      </w:divBdr>
    </w:div>
    <w:div w:id="1159154018">
      <w:bodyDiv w:val="1"/>
      <w:marLeft w:val="0"/>
      <w:marRight w:val="0"/>
      <w:marTop w:val="0"/>
      <w:marBottom w:val="0"/>
      <w:divBdr>
        <w:top w:val="none" w:sz="0" w:space="0" w:color="auto"/>
        <w:left w:val="none" w:sz="0" w:space="0" w:color="auto"/>
        <w:bottom w:val="none" w:sz="0" w:space="0" w:color="auto"/>
        <w:right w:val="none" w:sz="0" w:space="0" w:color="auto"/>
      </w:divBdr>
      <w:divsChild>
        <w:div w:id="865825685">
          <w:marLeft w:val="446"/>
          <w:marRight w:val="0"/>
          <w:marTop w:val="0"/>
          <w:marBottom w:val="120"/>
          <w:divBdr>
            <w:top w:val="none" w:sz="0" w:space="0" w:color="auto"/>
            <w:left w:val="none" w:sz="0" w:space="0" w:color="auto"/>
            <w:bottom w:val="none" w:sz="0" w:space="0" w:color="auto"/>
            <w:right w:val="none" w:sz="0" w:space="0" w:color="auto"/>
          </w:divBdr>
        </w:div>
        <w:div w:id="1690787808">
          <w:marLeft w:val="446"/>
          <w:marRight w:val="0"/>
          <w:marTop w:val="0"/>
          <w:marBottom w:val="120"/>
          <w:divBdr>
            <w:top w:val="none" w:sz="0" w:space="0" w:color="auto"/>
            <w:left w:val="none" w:sz="0" w:space="0" w:color="auto"/>
            <w:bottom w:val="none" w:sz="0" w:space="0" w:color="auto"/>
            <w:right w:val="none" w:sz="0" w:space="0" w:color="auto"/>
          </w:divBdr>
        </w:div>
        <w:div w:id="1833907116">
          <w:marLeft w:val="446"/>
          <w:marRight w:val="0"/>
          <w:marTop w:val="0"/>
          <w:marBottom w:val="120"/>
          <w:divBdr>
            <w:top w:val="none" w:sz="0" w:space="0" w:color="auto"/>
            <w:left w:val="none" w:sz="0" w:space="0" w:color="auto"/>
            <w:bottom w:val="none" w:sz="0" w:space="0" w:color="auto"/>
            <w:right w:val="none" w:sz="0" w:space="0" w:color="auto"/>
          </w:divBdr>
        </w:div>
        <w:div w:id="2014061986">
          <w:marLeft w:val="446"/>
          <w:marRight w:val="0"/>
          <w:marTop w:val="0"/>
          <w:marBottom w:val="12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dk1" tx1="lt1" bg2="dk2" tx2="lt2" accent1="accent1" accent2="accent2" accent3="accent3" accent4="accent4" accent5="accent5" accent6="accent6" hlink="hlink" folHlink="folHlink"/>
  <c:chart>
    <c:autoTitleDeleted val="1"/>
    <c:plotArea>
      <c:layout/>
      <c:doughnutChart>
        <c:varyColors val="1"/>
        <c:ser>
          <c:idx val="0"/>
          <c:order val="0"/>
          <c:tx>
            <c:strRef>
              <c:f>Sheet1!$B$1</c:f>
              <c:strCache>
                <c:ptCount val="1"/>
                <c:pt idx="0">
                  <c:v>Platība</c:v>
                </c:pt>
              </c:strCache>
            </c:strRef>
          </c:tx>
          <c:spPr>
            <a:ln>
              <a:noFill/>
            </a:ln>
          </c:spPr>
          <c:dPt>
            <c:idx val="0"/>
            <c:bubble3D val="0"/>
            <c:spPr>
              <a:solidFill>
                <a:schemeClr val="accent1"/>
              </a:solidFill>
              <a:ln w="19050">
                <a:noFill/>
              </a:ln>
              <a:effectLst/>
            </c:spPr>
            <c:extLst>
              <c:ext xmlns:c16="http://schemas.microsoft.com/office/drawing/2014/chart" uri="{C3380CC4-5D6E-409C-BE32-E72D297353CC}">
                <c16:uniqueId val="{00000001-3FC4-4235-A858-E5A81889CE9B}"/>
              </c:ext>
            </c:extLst>
          </c:dPt>
          <c:dPt>
            <c:idx val="1"/>
            <c:bubble3D val="0"/>
            <c:spPr>
              <a:solidFill>
                <a:srgbClr val="A1DCEF"/>
              </a:solidFill>
              <a:ln w="19050">
                <a:noFill/>
              </a:ln>
              <a:effectLst/>
            </c:spPr>
            <c:extLst>
              <c:ext xmlns:c16="http://schemas.microsoft.com/office/drawing/2014/chart" uri="{C3380CC4-5D6E-409C-BE32-E72D297353CC}">
                <c16:uniqueId val="{00000003-3FC4-4235-A858-E5A81889CE9B}"/>
              </c:ext>
            </c:extLst>
          </c:dPt>
          <c:dPt>
            <c:idx val="2"/>
            <c:bubble3D val="0"/>
            <c:spPr>
              <a:solidFill>
                <a:schemeClr val="accent3"/>
              </a:solidFill>
              <a:ln w="19050">
                <a:noFill/>
              </a:ln>
              <a:effectLst/>
            </c:spPr>
            <c:extLst>
              <c:ext xmlns:c16="http://schemas.microsoft.com/office/drawing/2014/chart" uri="{C3380CC4-5D6E-409C-BE32-E72D297353CC}">
                <c16:uniqueId val="{00000005-3FC4-4235-A858-E5A81889CE9B}"/>
              </c:ext>
            </c:extLst>
          </c:dPt>
          <c:dPt>
            <c:idx val="3"/>
            <c:bubble3D val="0"/>
            <c:spPr>
              <a:solidFill>
                <a:schemeClr val="accent4"/>
              </a:solidFill>
              <a:ln w="19050">
                <a:noFill/>
              </a:ln>
              <a:effectLst/>
            </c:spPr>
            <c:extLst>
              <c:ext xmlns:c16="http://schemas.microsoft.com/office/drawing/2014/chart" uri="{C3380CC4-5D6E-409C-BE32-E72D297353CC}">
                <c16:uniqueId val="{00000007-3FC4-4235-A858-E5A81889CE9B}"/>
              </c:ext>
            </c:extLst>
          </c:dPt>
          <c:dLbls>
            <c:dLbl>
              <c:idx val="0"/>
              <c:layout>
                <c:manualLayout>
                  <c:x val="4.6835329361234114E-2"/>
                  <c:y val="-0.20442204191328334"/>
                </c:manualLayout>
              </c:layout>
              <c:tx>
                <c:rich>
                  <a:bodyPr rot="0" spcFirstLastPara="1" vertOverflow="ellipsis" vert="horz" wrap="square" lIns="38100" tIns="19050" rIns="38100" bIns="19050" anchor="ctr" anchorCtr="1">
                    <a:noAutofit/>
                  </a:bodyPr>
                  <a:lstStyle/>
                  <a:p>
                    <a:pPr>
                      <a:defRPr sz="1200" b="0" i="0" u="none" strike="noStrike" kern="1200" baseline="0">
                        <a:solidFill>
                          <a:schemeClr val="bg2"/>
                        </a:solidFill>
                        <a:latin typeface="+mn-lt"/>
                        <a:ea typeface="+mn-ea"/>
                        <a:cs typeface="+mn-cs"/>
                      </a:defRPr>
                    </a:pPr>
                    <a:fld id="{8DACD9B4-61CE-4664-BFD3-D49C232FF9E9}" type="CATEGORYNAME">
                      <a:rPr lang="en-US" sz="1200"/>
                      <a:pPr>
                        <a:defRPr sz="1200">
                          <a:solidFill>
                            <a:schemeClr val="bg2"/>
                          </a:solidFill>
                        </a:defRPr>
                      </a:pPr>
                      <a:t>[CATEGORY NAME]</a:t>
                    </a:fld>
                    <a:r>
                      <a:rPr lang="en-US" sz="1200" baseline="0" dirty="0"/>
                      <a:t> </a:t>
                    </a:r>
                    <a:fld id="{C54E23B0-ADC7-4111-ADA6-6991B2BECABC}" type="VALUE">
                      <a:rPr lang="en-US" sz="1200" b="1" baseline="0" smtClean="0">
                        <a:solidFill>
                          <a:schemeClr val="bg1">
                            <a:lumMod val="50000"/>
                          </a:schemeClr>
                        </a:solidFill>
                      </a:rPr>
                      <a:pPr>
                        <a:defRPr sz="1200">
                          <a:solidFill>
                            <a:schemeClr val="bg2"/>
                          </a:solidFill>
                        </a:defRPr>
                      </a:pPr>
                      <a:t>[VALUE]</a:t>
                    </a:fld>
                    <a:r>
                      <a:rPr lang="en-US" sz="1200" baseline="0" dirty="0"/>
                      <a:t> </a:t>
                    </a:r>
                    <a:r>
                      <a:rPr lang="en-US" sz="1200" b="0" i="0" u="none" strike="noStrike" kern="1200" baseline="0" dirty="0">
                        <a:solidFill>
                          <a:srgbClr val="6B6F7B"/>
                        </a:solidFill>
                      </a:rPr>
                      <a:t>m</a:t>
                    </a:r>
                    <a:r>
                      <a:rPr lang="en-US" sz="1200" b="0" i="0" u="none" strike="noStrike" kern="1200" baseline="0" dirty="0">
                        <a:solidFill>
                          <a:srgbClr val="6B6F7B"/>
                        </a:solidFill>
                        <a:latin typeface="Times New Roman" panose="02020603050405020304" pitchFamily="18" charset="0"/>
                        <a:cs typeface="Times New Roman" panose="02020603050405020304" pitchFamily="18" charset="0"/>
                      </a:rPr>
                      <a:t>²</a:t>
                    </a:r>
                    <a:r>
                      <a:rPr lang="en-US" sz="1200" baseline="0" dirty="0"/>
                      <a:t> (</a:t>
                    </a:r>
                    <a:fld id="{F1A0E15D-77C5-4725-89A3-07E88527B049}" type="PERCENTAGE">
                      <a:rPr lang="en-US" sz="1200" baseline="0" smtClean="0"/>
                      <a:pPr>
                        <a:defRPr sz="1200">
                          <a:solidFill>
                            <a:schemeClr val="bg2"/>
                          </a:solidFill>
                        </a:defRPr>
                      </a:pPr>
                      <a:t>[PERCENTAGE]</a:t>
                    </a:fld>
                    <a:r>
                      <a:rPr lang="en-US" sz="1200" baseline="0" dirty="0"/>
                      <a:t>)</a:t>
                    </a:r>
                  </a:p>
                </c:rich>
              </c:tx>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bg2"/>
                      </a:solidFill>
                      <a:latin typeface="+mn-lt"/>
                      <a:ea typeface="+mn-ea"/>
                      <a:cs typeface="+mn-cs"/>
                    </a:defRPr>
                  </a:pPr>
                  <a:endParaRPr lang="lv-LV"/>
                </a:p>
              </c:txPr>
              <c:showLegendKey val="0"/>
              <c:showVal val="1"/>
              <c:showCatName val="1"/>
              <c:showSerName val="0"/>
              <c:showPercent val="1"/>
              <c:showBubbleSize val="0"/>
              <c:separator> </c:separator>
              <c:extLst>
                <c:ext xmlns:c15="http://schemas.microsoft.com/office/drawing/2012/chart" uri="{CE6537A1-D6FC-4f65-9D91-7224C49458BB}">
                  <c15:layout>
                    <c:manualLayout>
                      <c:w val="0.47845077043498702"/>
                      <c:h val="0.2096980721965768"/>
                    </c:manualLayout>
                  </c15:layout>
                  <c15:dlblFieldTable/>
                  <c15:showDataLabelsRange val="0"/>
                </c:ext>
                <c:ext xmlns:c16="http://schemas.microsoft.com/office/drawing/2014/chart" uri="{C3380CC4-5D6E-409C-BE32-E72D297353CC}">
                  <c16:uniqueId val="{00000001-3FC4-4235-A858-E5A81889CE9B}"/>
                </c:ext>
              </c:extLst>
            </c:dLbl>
            <c:dLbl>
              <c:idx val="1"/>
              <c:layout>
                <c:manualLayout>
                  <c:x val="-7.9618452300439707E-2"/>
                  <c:y val="0.20339506583090752"/>
                </c:manualLayout>
              </c:layout>
              <c:tx>
                <c:rich>
                  <a:bodyPr rot="0" spcFirstLastPara="1" vertOverflow="ellipsis" vert="horz" wrap="square" lIns="38100" tIns="19050" rIns="38100" bIns="19050" anchor="ctr" anchorCtr="1">
                    <a:noAutofit/>
                  </a:bodyPr>
                  <a:lstStyle/>
                  <a:p>
                    <a:pPr>
                      <a:defRPr sz="1200" b="0" i="0" u="none" strike="noStrike" kern="1200" baseline="0">
                        <a:solidFill>
                          <a:schemeClr val="bg2"/>
                        </a:solidFill>
                        <a:latin typeface="+mn-lt"/>
                        <a:ea typeface="+mn-ea"/>
                        <a:cs typeface="+mn-cs"/>
                      </a:defRPr>
                    </a:pPr>
                    <a:fld id="{6FE22557-A3B5-466E-AE7D-62CFFFAEF6DC}" type="CATEGORYNAME">
                      <a:rPr lang="en-US" sz="1200"/>
                      <a:pPr>
                        <a:defRPr sz="1200">
                          <a:solidFill>
                            <a:schemeClr val="bg2"/>
                          </a:solidFill>
                        </a:defRPr>
                      </a:pPr>
                      <a:t>[CATEGORY NAME]</a:t>
                    </a:fld>
                    <a:r>
                      <a:rPr lang="en-US" sz="1200" baseline="0" dirty="0"/>
                      <a:t> </a:t>
                    </a:r>
                    <a:fld id="{9BF8E6B7-31B4-40FE-BCDB-D113F9344C74}" type="VALUE">
                      <a:rPr lang="en-US" sz="1200" b="1" baseline="0" smtClean="0">
                        <a:solidFill>
                          <a:schemeClr val="bg1">
                            <a:lumMod val="50000"/>
                          </a:schemeClr>
                        </a:solidFill>
                      </a:rPr>
                      <a:pPr>
                        <a:defRPr sz="1200">
                          <a:solidFill>
                            <a:schemeClr val="bg2"/>
                          </a:solidFill>
                        </a:defRPr>
                      </a:pPr>
                      <a:t>[VALUE]</a:t>
                    </a:fld>
                    <a:r>
                      <a:rPr lang="en-US" sz="1200" baseline="0" dirty="0"/>
                      <a:t> m</a:t>
                    </a:r>
                    <a:r>
                      <a:rPr lang="en-US" sz="1200" baseline="0" dirty="0">
                        <a:latin typeface="Times New Roman" panose="02020603050405020304" pitchFamily="18" charset="0"/>
                        <a:cs typeface="Times New Roman" panose="02020603050405020304" pitchFamily="18" charset="0"/>
                      </a:rPr>
                      <a:t>²</a:t>
                    </a:r>
                    <a:r>
                      <a:rPr lang="en-US" sz="1200" baseline="0" dirty="0"/>
                      <a:t> (</a:t>
                    </a:r>
                    <a:fld id="{258EABEB-3E50-497B-B42F-286EB15DE77F}" type="PERCENTAGE">
                      <a:rPr lang="en-US" sz="1200" baseline="0" smtClean="0"/>
                      <a:pPr>
                        <a:defRPr sz="1200">
                          <a:solidFill>
                            <a:schemeClr val="bg2"/>
                          </a:solidFill>
                        </a:defRPr>
                      </a:pPr>
                      <a:t>[PERCENTAGE]</a:t>
                    </a:fld>
                    <a:r>
                      <a:rPr lang="en-US" sz="1200" baseline="0" dirty="0"/>
                      <a:t>)</a:t>
                    </a:r>
                  </a:p>
                </c:rich>
              </c:tx>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bg2"/>
                      </a:solidFill>
                      <a:latin typeface="+mn-lt"/>
                      <a:ea typeface="+mn-ea"/>
                      <a:cs typeface="+mn-cs"/>
                    </a:defRPr>
                  </a:pPr>
                  <a:endParaRPr lang="lv-LV"/>
                </a:p>
              </c:txPr>
              <c:showLegendKey val="0"/>
              <c:showVal val="1"/>
              <c:showCatName val="1"/>
              <c:showSerName val="0"/>
              <c:showPercent val="1"/>
              <c:showBubbleSize val="0"/>
              <c:separator> </c:separator>
              <c:extLst>
                <c:ext xmlns:c15="http://schemas.microsoft.com/office/drawing/2012/chart" uri="{CE6537A1-D6FC-4f65-9D91-7224C49458BB}">
                  <c15:layout>
                    <c:manualLayout>
                      <c:w val="0.41288397020703849"/>
                      <c:h val="0.22648288067265826"/>
                    </c:manualLayout>
                  </c15:layout>
                  <c15:dlblFieldTable/>
                  <c15:showDataLabelsRange val="0"/>
                </c:ext>
                <c:ext xmlns:c16="http://schemas.microsoft.com/office/drawing/2014/chart" uri="{C3380CC4-5D6E-409C-BE32-E72D297353CC}">
                  <c16:uniqueId val="{00000003-3FC4-4235-A858-E5A81889CE9B}"/>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2"/>
                    </a:solidFill>
                    <a:latin typeface="+mn-lt"/>
                    <a:ea typeface="+mn-ea"/>
                    <a:cs typeface="+mn-cs"/>
                  </a:defRPr>
                </a:pPr>
                <a:endParaRPr lang="lv-LV"/>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Iznomātā</c:v>
                </c:pt>
                <c:pt idx="1">
                  <c:v>Brīvā</c:v>
                </c:pt>
              </c:strCache>
            </c:strRef>
          </c:cat>
          <c:val>
            <c:numRef>
              <c:f>Sheet1!$B$2:$B$5</c:f>
              <c:numCache>
                <c:formatCode>General</c:formatCode>
                <c:ptCount val="4"/>
                <c:pt idx="0">
                  <c:v>544</c:v>
                </c:pt>
                <c:pt idx="1">
                  <c:v>2015</c:v>
                </c:pt>
              </c:numCache>
            </c:numRef>
          </c:val>
          <c:extLst>
            <c:ext xmlns:c16="http://schemas.microsoft.com/office/drawing/2014/chart" uri="{C3380CC4-5D6E-409C-BE32-E72D297353CC}">
              <c16:uniqueId val="{00000008-3FC4-4235-A858-E5A81889CE9B}"/>
            </c:ext>
          </c:extLst>
        </c:ser>
        <c:dLbls>
          <c:showLegendKey val="0"/>
          <c:showVal val="1"/>
          <c:showCatName val="0"/>
          <c:showSerName val="0"/>
          <c:showPercent val="0"/>
          <c:showBubbleSize val="0"/>
          <c:showLeaderLines val="1"/>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EAEBED"/>
    </a:solidFill>
    <a:ln w="9525" cap="flat" cmpd="sng" algn="ctr">
      <a:noFill/>
      <a:round/>
    </a:ln>
    <a:effectLst/>
  </c:spPr>
  <c:txPr>
    <a:bodyPr/>
    <a:lstStyle/>
    <a:p>
      <a:pPr>
        <a:defRPr/>
      </a:pPr>
      <a:endParaRPr lang="lv-LV"/>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dk1" tx1="lt1" bg2="dk2" tx2="lt2" accent1="accent1" accent2="accent2" accent3="accent3" accent4="accent4" accent5="accent5" accent6="accent6" hlink="hlink" folHlink="folHlink"/>
  <c:chart>
    <c:autoTitleDeleted val="1"/>
    <c:plotArea>
      <c:layout/>
      <c:doughnutChart>
        <c:varyColors val="1"/>
        <c:ser>
          <c:idx val="0"/>
          <c:order val="0"/>
          <c:tx>
            <c:strRef>
              <c:f>Sheet1!$B$1</c:f>
              <c:strCache>
                <c:ptCount val="1"/>
                <c:pt idx="0">
                  <c:v>Platība</c:v>
                </c:pt>
              </c:strCache>
            </c:strRef>
          </c:tx>
          <c:spPr>
            <a:ln>
              <a:noFill/>
            </a:ln>
          </c:spPr>
          <c:dPt>
            <c:idx val="0"/>
            <c:bubble3D val="0"/>
            <c:spPr>
              <a:solidFill>
                <a:schemeClr val="accent1"/>
              </a:solidFill>
              <a:ln w="19050">
                <a:noFill/>
              </a:ln>
              <a:effectLst/>
            </c:spPr>
            <c:extLst>
              <c:ext xmlns:c16="http://schemas.microsoft.com/office/drawing/2014/chart" uri="{C3380CC4-5D6E-409C-BE32-E72D297353CC}">
                <c16:uniqueId val="{00000001-BAB8-4D38-9A0B-9032ED6F192F}"/>
              </c:ext>
            </c:extLst>
          </c:dPt>
          <c:dPt>
            <c:idx val="1"/>
            <c:bubble3D val="0"/>
            <c:spPr>
              <a:solidFill>
                <a:schemeClr val="tx2">
                  <a:lumMod val="75000"/>
                </a:schemeClr>
              </a:solidFill>
              <a:ln w="19050">
                <a:noFill/>
              </a:ln>
              <a:effectLst/>
            </c:spPr>
            <c:extLst>
              <c:ext xmlns:c16="http://schemas.microsoft.com/office/drawing/2014/chart" uri="{C3380CC4-5D6E-409C-BE32-E72D297353CC}">
                <c16:uniqueId val="{00000003-BAB8-4D38-9A0B-9032ED6F192F}"/>
              </c:ext>
            </c:extLst>
          </c:dPt>
          <c:dPt>
            <c:idx val="2"/>
            <c:bubble3D val="0"/>
            <c:spPr>
              <a:solidFill>
                <a:schemeClr val="accent3"/>
              </a:solidFill>
              <a:ln w="19050">
                <a:noFill/>
              </a:ln>
              <a:effectLst/>
            </c:spPr>
            <c:extLst>
              <c:ext xmlns:c16="http://schemas.microsoft.com/office/drawing/2014/chart" uri="{C3380CC4-5D6E-409C-BE32-E72D297353CC}">
                <c16:uniqueId val="{00000005-BAB8-4D38-9A0B-9032ED6F192F}"/>
              </c:ext>
            </c:extLst>
          </c:dPt>
          <c:dPt>
            <c:idx val="3"/>
            <c:bubble3D val="0"/>
            <c:spPr>
              <a:solidFill>
                <a:schemeClr val="accent4"/>
              </a:solidFill>
              <a:ln w="19050">
                <a:noFill/>
              </a:ln>
              <a:effectLst/>
            </c:spPr>
            <c:extLst>
              <c:ext xmlns:c16="http://schemas.microsoft.com/office/drawing/2014/chart" uri="{C3380CC4-5D6E-409C-BE32-E72D297353CC}">
                <c16:uniqueId val="{00000007-BAB8-4D38-9A0B-9032ED6F192F}"/>
              </c:ext>
            </c:extLst>
          </c:dPt>
          <c:dLbls>
            <c:dLbl>
              <c:idx val="0"/>
              <c:layout>
                <c:manualLayout>
                  <c:x val="0.12709927983539096"/>
                  <c:y val="0.15412006172839507"/>
                </c:manualLayout>
              </c:layout>
              <c:tx>
                <c:rich>
                  <a:bodyPr rot="0" spcFirstLastPara="1" vertOverflow="ellipsis" vert="horz" wrap="square" lIns="38100" tIns="19050" rIns="38100" bIns="19050" anchor="ctr" anchorCtr="1">
                    <a:noAutofit/>
                  </a:bodyPr>
                  <a:lstStyle/>
                  <a:p>
                    <a:pPr>
                      <a:defRPr sz="1200" b="0" i="0" u="none" strike="noStrike" kern="1200" baseline="0">
                        <a:solidFill>
                          <a:schemeClr val="bg2"/>
                        </a:solidFill>
                        <a:latin typeface="+mn-lt"/>
                        <a:ea typeface="+mn-ea"/>
                        <a:cs typeface="+mn-cs"/>
                      </a:defRPr>
                    </a:pPr>
                    <a:fld id="{70E63368-74B5-4B37-94CA-77801791FC88}" type="CATEGORYNAME">
                      <a:rPr lang="en-US" sz="1200"/>
                      <a:pPr>
                        <a:defRPr sz="1200">
                          <a:solidFill>
                            <a:schemeClr val="bg2"/>
                          </a:solidFill>
                        </a:defRPr>
                      </a:pPr>
                      <a:t>[CATEGORY NAME]</a:t>
                    </a:fld>
                    <a:r>
                      <a:rPr lang="en-US" sz="1200" baseline="0" dirty="0"/>
                      <a:t> </a:t>
                    </a:r>
                    <a:fld id="{86500782-AB5E-4DBD-8B78-CCC99D5BE63E}" type="VALUE">
                      <a:rPr lang="en-US" sz="1200" b="1" baseline="0" smtClean="0">
                        <a:solidFill>
                          <a:schemeClr val="bg1">
                            <a:lumMod val="50000"/>
                          </a:schemeClr>
                        </a:solidFill>
                      </a:rPr>
                      <a:pPr>
                        <a:defRPr sz="1200">
                          <a:solidFill>
                            <a:schemeClr val="bg2"/>
                          </a:solidFill>
                        </a:defRPr>
                      </a:pPr>
                      <a:t>[VALUE]</a:t>
                    </a:fld>
                    <a:r>
                      <a:rPr lang="en-US" sz="1200" baseline="0" dirty="0"/>
                      <a:t> </a:t>
                    </a:r>
                    <a:r>
                      <a:rPr lang="en-US" sz="1200" b="0" i="0" u="none" strike="noStrike" kern="1200" baseline="0" dirty="0">
                        <a:solidFill>
                          <a:srgbClr val="6B6F7B"/>
                        </a:solidFill>
                      </a:rPr>
                      <a:t>m</a:t>
                    </a:r>
                    <a:r>
                      <a:rPr lang="en-US" sz="1200" b="0" i="0" u="none" strike="noStrike" kern="1200" baseline="0" dirty="0">
                        <a:solidFill>
                          <a:srgbClr val="6B6F7B"/>
                        </a:solidFill>
                        <a:latin typeface="Times New Roman" panose="02020603050405020304" pitchFamily="18" charset="0"/>
                        <a:cs typeface="Times New Roman" panose="02020603050405020304" pitchFamily="18" charset="0"/>
                      </a:rPr>
                      <a:t>²</a:t>
                    </a:r>
                    <a:r>
                      <a:rPr lang="en-US" sz="1200" baseline="0" dirty="0"/>
                      <a:t> (</a:t>
                    </a:r>
                    <a:fld id="{8BA634C7-E9F5-48CD-9C2A-B43B34DE153F}" type="PERCENTAGE">
                      <a:rPr lang="en-US" sz="1200" baseline="0" smtClean="0"/>
                      <a:pPr>
                        <a:defRPr sz="1200">
                          <a:solidFill>
                            <a:schemeClr val="bg2"/>
                          </a:solidFill>
                        </a:defRPr>
                      </a:pPr>
                      <a:t>[PERCENTAGE]</a:t>
                    </a:fld>
                    <a:r>
                      <a:rPr lang="en-US" sz="1200" baseline="0" dirty="0"/>
                      <a:t>)</a:t>
                    </a:r>
                  </a:p>
                </c:rich>
              </c:tx>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bg2"/>
                      </a:solidFill>
                      <a:latin typeface="+mn-lt"/>
                      <a:ea typeface="+mn-ea"/>
                      <a:cs typeface="+mn-cs"/>
                    </a:defRPr>
                  </a:pPr>
                  <a:endParaRPr lang="lv-LV"/>
                </a:p>
              </c:txPr>
              <c:showLegendKey val="0"/>
              <c:showVal val="1"/>
              <c:showCatName val="1"/>
              <c:showSerName val="0"/>
              <c:showPercent val="1"/>
              <c:showBubbleSize val="0"/>
              <c:separator> </c:separator>
              <c:extLst>
                <c:ext xmlns:c15="http://schemas.microsoft.com/office/drawing/2012/chart" uri="{CE6537A1-D6FC-4f65-9D91-7224C49458BB}">
                  <c15:layout>
                    <c:manualLayout>
                      <c:w val="0.39934430790095454"/>
                      <c:h val="0.2096980721965768"/>
                    </c:manualLayout>
                  </c15:layout>
                  <c15:dlblFieldTable/>
                  <c15:showDataLabelsRange val="0"/>
                </c:ext>
                <c:ext xmlns:c16="http://schemas.microsoft.com/office/drawing/2014/chart" uri="{C3380CC4-5D6E-409C-BE32-E72D297353CC}">
                  <c16:uniqueId val="{00000001-BAB8-4D38-9A0B-9032ED6F192F}"/>
                </c:ext>
              </c:extLst>
            </c:dLbl>
            <c:dLbl>
              <c:idx val="1"/>
              <c:layout>
                <c:manualLayout>
                  <c:x val="-0.14071614928782977"/>
                  <c:y val="-0.14738968305940753"/>
                </c:manualLayout>
              </c:layout>
              <c:tx>
                <c:rich>
                  <a:bodyPr rot="0" spcFirstLastPara="1" vertOverflow="ellipsis" vert="horz" wrap="square" lIns="38100" tIns="19050" rIns="38100" bIns="19050" anchor="ctr" anchorCtr="1">
                    <a:noAutofit/>
                  </a:bodyPr>
                  <a:lstStyle/>
                  <a:p>
                    <a:pPr>
                      <a:defRPr sz="1200" b="0" i="0" u="none" strike="noStrike" kern="1200" baseline="0">
                        <a:solidFill>
                          <a:schemeClr val="bg2"/>
                        </a:solidFill>
                        <a:latin typeface="+mn-lt"/>
                        <a:ea typeface="+mn-ea"/>
                        <a:cs typeface="+mn-cs"/>
                      </a:defRPr>
                    </a:pPr>
                    <a:fld id="{5FA5D315-3465-413A-9FC7-263CC214A616}" type="CATEGORYNAME">
                      <a:rPr lang="en-US" sz="1200"/>
                      <a:pPr>
                        <a:defRPr sz="1200">
                          <a:solidFill>
                            <a:schemeClr val="bg2"/>
                          </a:solidFill>
                        </a:defRPr>
                      </a:pPr>
                      <a:t>[CATEGORY NAME]</a:t>
                    </a:fld>
                    <a:r>
                      <a:rPr lang="en-US" sz="1200" baseline="0" dirty="0"/>
                      <a:t> </a:t>
                    </a:r>
                    <a:fld id="{28B3E2C7-2A18-4811-95F4-3C0BB7E336F5}" type="VALUE">
                      <a:rPr lang="en-US" sz="1200" b="1" baseline="0" smtClean="0">
                        <a:solidFill>
                          <a:schemeClr val="bg1">
                            <a:lumMod val="50000"/>
                          </a:schemeClr>
                        </a:solidFill>
                      </a:rPr>
                      <a:pPr>
                        <a:defRPr sz="1200">
                          <a:solidFill>
                            <a:schemeClr val="bg2"/>
                          </a:solidFill>
                        </a:defRPr>
                      </a:pPr>
                      <a:t>[VALUE]</a:t>
                    </a:fld>
                    <a:r>
                      <a:rPr lang="en-US" sz="1200" baseline="0" dirty="0"/>
                      <a:t> </a:t>
                    </a:r>
                    <a:r>
                      <a:rPr lang="en-US" sz="1200" b="0" i="0" u="none" strike="noStrike" kern="1200" baseline="0" dirty="0">
                        <a:solidFill>
                          <a:srgbClr val="6B6F7B"/>
                        </a:solidFill>
                      </a:rPr>
                      <a:t>m</a:t>
                    </a:r>
                    <a:r>
                      <a:rPr lang="en-US" sz="1200" b="0" i="0" u="none" strike="noStrike" kern="1200" baseline="0" dirty="0">
                        <a:solidFill>
                          <a:srgbClr val="6B6F7B"/>
                        </a:solidFill>
                        <a:latin typeface="Times New Roman" panose="02020603050405020304" pitchFamily="18" charset="0"/>
                        <a:cs typeface="Times New Roman" panose="02020603050405020304" pitchFamily="18" charset="0"/>
                      </a:rPr>
                      <a:t>²</a:t>
                    </a:r>
                    <a:r>
                      <a:rPr lang="en-US" sz="1200" baseline="0" dirty="0"/>
                      <a:t> (</a:t>
                    </a:r>
                    <a:fld id="{50519A65-ADFD-4D77-ADEC-31F9E004EFC4}" type="PERCENTAGE">
                      <a:rPr lang="en-US" sz="1200" baseline="0" smtClean="0"/>
                      <a:pPr>
                        <a:defRPr sz="1200">
                          <a:solidFill>
                            <a:schemeClr val="bg2"/>
                          </a:solidFill>
                        </a:defRPr>
                      </a:pPr>
                      <a:t>[PERCENTAGE]</a:t>
                    </a:fld>
                    <a:r>
                      <a:rPr lang="en-US" sz="1200" baseline="0" dirty="0"/>
                      <a:t>)</a:t>
                    </a:r>
                  </a:p>
                </c:rich>
              </c:tx>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bg2"/>
                      </a:solidFill>
                      <a:latin typeface="+mn-lt"/>
                      <a:ea typeface="+mn-ea"/>
                      <a:cs typeface="+mn-cs"/>
                    </a:defRPr>
                  </a:pPr>
                  <a:endParaRPr lang="lv-LV"/>
                </a:p>
              </c:txPr>
              <c:showLegendKey val="0"/>
              <c:showVal val="1"/>
              <c:showCatName val="1"/>
              <c:showSerName val="0"/>
              <c:showPercent val="1"/>
              <c:showBubbleSize val="0"/>
              <c:separator> </c:separator>
              <c:extLst>
                <c:ext xmlns:c15="http://schemas.microsoft.com/office/drawing/2012/chart" uri="{CE6537A1-D6FC-4f65-9D91-7224C49458BB}">
                  <c15:layout>
                    <c:manualLayout>
                      <c:w val="0.39824279835390947"/>
                      <c:h val="0.21459259259259258"/>
                    </c:manualLayout>
                  </c15:layout>
                  <c15:dlblFieldTable/>
                  <c15:showDataLabelsRange val="0"/>
                </c:ext>
                <c:ext xmlns:c16="http://schemas.microsoft.com/office/drawing/2014/chart" uri="{C3380CC4-5D6E-409C-BE32-E72D297353CC}">
                  <c16:uniqueId val="{00000003-BAB8-4D38-9A0B-9032ED6F192F}"/>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bg2"/>
                    </a:solidFill>
                    <a:latin typeface="+mn-lt"/>
                    <a:ea typeface="+mn-ea"/>
                    <a:cs typeface="+mn-cs"/>
                  </a:defRPr>
                </a:pPr>
                <a:endParaRPr lang="lv-LV"/>
              </a:p>
            </c:txPr>
            <c:showLegendKey val="0"/>
            <c:showVal val="1"/>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2"/>
                <c:pt idx="0">
                  <c:v>Iznomājama</c:v>
                </c:pt>
                <c:pt idx="1">
                  <c:v>Neiznomājama</c:v>
                </c:pt>
              </c:strCache>
            </c:strRef>
          </c:cat>
          <c:val>
            <c:numRef>
              <c:f>Sheet1!$B$2:$B$5</c:f>
              <c:numCache>
                <c:formatCode>General</c:formatCode>
                <c:ptCount val="4"/>
                <c:pt idx="0">
                  <c:v>2559</c:v>
                </c:pt>
                <c:pt idx="1">
                  <c:v>701</c:v>
                </c:pt>
              </c:numCache>
            </c:numRef>
          </c:val>
          <c:extLst>
            <c:ext xmlns:c16="http://schemas.microsoft.com/office/drawing/2014/chart" uri="{C3380CC4-5D6E-409C-BE32-E72D297353CC}">
              <c16:uniqueId val="{00000008-BAB8-4D38-9A0B-9032ED6F192F}"/>
            </c:ext>
          </c:extLst>
        </c:ser>
        <c:dLbls>
          <c:showLegendKey val="0"/>
          <c:showVal val="1"/>
          <c:showCatName val="0"/>
          <c:showSerName val="0"/>
          <c:showPercent val="0"/>
          <c:showBubbleSize val="0"/>
          <c:showLeaderLines val="1"/>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EAEBED"/>
    </a:solidFill>
    <a:ln w="9525" cap="flat" cmpd="sng" algn="ctr">
      <a:no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197"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0.31734</cdr:x>
      <cdr:y>0.3528</cdr:y>
    </cdr:from>
    <cdr:to>
      <cdr:x>0.68061</cdr:x>
      <cdr:y>0.70439</cdr:y>
    </cdr:to>
    <cdr:sp macro="" textlink="">
      <cdr:nvSpPr>
        <cdr:cNvPr id="2" name="TextBox 53">
          <a:extLst xmlns:a="http://schemas.openxmlformats.org/drawingml/2006/main">
            <a:ext uri="{FF2B5EF4-FFF2-40B4-BE49-F238E27FC236}">
              <a16:creationId xmlns:a16="http://schemas.microsoft.com/office/drawing/2014/main" id="{503B8ED0-0140-4237-905A-E3455CEA9D69}"/>
            </a:ext>
          </a:extLst>
        </cdr:cNvPr>
        <cdr:cNvSpPr txBox="1"/>
      </cdr:nvSpPr>
      <cdr:spPr>
        <a:xfrm xmlns:a="http://schemas.openxmlformats.org/drawingml/2006/main">
          <a:off x="924345" y="856233"/>
          <a:ext cx="1058097" cy="853297"/>
        </a:xfrm>
        <a:prstGeom xmlns:a="http://schemas.openxmlformats.org/drawingml/2006/main" prst="rect">
          <a:avLst/>
        </a:prstGeom>
        <a:noFill xmlns:a="http://schemas.openxmlformats.org/drawingml/2006/main"/>
      </cdr:spPr>
      <cdr:txBody>
        <a:bodyPr xmlns:a="http://schemas.openxmlformats.org/drawingml/2006/main" wrap="square" lIns="0" rIns="0" rtlCol="0" anchor="t" anchorCtr="0">
          <a:noAutofit/>
        </a:bodyPr>
        <a:lstStyle xmlns:a="http://schemas.openxmlformats.org/drawingml/2006/main">
          <a:defPPr>
            <a:defRPr lang="lv-LV"/>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xmlns:a="http://schemas.openxmlformats.org/drawingml/2006/main">
          <a:pPr algn="ctr"/>
          <a:r>
            <a:rPr lang="lv-LV" b="1" dirty="0">
              <a:solidFill>
                <a:schemeClr val="bg1">
                  <a:lumMod val="50000"/>
                </a:schemeClr>
              </a:solidFill>
            </a:rPr>
            <a:t>2 559 </a:t>
          </a:r>
          <a:r>
            <a:rPr lang="lv-LV" sz="1200" dirty="0">
              <a:solidFill>
                <a:schemeClr val="bg1"/>
              </a:solidFill>
            </a:rPr>
            <a:t>m</a:t>
          </a:r>
          <a:r>
            <a:rPr lang="lv-LV" sz="1200" baseline="30000" dirty="0">
              <a:solidFill>
                <a:schemeClr val="bg1"/>
              </a:solidFill>
            </a:rPr>
            <a:t>2</a:t>
          </a:r>
        </a:p>
        <a:p xmlns:a="http://schemas.openxmlformats.org/drawingml/2006/main">
          <a:pPr algn="ctr"/>
          <a:r>
            <a:rPr lang="lv-LV" sz="1600" baseline="30000" dirty="0">
              <a:solidFill>
                <a:schemeClr val="bg1"/>
              </a:solidFill>
            </a:rPr>
            <a:t>Iznomājamā platība</a:t>
          </a:r>
          <a:endParaRPr lang="lv-LV" sz="2400" dirty="0">
            <a:solidFill>
              <a:schemeClr val="bg1"/>
            </a:solidFill>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VNĪ">
    <a:dk1>
      <a:srgbClr val="6B6F7B"/>
    </a:dk1>
    <a:lt1>
      <a:srgbClr val="FFFFFF"/>
    </a:lt1>
    <a:dk2>
      <a:srgbClr val="6B6F7B"/>
    </a:dk2>
    <a:lt2>
      <a:srgbClr val="FFFFFF"/>
    </a:lt2>
    <a:accent1>
      <a:srgbClr val="D5DE3D"/>
    </a:accent1>
    <a:accent2>
      <a:srgbClr val="FFFFFF"/>
    </a:accent2>
    <a:accent3>
      <a:srgbClr val="F0E8D7"/>
    </a:accent3>
    <a:accent4>
      <a:srgbClr val="D1DDDF"/>
    </a:accent4>
    <a:accent5>
      <a:srgbClr val="00B4FF"/>
    </a:accent5>
    <a:accent6>
      <a:srgbClr val="B2E9FF"/>
    </a:accent6>
    <a:hlink>
      <a:srgbClr val="0000FF"/>
    </a:hlink>
    <a:folHlink>
      <a:srgbClr val="800080"/>
    </a:folHlink>
  </a:clrScheme>
  <a:fontScheme name="VNĪ">
    <a:majorFont>
      <a:latin typeface="Roboto Slab"/>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VNĪ">
    <a:dk1>
      <a:srgbClr val="6B6F7B"/>
    </a:dk1>
    <a:lt1>
      <a:srgbClr val="FFFFFF"/>
    </a:lt1>
    <a:dk2>
      <a:srgbClr val="6B6F7B"/>
    </a:dk2>
    <a:lt2>
      <a:srgbClr val="FFFFFF"/>
    </a:lt2>
    <a:accent1>
      <a:srgbClr val="D5DE3D"/>
    </a:accent1>
    <a:accent2>
      <a:srgbClr val="FFFFFF"/>
    </a:accent2>
    <a:accent3>
      <a:srgbClr val="F0E8D7"/>
    </a:accent3>
    <a:accent4>
      <a:srgbClr val="D1DDDF"/>
    </a:accent4>
    <a:accent5>
      <a:srgbClr val="00B4FF"/>
    </a:accent5>
    <a:accent6>
      <a:srgbClr val="B2E9FF"/>
    </a:accent6>
    <a:hlink>
      <a:srgbClr val="0000FF"/>
    </a:hlink>
    <a:folHlink>
      <a:srgbClr val="800080"/>
    </a:folHlink>
  </a:clrScheme>
  <a:fontScheme name="VNĪ">
    <a:majorFont>
      <a:latin typeface="Roboto Slab"/>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E2F809A46DFFA42A1A129D98068B3E9" ma:contentTypeVersion="13" ma:contentTypeDescription="Izveidot jaunu dokumentu." ma:contentTypeScope="" ma:versionID="e41d4cde0cdf3564fab4b8b0535186f9">
  <xsd:schema xmlns:xsd="http://www.w3.org/2001/XMLSchema" xmlns:xs="http://www.w3.org/2001/XMLSchema" xmlns:p="http://schemas.microsoft.com/office/2006/metadata/properties" xmlns:ns1="http://schemas.microsoft.com/sharepoint/v3" xmlns:ns2="b6b6b0de-984a-4a78-a39f-cb9c8b26df3b" xmlns:ns3="30f27a67-e3d9-46c1-b96c-c174a62fd7b5" targetNamespace="http://schemas.microsoft.com/office/2006/metadata/properties" ma:root="true" ma:fieldsID="cf11faacee851a9a590a1f85ea13cdea" ns1:_="" ns2:_="" ns3:_="">
    <xsd:import namespace="http://schemas.microsoft.com/sharepoint/v3"/>
    <xsd:import namespace="b6b6b0de-984a-4a78-a39f-cb9c8b26df3b"/>
    <xsd:import namespace="30f27a67-e3d9-46c1-b96c-c174a62fd7b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Vienotās atbilstības politikas rekvizīti" ma:hidden="true" ma:internalName="_ip_UnifiedCompliancePolicyProperties">
      <xsd:simpleType>
        <xsd:restriction base="dms:Note"/>
      </xsd:simpleType>
    </xsd:element>
    <xsd:element name="_ip_UnifiedCompliancePolicyUIAction" ma:index="20"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b6b0de-984a-4a78-a39f-cb9c8b26df3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f27a67-e3d9-46c1-b96c-c174a62fd7b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1D22C0A-E4ED-40FC-BFC2-EDF10EF41F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b6b0de-984a-4a78-a39f-cb9c8b26df3b"/>
    <ds:schemaRef ds:uri="30f27a67-e3d9-46c1-b96c-c174a62fd7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71AA22-5280-4153-A295-761885A966D9}">
  <ds:schemaRefs>
    <ds:schemaRef ds:uri="http://schemas.openxmlformats.org/officeDocument/2006/bibliography"/>
  </ds:schemaRefs>
</ds:datastoreItem>
</file>

<file path=customXml/itemProps3.xml><?xml version="1.0" encoding="utf-8"?>
<ds:datastoreItem xmlns:ds="http://schemas.openxmlformats.org/officeDocument/2006/customXml" ds:itemID="{88FD9036-6CC6-4895-B5B8-B206BED6815B}">
  <ds:schemaRefs>
    <ds:schemaRef ds:uri="http://schemas.microsoft.com/sharepoint/v3/contenttype/forms"/>
  </ds:schemaRefs>
</ds:datastoreItem>
</file>

<file path=customXml/itemProps4.xml><?xml version="1.0" encoding="utf-8"?>
<ds:datastoreItem xmlns:ds="http://schemas.openxmlformats.org/officeDocument/2006/customXml" ds:itemID="{DA684398-87E8-406C-AB6E-A6B91906089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13801</Words>
  <Characters>7868</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VAS Valsts nekustamie ipasumi</Company>
  <LinksUpToDate>false</LinksUpToDate>
  <CharactersWithSpaces>21626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Timma</dc:creator>
  <cp:keywords/>
  <dc:description/>
  <cp:lastModifiedBy>Vita Bružas</cp:lastModifiedBy>
  <cp:revision>5</cp:revision>
  <dcterms:created xsi:type="dcterms:W3CDTF">2022-05-17T12:54:00Z</dcterms:created>
  <dcterms:modified xsi:type="dcterms:W3CDTF">2022-05-17T13:00:00Z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0x0101002E2F809A46DFFA42A1A129D98068B3E9</vt:lpwstr>
  </property>
</Properties>
</file>