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875A7" w14:textId="6ED11501" w:rsidR="000A20ED" w:rsidRPr="006B29A6" w:rsidRDefault="00CD76E0" w:rsidP="00DE36E3">
      <w:pPr>
        <w:spacing w:after="0"/>
        <w:jc w:val="right"/>
        <w:rPr>
          <w:rFonts w:ascii="Times New Roman" w:hAnsi="Times New Roman" w:cs="Times New Roman"/>
          <w:szCs w:val="24"/>
          <w:lang w:eastAsia="lv-LV"/>
        </w:rPr>
      </w:pPr>
      <w:bookmarkStart w:id="0" w:name="_Toc63018065"/>
      <w:r>
        <w:rPr>
          <w:rFonts w:ascii="Times New Roman" w:hAnsi="Times New Roman" w:cs="Times New Roman"/>
          <w:szCs w:val="24"/>
          <w:lang w:eastAsia="lv-LV"/>
        </w:rPr>
        <w:t>5</w:t>
      </w:r>
      <w:r w:rsidR="00D00382" w:rsidRPr="006B29A6">
        <w:rPr>
          <w:rFonts w:ascii="Times New Roman" w:hAnsi="Times New Roman" w:cs="Times New Roman"/>
          <w:szCs w:val="24"/>
          <w:lang w:eastAsia="lv-LV"/>
        </w:rPr>
        <w:t xml:space="preserve">. </w:t>
      </w:r>
      <w:r w:rsidR="00D00382">
        <w:rPr>
          <w:rFonts w:ascii="Times New Roman" w:hAnsi="Times New Roman" w:cs="Times New Roman"/>
          <w:szCs w:val="24"/>
          <w:lang w:eastAsia="lv-LV"/>
        </w:rPr>
        <w:t>P</w:t>
      </w:r>
      <w:r w:rsidR="00D00382" w:rsidRPr="006B29A6">
        <w:rPr>
          <w:rFonts w:ascii="Times New Roman" w:hAnsi="Times New Roman" w:cs="Times New Roman"/>
          <w:szCs w:val="24"/>
          <w:lang w:eastAsia="lv-LV"/>
        </w:rPr>
        <w:t>ielikums</w:t>
      </w:r>
    </w:p>
    <w:p w14:paraId="3FFAA4E5" w14:textId="77777777" w:rsidR="00A026F9" w:rsidRDefault="00A026F9" w:rsidP="00A026F9">
      <w:pPr>
        <w:spacing w:after="0"/>
        <w:jc w:val="right"/>
        <w:rPr>
          <w:rFonts w:ascii="Times New Roman" w:hAnsi="Times New Roman" w:cs="Times New Roman"/>
          <w:b/>
          <w:bCs/>
          <w:sz w:val="28"/>
          <w:szCs w:val="28"/>
        </w:rPr>
      </w:pPr>
      <w:r>
        <w:rPr>
          <w:rFonts w:ascii="Times New Roman" w:hAnsi="Times New Roman" w:cs="Times New Roman"/>
          <w:szCs w:val="24"/>
          <w:lang w:eastAsia="lv-LV"/>
        </w:rPr>
        <w:t>Plānam “N</w:t>
      </w:r>
      <w:r w:rsidRPr="006B29A6">
        <w:rPr>
          <w:rFonts w:ascii="Times New Roman" w:hAnsi="Times New Roman" w:cs="Times New Roman"/>
          <w:szCs w:val="24"/>
          <w:lang w:eastAsia="lv-LV"/>
        </w:rPr>
        <w:t>otekūdeņu dūņu apsaimniekošanas stratēģija 20</w:t>
      </w:r>
      <w:r>
        <w:rPr>
          <w:rFonts w:ascii="Times New Roman" w:hAnsi="Times New Roman" w:cs="Times New Roman"/>
          <w:szCs w:val="24"/>
          <w:lang w:eastAsia="lv-LV"/>
        </w:rPr>
        <w:t>22.</w:t>
      </w:r>
      <w:r w:rsidRPr="006B29A6">
        <w:rPr>
          <w:rFonts w:ascii="Times New Roman" w:hAnsi="Times New Roman" w:cs="Times New Roman"/>
          <w:szCs w:val="24"/>
          <w:lang w:eastAsia="lv-LV"/>
        </w:rPr>
        <w:t>–20</w:t>
      </w:r>
      <w:r>
        <w:rPr>
          <w:rFonts w:ascii="Times New Roman" w:hAnsi="Times New Roman" w:cs="Times New Roman"/>
          <w:szCs w:val="24"/>
          <w:lang w:eastAsia="lv-LV"/>
        </w:rPr>
        <w:t>27</w:t>
      </w:r>
      <w:r w:rsidRPr="006B29A6">
        <w:rPr>
          <w:rFonts w:ascii="Times New Roman" w:hAnsi="Times New Roman" w:cs="Times New Roman"/>
          <w:szCs w:val="24"/>
          <w:lang w:eastAsia="lv-LV"/>
        </w:rPr>
        <w:t xml:space="preserve">. </w:t>
      </w:r>
      <w:r>
        <w:rPr>
          <w:rFonts w:ascii="Times New Roman" w:hAnsi="Times New Roman" w:cs="Times New Roman"/>
          <w:szCs w:val="24"/>
          <w:lang w:eastAsia="lv-LV"/>
        </w:rPr>
        <w:t>gadam</w:t>
      </w:r>
    </w:p>
    <w:p w14:paraId="2A41B158" w14:textId="036A1B49" w:rsidR="00DE36E3" w:rsidRPr="006B29A6" w:rsidRDefault="00DE36E3" w:rsidP="00DE36E3">
      <w:pPr>
        <w:spacing w:after="0"/>
        <w:jc w:val="right"/>
        <w:rPr>
          <w:rFonts w:ascii="Times New Roman" w:hAnsi="Times New Roman" w:cs="Times New Roman"/>
          <w:caps/>
          <w:szCs w:val="24"/>
          <w:lang w:eastAsia="lv-LV"/>
        </w:rPr>
      </w:pPr>
    </w:p>
    <w:p w14:paraId="7C57A86D" w14:textId="2ED017E6" w:rsidR="00F03134" w:rsidRPr="00450392" w:rsidRDefault="00450392" w:rsidP="00DE36E3">
      <w:pPr>
        <w:spacing w:after="0"/>
        <w:jc w:val="center"/>
        <w:rPr>
          <w:rFonts w:ascii="Times New Roman" w:hAnsi="Times New Roman" w:cs="Times New Roman"/>
          <w:b/>
          <w:bCs/>
          <w:sz w:val="32"/>
          <w:szCs w:val="32"/>
        </w:rPr>
      </w:pPr>
      <w:r w:rsidRPr="00450392">
        <w:rPr>
          <w:rFonts w:ascii="Times New Roman" w:hAnsi="Times New Roman" w:cs="Times New Roman"/>
          <w:b/>
          <w:bCs/>
          <w:sz w:val="32"/>
          <w:szCs w:val="32"/>
        </w:rPr>
        <w:t>Stratēģijas ilgtspējas raksturojums</w:t>
      </w:r>
    </w:p>
    <w:p w14:paraId="00319F23" w14:textId="77777777" w:rsidR="00450392" w:rsidRDefault="00450392" w:rsidP="00DE36E3">
      <w:pPr>
        <w:spacing w:after="0"/>
        <w:jc w:val="center"/>
        <w:rPr>
          <w:rFonts w:ascii="Times New Roman" w:hAnsi="Times New Roman" w:cs="Times New Roman"/>
          <w:b/>
          <w:bCs/>
          <w:sz w:val="28"/>
          <w:szCs w:val="28"/>
        </w:rPr>
      </w:pPr>
    </w:p>
    <w:tbl>
      <w:tblPr>
        <w:tblW w:w="1445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5103"/>
        <w:gridCol w:w="6662"/>
      </w:tblGrid>
      <w:tr w:rsidR="00450392" w:rsidRPr="00462FE1" w14:paraId="4F93EACB" w14:textId="77777777" w:rsidTr="00450392">
        <w:trPr>
          <w:tblHeader/>
        </w:trPr>
        <w:tc>
          <w:tcPr>
            <w:tcW w:w="2694" w:type="dxa"/>
            <w:shd w:val="clear" w:color="auto" w:fill="FFC000"/>
            <w:vAlign w:val="center"/>
          </w:tcPr>
          <w:p w14:paraId="4F2A8848" w14:textId="77777777" w:rsidR="00450392" w:rsidRPr="00462FE1" w:rsidRDefault="00450392" w:rsidP="009D29AD">
            <w:pPr>
              <w:spacing w:after="0" w:line="240" w:lineRule="auto"/>
              <w:jc w:val="center"/>
              <w:rPr>
                <w:rFonts w:ascii="Times New Roman" w:eastAsia="Calibri" w:hAnsi="Times New Roman" w:cs="Times New Roman"/>
                <w:b/>
                <w:sz w:val="20"/>
                <w:szCs w:val="20"/>
              </w:rPr>
            </w:pPr>
            <w:r w:rsidRPr="00462FE1">
              <w:rPr>
                <w:rFonts w:ascii="Times New Roman" w:eastAsia="Calibri" w:hAnsi="Times New Roman" w:cs="Times New Roman"/>
                <w:b/>
                <w:sz w:val="20"/>
                <w:szCs w:val="20"/>
              </w:rPr>
              <w:t>Dokuments</w:t>
            </w:r>
          </w:p>
        </w:tc>
        <w:tc>
          <w:tcPr>
            <w:tcW w:w="5103" w:type="dxa"/>
            <w:shd w:val="clear" w:color="auto" w:fill="FFC000"/>
            <w:vAlign w:val="center"/>
          </w:tcPr>
          <w:p w14:paraId="2DBB0D92" w14:textId="77777777" w:rsidR="00450392" w:rsidRPr="00462FE1" w:rsidRDefault="00450392" w:rsidP="009D29AD">
            <w:pPr>
              <w:spacing w:after="0" w:line="240" w:lineRule="auto"/>
              <w:jc w:val="center"/>
              <w:rPr>
                <w:rFonts w:ascii="Times New Roman" w:eastAsia="Calibri" w:hAnsi="Times New Roman" w:cs="Times New Roman"/>
                <w:b/>
                <w:sz w:val="20"/>
                <w:szCs w:val="20"/>
              </w:rPr>
            </w:pPr>
            <w:r w:rsidRPr="00462FE1">
              <w:rPr>
                <w:rFonts w:ascii="Times New Roman" w:eastAsia="Calibri" w:hAnsi="Times New Roman" w:cs="Times New Roman"/>
                <w:b/>
                <w:sz w:val="20"/>
                <w:szCs w:val="20"/>
              </w:rPr>
              <w:t>Dokumentā izvirzītie mērķi, attīstības virzieni, principi un nosacījumi</w:t>
            </w:r>
          </w:p>
        </w:tc>
        <w:tc>
          <w:tcPr>
            <w:tcW w:w="6662" w:type="dxa"/>
            <w:shd w:val="clear" w:color="auto" w:fill="FFC000"/>
            <w:vAlign w:val="center"/>
          </w:tcPr>
          <w:p w14:paraId="7C046497" w14:textId="77777777" w:rsidR="00450392" w:rsidRPr="00462FE1" w:rsidRDefault="00450392" w:rsidP="009D29AD">
            <w:pPr>
              <w:spacing w:after="0" w:line="240" w:lineRule="auto"/>
              <w:jc w:val="center"/>
              <w:rPr>
                <w:rFonts w:ascii="Times New Roman" w:eastAsia="Calibri" w:hAnsi="Times New Roman" w:cs="Times New Roman"/>
                <w:b/>
                <w:sz w:val="20"/>
                <w:szCs w:val="20"/>
              </w:rPr>
            </w:pPr>
            <w:r w:rsidRPr="00462FE1">
              <w:rPr>
                <w:rFonts w:ascii="Times New Roman" w:eastAsia="Calibri" w:hAnsi="Times New Roman" w:cs="Times New Roman"/>
                <w:b/>
                <w:sz w:val="20"/>
                <w:szCs w:val="20"/>
              </w:rPr>
              <w:t>Stratēģijas ietekme vai atbilstība</w:t>
            </w:r>
          </w:p>
        </w:tc>
      </w:tr>
      <w:tr w:rsidR="00450392" w:rsidRPr="00462FE1" w14:paraId="503A8D38" w14:textId="77777777" w:rsidTr="00450392">
        <w:tc>
          <w:tcPr>
            <w:tcW w:w="2694" w:type="dxa"/>
            <w:shd w:val="clear" w:color="auto" w:fill="F2F2F2" w:themeFill="background1" w:themeFillShade="F2"/>
            <w:vAlign w:val="center"/>
          </w:tcPr>
          <w:p w14:paraId="78A343FC"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t>ANO Ilgtspējīgas attīstības mērķi, Mūsu pasaules pārveidošana: ilgtspējīgas attīstības programma 2030. gadam</w:t>
            </w:r>
          </w:p>
        </w:tc>
        <w:tc>
          <w:tcPr>
            <w:tcW w:w="5103" w:type="dxa"/>
            <w:vAlign w:val="center"/>
          </w:tcPr>
          <w:p w14:paraId="2A741D60"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8.mērķis. Veicināt noturīgu, iekļaujošu un ilgtspējīgu ekonomikas izaugsmi, pilnīgu un produktīvu nodarbinātību un pienācīgas kvalitātes nodarbinātību visiem;</w:t>
            </w:r>
          </w:p>
          <w:p w14:paraId="4397A50C"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11.mērķis. Padarīt pilsētas un apdzīvotas vietas iekļaujošas, drošas, elastīgas un ilgtspējīgas;</w:t>
            </w:r>
          </w:p>
          <w:p w14:paraId="2BA3878A"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12.mērķis. Nodrošināt ilgtspējīgus patēriņa un ražošanas modeļus;</w:t>
            </w:r>
          </w:p>
          <w:p w14:paraId="3B938C3B" w14:textId="77777777" w:rsidR="00450392" w:rsidRPr="00462FE1" w:rsidRDefault="00450392" w:rsidP="009D29AD">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462FE1">
              <w:rPr>
                <w:rFonts w:ascii="Times New Roman" w:eastAsia="Calibri" w:hAnsi="Times New Roman" w:cs="Times New Roman"/>
                <w:color w:val="000000"/>
                <w:sz w:val="20"/>
                <w:szCs w:val="20"/>
              </w:rPr>
              <w:t xml:space="preserve">15.mērķis. Aizsargāt, atjaunot un veicināt sauszemes ekosistēmu ilgtspējīgu izmantošanu, ilgtspējīgi apsaimniekot mežus, apkarot </w:t>
            </w:r>
            <w:proofErr w:type="spellStart"/>
            <w:r w:rsidRPr="00462FE1">
              <w:rPr>
                <w:rFonts w:ascii="Times New Roman" w:eastAsia="Calibri" w:hAnsi="Times New Roman" w:cs="Times New Roman"/>
                <w:color w:val="000000"/>
                <w:sz w:val="20"/>
                <w:szCs w:val="20"/>
              </w:rPr>
              <w:t>pārtuksnešošanos</w:t>
            </w:r>
            <w:proofErr w:type="spellEnd"/>
            <w:r w:rsidRPr="00462FE1">
              <w:rPr>
                <w:rFonts w:ascii="Times New Roman" w:eastAsia="Calibri" w:hAnsi="Times New Roman" w:cs="Times New Roman"/>
                <w:color w:val="000000"/>
                <w:sz w:val="20"/>
                <w:szCs w:val="20"/>
              </w:rPr>
              <w:t xml:space="preserve"> un novērst zemes degradāciju, veicināt tās atjaunošanu un apstādināt bioloģiskās daudzveidības izzušanu.</w:t>
            </w:r>
          </w:p>
        </w:tc>
        <w:tc>
          <w:tcPr>
            <w:tcW w:w="6662" w:type="dxa"/>
            <w:vAlign w:val="center"/>
          </w:tcPr>
          <w:p w14:paraId="267777C5"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Stratēģijā paredzētais notekūdeņu dūņu apsaimniekošanas modelis ir vērsts un veicina virzību uz vismaz četru norādīto ANO Ilgtspējīgas attīstības mērķu ieviešanu Latvijā, jo notekūdeņu dūņu kā ūdenssaimniecības nozares blakusprodukta pārstrāde un atkārtota atgriešana ekonomikā ne tikai nodrošina, ka pilsētas un apdzīvotas vietas kļūst ilgtspējīgākas, jo rada mazākas negatīvas un neatgriezeniskas vides ietekmes, bet arī tās radītie atlikumi tiek izmantoti kā resursi lauksaimnieciskajā ražošanā. Stratēģija vērsta uz aprites jeb cikliskās ekonomikas attīstību, kad vienas nozares blakusprodukts tiek izmantoti kā citas nozares ražošanas izejviela un resurss. Stratēģija veicina arī ilgtspējīgas lauksaimniecības un zemes izmantošanas attīstību, jo nodrošina augu barošanās elementus un minerālvielas, tai skaitā mikroelementus, kam ir vietēja izcelsme un ļauj samazināt mākslīgo un ārpus valsts iegūto  mēslošanas līdzekļu izmantošanu.</w:t>
            </w:r>
          </w:p>
        </w:tc>
      </w:tr>
      <w:tr w:rsidR="00450392" w:rsidRPr="00462FE1" w14:paraId="18621492" w14:textId="77777777" w:rsidTr="00450392">
        <w:trPr>
          <w:trHeight w:val="654"/>
        </w:trPr>
        <w:tc>
          <w:tcPr>
            <w:tcW w:w="2694" w:type="dxa"/>
            <w:shd w:val="clear" w:color="auto" w:fill="F2F2F2" w:themeFill="background1" w:themeFillShade="F2"/>
            <w:vAlign w:val="center"/>
          </w:tcPr>
          <w:p w14:paraId="71487036"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t>Eiropas zaļais kurss</w:t>
            </w:r>
          </w:p>
        </w:tc>
        <w:tc>
          <w:tcPr>
            <w:tcW w:w="5103" w:type="dxa"/>
            <w:vAlign w:val="center"/>
          </w:tcPr>
          <w:p w14:paraId="0305C3C7"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mazināt atkritumu daudzumu, bet gadījumos, kad no atkritumiem nevar izvairīties, jāatgūst to ekonomiskā vērtība un jānovērš vai līdz minimumam jāsamazina to ietekme uz vidi un klimata pārmaiņām.</w:t>
            </w:r>
          </w:p>
          <w:p w14:paraId="0F345C06"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 tiekties uz nulles piesārņojumu ar mērķi panākt no </w:t>
            </w:r>
            <w:proofErr w:type="spellStart"/>
            <w:r w:rsidRPr="00462FE1">
              <w:rPr>
                <w:rFonts w:ascii="Times New Roman" w:eastAsia="Calibri" w:hAnsi="Times New Roman" w:cs="Times New Roman"/>
                <w:sz w:val="20"/>
                <w:szCs w:val="20"/>
              </w:rPr>
              <w:t>toksikantiem</w:t>
            </w:r>
            <w:proofErr w:type="spellEnd"/>
            <w:r w:rsidRPr="00462FE1">
              <w:rPr>
                <w:rFonts w:ascii="Times New Roman" w:eastAsia="Calibri" w:hAnsi="Times New Roman" w:cs="Times New Roman"/>
                <w:sz w:val="20"/>
                <w:szCs w:val="20"/>
              </w:rPr>
              <w:t xml:space="preserve"> brīvu vidi</w:t>
            </w:r>
          </w:p>
        </w:tc>
        <w:tc>
          <w:tcPr>
            <w:tcW w:w="6662" w:type="dxa"/>
            <w:vMerge w:val="restart"/>
            <w:vAlign w:val="center"/>
          </w:tcPr>
          <w:p w14:paraId="66BB0488"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Ieteiktais notekūdeņu dūņu apsaimniekošanas modelis pilnā apmērā atbilst Eiropas Zaļā kursa un Aprites ekonomikas rīcības plāna mērķiem attiecībā uz atkritumu jeb saimnieciskās darbības atlikumu ekonomiskās vērtības atgriešanu, un ietekmes uz vidi un klimata pārmaiņām mazināšanu, jo notekūdeņu dūņu apjomu samazināt tiešā veidā nav iespējams un Stratēģija to neparedz, taču tā nodrošina, ka visas atbilstošās kvalitātes notekūdeņu dūņas tiek savāktas, pārstrādātās, un tajās esošie resursi atgriezti ekonomiskajā apritē.</w:t>
            </w:r>
          </w:p>
          <w:p w14:paraId="2FA9C8A6"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Notekūdeņu dūņu un to komposta iestrāde augsnē plānota stingri ievērojot izvirzītos nosacījumus, gan par iestrādes daudzumu, laiku un iestrādes veidu, tādējādi līdz minimumam novēršot riskus par augsnes, virszemes ūdeņu piesārņojumu ar augu barošanās elementiem, mikroelementiem un smagajiem metāliem, ko notekūdeņu dūņas normatīvajos aktos pieļaujamā daudzumā var saturēt.</w:t>
            </w:r>
          </w:p>
          <w:p w14:paraId="1F8349B8"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Notekūdeņu dūņu un to komposta iestrāde augsnē tās bagātināšanai (mēslošanai), ko paredz izvirzītā Stratēģija, nodrošina, ka to ilgtspējīga izmantošana lauksaimniecībā samazina vajadzību pēc minerālmēsliem, kuru ražošana un lietošana negatīvi ietekmē vidi un ir atkarīga no </w:t>
            </w:r>
            <w:proofErr w:type="spellStart"/>
            <w:r w:rsidRPr="00462FE1">
              <w:rPr>
                <w:rFonts w:ascii="Times New Roman" w:eastAsia="Calibri" w:hAnsi="Times New Roman" w:cs="Times New Roman"/>
                <w:sz w:val="20"/>
                <w:szCs w:val="20"/>
              </w:rPr>
              <w:t>fosfātiežu</w:t>
            </w:r>
            <w:proofErr w:type="spellEnd"/>
            <w:r w:rsidRPr="00462FE1">
              <w:rPr>
                <w:rFonts w:ascii="Times New Roman" w:eastAsia="Calibri" w:hAnsi="Times New Roman" w:cs="Times New Roman"/>
                <w:sz w:val="20"/>
                <w:szCs w:val="20"/>
              </w:rPr>
              <w:t xml:space="preserve"> importa.</w:t>
            </w:r>
          </w:p>
          <w:p w14:paraId="0AAFE147" w14:textId="77777777" w:rsidR="00450392" w:rsidRPr="00462FE1" w:rsidRDefault="00450392" w:rsidP="009D29AD">
            <w:pPr>
              <w:spacing w:after="0" w:line="240" w:lineRule="auto"/>
              <w:rPr>
                <w:rFonts w:ascii="Times New Roman" w:eastAsia="Calibri" w:hAnsi="Times New Roman" w:cs="Times New Roman"/>
                <w:sz w:val="20"/>
                <w:szCs w:val="20"/>
              </w:rPr>
            </w:pPr>
          </w:p>
        </w:tc>
      </w:tr>
      <w:tr w:rsidR="00450392" w:rsidRPr="00462FE1" w14:paraId="648A7095" w14:textId="77777777" w:rsidTr="00450392">
        <w:tc>
          <w:tcPr>
            <w:tcW w:w="2694" w:type="dxa"/>
            <w:shd w:val="clear" w:color="auto" w:fill="F2F2F2" w:themeFill="background1" w:themeFillShade="F2"/>
            <w:vAlign w:val="center"/>
          </w:tcPr>
          <w:p w14:paraId="05BBEC3A"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t>ES Rīcības plāns pārejai uz aprites ekonomiku</w:t>
            </w:r>
          </w:p>
        </w:tc>
        <w:tc>
          <w:tcPr>
            <w:tcW w:w="5103" w:type="dxa"/>
            <w:vAlign w:val="center"/>
          </w:tcPr>
          <w:p w14:paraId="15620F9D"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 no atkritumiem līdz resursiem. Aprites ekonomikā materiāli, kurus var pārstrādāt, atkal jāatgriež ekonomikā kā jaunas izejvielas, palielinot apgādes drošību. </w:t>
            </w:r>
          </w:p>
          <w:p w14:paraId="6DFDC9C2"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 pārstrādātas barības vielas ir svarīga otrreizējo izejvielu kategorija, kurai ir nepieciešams izstrādāt kvalitātes standartus, lai tās var izmantot kā mēslošanas līdzekļus. </w:t>
            </w:r>
          </w:p>
        </w:tc>
        <w:tc>
          <w:tcPr>
            <w:tcW w:w="6662" w:type="dxa"/>
            <w:vMerge/>
            <w:vAlign w:val="center"/>
          </w:tcPr>
          <w:p w14:paraId="3C31FB82" w14:textId="77777777" w:rsidR="00450392" w:rsidRPr="00462FE1" w:rsidRDefault="00450392" w:rsidP="009D29AD">
            <w:pPr>
              <w:widowControl w:val="0"/>
              <w:pBdr>
                <w:top w:val="nil"/>
                <w:left w:val="nil"/>
                <w:bottom w:val="nil"/>
                <w:right w:val="nil"/>
                <w:between w:val="nil"/>
              </w:pBdr>
              <w:spacing w:after="0"/>
              <w:rPr>
                <w:rFonts w:ascii="Times New Roman" w:eastAsia="Calibri" w:hAnsi="Times New Roman" w:cs="Times New Roman"/>
                <w:sz w:val="20"/>
                <w:szCs w:val="20"/>
              </w:rPr>
            </w:pPr>
          </w:p>
        </w:tc>
      </w:tr>
      <w:tr w:rsidR="00450392" w:rsidRPr="00462FE1" w14:paraId="55C13336" w14:textId="77777777" w:rsidTr="00450392">
        <w:tc>
          <w:tcPr>
            <w:tcW w:w="2694" w:type="dxa"/>
            <w:shd w:val="clear" w:color="auto" w:fill="F2F2F2" w:themeFill="background1" w:themeFillShade="F2"/>
            <w:vAlign w:val="center"/>
          </w:tcPr>
          <w:p w14:paraId="2E0DF379" w14:textId="77777777" w:rsidR="00450392" w:rsidRPr="00462FE1" w:rsidRDefault="00450392" w:rsidP="009D29AD">
            <w:pPr>
              <w:spacing w:after="0" w:line="240" w:lineRule="auto"/>
              <w:rPr>
                <w:rFonts w:ascii="Times New Roman" w:eastAsia="Calibri" w:hAnsi="Times New Roman" w:cs="Times New Roman"/>
                <w:b/>
                <w:sz w:val="20"/>
                <w:szCs w:val="20"/>
              </w:rPr>
            </w:pPr>
          </w:p>
          <w:p w14:paraId="68423FA6" w14:textId="77777777" w:rsidR="00450392" w:rsidRPr="00462FE1" w:rsidRDefault="00450392" w:rsidP="009D29AD">
            <w:pPr>
              <w:spacing w:after="0" w:line="240" w:lineRule="auto"/>
              <w:rPr>
                <w:rFonts w:ascii="Times New Roman" w:eastAsia="Calibri" w:hAnsi="Times New Roman" w:cs="Times New Roman"/>
                <w:b/>
                <w:sz w:val="20"/>
                <w:szCs w:val="20"/>
              </w:rPr>
            </w:pPr>
          </w:p>
          <w:p w14:paraId="5090A336" w14:textId="77777777" w:rsidR="00450392" w:rsidRPr="00462FE1" w:rsidRDefault="00450392" w:rsidP="009D29AD">
            <w:pPr>
              <w:spacing w:after="0" w:line="240" w:lineRule="auto"/>
              <w:rPr>
                <w:rFonts w:ascii="Times New Roman" w:eastAsia="Calibri" w:hAnsi="Times New Roman" w:cs="Times New Roman"/>
                <w:b/>
                <w:sz w:val="20"/>
                <w:szCs w:val="20"/>
              </w:rPr>
            </w:pPr>
          </w:p>
          <w:p w14:paraId="57D23BA3"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lastRenderedPageBreak/>
              <w:t>Jauns aprites ekonomikas rīcības plāns. Par tīrāku un konkurētspējīgāku Eiropu</w:t>
            </w:r>
          </w:p>
          <w:p w14:paraId="3746C112" w14:textId="77777777" w:rsidR="00450392" w:rsidRPr="00462FE1" w:rsidRDefault="00450392" w:rsidP="009D29AD">
            <w:pPr>
              <w:spacing w:after="0" w:line="240" w:lineRule="auto"/>
              <w:rPr>
                <w:rFonts w:ascii="Times New Roman" w:eastAsia="Calibri" w:hAnsi="Times New Roman" w:cs="Times New Roman"/>
                <w:b/>
                <w:sz w:val="20"/>
                <w:szCs w:val="20"/>
              </w:rPr>
            </w:pPr>
          </w:p>
          <w:p w14:paraId="306995C0" w14:textId="77777777" w:rsidR="00450392" w:rsidRPr="00462FE1" w:rsidRDefault="00450392" w:rsidP="009D29AD">
            <w:pPr>
              <w:spacing w:after="0" w:line="240" w:lineRule="auto"/>
              <w:rPr>
                <w:rFonts w:ascii="Times New Roman" w:eastAsia="Calibri" w:hAnsi="Times New Roman" w:cs="Times New Roman"/>
                <w:b/>
                <w:sz w:val="20"/>
                <w:szCs w:val="20"/>
              </w:rPr>
            </w:pPr>
          </w:p>
          <w:p w14:paraId="5DA2A1CB" w14:textId="77777777" w:rsidR="00450392" w:rsidRPr="00462FE1" w:rsidRDefault="00450392" w:rsidP="009D29AD">
            <w:pPr>
              <w:spacing w:after="0" w:line="240" w:lineRule="auto"/>
              <w:rPr>
                <w:rFonts w:ascii="Times New Roman" w:eastAsia="Calibri" w:hAnsi="Times New Roman" w:cs="Times New Roman"/>
                <w:b/>
                <w:sz w:val="20"/>
                <w:szCs w:val="20"/>
              </w:rPr>
            </w:pPr>
          </w:p>
        </w:tc>
        <w:tc>
          <w:tcPr>
            <w:tcW w:w="5103" w:type="dxa"/>
            <w:vAlign w:val="center"/>
          </w:tcPr>
          <w:p w14:paraId="4325C7AE"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lastRenderedPageBreak/>
              <w:t xml:space="preserve">-) nākamajā desmitgadē samazināt patēriņa pēdu un divkāršot </w:t>
            </w:r>
            <w:proofErr w:type="spellStart"/>
            <w:r w:rsidRPr="00462FE1">
              <w:rPr>
                <w:rFonts w:ascii="Times New Roman" w:eastAsia="Calibri" w:hAnsi="Times New Roman" w:cs="Times New Roman"/>
                <w:sz w:val="20"/>
                <w:szCs w:val="20"/>
              </w:rPr>
              <w:t>apritīgo</w:t>
            </w:r>
            <w:proofErr w:type="spellEnd"/>
            <w:r w:rsidRPr="00462FE1">
              <w:rPr>
                <w:rFonts w:ascii="Times New Roman" w:eastAsia="Calibri" w:hAnsi="Times New Roman" w:cs="Times New Roman"/>
                <w:sz w:val="20"/>
                <w:szCs w:val="20"/>
              </w:rPr>
              <w:t xml:space="preserve"> materiālu izmantošanas rādītājus</w:t>
            </w:r>
          </w:p>
        </w:tc>
        <w:tc>
          <w:tcPr>
            <w:tcW w:w="6662" w:type="dxa"/>
            <w:vMerge/>
            <w:vAlign w:val="center"/>
          </w:tcPr>
          <w:p w14:paraId="1B6A3D5F" w14:textId="77777777" w:rsidR="00450392" w:rsidRPr="00462FE1" w:rsidRDefault="00450392" w:rsidP="009D29AD">
            <w:pPr>
              <w:widowControl w:val="0"/>
              <w:pBdr>
                <w:top w:val="nil"/>
                <w:left w:val="nil"/>
                <w:bottom w:val="nil"/>
                <w:right w:val="nil"/>
                <w:between w:val="nil"/>
              </w:pBdr>
              <w:spacing w:after="0"/>
              <w:rPr>
                <w:rFonts w:ascii="Times New Roman" w:eastAsia="Calibri" w:hAnsi="Times New Roman" w:cs="Times New Roman"/>
                <w:sz w:val="20"/>
                <w:szCs w:val="20"/>
              </w:rPr>
            </w:pPr>
          </w:p>
        </w:tc>
      </w:tr>
      <w:tr w:rsidR="00450392" w:rsidRPr="00462FE1" w14:paraId="33EE63AF" w14:textId="77777777" w:rsidTr="00450392">
        <w:tc>
          <w:tcPr>
            <w:tcW w:w="2694" w:type="dxa"/>
            <w:shd w:val="clear" w:color="auto" w:fill="F2F2F2" w:themeFill="background1" w:themeFillShade="F2"/>
            <w:vAlign w:val="center"/>
          </w:tcPr>
          <w:p w14:paraId="6FD68651"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t>Bioloģiskās daudzveidības stratēģija 2030.gadam un Stratēģija “No lauka līdz galdam”</w:t>
            </w:r>
          </w:p>
        </w:tc>
        <w:tc>
          <w:tcPr>
            <w:tcW w:w="5103" w:type="dxa"/>
            <w:vAlign w:val="center"/>
          </w:tcPr>
          <w:p w14:paraId="13EBBA41" w14:textId="77777777" w:rsidR="00450392" w:rsidRPr="00462FE1" w:rsidRDefault="00450392" w:rsidP="009D29AD">
            <w:pPr>
              <w:spacing w:after="0" w:line="240" w:lineRule="auto"/>
              <w:rPr>
                <w:rFonts w:ascii="Times New Roman" w:eastAsia="Calibri" w:hAnsi="Times New Roman" w:cs="Times New Roman"/>
                <w:sz w:val="20"/>
                <w:szCs w:val="20"/>
              </w:rPr>
            </w:pPr>
          </w:p>
          <w:p w14:paraId="55550795"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 panākt, ka slāpekļa un fosfora piesārņojums, kas rodas no mēslošanas līdzekļiem, nokrītas līdz nullei. Tas sasniedzams, vismaz par 50% samazinot barības vielu zudumus un vienlaikus gādājot, lai nepasliktinātos augsnes auglība. </w:t>
            </w:r>
          </w:p>
          <w:p w14:paraId="3A10D345"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 uzlabot ūdens kvalitāti un samazināt emisijas, izvirzot nepieciešamību par 50% samazināt barības vielu zudumu augsnē, vienlaikus nepasliktinot augsnes auglību un veicinot bioloģisko lauksaimniecību. </w:t>
            </w:r>
          </w:p>
          <w:p w14:paraId="3285C660" w14:textId="77777777" w:rsidR="00450392" w:rsidRPr="00462FE1" w:rsidRDefault="00450392" w:rsidP="009D29AD">
            <w:pPr>
              <w:spacing w:after="0" w:line="240" w:lineRule="auto"/>
              <w:rPr>
                <w:rFonts w:ascii="Times New Roman" w:eastAsia="Calibri" w:hAnsi="Times New Roman" w:cs="Times New Roman"/>
                <w:sz w:val="20"/>
                <w:szCs w:val="20"/>
              </w:rPr>
            </w:pPr>
          </w:p>
          <w:p w14:paraId="51180F37" w14:textId="77777777" w:rsidR="00450392" w:rsidRPr="00462FE1" w:rsidRDefault="00450392" w:rsidP="009D29AD">
            <w:pPr>
              <w:spacing w:after="0" w:line="240" w:lineRule="auto"/>
              <w:rPr>
                <w:rFonts w:ascii="Times New Roman" w:eastAsia="Calibri" w:hAnsi="Times New Roman" w:cs="Times New Roman"/>
                <w:sz w:val="20"/>
                <w:szCs w:val="20"/>
              </w:rPr>
            </w:pPr>
          </w:p>
        </w:tc>
        <w:tc>
          <w:tcPr>
            <w:tcW w:w="6662" w:type="dxa"/>
            <w:vMerge w:val="restart"/>
            <w:vAlign w:val="center"/>
          </w:tcPr>
          <w:p w14:paraId="230C8F9E"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Notekūdeņu dūņu stratēģiskais attīstības virziens paredz, ka notekūdeņu dūņas un to komposts tiek iestrādāts augsnē gan lauksaimniecībā, gan mežsaimniecībā kā augu barošanās elementu avots, kas ļauj samazināt citu, tai skaitā mākslīgo mēslošanas līdzekļu izmantošanu, kā arī nodrošina, ka notekūdeņu dūņās esošie augu barošanās elementi nenonāk augsnē, virszemes ūdeņos, kur negatīvi ietekmē to kvalitāti. Notekūdeņu dūņās esošie augu barošanās elementi ir organiski saistītā formā, tādējādi nav tik viegli izskalojamas no augsnes kā mākslīgie minerālmēsli, un ir efektīvi uzņemamas augos un piesaistāma augsnes struktūrā. Turklāt notekūdeņu dūņas kā organiskais mēslojums ir ar pozitīvu ilgtermiņa ietekmi uz augsnes auglību. Stratēģija tuvina Latviju Bioloģiskās daudzveidības un </w:t>
            </w:r>
            <w:proofErr w:type="spellStart"/>
            <w:r w:rsidRPr="00462FE1">
              <w:rPr>
                <w:rFonts w:ascii="Times New Roman" w:eastAsia="Calibri" w:hAnsi="Times New Roman" w:cs="Times New Roman"/>
                <w:sz w:val="20"/>
                <w:szCs w:val="20"/>
              </w:rPr>
              <w:t>bioekonomikas</w:t>
            </w:r>
            <w:proofErr w:type="spellEnd"/>
            <w:r w:rsidRPr="00462FE1">
              <w:rPr>
                <w:rFonts w:ascii="Times New Roman" w:eastAsia="Calibri" w:hAnsi="Times New Roman" w:cs="Times New Roman"/>
                <w:sz w:val="20"/>
                <w:szCs w:val="20"/>
              </w:rPr>
              <w:t xml:space="preserve"> stratēģijas mērķu izpildei, jo ļauj ražot vairāk ar mazākiem līdzekļiem un mazāku pirmējo resursu izmantošanas nepieciešamību.</w:t>
            </w:r>
          </w:p>
        </w:tc>
      </w:tr>
      <w:tr w:rsidR="00450392" w:rsidRPr="00462FE1" w14:paraId="564AB58E" w14:textId="77777777" w:rsidTr="00450392">
        <w:tc>
          <w:tcPr>
            <w:tcW w:w="2694" w:type="dxa"/>
            <w:shd w:val="clear" w:color="auto" w:fill="F2F2F2" w:themeFill="background1" w:themeFillShade="F2"/>
            <w:vAlign w:val="center"/>
          </w:tcPr>
          <w:p w14:paraId="5B730EC2" w14:textId="77777777" w:rsidR="00450392" w:rsidRPr="00462FE1" w:rsidRDefault="00450392" w:rsidP="009D29AD">
            <w:pPr>
              <w:spacing w:after="0" w:line="240" w:lineRule="auto"/>
              <w:rPr>
                <w:rFonts w:ascii="Times New Roman" w:eastAsia="Calibri" w:hAnsi="Times New Roman" w:cs="Times New Roman"/>
                <w:b/>
                <w:sz w:val="20"/>
                <w:szCs w:val="20"/>
              </w:rPr>
            </w:pPr>
          </w:p>
          <w:p w14:paraId="680A0EAD" w14:textId="77777777" w:rsidR="00450392" w:rsidRPr="00462FE1" w:rsidRDefault="00450392" w:rsidP="009D29AD">
            <w:pPr>
              <w:spacing w:after="0" w:line="240" w:lineRule="auto"/>
              <w:rPr>
                <w:rFonts w:ascii="Times New Roman" w:eastAsia="Calibri" w:hAnsi="Times New Roman" w:cs="Times New Roman"/>
                <w:b/>
                <w:sz w:val="20"/>
                <w:szCs w:val="20"/>
              </w:rPr>
            </w:pPr>
          </w:p>
          <w:p w14:paraId="64E1F9C2"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t xml:space="preserve">Eiropas </w:t>
            </w:r>
            <w:proofErr w:type="spellStart"/>
            <w:r w:rsidRPr="00462FE1">
              <w:rPr>
                <w:rFonts w:ascii="Times New Roman" w:eastAsia="Calibri" w:hAnsi="Times New Roman" w:cs="Times New Roman"/>
                <w:b/>
                <w:sz w:val="20"/>
                <w:szCs w:val="20"/>
              </w:rPr>
              <w:t>bioekonomikas</w:t>
            </w:r>
            <w:proofErr w:type="spellEnd"/>
            <w:r w:rsidRPr="00462FE1">
              <w:rPr>
                <w:rFonts w:ascii="Times New Roman" w:eastAsia="Calibri" w:hAnsi="Times New Roman" w:cs="Times New Roman"/>
                <w:b/>
                <w:sz w:val="20"/>
                <w:szCs w:val="20"/>
              </w:rPr>
              <w:t xml:space="preserve"> stratēģija</w:t>
            </w:r>
          </w:p>
        </w:tc>
        <w:tc>
          <w:tcPr>
            <w:tcW w:w="5103" w:type="dxa"/>
            <w:vAlign w:val="center"/>
          </w:tcPr>
          <w:p w14:paraId="4C376B6E" w14:textId="77777777" w:rsidR="00450392" w:rsidRPr="00462FE1" w:rsidRDefault="00450392" w:rsidP="009D29AD">
            <w:pPr>
              <w:spacing w:after="0" w:line="240" w:lineRule="auto"/>
              <w:rPr>
                <w:rFonts w:ascii="Times New Roman" w:eastAsia="Calibri" w:hAnsi="Times New Roman" w:cs="Times New Roman"/>
                <w:sz w:val="20"/>
                <w:szCs w:val="20"/>
              </w:rPr>
            </w:pPr>
          </w:p>
          <w:p w14:paraId="052140A4"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lauksaimniecībai, mežsaimniecībai, zvejniecībai un akvakultūrai ir nepieciešami vairāki būtiski un ierobežoti resursi, lai varētu ražot biomasu, piemēram, zeme, jūras teritorijas, auglīgas un produktīvas augsnes, ūdens un veselīgas ekosistēmas, kā arī tādi resursi kā minerāli un enerģija mēslojuma ražošanai, līdz ar to jāierobežo to izmantošana un ES ir "jāražo vairāk ar mazākiem līdzekļiem" un jārada ilgtspējīga lauksaimniecība, zvejniecība un akvakultūra.</w:t>
            </w:r>
          </w:p>
        </w:tc>
        <w:tc>
          <w:tcPr>
            <w:tcW w:w="6662" w:type="dxa"/>
            <w:vMerge/>
            <w:vAlign w:val="center"/>
          </w:tcPr>
          <w:p w14:paraId="67B999B5" w14:textId="77777777" w:rsidR="00450392" w:rsidRPr="00462FE1" w:rsidRDefault="00450392" w:rsidP="009D29AD">
            <w:pPr>
              <w:widowControl w:val="0"/>
              <w:pBdr>
                <w:top w:val="nil"/>
                <w:left w:val="nil"/>
                <w:bottom w:val="nil"/>
                <w:right w:val="nil"/>
                <w:between w:val="nil"/>
              </w:pBdr>
              <w:spacing w:after="0"/>
              <w:rPr>
                <w:rFonts w:ascii="Times New Roman" w:eastAsia="Calibri" w:hAnsi="Times New Roman" w:cs="Times New Roman"/>
                <w:sz w:val="20"/>
                <w:szCs w:val="20"/>
              </w:rPr>
            </w:pPr>
          </w:p>
        </w:tc>
      </w:tr>
      <w:tr w:rsidR="00450392" w:rsidRPr="00462FE1" w14:paraId="14217F13" w14:textId="77777777" w:rsidTr="00450392">
        <w:tc>
          <w:tcPr>
            <w:tcW w:w="2694" w:type="dxa"/>
            <w:shd w:val="clear" w:color="auto" w:fill="F2F2F2" w:themeFill="background1" w:themeFillShade="F2"/>
            <w:vAlign w:val="center"/>
          </w:tcPr>
          <w:p w14:paraId="0B23EBA5"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t>Klimata un enerģijas ietvars Enerģija 2030 un Enerģētikas ceļvedis līdz 2050. gadam</w:t>
            </w:r>
          </w:p>
        </w:tc>
        <w:tc>
          <w:tcPr>
            <w:tcW w:w="5103" w:type="dxa"/>
            <w:vAlign w:val="center"/>
          </w:tcPr>
          <w:p w14:paraId="7C13D15C"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līdz 2050. gadam samazināt CO</w:t>
            </w:r>
            <w:r w:rsidRPr="00462FE1">
              <w:rPr>
                <w:rFonts w:ascii="Times New Roman" w:eastAsia="Calibri" w:hAnsi="Times New Roman" w:cs="Times New Roman"/>
                <w:sz w:val="20"/>
                <w:szCs w:val="20"/>
                <w:vertAlign w:val="subscript"/>
              </w:rPr>
              <w:t>2</w:t>
            </w:r>
            <w:r w:rsidRPr="00462FE1">
              <w:rPr>
                <w:rFonts w:ascii="Times New Roman" w:eastAsia="Calibri" w:hAnsi="Times New Roman" w:cs="Times New Roman"/>
                <w:sz w:val="20"/>
                <w:szCs w:val="20"/>
              </w:rPr>
              <w:t xml:space="preserve"> emisijas līdz 80%.</w:t>
            </w:r>
          </w:p>
        </w:tc>
        <w:tc>
          <w:tcPr>
            <w:tcW w:w="6662" w:type="dxa"/>
            <w:vAlign w:val="center"/>
          </w:tcPr>
          <w:p w14:paraId="1F53AE02"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Stratēģijā plānotais notekūdeņu dūņu apsaimniekošanas modelis neparedz tiešas darbības CO</w:t>
            </w:r>
            <w:r w:rsidRPr="00462FE1">
              <w:rPr>
                <w:rFonts w:ascii="Times New Roman" w:eastAsia="Calibri" w:hAnsi="Times New Roman" w:cs="Times New Roman"/>
                <w:sz w:val="20"/>
                <w:szCs w:val="20"/>
                <w:vertAlign w:val="subscript"/>
              </w:rPr>
              <w:t>2</w:t>
            </w:r>
            <w:r w:rsidRPr="00462FE1">
              <w:rPr>
                <w:rFonts w:ascii="Times New Roman" w:eastAsia="Calibri" w:hAnsi="Times New Roman" w:cs="Times New Roman"/>
                <w:sz w:val="20"/>
                <w:szCs w:val="20"/>
              </w:rPr>
              <w:t xml:space="preserve"> emisiju samazināšanai, vienlaikus tai ir netieša pozitīva ietekme uz šādu emisiju samazināšanu, jo notekūdeņu dūņās ieslēgtie augu barošanās elementi un CO</w:t>
            </w:r>
            <w:r w:rsidRPr="00462FE1">
              <w:rPr>
                <w:rFonts w:ascii="Times New Roman" w:eastAsia="Calibri" w:hAnsi="Times New Roman" w:cs="Times New Roman"/>
                <w:sz w:val="20"/>
                <w:szCs w:val="20"/>
                <w:vertAlign w:val="subscript"/>
              </w:rPr>
              <w:t>2</w:t>
            </w:r>
            <w:r w:rsidRPr="00462FE1">
              <w:rPr>
                <w:rFonts w:ascii="Times New Roman" w:eastAsia="Calibri" w:hAnsi="Times New Roman" w:cs="Times New Roman"/>
                <w:sz w:val="20"/>
                <w:szCs w:val="20"/>
              </w:rPr>
              <w:t xml:space="preserve"> tiek atkārtoti uzņemts augu dzīves ciklā, un nerada atmosfērā, papildus emisijas bet mazinot mākslīgo minerālmēslu izmantošanu, samazinās ar to ieguvi, ražošanu, piegādi un iestrādi saistītās CO</w:t>
            </w:r>
            <w:r w:rsidRPr="00462FE1">
              <w:rPr>
                <w:rFonts w:ascii="Times New Roman" w:eastAsia="Calibri" w:hAnsi="Times New Roman" w:cs="Times New Roman"/>
                <w:sz w:val="20"/>
                <w:szCs w:val="20"/>
                <w:vertAlign w:val="subscript"/>
              </w:rPr>
              <w:t xml:space="preserve">2 </w:t>
            </w:r>
            <w:r w:rsidRPr="00462FE1">
              <w:rPr>
                <w:rFonts w:ascii="Times New Roman" w:eastAsia="Calibri" w:hAnsi="Times New Roman" w:cs="Times New Roman"/>
                <w:sz w:val="20"/>
                <w:szCs w:val="20"/>
              </w:rPr>
              <w:t>emisijas.</w:t>
            </w:r>
          </w:p>
          <w:p w14:paraId="684758AB"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Vienlaikus veicot notekūdeņu dūņu kompostēšanu aerobos apstākļos mazinās to izdalītās emisijas</w:t>
            </w:r>
            <w:r w:rsidRPr="00462FE1">
              <w:rPr>
                <w:rStyle w:val="FootnoteReference"/>
                <w:rFonts w:ascii="Times New Roman" w:eastAsia="Calibri" w:hAnsi="Times New Roman" w:cs="Times New Roman"/>
                <w:sz w:val="20"/>
                <w:szCs w:val="20"/>
              </w:rPr>
              <w:footnoteReference w:id="2"/>
            </w:r>
            <w:r w:rsidRPr="00462FE1">
              <w:rPr>
                <w:rFonts w:ascii="Times New Roman" w:eastAsia="Calibri" w:hAnsi="Times New Roman" w:cs="Times New Roman"/>
                <w:sz w:val="20"/>
                <w:szCs w:val="20"/>
                <w:vertAlign w:val="superscript"/>
              </w:rPr>
              <w:t>;</w:t>
            </w:r>
            <w:r w:rsidRPr="00462FE1">
              <w:rPr>
                <w:rStyle w:val="FootnoteReference"/>
                <w:rFonts w:ascii="Times New Roman" w:eastAsia="Calibri" w:hAnsi="Times New Roman" w:cs="Times New Roman"/>
                <w:sz w:val="20"/>
                <w:szCs w:val="20"/>
              </w:rPr>
              <w:footnoteReference w:id="3"/>
            </w:r>
            <w:r w:rsidRPr="00462FE1">
              <w:rPr>
                <w:rFonts w:ascii="Times New Roman" w:eastAsia="Calibri" w:hAnsi="Times New Roman" w:cs="Times New Roman"/>
                <w:sz w:val="20"/>
                <w:szCs w:val="20"/>
              </w:rPr>
              <w:t xml:space="preserve">, salīdzinot ar slapju dūņu pagaidu uzglabāšanu, jo </w:t>
            </w:r>
            <w:r w:rsidRPr="00462FE1">
              <w:rPr>
                <w:rFonts w:ascii="Times New Roman" w:eastAsia="Calibri" w:hAnsi="Times New Roman" w:cs="Times New Roman"/>
                <w:sz w:val="20"/>
                <w:szCs w:val="20"/>
              </w:rPr>
              <w:lastRenderedPageBreak/>
              <w:t>kompostēšanas laikā metāna emisijas ir mazākas par 1% vai dažiem % no sākotnējā oglekļa satura masā</w:t>
            </w:r>
            <w:r w:rsidRPr="00462FE1">
              <w:rPr>
                <w:rStyle w:val="FootnoteReference"/>
                <w:rFonts w:ascii="Times New Roman" w:eastAsia="Calibri" w:hAnsi="Times New Roman" w:cs="Times New Roman"/>
                <w:sz w:val="20"/>
                <w:szCs w:val="20"/>
              </w:rPr>
              <w:footnoteReference w:id="4"/>
            </w:r>
            <w:r w:rsidRPr="00462FE1">
              <w:rPr>
                <w:rFonts w:ascii="Times New Roman" w:eastAsia="Calibri" w:hAnsi="Times New Roman" w:cs="Times New Roman"/>
                <w:sz w:val="20"/>
                <w:szCs w:val="20"/>
              </w:rPr>
              <w:t>.</w:t>
            </w:r>
          </w:p>
        </w:tc>
      </w:tr>
      <w:tr w:rsidR="00450392" w:rsidRPr="00462FE1" w14:paraId="562F8C1B" w14:textId="77777777" w:rsidTr="00450392">
        <w:tc>
          <w:tcPr>
            <w:tcW w:w="2694" w:type="dxa"/>
            <w:shd w:val="clear" w:color="auto" w:fill="F2F2F2" w:themeFill="background1" w:themeFillShade="F2"/>
            <w:vAlign w:val="center"/>
          </w:tcPr>
          <w:p w14:paraId="6414C568"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lastRenderedPageBreak/>
              <w:t>ES metāna emisiju mazināšanas stratēģija</w:t>
            </w:r>
          </w:p>
        </w:tc>
        <w:tc>
          <w:tcPr>
            <w:tcW w:w="5103" w:type="dxa"/>
            <w:vAlign w:val="center"/>
          </w:tcPr>
          <w:p w14:paraId="0BE607E4"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Veicināt biogāzes ieguvi un izmantošanu, īpaši no tādiem lauksaimniecības atkritumiem vai atlikumus, kas emitē daudz metāna (atkritumu nozare, lauksaimniecības atlikumi, notekūdeņu dūņas u.c.)</w:t>
            </w:r>
          </w:p>
        </w:tc>
        <w:tc>
          <w:tcPr>
            <w:tcW w:w="6662" w:type="dxa"/>
            <w:vAlign w:val="center"/>
          </w:tcPr>
          <w:p w14:paraId="12C978E4"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Stratēģija primāri neparedz notekūdeņu dūņu pārstrādi biogāzē, bet gadījumos, kad notekūdeņu dūņas tiek pārstrādātas biogāzē, tas veicina metāna emisiju samazināšanu. Vienlaikus veicot notekūdeņu dūņu kompostēšanu aerobos apstākļos mazinās to izdalītās emisijas</w:t>
            </w:r>
            <w:r w:rsidRPr="00462FE1">
              <w:rPr>
                <w:rFonts w:ascii="Times New Roman" w:eastAsia="Calibri" w:hAnsi="Times New Roman" w:cs="Times New Roman"/>
                <w:sz w:val="20"/>
                <w:szCs w:val="20"/>
                <w:vertAlign w:val="superscript"/>
              </w:rPr>
              <w:t>36,37</w:t>
            </w:r>
            <w:r w:rsidRPr="00462FE1">
              <w:rPr>
                <w:rFonts w:ascii="Times New Roman" w:eastAsia="Calibri" w:hAnsi="Times New Roman" w:cs="Times New Roman"/>
                <w:sz w:val="20"/>
                <w:szCs w:val="20"/>
              </w:rPr>
              <w:t>, salīdzinot ar slapju dūņu pagaidu uzglabāšanu, jo kompostēšanas laikā metāna emisijas ir mazākas par 1% vai dažiem % no sākotnējā oglekļa satura masā</w:t>
            </w:r>
            <w:r w:rsidRPr="00462FE1">
              <w:rPr>
                <w:rStyle w:val="FootnoteReference"/>
                <w:rFonts w:ascii="Times New Roman" w:eastAsia="Calibri" w:hAnsi="Times New Roman" w:cs="Times New Roman"/>
                <w:sz w:val="20"/>
                <w:szCs w:val="20"/>
              </w:rPr>
              <w:footnoteReference w:id="5"/>
            </w:r>
            <w:r w:rsidRPr="00462FE1">
              <w:rPr>
                <w:rFonts w:ascii="Times New Roman" w:eastAsia="Calibri" w:hAnsi="Times New Roman" w:cs="Times New Roman"/>
                <w:sz w:val="20"/>
                <w:szCs w:val="20"/>
              </w:rPr>
              <w:t>.</w:t>
            </w:r>
          </w:p>
        </w:tc>
      </w:tr>
      <w:tr w:rsidR="00450392" w:rsidRPr="00462FE1" w14:paraId="0928846E" w14:textId="77777777" w:rsidTr="00450392">
        <w:trPr>
          <w:trHeight w:val="4472"/>
        </w:trPr>
        <w:tc>
          <w:tcPr>
            <w:tcW w:w="2694" w:type="dxa"/>
            <w:shd w:val="clear" w:color="auto" w:fill="F2F2F2" w:themeFill="background1" w:themeFillShade="F2"/>
            <w:vAlign w:val="center"/>
          </w:tcPr>
          <w:p w14:paraId="791EDA5F"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t>Baltijas jūras reģiona vides aizsardzības konvencija (Helsinku konvencija)</w:t>
            </w:r>
          </w:p>
        </w:tc>
        <w:tc>
          <w:tcPr>
            <w:tcW w:w="5103" w:type="dxa"/>
            <w:vAlign w:val="center"/>
          </w:tcPr>
          <w:p w14:paraId="2FAC644D" w14:textId="77777777" w:rsidR="00450392" w:rsidRPr="00462FE1" w:rsidRDefault="00450392" w:rsidP="009D29AD">
            <w:pPr>
              <w:spacing w:after="0" w:line="240" w:lineRule="auto"/>
              <w:rPr>
                <w:rFonts w:ascii="Times New Roman" w:eastAsia="Calibri" w:hAnsi="Times New Roman" w:cs="Times New Roman"/>
                <w:sz w:val="20"/>
                <w:szCs w:val="20"/>
              </w:rPr>
            </w:pPr>
          </w:p>
          <w:p w14:paraId="0390A622"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Pilsētu notekūdeņi jāattīra atbilstošā veidā tā, lai tur esošais organisko vielu masas daudzums neizraisītu kaitīgas skābekļa satura izmaiņas Baltijas jūras ūdeņos, un barības vielu daudzums neizsauktu kaitīgu eitrofikāciju Baltijas jūras rajonā.</w:t>
            </w:r>
          </w:p>
          <w:p w14:paraId="5F4216C1"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Pilsētu notekūdeņi jāattīra tā, lai nodrošinātu ūdens higiēnisko kvalitāti, īpaši epidemioloģisko un toksikoloģisko drošību tajā jūras rajonā, kurā notiek iepludināšana, un tādā līmenī, kas nav kaitīgs cilvēka veselībai, un tā, lai pie dotā notekūdeņu sastāva neveidotos ievērojami Konvencijas I un II pielikumā minēto kaitīgo vielu daudzumi.</w:t>
            </w:r>
          </w:p>
          <w:p w14:paraId="056FD0FE" w14:textId="77777777" w:rsidR="00450392" w:rsidRPr="00462FE1" w:rsidRDefault="00450392" w:rsidP="009D29AD">
            <w:pPr>
              <w:spacing w:after="0" w:line="240" w:lineRule="auto"/>
              <w:rPr>
                <w:rFonts w:ascii="Times New Roman" w:eastAsia="Calibri" w:hAnsi="Times New Roman" w:cs="Times New Roman"/>
                <w:sz w:val="20"/>
                <w:szCs w:val="20"/>
              </w:rPr>
            </w:pPr>
          </w:p>
        </w:tc>
        <w:tc>
          <w:tcPr>
            <w:tcW w:w="6662" w:type="dxa"/>
            <w:vAlign w:val="center"/>
          </w:tcPr>
          <w:p w14:paraId="2DB162D0"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Stratēģija tieši neietekmē notekūdeņu attīrīšanas līmeni vai apjomu, bet organisko vielu atgūšana no notekūdeņiem un to </w:t>
            </w:r>
            <w:proofErr w:type="spellStart"/>
            <w:r w:rsidRPr="00462FE1">
              <w:rPr>
                <w:rFonts w:ascii="Times New Roman" w:eastAsia="Calibri" w:hAnsi="Times New Roman" w:cs="Times New Roman"/>
                <w:sz w:val="20"/>
                <w:szCs w:val="20"/>
              </w:rPr>
              <w:t>pārnese</w:t>
            </w:r>
            <w:proofErr w:type="spellEnd"/>
            <w:r w:rsidRPr="00462FE1">
              <w:rPr>
                <w:rFonts w:ascii="Times New Roman" w:eastAsia="Calibri" w:hAnsi="Times New Roman" w:cs="Times New Roman"/>
                <w:sz w:val="20"/>
                <w:szCs w:val="20"/>
              </w:rPr>
              <w:t xml:space="preserve"> notekūdeņu dūņās, nenozīmē, ka nepastāv risks tām nonākt Baltijas jūrā un to piesārņot, līdz ar to notekūdeņu dūņu atbilstoša un efektīva, videi draudzīga apsaimniekošana ir būtiska ne tikai no virszemes ūdeņu kvalitātes aspekta, bet arī no Baltijas jūras vides kvalitātes skatupunkta un Stratēģija ir vērsta uz visu notekūdeņu dūņu drošu savākšanu pārstrādi un iestrādi augsnē, tādējādi mazinot riskus, ka notekūdeņu dūņas un tajās esošie ķīmiskie elementi un augu barošanās elementi nonāk virszemes ūdeņos un Baltijas jūrā, kur veicina jūras eitrofikāciju un piesārņošanu.</w:t>
            </w:r>
          </w:p>
        </w:tc>
      </w:tr>
      <w:tr w:rsidR="00450392" w:rsidRPr="00462FE1" w14:paraId="68D4E5D1" w14:textId="77777777" w:rsidTr="00450392">
        <w:tc>
          <w:tcPr>
            <w:tcW w:w="2694" w:type="dxa"/>
            <w:shd w:val="clear" w:color="auto" w:fill="F2F2F2" w:themeFill="background1" w:themeFillShade="F2"/>
            <w:vAlign w:val="center"/>
          </w:tcPr>
          <w:p w14:paraId="726D32A5"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t>Padomes 1986. gada 12. jūnija Direktīva 86/278/EEK par vides, jo īpaši augsnes, aizsardzību, lauksaimniecībā izmantojot notekūdeņu dūņas (Direktīva 86/278/EEK)</w:t>
            </w:r>
          </w:p>
        </w:tc>
        <w:tc>
          <w:tcPr>
            <w:tcW w:w="5103" w:type="dxa"/>
            <w:vAlign w:val="center"/>
          </w:tcPr>
          <w:p w14:paraId="623CD71B"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Notekūdeņu dūņas ir jāattīra pirms izmantošanas lauksaimniecībā. Par attīrītām notekūdeņu dūņām Direktīvas 86/278/EEK izpratnē uzskatāmas notekūdeņu dūņas, kas ir bioloģiski, ķīmiski vai termiski apstrādātas, ilgstoši glabātas vai citādi atbilstīgi apstrādātas, lai būtiski samazinātu notekūdeņu dūņu fermentācijas spēju.</w:t>
            </w:r>
          </w:p>
        </w:tc>
        <w:tc>
          <w:tcPr>
            <w:tcW w:w="6662" w:type="dxa"/>
            <w:vAlign w:val="center"/>
          </w:tcPr>
          <w:p w14:paraId="531507B1"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Direktīvas 86/278/EEK prasības ir transponētas MK noteikumos Nr.362 “Noteikumi par notekūdeņu dūņu un to komposta izmantošanu, monitoringu un kontroli” un Stratēģijā plānotā notekūdeņu dūņu apsaimniekošana atbilst gan minēto MK noteikumu, gan Direktīvas 86/278/EEK prasībām par notekūdeņu dūņu apstrādi pirms iestrādes augsnē un izmantošanas lauksaimniecībā, kā arī citām prasībām par notekūdeņu dūņu kvalitāti, tās kontroli un ziņošanu. Stratēģija izstrādāta, vadoties no minēto dokumentu nosacījumiem, lai nodrošinātu tās </w:t>
            </w:r>
            <w:r w:rsidRPr="00462FE1">
              <w:rPr>
                <w:rFonts w:ascii="Times New Roman" w:eastAsia="Calibri" w:hAnsi="Times New Roman" w:cs="Times New Roman"/>
                <w:sz w:val="20"/>
                <w:szCs w:val="20"/>
              </w:rPr>
              <w:lastRenderedPageBreak/>
              <w:t>saskaņu ar spēkā esošo dokumentu redakciju. Izmaiņas Direktīvas 86/278/EEK nosacījumos, var radīt nepieciešamību pēc papildus investīcijām Stratēģijas ieviešanā.</w:t>
            </w:r>
          </w:p>
        </w:tc>
      </w:tr>
      <w:tr w:rsidR="00450392" w:rsidRPr="00462FE1" w14:paraId="2C9E9DD2" w14:textId="77777777" w:rsidTr="00450392">
        <w:tc>
          <w:tcPr>
            <w:tcW w:w="2694" w:type="dxa"/>
            <w:shd w:val="clear" w:color="auto" w:fill="F2F2F2" w:themeFill="background1" w:themeFillShade="F2"/>
            <w:vAlign w:val="center"/>
          </w:tcPr>
          <w:p w14:paraId="4A817EEF"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lastRenderedPageBreak/>
              <w:t>Padomes 1999. gada 26. aprīļa direktīva 1999/31/EK, par atkritumu poligoniem (Direktīva 1999/31/EK) un Eiropas parlamenta un Padomes 2018. gada 30. maija direktīva 2018/850/EK, ar ko groza Direktīvu 1999/31/EK par atkritumu poligoniem</w:t>
            </w:r>
          </w:p>
        </w:tc>
        <w:tc>
          <w:tcPr>
            <w:tcW w:w="5103" w:type="dxa"/>
            <w:vMerge w:val="restart"/>
            <w:vAlign w:val="center"/>
          </w:tcPr>
          <w:p w14:paraId="64EF61E7"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Dalībvalstīm jāīsteno valsts stratēģijas, lai samazinātu uz atkritumu poligoniem nosūtīto bioloģiski sadalāmo atkritumu (BNA) apjomu, it īpaši, izmantojot atkritumu pārstrādi, kompostēšanu, biogāzes ieguvi vai materiālu/enerģijas reģenerāciju;</w:t>
            </w:r>
          </w:p>
          <w:p w14:paraId="4E8BB4E8"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no 2030. gada aizliegts apglabāt poligonos jebkādus atkritumus, kas ir derīgi otrreizējai pārstrādei vai cita materiāla vai enerģijas reģenerācijai;</w:t>
            </w:r>
          </w:p>
          <w:p w14:paraId="60A807E3"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jāveic pasākumi, lai līdz 2035. gadam poligonos apglabāto sadzīves atkritumu īpatsvaru samazinātu līdz 10%;</w:t>
            </w:r>
          </w:p>
          <w:p w14:paraId="294386FA"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dalībvalstīm līdz 2023. gada 31. decembrim jānodrošina BNA atdalīšana un pārstrāde rašanās vietā, vai dalīta savākšana, nodrošinot, ka BNA nav sajaukti ar citiem atkritumu veidiem, kam nav BNA līdzīgas bioloģiskās noārdīšanās un kompostēšanās īpašības.</w:t>
            </w:r>
          </w:p>
        </w:tc>
        <w:tc>
          <w:tcPr>
            <w:tcW w:w="6662" w:type="dxa"/>
            <w:vMerge w:val="restart"/>
            <w:vAlign w:val="center"/>
          </w:tcPr>
          <w:p w14:paraId="1E9DF3CC"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Stratēģijā paredzētais notekūdeņu dūņu apsaimniekošanas modelis, kas paredz to pārstrādi un koncentrēšanu nodrošināt esošajā ūdenssaimniecības nozares infrastruktūrā, nodrošina, ka notekūdeņu dūņas, kas ir bioloģiski noārdāms notekūdeņu attīrīšanas blakusprodukts, nenonāk atkritumu apsaimniekošanas sistēmā, un tādējādi veicina vispārējo atkritumu nozares mērķu sasniegšanu un ļauj efektīvāk ieguldīt resursus citu BNA savākšanai un pārstrādei. Izvēlētais apsaimniekošanas modelis nodrošina, ka notekūdeņu dūņas nenonāk poligonā un tiek pārstrādātas to rašanās vietā vai pēc iespējas tuvāk to rašanās vietai vienas nozares ietvaros.</w:t>
            </w:r>
          </w:p>
        </w:tc>
      </w:tr>
      <w:tr w:rsidR="00450392" w:rsidRPr="00462FE1" w14:paraId="3A96EE07" w14:textId="77777777" w:rsidTr="00450392">
        <w:tc>
          <w:tcPr>
            <w:tcW w:w="2694" w:type="dxa"/>
            <w:shd w:val="clear" w:color="auto" w:fill="F2F2F2" w:themeFill="background1" w:themeFillShade="F2"/>
            <w:vAlign w:val="center"/>
          </w:tcPr>
          <w:p w14:paraId="5C194A6B"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t>Eiropas Parlamenta un Padomes 2008. gada 19. novembra Direktīva 2008/98/EK par atkritumiem un par dažu direktīvu atcelšanu  un Eiropas Parlamenta un Padomes 2018. gada 30. maijs Direktīva 2018/851, ar ko groza Direktīvu 2008/98 par atkritumiem</w:t>
            </w:r>
          </w:p>
        </w:tc>
        <w:tc>
          <w:tcPr>
            <w:tcW w:w="5103" w:type="dxa"/>
            <w:vMerge/>
            <w:vAlign w:val="center"/>
          </w:tcPr>
          <w:p w14:paraId="5148CF80" w14:textId="77777777" w:rsidR="00450392" w:rsidRPr="00462FE1" w:rsidRDefault="00450392" w:rsidP="009D29AD">
            <w:pPr>
              <w:widowControl w:val="0"/>
              <w:pBdr>
                <w:top w:val="nil"/>
                <w:left w:val="nil"/>
                <w:bottom w:val="nil"/>
                <w:right w:val="nil"/>
                <w:between w:val="nil"/>
              </w:pBdr>
              <w:spacing w:after="0"/>
              <w:rPr>
                <w:rFonts w:ascii="Times New Roman" w:eastAsia="Calibri" w:hAnsi="Times New Roman" w:cs="Times New Roman"/>
                <w:sz w:val="20"/>
                <w:szCs w:val="20"/>
              </w:rPr>
            </w:pPr>
          </w:p>
        </w:tc>
        <w:tc>
          <w:tcPr>
            <w:tcW w:w="6662" w:type="dxa"/>
            <w:vMerge/>
            <w:vAlign w:val="center"/>
          </w:tcPr>
          <w:p w14:paraId="714D392A" w14:textId="77777777" w:rsidR="00450392" w:rsidRPr="00462FE1" w:rsidRDefault="00450392" w:rsidP="009D29AD">
            <w:pPr>
              <w:widowControl w:val="0"/>
              <w:pBdr>
                <w:top w:val="nil"/>
                <w:left w:val="nil"/>
                <w:bottom w:val="nil"/>
                <w:right w:val="nil"/>
                <w:between w:val="nil"/>
              </w:pBdr>
              <w:spacing w:after="0"/>
              <w:rPr>
                <w:rFonts w:ascii="Times New Roman" w:eastAsia="Calibri" w:hAnsi="Times New Roman" w:cs="Times New Roman"/>
                <w:sz w:val="20"/>
                <w:szCs w:val="20"/>
              </w:rPr>
            </w:pPr>
          </w:p>
        </w:tc>
      </w:tr>
      <w:tr w:rsidR="00450392" w:rsidRPr="00462FE1" w14:paraId="3A0EA505" w14:textId="77777777" w:rsidTr="00450392">
        <w:tc>
          <w:tcPr>
            <w:tcW w:w="2694" w:type="dxa"/>
            <w:shd w:val="clear" w:color="auto" w:fill="F2F2F2" w:themeFill="background1" w:themeFillShade="F2"/>
            <w:vAlign w:val="center"/>
          </w:tcPr>
          <w:p w14:paraId="4B36606E"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t>Latvijas ilgtspējīgas attīstības stratēģija līdz 2030. gadam (Latvija2030)</w:t>
            </w:r>
          </w:p>
        </w:tc>
        <w:tc>
          <w:tcPr>
            <w:tcW w:w="5103" w:type="dxa"/>
            <w:vAlign w:val="center"/>
          </w:tcPr>
          <w:p w14:paraId="001E264B"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 Latvijai jābūt ES līderei dabas kapitāla saglabāšanā, palielināšanā un ilgtspējīgā izmantošanā, prioritāri vēršot uzmanību uz ekosistēmu pakalpojumu </w:t>
            </w:r>
            <w:proofErr w:type="spellStart"/>
            <w:r w:rsidRPr="00462FE1">
              <w:rPr>
                <w:rFonts w:ascii="Times New Roman" w:eastAsia="Calibri" w:hAnsi="Times New Roman" w:cs="Times New Roman"/>
                <w:sz w:val="20"/>
                <w:szCs w:val="20"/>
              </w:rPr>
              <w:t>monetizāciju</w:t>
            </w:r>
            <w:proofErr w:type="spellEnd"/>
            <w:r w:rsidRPr="00462FE1">
              <w:rPr>
                <w:rFonts w:ascii="Times New Roman" w:eastAsia="Calibri" w:hAnsi="Times New Roman" w:cs="Times New Roman"/>
                <w:sz w:val="20"/>
                <w:szCs w:val="20"/>
              </w:rPr>
              <w:t xml:space="preserve"> un finansiālo novērtēšanu, kā arī zaļo finanšu instrumentu attīstību; </w:t>
            </w:r>
          </w:p>
          <w:p w14:paraId="1FAFC5EB"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 Nodrošināt valsts enerģētisko neatkarību, palielinot energoresursu </w:t>
            </w:r>
            <w:proofErr w:type="spellStart"/>
            <w:r w:rsidRPr="00462FE1">
              <w:rPr>
                <w:rFonts w:ascii="Times New Roman" w:eastAsia="Calibri" w:hAnsi="Times New Roman" w:cs="Times New Roman"/>
                <w:sz w:val="20"/>
                <w:szCs w:val="20"/>
              </w:rPr>
              <w:t>pašnodrošinājumu</w:t>
            </w:r>
            <w:proofErr w:type="spellEnd"/>
            <w:r w:rsidRPr="00462FE1">
              <w:rPr>
                <w:rFonts w:ascii="Times New Roman" w:eastAsia="Calibri" w:hAnsi="Times New Roman" w:cs="Times New Roman"/>
                <w:sz w:val="20"/>
                <w:szCs w:val="20"/>
              </w:rPr>
              <w:t xml:space="preserve"> un integrējoties ES enerģijas tīklos, kā vienu no prioritārā ilgtermiņa rīcības virziena „AER izmantošana un inovācija” aspektiem norāda biodegvielas ražošanai piemērotu enerģētisko kultūru audzēšanu neizmantotajās lauksaimniecības zemju platībās (208) un biogāzes resursu izmantošana, kā vienu potenciālajiem resursiem biogāzes ražošanai norādot bioloģiskos atkritumus (224).</w:t>
            </w:r>
          </w:p>
        </w:tc>
        <w:tc>
          <w:tcPr>
            <w:tcW w:w="6662" w:type="dxa"/>
            <w:vAlign w:val="center"/>
          </w:tcPr>
          <w:p w14:paraId="35488477"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Stratēģijā plānotais notekūdeņu dūņu apsaimniekošanas modelis veicina resursu atkārtotu izmantošanu, tādējādi veicinot dabas kapitāla (dabas resursu, augsnes, mākslīgo minerālmēslu izejvielu utt.) ilgtspējīgu izmantošanu, vienlaikus ļaujot neizmantotajās lauksaimniecības zemēs audzēt enerģētiskās kultūras, kuru ražības nodrošināšanai ļoti piemērotas ir notekūdeņu dūņas vai to kompostu, jo tiek izslēgti riski par ietekmi uz pārtikas drošību un cilvēku veselību. Stratēģijā plānotie risinājumi nav tieši norādīti “Latvija2030” stratēģijā, bet tie var būt būtisks papildinošs elements virzībā uz tajā norādītajiem mērķiem.</w:t>
            </w:r>
          </w:p>
        </w:tc>
      </w:tr>
      <w:tr w:rsidR="00450392" w:rsidRPr="00462FE1" w14:paraId="20ECB62E" w14:textId="77777777" w:rsidTr="00450392">
        <w:tc>
          <w:tcPr>
            <w:tcW w:w="2694" w:type="dxa"/>
            <w:shd w:val="clear" w:color="auto" w:fill="F2F2F2" w:themeFill="background1" w:themeFillShade="F2"/>
            <w:vAlign w:val="center"/>
          </w:tcPr>
          <w:p w14:paraId="5EDD77D9"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lastRenderedPageBreak/>
              <w:t>Nacionālais attīstības plāns 2021.–2027. gadam (NAP2027)</w:t>
            </w:r>
          </w:p>
        </w:tc>
        <w:tc>
          <w:tcPr>
            <w:tcW w:w="5103" w:type="dxa"/>
            <w:vAlign w:val="center"/>
          </w:tcPr>
          <w:p w14:paraId="714BA129"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[284] Augstas un labas kvalitātes virszemes un pazemes ūdensobjektu īpatsvara palielinājuma panākšana, kā arī iekšzemes ūdensobjektu un jūras vides stāvokļa uzlabošana un pazemes ūdens resursu aizsardzība, samazinot antropogēno slodzi t.sk. notekūdeņu kaitīgo ietekmi uz dabas resursiem un vidi, nodrošinot nepieciešamās infrastruktūras izveidi un veicinot notekūdeņu dūņu apstrādi.</w:t>
            </w:r>
          </w:p>
          <w:p w14:paraId="7D72A038"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[285] Vietējo resursu, tāpat bioresursu efektīvāka izmantošana (</w:t>
            </w:r>
            <w:proofErr w:type="spellStart"/>
            <w:r w:rsidRPr="00462FE1">
              <w:rPr>
                <w:rFonts w:ascii="Times New Roman" w:eastAsia="Calibri" w:hAnsi="Times New Roman" w:cs="Times New Roman"/>
                <w:sz w:val="20"/>
                <w:szCs w:val="20"/>
              </w:rPr>
              <w:t>ekodizaina</w:t>
            </w:r>
            <w:proofErr w:type="spellEnd"/>
            <w:r w:rsidRPr="00462FE1">
              <w:rPr>
                <w:rFonts w:ascii="Times New Roman" w:eastAsia="Calibri" w:hAnsi="Times New Roman" w:cs="Times New Roman"/>
                <w:sz w:val="20"/>
                <w:szCs w:val="20"/>
              </w:rPr>
              <w:t xml:space="preserve"> principu piemērošana un aprites ekonomikas ieviešana dažādos tautsaimniecības sektoros), jo īpaši sasniedzot augstāku standartu un inovāciju izmantošanu pārtikas apritē un dzīvnieku veselībā saskaņā ar “vienas veselības” principu, kā arī veicinot bezatkritumu ražošanas tehnoloģiju un inovāciju ieviešanu tautsaimniecībā</w:t>
            </w:r>
          </w:p>
          <w:p w14:paraId="31798E23"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[287] Atkritumu rašanās un apglabājamo atkritumu samazināšana un atkritumu pārstrādes un reģenerācijas īpatsvara palielināšana, īpaši akcentējot notekūdeņu dūņu apstrādi un bioloģiski noārdāmo atkritumu pārstrādes un to reģenerācijas īpatsvara un jaudas palielinājumu</w:t>
            </w:r>
          </w:p>
        </w:tc>
        <w:tc>
          <w:tcPr>
            <w:tcW w:w="6662" w:type="dxa"/>
            <w:vAlign w:val="center"/>
          </w:tcPr>
          <w:p w14:paraId="1F4EB00E"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Stratēģijā izvēlētais notekūdeņu dūņu apsaimniekošanas modelis pilnībā atbilst NAP2027 mērķiem [284], jo veicina virszemes ūdensobjektu, tai skaitā jūras vides kvalitātes uzlabošanos, jo samazina riskus neapsaimniekotu vai neatbilstoši apsaimniekotu notekūdeņu dūņu nonākšanai augsnē, virszemes ūdeņos un jūrā, paredzot skaidru un viegli pārskatāmu atbildības mehānismu par visu pašvaldības teritorijā radīto sadzīves notekūdeņu dūņu apsaimniekošanu un kontroli. </w:t>
            </w:r>
          </w:p>
          <w:p w14:paraId="28C4CCAC"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Stratēģijā izvēlētais notekūdeņu dūņu pārstrādes un utilizācijas risinājums atbilst NAP2027 mērķiem [285; 287] par vietējo resursu izmantošanu un dūņu atkārtotu izmantošanu atbilstoši aprites ekonomikas principiem, jo ļauj vienas nozares (notekūdeņu attīrīšana) blakusproduktiem kļūt par izejvielu un augu barošanās elementu resursu citai nozarei (lauksaimniecība, mežsaimniecība u.c.), tādējādi nodrošinot atkārtotu resursu izmantošanu un mazinot nepieciešamību pēc primārajiem izejvielu resursiem.</w:t>
            </w:r>
          </w:p>
        </w:tc>
      </w:tr>
      <w:tr w:rsidR="00450392" w:rsidRPr="00462FE1" w14:paraId="733A4368" w14:textId="77777777" w:rsidTr="00450392">
        <w:tc>
          <w:tcPr>
            <w:tcW w:w="2694" w:type="dxa"/>
            <w:shd w:val="clear" w:color="auto" w:fill="F2F2F2" w:themeFill="background1" w:themeFillShade="F2"/>
            <w:vAlign w:val="center"/>
          </w:tcPr>
          <w:p w14:paraId="3415D86E"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t>Ministru kabineta 2020. gada rīkojums Nr. 489 “Par Rīcības plānu pārejai uz aprites ekonomiku 2020.-2027. gadam (RPPAE2027)</w:t>
            </w:r>
          </w:p>
        </w:tc>
        <w:tc>
          <w:tcPr>
            <w:tcW w:w="5103" w:type="dxa"/>
            <w:vAlign w:val="center"/>
          </w:tcPr>
          <w:p w14:paraId="451CC602"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Līdz 2027.gada jāsasniedz šādi rezultatīvie rādītāji:</w:t>
            </w:r>
          </w:p>
          <w:p w14:paraId="7BE51097"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 Pieaugusi resursu produktivitāte un pārvaldība (no 0,90 EUR/kg uz 1,55 EUR/kg); </w:t>
            </w:r>
          </w:p>
          <w:p w14:paraId="1DBA7734"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Pieaugusi otrreizējo resursu un preču izmantošana (no 6,6 % uz 11,0 %);</w:t>
            </w:r>
          </w:p>
          <w:p w14:paraId="157BD398"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Pieaugusi sabiedrības izpratne un iesaiste aprites ekonomikas ieviešanā (</w:t>
            </w:r>
            <w:proofErr w:type="spellStart"/>
            <w:r w:rsidRPr="00462FE1">
              <w:rPr>
                <w:rFonts w:ascii="Times New Roman" w:eastAsia="Calibri" w:hAnsi="Times New Roman" w:cs="Times New Roman"/>
                <w:sz w:val="20"/>
                <w:szCs w:val="20"/>
              </w:rPr>
              <w:t>Eurobarometer</w:t>
            </w:r>
            <w:proofErr w:type="spellEnd"/>
            <w:r w:rsidRPr="00462FE1">
              <w:rPr>
                <w:rFonts w:ascii="Times New Roman" w:eastAsia="Calibri" w:hAnsi="Times New Roman" w:cs="Times New Roman"/>
                <w:sz w:val="20"/>
                <w:szCs w:val="20"/>
              </w:rPr>
              <w:t xml:space="preserve"> u.c. aptauju rezultāti).</w:t>
            </w:r>
          </w:p>
        </w:tc>
        <w:tc>
          <w:tcPr>
            <w:tcW w:w="6662" w:type="dxa"/>
            <w:vAlign w:val="center"/>
          </w:tcPr>
          <w:p w14:paraId="4A712F8E"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Stratēģijā plānotā notekūdeņu dūņu un to komposta atgriešana ekonomiskajā apritē, kā augsnes auglības uzlabošanas līdzekļiem nodrošinās, ka pieaug otrreizējo resursu un preču izmantošanas līmenis valstī, savukārt Stratēģijās ieviešanas laikā īstenotās un plānotās sabiedrības informēšanas kampaņas palielinās sabiedrībās izpratni par aprites ekonomikas ieviešanu. Arvien plašāka un stabilāka notekūdeņu dūņu un to komposta izmantošana lauksaimniecībā palielinās arī iesaistīto pušu (lauksaimnieku, mežsaimniecības uzņēmumu u.c.) zināšanas, izpratni un informētību par resursu otrreizējo izmantošanu un aprites ekonomikas ieviešanu ikdienas saimnieciskajā darbībā.</w:t>
            </w:r>
          </w:p>
        </w:tc>
      </w:tr>
      <w:tr w:rsidR="00450392" w:rsidRPr="00462FE1" w14:paraId="05366465" w14:textId="77777777" w:rsidTr="00450392">
        <w:trPr>
          <w:trHeight w:val="2461"/>
        </w:trPr>
        <w:tc>
          <w:tcPr>
            <w:tcW w:w="2694" w:type="dxa"/>
            <w:shd w:val="clear" w:color="auto" w:fill="F2F2F2" w:themeFill="background1" w:themeFillShade="F2"/>
            <w:vAlign w:val="center"/>
          </w:tcPr>
          <w:p w14:paraId="1D38F168"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lastRenderedPageBreak/>
              <w:t xml:space="preserve">Latvijas </w:t>
            </w:r>
            <w:proofErr w:type="spellStart"/>
            <w:r w:rsidRPr="00462FE1">
              <w:rPr>
                <w:rFonts w:ascii="Times New Roman" w:eastAsia="Calibri" w:hAnsi="Times New Roman" w:cs="Times New Roman"/>
                <w:b/>
                <w:sz w:val="20"/>
                <w:szCs w:val="20"/>
              </w:rPr>
              <w:t>Bioekonomikas</w:t>
            </w:r>
            <w:proofErr w:type="spellEnd"/>
            <w:r w:rsidRPr="00462FE1">
              <w:rPr>
                <w:rFonts w:ascii="Times New Roman" w:eastAsia="Calibri" w:hAnsi="Times New Roman" w:cs="Times New Roman"/>
                <w:b/>
                <w:sz w:val="20"/>
                <w:szCs w:val="20"/>
              </w:rPr>
              <w:t xml:space="preserve"> stratēģija laikposmam līdz 2030. gadam (LIBRA)</w:t>
            </w:r>
          </w:p>
        </w:tc>
        <w:tc>
          <w:tcPr>
            <w:tcW w:w="5103" w:type="dxa"/>
            <w:vAlign w:val="center"/>
          </w:tcPr>
          <w:p w14:paraId="2C91E9BD"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 nodrošināt, lai arī 2030. gadā </w:t>
            </w:r>
            <w:proofErr w:type="spellStart"/>
            <w:r w:rsidRPr="00462FE1">
              <w:rPr>
                <w:rFonts w:ascii="Times New Roman" w:eastAsia="Calibri" w:hAnsi="Times New Roman" w:cs="Times New Roman"/>
                <w:sz w:val="20"/>
                <w:szCs w:val="20"/>
              </w:rPr>
              <w:t>bioekonomikas</w:t>
            </w:r>
            <w:proofErr w:type="spellEnd"/>
            <w:r w:rsidRPr="00462FE1">
              <w:rPr>
                <w:rFonts w:ascii="Times New Roman" w:eastAsia="Calibri" w:hAnsi="Times New Roman" w:cs="Times New Roman"/>
                <w:sz w:val="20"/>
                <w:szCs w:val="20"/>
              </w:rPr>
              <w:t xml:space="preserve"> tradicionālajās nozarēs nodarbinātība saglabātos 2015. gada līmenī, t.i., 128 tūkstoši cilvēku,</w:t>
            </w:r>
          </w:p>
          <w:p w14:paraId="74C0D205"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 palielināt </w:t>
            </w:r>
            <w:proofErr w:type="spellStart"/>
            <w:r w:rsidRPr="00462FE1">
              <w:rPr>
                <w:rFonts w:ascii="Times New Roman" w:eastAsia="Calibri" w:hAnsi="Times New Roman" w:cs="Times New Roman"/>
                <w:sz w:val="20"/>
                <w:szCs w:val="20"/>
              </w:rPr>
              <w:t>bioekonomikas</w:t>
            </w:r>
            <w:proofErr w:type="spellEnd"/>
            <w:r w:rsidRPr="00462FE1">
              <w:rPr>
                <w:rFonts w:ascii="Times New Roman" w:eastAsia="Calibri" w:hAnsi="Times New Roman" w:cs="Times New Roman"/>
                <w:sz w:val="20"/>
                <w:szCs w:val="20"/>
              </w:rPr>
              <w:t xml:space="preserve"> produktu pievienoto vērtību no 2,33 miljardiem eiro 2016. gadā līdz 3,8 miljardiem eiro 2030. gadā,</w:t>
            </w:r>
          </w:p>
          <w:p w14:paraId="24460C45"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 palielināt </w:t>
            </w:r>
            <w:proofErr w:type="spellStart"/>
            <w:r w:rsidRPr="00462FE1">
              <w:rPr>
                <w:rFonts w:ascii="Times New Roman" w:eastAsia="Calibri" w:hAnsi="Times New Roman" w:cs="Times New Roman"/>
                <w:sz w:val="20"/>
                <w:szCs w:val="20"/>
              </w:rPr>
              <w:t>bioekonomikas</w:t>
            </w:r>
            <w:proofErr w:type="spellEnd"/>
            <w:r w:rsidRPr="00462FE1">
              <w:rPr>
                <w:rFonts w:ascii="Times New Roman" w:eastAsia="Calibri" w:hAnsi="Times New Roman" w:cs="Times New Roman"/>
                <w:sz w:val="20"/>
                <w:szCs w:val="20"/>
              </w:rPr>
              <w:t xml:space="preserve"> eksporta produkcijas vērtību no 4,26 miljardiem eiro 2016. gadā līdz 9 miljardiem eiro 2030. gadā.</w:t>
            </w:r>
          </w:p>
        </w:tc>
        <w:tc>
          <w:tcPr>
            <w:tcW w:w="6662" w:type="dxa"/>
            <w:vAlign w:val="center"/>
          </w:tcPr>
          <w:p w14:paraId="2E516FAF"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Ievērojot, ka </w:t>
            </w:r>
            <w:proofErr w:type="spellStart"/>
            <w:r w:rsidRPr="00462FE1">
              <w:rPr>
                <w:rFonts w:ascii="Times New Roman" w:eastAsia="Calibri" w:hAnsi="Times New Roman" w:cs="Times New Roman"/>
                <w:sz w:val="20"/>
                <w:szCs w:val="20"/>
              </w:rPr>
              <w:t>bioekonomika</w:t>
            </w:r>
            <w:proofErr w:type="spellEnd"/>
            <w:r w:rsidRPr="00462FE1">
              <w:rPr>
                <w:rFonts w:ascii="Times New Roman" w:eastAsia="Calibri" w:hAnsi="Times New Roman" w:cs="Times New Roman"/>
                <w:sz w:val="20"/>
                <w:szCs w:val="20"/>
              </w:rPr>
              <w:t xml:space="preserve"> ir tautsaimniecības daļa, kur ražošanas procesā ilgtspējīgā un pārdomātā veidā tiek izmantoti atjaunojamie dabas resursi (augi, dzīvnieki, mikroorganismi u.c.), lai ražotu pārtiku un barību, industriālos produktus un enerģiju, secināms, ka Stratēģijā plānotā notekūdeņu dūņu un to komposta iestrāde augsnē ar mērķi uzlabot augsnes auglību, sniegs tiešu ieguvumu LIBRA mērķu sasniegšanā, jo radīs pieejamu, vietēju resursu, kas mazinās citu dabas resursu izmantošanas nepieciešamību (kūdra, mākslīgie minerālmēsli) un izmaksas par citu dabas resursu izmantošanu.</w:t>
            </w:r>
          </w:p>
        </w:tc>
      </w:tr>
      <w:tr w:rsidR="00450392" w:rsidRPr="00462FE1" w14:paraId="5D63DB56" w14:textId="77777777" w:rsidTr="00450392">
        <w:tc>
          <w:tcPr>
            <w:tcW w:w="2694" w:type="dxa"/>
            <w:shd w:val="clear" w:color="auto" w:fill="F2F2F2" w:themeFill="background1" w:themeFillShade="F2"/>
            <w:vAlign w:val="center"/>
          </w:tcPr>
          <w:p w14:paraId="12B625AD"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t xml:space="preserve">Latvijas stratēģija </w:t>
            </w:r>
            <w:proofErr w:type="spellStart"/>
            <w:r w:rsidRPr="00462FE1">
              <w:rPr>
                <w:rFonts w:ascii="Times New Roman" w:eastAsia="Calibri" w:hAnsi="Times New Roman" w:cs="Times New Roman"/>
                <w:b/>
                <w:sz w:val="20"/>
                <w:szCs w:val="20"/>
              </w:rPr>
              <w:t>klimatneitralitātes</w:t>
            </w:r>
            <w:proofErr w:type="spellEnd"/>
            <w:r w:rsidRPr="00462FE1">
              <w:rPr>
                <w:rFonts w:ascii="Times New Roman" w:eastAsia="Calibri" w:hAnsi="Times New Roman" w:cs="Times New Roman"/>
                <w:b/>
                <w:sz w:val="20"/>
                <w:szCs w:val="20"/>
              </w:rPr>
              <w:t xml:space="preserve"> sasniegšanai līdz 2050. gadam</w:t>
            </w:r>
          </w:p>
        </w:tc>
        <w:tc>
          <w:tcPr>
            <w:tcW w:w="5103" w:type="dxa"/>
            <w:vAlign w:val="center"/>
          </w:tcPr>
          <w:p w14:paraId="70D00D0D"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Lai 2050.gadā sasniegtu Latvijas </w:t>
            </w:r>
            <w:proofErr w:type="spellStart"/>
            <w:r w:rsidRPr="00462FE1">
              <w:rPr>
                <w:rFonts w:ascii="Times New Roman" w:eastAsia="Calibri" w:hAnsi="Times New Roman" w:cs="Times New Roman"/>
                <w:sz w:val="20"/>
                <w:szCs w:val="20"/>
              </w:rPr>
              <w:t>klimatneitralitāti</w:t>
            </w:r>
            <w:proofErr w:type="spellEnd"/>
            <w:r w:rsidRPr="00462FE1">
              <w:rPr>
                <w:rFonts w:ascii="Times New Roman" w:eastAsia="Calibri" w:hAnsi="Times New Roman" w:cs="Times New Roman"/>
                <w:sz w:val="20"/>
                <w:szCs w:val="20"/>
              </w:rPr>
              <w:t xml:space="preserve"> izvirzīti divi stratēģiskie mērķi:</w:t>
            </w:r>
          </w:p>
          <w:p w14:paraId="78919631"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1. SEG emisiju samazināšana visos tautsaimniecības sektoros;</w:t>
            </w:r>
          </w:p>
          <w:p w14:paraId="043BDA5A"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2. CO</w:t>
            </w:r>
            <w:r w:rsidRPr="00462FE1">
              <w:rPr>
                <w:rFonts w:ascii="Times New Roman" w:eastAsia="Calibri" w:hAnsi="Times New Roman" w:cs="Times New Roman"/>
                <w:sz w:val="20"/>
                <w:szCs w:val="20"/>
                <w:vertAlign w:val="subscript"/>
              </w:rPr>
              <w:t>2</w:t>
            </w:r>
            <w:r w:rsidRPr="00462FE1">
              <w:rPr>
                <w:rFonts w:ascii="Times New Roman" w:eastAsia="Calibri" w:hAnsi="Times New Roman" w:cs="Times New Roman"/>
                <w:sz w:val="20"/>
                <w:szCs w:val="20"/>
              </w:rPr>
              <w:t xml:space="preserve"> piesaistes palielināšana.</w:t>
            </w:r>
          </w:p>
          <w:p w14:paraId="07346E9D"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Būtisks SEG emisiju avots ir lauksaimniecības zemju apstrāde, palielinot slāpekļa saturošu minerālmēslu izmantošanu un atkritumu noglabāšanas izgāztuvēs.</w:t>
            </w:r>
          </w:p>
        </w:tc>
        <w:tc>
          <w:tcPr>
            <w:tcW w:w="6662" w:type="dxa"/>
            <w:vAlign w:val="center"/>
          </w:tcPr>
          <w:p w14:paraId="01842E31"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Stratēģijā paredzētais notekūdeņu dūņu pārstrādes veids – aukstā fermentācija un kompostēšana rada SEG emisijas, taču vienlaikus Stratēģijā ir paredzēti pasākumi smaku, kuras daļēji veido arī SEG gāzes, mazināšanai un iegūtā produkta (pārstrādātas notekūdeņu dūņas un to komposts) izmantošana minerālmēslu aizvietošanai, kas visticamāk ietekmēs kopējo SEG emisiju samazinājumu tautsaimniecībā un veicinās tās pāreju uz </w:t>
            </w:r>
            <w:proofErr w:type="spellStart"/>
            <w:r w:rsidRPr="00462FE1">
              <w:rPr>
                <w:rFonts w:ascii="Times New Roman" w:eastAsia="Calibri" w:hAnsi="Times New Roman" w:cs="Times New Roman"/>
                <w:sz w:val="20"/>
                <w:szCs w:val="20"/>
              </w:rPr>
              <w:t>klimatneitralitāti</w:t>
            </w:r>
            <w:proofErr w:type="spellEnd"/>
            <w:r w:rsidRPr="00462FE1">
              <w:rPr>
                <w:rFonts w:ascii="Times New Roman" w:eastAsia="Calibri" w:hAnsi="Times New Roman" w:cs="Times New Roman"/>
                <w:sz w:val="20"/>
                <w:szCs w:val="20"/>
              </w:rPr>
              <w:t>, notekūdeņu dūņās piesaistīto CO</w:t>
            </w:r>
            <w:r w:rsidRPr="00462FE1">
              <w:rPr>
                <w:rFonts w:ascii="Times New Roman" w:eastAsia="Calibri" w:hAnsi="Times New Roman" w:cs="Times New Roman"/>
                <w:sz w:val="20"/>
                <w:szCs w:val="20"/>
                <w:vertAlign w:val="subscript"/>
              </w:rPr>
              <w:t>2</w:t>
            </w:r>
            <w:r w:rsidRPr="00462FE1">
              <w:rPr>
                <w:rFonts w:ascii="Times New Roman" w:eastAsia="Calibri" w:hAnsi="Times New Roman" w:cs="Times New Roman"/>
                <w:sz w:val="20"/>
                <w:szCs w:val="20"/>
              </w:rPr>
              <w:t xml:space="preserve"> atkārtoti atgriežot ekonomiskā apritē un mazinot nepieciešamību pēc pirmreizējo resursu izmantošanas.</w:t>
            </w:r>
          </w:p>
          <w:p w14:paraId="46ECC745"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Notekūdeņu dūņu savākšana un atkārtota izmantošana mazina iespējamību, ka atkritumu poligonos nonāk bioloģiski noārdāmas vielas, kas veicina tajos radītās SEG emisijas.</w:t>
            </w:r>
          </w:p>
          <w:p w14:paraId="04A58820"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Izvēlētais notekūdeņu dūņu centralizācijas risinājums vienlaikus nodrošina arī nelielu nepieciešamību pēc to pārvadāšanas, tādējādi mazinot fosilās enerģijas nepieciešamību dūņu pārvadāšanai. Nosakot augstas un precīzas prasības par SEG emisiju samazināšanu tieši ūdenssaimniecības sektorā, tās efektīvāk varēs ieviest izvēlētajā 2</w:t>
            </w:r>
            <w:r>
              <w:rPr>
                <w:rFonts w:ascii="Times New Roman" w:eastAsia="Calibri" w:hAnsi="Times New Roman" w:cs="Times New Roman"/>
                <w:sz w:val="20"/>
                <w:szCs w:val="20"/>
              </w:rPr>
              <w:t>7</w:t>
            </w:r>
            <w:r w:rsidRPr="00462FE1">
              <w:rPr>
                <w:rFonts w:ascii="Times New Roman" w:eastAsia="Calibri" w:hAnsi="Times New Roman" w:cs="Times New Roman"/>
                <w:sz w:val="20"/>
                <w:szCs w:val="20"/>
              </w:rPr>
              <w:t xml:space="preserve"> dūņu centru risinājumā, nevis pie katras notekūdeņu dūņu radīšanas vietas – NAI.</w:t>
            </w:r>
          </w:p>
        </w:tc>
      </w:tr>
      <w:tr w:rsidR="00450392" w:rsidRPr="00462FE1" w14:paraId="41ED2C8A" w14:textId="77777777" w:rsidTr="00450392">
        <w:tc>
          <w:tcPr>
            <w:tcW w:w="2694" w:type="dxa"/>
            <w:shd w:val="clear" w:color="auto" w:fill="F2F2F2" w:themeFill="background1" w:themeFillShade="F2"/>
            <w:vAlign w:val="center"/>
          </w:tcPr>
          <w:p w14:paraId="5AE2566C"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t>Nacionālais enerģētikas un klimata plāns 2021.-2030.gads (NEKP2030)</w:t>
            </w:r>
          </w:p>
        </w:tc>
        <w:tc>
          <w:tcPr>
            <w:tcW w:w="5103" w:type="dxa"/>
            <w:vAlign w:val="center"/>
          </w:tcPr>
          <w:p w14:paraId="381A4174"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7.3.pasākums: Nodrošināt visu notekūdeņu atbilstošu savākšanu un attīrīšanu, atjaunojot un tālāk attīstot ūdenssaimniecības infrastruktūru, kā arī nodrošināt notekūdeņu dūņu apsaimniekošanas infrastruktūras izveidi.</w:t>
            </w:r>
          </w:p>
          <w:p w14:paraId="624DDF46"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2030.gadā jānodrošina, ka:</w:t>
            </w:r>
          </w:p>
          <w:p w14:paraId="607B5BFE"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Samazināts radīto atkritumu daudzums (apjoms) un bīstamība, kas nonāk atkritumu poligonos, un uzlabota dažāda veida atkritumu atkārtota izmantošana, pārstrāde un reģenerācija, panākta atkritumu dalītā savākšana;</w:t>
            </w:r>
          </w:p>
          <w:p w14:paraId="7784F7C3"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lastRenderedPageBreak/>
              <w:t>-) Ir izvērtēti un tiek ieviesti no vides un ekonomiskā viedokļa ilgtspējīgi risinājumi notekūdeņu dūņu apsaimniekošanai;</w:t>
            </w:r>
          </w:p>
          <w:p w14:paraId="4321E189"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Izveidota notekūdeņu dūņu apsaimniekošanas sistēma, mazinot vides piesārņojuma risku un novēršot dūņu uzkrāšanos ūdenssaimniecības uzņēmumos;</w:t>
            </w:r>
          </w:p>
          <w:p w14:paraId="05D61B9E"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Ieviesta aprites ekonomika, veicinot vienas nozares blakusproduktu izmantošanu kā citas nozares izejmateriālu;</w:t>
            </w:r>
          </w:p>
        </w:tc>
        <w:tc>
          <w:tcPr>
            <w:tcW w:w="6662" w:type="dxa"/>
            <w:vAlign w:val="center"/>
          </w:tcPr>
          <w:p w14:paraId="01EE1D85"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lastRenderedPageBreak/>
              <w:t>Stratēģijā paredzētais notekūdeņu dūņu apsaimniekošanas modelis pilnā apmērā atbilst NEKP2030 izvirzītajiem mērķiem un uzdevumiem, jo plānotie dūņu pārstrādes un utilizācijas līmeņi nodrošina no vides un ekonomiskā viedokļa ilgtspējīgākos notekūdeņu dūņu apsaimniekošanas un centralizācijas risinājumus, kurus elastīgi var uzlabot, lai atbilstu jaunākajām zinātniskajām atziņām vai normatīvo aktu prasībām, jo visas notekūdeņu dūņas tiek koncentrētas 2</w:t>
            </w:r>
            <w:r>
              <w:rPr>
                <w:rFonts w:ascii="Times New Roman" w:eastAsia="Calibri" w:hAnsi="Times New Roman" w:cs="Times New Roman"/>
                <w:sz w:val="20"/>
                <w:szCs w:val="20"/>
              </w:rPr>
              <w:t>7</w:t>
            </w:r>
            <w:r w:rsidRPr="00462FE1">
              <w:rPr>
                <w:rFonts w:ascii="Times New Roman" w:eastAsia="Calibri" w:hAnsi="Times New Roman" w:cs="Times New Roman"/>
                <w:sz w:val="20"/>
                <w:szCs w:val="20"/>
              </w:rPr>
              <w:t xml:space="preserve"> centros (šobrīd 921 NAI). Pēc Stratēģijas ieviešanas tiks izbūvēta un valstī radīta atbilstoša notekūdeņu dūņu apsaimniekošanas infrastruktūra, kas mazinās atkritumu poligonos nonākošo atkritumu apjomu un ļaus ieviest aprites ekonomikas principus ūdenssaimniecības nozarē, no tajā radītajiem </w:t>
            </w:r>
            <w:r w:rsidRPr="00462FE1">
              <w:rPr>
                <w:rFonts w:ascii="Times New Roman" w:eastAsia="Calibri" w:hAnsi="Times New Roman" w:cs="Times New Roman"/>
                <w:sz w:val="20"/>
                <w:szCs w:val="20"/>
              </w:rPr>
              <w:lastRenderedPageBreak/>
              <w:t>blakusproduktiem, veidojot izejmateriālu citām nozarēm (lauksaimniecība, mežsaimniecība u.c.).</w:t>
            </w:r>
          </w:p>
          <w:p w14:paraId="26EF35BC"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Skaidrība par notekūdeņu dūņu izmantošanas iespējām netieši veicinās arī notekūdeņu savākšanu un atbilstošu attīrīšanu, jo ļaus pakalpojuma sniedzēju resursus novirzīt notekūdeņu centralizācijas risinājumu attīstībā un decentralizēti savākto notekūdeņu atbilstošai attīrīšanai.</w:t>
            </w:r>
          </w:p>
        </w:tc>
      </w:tr>
      <w:tr w:rsidR="00450392" w:rsidRPr="00462FE1" w14:paraId="6C03FD87" w14:textId="77777777" w:rsidTr="00450392">
        <w:tc>
          <w:tcPr>
            <w:tcW w:w="2694" w:type="dxa"/>
            <w:shd w:val="clear" w:color="auto" w:fill="F2F2F2" w:themeFill="background1" w:themeFillShade="F2"/>
            <w:vAlign w:val="center"/>
          </w:tcPr>
          <w:p w14:paraId="42D2804D"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lastRenderedPageBreak/>
              <w:t>Notekūdeņu apsaimniekošanas investīciju plāns 2021.- 2027. gadam (NŪIP2027)</w:t>
            </w:r>
          </w:p>
        </w:tc>
        <w:tc>
          <w:tcPr>
            <w:tcW w:w="5103" w:type="dxa"/>
            <w:vAlign w:val="center"/>
          </w:tcPr>
          <w:p w14:paraId="2090DF78"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Nepieciešams rast atbalsta instrumentus centralizētu notekūdeņu dūņu apstrādes un pārstrādes centru izveidei reģionos, pirms tam izstrādājot vienotu valsts atbalsta stratēģiju notekūdeņu dūņu apstrādei un izmantošanai. Efektīva dūņu izmantošana būtu jāvērtē arī aprites ekonomikas kontekstā.</w:t>
            </w:r>
          </w:p>
        </w:tc>
        <w:tc>
          <w:tcPr>
            <w:tcW w:w="6662" w:type="dxa"/>
            <w:vAlign w:val="center"/>
          </w:tcPr>
          <w:p w14:paraId="70D9BBBC"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Stratēģijas mērķi un plānotie risinājumi pilnā mērā atbilst NŪIP2027 iekļautajai nepieciešamībai izveidot infrastruktūru (dūņu lauki, atūdeņošanas iekārtas u.c.) notekūdeņu dūņu apstrādei un pārstrādei reģionālos notekūdeņu dūņu pārstrādes centros, vienlaikus precīzi definējot plānotās infrastruktūras izvietojumu, apjomu un finansiālās izmaksas.</w:t>
            </w:r>
          </w:p>
        </w:tc>
      </w:tr>
      <w:tr w:rsidR="00450392" w:rsidRPr="00462FE1" w14:paraId="0ECD2978" w14:textId="77777777" w:rsidTr="00450392">
        <w:tc>
          <w:tcPr>
            <w:tcW w:w="2694" w:type="dxa"/>
            <w:shd w:val="clear" w:color="auto" w:fill="F2F2F2" w:themeFill="background1" w:themeFillShade="F2"/>
            <w:vAlign w:val="center"/>
          </w:tcPr>
          <w:p w14:paraId="702202F9" w14:textId="77777777" w:rsidR="00450392" w:rsidRPr="00462FE1" w:rsidRDefault="00450392" w:rsidP="009D29AD">
            <w:pPr>
              <w:spacing w:after="0" w:line="240" w:lineRule="auto"/>
              <w:rPr>
                <w:rFonts w:ascii="Times New Roman" w:eastAsia="Calibri" w:hAnsi="Times New Roman" w:cs="Times New Roman"/>
                <w:b/>
                <w:sz w:val="20"/>
                <w:szCs w:val="20"/>
              </w:rPr>
            </w:pPr>
            <w:r w:rsidRPr="00462FE1">
              <w:rPr>
                <w:rFonts w:ascii="Times New Roman" w:eastAsia="Calibri" w:hAnsi="Times New Roman" w:cs="Times New Roman"/>
                <w:b/>
                <w:sz w:val="20"/>
                <w:szCs w:val="20"/>
              </w:rPr>
              <w:t>Vides politikas pamatnostādnes 2021.–2027. gadam (VPP) – (dokuments ir izstrādes stadijā)</w:t>
            </w:r>
            <w:r w:rsidRPr="00462FE1">
              <w:rPr>
                <w:rFonts w:ascii="Times New Roman" w:eastAsia="Calibri" w:hAnsi="Times New Roman" w:cs="Times New Roman"/>
                <w:b/>
                <w:sz w:val="20"/>
                <w:szCs w:val="20"/>
                <w:vertAlign w:val="superscript"/>
              </w:rPr>
              <w:footnoteReference w:id="6"/>
            </w:r>
          </w:p>
          <w:p w14:paraId="63D9100D" w14:textId="77777777" w:rsidR="00450392" w:rsidRPr="00462FE1" w:rsidRDefault="00450392" w:rsidP="009D29AD">
            <w:pPr>
              <w:rPr>
                <w:rFonts w:ascii="Times New Roman" w:eastAsia="Calibri" w:hAnsi="Times New Roman" w:cs="Times New Roman"/>
                <w:sz w:val="20"/>
                <w:szCs w:val="20"/>
              </w:rPr>
            </w:pPr>
          </w:p>
          <w:p w14:paraId="1949BDD5" w14:textId="77777777" w:rsidR="00450392" w:rsidRPr="00462FE1" w:rsidRDefault="00450392" w:rsidP="009D29AD">
            <w:pPr>
              <w:rPr>
                <w:rFonts w:ascii="Times New Roman" w:eastAsia="Calibri" w:hAnsi="Times New Roman" w:cs="Times New Roman"/>
                <w:sz w:val="20"/>
                <w:szCs w:val="20"/>
              </w:rPr>
            </w:pPr>
          </w:p>
          <w:p w14:paraId="3D045890" w14:textId="77777777" w:rsidR="00450392" w:rsidRPr="00462FE1" w:rsidRDefault="00450392" w:rsidP="009D29AD">
            <w:pPr>
              <w:rPr>
                <w:rFonts w:ascii="Times New Roman" w:eastAsia="Calibri" w:hAnsi="Times New Roman" w:cs="Times New Roman"/>
                <w:sz w:val="20"/>
                <w:szCs w:val="20"/>
              </w:rPr>
            </w:pPr>
          </w:p>
        </w:tc>
        <w:tc>
          <w:tcPr>
            <w:tcW w:w="5103" w:type="dxa"/>
            <w:vAlign w:val="center"/>
          </w:tcPr>
          <w:p w14:paraId="6AC67163"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1. Samazināt riskus (klimata pārmaiņu, piesārņojuma, katastrofu) cilvēku dzīves videi, veselībai un labklājībai;</w:t>
            </w:r>
          </w:p>
          <w:p w14:paraId="59F8E471"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2. Samazināt piesārņojumu vidē (ūdenī, gaisā, augsnē, dabā), nodrošinot labu vides stāvokli un dabas kapitāla saglabāšanu;</w:t>
            </w:r>
          </w:p>
          <w:p w14:paraId="3C609818"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3. Nodrošināt ilgtspējīgu resursu patēriņu;</w:t>
            </w:r>
          </w:p>
          <w:p w14:paraId="60B7B0C6"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4. Nodrošināt ar citiem sektoriem saskaņotu vides </w:t>
            </w:r>
            <w:proofErr w:type="spellStart"/>
            <w:r w:rsidRPr="00462FE1">
              <w:rPr>
                <w:rFonts w:ascii="Times New Roman" w:eastAsia="Calibri" w:hAnsi="Times New Roman" w:cs="Times New Roman"/>
                <w:sz w:val="20"/>
                <w:szCs w:val="20"/>
              </w:rPr>
              <w:t>rīcībpolitiku</w:t>
            </w:r>
            <w:proofErr w:type="spellEnd"/>
            <w:r w:rsidRPr="00462FE1">
              <w:rPr>
                <w:rFonts w:ascii="Times New Roman" w:eastAsia="Calibri" w:hAnsi="Times New Roman" w:cs="Times New Roman"/>
                <w:sz w:val="20"/>
                <w:szCs w:val="20"/>
              </w:rPr>
              <w:t xml:space="preserve"> un vides pamatprincipu iekļaušanu sektoru politikās.</w:t>
            </w:r>
          </w:p>
          <w:p w14:paraId="020596E4" w14:textId="77777777" w:rsidR="00450392" w:rsidRPr="00462FE1" w:rsidRDefault="00450392" w:rsidP="009D29AD">
            <w:pPr>
              <w:spacing w:after="0" w:line="240" w:lineRule="auto"/>
              <w:rPr>
                <w:rFonts w:ascii="Times New Roman" w:eastAsia="Calibri" w:hAnsi="Times New Roman" w:cs="Times New Roman"/>
                <w:sz w:val="20"/>
                <w:szCs w:val="20"/>
              </w:rPr>
            </w:pPr>
          </w:p>
          <w:p w14:paraId="2B7A5F14" w14:textId="77777777" w:rsidR="00450392" w:rsidRPr="00462FE1" w:rsidRDefault="00450392" w:rsidP="009D29AD">
            <w:pPr>
              <w:spacing w:after="0" w:line="240" w:lineRule="auto"/>
              <w:rPr>
                <w:rFonts w:ascii="Times New Roman" w:eastAsia="Calibri" w:hAnsi="Times New Roman" w:cs="Times New Roman"/>
                <w:sz w:val="20"/>
                <w:szCs w:val="20"/>
              </w:rPr>
            </w:pPr>
            <w:proofErr w:type="spellStart"/>
            <w:r w:rsidRPr="00462FE1">
              <w:rPr>
                <w:rFonts w:ascii="Times New Roman" w:eastAsia="Calibri" w:hAnsi="Times New Roman" w:cs="Times New Roman"/>
                <w:sz w:val="20"/>
                <w:szCs w:val="20"/>
              </w:rPr>
              <w:t>Apakšmērķis</w:t>
            </w:r>
            <w:proofErr w:type="spellEnd"/>
            <w:r w:rsidRPr="00462FE1">
              <w:rPr>
                <w:rFonts w:ascii="Times New Roman" w:eastAsia="Calibri" w:hAnsi="Times New Roman" w:cs="Times New Roman"/>
                <w:sz w:val="20"/>
                <w:szCs w:val="20"/>
              </w:rPr>
              <w:t xml:space="preserve"> 4.4</w:t>
            </w:r>
            <w:r w:rsidRPr="00462FE1">
              <w:rPr>
                <w:rFonts w:ascii="Times New Roman" w:hAnsi="Times New Roman" w:cs="Times New Roman"/>
              </w:rPr>
              <w:t>:</w:t>
            </w:r>
            <w:r w:rsidRPr="00462FE1">
              <w:rPr>
                <w:rFonts w:ascii="Times New Roman" w:eastAsia="Calibri" w:hAnsi="Times New Roman" w:cs="Times New Roman"/>
                <w:sz w:val="20"/>
                <w:szCs w:val="20"/>
              </w:rPr>
              <w:t xml:space="preserve"> Palielināta notekūdeņu attīrīšanas iekārtu dūņu izmantošana; 4.4.1.  Lietderīgi izmantoto NAI dūņu apjoms (pieaugums par 1.5% 2027.gadā vērtējot pret 2019.gada rādītāju (74.5%); </w:t>
            </w:r>
          </w:p>
          <w:p w14:paraId="109E493A" w14:textId="77777777" w:rsidR="00450392" w:rsidRPr="00462FE1" w:rsidRDefault="00450392" w:rsidP="009D29AD">
            <w:pPr>
              <w:spacing w:after="0" w:line="240" w:lineRule="auto"/>
              <w:rPr>
                <w:rFonts w:ascii="Times New Roman" w:eastAsia="Calibri" w:hAnsi="Times New Roman" w:cs="Times New Roman"/>
                <w:sz w:val="20"/>
                <w:szCs w:val="20"/>
              </w:rPr>
            </w:pPr>
            <w:proofErr w:type="spellStart"/>
            <w:r w:rsidRPr="00462FE1">
              <w:rPr>
                <w:rFonts w:ascii="Times New Roman" w:eastAsia="Calibri" w:hAnsi="Times New Roman" w:cs="Times New Roman"/>
                <w:sz w:val="20"/>
                <w:szCs w:val="20"/>
              </w:rPr>
              <w:t>Apakšmērķis</w:t>
            </w:r>
            <w:proofErr w:type="spellEnd"/>
            <w:r w:rsidRPr="00462FE1">
              <w:rPr>
                <w:rFonts w:ascii="Times New Roman" w:eastAsia="Calibri" w:hAnsi="Times New Roman" w:cs="Times New Roman"/>
                <w:sz w:val="20"/>
                <w:szCs w:val="20"/>
              </w:rPr>
              <w:t xml:space="preserve"> 7.2: Droša ūdens resursu izmantošana, nelietderīga patēriņa samazināšana un dūņu lietderīgas izmantošanas palielināšana; </w:t>
            </w:r>
          </w:p>
          <w:p w14:paraId="236C0113"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25.rīcības virziens Notekūdeņu dūņu ilgtspējīgas apsaimniekošanas sistēmas izveidošana.</w:t>
            </w:r>
          </w:p>
        </w:tc>
        <w:tc>
          <w:tcPr>
            <w:tcW w:w="6662" w:type="dxa"/>
            <w:vAlign w:val="center"/>
          </w:tcPr>
          <w:p w14:paraId="017208ED" w14:textId="77777777" w:rsidR="00450392" w:rsidRPr="00462FE1" w:rsidRDefault="00450392" w:rsidP="009D29AD">
            <w:pPr>
              <w:spacing w:after="0" w:line="240" w:lineRule="auto"/>
              <w:rPr>
                <w:rFonts w:ascii="Times New Roman" w:eastAsia="Calibri" w:hAnsi="Times New Roman" w:cs="Times New Roman"/>
                <w:sz w:val="20"/>
                <w:szCs w:val="20"/>
              </w:rPr>
            </w:pPr>
            <w:r w:rsidRPr="00462FE1">
              <w:rPr>
                <w:rFonts w:ascii="Times New Roman" w:eastAsia="Calibri" w:hAnsi="Times New Roman" w:cs="Times New Roman"/>
                <w:sz w:val="20"/>
                <w:szCs w:val="20"/>
              </w:rPr>
              <w:t xml:space="preserve">Stratēģijā par notekūdeņu dūņu apsaimniekošanu ieteiktais apsaimniekošanas modelis ir vērsts uz VPP noteikto vides politikas mērķu un vairāku </w:t>
            </w:r>
            <w:proofErr w:type="spellStart"/>
            <w:r w:rsidRPr="00462FE1">
              <w:rPr>
                <w:rFonts w:ascii="Times New Roman" w:eastAsia="Calibri" w:hAnsi="Times New Roman" w:cs="Times New Roman"/>
                <w:sz w:val="20"/>
                <w:szCs w:val="20"/>
              </w:rPr>
              <w:t>apakšmērķu</w:t>
            </w:r>
            <w:proofErr w:type="spellEnd"/>
            <w:r w:rsidRPr="00462FE1">
              <w:rPr>
                <w:rFonts w:ascii="Times New Roman" w:eastAsia="Calibri" w:hAnsi="Times New Roman" w:cs="Times New Roman"/>
                <w:sz w:val="20"/>
                <w:szCs w:val="20"/>
              </w:rPr>
              <w:t xml:space="preserve"> sasniegšanu, jo samazina gan piesārņojuma riskus, kas rodas neveicot notekūdeņu dūņu atbilstošu apsaimniekošanu un uzglabājot tās NAI teritorijā, gan riskus cilvēku dzīves videi un veselībai, kas rastos no neatbilstošas notekūdeņu dūņu apsaimniekošanas radītā vides piesārņojuma. Stratēģijā plānotā notekūdeņu dūņu un to komposta atgriešana resursu apritē nodrošinās ilgtspējīgu resursu patēriņu un mazinās arī citu saistīto nozaru vides mērķu sasniegšanu. VPP </w:t>
            </w:r>
            <w:proofErr w:type="spellStart"/>
            <w:r w:rsidRPr="00462FE1">
              <w:rPr>
                <w:rFonts w:ascii="Times New Roman" w:eastAsia="Calibri" w:hAnsi="Times New Roman" w:cs="Times New Roman"/>
                <w:sz w:val="20"/>
                <w:szCs w:val="20"/>
              </w:rPr>
              <w:t>apakšmērķis</w:t>
            </w:r>
            <w:proofErr w:type="spellEnd"/>
            <w:r w:rsidRPr="00462FE1">
              <w:rPr>
                <w:rFonts w:ascii="Times New Roman" w:eastAsia="Calibri" w:hAnsi="Times New Roman" w:cs="Times New Roman"/>
                <w:sz w:val="20"/>
                <w:szCs w:val="20"/>
              </w:rPr>
              <w:t xml:space="preserve"> 4.4. tiešā veidā saistīts ar Stratēģiju, jo veicinās šī mērķa sasniegšanu, turklāt, VPP viens no instrumentiem šī mērķa un arī 25.rīcības virziena izpildē norādīta Stratēģijas izstrāde un īstenošana.</w:t>
            </w:r>
          </w:p>
        </w:tc>
      </w:tr>
      <w:bookmarkEnd w:id="0"/>
    </w:tbl>
    <w:p w14:paraId="0F03BD90" w14:textId="7D23EE6D" w:rsidR="00D4108B" w:rsidRPr="00C71D11" w:rsidRDefault="00D4108B" w:rsidP="006A6FB4">
      <w:pPr>
        <w:rPr>
          <w:rFonts w:ascii="Times New Roman" w:hAnsi="Times New Roman" w:cs="Times New Roman"/>
          <w:b/>
          <w:noProof/>
          <w:szCs w:val="24"/>
          <w:lang w:eastAsia="lv-LV"/>
        </w:rPr>
      </w:pPr>
    </w:p>
    <w:sectPr w:rsidR="00D4108B" w:rsidRPr="00C71D11" w:rsidSect="006A6FB4">
      <w:footerReference w:type="default" r:id="rId8"/>
      <w:headerReference w:type="first" r:id="rId9"/>
      <w:pgSz w:w="16839" w:h="11907" w:orient="landscape" w:code="9"/>
      <w:pgMar w:top="1276" w:right="1134" w:bottom="1134"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036E5" w14:textId="77777777" w:rsidR="00B92594" w:rsidRDefault="00B92594" w:rsidP="00484AD2">
      <w:pPr>
        <w:spacing w:after="0" w:line="240" w:lineRule="auto"/>
      </w:pPr>
      <w:r>
        <w:separator/>
      </w:r>
    </w:p>
  </w:endnote>
  <w:endnote w:type="continuationSeparator" w:id="0">
    <w:p w14:paraId="41DA7CA5" w14:textId="77777777" w:rsidR="00B92594" w:rsidRDefault="00B92594" w:rsidP="00484AD2">
      <w:pPr>
        <w:spacing w:after="0" w:line="240" w:lineRule="auto"/>
      </w:pPr>
      <w:r>
        <w:continuationSeparator/>
      </w:r>
    </w:p>
  </w:endnote>
  <w:endnote w:type="continuationNotice" w:id="1">
    <w:p w14:paraId="1324BD09" w14:textId="77777777" w:rsidR="00B92594" w:rsidRDefault="00B925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Noto Sans Symbols">
    <w:altName w:val="Calibri"/>
    <w:charset w:val="00"/>
    <w:family w:val="auto"/>
    <w:pitch w:val="default"/>
  </w:font>
  <w:font w:name="Times_New_Roman+20">
    <w:altName w:val="Times New Roman"/>
    <w:panose1 w:val="00000000000000000000"/>
    <w:charset w:val="00"/>
    <w:family w:val="auto"/>
    <w:notTrueType/>
    <w:pitch w:val="default"/>
    <w:sig w:usb0="00000003" w:usb1="00000000" w:usb2="00000000" w:usb3="00000000" w:csb0="00000001" w:csb1="00000000"/>
  </w:font>
  <w:font w:name="Bahnschrift SemiLight Condensed">
    <w:panose1 w:val="020B0502040204020203"/>
    <w:charset w:val="BA"/>
    <w:family w:val="swiss"/>
    <w:pitch w:val="variable"/>
    <w:sig w:usb0="A00002C7" w:usb1="00000002" w:usb2="00000000" w:usb3="00000000" w:csb0="000001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1049599"/>
      <w:docPartObj>
        <w:docPartGallery w:val="Page Numbers (Bottom of Page)"/>
        <w:docPartUnique/>
      </w:docPartObj>
    </w:sdtPr>
    <w:sdtEndPr>
      <w:rPr>
        <w:noProof/>
      </w:rPr>
    </w:sdtEndPr>
    <w:sdtContent>
      <w:p w14:paraId="6790105D" w14:textId="0CF25AA6" w:rsidR="002F035D" w:rsidRDefault="002F035D">
        <w:pPr>
          <w:pStyle w:val="Footer"/>
          <w:jc w:val="center"/>
        </w:pPr>
        <w:r>
          <w:fldChar w:fldCharType="begin"/>
        </w:r>
        <w:r>
          <w:instrText xml:space="preserve"> PAGE   \* MERGEFORMAT </w:instrText>
        </w:r>
        <w:r>
          <w:fldChar w:fldCharType="separate"/>
        </w:r>
        <w:r w:rsidR="00B85507">
          <w:rPr>
            <w:noProof/>
          </w:rPr>
          <w:t>85</w:t>
        </w:r>
        <w:r>
          <w:rPr>
            <w:noProof/>
          </w:rPr>
          <w:fldChar w:fldCharType="end"/>
        </w:r>
      </w:p>
    </w:sdtContent>
  </w:sdt>
  <w:p w14:paraId="448958C7" w14:textId="77777777" w:rsidR="002F035D" w:rsidRDefault="002F03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35565" w14:textId="77777777" w:rsidR="00B92594" w:rsidRDefault="00B92594" w:rsidP="00484AD2">
      <w:pPr>
        <w:spacing w:after="0" w:line="240" w:lineRule="auto"/>
      </w:pPr>
      <w:r>
        <w:separator/>
      </w:r>
    </w:p>
  </w:footnote>
  <w:footnote w:type="continuationSeparator" w:id="0">
    <w:p w14:paraId="3A259C44" w14:textId="77777777" w:rsidR="00B92594" w:rsidRDefault="00B92594" w:rsidP="00484AD2">
      <w:pPr>
        <w:spacing w:after="0" w:line="240" w:lineRule="auto"/>
      </w:pPr>
      <w:r>
        <w:continuationSeparator/>
      </w:r>
    </w:p>
  </w:footnote>
  <w:footnote w:type="continuationNotice" w:id="1">
    <w:p w14:paraId="2B2BE123" w14:textId="77777777" w:rsidR="00B92594" w:rsidRDefault="00B92594">
      <w:pPr>
        <w:spacing w:after="0" w:line="240" w:lineRule="auto"/>
      </w:pPr>
    </w:p>
  </w:footnote>
  <w:footnote w:id="2">
    <w:p w14:paraId="6FBC8B00" w14:textId="77777777" w:rsidR="00450392" w:rsidRPr="005255EB" w:rsidRDefault="00450392" w:rsidP="00450392">
      <w:pPr>
        <w:pStyle w:val="FootnoteText"/>
        <w:jc w:val="both"/>
        <w:rPr>
          <w:rFonts w:ascii="Times New Roman" w:hAnsi="Times New Roman" w:cs="Times New Roman"/>
        </w:rPr>
      </w:pPr>
      <w:r w:rsidRPr="005255EB">
        <w:rPr>
          <w:rStyle w:val="FootnoteReference"/>
          <w:rFonts w:ascii="Times New Roman" w:hAnsi="Times New Roman" w:cs="Times New Roman"/>
        </w:rPr>
        <w:footnoteRef/>
      </w:r>
      <w:r w:rsidRPr="005255EB">
        <w:rPr>
          <w:rFonts w:ascii="Times New Roman" w:hAnsi="Times New Roman" w:cs="Times New Roman"/>
        </w:rPr>
        <w:t xml:space="preserve"> </w:t>
      </w:r>
      <w:hyperlink r:id="rId1" w:history="1">
        <w:r w:rsidRPr="005255EB">
          <w:rPr>
            <w:rStyle w:val="Hyperlink"/>
            <w:rFonts w:ascii="Times New Roman" w:hAnsi="Times New Roman" w:cs="Times New Roman"/>
          </w:rPr>
          <w:t>Klimata pārmaiņu starpvaldību padomes 2006. gada vadlīnijas nacionālo SEG inventarizāciju aprēķināšanai no atkritumu apsaimniekošanas sektora</w:t>
        </w:r>
      </w:hyperlink>
    </w:p>
  </w:footnote>
  <w:footnote w:id="3">
    <w:p w14:paraId="2F2D835D" w14:textId="77777777" w:rsidR="00450392" w:rsidRPr="005255EB" w:rsidRDefault="00450392" w:rsidP="00450392">
      <w:pPr>
        <w:pStyle w:val="FootnoteText"/>
        <w:jc w:val="both"/>
        <w:rPr>
          <w:rFonts w:ascii="Times New Roman" w:hAnsi="Times New Roman" w:cs="Times New Roman"/>
        </w:rPr>
      </w:pPr>
      <w:r w:rsidRPr="005255EB">
        <w:rPr>
          <w:rStyle w:val="FootnoteReference"/>
          <w:rFonts w:ascii="Times New Roman" w:hAnsi="Times New Roman" w:cs="Times New Roman"/>
        </w:rPr>
        <w:footnoteRef/>
      </w:r>
      <w:r w:rsidRPr="005255EB">
        <w:rPr>
          <w:rFonts w:ascii="Times New Roman" w:hAnsi="Times New Roman" w:cs="Times New Roman"/>
        </w:rPr>
        <w:t xml:space="preserve"> </w:t>
      </w:r>
      <w:hyperlink r:id="rId2" w:history="1">
        <w:r w:rsidRPr="005255EB">
          <w:rPr>
            <w:rStyle w:val="Hyperlink"/>
            <w:rFonts w:ascii="Times New Roman" w:hAnsi="Times New Roman" w:cs="Times New Roman"/>
          </w:rPr>
          <w:t>Informatīvais ziņojums “Par notekūdeņu dūņu apsaimniekošanu Latvijā”</w:t>
        </w:r>
      </w:hyperlink>
    </w:p>
  </w:footnote>
  <w:footnote w:id="4">
    <w:p w14:paraId="00154880" w14:textId="77777777" w:rsidR="00450392" w:rsidRPr="005255EB" w:rsidRDefault="00450392" w:rsidP="00450392">
      <w:pPr>
        <w:pStyle w:val="FootnoteText"/>
        <w:jc w:val="both"/>
        <w:rPr>
          <w:rFonts w:ascii="Times New Roman" w:hAnsi="Times New Roman" w:cs="Times New Roman"/>
        </w:rPr>
      </w:pPr>
      <w:r w:rsidRPr="005255EB">
        <w:rPr>
          <w:rStyle w:val="FootnoteReference"/>
          <w:rFonts w:ascii="Times New Roman" w:hAnsi="Times New Roman" w:cs="Times New Roman"/>
        </w:rPr>
        <w:footnoteRef/>
      </w:r>
      <w:r w:rsidRPr="005255EB">
        <w:rPr>
          <w:rFonts w:ascii="Times New Roman" w:hAnsi="Times New Roman" w:cs="Times New Roman"/>
        </w:rPr>
        <w:t xml:space="preserve"> </w:t>
      </w:r>
      <w:hyperlink r:id="rId3" w:history="1">
        <w:r w:rsidRPr="005255EB">
          <w:rPr>
            <w:rStyle w:val="Hyperlink"/>
            <w:rFonts w:ascii="Times New Roman" w:hAnsi="Times New Roman" w:cs="Times New Roman"/>
          </w:rPr>
          <w:t>Pētījums “"Emisijas faktoru izstrādāšana no atkritumu un notekūdeņu dūņu kompostēšanas un metāna korekcijas faktora Latvijas izgāztuvēs noteikšana</w:t>
        </w:r>
      </w:hyperlink>
      <w:r w:rsidRPr="005255EB">
        <w:rPr>
          <w:rFonts w:ascii="Times New Roman" w:hAnsi="Times New Roman" w:cs="Times New Roman"/>
        </w:rPr>
        <w:t>”</w:t>
      </w:r>
    </w:p>
  </w:footnote>
  <w:footnote w:id="5">
    <w:p w14:paraId="4B8B1570" w14:textId="77777777" w:rsidR="00450392" w:rsidRDefault="00450392" w:rsidP="00450392">
      <w:pPr>
        <w:pStyle w:val="FootnoteText"/>
        <w:jc w:val="both"/>
      </w:pPr>
      <w:r w:rsidRPr="005255EB">
        <w:rPr>
          <w:rStyle w:val="FootnoteReference"/>
          <w:rFonts w:ascii="Times New Roman" w:hAnsi="Times New Roman" w:cs="Times New Roman"/>
        </w:rPr>
        <w:footnoteRef/>
      </w:r>
      <w:r w:rsidRPr="005255EB">
        <w:rPr>
          <w:rFonts w:ascii="Times New Roman" w:hAnsi="Times New Roman" w:cs="Times New Roman"/>
        </w:rPr>
        <w:t xml:space="preserve"> </w:t>
      </w:r>
      <w:hyperlink r:id="rId4" w:history="1">
        <w:r w:rsidRPr="005255EB">
          <w:rPr>
            <w:rStyle w:val="Hyperlink"/>
            <w:rFonts w:ascii="Times New Roman" w:hAnsi="Times New Roman" w:cs="Times New Roman"/>
          </w:rPr>
          <w:t>Pētījums “"Emisijas faktoru izstrādāšana no atkritumu un notekūdeņu dūņu kompostēšanas un metāna korekcijas faktora Latvijas izgāztuvēs noteikšana</w:t>
        </w:r>
      </w:hyperlink>
      <w:r w:rsidRPr="005255EB">
        <w:rPr>
          <w:rFonts w:ascii="Times New Roman" w:hAnsi="Times New Roman" w:cs="Times New Roman"/>
        </w:rPr>
        <w:t>”</w:t>
      </w:r>
    </w:p>
  </w:footnote>
  <w:footnote w:id="6">
    <w:p w14:paraId="31C259B5" w14:textId="77777777" w:rsidR="00450392" w:rsidRPr="001A5D55" w:rsidRDefault="00450392" w:rsidP="00450392">
      <w:pPr>
        <w:pBdr>
          <w:top w:val="nil"/>
          <w:left w:val="nil"/>
          <w:bottom w:val="nil"/>
          <w:right w:val="nil"/>
          <w:between w:val="nil"/>
        </w:pBdr>
        <w:spacing w:after="0" w:line="240" w:lineRule="auto"/>
        <w:rPr>
          <w:rFonts w:ascii="Times New Roman" w:hAnsi="Times New Roman" w:cs="Times New Roman"/>
          <w:color w:val="000000"/>
          <w:sz w:val="20"/>
          <w:szCs w:val="20"/>
        </w:rPr>
      </w:pPr>
      <w:r w:rsidRPr="001A5D55">
        <w:rPr>
          <w:rFonts w:ascii="Times New Roman" w:hAnsi="Times New Roman" w:cs="Times New Roman"/>
          <w:sz w:val="20"/>
          <w:szCs w:val="20"/>
          <w:vertAlign w:val="superscript"/>
        </w:rPr>
        <w:footnoteRef/>
      </w:r>
      <w:r w:rsidRPr="001A5D55">
        <w:rPr>
          <w:rFonts w:ascii="Times New Roman" w:hAnsi="Times New Roman" w:cs="Times New Roman"/>
          <w:sz w:val="20"/>
          <w:szCs w:val="20"/>
        </w:rPr>
        <w:t xml:space="preserve"> </w:t>
      </w:r>
      <w:hyperlink r:id="rId5">
        <w:r w:rsidRPr="001A5D55">
          <w:rPr>
            <w:rFonts w:ascii="Times New Roman" w:hAnsi="Times New Roman" w:cs="Times New Roman"/>
            <w:sz w:val="20"/>
            <w:szCs w:val="20"/>
            <w:u w:val="single"/>
          </w:rPr>
          <w:t>https://www.varam.gov.lv/lv/attistibas-planosanas-dokumentu-projekti</w:t>
        </w:r>
      </w:hyperlink>
      <w:r w:rsidRPr="001A5D55">
        <w:rPr>
          <w:rFonts w:ascii="Times New Roman" w:hAnsi="Times New Roman" w:cs="Times New Roman"/>
          <w:sz w:val="20"/>
          <w:szCs w:val="20"/>
        </w:rPr>
        <w:t xml:space="preserve"> - versija uz 15.09.2021.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D10C3" w14:textId="77777777" w:rsidR="002F035D" w:rsidRDefault="002F035D" w:rsidP="00453CB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2FE8"/>
    <w:multiLevelType w:val="multilevel"/>
    <w:tmpl w:val="17C42306"/>
    <w:lvl w:ilvl="0">
      <w:start w:val="1"/>
      <w:numFmt w:val="decimal"/>
      <w:lvlText w:val="%1."/>
      <w:lvlJc w:val="left"/>
      <w:pPr>
        <w:ind w:left="432" w:hanging="432"/>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 w15:restartNumberingAfterBreak="0">
    <w:nsid w:val="088D4C72"/>
    <w:multiLevelType w:val="hybridMultilevel"/>
    <w:tmpl w:val="7CD0B2CA"/>
    <w:lvl w:ilvl="0" w:tplc="BB9E0D0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565A4B"/>
    <w:multiLevelType w:val="hybridMultilevel"/>
    <w:tmpl w:val="72C8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8B3DBE"/>
    <w:multiLevelType w:val="hybridMultilevel"/>
    <w:tmpl w:val="6F5441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24B0091"/>
    <w:multiLevelType w:val="hybridMultilevel"/>
    <w:tmpl w:val="BC0ED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D64928"/>
    <w:multiLevelType w:val="hybridMultilevel"/>
    <w:tmpl w:val="7F72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7" w15:restartNumberingAfterBreak="0">
    <w:nsid w:val="1B967152"/>
    <w:multiLevelType w:val="hybridMultilevel"/>
    <w:tmpl w:val="65B2E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D73835"/>
    <w:multiLevelType w:val="hybridMultilevel"/>
    <w:tmpl w:val="327057DC"/>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380" w:hanging="360"/>
      </w:pPr>
      <w:rPr>
        <w:rFonts w:ascii="Courier New" w:hAnsi="Courier New" w:cs="Courier New" w:hint="default"/>
      </w:rPr>
    </w:lvl>
    <w:lvl w:ilvl="2" w:tplc="04260005" w:tentative="1">
      <w:start w:val="1"/>
      <w:numFmt w:val="bullet"/>
      <w:lvlText w:val=""/>
      <w:lvlJc w:val="left"/>
      <w:pPr>
        <w:ind w:left="2100" w:hanging="360"/>
      </w:pPr>
      <w:rPr>
        <w:rFonts w:ascii="Wingdings" w:hAnsi="Wingdings" w:hint="default"/>
      </w:rPr>
    </w:lvl>
    <w:lvl w:ilvl="3" w:tplc="04260001" w:tentative="1">
      <w:start w:val="1"/>
      <w:numFmt w:val="bullet"/>
      <w:lvlText w:val=""/>
      <w:lvlJc w:val="left"/>
      <w:pPr>
        <w:ind w:left="2820" w:hanging="360"/>
      </w:pPr>
      <w:rPr>
        <w:rFonts w:ascii="Symbol" w:hAnsi="Symbol" w:hint="default"/>
      </w:rPr>
    </w:lvl>
    <w:lvl w:ilvl="4" w:tplc="04260003" w:tentative="1">
      <w:start w:val="1"/>
      <w:numFmt w:val="bullet"/>
      <w:lvlText w:val="o"/>
      <w:lvlJc w:val="left"/>
      <w:pPr>
        <w:ind w:left="3540" w:hanging="360"/>
      </w:pPr>
      <w:rPr>
        <w:rFonts w:ascii="Courier New" w:hAnsi="Courier New" w:cs="Courier New" w:hint="default"/>
      </w:rPr>
    </w:lvl>
    <w:lvl w:ilvl="5" w:tplc="04260005" w:tentative="1">
      <w:start w:val="1"/>
      <w:numFmt w:val="bullet"/>
      <w:lvlText w:val=""/>
      <w:lvlJc w:val="left"/>
      <w:pPr>
        <w:ind w:left="4260" w:hanging="360"/>
      </w:pPr>
      <w:rPr>
        <w:rFonts w:ascii="Wingdings" w:hAnsi="Wingdings" w:hint="default"/>
      </w:rPr>
    </w:lvl>
    <w:lvl w:ilvl="6" w:tplc="04260001" w:tentative="1">
      <w:start w:val="1"/>
      <w:numFmt w:val="bullet"/>
      <w:lvlText w:val=""/>
      <w:lvlJc w:val="left"/>
      <w:pPr>
        <w:ind w:left="4980" w:hanging="360"/>
      </w:pPr>
      <w:rPr>
        <w:rFonts w:ascii="Symbol" w:hAnsi="Symbol" w:hint="default"/>
      </w:rPr>
    </w:lvl>
    <w:lvl w:ilvl="7" w:tplc="04260003" w:tentative="1">
      <w:start w:val="1"/>
      <w:numFmt w:val="bullet"/>
      <w:lvlText w:val="o"/>
      <w:lvlJc w:val="left"/>
      <w:pPr>
        <w:ind w:left="5700" w:hanging="360"/>
      </w:pPr>
      <w:rPr>
        <w:rFonts w:ascii="Courier New" w:hAnsi="Courier New" w:cs="Courier New" w:hint="default"/>
      </w:rPr>
    </w:lvl>
    <w:lvl w:ilvl="8" w:tplc="04260005" w:tentative="1">
      <w:start w:val="1"/>
      <w:numFmt w:val="bullet"/>
      <w:lvlText w:val=""/>
      <w:lvlJc w:val="left"/>
      <w:pPr>
        <w:ind w:left="6420" w:hanging="360"/>
      </w:pPr>
      <w:rPr>
        <w:rFonts w:ascii="Wingdings" w:hAnsi="Wingdings" w:hint="default"/>
      </w:rPr>
    </w:lvl>
  </w:abstractNum>
  <w:abstractNum w:abstractNumId="9" w15:restartNumberingAfterBreak="0">
    <w:nsid w:val="1C2024B2"/>
    <w:multiLevelType w:val="hybridMultilevel"/>
    <w:tmpl w:val="3ADC5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1447B3"/>
    <w:multiLevelType w:val="hybridMultilevel"/>
    <w:tmpl w:val="CB3C4E14"/>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080AF8"/>
    <w:multiLevelType w:val="hybridMultilevel"/>
    <w:tmpl w:val="F6B2C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963BC1"/>
    <w:multiLevelType w:val="hybridMultilevel"/>
    <w:tmpl w:val="2CB0DAC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AB624744">
      <w:start w:val="1"/>
      <w:numFmt w:val="decimal"/>
      <w:lvlText w:val="%3."/>
      <w:lvlJc w:val="left"/>
      <w:pPr>
        <w:ind w:left="2340" w:hanging="360"/>
      </w:pPr>
      <w:rPr>
        <w:rFonts w:hint="default"/>
      </w:rPr>
    </w:lvl>
    <w:lvl w:ilvl="3" w:tplc="FABEFD52">
      <w:start w:val="1"/>
      <w:numFmt w:val="lowerLetter"/>
      <w:lvlText w:val="%4)"/>
      <w:lvlJc w:val="left"/>
      <w:pPr>
        <w:ind w:left="2880" w:hanging="360"/>
      </w:pPr>
      <w:rPr>
        <w:rFonts w:hint="default"/>
      </w:rPr>
    </w:lvl>
    <w:lvl w:ilvl="4" w:tplc="2CDA0694">
      <w:start w:val="1"/>
      <w:numFmt w:val="lowerLetter"/>
      <w:lvlText w:val="%5)"/>
      <w:lvlJc w:val="left"/>
      <w:pPr>
        <w:ind w:left="3600" w:hanging="360"/>
      </w:pPr>
      <w:rPr>
        <w:rFonts w:asciiTheme="minorHAnsi" w:eastAsia="Times New Roman" w:hAnsiTheme="minorHAnsi" w:cs="Times New Roman"/>
      </w:r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4A46AB7"/>
    <w:multiLevelType w:val="multilevel"/>
    <w:tmpl w:val="9E8AB824"/>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tabs>
          <w:tab w:val="num" w:pos="1440"/>
        </w:tabs>
        <w:ind w:left="1440" w:hanging="360"/>
      </w:pPr>
      <w:rPr>
        <w:rFonts w:ascii="Calibri" w:eastAsiaTheme="minorHAnsi" w:hAnsi="Calibri" w:cs="Calibri" w:hint="default"/>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404C62"/>
    <w:multiLevelType w:val="hybridMultilevel"/>
    <w:tmpl w:val="1756A690"/>
    <w:lvl w:ilvl="0" w:tplc="04260001">
      <w:start w:val="1"/>
      <w:numFmt w:val="bullet"/>
      <w:lvlText w:val=""/>
      <w:lvlJc w:val="left"/>
      <w:pPr>
        <w:ind w:left="1080" w:hanging="360"/>
      </w:pPr>
      <w:rPr>
        <w:rFonts w:ascii="Symbol" w:hAnsi="Symbol"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256958D9"/>
    <w:multiLevelType w:val="hybridMultilevel"/>
    <w:tmpl w:val="9026A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F1422C"/>
    <w:multiLevelType w:val="hybridMultilevel"/>
    <w:tmpl w:val="CDBADB6C"/>
    <w:lvl w:ilvl="0" w:tplc="0409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A11363"/>
    <w:multiLevelType w:val="hybridMultilevel"/>
    <w:tmpl w:val="D17C18EA"/>
    <w:lvl w:ilvl="0" w:tplc="1A9E910E">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7E93D5B"/>
    <w:multiLevelType w:val="hybridMultilevel"/>
    <w:tmpl w:val="3424D5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2A49672C"/>
    <w:multiLevelType w:val="hybridMultilevel"/>
    <w:tmpl w:val="E38AD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E73BD0"/>
    <w:multiLevelType w:val="hybridMultilevel"/>
    <w:tmpl w:val="D66ED30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1" w15:restartNumberingAfterBreak="0">
    <w:nsid w:val="2E2C7B70"/>
    <w:multiLevelType w:val="hybridMultilevel"/>
    <w:tmpl w:val="B0FA1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411368"/>
    <w:multiLevelType w:val="hybridMultilevel"/>
    <w:tmpl w:val="5008D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2E40E0D"/>
    <w:multiLevelType w:val="hybridMultilevel"/>
    <w:tmpl w:val="507E5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D51DAB"/>
    <w:multiLevelType w:val="hybridMultilevel"/>
    <w:tmpl w:val="A3545D3C"/>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8DA44E0"/>
    <w:multiLevelType w:val="hybridMultilevel"/>
    <w:tmpl w:val="F97E1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4A3976"/>
    <w:multiLevelType w:val="multilevel"/>
    <w:tmpl w:val="30DAA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553B5B"/>
    <w:multiLevelType w:val="hybridMultilevel"/>
    <w:tmpl w:val="9FF2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CD85B45"/>
    <w:multiLevelType w:val="hybridMultilevel"/>
    <w:tmpl w:val="4DCCE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3E72FE"/>
    <w:multiLevelType w:val="hybridMultilevel"/>
    <w:tmpl w:val="7DB88B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FEC145B"/>
    <w:multiLevelType w:val="hybridMultilevel"/>
    <w:tmpl w:val="3AA2E722"/>
    <w:lvl w:ilvl="0" w:tplc="04090001">
      <w:start w:val="1"/>
      <w:numFmt w:val="bullet"/>
      <w:lvlText w:val=""/>
      <w:lvlJc w:val="left"/>
      <w:pPr>
        <w:ind w:left="751" w:hanging="360"/>
      </w:pPr>
      <w:rPr>
        <w:rFonts w:ascii="Symbol" w:hAnsi="Symbol" w:hint="default"/>
      </w:rPr>
    </w:lvl>
    <w:lvl w:ilvl="1" w:tplc="04090003" w:tentative="1">
      <w:start w:val="1"/>
      <w:numFmt w:val="bullet"/>
      <w:lvlText w:val="o"/>
      <w:lvlJc w:val="left"/>
      <w:pPr>
        <w:ind w:left="1471" w:hanging="360"/>
      </w:pPr>
      <w:rPr>
        <w:rFonts w:ascii="Courier New" w:hAnsi="Courier New" w:cs="Courier New" w:hint="default"/>
      </w:rPr>
    </w:lvl>
    <w:lvl w:ilvl="2" w:tplc="04090005" w:tentative="1">
      <w:start w:val="1"/>
      <w:numFmt w:val="bullet"/>
      <w:lvlText w:val=""/>
      <w:lvlJc w:val="left"/>
      <w:pPr>
        <w:ind w:left="2191" w:hanging="360"/>
      </w:pPr>
      <w:rPr>
        <w:rFonts w:ascii="Wingdings" w:hAnsi="Wingdings" w:hint="default"/>
      </w:rPr>
    </w:lvl>
    <w:lvl w:ilvl="3" w:tplc="04090001" w:tentative="1">
      <w:start w:val="1"/>
      <w:numFmt w:val="bullet"/>
      <w:lvlText w:val=""/>
      <w:lvlJc w:val="left"/>
      <w:pPr>
        <w:ind w:left="2911" w:hanging="360"/>
      </w:pPr>
      <w:rPr>
        <w:rFonts w:ascii="Symbol" w:hAnsi="Symbol" w:hint="default"/>
      </w:rPr>
    </w:lvl>
    <w:lvl w:ilvl="4" w:tplc="04090003" w:tentative="1">
      <w:start w:val="1"/>
      <w:numFmt w:val="bullet"/>
      <w:lvlText w:val="o"/>
      <w:lvlJc w:val="left"/>
      <w:pPr>
        <w:ind w:left="3631" w:hanging="360"/>
      </w:pPr>
      <w:rPr>
        <w:rFonts w:ascii="Courier New" w:hAnsi="Courier New" w:cs="Courier New" w:hint="default"/>
      </w:rPr>
    </w:lvl>
    <w:lvl w:ilvl="5" w:tplc="04090005" w:tentative="1">
      <w:start w:val="1"/>
      <w:numFmt w:val="bullet"/>
      <w:lvlText w:val=""/>
      <w:lvlJc w:val="left"/>
      <w:pPr>
        <w:ind w:left="4351" w:hanging="360"/>
      </w:pPr>
      <w:rPr>
        <w:rFonts w:ascii="Wingdings" w:hAnsi="Wingdings" w:hint="default"/>
      </w:rPr>
    </w:lvl>
    <w:lvl w:ilvl="6" w:tplc="04090001" w:tentative="1">
      <w:start w:val="1"/>
      <w:numFmt w:val="bullet"/>
      <w:lvlText w:val=""/>
      <w:lvlJc w:val="left"/>
      <w:pPr>
        <w:ind w:left="5071" w:hanging="360"/>
      </w:pPr>
      <w:rPr>
        <w:rFonts w:ascii="Symbol" w:hAnsi="Symbol" w:hint="default"/>
      </w:rPr>
    </w:lvl>
    <w:lvl w:ilvl="7" w:tplc="04090003" w:tentative="1">
      <w:start w:val="1"/>
      <w:numFmt w:val="bullet"/>
      <w:lvlText w:val="o"/>
      <w:lvlJc w:val="left"/>
      <w:pPr>
        <w:ind w:left="5791" w:hanging="360"/>
      </w:pPr>
      <w:rPr>
        <w:rFonts w:ascii="Courier New" w:hAnsi="Courier New" w:cs="Courier New" w:hint="default"/>
      </w:rPr>
    </w:lvl>
    <w:lvl w:ilvl="8" w:tplc="04090005" w:tentative="1">
      <w:start w:val="1"/>
      <w:numFmt w:val="bullet"/>
      <w:lvlText w:val=""/>
      <w:lvlJc w:val="left"/>
      <w:pPr>
        <w:ind w:left="6511" w:hanging="360"/>
      </w:pPr>
      <w:rPr>
        <w:rFonts w:ascii="Wingdings" w:hAnsi="Wingdings" w:hint="default"/>
      </w:rPr>
    </w:lvl>
  </w:abstractNum>
  <w:abstractNum w:abstractNumId="31" w15:restartNumberingAfterBreak="0">
    <w:nsid w:val="44583902"/>
    <w:multiLevelType w:val="hybridMultilevel"/>
    <w:tmpl w:val="26166C06"/>
    <w:lvl w:ilvl="0" w:tplc="11BE091E">
      <w:start w:val="1"/>
      <w:numFmt w:val="decimal"/>
      <w:lvlText w:val="%1."/>
      <w:lvlJc w:val="left"/>
      <w:pPr>
        <w:ind w:left="2490" w:hanging="360"/>
      </w:pPr>
      <w:rPr>
        <w:rFonts w:hint="default"/>
      </w:rPr>
    </w:lvl>
    <w:lvl w:ilvl="1" w:tplc="04260019" w:tentative="1">
      <w:start w:val="1"/>
      <w:numFmt w:val="lowerLetter"/>
      <w:lvlText w:val="%2."/>
      <w:lvlJc w:val="left"/>
      <w:pPr>
        <w:ind w:left="3210" w:hanging="360"/>
      </w:pPr>
    </w:lvl>
    <w:lvl w:ilvl="2" w:tplc="0426001B" w:tentative="1">
      <w:start w:val="1"/>
      <w:numFmt w:val="lowerRoman"/>
      <w:lvlText w:val="%3."/>
      <w:lvlJc w:val="right"/>
      <w:pPr>
        <w:ind w:left="3930" w:hanging="180"/>
      </w:pPr>
    </w:lvl>
    <w:lvl w:ilvl="3" w:tplc="0426000F" w:tentative="1">
      <w:start w:val="1"/>
      <w:numFmt w:val="decimal"/>
      <w:lvlText w:val="%4."/>
      <w:lvlJc w:val="left"/>
      <w:pPr>
        <w:ind w:left="4650" w:hanging="360"/>
      </w:pPr>
    </w:lvl>
    <w:lvl w:ilvl="4" w:tplc="04260019" w:tentative="1">
      <w:start w:val="1"/>
      <w:numFmt w:val="lowerLetter"/>
      <w:lvlText w:val="%5."/>
      <w:lvlJc w:val="left"/>
      <w:pPr>
        <w:ind w:left="5370" w:hanging="360"/>
      </w:pPr>
    </w:lvl>
    <w:lvl w:ilvl="5" w:tplc="0426001B" w:tentative="1">
      <w:start w:val="1"/>
      <w:numFmt w:val="lowerRoman"/>
      <w:lvlText w:val="%6."/>
      <w:lvlJc w:val="right"/>
      <w:pPr>
        <w:ind w:left="6090" w:hanging="180"/>
      </w:pPr>
    </w:lvl>
    <w:lvl w:ilvl="6" w:tplc="0426000F" w:tentative="1">
      <w:start w:val="1"/>
      <w:numFmt w:val="decimal"/>
      <w:lvlText w:val="%7."/>
      <w:lvlJc w:val="left"/>
      <w:pPr>
        <w:ind w:left="6810" w:hanging="360"/>
      </w:pPr>
    </w:lvl>
    <w:lvl w:ilvl="7" w:tplc="04260019" w:tentative="1">
      <w:start w:val="1"/>
      <w:numFmt w:val="lowerLetter"/>
      <w:lvlText w:val="%8."/>
      <w:lvlJc w:val="left"/>
      <w:pPr>
        <w:ind w:left="7530" w:hanging="360"/>
      </w:pPr>
    </w:lvl>
    <w:lvl w:ilvl="8" w:tplc="0426001B" w:tentative="1">
      <w:start w:val="1"/>
      <w:numFmt w:val="lowerRoman"/>
      <w:lvlText w:val="%9."/>
      <w:lvlJc w:val="right"/>
      <w:pPr>
        <w:ind w:left="8250" w:hanging="180"/>
      </w:pPr>
    </w:lvl>
  </w:abstractNum>
  <w:abstractNum w:abstractNumId="32" w15:restartNumberingAfterBreak="0">
    <w:nsid w:val="457978C0"/>
    <w:multiLevelType w:val="hybridMultilevel"/>
    <w:tmpl w:val="3B964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6416B9E"/>
    <w:multiLevelType w:val="hybridMultilevel"/>
    <w:tmpl w:val="D5526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8FF13FD"/>
    <w:multiLevelType w:val="hybridMultilevel"/>
    <w:tmpl w:val="20BC3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9B02241"/>
    <w:multiLevelType w:val="hybridMultilevel"/>
    <w:tmpl w:val="BF7ED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A2D6448"/>
    <w:multiLevelType w:val="hybridMultilevel"/>
    <w:tmpl w:val="E684F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AC8202F"/>
    <w:multiLevelType w:val="multilevel"/>
    <w:tmpl w:val="DAAC84E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4F390C40"/>
    <w:multiLevelType w:val="hybridMultilevel"/>
    <w:tmpl w:val="4C501986"/>
    <w:lvl w:ilvl="0" w:tplc="04260001">
      <w:start w:val="1"/>
      <w:numFmt w:val="bullet"/>
      <w:lvlText w:val=""/>
      <w:lvlJc w:val="left"/>
      <w:pPr>
        <w:ind w:left="720" w:hanging="360"/>
      </w:pPr>
      <w:rPr>
        <w:rFonts w:ascii="Symbol" w:hAnsi="Symbol" w:hint="default"/>
      </w:rPr>
    </w:lvl>
    <w:lvl w:ilvl="1" w:tplc="04090009">
      <w:start w:val="1"/>
      <w:numFmt w:val="bullet"/>
      <w:lvlText w:val=""/>
      <w:lvlJc w:val="left"/>
      <w:pPr>
        <w:ind w:left="1440" w:hanging="360"/>
      </w:pPr>
      <w:rPr>
        <w:rFonts w:ascii="Wingdings" w:hAnsi="Wingdings"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4F942FDE"/>
    <w:multiLevelType w:val="hybridMultilevel"/>
    <w:tmpl w:val="04D0F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1167397"/>
    <w:multiLevelType w:val="hybridMultilevel"/>
    <w:tmpl w:val="68E4755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2183ACC"/>
    <w:multiLevelType w:val="hybridMultilevel"/>
    <w:tmpl w:val="A066D7E8"/>
    <w:lvl w:ilvl="0" w:tplc="1A9E910E">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51F5572"/>
    <w:multiLevelType w:val="hybridMultilevel"/>
    <w:tmpl w:val="72FEE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66C2246"/>
    <w:multiLevelType w:val="multilevel"/>
    <w:tmpl w:val="2E2EF0F2"/>
    <w:lvl w:ilvl="0">
      <w:start w:val="4"/>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56BE0091"/>
    <w:multiLevelType w:val="hybridMultilevel"/>
    <w:tmpl w:val="5D10B54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5D071C8A"/>
    <w:multiLevelType w:val="hybridMultilevel"/>
    <w:tmpl w:val="38043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4B56C7"/>
    <w:multiLevelType w:val="hybridMultilevel"/>
    <w:tmpl w:val="C6961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D6D76B4"/>
    <w:multiLevelType w:val="hybridMultilevel"/>
    <w:tmpl w:val="61904AA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F4D4E48"/>
    <w:multiLevelType w:val="hybridMultilevel"/>
    <w:tmpl w:val="4964189C"/>
    <w:lvl w:ilvl="0" w:tplc="1A9E910E">
      <w:start w:val="1"/>
      <w:numFmt w:val="bullet"/>
      <w:lvlText w:val="-"/>
      <w:lvlJc w:val="left"/>
      <w:pPr>
        <w:ind w:left="1080" w:hanging="360"/>
      </w:pPr>
      <w:rPr>
        <w:rFonts w:ascii="Calibri" w:eastAsiaTheme="minorHAnsi" w:hAnsi="Calibri" w:cs="Calibri" w:hint="default"/>
      </w:rPr>
    </w:lvl>
    <w:lvl w:ilvl="1" w:tplc="6C2EC3CA">
      <w:numFmt w:val="bullet"/>
      <w:lvlText w:val="•"/>
      <w:lvlJc w:val="left"/>
      <w:pPr>
        <w:ind w:left="2160" w:hanging="720"/>
      </w:pPr>
      <w:rPr>
        <w:rFonts w:ascii="Calibri" w:eastAsiaTheme="minorHAnsi" w:hAnsi="Calibri" w:cs="Calibr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5FE7752E"/>
    <w:multiLevelType w:val="hybridMultilevel"/>
    <w:tmpl w:val="07E64A1E"/>
    <w:lvl w:ilvl="0" w:tplc="04090001">
      <w:start w:val="1"/>
      <w:numFmt w:val="bullet"/>
      <w:lvlText w:val=""/>
      <w:lvlJc w:val="left"/>
      <w:pPr>
        <w:ind w:left="720" w:hanging="360"/>
      </w:pPr>
      <w:rPr>
        <w:rFonts w:ascii="Symbol" w:hAnsi="Symbol" w:hint="default"/>
      </w:rPr>
    </w:lvl>
    <w:lvl w:ilvl="1" w:tplc="7A520580">
      <w:start w:val="3"/>
      <w:numFmt w:val="bullet"/>
      <w:lvlText w:val="—"/>
      <w:lvlJc w:val="left"/>
      <w:pPr>
        <w:ind w:left="1440" w:hanging="360"/>
      </w:pPr>
      <w:rPr>
        <w:rFonts w:ascii="Times_New_Roman+20" w:eastAsiaTheme="minorHAnsi" w:hAnsi="Times_New_Roman+20" w:cs="Times_New_Roman+20"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00F6F1E"/>
    <w:multiLevelType w:val="hybridMultilevel"/>
    <w:tmpl w:val="E880FFEE"/>
    <w:lvl w:ilvl="0" w:tplc="E4401D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0253AAB"/>
    <w:multiLevelType w:val="multilevel"/>
    <w:tmpl w:val="40485E1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0DD3824"/>
    <w:multiLevelType w:val="hybridMultilevel"/>
    <w:tmpl w:val="FEE08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1AB217A"/>
    <w:multiLevelType w:val="hybridMultilevel"/>
    <w:tmpl w:val="C9E4EDB4"/>
    <w:lvl w:ilvl="0" w:tplc="BB9E0D0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4C702EA"/>
    <w:multiLevelType w:val="hybridMultilevel"/>
    <w:tmpl w:val="AC9A0FF0"/>
    <w:lvl w:ilvl="0" w:tplc="BB9E0D0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51B1BC6"/>
    <w:multiLevelType w:val="hybridMultilevel"/>
    <w:tmpl w:val="3EF49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5734AAE"/>
    <w:multiLevelType w:val="hybridMultilevel"/>
    <w:tmpl w:val="573AE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5CA346E"/>
    <w:multiLevelType w:val="hybridMultilevel"/>
    <w:tmpl w:val="34D64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6662E2F"/>
    <w:multiLevelType w:val="multilevel"/>
    <w:tmpl w:val="1BBE9F0A"/>
    <w:lvl w:ilvl="0">
      <w:start w:val="1"/>
      <w:numFmt w:val="lowerLetter"/>
      <w:lvlText w:val="%1)"/>
      <w:lvlJc w:val="left"/>
      <w:pPr>
        <w:tabs>
          <w:tab w:val="num" w:pos="720"/>
        </w:tabs>
        <w:ind w:left="720" w:hanging="360"/>
      </w:pPr>
      <w:rPr>
        <w:rFonts w:hint="default"/>
        <w:sz w:val="20"/>
      </w:rPr>
    </w:lvl>
    <w:lvl w:ilvl="1">
      <w:start w:val="4"/>
      <w:numFmt w:val="bullet"/>
      <w:lvlText w:val="•"/>
      <w:lvlJc w:val="left"/>
      <w:pPr>
        <w:tabs>
          <w:tab w:val="num" w:pos="1440"/>
        </w:tabs>
        <w:ind w:left="1440" w:hanging="360"/>
      </w:pPr>
      <w:rPr>
        <w:rFonts w:ascii="Calibri" w:eastAsiaTheme="minorHAnsi" w:hAnsi="Calibri" w:cs="Calibri" w:hint="default"/>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A6F6474"/>
    <w:multiLevelType w:val="hybridMultilevel"/>
    <w:tmpl w:val="664859FA"/>
    <w:lvl w:ilvl="0" w:tplc="5EAA1D32">
      <w:start w:val="1"/>
      <w:numFmt w:val="decimal"/>
      <w:pStyle w:val="ftref"/>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6E38236B"/>
    <w:multiLevelType w:val="hybridMultilevel"/>
    <w:tmpl w:val="01D80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22703FE"/>
    <w:multiLevelType w:val="hybridMultilevel"/>
    <w:tmpl w:val="89F4E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53001FD"/>
    <w:multiLevelType w:val="hybridMultilevel"/>
    <w:tmpl w:val="C9CC21E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3" w15:restartNumberingAfterBreak="0">
    <w:nsid w:val="75656996"/>
    <w:multiLevelType w:val="hybridMultilevel"/>
    <w:tmpl w:val="91E0B0C2"/>
    <w:lvl w:ilvl="0" w:tplc="86DC291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4" w15:restartNumberingAfterBreak="0">
    <w:nsid w:val="772A4F0A"/>
    <w:multiLevelType w:val="hybridMultilevel"/>
    <w:tmpl w:val="9AF8C33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5" w15:restartNumberingAfterBreak="0">
    <w:nsid w:val="77402786"/>
    <w:multiLevelType w:val="hybridMultilevel"/>
    <w:tmpl w:val="D7C0815C"/>
    <w:lvl w:ilvl="0" w:tplc="8FCC17DC">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7A7096F"/>
    <w:multiLevelType w:val="hybridMultilevel"/>
    <w:tmpl w:val="498AB3CC"/>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7" w15:restartNumberingAfterBreak="0">
    <w:nsid w:val="7D7A0332"/>
    <w:multiLevelType w:val="hybridMultilevel"/>
    <w:tmpl w:val="4FEEEB90"/>
    <w:lvl w:ilvl="0" w:tplc="BB9E0D0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D9B74DE"/>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9" w15:restartNumberingAfterBreak="0">
    <w:nsid w:val="7F2A38AD"/>
    <w:multiLevelType w:val="hybridMultilevel"/>
    <w:tmpl w:val="EFE01E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3977978">
    <w:abstractNumId w:val="44"/>
  </w:num>
  <w:num w:numId="2" w16cid:durableId="2036035298">
    <w:abstractNumId w:val="68"/>
  </w:num>
  <w:num w:numId="3" w16cid:durableId="1625965851">
    <w:abstractNumId w:val="64"/>
  </w:num>
  <w:num w:numId="4" w16cid:durableId="1012416858">
    <w:abstractNumId w:val="38"/>
  </w:num>
  <w:num w:numId="5" w16cid:durableId="1653218906">
    <w:abstractNumId w:val="0"/>
  </w:num>
  <w:num w:numId="6" w16cid:durableId="203643873">
    <w:abstractNumId w:val="6"/>
  </w:num>
  <w:num w:numId="7" w16cid:durableId="1855001067">
    <w:abstractNumId w:val="46"/>
  </w:num>
  <w:num w:numId="8" w16cid:durableId="309747335">
    <w:abstractNumId w:val="24"/>
  </w:num>
  <w:num w:numId="9" w16cid:durableId="631909213">
    <w:abstractNumId w:val="65"/>
  </w:num>
  <w:num w:numId="10" w16cid:durableId="1791509824">
    <w:abstractNumId w:val="50"/>
  </w:num>
  <w:num w:numId="11" w16cid:durableId="777987632">
    <w:abstractNumId w:val="32"/>
  </w:num>
  <w:num w:numId="12" w16cid:durableId="1116943191">
    <w:abstractNumId w:val="16"/>
  </w:num>
  <w:num w:numId="13" w16cid:durableId="83846849">
    <w:abstractNumId w:val="35"/>
  </w:num>
  <w:num w:numId="14" w16cid:durableId="1564874615">
    <w:abstractNumId w:val="11"/>
  </w:num>
  <w:num w:numId="15" w16cid:durableId="2096898865">
    <w:abstractNumId w:val="36"/>
  </w:num>
  <w:num w:numId="16" w16cid:durableId="1398629133">
    <w:abstractNumId w:val="34"/>
  </w:num>
  <w:num w:numId="17" w16cid:durableId="2065788035">
    <w:abstractNumId w:val="49"/>
  </w:num>
  <w:num w:numId="18" w16cid:durableId="1002707643">
    <w:abstractNumId w:val="39"/>
  </w:num>
  <w:num w:numId="19" w16cid:durableId="41370498">
    <w:abstractNumId w:val="29"/>
  </w:num>
  <w:num w:numId="20" w16cid:durableId="1064182680">
    <w:abstractNumId w:val="23"/>
  </w:num>
  <w:num w:numId="21" w16cid:durableId="1389189808">
    <w:abstractNumId w:val="42"/>
  </w:num>
  <w:num w:numId="22" w16cid:durableId="2096974515">
    <w:abstractNumId w:val="4"/>
  </w:num>
  <w:num w:numId="23" w16cid:durableId="1303391709">
    <w:abstractNumId w:val="40"/>
  </w:num>
  <w:num w:numId="24" w16cid:durableId="577859845">
    <w:abstractNumId w:val="61"/>
  </w:num>
  <w:num w:numId="25" w16cid:durableId="648481545">
    <w:abstractNumId w:val="28"/>
  </w:num>
  <w:num w:numId="26" w16cid:durableId="2112507706">
    <w:abstractNumId w:val="15"/>
  </w:num>
  <w:num w:numId="27" w16cid:durableId="467741625">
    <w:abstractNumId w:val="55"/>
  </w:num>
  <w:num w:numId="28" w16cid:durableId="950476922">
    <w:abstractNumId w:val="7"/>
  </w:num>
  <w:num w:numId="29" w16cid:durableId="2054839634">
    <w:abstractNumId w:val="17"/>
  </w:num>
  <w:num w:numId="30" w16cid:durableId="1944994095">
    <w:abstractNumId w:val="60"/>
  </w:num>
  <w:num w:numId="31" w16cid:durableId="1899855275">
    <w:abstractNumId w:val="41"/>
  </w:num>
  <w:num w:numId="32" w16cid:durableId="914169004">
    <w:abstractNumId w:val="52"/>
  </w:num>
  <w:num w:numId="33" w16cid:durableId="744962228">
    <w:abstractNumId w:val="48"/>
  </w:num>
  <w:num w:numId="34" w16cid:durableId="366611814">
    <w:abstractNumId w:val="45"/>
  </w:num>
  <w:num w:numId="35" w16cid:durableId="697779893">
    <w:abstractNumId w:val="56"/>
  </w:num>
  <w:num w:numId="36" w16cid:durableId="1896040115">
    <w:abstractNumId w:val="57"/>
  </w:num>
  <w:num w:numId="37" w16cid:durableId="1356807927">
    <w:abstractNumId w:val="25"/>
  </w:num>
  <w:num w:numId="38" w16cid:durableId="1192039360">
    <w:abstractNumId w:val="19"/>
  </w:num>
  <w:num w:numId="39" w16cid:durableId="506486904">
    <w:abstractNumId w:val="47"/>
  </w:num>
  <w:num w:numId="40" w16cid:durableId="960920360">
    <w:abstractNumId w:val="30"/>
  </w:num>
  <w:num w:numId="41" w16cid:durableId="1005940282">
    <w:abstractNumId w:val="69"/>
  </w:num>
  <w:num w:numId="42" w16cid:durableId="1710184526">
    <w:abstractNumId w:val="27"/>
  </w:num>
  <w:num w:numId="43" w16cid:durableId="172230698">
    <w:abstractNumId w:val="54"/>
  </w:num>
  <w:num w:numId="44" w16cid:durableId="247886363">
    <w:abstractNumId w:val="67"/>
  </w:num>
  <w:num w:numId="45" w16cid:durableId="1628583368">
    <w:abstractNumId w:val="2"/>
  </w:num>
  <w:num w:numId="46" w16cid:durableId="2010283478">
    <w:abstractNumId w:val="22"/>
  </w:num>
  <w:num w:numId="47" w16cid:durableId="1155341780">
    <w:abstractNumId w:val="18"/>
  </w:num>
  <w:num w:numId="48" w16cid:durableId="903759284">
    <w:abstractNumId w:val="3"/>
  </w:num>
  <w:num w:numId="49" w16cid:durableId="2035106659">
    <w:abstractNumId w:val="14"/>
  </w:num>
  <w:num w:numId="50" w16cid:durableId="867718529">
    <w:abstractNumId w:val="53"/>
  </w:num>
  <w:num w:numId="51" w16cid:durableId="290018485">
    <w:abstractNumId w:val="21"/>
  </w:num>
  <w:num w:numId="52" w16cid:durableId="27342333">
    <w:abstractNumId w:val="9"/>
  </w:num>
  <w:num w:numId="53" w16cid:durableId="532763948">
    <w:abstractNumId w:val="1"/>
  </w:num>
  <w:num w:numId="54" w16cid:durableId="1365247623">
    <w:abstractNumId w:val="59"/>
  </w:num>
  <w:num w:numId="55" w16cid:durableId="1897086169">
    <w:abstractNumId w:val="5"/>
  </w:num>
  <w:num w:numId="56" w16cid:durableId="644046913">
    <w:abstractNumId w:val="33"/>
  </w:num>
  <w:num w:numId="57" w16cid:durableId="143395746">
    <w:abstractNumId w:val="26"/>
  </w:num>
  <w:num w:numId="58" w16cid:durableId="1903328611">
    <w:abstractNumId w:val="13"/>
  </w:num>
  <w:num w:numId="59" w16cid:durableId="979773799">
    <w:abstractNumId w:val="63"/>
  </w:num>
  <w:num w:numId="60" w16cid:durableId="2123766996">
    <w:abstractNumId w:val="12"/>
  </w:num>
  <w:num w:numId="61" w16cid:durableId="1258172791">
    <w:abstractNumId w:val="58"/>
  </w:num>
  <w:num w:numId="62" w16cid:durableId="600188167">
    <w:abstractNumId w:val="51"/>
  </w:num>
  <w:num w:numId="63" w16cid:durableId="2108692784">
    <w:abstractNumId w:val="20"/>
  </w:num>
  <w:num w:numId="64" w16cid:durableId="1544904361">
    <w:abstractNumId w:val="66"/>
  </w:num>
  <w:num w:numId="65" w16cid:durableId="48844490">
    <w:abstractNumId w:val="37"/>
  </w:num>
  <w:num w:numId="66" w16cid:durableId="1673222705">
    <w:abstractNumId w:val="10"/>
  </w:num>
  <w:num w:numId="67" w16cid:durableId="875582126">
    <w:abstractNumId w:val="8"/>
  </w:num>
  <w:num w:numId="68" w16cid:durableId="2104301623">
    <w:abstractNumId w:val="62"/>
  </w:num>
  <w:num w:numId="69" w16cid:durableId="644820889">
    <w:abstractNumId w:val="31"/>
  </w:num>
  <w:num w:numId="70" w16cid:durableId="1741245974">
    <w:abstractNumId w:val="4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LQwMbY0MTC2MDA0MLBQ0lEKTi0uzszPAykwqQUAw24CoiwAAAA="/>
  </w:docVars>
  <w:rsids>
    <w:rsidRoot w:val="004325D8"/>
    <w:rsid w:val="00000866"/>
    <w:rsid w:val="00001437"/>
    <w:rsid w:val="00001A05"/>
    <w:rsid w:val="000024F2"/>
    <w:rsid w:val="00002677"/>
    <w:rsid w:val="00004387"/>
    <w:rsid w:val="00004F75"/>
    <w:rsid w:val="00004F8E"/>
    <w:rsid w:val="00005402"/>
    <w:rsid w:val="0000728D"/>
    <w:rsid w:val="00007BEB"/>
    <w:rsid w:val="000123FA"/>
    <w:rsid w:val="00015F27"/>
    <w:rsid w:val="00016D8A"/>
    <w:rsid w:val="0001721E"/>
    <w:rsid w:val="00021B23"/>
    <w:rsid w:val="00026AEF"/>
    <w:rsid w:val="00030ACA"/>
    <w:rsid w:val="00031FEB"/>
    <w:rsid w:val="00032594"/>
    <w:rsid w:val="00032A2E"/>
    <w:rsid w:val="00033EBA"/>
    <w:rsid w:val="00034127"/>
    <w:rsid w:val="000350C2"/>
    <w:rsid w:val="00040849"/>
    <w:rsid w:val="00040BF7"/>
    <w:rsid w:val="00041ED1"/>
    <w:rsid w:val="000433BB"/>
    <w:rsid w:val="00045615"/>
    <w:rsid w:val="000459E8"/>
    <w:rsid w:val="000460D2"/>
    <w:rsid w:val="000477D6"/>
    <w:rsid w:val="00047CD0"/>
    <w:rsid w:val="00051346"/>
    <w:rsid w:val="00051F9A"/>
    <w:rsid w:val="00052B81"/>
    <w:rsid w:val="00056645"/>
    <w:rsid w:val="0006071D"/>
    <w:rsid w:val="00062877"/>
    <w:rsid w:val="00062981"/>
    <w:rsid w:val="00062DB4"/>
    <w:rsid w:val="000630E8"/>
    <w:rsid w:val="00063130"/>
    <w:rsid w:val="00065DD7"/>
    <w:rsid w:val="00066090"/>
    <w:rsid w:val="00073976"/>
    <w:rsid w:val="00075AD8"/>
    <w:rsid w:val="00077FFC"/>
    <w:rsid w:val="00080AF1"/>
    <w:rsid w:val="00082C4E"/>
    <w:rsid w:val="000852F2"/>
    <w:rsid w:val="00085B3B"/>
    <w:rsid w:val="00085C7D"/>
    <w:rsid w:val="00087312"/>
    <w:rsid w:val="0009078D"/>
    <w:rsid w:val="00091F9B"/>
    <w:rsid w:val="000925AD"/>
    <w:rsid w:val="00092632"/>
    <w:rsid w:val="0009445D"/>
    <w:rsid w:val="00095F33"/>
    <w:rsid w:val="000972B0"/>
    <w:rsid w:val="00097442"/>
    <w:rsid w:val="000A20ED"/>
    <w:rsid w:val="000A4AB0"/>
    <w:rsid w:val="000A4DF5"/>
    <w:rsid w:val="000A5528"/>
    <w:rsid w:val="000A621C"/>
    <w:rsid w:val="000A71E3"/>
    <w:rsid w:val="000B0F2A"/>
    <w:rsid w:val="000B2892"/>
    <w:rsid w:val="000B2C8C"/>
    <w:rsid w:val="000B366F"/>
    <w:rsid w:val="000B49AA"/>
    <w:rsid w:val="000B67EC"/>
    <w:rsid w:val="000B7136"/>
    <w:rsid w:val="000B7FC5"/>
    <w:rsid w:val="000C03DB"/>
    <w:rsid w:val="000C48B9"/>
    <w:rsid w:val="000C693D"/>
    <w:rsid w:val="000C6CDF"/>
    <w:rsid w:val="000C7671"/>
    <w:rsid w:val="000D28DC"/>
    <w:rsid w:val="000D2AA9"/>
    <w:rsid w:val="000D2D70"/>
    <w:rsid w:val="000D4390"/>
    <w:rsid w:val="000D4B73"/>
    <w:rsid w:val="000D4DAB"/>
    <w:rsid w:val="000D5C60"/>
    <w:rsid w:val="000D766F"/>
    <w:rsid w:val="000E05E2"/>
    <w:rsid w:val="000E1776"/>
    <w:rsid w:val="000E309A"/>
    <w:rsid w:val="000E353F"/>
    <w:rsid w:val="000E3CB2"/>
    <w:rsid w:val="000E3F0A"/>
    <w:rsid w:val="000E5F76"/>
    <w:rsid w:val="000E662D"/>
    <w:rsid w:val="000F1F90"/>
    <w:rsid w:val="000F2447"/>
    <w:rsid w:val="000F2707"/>
    <w:rsid w:val="000F47AE"/>
    <w:rsid w:val="000F4834"/>
    <w:rsid w:val="000F5335"/>
    <w:rsid w:val="00105A93"/>
    <w:rsid w:val="00107A3F"/>
    <w:rsid w:val="00112761"/>
    <w:rsid w:val="00112BEC"/>
    <w:rsid w:val="001159FC"/>
    <w:rsid w:val="00117F05"/>
    <w:rsid w:val="00120B6E"/>
    <w:rsid w:val="00122024"/>
    <w:rsid w:val="001235C6"/>
    <w:rsid w:val="00131A80"/>
    <w:rsid w:val="00141FD9"/>
    <w:rsid w:val="00142ABE"/>
    <w:rsid w:val="0014317E"/>
    <w:rsid w:val="001435C1"/>
    <w:rsid w:val="001442C9"/>
    <w:rsid w:val="00145D11"/>
    <w:rsid w:val="001462A1"/>
    <w:rsid w:val="00146A0D"/>
    <w:rsid w:val="00150240"/>
    <w:rsid w:val="00151B5A"/>
    <w:rsid w:val="00152C0F"/>
    <w:rsid w:val="00153C2A"/>
    <w:rsid w:val="0015412D"/>
    <w:rsid w:val="00156075"/>
    <w:rsid w:val="001564E1"/>
    <w:rsid w:val="0015672D"/>
    <w:rsid w:val="001569A6"/>
    <w:rsid w:val="00160D3C"/>
    <w:rsid w:val="00161125"/>
    <w:rsid w:val="00162C17"/>
    <w:rsid w:val="001633F2"/>
    <w:rsid w:val="00167C3C"/>
    <w:rsid w:val="0017011F"/>
    <w:rsid w:val="001706C3"/>
    <w:rsid w:val="0017131D"/>
    <w:rsid w:val="001722B3"/>
    <w:rsid w:val="00181385"/>
    <w:rsid w:val="001819AF"/>
    <w:rsid w:val="00182B5E"/>
    <w:rsid w:val="001841D2"/>
    <w:rsid w:val="001844E0"/>
    <w:rsid w:val="00185C05"/>
    <w:rsid w:val="00186D84"/>
    <w:rsid w:val="00187B4A"/>
    <w:rsid w:val="00187CAB"/>
    <w:rsid w:val="0019032B"/>
    <w:rsid w:val="00192177"/>
    <w:rsid w:val="00193385"/>
    <w:rsid w:val="0019639C"/>
    <w:rsid w:val="00196AD6"/>
    <w:rsid w:val="001A1478"/>
    <w:rsid w:val="001A4A87"/>
    <w:rsid w:val="001A6F9B"/>
    <w:rsid w:val="001B3920"/>
    <w:rsid w:val="001C130B"/>
    <w:rsid w:val="001C1CFD"/>
    <w:rsid w:val="001C1F14"/>
    <w:rsid w:val="001C4063"/>
    <w:rsid w:val="001C574B"/>
    <w:rsid w:val="001D012C"/>
    <w:rsid w:val="001D1E50"/>
    <w:rsid w:val="001D41A8"/>
    <w:rsid w:val="001D5DF4"/>
    <w:rsid w:val="001D7624"/>
    <w:rsid w:val="001D7D25"/>
    <w:rsid w:val="001E4A52"/>
    <w:rsid w:val="001E7569"/>
    <w:rsid w:val="001F2752"/>
    <w:rsid w:val="001F396B"/>
    <w:rsid w:val="001F3D26"/>
    <w:rsid w:val="001F4B81"/>
    <w:rsid w:val="001F727E"/>
    <w:rsid w:val="00201A75"/>
    <w:rsid w:val="0020209D"/>
    <w:rsid w:val="00203A81"/>
    <w:rsid w:val="002041D6"/>
    <w:rsid w:val="0020497C"/>
    <w:rsid w:val="00207794"/>
    <w:rsid w:val="00207834"/>
    <w:rsid w:val="00207A6D"/>
    <w:rsid w:val="00211661"/>
    <w:rsid w:val="00212E8F"/>
    <w:rsid w:val="0021370E"/>
    <w:rsid w:val="00215334"/>
    <w:rsid w:val="002155BD"/>
    <w:rsid w:val="00216651"/>
    <w:rsid w:val="002177FA"/>
    <w:rsid w:val="0022028E"/>
    <w:rsid w:val="002210F8"/>
    <w:rsid w:val="00221164"/>
    <w:rsid w:val="00221420"/>
    <w:rsid w:val="002218E9"/>
    <w:rsid w:val="00223A02"/>
    <w:rsid w:val="0022545C"/>
    <w:rsid w:val="00225730"/>
    <w:rsid w:val="002264C3"/>
    <w:rsid w:val="0022704B"/>
    <w:rsid w:val="0023190B"/>
    <w:rsid w:val="0023358A"/>
    <w:rsid w:val="00236B15"/>
    <w:rsid w:val="002404EE"/>
    <w:rsid w:val="002413C7"/>
    <w:rsid w:val="002426AB"/>
    <w:rsid w:val="00245902"/>
    <w:rsid w:val="002469F5"/>
    <w:rsid w:val="0024707D"/>
    <w:rsid w:val="00250156"/>
    <w:rsid w:val="0025056A"/>
    <w:rsid w:val="002515E2"/>
    <w:rsid w:val="00253145"/>
    <w:rsid w:val="00265041"/>
    <w:rsid w:val="002727AA"/>
    <w:rsid w:val="00272C90"/>
    <w:rsid w:val="002800A0"/>
    <w:rsid w:val="0028134A"/>
    <w:rsid w:val="00282C0F"/>
    <w:rsid w:val="00284A39"/>
    <w:rsid w:val="00285302"/>
    <w:rsid w:val="002874FB"/>
    <w:rsid w:val="00287845"/>
    <w:rsid w:val="0029046D"/>
    <w:rsid w:val="00290C5E"/>
    <w:rsid w:val="00291795"/>
    <w:rsid w:val="0029716C"/>
    <w:rsid w:val="00297969"/>
    <w:rsid w:val="00297EC4"/>
    <w:rsid w:val="002A70A7"/>
    <w:rsid w:val="002A75DE"/>
    <w:rsid w:val="002B4E52"/>
    <w:rsid w:val="002B6FC9"/>
    <w:rsid w:val="002B789A"/>
    <w:rsid w:val="002B7E6A"/>
    <w:rsid w:val="002C1B7A"/>
    <w:rsid w:val="002C2995"/>
    <w:rsid w:val="002C44AD"/>
    <w:rsid w:val="002C44B1"/>
    <w:rsid w:val="002C70E2"/>
    <w:rsid w:val="002C76C3"/>
    <w:rsid w:val="002C7F99"/>
    <w:rsid w:val="002D07A4"/>
    <w:rsid w:val="002D2371"/>
    <w:rsid w:val="002D5ED5"/>
    <w:rsid w:val="002D6EA8"/>
    <w:rsid w:val="002E2EC2"/>
    <w:rsid w:val="002E4B68"/>
    <w:rsid w:val="002E588F"/>
    <w:rsid w:val="002E71DB"/>
    <w:rsid w:val="002F020C"/>
    <w:rsid w:val="002F035D"/>
    <w:rsid w:val="002F1515"/>
    <w:rsid w:val="002F1ACA"/>
    <w:rsid w:val="002F3167"/>
    <w:rsid w:val="002F38EE"/>
    <w:rsid w:val="002F48AA"/>
    <w:rsid w:val="002F4E83"/>
    <w:rsid w:val="002F611C"/>
    <w:rsid w:val="002F78D0"/>
    <w:rsid w:val="00301B73"/>
    <w:rsid w:val="0030206A"/>
    <w:rsid w:val="00304556"/>
    <w:rsid w:val="00305D96"/>
    <w:rsid w:val="00306E93"/>
    <w:rsid w:val="003075FB"/>
    <w:rsid w:val="003112A4"/>
    <w:rsid w:val="00311D12"/>
    <w:rsid w:val="00312274"/>
    <w:rsid w:val="00313799"/>
    <w:rsid w:val="00313E6E"/>
    <w:rsid w:val="003164E5"/>
    <w:rsid w:val="00323741"/>
    <w:rsid w:val="00323B05"/>
    <w:rsid w:val="00323D5C"/>
    <w:rsid w:val="0032562C"/>
    <w:rsid w:val="00333A59"/>
    <w:rsid w:val="00334500"/>
    <w:rsid w:val="00340B70"/>
    <w:rsid w:val="00341229"/>
    <w:rsid w:val="0034258E"/>
    <w:rsid w:val="0034290C"/>
    <w:rsid w:val="003429F1"/>
    <w:rsid w:val="00342E11"/>
    <w:rsid w:val="00343251"/>
    <w:rsid w:val="00343E96"/>
    <w:rsid w:val="003447A1"/>
    <w:rsid w:val="00344D24"/>
    <w:rsid w:val="00345285"/>
    <w:rsid w:val="0034683B"/>
    <w:rsid w:val="00346AE1"/>
    <w:rsid w:val="00346B97"/>
    <w:rsid w:val="00347A5D"/>
    <w:rsid w:val="00351697"/>
    <w:rsid w:val="00353E02"/>
    <w:rsid w:val="00354E28"/>
    <w:rsid w:val="00362CA1"/>
    <w:rsid w:val="00362D21"/>
    <w:rsid w:val="003635C9"/>
    <w:rsid w:val="00365099"/>
    <w:rsid w:val="00367016"/>
    <w:rsid w:val="00367429"/>
    <w:rsid w:val="003717C4"/>
    <w:rsid w:val="003759D2"/>
    <w:rsid w:val="0037639E"/>
    <w:rsid w:val="003766E5"/>
    <w:rsid w:val="003768A7"/>
    <w:rsid w:val="00376E89"/>
    <w:rsid w:val="003776F1"/>
    <w:rsid w:val="0038117C"/>
    <w:rsid w:val="00381CA7"/>
    <w:rsid w:val="0038288A"/>
    <w:rsid w:val="00385724"/>
    <w:rsid w:val="00387A3C"/>
    <w:rsid w:val="00387E44"/>
    <w:rsid w:val="00391274"/>
    <w:rsid w:val="00391AFE"/>
    <w:rsid w:val="00393891"/>
    <w:rsid w:val="00396403"/>
    <w:rsid w:val="00396F55"/>
    <w:rsid w:val="003A02C4"/>
    <w:rsid w:val="003A0356"/>
    <w:rsid w:val="003A11CA"/>
    <w:rsid w:val="003A2E48"/>
    <w:rsid w:val="003A6AD7"/>
    <w:rsid w:val="003B0231"/>
    <w:rsid w:val="003B277F"/>
    <w:rsid w:val="003C0114"/>
    <w:rsid w:val="003C2EFF"/>
    <w:rsid w:val="003C51E2"/>
    <w:rsid w:val="003C5AF8"/>
    <w:rsid w:val="003C662D"/>
    <w:rsid w:val="003C7DA5"/>
    <w:rsid w:val="003D0994"/>
    <w:rsid w:val="003D0BA4"/>
    <w:rsid w:val="003D2CC5"/>
    <w:rsid w:val="003D3D01"/>
    <w:rsid w:val="003D59ED"/>
    <w:rsid w:val="003D5F78"/>
    <w:rsid w:val="003E0B96"/>
    <w:rsid w:val="003E16A0"/>
    <w:rsid w:val="003E3CC4"/>
    <w:rsid w:val="003E4128"/>
    <w:rsid w:val="003E4766"/>
    <w:rsid w:val="003E50FD"/>
    <w:rsid w:val="003E5805"/>
    <w:rsid w:val="003E6D4A"/>
    <w:rsid w:val="003E7D93"/>
    <w:rsid w:val="003F467A"/>
    <w:rsid w:val="003F6D00"/>
    <w:rsid w:val="004017BF"/>
    <w:rsid w:val="0040248F"/>
    <w:rsid w:val="00402516"/>
    <w:rsid w:val="0040493D"/>
    <w:rsid w:val="00404A8F"/>
    <w:rsid w:val="0041077C"/>
    <w:rsid w:val="00411479"/>
    <w:rsid w:val="00411605"/>
    <w:rsid w:val="0041562E"/>
    <w:rsid w:val="00416193"/>
    <w:rsid w:val="00421DA3"/>
    <w:rsid w:val="004226C0"/>
    <w:rsid w:val="00424675"/>
    <w:rsid w:val="00427E3C"/>
    <w:rsid w:val="00431989"/>
    <w:rsid w:val="004325C5"/>
    <w:rsid w:val="004325D8"/>
    <w:rsid w:val="00432988"/>
    <w:rsid w:val="00433001"/>
    <w:rsid w:val="0043306C"/>
    <w:rsid w:val="00436C7B"/>
    <w:rsid w:val="00440676"/>
    <w:rsid w:val="00440E99"/>
    <w:rsid w:val="00450392"/>
    <w:rsid w:val="00451CC9"/>
    <w:rsid w:val="00452208"/>
    <w:rsid w:val="00452570"/>
    <w:rsid w:val="00453CB7"/>
    <w:rsid w:val="00453ED8"/>
    <w:rsid w:val="00457466"/>
    <w:rsid w:val="00460343"/>
    <w:rsid w:val="004606BC"/>
    <w:rsid w:val="00460C0B"/>
    <w:rsid w:val="00461014"/>
    <w:rsid w:val="004621D0"/>
    <w:rsid w:val="004626F6"/>
    <w:rsid w:val="00462D92"/>
    <w:rsid w:val="004639CA"/>
    <w:rsid w:val="00464BB8"/>
    <w:rsid w:val="004651A0"/>
    <w:rsid w:val="00465339"/>
    <w:rsid w:val="00465679"/>
    <w:rsid w:val="004668B8"/>
    <w:rsid w:val="0046691A"/>
    <w:rsid w:val="0046701A"/>
    <w:rsid w:val="00467D05"/>
    <w:rsid w:val="00470CF0"/>
    <w:rsid w:val="00473AEF"/>
    <w:rsid w:val="004761FD"/>
    <w:rsid w:val="0047650B"/>
    <w:rsid w:val="004766AD"/>
    <w:rsid w:val="00477942"/>
    <w:rsid w:val="00481E72"/>
    <w:rsid w:val="004843A1"/>
    <w:rsid w:val="00484429"/>
    <w:rsid w:val="00484AD2"/>
    <w:rsid w:val="00484ED1"/>
    <w:rsid w:val="00484FF6"/>
    <w:rsid w:val="00485E0C"/>
    <w:rsid w:val="00486334"/>
    <w:rsid w:val="004868E8"/>
    <w:rsid w:val="00486CFD"/>
    <w:rsid w:val="0048725F"/>
    <w:rsid w:val="0048732D"/>
    <w:rsid w:val="00493F12"/>
    <w:rsid w:val="00495343"/>
    <w:rsid w:val="00495B08"/>
    <w:rsid w:val="00496920"/>
    <w:rsid w:val="004A32FD"/>
    <w:rsid w:val="004A3C86"/>
    <w:rsid w:val="004A44AE"/>
    <w:rsid w:val="004A5865"/>
    <w:rsid w:val="004A64FB"/>
    <w:rsid w:val="004B03A5"/>
    <w:rsid w:val="004B085B"/>
    <w:rsid w:val="004B34DF"/>
    <w:rsid w:val="004B4971"/>
    <w:rsid w:val="004B4A87"/>
    <w:rsid w:val="004B6ADB"/>
    <w:rsid w:val="004B7543"/>
    <w:rsid w:val="004C007E"/>
    <w:rsid w:val="004C2220"/>
    <w:rsid w:val="004C26F3"/>
    <w:rsid w:val="004C29BD"/>
    <w:rsid w:val="004C435E"/>
    <w:rsid w:val="004C4649"/>
    <w:rsid w:val="004C4E4E"/>
    <w:rsid w:val="004C6F9D"/>
    <w:rsid w:val="004C7CF1"/>
    <w:rsid w:val="004D25BC"/>
    <w:rsid w:val="004D2946"/>
    <w:rsid w:val="004D416C"/>
    <w:rsid w:val="004D42FE"/>
    <w:rsid w:val="004D70E7"/>
    <w:rsid w:val="004E1CE3"/>
    <w:rsid w:val="004E3912"/>
    <w:rsid w:val="004E50A2"/>
    <w:rsid w:val="004E6E85"/>
    <w:rsid w:val="004E732A"/>
    <w:rsid w:val="004F4F83"/>
    <w:rsid w:val="004F676D"/>
    <w:rsid w:val="004F72E9"/>
    <w:rsid w:val="00501DC0"/>
    <w:rsid w:val="00503813"/>
    <w:rsid w:val="00503C4C"/>
    <w:rsid w:val="00504255"/>
    <w:rsid w:val="00505105"/>
    <w:rsid w:val="005078E6"/>
    <w:rsid w:val="00507CE4"/>
    <w:rsid w:val="005121E2"/>
    <w:rsid w:val="00512722"/>
    <w:rsid w:val="0051272F"/>
    <w:rsid w:val="005132D5"/>
    <w:rsid w:val="005134B0"/>
    <w:rsid w:val="005138C3"/>
    <w:rsid w:val="00513DA8"/>
    <w:rsid w:val="00517665"/>
    <w:rsid w:val="00520955"/>
    <w:rsid w:val="0052233E"/>
    <w:rsid w:val="00523031"/>
    <w:rsid w:val="00527277"/>
    <w:rsid w:val="0053064C"/>
    <w:rsid w:val="00531419"/>
    <w:rsid w:val="005321CC"/>
    <w:rsid w:val="00532572"/>
    <w:rsid w:val="00533E01"/>
    <w:rsid w:val="00534881"/>
    <w:rsid w:val="00534AD1"/>
    <w:rsid w:val="005363F6"/>
    <w:rsid w:val="00536E64"/>
    <w:rsid w:val="005373CC"/>
    <w:rsid w:val="00540E17"/>
    <w:rsid w:val="00541092"/>
    <w:rsid w:val="00542DC6"/>
    <w:rsid w:val="005438CE"/>
    <w:rsid w:val="0054518B"/>
    <w:rsid w:val="00545CE1"/>
    <w:rsid w:val="0054792C"/>
    <w:rsid w:val="00552118"/>
    <w:rsid w:val="00553AC1"/>
    <w:rsid w:val="00553F78"/>
    <w:rsid w:val="00554814"/>
    <w:rsid w:val="005569D1"/>
    <w:rsid w:val="00560084"/>
    <w:rsid w:val="00560531"/>
    <w:rsid w:val="005617A4"/>
    <w:rsid w:val="00563A65"/>
    <w:rsid w:val="00563A96"/>
    <w:rsid w:val="00565BA4"/>
    <w:rsid w:val="00566097"/>
    <w:rsid w:val="0056691F"/>
    <w:rsid w:val="00574394"/>
    <w:rsid w:val="0057584D"/>
    <w:rsid w:val="00576BBB"/>
    <w:rsid w:val="005814A4"/>
    <w:rsid w:val="00581C3C"/>
    <w:rsid w:val="00582968"/>
    <w:rsid w:val="005848E1"/>
    <w:rsid w:val="00590077"/>
    <w:rsid w:val="005921D7"/>
    <w:rsid w:val="00594891"/>
    <w:rsid w:val="00596F28"/>
    <w:rsid w:val="0059731F"/>
    <w:rsid w:val="00597882"/>
    <w:rsid w:val="005A07E6"/>
    <w:rsid w:val="005A2EF8"/>
    <w:rsid w:val="005A456A"/>
    <w:rsid w:val="005A4FAD"/>
    <w:rsid w:val="005A7896"/>
    <w:rsid w:val="005B1A51"/>
    <w:rsid w:val="005B4F7E"/>
    <w:rsid w:val="005B6495"/>
    <w:rsid w:val="005B6C3E"/>
    <w:rsid w:val="005B774F"/>
    <w:rsid w:val="005C0C17"/>
    <w:rsid w:val="005C32C1"/>
    <w:rsid w:val="005C34A1"/>
    <w:rsid w:val="005C4388"/>
    <w:rsid w:val="005C6C4D"/>
    <w:rsid w:val="005D0571"/>
    <w:rsid w:val="005D0B4A"/>
    <w:rsid w:val="005D314F"/>
    <w:rsid w:val="005D77BE"/>
    <w:rsid w:val="005E0A10"/>
    <w:rsid w:val="005E0FF0"/>
    <w:rsid w:val="005E1010"/>
    <w:rsid w:val="005E1452"/>
    <w:rsid w:val="005E3401"/>
    <w:rsid w:val="005E3563"/>
    <w:rsid w:val="005E4D78"/>
    <w:rsid w:val="005E5215"/>
    <w:rsid w:val="005E53F2"/>
    <w:rsid w:val="005E7111"/>
    <w:rsid w:val="005E7D29"/>
    <w:rsid w:val="005E7E7C"/>
    <w:rsid w:val="005F09C3"/>
    <w:rsid w:val="005F4E75"/>
    <w:rsid w:val="005F5E22"/>
    <w:rsid w:val="005F6B93"/>
    <w:rsid w:val="005F704E"/>
    <w:rsid w:val="00602470"/>
    <w:rsid w:val="00603980"/>
    <w:rsid w:val="006075FC"/>
    <w:rsid w:val="00610B45"/>
    <w:rsid w:val="0061253E"/>
    <w:rsid w:val="00612581"/>
    <w:rsid w:val="00612A2B"/>
    <w:rsid w:val="0061541B"/>
    <w:rsid w:val="0062006D"/>
    <w:rsid w:val="0062084A"/>
    <w:rsid w:val="006221D2"/>
    <w:rsid w:val="0062243B"/>
    <w:rsid w:val="006225B7"/>
    <w:rsid w:val="00622AF6"/>
    <w:rsid w:val="00624A2F"/>
    <w:rsid w:val="0062773D"/>
    <w:rsid w:val="00627AF5"/>
    <w:rsid w:val="00631276"/>
    <w:rsid w:val="00632482"/>
    <w:rsid w:val="00633B5F"/>
    <w:rsid w:val="00634697"/>
    <w:rsid w:val="00635092"/>
    <w:rsid w:val="0064069B"/>
    <w:rsid w:val="00640B6B"/>
    <w:rsid w:val="00642BC7"/>
    <w:rsid w:val="006437A0"/>
    <w:rsid w:val="0064498C"/>
    <w:rsid w:val="00644F01"/>
    <w:rsid w:val="006462D2"/>
    <w:rsid w:val="006504E7"/>
    <w:rsid w:val="00650C07"/>
    <w:rsid w:val="00651192"/>
    <w:rsid w:val="00652340"/>
    <w:rsid w:val="006530F0"/>
    <w:rsid w:val="00655129"/>
    <w:rsid w:val="0065693C"/>
    <w:rsid w:val="00656DB6"/>
    <w:rsid w:val="0066116C"/>
    <w:rsid w:val="00662371"/>
    <w:rsid w:val="006627C1"/>
    <w:rsid w:val="00665C80"/>
    <w:rsid w:val="006712BD"/>
    <w:rsid w:val="0067336F"/>
    <w:rsid w:val="0067469C"/>
    <w:rsid w:val="0067612B"/>
    <w:rsid w:val="00682C61"/>
    <w:rsid w:val="00687B72"/>
    <w:rsid w:val="006900C2"/>
    <w:rsid w:val="00693DFB"/>
    <w:rsid w:val="00694A36"/>
    <w:rsid w:val="006968AC"/>
    <w:rsid w:val="006A544D"/>
    <w:rsid w:val="006A5DE7"/>
    <w:rsid w:val="006A6FB4"/>
    <w:rsid w:val="006B0013"/>
    <w:rsid w:val="006B29A6"/>
    <w:rsid w:val="006B4930"/>
    <w:rsid w:val="006B73CD"/>
    <w:rsid w:val="006B7C94"/>
    <w:rsid w:val="006C0885"/>
    <w:rsid w:val="006C3024"/>
    <w:rsid w:val="006C3F6B"/>
    <w:rsid w:val="006C7F48"/>
    <w:rsid w:val="006D008B"/>
    <w:rsid w:val="006D0BAD"/>
    <w:rsid w:val="006D12D9"/>
    <w:rsid w:val="006D20AC"/>
    <w:rsid w:val="006D21F9"/>
    <w:rsid w:val="006D23AA"/>
    <w:rsid w:val="006D5BF6"/>
    <w:rsid w:val="006D5F6C"/>
    <w:rsid w:val="006D6CC1"/>
    <w:rsid w:val="006E04F7"/>
    <w:rsid w:val="006E0692"/>
    <w:rsid w:val="006E357A"/>
    <w:rsid w:val="006E5141"/>
    <w:rsid w:val="006E55AD"/>
    <w:rsid w:val="006F28D6"/>
    <w:rsid w:val="006F752A"/>
    <w:rsid w:val="007000F3"/>
    <w:rsid w:val="007011A5"/>
    <w:rsid w:val="00702BCC"/>
    <w:rsid w:val="00706FB4"/>
    <w:rsid w:val="00710A3B"/>
    <w:rsid w:val="007112A2"/>
    <w:rsid w:val="00713809"/>
    <w:rsid w:val="00714A15"/>
    <w:rsid w:val="0072342F"/>
    <w:rsid w:val="0072445A"/>
    <w:rsid w:val="00725F92"/>
    <w:rsid w:val="00726DB8"/>
    <w:rsid w:val="007306E6"/>
    <w:rsid w:val="00731804"/>
    <w:rsid w:val="00731FEB"/>
    <w:rsid w:val="00745B6B"/>
    <w:rsid w:val="007466C9"/>
    <w:rsid w:val="00747497"/>
    <w:rsid w:val="007504BD"/>
    <w:rsid w:val="00750B65"/>
    <w:rsid w:val="00751BFC"/>
    <w:rsid w:val="0075237C"/>
    <w:rsid w:val="00754552"/>
    <w:rsid w:val="00756E06"/>
    <w:rsid w:val="00760AEE"/>
    <w:rsid w:val="007610EA"/>
    <w:rsid w:val="00767715"/>
    <w:rsid w:val="0077018F"/>
    <w:rsid w:val="00770F77"/>
    <w:rsid w:val="007729A4"/>
    <w:rsid w:val="0077387E"/>
    <w:rsid w:val="00774696"/>
    <w:rsid w:val="007771B0"/>
    <w:rsid w:val="00777754"/>
    <w:rsid w:val="0078047F"/>
    <w:rsid w:val="00780806"/>
    <w:rsid w:val="00780DE2"/>
    <w:rsid w:val="0078100C"/>
    <w:rsid w:val="0078197D"/>
    <w:rsid w:val="00781A8D"/>
    <w:rsid w:val="007821FA"/>
    <w:rsid w:val="007843B1"/>
    <w:rsid w:val="0078487F"/>
    <w:rsid w:val="00784964"/>
    <w:rsid w:val="00785C52"/>
    <w:rsid w:val="007860E5"/>
    <w:rsid w:val="00790925"/>
    <w:rsid w:val="00790B48"/>
    <w:rsid w:val="00792AF9"/>
    <w:rsid w:val="00792D57"/>
    <w:rsid w:val="00794B02"/>
    <w:rsid w:val="007963BB"/>
    <w:rsid w:val="007973BF"/>
    <w:rsid w:val="007A0E72"/>
    <w:rsid w:val="007A2DB8"/>
    <w:rsid w:val="007A6FEA"/>
    <w:rsid w:val="007B3E01"/>
    <w:rsid w:val="007C29C3"/>
    <w:rsid w:val="007C3BDA"/>
    <w:rsid w:val="007C5D1B"/>
    <w:rsid w:val="007D006D"/>
    <w:rsid w:val="007D119F"/>
    <w:rsid w:val="007D1B6D"/>
    <w:rsid w:val="007D24D8"/>
    <w:rsid w:val="007D3E98"/>
    <w:rsid w:val="007D6F50"/>
    <w:rsid w:val="007E224C"/>
    <w:rsid w:val="007E3785"/>
    <w:rsid w:val="007E6C71"/>
    <w:rsid w:val="007E7776"/>
    <w:rsid w:val="007E78E2"/>
    <w:rsid w:val="007E7CD1"/>
    <w:rsid w:val="007F1510"/>
    <w:rsid w:val="007F2FE9"/>
    <w:rsid w:val="007F4B08"/>
    <w:rsid w:val="007F512B"/>
    <w:rsid w:val="007F52B4"/>
    <w:rsid w:val="007F54BA"/>
    <w:rsid w:val="007F62B3"/>
    <w:rsid w:val="007F67C3"/>
    <w:rsid w:val="007F7702"/>
    <w:rsid w:val="00800805"/>
    <w:rsid w:val="00801CEF"/>
    <w:rsid w:val="00801E18"/>
    <w:rsid w:val="00804812"/>
    <w:rsid w:val="0080595E"/>
    <w:rsid w:val="0080713C"/>
    <w:rsid w:val="0081069C"/>
    <w:rsid w:val="00813853"/>
    <w:rsid w:val="00815DFC"/>
    <w:rsid w:val="00816208"/>
    <w:rsid w:val="00821139"/>
    <w:rsid w:val="00822AC4"/>
    <w:rsid w:val="00822D61"/>
    <w:rsid w:val="00823E40"/>
    <w:rsid w:val="00824778"/>
    <w:rsid w:val="00831D58"/>
    <w:rsid w:val="00832120"/>
    <w:rsid w:val="008321A8"/>
    <w:rsid w:val="008329B7"/>
    <w:rsid w:val="00832EBD"/>
    <w:rsid w:val="00833941"/>
    <w:rsid w:val="00834484"/>
    <w:rsid w:val="00835800"/>
    <w:rsid w:val="00835F07"/>
    <w:rsid w:val="008363BC"/>
    <w:rsid w:val="0083648F"/>
    <w:rsid w:val="00836DE9"/>
    <w:rsid w:val="00841DB5"/>
    <w:rsid w:val="00842F28"/>
    <w:rsid w:val="00843440"/>
    <w:rsid w:val="00845BAF"/>
    <w:rsid w:val="008462D1"/>
    <w:rsid w:val="0084701E"/>
    <w:rsid w:val="00847768"/>
    <w:rsid w:val="00853EDD"/>
    <w:rsid w:val="00854619"/>
    <w:rsid w:val="00854840"/>
    <w:rsid w:val="00856799"/>
    <w:rsid w:val="0086014E"/>
    <w:rsid w:val="008625AE"/>
    <w:rsid w:val="0086495B"/>
    <w:rsid w:val="00870A31"/>
    <w:rsid w:val="0087113B"/>
    <w:rsid w:val="008722F8"/>
    <w:rsid w:val="00876F17"/>
    <w:rsid w:val="00877A71"/>
    <w:rsid w:val="00877F72"/>
    <w:rsid w:val="00880374"/>
    <w:rsid w:val="00880F8D"/>
    <w:rsid w:val="00882659"/>
    <w:rsid w:val="00883B9A"/>
    <w:rsid w:val="00885959"/>
    <w:rsid w:val="0089348D"/>
    <w:rsid w:val="00896F4F"/>
    <w:rsid w:val="00897E35"/>
    <w:rsid w:val="008A1F16"/>
    <w:rsid w:val="008A23FF"/>
    <w:rsid w:val="008A34C0"/>
    <w:rsid w:val="008A4641"/>
    <w:rsid w:val="008A5B37"/>
    <w:rsid w:val="008A63E2"/>
    <w:rsid w:val="008A7516"/>
    <w:rsid w:val="008A752B"/>
    <w:rsid w:val="008B009E"/>
    <w:rsid w:val="008B1AF4"/>
    <w:rsid w:val="008B25A1"/>
    <w:rsid w:val="008B2F18"/>
    <w:rsid w:val="008B4C3F"/>
    <w:rsid w:val="008C0216"/>
    <w:rsid w:val="008C2F4A"/>
    <w:rsid w:val="008C35F8"/>
    <w:rsid w:val="008C5624"/>
    <w:rsid w:val="008C6CCD"/>
    <w:rsid w:val="008D08EE"/>
    <w:rsid w:val="008D0F14"/>
    <w:rsid w:val="008D118D"/>
    <w:rsid w:val="008D14BE"/>
    <w:rsid w:val="008D2FB4"/>
    <w:rsid w:val="008D350A"/>
    <w:rsid w:val="008D4C37"/>
    <w:rsid w:val="008E2118"/>
    <w:rsid w:val="008E4CD9"/>
    <w:rsid w:val="008E63D6"/>
    <w:rsid w:val="008E674E"/>
    <w:rsid w:val="008F2B66"/>
    <w:rsid w:val="008F3B90"/>
    <w:rsid w:val="008F4098"/>
    <w:rsid w:val="008F4139"/>
    <w:rsid w:val="008F5211"/>
    <w:rsid w:val="00900600"/>
    <w:rsid w:val="0090263A"/>
    <w:rsid w:val="00905762"/>
    <w:rsid w:val="00905DF1"/>
    <w:rsid w:val="009065D4"/>
    <w:rsid w:val="00906F02"/>
    <w:rsid w:val="0090706E"/>
    <w:rsid w:val="00912E57"/>
    <w:rsid w:val="00914219"/>
    <w:rsid w:val="00915D88"/>
    <w:rsid w:val="00916EAB"/>
    <w:rsid w:val="00917319"/>
    <w:rsid w:val="00917BC7"/>
    <w:rsid w:val="00922E9C"/>
    <w:rsid w:val="009251D6"/>
    <w:rsid w:val="009257E7"/>
    <w:rsid w:val="009275E9"/>
    <w:rsid w:val="00927B9B"/>
    <w:rsid w:val="00927F5A"/>
    <w:rsid w:val="00931E1F"/>
    <w:rsid w:val="00935F1D"/>
    <w:rsid w:val="00936648"/>
    <w:rsid w:val="0094200A"/>
    <w:rsid w:val="009510B5"/>
    <w:rsid w:val="00952ED8"/>
    <w:rsid w:val="00953316"/>
    <w:rsid w:val="00953702"/>
    <w:rsid w:val="00954ED0"/>
    <w:rsid w:val="00956348"/>
    <w:rsid w:val="00956877"/>
    <w:rsid w:val="00956F56"/>
    <w:rsid w:val="00957518"/>
    <w:rsid w:val="00957601"/>
    <w:rsid w:val="00960820"/>
    <w:rsid w:val="0096194F"/>
    <w:rsid w:val="00962EFA"/>
    <w:rsid w:val="00963103"/>
    <w:rsid w:val="00963902"/>
    <w:rsid w:val="00966FD4"/>
    <w:rsid w:val="009711C5"/>
    <w:rsid w:val="00971AAF"/>
    <w:rsid w:val="00973FB3"/>
    <w:rsid w:val="009741DE"/>
    <w:rsid w:val="0097501D"/>
    <w:rsid w:val="0097775A"/>
    <w:rsid w:val="00977E4A"/>
    <w:rsid w:val="009803EE"/>
    <w:rsid w:val="00980A95"/>
    <w:rsid w:val="00982C3E"/>
    <w:rsid w:val="00984C0C"/>
    <w:rsid w:val="009856C5"/>
    <w:rsid w:val="00986D60"/>
    <w:rsid w:val="009920F3"/>
    <w:rsid w:val="009941B3"/>
    <w:rsid w:val="00994B72"/>
    <w:rsid w:val="0099697D"/>
    <w:rsid w:val="009974CE"/>
    <w:rsid w:val="009A68CE"/>
    <w:rsid w:val="009A6BC3"/>
    <w:rsid w:val="009A6C97"/>
    <w:rsid w:val="009A7BCA"/>
    <w:rsid w:val="009B0207"/>
    <w:rsid w:val="009B1BEA"/>
    <w:rsid w:val="009C2DC6"/>
    <w:rsid w:val="009C3848"/>
    <w:rsid w:val="009C43C5"/>
    <w:rsid w:val="009C55CB"/>
    <w:rsid w:val="009C71CE"/>
    <w:rsid w:val="009D031A"/>
    <w:rsid w:val="009D0BAE"/>
    <w:rsid w:val="009D370F"/>
    <w:rsid w:val="009D51F9"/>
    <w:rsid w:val="009D5A2C"/>
    <w:rsid w:val="009E0BAE"/>
    <w:rsid w:val="009E1F8D"/>
    <w:rsid w:val="009E4C14"/>
    <w:rsid w:val="009E51FA"/>
    <w:rsid w:val="009E677F"/>
    <w:rsid w:val="009E71DA"/>
    <w:rsid w:val="009F22FF"/>
    <w:rsid w:val="009F3826"/>
    <w:rsid w:val="009F5AB8"/>
    <w:rsid w:val="00A01CAB"/>
    <w:rsid w:val="00A026F9"/>
    <w:rsid w:val="00A04600"/>
    <w:rsid w:val="00A059C9"/>
    <w:rsid w:val="00A060E9"/>
    <w:rsid w:val="00A064E6"/>
    <w:rsid w:val="00A06D69"/>
    <w:rsid w:val="00A147A8"/>
    <w:rsid w:val="00A16146"/>
    <w:rsid w:val="00A1769D"/>
    <w:rsid w:val="00A17E1D"/>
    <w:rsid w:val="00A214A2"/>
    <w:rsid w:val="00A23100"/>
    <w:rsid w:val="00A24088"/>
    <w:rsid w:val="00A24ABB"/>
    <w:rsid w:val="00A2512F"/>
    <w:rsid w:val="00A25440"/>
    <w:rsid w:val="00A31CE3"/>
    <w:rsid w:val="00A33037"/>
    <w:rsid w:val="00A34998"/>
    <w:rsid w:val="00A40FA4"/>
    <w:rsid w:val="00A43053"/>
    <w:rsid w:val="00A45690"/>
    <w:rsid w:val="00A507F7"/>
    <w:rsid w:val="00A515E9"/>
    <w:rsid w:val="00A51817"/>
    <w:rsid w:val="00A526F1"/>
    <w:rsid w:val="00A52E42"/>
    <w:rsid w:val="00A5406E"/>
    <w:rsid w:val="00A550BA"/>
    <w:rsid w:val="00A60110"/>
    <w:rsid w:val="00A658A3"/>
    <w:rsid w:val="00A6755A"/>
    <w:rsid w:val="00A67F86"/>
    <w:rsid w:val="00A7210C"/>
    <w:rsid w:val="00A72751"/>
    <w:rsid w:val="00A74F2D"/>
    <w:rsid w:val="00A80512"/>
    <w:rsid w:val="00A80C87"/>
    <w:rsid w:val="00A813B7"/>
    <w:rsid w:val="00A82260"/>
    <w:rsid w:val="00A82E8E"/>
    <w:rsid w:val="00A83E2E"/>
    <w:rsid w:val="00A84291"/>
    <w:rsid w:val="00A8503C"/>
    <w:rsid w:val="00A867E5"/>
    <w:rsid w:val="00A86DAF"/>
    <w:rsid w:val="00A87014"/>
    <w:rsid w:val="00A9075A"/>
    <w:rsid w:val="00A91595"/>
    <w:rsid w:val="00A95064"/>
    <w:rsid w:val="00A9595D"/>
    <w:rsid w:val="00A964C7"/>
    <w:rsid w:val="00AA2430"/>
    <w:rsid w:val="00AA3A2E"/>
    <w:rsid w:val="00AA44EE"/>
    <w:rsid w:val="00AB1A34"/>
    <w:rsid w:val="00AB1D3E"/>
    <w:rsid w:val="00AB4303"/>
    <w:rsid w:val="00AB5744"/>
    <w:rsid w:val="00AB5C4E"/>
    <w:rsid w:val="00AB6541"/>
    <w:rsid w:val="00AB67F9"/>
    <w:rsid w:val="00AC19DB"/>
    <w:rsid w:val="00AC2D0A"/>
    <w:rsid w:val="00AC39A0"/>
    <w:rsid w:val="00AC3A7B"/>
    <w:rsid w:val="00AC69C3"/>
    <w:rsid w:val="00AC6F57"/>
    <w:rsid w:val="00AC70D8"/>
    <w:rsid w:val="00AD333E"/>
    <w:rsid w:val="00AD52A1"/>
    <w:rsid w:val="00AE3207"/>
    <w:rsid w:val="00AE3E73"/>
    <w:rsid w:val="00AE3FAD"/>
    <w:rsid w:val="00AE4F6D"/>
    <w:rsid w:val="00AE599D"/>
    <w:rsid w:val="00AE5C88"/>
    <w:rsid w:val="00AF14E4"/>
    <w:rsid w:val="00AF27C5"/>
    <w:rsid w:val="00AF57C4"/>
    <w:rsid w:val="00AF6661"/>
    <w:rsid w:val="00AF6DA5"/>
    <w:rsid w:val="00B05B47"/>
    <w:rsid w:val="00B05CFA"/>
    <w:rsid w:val="00B07E0F"/>
    <w:rsid w:val="00B113F2"/>
    <w:rsid w:val="00B12966"/>
    <w:rsid w:val="00B1386E"/>
    <w:rsid w:val="00B140BA"/>
    <w:rsid w:val="00B14436"/>
    <w:rsid w:val="00B1466F"/>
    <w:rsid w:val="00B175BB"/>
    <w:rsid w:val="00B17CF3"/>
    <w:rsid w:val="00B20E2B"/>
    <w:rsid w:val="00B2216F"/>
    <w:rsid w:val="00B22475"/>
    <w:rsid w:val="00B23113"/>
    <w:rsid w:val="00B239F4"/>
    <w:rsid w:val="00B24C18"/>
    <w:rsid w:val="00B26111"/>
    <w:rsid w:val="00B26AEA"/>
    <w:rsid w:val="00B272A2"/>
    <w:rsid w:val="00B2733A"/>
    <w:rsid w:val="00B27940"/>
    <w:rsid w:val="00B31473"/>
    <w:rsid w:val="00B33D40"/>
    <w:rsid w:val="00B342B6"/>
    <w:rsid w:val="00B34B77"/>
    <w:rsid w:val="00B35345"/>
    <w:rsid w:val="00B361A2"/>
    <w:rsid w:val="00B377A1"/>
    <w:rsid w:val="00B40E7E"/>
    <w:rsid w:val="00B42C29"/>
    <w:rsid w:val="00B43BAB"/>
    <w:rsid w:val="00B444FF"/>
    <w:rsid w:val="00B464F3"/>
    <w:rsid w:val="00B47BDC"/>
    <w:rsid w:val="00B5139F"/>
    <w:rsid w:val="00B52289"/>
    <w:rsid w:val="00B53ED8"/>
    <w:rsid w:val="00B53FB4"/>
    <w:rsid w:val="00B54054"/>
    <w:rsid w:val="00B541BF"/>
    <w:rsid w:val="00B562CB"/>
    <w:rsid w:val="00B57307"/>
    <w:rsid w:val="00B57DC2"/>
    <w:rsid w:val="00B601C3"/>
    <w:rsid w:val="00B6088F"/>
    <w:rsid w:val="00B61121"/>
    <w:rsid w:val="00B613BC"/>
    <w:rsid w:val="00B6212A"/>
    <w:rsid w:val="00B70B5D"/>
    <w:rsid w:val="00B71029"/>
    <w:rsid w:val="00B75153"/>
    <w:rsid w:val="00B76051"/>
    <w:rsid w:val="00B7769A"/>
    <w:rsid w:val="00B81970"/>
    <w:rsid w:val="00B83540"/>
    <w:rsid w:val="00B835F3"/>
    <w:rsid w:val="00B84EDE"/>
    <w:rsid w:val="00B85507"/>
    <w:rsid w:val="00B91CD7"/>
    <w:rsid w:val="00B91D86"/>
    <w:rsid w:val="00B92594"/>
    <w:rsid w:val="00B94CFE"/>
    <w:rsid w:val="00B96263"/>
    <w:rsid w:val="00B97564"/>
    <w:rsid w:val="00B97E95"/>
    <w:rsid w:val="00BA2005"/>
    <w:rsid w:val="00BA30B7"/>
    <w:rsid w:val="00BA6700"/>
    <w:rsid w:val="00BB0074"/>
    <w:rsid w:val="00BB3494"/>
    <w:rsid w:val="00BB3EE1"/>
    <w:rsid w:val="00BB3FF4"/>
    <w:rsid w:val="00BB4188"/>
    <w:rsid w:val="00BC22B6"/>
    <w:rsid w:val="00BC2B12"/>
    <w:rsid w:val="00BC3323"/>
    <w:rsid w:val="00BC42C6"/>
    <w:rsid w:val="00BC6F97"/>
    <w:rsid w:val="00BC71CB"/>
    <w:rsid w:val="00BD20AF"/>
    <w:rsid w:val="00BD3442"/>
    <w:rsid w:val="00BD4578"/>
    <w:rsid w:val="00BE00BE"/>
    <w:rsid w:val="00BE0D9F"/>
    <w:rsid w:val="00BE1D76"/>
    <w:rsid w:val="00BF20DC"/>
    <w:rsid w:val="00BF38E7"/>
    <w:rsid w:val="00BF4073"/>
    <w:rsid w:val="00BF4BB8"/>
    <w:rsid w:val="00BF5D20"/>
    <w:rsid w:val="00BF72A0"/>
    <w:rsid w:val="00BF75B1"/>
    <w:rsid w:val="00BF78E0"/>
    <w:rsid w:val="00C00169"/>
    <w:rsid w:val="00C0082B"/>
    <w:rsid w:val="00C01853"/>
    <w:rsid w:val="00C03D92"/>
    <w:rsid w:val="00C04036"/>
    <w:rsid w:val="00C040EF"/>
    <w:rsid w:val="00C04818"/>
    <w:rsid w:val="00C05D69"/>
    <w:rsid w:val="00C0617F"/>
    <w:rsid w:val="00C0630D"/>
    <w:rsid w:val="00C06337"/>
    <w:rsid w:val="00C06939"/>
    <w:rsid w:val="00C1306D"/>
    <w:rsid w:val="00C13C9B"/>
    <w:rsid w:val="00C15132"/>
    <w:rsid w:val="00C20308"/>
    <w:rsid w:val="00C205C5"/>
    <w:rsid w:val="00C20B21"/>
    <w:rsid w:val="00C20E4B"/>
    <w:rsid w:val="00C230CE"/>
    <w:rsid w:val="00C24752"/>
    <w:rsid w:val="00C248D1"/>
    <w:rsid w:val="00C26319"/>
    <w:rsid w:val="00C26C7C"/>
    <w:rsid w:val="00C2729B"/>
    <w:rsid w:val="00C30499"/>
    <w:rsid w:val="00C321A9"/>
    <w:rsid w:val="00C342AF"/>
    <w:rsid w:val="00C3475B"/>
    <w:rsid w:val="00C3582C"/>
    <w:rsid w:val="00C3671B"/>
    <w:rsid w:val="00C367E8"/>
    <w:rsid w:val="00C3688C"/>
    <w:rsid w:val="00C36A00"/>
    <w:rsid w:val="00C4144B"/>
    <w:rsid w:val="00C43046"/>
    <w:rsid w:val="00C51187"/>
    <w:rsid w:val="00C515B0"/>
    <w:rsid w:val="00C53BF1"/>
    <w:rsid w:val="00C53E16"/>
    <w:rsid w:val="00C558AB"/>
    <w:rsid w:val="00C56B41"/>
    <w:rsid w:val="00C6010A"/>
    <w:rsid w:val="00C6273D"/>
    <w:rsid w:val="00C63DB6"/>
    <w:rsid w:val="00C63E4D"/>
    <w:rsid w:val="00C70700"/>
    <w:rsid w:val="00C7093B"/>
    <w:rsid w:val="00C70D21"/>
    <w:rsid w:val="00C7171A"/>
    <w:rsid w:val="00C71D11"/>
    <w:rsid w:val="00C7274F"/>
    <w:rsid w:val="00C73F9F"/>
    <w:rsid w:val="00C74C40"/>
    <w:rsid w:val="00C76A8F"/>
    <w:rsid w:val="00C77086"/>
    <w:rsid w:val="00C84DAB"/>
    <w:rsid w:val="00C8595F"/>
    <w:rsid w:val="00C87593"/>
    <w:rsid w:val="00C90521"/>
    <w:rsid w:val="00C93532"/>
    <w:rsid w:val="00C94270"/>
    <w:rsid w:val="00C94AB7"/>
    <w:rsid w:val="00C95D2E"/>
    <w:rsid w:val="00C95DF8"/>
    <w:rsid w:val="00C95FF9"/>
    <w:rsid w:val="00C96B1C"/>
    <w:rsid w:val="00C97871"/>
    <w:rsid w:val="00C97D77"/>
    <w:rsid w:val="00CA28C2"/>
    <w:rsid w:val="00CA3D59"/>
    <w:rsid w:val="00CA6323"/>
    <w:rsid w:val="00CA6AD0"/>
    <w:rsid w:val="00CB06DC"/>
    <w:rsid w:val="00CB2BB0"/>
    <w:rsid w:val="00CB4EE5"/>
    <w:rsid w:val="00CB5458"/>
    <w:rsid w:val="00CB5C6D"/>
    <w:rsid w:val="00CB5F0A"/>
    <w:rsid w:val="00CB672B"/>
    <w:rsid w:val="00CC01AC"/>
    <w:rsid w:val="00CC0CD3"/>
    <w:rsid w:val="00CC1DD2"/>
    <w:rsid w:val="00CC215F"/>
    <w:rsid w:val="00CC62D5"/>
    <w:rsid w:val="00CC6892"/>
    <w:rsid w:val="00CD0106"/>
    <w:rsid w:val="00CD01A2"/>
    <w:rsid w:val="00CD2732"/>
    <w:rsid w:val="00CD2C7A"/>
    <w:rsid w:val="00CD2D7B"/>
    <w:rsid w:val="00CD348C"/>
    <w:rsid w:val="00CD3F37"/>
    <w:rsid w:val="00CD42E0"/>
    <w:rsid w:val="00CD4480"/>
    <w:rsid w:val="00CD4539"/>
    <w:rsid w:val="00CD76E0"/>
    <w:rsid w:val="00CE1354"/>
    <w:rsid w:val="00CE2EA8"/>
    <w:rsid w:val="00CF1794"/>
    <w:rsid w:val="00CF1FDF"/>
    <w:rsid w:val="00CF218E"/>
    <w:rsid w:val="00CF3A7F"/>
    <w:rsid w:val="00CF5D33"/>
    <w:rsid w:val="00D000D8"/>
    <w:rsid w:val="00D00382"/>
    <w:rsid w:val="00D004BD"/>
    <w:rsid w:val="00D01CD4"/>
    <w:rsid w:val="00D039E5"/>
    <w:rsid w:val="00D03F3A"/>
    <w:rsid w:val="00D047E1"/>
    <w:rsid w:val="00D0618E"/>
    <w:rsid w:val="00D1140E"/>
    <w:rsid w:val="00D11456"/>
    <w:rsid w:val="00D12829"/>
    <w:rsid w:val="00D139A9"/>
    <w:rsid w:val="00D149A0"/>
    <w:rsid w:val="00D149D3"/>
    <w:rsid w:val="00D15ACD"/>
    <w:rsid w:val="00D17A9B"/>
    <w:rsid w:val="00D22F38"/>
    <w:rsid w:val="00D23CD8"/>
    <w:rsid w:val="00D24117"/>
    <w:rsid w:val="00D244B2"/>
    <w:rsid w:val="00D32A54"/>
    <w:rsid w:val="00D34604"/>
    <w:rsid w:val="00D347EF"/>
    <w:rsid w:val="00D34FED"/>
    <w:rsid w:val="00D3621F"/>
    <w:rsid w:val="00D374A0"/>
    <w:rsid w:val="00D400AC"/>
    <w:rsid w:val="00D4108B"/>
    <w:rsid w:val="00D4279F"/>
    <w:rsid w:val="00D42DCE"/>
    <w:rsid w:val="00D431C8"/>
    <w:rsid w:val="00D44534"/>
    <w:rsid w:val="00D4573E"/>
    <w:rsid w:val="00D51937"/>
    <w:rsid w:val="00D52AE1"/>
    <w:rsid w:val="00D54FBA"/>
    <w:rsid w:val="00D60CF8"/>
    <w:rsid w:val="00D60D8B"/>
    <w:rsid w:val="00D60E9F"/>
    <w:rsid w:val="00D60FE9"/>
    <w:rsid w:val="00D62E54"/>
    <w:rsid w:val="00D6550E"/>
    <w:rsid w:val="00D65933"/>
    <w:rsid w:val="00D66BA6"/>
    <w:rsid w:val="00D66DC9"/>
    <w:rsid w:val="00D67E0F"/>
    <w:rsid w:val="00D724BF"/>
    <w:rsid w:val="00D72723"/>
    <w:rsid w:val="00D74B5F"/>
    <w:rsid w:val="00D75B47"/>
    <w:rsid w:val="00D76661"/>
    <w:rsid w:val="00D76D73"/>
    <w:rsid w:val="00D771EE"/>
    <w:rsid w:val="00D77DF0"/>
    <w:rsid w:val="00D826CC"/>
    <w:rsid w:val="00D83942"/>
    <w:rsid w:val="00D83CE5"/>
    <w:rsid w:val="00D840BA"/>
    <w:rsid w:val="00D844B7"/>
    <w:rsid w:val="00D84ACA"/>
    <w:rsid w:val="00D84F59"/>
    <w:rsid w:val="00D86547"/>
    <w:rsid w:val="00D8698B"/>
    <w:rsid w:val="00D9133F"/>
    <w:rsid w:val="00D962B3"/>
    <w:rsid w:val="00D962FC"/>
    <w:rsid w:val="00D97B57"/>
    <w:rsid w:val="00DA048E"/>
    <w:rsid w:val="00DA190F"/>
    <w:rsid w:val="00DA2D45"/>
    <w:rsid w:val="00DA31C9"/>
    <w:rsid w:val="00DA42DC"/>
    <w:rsid w:val="00DA555C"/>
    <w:rsid w:val="00DA55A3"/>
    <w:rsid w:val="00DB1BB2"/>
    <w:rsid w:val="00DB1C10"/>
    <w:rsid w:val="00DB28EE"/>
    <w:rsid w:val="00DB6C3E"/>
    <w:rsid w:val="00DC0E76"/>
    <w:rsid w:val="00DC1966"/>
    <w:rsid w:val="00DC212F"/>
    <w:rsid w:val="00DC2B5C"/>
    <w:rsid w:val="00DC31F1"/>
    <w:rsid w:val="00DC3EFD"/>
    <w:rsid w:val="00DC6F34"/>
    <w:rsid w:val="00DD01CB"/>
    <w:rsid w:val="00DD3F37"/>
    <w:rsid w:val="00DD732C"/>
    <w:rsid w:val="00DD7C51"/>
    <w:rsid w:val="00DD7D95"/>
    <w:rsid w:val="00DE30F9"/>
    <w:rsid w:val="00DE36E3"/>
    <w:rsid w:val="00DE4124"/>
    <w:rsid w:val="00DE53CC"/>
    <w:rsid w:val="00DE5910"/>
    <w:rsid w:val="00DF21AC"/>
    <w:rsid w:val="00DF3BBE"/>
    <w:rsid w:val="00DF4B92"/>
    <w:rsid w:val="00DF64CA"/>
    <w:rsid w:val="00DF793A"/>
    <w:rsid w:val="00E00C6D"/>
    <w:rsid w:val="00E01C76"/>
    <w:rsid w:val="00E02A14"/>
    <w:rsid w:val="00E02E68"/>
    <w:rsid w:val="00E03C85"/>
    <w:rsid w:val="00E0682F"/>
    <w:rsid w:val="00E07A68"/>
    <w:rsid w:val="00E1150A"/>
    <w:rsid w:val="00E11592"/>
    <w:rsid w:val="00E12EA0"/>
    <w:rsid w:val="00E167D7"/>
    <w:rsid w:val="00E31B46"/>
    <w:rsid w:val="00E343F9"/>
    <w:rsid w:val="00E355C8"/>
    <w:rsid w:val="00E37AEF"/>
    <w:rsid w:val="00E37D1E"/>
    <w:rsid w:val="00E417BF"/>
    <w:rsid w:val="00E44538"/>
    <w:rsid w:val="00E476E1"/>
    <w:rsid w:val="00E50877"/>
    <w:rsid w:val="00E50FDB"/>
    <w:rsid w:val="00E51C62"/>
    <w:rsid w:val="00E523A8"/>
    <w:rsid w:val="00E5297D"/>
    <w:rsid w:val="00E53DFC"/>
    <w:rsid w:val="00E549E7"/>
    <w:rsid w:val="00E54D03"/>
    <w:rsid w:val="00E55BAE"/>
    <w:rsid w:val="00E56F4D"/>
    <w:rsid w:val="00E575E7"/>
    <w:rsid w:val="00E57D21"/>
    <w:rsid w:val="00E60D5B"/>
    <w:rsid w:val="00E616C5"/>
    <w:rsid w:val="00E65A77"/>
    <w:rsid w:val="00E664FF"/>
    <w:rsid w:val="00E73241"/>
    <w:rsid w:val="00E73A7C"/>
    <w:rsid w:val="00E7548D"/>
    <w:rsid w:val="00E851A8"/>
    <w:rsid w:val="00E86B49"/>
    <w:rsid w:val="00E873D0"/>
    <w:rsid w:val="00E92160"/>
    <w:rsid w:val="00E92BA0"/>
    <w:rsid w:val="00E942A3"/>
    <w:rsid w:val="00E94659"/>
    <w:rsid w:val="00E94C41"/>
    <w:rsid w:val="00E95407"/>
    <w:rsid w:val="00EA0182"/>
    <w:rsid w:val="00EA1D9B"/>
    <w:rsid w:val="00EA2113"/>
    <w:rsid w:val="00EA25A3"/>
    <w:rsid w:val="00EA39BF"/>
    <w:rsid w:val="00EA5CAB"/>
    <w:rsid w:val="00EB0A25"/>
    <w:rsid w:val="00EB1341"/>
    <w:rsid w:val="00EB33E1"/>
    <w:rsid w:val="00EB431F"/>
    <w:rsid w:val="00EB455F"/>
    <w:rsid w:val="00EB471D"/>
    <w:rsid w:val="00EB71D8"/>
    <w:rsid w:val="00EC0730"/>
    <w:rsid w:val="00EC0B10"/>
    <w:rsid w:val="00EC2947"/>
    <w:rsid w:val="00EC2EB7"/>
    <w:rsid w:val="00EC4306"/>
    <w:rsid w:val="00EC544A"/>
    <w:rsid w:val="00EC732A"/>
    <w:rsid w:val="00ED3A7D"/>
    <w:rsid w:val="00ED3BDC"/>
    <w:rsid w:val="00ED4EA4"/>
    <w:rsid w:val="00ED6020"/>
    <w:rsid w:val="00ED6989"/>
    <w:rsid w:val="00ED69CD"/>
    <w:rsid w:val="00EE2F0D"/>
    <w:rsid w:val="00EE6796"/>
    <w:rsid w:val="00EF2A98"/>
    <w:rsid w:val="00EF58BF"/>
    <w:rsid w:val="00EF626B"/>
    <w:rsid w:val="00F03134"/>
    <w:rsid w:val="00F03FF4"/>
    <w:rsid w:val="00F06185"/>
    <w:rsid w:val="00F0662C"/>
    <w:rsid w:val="00F06F93"/>
    <w:rsid w:val="00F11F2D"/>
    <w:rsid w:val="00F17665"/>
    <w:rsid w:val="00F1769A"/>
    <w:rsid w:val="00F20421"/>
    <w:rsid w:val="00F21039"/>
    <w:rsid w:val="00F21EFF"/>
    <w:rsid w:val="00F223BB"/>
    <w:rsid w:val="00F22569"/>
    <w:rsid w:val="00F22CD1"/>
    <w:rsid w:val="00F25AAA"/>
    <w:rsid w:val="00F26760"/>
    <w:rsid w:val="00F27140"/>
    <w:rsid w:val="00F277C1"/>
    <w:rsid w:val="00F3034F"/>
    <w:rsid w:val="00F31D7E"/>
    <w:rsid w:val="00F32AF6"/>
    <w:rsid w:val="00F34B69"/>
    <w:rsid w:val="00F36650"/>
    <w:rsid w:val="00F37EDE"/>
    <w:rsid w:val="00F42A3F"/>
    <w:rsid w:val="00F4344C"/>
    <w:rsid w:val="00F43457"/>
    <w:rsid w:val="00F503BD"/>
    <w:rsid w:val="00F52A20"/>
    <w:rsid w:val="00F53B60"/>
    <w:rsid w:val="00F55250"/>
    <w:rsid w:val="00F5629C"/>
    <w:rsid w:val="00F568F8"/>
    <w:rsid w:val="00F56C19"/>
    <w:rsid w:val="00F57001"/>
    <w:rsid w:val="00F572C7"/>
    <w:rsid w:val="00F6037F"/>
    <w:rsid w:val="00F60740"/>
    <w:rsid w:val="00F60F85"/>
    <w:rsid w:val="00F61833"/>
    <w:rsid w:val="00F61AC7"/>
    <w:rsid w:val="00F61E43"/>
    <w:rsid w:val="00F62FA9"/>
    <w:rsid w:val="00F645C9"/>
    <w:rsid w:val="00F65FEA"/>
    <w:rsid w:val="00F66D65"/>
    <w:rsid w:val="00F7050D"/>
    <w:rsid w:val="00F7242E"/>
    <w:rsid w:val="00F808A4"/>
    <w:rsid w:val="00F83845"/>
    <w:rsid w:val="00F85E8F"/>
    <w:rsid w:val="00F9075A"/>
    <w:rsid w:val="00F921DC"/>
    <w:rsid w:val="00F944B0"/>
    <w:rsid w:val="00F9612C"/>
    <w:rsid w:val="00F972F0"/>
    <w:rsid w:val="00FA1193"/>
    <w:rsid w:val="00FA22CE"/>
    <w:rsid w:val="00FA4441"/>
    <w:rsid w:val="00FA4F80"/>
    <w:rsid w:val="00FA6A44"/>
    <w:rsid w:val="00FA74C3"/>
    <w:rsid w:val="00FA7C45"/>
    <w:rsid w:val="00FA7CE4"/>
    <w:rsid w:val="00FB0501"/>
    <w:rsid w:val="00FB194A"/>
    <w:rsid w:val="00FB244C"/>
    <w:rsid w:val="00FB45CA"/>
    <w:rsid w:val="00FB4CD6"/>
    <w:rsid w:val="00FB6346"/>
    <w:rsid w:val="00FB76C0"/>
    <w:rsid w:val="00FB7F93"/>
    <w:rsid w:val="00FC2322"/>
    <w:rsid w:val="00FC2339"/>
    <w:rsid w:val="00FC5F1B"/>
    <w:rsid w:val="00FC63D9"/>
    <w:rsid w:val="00FD256D"/>
    <w:rsid w:val="00FD270B"/>
    <w:rsid w:val="00FD38E0"/>
    <w:rsid w:val="00FD484D"/>
    <w:rsid w:val="00FD4A8C"/>
    <w:rsid w:val="00FD51AC"/>
    <w:rsid w:val="00FD6AB7"/>
    <w:rsid w:val="00FE0E1C"/>
    <w:rsid w:val="00FE19EE"/>
    <w:rsid w:val="00FE2C9A"/>
    <w:rsid w:val="00FE51DA"/>
    <w:rsid w:val="00FF1010"/>
    <w:rsid w:val="00FF2439"/>
    <w:rsid w:val="00FF2787"/>
    <w:rsid w:val="00FF7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FE51D5"/>
  <w15:docId w15:val="{86489C17-9417-41D8-9F96-383E5B4EA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CB7"/>
    <w:pPr>
      <w:jc w:val="both"/>
    </w:pPr>
    <w:rPr>
      <w:sz w:val="24"/>
      <w:lang w:val="lv-LV"/>
    </w:rPr>
  </w:style>
  <w:style w:type="paragraph" w:styleId="Heading1">
    <w:name w:val="heading 1"/>
    <w:basedOn w:val="Normal"/>
    <w:next w:val="Normal"/>
    <w:link w:val="Heading1Char"/>
    <w:uiPriority w:val="9"/>
    <w:qFormat/>
    <w:rsid w:val="00853EDD"/>
    <w:pPr>
      <w:keepNext/>
      <w:keepLines/>
      <w:spacing w:before="240" w:after="0"/>
      <w:jc w:val="center"/>
      <w:outlineLvl w:val="0"/>
    </w:pPr>
    <w:rPr>
      <w:rFonts w:ascii="Bahnschrift SemiLight Condensed" w:eastAsiaTheme="majorEastAsia" w:hAnsi="Bahnschrift SemiLight Condensed" w:cstheme="majorBidi"/>
      <w:color w:val="244061" w:themeColor="accent1" w:themeShade="80"/>
      <w:sz w:val="32"/>
      <w:szCs w:val="32"/>
    </w:rPr>
  </w:style>
  <w:style w:type="paragraph" w:styleId="Heading2">
    <w:name w:val="heading 2"/>
    <w:basedOn w:val="Normal"/>
    <w:next w:val="Normal"/>
    <w:link w:val="Heading2Char"/>
    <w:uiPriority w:val="9"/>
    <w:unhideWhenUsed/>
    <w:qFormat/>
    <w:rsid w:val="00453CB7"/>
    <w:pPr>
      <w:keepNext/>
      <w:keepLines/>
      <w:spacing w:before="160" w:after="120"/>
      <w:jc w:val="center"/>
      <w:outlineLvl w:val="1"/>
    </w:pPr>
    <w:rPr>
      <w:rFonts w:ascii="Bahnschrift SemiLight Condensed" w:eastAsiaTheme="majorEastAsia" w:hAnsi="Bahnschrift SemiLight Condensed" w:cstheme="majorBidi"/>
      <w:color w:val="365F91" w:themeColor="accent1" w:themeShade="BF"/>
      <w:sz w:val="28"/>
      <w:szCs w:val="26"/>
    </w:rPr>
  </w:style>
  <w:style w:type="paragraph" w:styleId="Heading3">
    <w:name w:val="heading 3"/>
    <w:basedOn w:val="Normal"/>
    <w:next w:val="Normal"/>
    <w:link w:val="Heading3Char"/>
    <w:uiPriority w:val="9"/>
    <w:unhideWhenUsed/>
    <w:qFormat/>
    <w:rsid w:val="00F645C9"/>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693DF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EDD"/>
    <w:rPr>
      <w:rFonts w:ascii="Bahnschrift SemiLight Condensed" w:eastAsiaTheme="majorEastAsia" w:hAnsi="Bahnschrift SemiLight Condensed" w:cstheme="majorBidi"/>
      <w:color w:val="244061" w:themeColor="accent1" w:themeShade="80"/>
      <w:sz w:val="32"/>
      <w:szCs w:val="32"/>
      <w:lang w:val="lv-LV"/>
    </w:rPr>
  </w:style>
  <w:style w:type="character" w:customStyle="1" w:styleId="Heading2Char">
    <w:name w:val="Heading 2 Char"/>
    <w:basedOn w:val="DefaultParagraphFont"/>
    <w:link w:val="Heading2"/>
    <w:uiPriority w:val="9"/>
    <w:rsid w:val="00453CB7"/>
    <w:rPr>
      <w:rFonts w:ascii="Bahnschrift SemiLight Condensed" w:eastAsiaTheme="majorEastAsia" w:hAnsi="Bahnschrift SemiLight Condensed" w:cstheme="majorBidi"/>
      <w:color w:val="365F91" w:themeColor="accent1" w:themeShade="BF"/>
      <w:sz w:val="28"/>
      <w:szCs w:val="26"/>
      <w:lang w:val="lv-LV"/>
    </w:rPr>
  </w:style>
  <w:style w:type="paragraph" w:styleId="NoSpacing">
    <w:name w:val="No Spacing"/>
    <w:link w:val="NoSpacingChar"/>
    <w:qFormat/>
    <w:rsid w:val="00B361A2"/>
    <w:pPr>
      <w:spacing w:after="0" w:line="240" w:lineRule="auto"/>
    </w:pPr>
    <w:rPr>
      <w:rFonts w:eastAsiaTheme="minorEastAsia"/>
    </w:rPr>
  </w:style>
  <w:style w:type="character" w:customStyle="1" w:styleId="NoSpacingChar">
    <w:name w:val="No Spacing Char"/>
    <w:basedOn w:val="DefaultParagraphFont"/>
    <w:link w:val="NoSpacing"/>
    <w:rsid w:val="00B361A2"/>
    <w:rPr>
      <w:rFonts w:eastAsiaTheme="minorEastAsia"/>
    </w:rPr>
  </w:style>
  <w:style w:type="table" w:styleId="TableGrid">
    <w:name w:val="Table Grid"/>
    <w:basedOn w:val="TableNormal"/>
    <w:uiPriority w:val="39"/>
    <w:unhideWhenUsed/>
    <w:rsid w:val="007973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Strip,Akapit z listą BS,Bullet 1,Bullet Points,Dot pt,F5 List Paragraph,Heading 2_sj,IFCL - List Paragraph,Indicator Text,List Paragraph Char Char Char,List Paragraph1,List Paragraph12,MAIN CONTENT,No Spacing1,Numbered Para 1,OBC Bullet"/>
    <w:basedOn w:val="Normal"/>
    <w:link w:val="ListParagraphChar"/>
    <w:uiPriority w:val="34"/>
    <w:qFormat/>
    <w:rsid w:val="00E664FF"/>
    <w:pPr>
      <w:suppressAutoHyphens/>
      <w:autoSpaceDN w:val="0"/>
      <w:spacing w:after="0" w:line="240" w:lineRule="auto"/>
      <w:ind w:left="720"/>
      <w:jc w:val="left"/>
      <w:textAlignment w:val="baseline"/>
    </w:pPr>
    <w:rPr>
      <w:rFonts w:ascii="Times New Roman" w:eastAsia="Times New Roman" w:hAnsi="Times New Roman" w:cs="Times New Roman"/>
      <w:szCs w:val="24"/>
      <w:lang w:val="en-GB" w:eastAsia="zh-CN"/>
    </w:rPr>
  </w:style>
  <w:style w:type="character" w:customStyle="1" w:styleId="ListParagraphChar">
    <w:name w:val="List Paragraph Char"/>
    <w:aliases w:val="2 Char,Strip Char,Akapit z listą BS Char,Bullet 1 Char,Bullet Points Char,Dot pt Char,F5 List Paragraph Char,Heading 2_sj Char,IFCL - List Paragraph Char,Indicator Text Char,List Paragraph Char Char Char Char,List Paragraph1 Char"/>
    <w:link w:val="ListParagraph"/>
    <w:uiPriority w:val="34"/>
    <w:qFormat/>
    <w:locked/>
    <w:rsid w:val="00484AD2"/>
    <w:rPr>
      <w:rFonts w:ascii="Times New Roman" w:eastAsia="Times New Roman" w:hAnsi="Times New Roman" w:cs="Times New Roman"/>
      <w:sz w:val="24"/>
      <w:szCs w:val="24"/>
      <w:lang w:val="en-GB" w:eastAsia="zh-CN"/>
    </w:rPr>
  </w:style>
  <w:style w:type="character" w:styleId="CommentReference">
    <w:name w:val="annotation reference"/>
    <w:basedOn w:val="DefaultParagraphFont"/>
    <w:uiPriority w:val="99"/>
    <w:unhideWhenUsed/>
    <w:rsid w:val="00CC1DD2"/>
    <w:rPr>
      <w:sz w:val="16"/>
      <w:szCs w:val="16"/>
    </w:rPr>
  </w:style>
  <w:style w:type="paragraph" w:styleId="CommentText">
    <w:name w:val="annotation text"/>
    <w:basedOn w:val="Normal"/>
    <w:link w:val="CommentTextChar1"/>
    <w:uiPriority w:val="99"/>
    <w:unhideWhenUsed/>
    <w:rsid w:val="00CC1DD2"/>
    <w:pPr>
      <w:spacing w:line="240" w:lineRule="auto"/>
    </w:pPr>
    <w:rPr>
      <w:sz w:val="20"/>
      <w:szCs w:val="20"/>
    </w:rPr>
  </w:style>
  <w:style w:type="character" w:customStyle="1" w:styleId="CommentTextChar1">
    <w:name w:val="Comment Text Char1"/>
    <w:basedOn w:val="DefaultParagraphFont"/>
    <w:link w:val="CommentText"/>
    <w:rsid w:val="00CC1DD2"/>
    <w:rPr>
      <w:sz w:val="20"/>
      <w:szCs w:val="20"/>
    </w:rPr>
  </w:style>
  <w:style w:type="paragraph" w:styleId="CommentSubject">
    <w:name w:val="annotation subject"/>
    <w:basedOn w:val="CommentText"/>
    <w:next w:val="CommentText"/>
    <w:link w:val="CommentSubjectChar1"/>
    <w:unhideWhenUsed/>
    <w:rsid w:val="00CC1DD2"/>
    <w:rPr>
      <w:b/>
      <w:bCs/>
    </w:rPr>
  </w:style>
  <w:style w:type="character" w:customStyle="1" w:styleId="CommentSubjectChar1">
    <w:name w:val="Comment Subject Char1"/>
    <w:basedOn w:val="CommentTextChar1"/>
    <w:link w:val="CommentSubject"/>
    <w:rsid w:val="00CC1DD2"/>
    <w:rPr>
      <w:b/>
      <w:bCs/>
      <w:sz w:val="20"/>
      <w:szCs w:val="20"/>
    </w:rPr>
  </w:style>
  <w:style w:type="paragraph" w:styleId="BalloonText">
    <w:name w:val="Balloon Text"/>
    <w:basedOn w:val="Normal"/>
    <w:link w:val="BalloonTextChar1"/>
    <w:unhideWhenUsed/>
    <w:rsid w:val="00CC1DD2"/>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rsid w:val="00CC1DD2"/>
    <w:rPr>
      <w:rFonts w:ascii="Segoe UI" w:hAnsi="Segoe UI" w:cs="Segoe UI"/>
      <w:sz w:val="18"/>
      <w:szCs w:val="18"/>
    </w:rPr>
  </w:style>
  <w:style w:type="paragraph" w:styleId="BodyText2">
    <w:name w:val="Body Text 2"/>
    <w:basedOn w:val="Normal"/>
    <w:link w:val="BodyText2Char"/>
    <w:rsid w:val="00156075"/>
    <w:pPr>
      <w:suppressAutoHyphens/>
      <w:autoSpaceDN w:val="0"/>
      <w:spacing w:after="0" w:line="240" w:lineRule="auto"/>
      <w:jc w:val="center"/>
      <w:textAlignment w:val="baseline"/>
    </w:pPr>
    <w:rPr>
      <w:rFonts w:ascii="Times New Roman" w:eastAsia="Times New Roman" w:hAnsi="Times New Roman" w:cs="Times New Roman"/>
      <w:b/>
      <w:sz w:val="28"/>
      <w:szCs w:val="24"/>
      <w:lang w:eastAsia="lv-LV"/>
    </w:rPr>
  </w:style>
  <w:style w:type="character" w:customStyle="1" w:styleId="BodyText2Char">
    <w:name w:val="Body Text 2 Char"/>
    <w:basedOn w:val="DefaultParagraphFont"/>
    <w:link w:val="BodyText2"/>
    <w:rsid w:val="00156075"/>
    <w:rPr>
      <w:rFonts w:ascii="Times New Roman" w:eastAsia="Times New Roman" w:hAnsi="Times New Roman" w:cs="Times New Roman"/>
      <w:b/>
      <w:sz w:val="28"/>
      <w:szCs w:val="24"/>
      <w:lang w:val="lv-LV" w:eastAsia="lv-LV"/>
    </w:rPr>
  </w:style>
  <w:style w:type="paragraph" w:styleId="BodyText">
    <w:name w:val="Body Text"/>
    <w:basedOn w:val="Normal"/>
    <w:link w:val="BodyTextChar"/>
    <w:rsid w:val="00156075"/>
    <w:pPr>
      <w:suppressAutoHyphens/>
      <w:autoSpaceDN w:val="0"/>
      <w:spacing w:after="0" w:line="240" w:lineRule="auto"/>
      <w:jc w:val="center"/>
      <w:textAlignment w:val="baseline"/>
    </w:pPr>
    <w:rPr>
      <w:rFonts w:ascii="Times New Roman" w:eastAsia="Times New Roman" w:hAnsi="Times New Roman" w:cs="Times New Roman"/>
      <w:b/>
      <w:sz w:val="52"/>
      <w:szCs w:val="44"/>
      <w:lang w:eastAsia="lv-LV"/>
    </w:rPr>
  </w:style>
  <w:style w:type="character" w:customStyle="1" w:styleId="BodyTextChar">
    <w:name w:val="Body Text Char"/>
    <w:basedOn w:val="DefaultParagraphFont"/>
    <w:link w:val="BodyText"/>
    <w:rsid w:val="00156075"/>
    <w:rPr>
      <w:rFonts w:ascii="Times New Roman" w:eastAsia="Times New Roman" w:hAnsi="Times New Roman" w:cs="Times New Roman"/>
      <w:b/>
      <w:sz w:val="52"/>
      <w:szCs w:val="44"/>
      <w:lang w:val="lv-LV" w:eastAsia="lv-LV"/>
    </w:rPr>
  </w:style>
  <w:style w:type="character" w:styleId="Emphasis">
    <w:name w:val="Emphasis"/>
    <w:basedOn w:val="DefaultParagraphFont"/>
    <w:qFormat/>
    <w:rsid w:val="00087312"/>
    <w:rPr>
      <w:i/>
      <w:iCs/>
    </w:rPr>
  </w:style>
  <w:style w:type="character" w:styleId="Hyperlink">
    <w:name w:val="Hyperlink"/>
    <w:basedOn w:val="DefaultParagraphFont"/>
    <w:uiPriority w:val="99"/>
    <w:unhideWhenUsed/>
    <w:rsid w:val="00484AD2"/>
    <w:rPr>
      <w:color w:val="0000FF"/>
      <w:u w:val="single"/>
    </w:rPr>
  </w:style>
  <w:style w:type="paragraph" w:customStyle="1" w:styleId="tv213">
    <w:name w:val="tv213"/>
    <w:basedOn w:val="Normal"/>
    <w:rsid w:val="00484AD2"/>
    <w:pPr>
      <w:spacing w:before="100" w:beforeAutospacing="1" w:after="100" w:afterAutospacing="1" w:line="240" w:lineRule="auto"/>
      <w:jc w:val="left"/>
    </w:pPr>
    <w:rPr>
      <w:rFonts w:ascii="Times New Roman" w:eastAsia="Times New Roman" w:hAnsi="Times New Roman" w:cs="Times New Roman"/>
      <w:szCs w:val="24"/>
      <w:lang w:eastAsia="lv-LV"/>
    </w:rPr>
  </w:style>
  <w:style w:type="paragraph" w:styleId="FootnoteText">
    <w:name w:val="footnote text"/>
    <w:aliases w:val="Fußnotentext Char,fn,Footnote ak,FußnotentextE,Footnote ak Carattere,Footnote,Note de bas de page Car Car,Note de bas de page Car Car Car Car Car,Note de bas de page Car Car Car Car,Note de bas de page Car Car Car,stile 1,f,Footnote text,o"/>
    <w:basedOn w:val="Normal"/>
    <w:link w:val="FootnoteTextChar"/>
    <w:uiPriority w:val="99"/>
    <w:unhideWhenUsed/>
    <w:qFormat/>
    <w:rsid w:val="00484AD2"/>
    <w:pPr>
      <w:spacing w:after="0" w:line="240" w:lineRule="auto"/>
      <w:jc w:val="left"/>
    </w:pPr>
    <w:rPr>
      <w:rFonts w:ascii="Calibri" w:hAnsi="Calibri" w:cs="Calibri"/>
      <w:sz w:val="20"/>
      <w:szCs w:val="20"/>
      <w:lang w:eastAsia="lv-LV"/>
    </w:rPr>
  </w:style>
  <w:style w:type="character" w:customStyle="1" w:styleId="FootnoteTextChar">
    <w:name w:val="Footnote Text Char"/>
    <w:aliases w:val="Fußnotentext Char Char,fn Char,Footnote ak Char,FußnotentextE Char,Footnote ak Carattere Char,Footnote Char,Note de bas de page Car Car Char,Note de bas de page Car Car Car Car Car Char,Note de bas de page Car Car Car Car Char,f Char"/>
    <w:basedOn w:val="DefaultParagraphFont"/>
    <w:link w:val="FootnoteText"/>
    <w:uiPriority w:val="99"/>
    <w:qFormat/>
    <w:rsid w:val="00484AD2"/>
    <w:rPr>
      <w:rFonts w:ascii="Calibri" w:hAnsi="Calibri" w:cs="Calibri"/>
      <w:sz w:val="20"/>
      <w:szCs w:val="20"/>
      <w:lang w:val="lv-LV" w:eastAsia="lv-LV"/>
    </w:rPr>
  </w:style>
  <w:style w:type="character" w:styleId="FootnoteReference">
    <w:name w:val="footnote reference"/>
    <w:aliases w:val="Footnote Reference Number,number,Footnote reference number,Footnote symbol,note TESI,-E Fußnotenzeichen,SUPERS,Footnote Reference Superscript,stylish,Odwołanie przypisu,Times 10 Point,Exposant 3 Point,Voetnootverwijzing,Ref,BVI fnr,fr"/>
    <w:basedOn w:val="DefaultParagraphFont"/>
    <w:link w:val="FootnotesymbolCarZchn"/>
    <w:uiPriority w:val="99"/>
    <w:unhideWhenUsed/>
    <w:qFormat/>
    <w:rsid w:val="00484AD2"/>
    <w:rPr>
      <w:vertAlign w:val="superscript"/>
    </w:rPr>
  </w:style>
  <w:style w:type="paragraph" w:styleId="Header">
    <w:name w:val="header"/>
    <w:basedOn w:val="Normal"/>
    <w:link w:val="HeaderChar"/>
    <w:uiPriority w:val="99"/>
    <w:unhideWhenUsed/>
    <w:rsid w:val="00F43457"/>
    <w:pPr>
      <w:tabs>
        <w:tab w:val="center" w:pos="4320"/>
        <w:tab w:val="right" w:pos="8640"/>
      </w:tabs>
      <w:spacing w:after="0" w:line="240" w:lineRule="auto"/>
    </w:pPr>
  </w:style>
  <w:style w:type="character" w:customStyle="1" w:styleId="HeaderChar">
    <w:name w:val="Header Char"/>
    <w:basedOn w:val="DefaultParagraphFont"/>
    <w:link w:val="Header"/>
    <w:uiPriority w:val="99"/>
    <w:rsid w:val="00F43457"/>
    <w:rPr>
      <w:sz w:val="24"/>
      <w:lang w:val="lv-LV"/>
    </w:rPr>
  </w:style>
  <w:style w:type="paragraph" w:styleId="Footer">
    <w:name w:val="footer"/>
    <w:basedOn w:val="Normal"/>
    <w:link w:val="FooterChar"/>
    <w:unhideWhenUsed/>
    <w:rsid w:val="00F43457"/>
    <w:pPr>
      <w:tabs>
        <w:tab w:val="center" w:pos="4320"/>
        <w:tab w:val="right" w:pos="8640"/>
      </w:tabs>
      <w:spacing w:after="0" w:line="240" w:lineRule="auto"/>
    </w:pPr>
  </w:style>
  <w:style w:type="character" w:customStyle="1" w:styleId="FooterChar">
    <w:name w:val="Footer Char"/>
    <w:basedOn w:val="DefaultParagraphFont"/>
    <w:link w:val="Footer"/>
    <w:rsid w:val="00F43457"/>
    <w:rPr>
      <w:sz w:val="24"/>
      <w:lang w:val="lv-LV"/>
    </w:rPr>
  </w:style>
  <w:style w:type="paragraph" w:styleId="Revision">
    <w:name w:val="Revision"/>
    <w:hidden/>
    <w:rsid w:val="00B342B6"/>
    <w:pPr>
      <w:spacing w:after="0" w:line="240" w:lineRule="auto"/>
    </w:pPr>
    <w:rPr>
      <w:sz w:val="24"/>
      <w:lang w:val="lv-LV"/>
    </w:rPr>
  </w:style>
  <w:style w:type="character" w:styleId="FollowedHyperlink">
    <w:name w:val="FollowedHyperlink"/>
    <w:basedOn w:val="DefaultParagraphFont"/>
    <w:uiPriority w:val="99"/>
    <w:unhideWhenUsed/>
    <w:rsid w:val="00BB4188"/>
    <w:rPr>
      <w:color w:val="800080" w:themeColor="followedHyperlink"/>
      <w:u w:val="single"/>
    </w:rPr>
  </w:style>
  <w:style w:type="character" w:customStyle="1" w:styleId="Heading3Char">
    <w:name w:val="Heading 3 Char"/>
    <w:basedOn w:val="DefaultParagraphFont"/>
    <w:link w:val="Heading3"/>
    <w:uiPriority w:val="9"/>
    <w:rsid w:val="00F645C9"/>
    <w:rPr>
      <w:rFonts w:asciiTheme="majorHAnsi" w:eastAsiaTheme="majorEastAsia" w:hAnsiTheme="majorHAnsi" w:cstheme="majorBidi"/>
      <w:color w:val="243F60" w:themeColor="accent1" w:themeShade="7F"/>
      <w:sz w:val="24"/>
      <w:szCs w:val="24"/>
      <w:lang w:val="lv-LV"/>
    </w:rPr>
  </w:style>
  <w:style w:type="paragraph" w:styleId="TOCHeading">
    <w:name w:val="TOC Heading"/>
    <w:basedOn w:val="Heading1"/>
    <w:next w:val="Normal"/>
    <w:uiPriority w:val="39"/>
    <w:unhideWhenUsed/>
    <w:qFormat/>
    <w:rsid w:val="00F3034F"/>
    <w:pPr>
      <w:spacing w:line="259" w:lineRule="auto"/>
      <w:jc w:val="left"/>
      <w:outlineLvl w:val="9"/>
    </w:pPr>
    <w:rPr>
      <w:lang w:val="en-US"/>
    </w:rPr>
  </w:style>
  <w:style w:type="paragraph" w:styleId="TOC1">
    <w:name w:val="toc 1"/>
    <w:basedOn w:val="Normal"/>
    <w:next w:val="Normal"/>
    <w:autoRedefine/>
    <w:uiPriority w:val="39"/>
    <w:unhideWhenUsed/>
    <w:rsid w:val="00C2729B"/>
    <w:pPr>
      <w:spacing w:before="360" w:after="0"/>
      <w:jc w:val="left"/>
    </w:pPr>
    <w:rPr>
      <w:rFonts w:asciiTheme="majorHAnsi" w:hAnsiTheme="majorHAnsi"/>
      <w:b/>
      <w:bCs/>
      <w:caps/>
      <w:szCs w:val="24"/>
    </w:rPr>
  </w:style>
  <w:style w:type="paragraph" w:styleId="TOC2">
    <w:name w:val="toc 2"/>
    <w:basedOn w:val="Normal"/>
    <w:next w:val="Normal"/>
    <w:autoRedefine/>
    <w:uiPriority w:val="39"/>
    <w:unhideWhenUsed/>
    <w:rsid w:val="00F3034F"/>
    <w:pPr>
      <w:spacing w:before="240" w:after="0"/>
      <w:jc w:val="left"/>
    </w:pPr>
    <w:rPr>
      <w:rFonts w:cstheme="minorHAnsi"/>
      <w:b/>
      <w:bCs/>
      <w:sz w:val="20"/>
      <w:szCs w:val="20"/>
    </w:rPr>
  </w:style>
  <w:style w:type="paragraph" w:styleId="TOC3">
    <w:name w:val="toc 3"/>
    <w:basedOn w:val="Normal"/>
    <w:next w:val="Normal"/>
    <w:autoRedefine/>
    <w:uiPriority w:val="39"/>
    <w:unhideWhenUsed/>
    <w:rsid w:val="00F3034F"/>
    <w:pPr>
      <w:spacing w:after="0"/>
      <w:ind w:left="240"/>
      <w:jc w:val="left"/>
    </w:pPr>
    <w:rPr>
      <w:rFonts w:cstheme="minorHAnsi"/>
      <w:sz w:val="20"/>
      <w:szCs w:val="20"/>
    </w:rPr>
  </w:style>
  <w:style w:type="character" w:customStyle="1" w:styleId="CommentReference1">
    <w:name w:val="Comment Reference1"/>
    <w:basedOn w:val="DefaultParagraphFont"/>
    <w:rsid w:val="000B366F"/>
    <w:rPr>
      <w:sz w:val="16"/>
      <w:szCs w:val="16"/>
    </w:rPr>
  </w:style>
  <w:style w:type="paragraph" w:customStyle="1" w:styleId="CommentText1">
    <w:name w:val="Comment Text1"/>
    <w:basedOn w:val="Normal"/>
    <w:rsid w:val="000B366F"/>
    <w:pPr>
      <w:autoSpaceDN w:val="0"/>
      <w:spacing w:line="240" w:lineRule="auto"/>
      <w:textAlignment w:val="baseline"/>
    </w:pPr>
    <w:rPr>
      <w:rFonts w:ascii="Calibri" w:eastAsia="Calibri" w:hAnsi="Calibri" w:cs="Times New Roman"/>
      <w:sz w:val="20"/>
      <w:szCs w:val="20"/>
    </w:rPr>
  </w:style>
  <w:style w:type="character" w:customStyle="1" w:styleId="CommentTextChar">
    <w:name w:val="Comment Text Char"/>
    <w:basedOn w:val="DefaultParagraphFont"/>
    <w:uiPriority w:val="99"/>
    <w:rsid w:val="000B366F"/>
    <w:rPr>
      <w:sz w:val="20"/>
      <w:szCs w:val="20"/>
    </w:rPr>
  </w:style>
  <w:style w:type="paragraph" w:customStyle="1" w:styleId="CommentSubject1">
    <w:name w:val="Comment Subject1"/>
    <w:basedOn w:val="CommentText1"/>
    <w:next w:val="CommentText1"/>
    <w:rsid w:val="000B366F"/>
    <w:rPr>
      <w:b/>
      <w:bCs/>
    </w:rPr>
  </w:style>
  <w:style w:type="character" w:customStyle="1" w:styleId="CommentSubjectChar">
    <w:name w:val="Comment Subject Char"/>
    <w:basedOn w:val="CommentTextChar"/>
    <w:rsid w:val="000B366F"/>
    <w:rPr>
      <w:b/>
      <w:bCs/>
      <w:sz w:val="20"/>
      <w:szCs w:val="20"/>
    </w:rPr>
  </w:style>
  <w:style w:type="character" w:customStyle="1" w:styleId="BalloonTextChar">
    <w:name w:val="Balloon Text Char"/>
    <w:basedOn w:val="DefaultParagraphFont"/>
    <w:rsid w:val="000B366F"/>
    <w:rPr>
      <w:rFonts w:ascii="Segoe UI" w:hAnsi="Segoe UI" w:cs="Segoe UI"/>
      <w:sz w:val="18"/>
      <w:szCs w:val="18"/>
    </w:rPr>
  </w:style>
  <w:style w:type="numbering" w:customStyle="1" w:styleId="NoList1">
    <w:name w:val="No List1"/>
    <w:next w:val="NoList"/>
    <w:uiPriority w:val="99"/>
    <w:semiHidden/>
    <w:unhideWhenUsed/>
    <w:rsid w:val="00396403"/>
  </w:style>
  <w:style w:type="table" w:customStyle="1" w:styleId="TableGrid1">
    <w:name w:val="Table Grid1"/>
    <w:basedOn w:val="TableNormal"/>
    <w:next w:val="TableGrid"/>
    <w:uiPriority w:val="39"/>
    <w:unhideWhenUsed/>
    <w:rsid w:val="00396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C13C9B"/>
    <w:pPr>
      <w:spacing w:before="100" w:beforeAutospacing="1" w:after="100" w:afterAutospacing="1" w:line="240" w:lineRule="auto"/>
      <w:jc w:val="left"/>
    </w:pPr>
    <w:rPr>
      <w:rFonts w:ascii="Times New Roman" w:eastAsia="Times New Roman" w:hAnsi="Times New Roman" w:cs="Times New Roman"/>
      <w:szCs w:val="24"/>
      <w:lang w:eastAsia="lv-LV"/>
    </w:rPr>
  </w:style>
  <w:style w:type="paragraph" w:customStyle="1" w:styleId="Default">
    <w:name w:val="Default"/>
    <w:rsid w:val="00C13C9B"/>
    <w:pPr>
      <w:autoSpaceDE w:val="0"/>
      <w:autoSpaceDN w:val="0"/>
      <w:adjustRightInd w:val="0"/>
      <w:spacing w:after="0" w:line="240" w:lineRule="auto"/>
    </w:pPr>
    <w:rPr>
      <w:rFonts w:ascii="Times New Roman" w:hAnsi="Times New Roman" w:cs="Times New Roman"/>
      <w:color w:val="000000"/>
      <w:sz w:val="24"/>
      <w:szCs w:val="24"/>
      <w:lang w:val="lv-LV"/>
    </w:rPr>
  </w:style>
  <w:style w:type="character" w:customStyle="1" w:styleId="Noklusjumarindkopasfonts">
    <w:name w:val="Noklusējuma rindkopas fonts"/>
    <w:basedOn w:val="DefaultParagraphFont"/>
    <w:rsid w:val="00F60F85"/>
  </w:style>
  <w:style w:type="paragraph" w:customStyle="1" w:styleId="xl85">
    <w:name w:val="xl85"/>
    <w:basedOn w:val="Normal"/>
    <w:rsid w:val="00DB6C3E"/>
    <w:pPr>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86">
    <w:name w:val="xl86"/>
    <w:basedOn w:val="Normal"/>
    <w:rsid w:val="00DB6C3E"/>
    <w:pPr>
      <w:pBdr>
        <w:top w:val="single" w:sz="4" w:space="0" w:color="000000"/>
        <w:left w:val="single" w:sz="8" w:space="0" w:color="000000"/>
        <w:right w:val="single" w:sz="4" w:space="0" w:color="000000"/>
      </w:pBdr>
      <w:shd w:val="clear" w:color="C6E0B4" w:fill="C6E0B4"/>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87">
    <w:name w:val="xl87"/>
    <w:basedOn w:val="Normal"/>
    <w:rsid w:val="00DB6C3E"/>
    <w:pPr>
      <w:pBdr>
        <w:top w:val="single" w:sz="4" w:space="0" w:color="000000"/>
        <w:left w:val="single" w:sz="4" w:space="0" w:color="000000"/>
        <w:bottom w:val="single" w:sz="4" w:space="0" w:color="000000"/>
      </w:pBdr>
      <w:shd w:val="clear" w:color="C6E0B4" w:fill="C6E0B4"/>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88">
    <w:name w:val="xl88"/>
    <w:basedOn w:val="Normal"/>
    <w:rsid w:val="00DB6C3E"/>
    <w:pPr>
      <w:pBdr>
        <w:top w:val="single" w:sz="4" w:space="0" w:color="000000"/>
        <w:left w:val="single" w:sz="8" w:space="0" w:color="000000"/>
        <w:bottom w:val="single" w:sz="4" w:space="0" w:color="000000"/>
        <w:right w:val="single" w:sz="4" w:space="0" w:color="000000"/>
      </w:pBdr>
      <w:shd w:val="clear" w:color="C6E0B4" w:fill="C6E0B4"/>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89">
    <w:name w:val="xl89"/>
    <w:basedOn w:val="Normal"/>
    <w:rsid w:val="00DB6C3E"/>
    <w:pPr>
      <w:pBdr>
        <w:top w:val="single" w:sz="4" w:space="0" w:color="000000"/>
        <w:left w:val="single" w:sz="4" w:space="0" w:color="000000"/>
        <w:bottom w:val="single" w:sz="4" w:space="0" w:color="000000"/>
        <w:right w:val="single" w:sz="4" w:space="0" w:color="000000"/>
      </w:pBdr>
      <w:shd w:val="clear" w:color="C6E0B4" w:fill="C6E0B4"/>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90">
    <w:name w:val="xl90"/>
    <w:basedOn w:val="Normal"/>
    <w:rsid w:val="00DB6C3E"/>
    <w:pPr>
      <w:pBdr>
        <w:top w:val="single" w:sz="4" w:space="0" w:color="000000"/>
        <w:left w:val="single" w:sz="4" w:space="0" w:color="000000"/>
        <w:bottom w:val="single" w:sz="4" w:space="0" w:color="000000"/>
        <w:right w:val="single" w:sz="8" w:space="0" w:color="000000"/>
      </w:pBdr>
      <w:shd w:val="clear" w:color="C6E0B4" w:fill="C6E0B4"/>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91">
    <w:name w:val="xl91"/>
    <w:basedOn w:val="Normal"/>
    <w:rsid w:val="00DB6C3E"/>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92">
    <w:name w:val="xl92"/>
    <w:basedOn w:val="Normal"/>
    <w:rsid w:val="00DB6C3E"/>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left"/>
    </w:pPr>
    <w:rPr>
      <w:rFonts w:ascii="Times New Roman" w:eastAsia="Times New Roman" w:hAnsi="Times New Roman" w:cs="Times New Roman"/>
      <w:szCs w:val="24"/>
      <w:lang w:val="en-US"/>
    </w:rPr>
  </w:style>
  <w:style w:type="paragraph" w:customStyle="1" w:styleId="xl93">
    <w:name w:val="xl93"/>
    <w:basedOn w:val="Normal"/>
    <w:rsid w:val="00DB6C3E"/>
    <w:pPr>
      <w:pBdr>
        <w:top w:val="single" w:sz="4" w:space="0" w:color="000000"/>
        <w:left w:val="single" w:sz="8" w:space="0" w:color="000000"/>
        <w:bottom w:val="single" w:sz="4" w:space="0" w:color="000000"/>
        <w:right w:val="single" w:sz="4" w:space="0" w:color="000000"/>
      </w:pBdr>
      <w:shd w:val="clear" w:color="BFBFBF" w:fill="BFBFBF"/>
      <w:spacing w:before="100" w:beforeAutospacing="1" w:after="100" w:afterAutospacing="1" w:line="240" w:lineRule="auto"/>
      <w:jc w:val="center"/>
      <w:textAlignment w:val="center"/>
    </w:pPr>
    <w:rPr>
      <w:rFonts w:ascii="Times New Roman" w:eastAsia="Times New Roman" w:hAnsi="Times New Roman" w:cs="Times New Roman"/>
      <w:sz w:val="20"/>
      <w:szCs w:val="20"/>
      <w:lang w:val="en-US"/>
    </w:rPr>
  </w:style>
  <w:style w:type="paragraph" w:customStyle="1" w:styleId="xl94">
    <w:name w:val="xl94"/>
    <w:basedOn w:val="Normal"/>
    <w:rsid w:val="00DB6C3E"/>
    <w:pPr>
      <w:pBdr>
        <w:top w:val="single" w:sz="4" w:space="0" w:color="000000"/>
        <w:left w:val="single" w:sz="4" w:space="0" w:color="000000"/>
        <w:bottom w:val="single" w:sz="4" w:space="0" w:color="000000"/>
      </w:pBdr>
      <w:shd w:val="clear" w:color="BFBFBF" w:fill="BFBFBF"/>
      <w:spacing w:before="100" w:beforeAutospacing="1" w:after="100" w:afterAutospacing="1" w:line="240" w:lineRule="auto"/>
      <w:jc w:val="left"/>
    </w:pPr>
    <w:rPr>
      <w:rFonts w:ascii="Times New Roman" w:eastAsia="Times New Roman" w:hAnsi="Times New Roman" w:cs="Times New Roman"/>
      <w:sz w:val="20"/>
      <w:szCs w:val="20"/>
      <w:lang w:val="en-US"/>
    </w:rPr>
  </w:style>
  <w:style w:type="paragraph" w:customStyle="1" w:styleId="xl95">
    <w:name w:val="xl95"/>
    <w:basedOn w:val="Normal"/>
    <w:rsid w:val="00DB6C3E"/>
    <w:pPr>
      <w:pBdr>
        <w:top w:val="single" w:sz="4" w:space="0" w:color="000000"/>
        <w:left w:val="single" w:sz="8" w:space="0" w:color="000000"/>
        <w:bottom w:val="single" w:sz="4" w:space="0" w:color="000000"/>
        <w:right w:val="single" w:sz="4" w:space="0" w:color="000000"/>
      </w:pBdr>
      <w:shd w:val="clear" w:color="BFBFBF" w:fill="BFBFBF"/>
      <w:spacing w:before="100" w:beforeAutospacing="1" w:after="100" w:afterAutospacing="1" w:line="240" w:lineRule="auto"/>
      <w:jc w:val="center"/>
    </w:pPr>
    <w:rPr>
      <w:rFonts w:ascii="Times New Roman" w:eastAsia="Times New Roman" w:hAnsi="Times New Roman" w:cs="Times New Roman"/>
      <w:sz w:val="20"/>
      <w:szCs w:val="20"/>
      <w:lang w:val="en-US"/>
    </w:rPr>
  </w:style>
  <w:style w:type="paragraph" w:customStyle="1" w:styleId="xl96">
    <w:name w:val="xl96"/>
    <w:basedOn w:val="Normal"/>
    <w:rsid w:val="00DB6C3E"/>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pPr>
    <w:rPr>
      <w:rFonts w:ascii="Times New Roman" w:eastAsia="Times New Roman" w:hAnsi="Times New Roman" w:cs="Times New Roman"/>
      <w:sz w:val="20"/>
      <w:szCs w:val="20"/>
      <w:lang w:val="en-US"/>
    </w:rPr>
  </w:style>
  <w:style w:type="paragraph" w:customStyle="1" w:styleId="xl97">
    <w:name w:val="xl97"/>
    <w:basedOn w:val="Normal"/>
    <w:rsid w:val="00DB6C3E"/>
    <w:pPr>
      <w:pBdr>
        <w:top w:val="single" w:sz="4" w:space="0" w:color="000000"/>
        <w:left w:val="single" w:sz="4" w:space="0" w:color="000000"/>
        <w:bottom w:val="single" w:sz="4" w:space="0" w:color="000000"/>
        <w:right w:val="single" w:sz="8" w:space="0" w:color="000000"/>
      </w:pBdr>
      <w:shd w:val="clear" w:color="BFBFBF" w:fill="BFBFBF"/>
      <w:spacing w:before="100" w:beforeAutospacing="1" w:after="100" w:afterAutospacing="1" w:line="240" w:lineRule="auto"/>
      <w:jc w:val="center"/>
    </w:pPr>
    <w:rPr>
      <w:rFonts w:ascii="Times New Roman" w:eastAsia="Times New Roman" w:hAnsi="Times New Roman" w:cs="Times New Roman"/>
      <w:sz w:val="20"/>
      <w:szCs w:val="20"/>
      <w:lang w:val="en-US"/>
    </w:rPr>
  </w:style>
  <w:style w:type="paragraph" w:customStyle="1" w:styleId="xl98">
    <w:name w:val="xl98"/>
    <w:basedOn w:val="Normal"/>
    <w:rsid w:val="00DB6C3E"/>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99">
    <w:name w:val="xl99"/>
    <w:basedOn w:val="Normal"/>
    <w:rsid w:val="00DB6C3E"/>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n-US"/>
    </w:rPr>
  </w:style>
  <w:style w:type="paragraph" w:customStyle="1" w:styleId="xl100">
    <w:name w:val="xl100"/>
    <w:basedOn w:val="Normal"/>
    <w:rsid w:val="00DB6C3E"/>
    <w:pPr>
      <w:pBdr>
        <w:left w:val="single" w:sz="4" w:space="0" w:color="000000"/>
        <w:bottom w:val="single" w:sz="4" w:space="0" w:color="000000"/>
      </w:pBdr>
      <w:spacing w:before="100" w:beforeAutospacing="1" w:after="100" w:afterAutospacing="1" w:line="240" w:lineRule="auto"/>
      <w:jc w:val="left"/>
    </w:pPr>
    <w:rPr>
      <w:rFonts w:ascii="Times New Roman" w:eastAsia="Times New Roman" w:hAnsi="Times New Roman" w:cs="Times New Roman"/>
      <w:sz w:val="20"/>
      <w:szCs w:val="20"/>
      <w:lang w:val="en-US"/>
    </w:rPr>
  </w:style>
  <w:style w:type="paragraph" w:customStyle="1" w:styleId="xl101">
    <w:name w:val="xl101"/>
    <w:basedOn w:val="Normal"/>
    <w:rsid w:val="00DB6C3E"/>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val="en-US"/>
    </w:rPr>
  </w:style>
  <w:style w:type="paragraph" w:customStyle="1" w:styleId="xl102">
    <w:name w:val="xl102"/>
    <w:basedOn w:val="Normal"/>
    <w:rsid w:val="00DB6C3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val="en-US"/>
    </w:rPr>
  </w:style>
  <w:style w:type="paragraph" w:customStyle="1" w:styleId="xl103">
    <w:name w:val="xl103"/>
    <w:basedOn w:val="Normal"/>
    <w:rsid w:val="00DB6C3E"/>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20"/>
      <w:szCs w:val="20"/>
      <w:lang w:val="en-US"/>
    </w:rPr>
  </w:style>
  <w:style w:type="paragraph" w:customStyle="1" w:styleId="xl104">
    <w:name w:val="xl104"/>
    <w:basedOn w:val="Normal"/>
    <w:rsid w:val="00DB6C3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05">
    <w:name w:val="xl105"/>
    <w:basedOn w:val="Normal"/>
    <w:rsid w:val="00DB6C3E"/>
    <w:pPr>
      <w:pBdr>
        <w:top w:val="single" w:sz="4" w:space="0" w:color="000000"/>
        <w:left w:val="single" w:sz="4" w:space="0" w:color="000000"/>
        <w:bottom w:val="single" w:sz="4" w:space="0" w:color="000000"/>
      </w:pBdr>
      <w:spacing w:before="100" w:beforeAutospacing="1" w:after="100" w:afterAutospacing="1" w:line="240" w:lineRule="auto"/>
      <w:jc w:val="left"/>
    </w:pPr>
    <w:rPr>
      <w:rFonts w:ascii="Times New Roman" w:eastAsia="Times New Roman" w:hAnsi="Times New Roman" w:cs="Times New Roman"/>
      <w:sz w:val="20"/>
      <w:szCs w:val="20"/>
      <w:lang w:val="en-US"/>
    </w:rPr>
  </w:style>
  <w:style w:type="paragraph" w:customStyle="1" w:styleId="xl106">
    <w:name w:val="xl106"/>
    <w:basedOn w:val="Normal"/>
    <w:rsid w:val="00DB6C3E"/>
    <w:pPr>
      <w:pBdr>
        <w:left w:val="single" w:sz="4" w:space="0" w:color="000000"/>
      </w:pBdr>
      <w:shd w:val="clear" w:color="BFBFBF" w:fill="BFBFBF"/>
      <w:spacing w:before="100" w:beforeAutospacing="1" w:after="100" w:afterAutospacing="1" w:line="240" w:lineRule="auto"/>
      <w:jc w:val="left"/>
    </w:pPr>
    <w:rPr>
      <w:rFonts w:ascii="Times New Roman" w:eastAsia="Times New Roman" w:hAnsi="Times New Roman" w:cs="Times New Roman"/>
      <w:sz w:val="20"/>
      <w:szCs w:val="20"/>
      <w:lang w:val="en-US"/>
    </w:rPr>
  </w:style>
  <w:style w:type="paragraph" w:customStyle="1" w:styleId="xl107">
    <w:name w:val="xl107"/>
    <w:basedOn w:val="Normal"/>
    <w:rsid w:val="00DB6C3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08">
    <w:name w:val="xl108"/>
    <w:basedOn w:val="Normal"/>
    <w:rsid w:val="00DB6C3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09">
    <w:name w:val="xl109"/>
    <w:basedOn w:val="Normal"/>
    <w:rsid w:val="00DB6C3E"/>
    <w:pPr>
      <w:pBdr>
        <w:top w:val="single" w:sz="4" w:space="0" w:color="000000"/>
        <w:left w:val="single" w:sz="4" w:space="0" w:color="000000"/>
        <w:bottom w:val="single" w:sz="4" w:space="0" w:color="000000"/>
      </w:pBdr>
      <w:shd w:val="clear" w:color="BFBFBF" w:fill="BFBFBF"/>
      <w:spacing w:before="100" w:beforeAutospacing="1" w:after="100" w:afterAutospacing="1" w:line="240" w:lineRule="auto"/>
      <w:jc w:val="center"/>
      <w:textAlignment w:val="center"/>
    </w:pPr>
    <w:rPr>
      <w:rFonts w:ascii="Times New Roman" w:eastAsia="Times New Roman" w:hAnsi="Times New Roman" w:cs="Times New Roman"/>
      <w:sz w:val="20"/>
      <w:szCs w:val="20"/>
      <w:lang w:val="en-US"/>
    </w:rPr>
  </w:style>
  <w:style w:type="paragraph" w:customStyle="1" w:styleId="xl110">
    <w:name w:val="xl110"/>
    <w:basedOn w:val="Normal"/>
    <w:rsid w:val="00DB6C3E"/>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textAlignment w:val="center"/>
    </w:pPr>
    <w:rPr>
      <w:rFonts w:ascii="Times New Roman" w:eastAsia="Times New Roman" w:hAnsi="Times New Roman" w:cs="Times New Roman"/>
      <w:sz w:val="20"/>
      <w:szCs w:val="20"/>
      <w:lang w:val="en-US"/>
    </w:rPr>
  </w:style>
  <w:style w:type="paragraph" w:customStyle="1" w:styleId="xl111">
    <w:name w:val="xl111"/>
    <w:basedOn w:val="Normal"/>
    <w:rsid w:val="00DB6C3E"/>
    <w:pPr>
      <w:pBdr>
        <w:top w:val="single" w:sz="4" w:space="0" w:color="000000"/>
        <w:left w:val="single" w:sz="4" w:space="0" w:color="000000"/>
        <w:bottom w:val="single" w:sz="4" w:space="0" w:color="000000"/>
        <w:right w:val="single" w:sz="8" w:space="0" w:color="000000"/>
      </w:pBdr>
      <w:shd w:val="clear" w:color="BFBFBF" w:fill="BFBFBF"/>
      <w:spacing w:before="100" w:beforeAutospacing="1" w:after="100" w:afterAutospacing="1" w:line="240" w:lineRule="auto"/>
      <w:jc w:val="center"/>
      <w:textAlignment w:val="center"/>
    </w:pPr>
    <w:rPr>
      <w:rFonts w:ascii="Times New Roman" w:eastAsia="Times New Roman" w:hAnsi="Times New Roman" w:cs="Times New Roman"/>
      <w:sz w:val="20"/>
      <w:szCs w:val="20"/>
      <w:lang w:val="en-US"/>
    </w:rPr>
  </w:style>
  <w:style w:type="paragraph" w:customStyle="1" w:styleId="xl112">
    <w:name w:val="xl112"/>
    <w:basedOn w:val="Normal"/>
    <w:rsid w:val="00DB6C3E"/>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13">
    <w:name w:val="xl113"/>
    <w:basedOn w:val="Normal"/>
    <w:rsid w:val="00DB6C3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val="en-US"/>
    </w:rPr>
  </w:style>
  <w:style w:type="paragraph" w:customStyle="1" w:styleId="xl114">
    <w:name w:val="xl114"/>
    <w:basedOn w:val="Normal"/>
    <w:rsid w:val="00DB6C3E"/>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n-US"/>
    </w:rPr>
  </w:style>
  <w:style w:type="paragraph" w:customStyle="1" w:styleId="xl115">
    <w:name w:val="xl115"/>
    <w:basedOn w:val="Normal"/>
    <w:rsid w:val="00DB6C3E"/>
    <w:pPr>
      <w:pBdr>
        <w:top w:val="single" w:sz="4" w:space="0" w:color="000000"/>
        <w:left w:val="single" w:sz="4" w:space="0" w:color="000000"/>
        <w:bottom w:val="single" w:sz="8" w:space="0" w:color="000000"/>
      </w:pBdr>
      <w:spacing w:before="100" w:beforeAutospacing="1" w:after="100" w:afterAutospacing="1" w:line="240" w:lineRule="auto"/>
      <w:jc w:val="left"/>
    </w:pPr>
    <w:rPr>
      <w:rFonts w:ascii="Times New Roman" w:eastAsia="Times New Roman" w:hAnsi="Times New Roman" w:cs="Times New Roman"/>
      <w:sz w:val="20"/>
      <w:szCs w:val="20"/>
      <w:lang w:val="en-US"/>
    </w:rPr>
  </w:style>
  <w:style w:type="paragraph" w:customStyle="1" w:styleId="xl116">
    <w:name w:val="xl116"/>
    <w:basedOn w:val="Normal"/>
    <w:rsid w:val="00DB6C3E"/>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val="en-US"/>
    </w:rPr>
  </w:style>
  <w:style w:type="paragraph" w:customStyle="1" w:styleId="xl117">
    <w:name w:val="xl117"/>
    <w:basedOn w:val="Normal"/>
    <w:rsid w:val="00DB6C3E"/>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val="en-US"/>
    </w:rPr>
  </w:style>
  <w:style w:type="paragraph" w:customStyle="1" w:styleId="xl118">
    <w:name w:val="xl118"/>
    <w:basedOn w:val="Normal"/>
    <w:rsid w:val="00DB6C3E"/>
    <w:pPr>
      <w:pBdr>
        <w:top w:val="single" w:sz="4" w:space="0" w:color="000000"/>
        <w:left w:val="single" w:sz="4" w:space="0" w:color="000000"/>
        <w:bottom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20"/>
      <w:szCs w:val="20"/>
      <w:lang w:val="en-US"/>
    </w:rPr>
  </w:style>
  <w:style w:type="paragraph" w:customStyle="1" w:styleId="xl119">
    <w:name w:val="xl119"/>
    <w:basedOn w:val="Normal"/>
    <w:rsid w:val="00DB6C3E"/>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20">
    <w:name w:val="xl120"/>
    <w:basedOn w:val="Normal"/>
    <w:rsid w:val="00DB6C3E"/>
    <w:pPr>
      <w:pBdr>
        <w:top w:val="single" w:sz="8" w:space="0" w:color="000000"/>
        <w:left w:val="single" w:sz="8" w:space="0" w:color="000000"/>
        <w:bottom w:val="single" w:sz="4" w:space="0" w:color="000000"/>
        <w:right w:val="single" w:sz="4" w:space="0" w:color="000000"/>
      </w:pBdr>
      <w:shd w:val="clear" w:color="C6E0B4" w:fill="C6E0B4"/>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121">
    <w:name w:val="xl121"/>
    <w:basedOn w:val="Normal"/>
    <w:rsid w:val="00DB6C3E"/>
    <w:pPr>
      <w:pBdr>
        <w:top w:val="single" w:sz="8" w:space="0" w:color="000000"/>
        <w:left w:val="single" w:sz="4" w:space="0" w:color="000000"/>
        <w:bottom w:val="single" w:sz="4" w:space="0" w:color="000000"/>
        <w:right w:val="single" w:sz="8" w:space="0" w:color="000000"/>
      </w:pBdr>
      <w:shd w:val="clear" w:color="C6E0B4" w:fill="C6E0B4"/>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122">
    <w:name w:val="xl122"/>
    <w:basedOn w:val="Normal"/>
    <w:rsid w:val="00DB6C3E"/>
    <w:pPr>
      <w:pBdr>
        <w:top w:val="single" w:sz="8" w:space="0" w:color="000000"/>
        <w:left w:val="single" w:sz="4" w:space="0" w:color="000000"/>
        <w:bottom w:val="single" w:sz="4" w:space="0" w:color="000000"/>
        <w:right w:val="single" w:sz="4" w:space="0" w:color="000000"/>
      </w:pBdr>
      <w:shd w:val="clear" w:color="C6E0B4" w:fill="C6E0B4"/>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123">
    <w:name w:val="xl123"/>
    <w:basedOn w:val="Normal"/>
    <w:rsid w:val="00DB6C3E"/>
    <w:pPr>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124">
    <w:name w:val="xl124"/>
    <w:basedOn w:val="Normal"/>
    <w:rsid w:val="00DB6C3E"/>
    <w:pPr>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125">
    <w:name w:val="xl125"/>
    <w:basedOn w:val="Normal"/>
    <w:rsid w:val="00DB6C3E"/>
    <w:pPr>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126">
    <w:name w:val="xl126"/>
    <w:basedOn w:val="Normal"/>
    <w:rsid w:val="00DB6C3E"/>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27">
    <w:name w:val="xl127"/>
    <w:basedOn w:val="Normal"/>
    <w:rsid w:val="00DB6C3E"/>
    <w:pPr>
      <w:pBdr>
        <w:top w:val="single" w:sz="4" w:space="0" w:color="000000"/>
        <w:left w:val="single" w:sz="8" w:space="0" w:color="000000"/>
        <w:bottom w:val="single" w:sz="4"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128">
    <w:name w:val="xl128"/>
    <w:basedOn w:val="Normal"/>
    <w:rsid w:val="00DB6C3E"/>
    <w:pPr>
      <w:pBdr>
        <w:top w:val="single" w:sz="4" w:space="0" w:color="000000"/>
        <w:left w:val="single" w:sz="8" w:space="0" w:color="000000"/>
        <w:bottom w:val="single" w:sz="4" w:space="0" w:color="000000"/>
      </w:pBdr>
      <w:shd w:val="clear" w:color="BFBFBF" w:fill="BFBFBF"/>
      <w:spacing w:before="100" w:beforeAutospacing="1" w:after="100" w:afterAutospacing="1" w:line="240" w:lineRule="auto"/>
      <w:jc w:val="center"/>
    </w:pPr>
    <w:rPr>
      <w:rFonts w:ascii="Times New Roman" w:eastAsia="Times New Roman" w:hAnsi="Times New Roman" w:cs="Times New Roman"/>
      <w:sz w:val="20"/>
      <w:szCs w:val="20"/>
      <w:lang w:val="en-US"/>
    </w:rPr>
  </w:style>
  <w:style w:type="paragraph" w:customStyle="1" w:styleId="xl129">
    <w:name w:val="xl129"/>
    <w:basedOn w:val="Normal"/>
    <w:rsid w:val="00DB6C3E"/>
    <w:pPr>
      <w:pBdr>
        <w:top w:val="single" w:sz="4" w:space="0" w:color="000000"/>
        <w:left w:val="single" w:sz="8"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val="en-US"/>
    </w:rPr>
  </w:style>
  <w:style w:type="paragraph" w:customStyle="1" w:styleId="xl130">
    <w:name w:val="xl130"/>
    <w:basedOn w:val="Normal"/>
    <w:rsid w:val="00DB6C3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31">
    <w:name w:val="xl131"/>
    <w:basedOn w:val="Normal"/>
    <w:rsid w:val="00DB6C3E"/>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32">
    <w:name w:val="xl132"/>
    <w:basedOn w:val="Normal"/>
    <w:rsid w:val="00DB6C3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33">
    <w:name w:val="xl133"/>
    <w:basedOn w:val="Normal"/>
    <w:rsid w:val="00DB6C3E"/>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34">
    <w:name w:val="xl134"/>
    <w:basedOn w:val="Normal"/>
    <w:rsid w:val="00DB6C3E"/>
    <w:pPr>
      <w:pBdr>
        <w:top w:val="single" w:sz="4" w:space="0" w:color="000000"/>
        <w:left w:val="single" w:sz="8" w:space="0" w:color="000000"/>
        <w:bottom w:val="single" w:sz="4" w:space="0" w:color="000000"/>
      </w:pBdr>
      <w:shd w:val="clear" w:color="BFBFBF" w:fill="BFBFBF"/>
      <w:spacing w:before="100" w:beforeAutospacing="1" w:after="100" w:afterAutospacing="1" w:line="240" w:lineRule="auto"/>
      <w:jc w:val="center"/>
      <w:textAlignment w:val="center"/>
    </w:pPr>
    <w:rPr>
      <w:rFonts w:ascii="Times New Roman" w:eastAsia="Times New Roman" w:hAnsi="Times New Roman" w:cs="Times New Roman"/>
      <w:sz w:val="20"/>
      <w:szCs w:val="20"/>
      <w:lang w:val="en-US"/>
    </w:rPr>
  </w:style>
  <w:style w:type="paragraph" w:customStyle="1" w:styleId="xl135">
    <w:name w:val="xl135"/>
    <w:basedOn w:val="Normal"/>
    <w:rsid w:val="00DB6C3E"/>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textAlignment w:val="center"/>
    </w:pPr>
    <w:rPr>
      <w:rFonts w:ascii="Times New Roman" w:eastAsia="Times New Roman" w:hAnsi="Times New Roman" w:cs="Times New Roman"/>
      <w:sz w:val="20"/>
      <w:szCs w:val="20"/>
      <w:lang w:val="en-US"/>
    </w:rPr>
  </w:style>
  <w:style w:type="paragraph" w:customStyle="1" w:styleId="xl136">
    <w:name w:val="xl136"/>
    <w:basedOn w:val="Normal"/>
    <w:rsid w:val="00DB6C3E"/>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37">
    <w:name w:val="xl137"/>
    <w:basedOn w:val="Normal"/>
    <w:rsid w:val="00DB6C3E"/>
    <w:pPr>
      <w:pBdr>
        <w:top w:val="single" w:sz="4" w:space="0" w:color="000000"/>
        <w:left w:val="single" w:sz="8"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20"/>
      <w:szCs w:val="20"/>
      <w:lang w:val="en-US"/>
    </w:rPr>
  </w:style>
  <w:style w:type="paragraph" w:customStyle="1" w:styleId="xl138">
    <w:name w:val="xl138"/>
    <w:basedOn w:val="Normal"/>
    <w:rsid w:val="00DB6C3E"/>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39">
    <w:name w:val="xl139"/>
    <w:basedOn w:val="Normal"/>
    <w:rsid w:val="00DB6C3E"/>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40">
    <w:name w:val="xl140"/>
    <w:basedOn w:val="Normal"/>
    <w:rsid w:val="00DB6C3E"/>
    <w:pPr>
      <w:pBdr>
        <w:top w:val="single" w:sz="4" w:space="0" w:color="000000"/>
        <w:left w:val="single" w:sz="4" w:space="0" w:color="000000"/>
        <w:bottom w:val="single" w:sz="8" w:space="0" w:color="000000"/>
        <w:right w:val="single" w:sz="8" w:space="0" w:color="000000"/>
      </w:pBdr>
      <w:spacing w:before="100" w:beforeAutospacing="1" w:after="100" w:afterAutospacing="1" w:line="240" w:lineRule="auto"/>
      <w:jc w:val="left"/>
    </w:pPr>
    <w:rPr>
      <w:rFonts w:ascii="Times New Roman" w:eastAsia="Times New Roman" w:hAnsi="Times New Roman" w:cs="Times New Roman"/>
      <w:szCs w:val="24"/>
      <w:lang w:val="en-US"/>
    </w:rPr>
  </w:style>
  <w:style w:type="paragraph" w:customStyle="1" w:styleId="xl141">
    <w:name w:val="xl141"/>
    <w:basedOn w:val="Normal"/>
    <w:rsid w:val="00DB6C3E"/>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42">
    <w:name w:val="xl142"/>
    <w:basedOn w:val="Normal"/>
    <w:rsid w:val="00DB6C3E"/>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43">
    <w:name w:val="xl143"/>
    <w:basedOn w:val="Normal"/>
    <w:rsid w:val="00DB6C3E"/>
    <w:pPr>
      <w:pBdr>
        <w:top w:val="single" w:sz="8" w:space="0" w:color="000000"/>
        <w:left w:val="single" w:sz="8" w:space="0" w:color="000000"/>
        <w:bottom w:val="single" w:sz="4" w:space="0" w:color="000000"/>
        <w:right w:val="single" w:sz="8"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144">
    <w:name w:val="xl144"/>
    <w:basedOn w:val="Normal"/>
    <w:rsid w:val="00DB6C3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45">
    <w:name w:val="xl145"/>
    <w:basedOn w:val="Normal"/>
    <w:rsid w:val="00DB6C3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46">
    <w:name w:val="xl146"/>
    <w:basedOn w:val="Normal"/>
    <w:rsid w:val="00DB6C3E"/>
    <w:pPr>
      <w:pBdr>
        <w:top w:val="single" w:sz="4" w:space="0" w:color="000000"/>
        <w:left w:val="single" w:sz="8" w:space="0" w:color="000000"/>
        <w:bottom w:val="single" w:sz="4" w:space="0" w:color="000000"/>
      </w:pBdr>
      <w:shd w:val="clear" w:color="000000" w:fill="FFFF00"/>
      <w:spacing w:before="100" w:beforeAutospacing="1" w:after="100" w:afterAutospacing="1" w:line="240" w:lineRule="auto"/>
      <w:jc w:val="center"/>
    </w:pPr>
    <w:rPr>
      <w:rFonts w:ascii="Times New Roman" w:eastAsia="Times New Roman" w:hAnsi="Times New Roman" w:cs="Times New Roman"/>
      <w:sz w:val="20"/>
      <w:szCs w:val="20"/>
      <w:lang w:val="en-US"/>
    </w:rPr>
  </w:style>
  <w:style w:type="paragraph" w:customStyle="1" w:styleId="xl147">
    <w:name w:val="xl147"/>
    <w:basedOn w:val="Normal"/>
    <w:rsid w:val="00DB6C3E"/>
    <w:pPr>
      <w:pBdr>
        <w:top w:val="single" w:sz="4" w:space="0" w:color="000000"/>
        <w:left w:val="single" w:sz="4" w:space="0" w:color="000000"/>
        <w:bottom w:val="single" w:sz="4" w:space="0" w:color="000000"/>
        <w:right w:val="single" w:sz="8" w:space="0" w:color="000000"/>
      </w:pBdr>
      <w:shd w:val="clear" w:color="000000" w:fill="FFFF00"/>
      <w:spacing w:before="100" w:beforeAutospacing="1" w:after="100" w:afterAutospacing="1" w:line="240" w:lineRule="auto"/>
      <w:jc w:val="center"/>
    </w:pPr>
    <w:rPr>
      <w:rFonts w:ascii="Times New Roman" w:eastAsia="Times New Roman" w:hAnsi="Times New Roman" w:cs="Times New Roman"/>
      <w:sz w:val="20"/>
      <w:szCs w:val="20"/>
      <w:lang w:val="en-US"/>
    </w:rPr>
  </w:style>
  <w:style w:type="paragraph" w:customStyle="1" w:styleId="xl148">
    <w:name w:val="xl148"/>
    <w:basedOn w:val="Normal"/>
    <w:rsid w:val="00DB6C3E"/>
    <w:pPr>
      <w:pBdr>
        <w:top w:val="single" w:sz="4" w:space="0" w:color="000000"/>
        <w:left w:val="single" w:sz="8"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Times New Roman" w:eastAsia="Times New Roman" w:hAnsi="Times New Roman" w:cs="Times New Roman"/>
      <w:sz w:val="20"/>
      <w:szCs w:val="20"/>
      <w:lang w:val="en-US"/>
    </w:rPr>
  </w:style>
  <w:style w:type="paragraph" w:customStyle="1" w:styleId="xl149">
    <w:name w:val="xl149"/>
    <w:basedOn w:val="Normal"/>
    <w:rsid w:val="00DB6C3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50">
    <w:name w:val="xl150"/>
    <w:basedOn w:val="Normal"/>
    <w:rsid w:val="00DB6C3E"/>
    <w:pPr>
      <w:pBdr>
        <w:top w:val="single" w:sz="4" w:space="0" w:color="000000"/>
        <w:left w:val="single" w:sz="8"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xl151">
    <w:name w:val="xl151"/>
    <w:basedOn w:val="Normal"/>
    <w:rsid w:val="00DB6C3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Times New Roman" w:eastAsia="Times New Roman" w:hAnsi="Times New Roman" w:cs="Times New Roman"/>
      <w:szCs w:val="24"/>
      <w:lang w:val="en-US"/>
    </w:rPr>
  </w:style>
  <w:style w:type="paragraph" w:customStyle="1" w:styleId="font0">
    <w:name w:val="font0"/>
    <w:basedOn w:val="Normal"/>
    <w:rsid w:val="008A7516"/>
    <w:pPr>
      <w:spacing w:before="100" w:beforeAutospacing="1" w:after="100" w:afterAutospacing="1" w:line="240" w:lineRule="auto"/>
      <w:jc w:val="left"/>
    </w:pPr>
    <w:rPr>
      <w:rFonts w:ascii="Calibri" w:eastAsia="Times New Roman" w:hAnsi="Calibri" w:cs="Calibri"/>
      <w:color w:val="000000"/>
      <w:sz w:val="22"/>
      <w:lang w:val="en-US"/>
    </w:rPr>
  </w:style>
  <w:style w:type="paragraph" w:customStyle="1" w:styleId="font5">
    <w:name w:val="font5"/>
    <w:basedOn w:val="Normal"/>
    <w:rsid w:val="008A7516"/>
    <w:pPr>
      <w:spacing w:before="100" w:beforeAutospacing="1" w:after="100" w:afterAutospacing="1" w:line="240" w:lineRule="auto"/>
      <w:jc w:val="left"/>
    </w:pPr>
    <w:rPr>
      <w:rFonts w:ascii="Calibri" w:eastAsia="Times New Roman" w:hAnsi="Calibri" w:cs="Calibri"/>
      <w:color w:val="000000"/>
      <w:sz w:val="16"/>
      <w:szCs w:val="16"/>
      <w:lang w:val="en-US"/>
    </w:rPr>
  </w:style>
  <w:style w:type="paragraph" w:customStyle="1" w:styleId="font6">
    <w:name w:val="font6"/>
    <w:basedOn w:val="Normal"/>
    <w:rsid w:val="008A7516"/>
    <w:pPr>
      <w:spacing w:before="100" w:beforeAutospacing="1" w:after="100" w:afterAutospacing="1" w:line="240" w:lineRule="auto"/>
      <w:jc w:val="left"/>
    </w:pPr>
    <w:rPr>
      <w:rFonts w:ascii="Tahoma" w:eastAsia="Times New Roman" w:hAnsi="Tahoma" w:cs="Tahoma"/>
      <w:b/>
      <w:bCs/>
      <w:color w:val="000000"/>
      <w:sz w:val="18"/>
      <w:szCs w:val="18"/>
      <w:lang w:val="en-US"/>
    </w:rPr>
  </w:style>
  <w:style w:type="paragraph" w:customStyle="1" w:styleId="font7">
    <w:name w:val="font7"/>
    <w:basedOn w:val="Normal"/>
    <w:rsid w:val="008A7516"/>
    <w:pPr>
      <w:spacing w:before="100" w:beforeAutospacing="1" w:after="100" w:afterAutospacing="1" w:line="240" w:lineRule="auto"/>
      <w:jc w:val="left"/>
    </w:pPr>
    <w:rPr>
      <w:rFonts w:ascii="Tahoma" w:eastAsia="Times New Roman" w:hAnsi="Tahoma" w:cs="Tahoma"/>
      <w:color w:val="000000"/>
      <w:sz w:val="18"/>
      <w:szCs w:val="18"/>
      <w:lang w:val="en-US"/>
    </w:rPr>
  </w:style>
  <w:style w:type="paragraph" w:customStyle="1" w:styleId="font8">
    <w:name w:val="font8"/>
    <w:basedOn w:val="Normal"/>
    <w:rsid w:val="008A7516"/>
    <w:pPr>
      <w:spacing w:before="100" w:beforeAutospacing="1" w:after="100" w:afterAutospacing="1" w:line="240" w:lineRule="auto"/>
      <w:jc w:val="left"/>
    </w:pPr>
    <w:rPr>
      <w:rFonts w:ascii="Calibri" w:eastAsia="Times New Roman" w:hAnsi="Calibri" w:cs="Calibri"/>
      <w:b/>
      <w:bCs/>
      <w:color w:val="000000"/>
      <w:sz w:val="20"/>
      <w:szCs w:val="20"/>
      <w:lang w:val="en-US"/>
    </w:rPr>
  </w:style>
  <w:style w:type="paragraph" w:customStyle="1" w:styleId="xl152">
    <w:name w:val="xl152"/>
    <w:basedOn w:val="Normal"/>
    <w:rsid w:val="00C04818"/>
    <w:pPr>
      <w:pBdr>
        <w:top w:val="single" w:sz="4" w:space="0" w:color="000000"/>
        <w:left w:val="single" w:sz="4" w:space="0" w:color="000000"/>
        <w:bottom w:val="single" w:sz="8" w:space="0" w:color="000000"/>
        <w:right w:val="single" w:sz="4" w:space="0" w:color="000000"/>
      </w:pBdr>
      <w:shd w:val="clear" w:color="FFFF00" w:fill="FFFF00"/>
      <w:spacing w:before="100" w:beforeAutospacing="1" w:after="100" w:afterAutospacing="1" w:line="240" w:lineRule="auto"/>
      <w:jc w:val="left"/>
    </w:pPr>
    <w:rPr>
      <w:rFonts w:ascii="Times New Roman" w:eastAsia="Times New Roman" w:hAnsi="Times New Roman" w:cs="Times New Roman"/>
      <w:sz w:val="20"/>
      <w:szCs w:val="20"/>
      <w:lang w:val="en-US"/>
    </w:rPr>
  </w:style>
  <w:style w:type="paragraph" w:customStyle="1" w:styleId="xl153">
    <w:name w:val="xl153"/>
    <w:basedOn w:val="Normal"/>
    <w:rsid w:val="00C04818"/>
    <w:pPr>
      <w:pBdr>
        <w:top w:val="single" w:sz="4" w:space="0" w:color="000000"/>
        <w:left w:val="single" w:sz="4" w:space="0" w:color="000000"/>
        <w:bottom w:val="single" w:sz="8" w:space="0" w:color="000000"/>
      </w:pBdr>
      <w:shd w:val="clear" w:color="FFFF00" w:fill="FFFF00"/>
      <w:spacing w:before="100" w:beforeAutospacing="1" w:after="100" w:afterAutospacing="1" w:line="240" w:lineRule="auto"/>
      <w:jc w:val="left"/>
    </w:pPr>
    <w:rPr>
      <w:rFonts w:ascii="Times New Roman" w:eastAsia="Times New Roman" w:hAnsi="Times New Roman" w:cs="Times New Roman"/>
      <w:sz w:val="20"/>
      <w:szCs w:val="20"/>
      <w:lang w:val="en-US"/>
    </w:rPr>
  </w:style>
  <w:style w:type="paragraph" w:customStyle="1" w:styleId="xl154">
    <w:name w:val="xl154"/>
    <w:basedOn w:val="Normal"/>
    <w:rsid w:val="00C04818"/>
    <w:pPr>
      <w:pBdr>
        <w:top w:val="single" w:sz="4" w:space="0" w:color="000000"/>
        <w:left w:val="single" w:sz="4" w:space="0" w:color="000000"/>
        <w:bottom w:val="single" w:sz="8" w:space="0" w:color="000000"/>
        <w:right w:val="single" w:sz="8" w:space="0" w:color="000000"/>
      </w:pBdr>
      <w:shd w:val="clear" w:color="FFFF00" w:fill="FFFF00"/>
      <w:spacing w:before="100" w:beforeAutospacing="1" w:after="100" w:afterAutospacing="1" w:line="240" w:lineRule="auto"/>
      <w:jc w:val="left"/>
    </w:pPr>
    <w:rPr>
      <w:rFonts w:ascii="Times New Roman" w:eastAsia="Times New Roman" w:hAnsi="Times New Roman" w:cs="Times New Roman"/>
      <w:sz w:val="16"/>
      <w:szCs w:val="16"/>
      <w:lang w:val="en-US"/>
    </w:rPr>
  </w:style>
  <w:style w:type="paragraph" w:customStyle="1" w:styleId="xl155">
    <w:name w:val="xl155"/>
    <w:basedOn w:val="Normal"/>
    <w:rsid w:val="00C04818"/>
    <w:pPr>
      <w:pBdr>
        <w:top w:val="single" w:sz="4" w:space="0" w:color="000000"/>
        <w:bottom w:val="single" w:sz="8" w:space="0" w:color="000000"/>
        <w:right w:val="single" w:sz="4" w:space="0" w:color="000000"/>
      </w:pBdr>
      <w:spacing w:before="100" w:beforeAutospacing="1" w:after="100" w:afterAutospacing="1" w:line="240" w:lineRule="auto"/>
      <w:jc w:val="left"/>
    </w:pPr>
    <w:rPr>
      <w:rFonts w:ascii="Times New Roman" w:eastAsia="Times New Roman" w:hAnsi="Times New Roman" w:cs="Times New Roman"/>
      <w:sz w:val="20"/>
      <w:szCs w:val="20"/>
      <w:lang w:val="en-US"/>
    </w:rPr>
  </w:style>
  <w:style w:type="paragraph" w:customStyle="1" w:styleId="xl156">
    <w:name w:val="xl156"/>
    <w:basedOn w:val="Normal"/>
    <w:rsid w:val="00C04818"/>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left"/>
    </w:pPr>
    <w:rPr>
      <w:rFonts w:ascii="Times New Roman" w:eastAsia="Times New Roman" w:hAnsi="Times New Roman" w:cs="Times New Roman"/>
      <w:sz w:val="20"/>
      <w:szCs w:val="20"/>
      <w:lang w:val="en-US"/>
    </w:rPr>
  </w:style>
  <w:style w:type="paragraph" w:customStyle="1" w:styleId="xl157">
    <w:name w:val="xl157"/>
    <w:basedOn w:val="Normal"/>
    <w:rsid w:val="00C04818"/>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left"/>
    </w:pPr>
    <w:rPr>
      <w:rFonts w:ascii="Times New Roman" w:eastAsia="Times New Roman" w:hAnsi="Times New Roman" w:cs="Times New Roman"/>
      <w:sz w:val="20"/>
      <w:szCs w:val="20"/>
      <w:lang w:val="en-US"/>
    </w:rPr>
  </w:style>
  <w:style w:type="paragraph" w:customStyle="1" w:styleId="xl158">
    <w:name w:val="xl158"/>
    <w:basedOn w:val="Normal"/>
    <w:rsid w:val="00C04818"/>
    <w:pPr>
      <w:pBdr>
        <w:top w:val="single" w:sz="4" w:space="0" w:color="000000"/>
        <w:left w:val="single" w:sz="4" w:space="0" w:color="000000"/>
        <w:bottom w:val="single" w:sz="8" w:space="0" w:color="000000"/>
      </w:pBdr>
      <w:spacing w:before="100" w:beforeAutospacing="1" w:after="100" w:afterAutospacing="1" w:line="240" w:lineRule="auto"/>
      <w:jc w:val="left"/>
    </w:pPr>
    <w:rPr>
      <w:rFonts w:ascii="Times New Roman" w:eastAsia="Times New Roman" w:hAnsi="Times New Roman" w:cs="Times New Roman"/>
      <w:sz w:val="20"/>
      <w:szCs w:val="20"/>
      <w:lang w:val="en-US"/>
    </w:rPr>
  </w:style>
  <w:style w:type="paragraph" w:customStyle="1" w:styleId="xl159">
    <w:name w:val="xl159"/>
    <w:basedOn w:val="Normal"/>
    <w:rsid w:val="00C04818"/>
    <w:pPr>
      <w:pBdr>
        <w:top w:val="single" w:sz="4" w:space="0" w:color="000000"/>
        <w:left w:val="single" w:sz="4" w:space="0" w:color="000000"/>
        <w:bottom w:val="single" w:sz="8" w:space="0" w:color="000000"/>
      </w:pBdr>
      <w:spacing w:before="100" w:beforeAutospacing="1" w:after="100" w:afterAutospacing="1" w:line="240" w:lineRule="auto"/>
      <w:jc w:val="left"/>
    </w:pPr>
    <w:rPr>
      <w:rFonts w:ascii="Times New Roman" w:eastAsia="Times New Roman" w:hAnsi="Times New Roman" w:cs="Times New Roman"/>
      <w:sz w:val="20"/>
      <w:szCs w:val="20"/>
      <w:lang w:val="en-US"/>
    </w:rPr>
  </w:style>
  <w:style w:type="paragraph" w:customStyle="1" w:styleId="xl160">
    <w:name w:val="xl160"/>
    <w:basedOn w:val="Normal"/>
    <w:rsid w:val="00C04818"/>
    <w:pPr>
      <w:pBdr>
        <w:top w:val="single" w:sz="8" w:space="0" w:color="000000"/>
        <w:left w:val="single" w:sz="8" w:space="0" w:color="000000"/>
        <w:bottom w:val="single" w:sz="4" w:space="0" w:color="000000"/>
        <w:right w:val="single" w:sz="4" w:space="0" w:color="000000"/>
      </w:pBdr>
      <w:shd w:val="clear" w:color="C6E0B4" w:fill="C6E0B4"/>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161">
    <w:name w:val="xl161"/>
    <w:basedOn w:val="Normal"/>
    <w:rsid w:val="00C04818"/>
    <w:pPr>
      <w:pBdr>
        <w:top w:val="single" w:sz="8" w:space="0" w:color="000000"/>
        <w:left w:val="single" w:sz="4" w:space="0" w:color="000000"/>
        <w:bottom w:val="single" w:sz="4" w:space="0" w:color="000000"/>
        <w:right w:val="single" w:sz="8" w:space="0" w:color="000000"/>
      </w:pBdr>
      <w:shd w:val="clear" w:color="C6E0B4" w:fill="C6E0B4"/>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162">
    <w:name w:val="xl162"/>
    <w:basedOn w:val="Normal"/>
    <w:rsid w:val="00C04818"/>
    <w:pPr>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163">
    <w:name w:val="xl163"/>
    <w:basedOn w:val="Normal"/>
    <w:rsid w:val="00C04818"/>
    <w:pPr>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164">
    <w:name w:val="xl164"/>
    <w:basedOn w:val="Normal"/>
    <w:rsid w:val="00C04818"/>
    <w:pPr>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165">
    <w:name w:val="xl165"/>
    <w:basedOn w:val="Normal"/>
    <w:rsid w:val="00C04818"/>
    <w:pPr>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table" w:customStyle="1" w:styleId="TableGrid11">
    <w:name w:val="Table Grid11"/>
    <w:basedOn w:val="TableNormal"/>
    <w:next w:val="TableGrid"/>
    <w:uiPriority w:val="39"/>
    <w:unhideWhenUsed/>
    <w:rsid w:val="00DA0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int0">
    <w:name w:val="Point 0"/>
    <w:basedOn w:val="Normal"/>
    <w:rsid w:val="00801E18"/>
    <w:pPr>
      <w:spacing w:before="120" w:after="120" w:line="240" w:lineRule="auto"/>
      <w:ind w:left="850" w:hanging="850"/>
    </w:pPr>
    <w:rPr>
      <w:rFonts w:ascii="Times New Roman" w:hAnsi="Times New Roman" w:cs="Times New Roman"/>
    </w:rPr>
  </w:style>
  <w:style w:type="paragraph" w:customStyle="1" w:styleId="Point1">
    <w:name w:val="Point 1"/>
    <w:basedOn w:val="Normal"/>
    <w:rsid w:val="00801E18"/>
    <w:pPr>
      <w:spacing w:before="120" w:after="120" w:line="240" w:lineRule="auto"/>
      <w:ind w:left="1417" w:hanging="567"/>
    </w:pPr>
    <w:rPr>
      <w:rFonts w:ascii="Times New Roman" w:hAnsi="Times New Roman" w:cs="Times New Roman"/>
    </w:rPr>
  </w:style>
  <w:style w:type="paragraph" w:customStyle="1" w:styleId="ManualNumPar1">
    <w:name w:val="Manual NumPar 1"/>
    <w:basedOn w:val="Normal"/>
    <w:next w:val="Normal"/>
    <w:rsid w:val="0061541B"/>
    <w:pPr>
      <w:spacing w:before="120" w:after="120" w:line="240" w:lineRule="auto"/>
      <w:ind w:left="850" w:hanging="850"/>
    </w:pPr>
    <w:rPr>
      <w:rFonts w:ascii="Times New Roman" w:hAnsi="Times New Roman" w:cs="Times New Roman"/>
    </w:rPr>
  </w:style>
  <w:style w:type="paragraph" w:customStyle="1" w:styleId="Point0number">
    <w:name w:val="Point 0 (number)"/>
    <w:basedOn w:val="Normal"/>
    <w:rsid w:val="0061541B"/>
    <w:pPr>
      <w:numPr>
        <w:numId w:val="6"/>
      </w:numPr>
      <w:spacing w:before="120" w:after="120" w:line="240" w:lineRule="auto"/>
    </w:pPr>
    <w:rPr>
      <w:rFonts w:ascii="Times New Roman" w:hAnsi="Times New Roman" w:cs="Times New Roman"/>
    </w:rPr>
  </w:style>
  <w:style w:type="paragraph" w:customStyle="1" w:styleId="Point1number">
    <w:name w:val="Point 1 (number)"/>
    <w:basedOn w:val="Normal"/>
    <w:rsid w:val="0061541B"/>
    <w:pPr>
      <w:numPr>
        <w:ilvl w:val="2"/>
        <w:numId w:val="6"/>
      </w:numPr>
      <w:spacing w:before="120" w:after="120" w:line="240" w:lineRule="auto"/>
    </w:pPr>
    <w:rPr>
      <w:rFonts w:ascii="Times New Roman" w:hAnsi="Times New Roman" w:cs="Times New Roman"/>
    </w:rPr>
  </w:style>
  <w:style w:type="paragraph" w:customStyle="1" w:styleId="Point2number">
    <w:name w:val="Point 2 (number)"/>
    <w:basedOn w:val="Normal"/>
    <w:rsid w:val="0061541B"/>
    <w:pPr>
      <w:numPr>
        <w:ilvl w:val="4"/>
        <w:numId w:val="6"/>
      </w:numPr>
      <w:spacing w:before="120" w:after="120" w:line="240" w:lineRule="auto"/>
    </w:pPr>
    <w:rPr>
      <w:rFonts w:ascii="Times New Roman" w:hAnsi="Times New Roman" w:cs="Times New Roman"/>
    </w:rPr>
  </w:style>
  <w:style w:type="paragraph" w:customStyle="1" w:styleId="Point3number">
    <w:name w:val="Point 3 (number)"/>
    <w:basedOn w:val="Normal"/>
    <w:rsid w:val="0061541B"/>
    <w:pPr>
      <w:numPr>
        <w:ilvl w:val="6"/>
        <w:numId w:val="6"/>
      </w:numPr>
      <w:spacing w:before="120" w:after="120" w:line="240" w:lineRule="auto"/>
    </w:pPr>
    <w:rPr>
      <w:rFonts w:ascii="Times New Roman" w:hAnsi="Times New Roman" w:cs="Times New Roman"/>
    </w:rPr>
  </w:style>
  <w:style w:type="paragraph" w:customStyle="1" w:styleId="Point0letter">
    <w:name w:val="Point 0 (letter)"/>
    <w:basedOn w:val="Normal"/>
    <w:rsid w:val="0061541B"/>
    <w:pPr>
      <w:numPr>
        <w:ilvl w:val="1"/>
        <w:numId w:val="6"/>
      </w:numPr>
      <w:spacing w:before="120" w:after="120" w:line="240" w:lineRule="auto"/>
    </w:pPr>
    <w:rPr>
      <w:rFonts w:ascii="Times New Roman" w:hAnsi="Times New Roman" w:cs="Times New Roman"/>
    </w:rPr>
  </w:style>
  <w:style w:type="paragraph" w:customStyle="1" w:styleId="Point1letter">
    <w:name w:val="Point 1 (letter)"/>
    <w:basedOn w:val="Normal"/>
    <w:rsid w:val="0061541B"/>
    <w:pPr>
      <w:numPr>
        <w:ilvl w:val="3"/>
        <w:numId w:val="6"/>
      </w:numPr>
      <w:spacing w:before="120" w:after="120" w:line="240" w:lineRule="auto"/>
    </w:pPr>
    <w:rPr>
      <w:rFonts w:ascii="Times New Roman" w:hAnsi="Times New Roman" w:cs="Times New Roman"/>
    </w:rPr>
  </w:style>
  <w:style w:type="paragraph" w:customStyle="1" w:styleId="Point2letter">
    <w:name w:val="Point 2 (letter)"/>
    <w:basedOn w:val="Normal"/>
    <w:rsid w:val="0061541B"/>
    <w:pPr>
      <w:numPr>
        <w:ilvl w:val="5"/>
        <w:numId w:val="6"/>
      </w:numPr>
      <w:spacing w:before="120" w:after="120" w:line="240" w:lineRule="auto"/>
    </w:pPr>
    <w:rPr>
      <w:rFonts w:ascii="Times New Roman" w:hAnsi="Times New Roman" w:cs="Times New Roman"/>
    </w:rPr>
  </w:style>
  <w:style w:type="paragraph" w:customStyle="1" w:styleId="Point3letter">
    <w:name w:val="Point 3 (letter)"/>
    <w:basedOn w:val="Normal"/>
    <w:rsid w:val="0061541B"/>
    <w:pPr>
      <w:numPr>
        <w:ilvl w:val="7"/>
        <w:numId w:val="6"/>
      </w:numPr>
      <w:spacing w:before="120" w:after="120" w:line="240" w:lineRule="auto"/>
    </w:pPr>
    <w:rPr>
      <w:rFonts w:ascii="Times New Roman" w:hAnsi="Times New Roman" w:cs="Times New Roman"/>
    </w:rPr>
  </w:style>
  <w:style w:type="paragraph" w:customStyle="1" w:styleId="Point4letter">
    <w:name w:val="Point 4 (letter)"/>
    <w:basedOn w:val="Normal"/>
    <w:rsid w:val="0061541B"/>
    <w:pPr>
      <w:numPr>
        <w:ilvl w:val="8"/>
        <w:numId w:val="6"/>
      </w:numPr>
      <w:spacing w:before="120" w:after="120" w:line="240" w:lineRule="auto"/>
    </w:pPr>
    <w:rPr>
      <w:rFonts w:ascii="Times New Roman" w:hAnsi="Times New Roman" w:cs="Times New Roman"/>
    </w:rPr>
  </w:style>
  <w:style w:type="paragraph" w:customStyle="1" w:styleId="Titrearticle">
    <w:name w:val="Titre article"/>
    <w:basedOn w:val="Normal"/>
    <w:next w:val="Normal"/>
    <w:rsid w:val="0061541B"/>
    <w:pPr>
      <w:keepNext/>
      <w:spacing w:before="360" w:after="120" w:line="240" w:lineRule="auto"/>
      <w:jc w:val="center"/>
    </w:pPr>
    <w:rPr>
      <w:rFonts w:ascii="Times New Roman" w:hAnsi="Times New Roman" w:cs="Times New Roman"/>
      <w:i/>
    </w:rPr>
  </w:style>
  <w:style w:type="character" w:customStyle="1" w:styleId="UnresolvedMention1">
    <w:name w:val="Unresolved Mention1"/>
    <w:basedOn w:val="DefaultParagraphFont"/>
    <w:uiPriority w:val="99"/>
    <w:semiHidden/>
    <w:unhideWhenUsed/>
    <w:rsid w:val="006D12D9"/>
    <w:rPr>
      <w:color w:val="605E5C"/>
      <w:shd w:val="clear" w:color="auto" w:fill="E1DFDD"/>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F03FF4"/>
    <w:pPr>
      <w:spacing w:after="160" w:line="240" w:lineRule="exact"/>
    </w:pPr>
    <w:rPr>
      <w:sz w:val="22"/>
      <w:vertAlign w:val="superscript"/>
      <w:lang w:val="en-US"/>
    </w:rPr>
  </w:style>
  <w:style w:type="paragraph" w:styleId="Caption">
    <w:name w:val="caption"/>
    <w:basedOn w:val="Normal"/>
    <w:next w:val="Normal"/>
    <w:rsid w:val="00B57307"/>
    <w:pPr>
      <w:spacing w:before="160" w:after="240" w:line="240" w:lineRule="auto"/>
    </w:pPr>
    <w:rPr>
      <w:rFonts w:ascii="Times New Roman" w:eastAsia="Times New Roman" w:hAnsi="Times New Roman" w:cs="Times New Roman"/>
      <w:i/>
      <w:sz w:val="22"/>
      <w:szCs w:val="20"/>
      <w:lang w:eastAsia="en-GB"/>
    </w:rPr>
  </w:style>
  <w:style w:type="paragraph" w:customStyle="1" w:styleId="ftref">
    <w:name w:val="ftref"/>
    <w:aliases w:val="Footnotes refss,de nota al pie,E,E FNZ,Footnote Refernece"/>
    <w:basedOn w:val="Normal"/>
    <w:next w:val="Normal"/>
    <w:autoRedefine/>
    <w:uiPriority w:val="99"/>
    <w:rsid w:val="00245902"/>
    <w:pPr>
      <w:numPr>
        <w:numId w:val="54"/>
      </w:numPr>
      <w:spacing w:before="100" w:line="259" w:lineRule="auto"/>
      <w:ind w:hanging="306"/>
      <w:contextualSpacing/>
      <w:jc w:val="left"/>
      <w:textAlignment w:val="baseline"/>
    </w:pPr>
    <w:rPr>
      <w:bCs/>
      <w:color w:val="7F7F7F" w:themeColor="text1" w:themeTint="80"/>
      <w:sz w:val="22"/>
    </w:rPr>
  </w:style>
  <w:style w:type="character" w:customStyle="1" w:styleId="Heading4Char">
    <w:name w:val="Heading 4 Char"/>
    <w:basedOn w:val="DefaultParagraphFont"/>
    <w:link w:val="Heading4"/>
    <w:uiPriority w:val="9"/>
    <w:semiHidden/>
    <w:rsid w:val="00693DFB"/>
    <w:rPr>
      <w:rFonts w:asciiTheme="majorHAnsi" w:eastAsiaTheme="majorEastAsia" w:hAnsiTheme="majorHAnsi" w:cstheme="majorBidi"/>
      <w:i/>
      <w:iCs/>
      <w:color w:val="365F91" w:themeColor="accent1" w:themeShade="BF"/>
      <w:sz w:val="24"/>
      <w:lang w:val="lv-LV"/>
    </w:rPr>
  </w:style>
  <w:style w:type="paragraph" w:styleId="NormalWeb">
    <w:name w:val="Normal (Web)"/>
    <w:basedOn w:val="Normal"/>
    <w:uiPriority w:val="99"/>
    <w:semiHidden/>
    <w:unhideWhenUsed/>
    <w:rsid w:val="00B61121"/>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customStyle="1" w:styleId="text-align-justify">
    <w:name w:val="text-align-justify"/>
    <w:basedOn w:val="Normal"/>
    <w:rsid w:val="0022704B"/>
    <w:pPr>
      <w:spacing w:before="100" w:beforeAutospacing="1" w:after="100" w:afterAutospacing="1" w:line="240" w:lineRule="auto"/>
      <w:jc w:val="left"/>
    </w:pPr>
    <w:rPr>
      <w:rFonts w:ascii="Times New Roman" w:eastAsia="Times New Roman" w:hAnsi="Times New Roman" w:cs="Times New Roman"/>
      <w:szCs w:val="24"/>
      <w:lang w:eastAsia="lv-LV"/>
    </w:rPr>
  </w:style>
  <w:style w:type="character" w:customStyle="1" w:styleId="bold">
    <w:name w:val="bold"/>
    <w:basedOn w:val="DefaultParagraphFont"/>
    <w:rsid w:val="00376E89"/>
  </w:style>
  <w:style w:type="paragraph" w:customStyle="1" w:styleId="Normal1">
    <w:name w:val="Normal1"/>
    <w:basedOn w:val="Normal"/>
    <w:rsid w:val="00376E89"/>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customStyle="1" w:styleId="oj-normal">
    <w:name w:val="oj-normal"/>
    <w:basedOn w:val="Normal"/>
    <w:rsid w:val="00973FB3"/>
    <w:pPr>
      <w:spacing w:before="100" w:beforeAutospacing="1" w:after="100" w:afterAutospacing="1" w:line="240" w:lineRule="auto"/>
      <w:jc w:val="left"/>
    </w:pPr>
    <w:rPr>
      <w:rFonts w:ascii="Times New Roman" w:eastAsia="Times New Roman" w:hAnsi="Times New Roman" w:cs="Times New Roman"/>
      <w:szCs w:val="24"/>
      <w:lang w:eastAsia="lv-LV"/>
    </w:rPr>
  </w:style>
  <w:style w:type="character" w:customStyle="1" w:styleId="oj-italic">
    <w:name w:val="oj-italic"/>
    <w:basedOn w:val="DefaultParagraphFont"/>
    <w:rsid w:val="00973FB3"/>
  </w:style>
  <w:style w:type="paragraph" w:customStyle="1" w:styleId="oj-sti-art">
    <w:name w:val="oj-sti-art"/>
    <w:basedOn w:val="Normal"/>
    <w:rsid w:val="00973FB3"/>
    <w:pPr>
      <w:spacing w:before="100" w:beforeAutospacing="1" w:after="100" w:afterAutospacing="1" w:line="240" w:lineRule="auto"/>
      <w:jc w:val="left"/>
    </w:pPr>
    <w:rPr>
      <w:rFonts w:ascii="Times New Roman" w:eastAsia="Times New Roman" w:hAnsi="Times New Roman" w:cs="Times New Roman"/>
      <w:szCs w:val="24"/>
      <w:lang w:eastAsia="lv-LV"/>
    </w:rPr>
  </w:style>
  <w:style w:type="character" w:customStyle="1" w:styleId="oj-super">
    <w:name w:val="oj-super"/>
    <w:basedOn w:val="DefaultParagraphFont"/>
    <w:rsid w:val="00823E40"/>
  </w:style>
  <w:style w:type="character" w:customStyle="1" w:styleId="oj-sub">
    <w:name w:val="oj-sub"/>
    <w:basedOn w:val="DefaultParagraphFont"/>
    <w:rsid w:val="00823E40"/>
  </w:style>
  <w:style w:type="character" w:styleId="Strong">
    <w:name w:val="Strong"/>
    <w:basedOn w:val="DefaultParagraphFont"/>
    <w:uiPriority w:val="22"/>
    <w:qFormat/>
    <w:rsid w:val="00DD7C51"/>
    <w:rPr>
      <w:b/>
      <w:bCs/>
    </w:rPr>
  </w:style>
  <w:style w:type="paragraph" w:styleId="Title">
    <w:name w:val="Title"/>
    <w:basedOn w:val="Normal"/>
    <w:link w:val="TitleChar"/>
    <w:qFormat/>
    <w:rsid w:val="00DD01CB"/>
    <w:pPr>
      <w:autoSpaceDN w:val="0"/>
      <w:spacing w:after="0" w:line="240" w:lineRule="auto"/>
      <w:jc w:val="center"/>
    </w:pPr>
    <w:rPr>
      <w:rFonts w:ascii="Times New Roman" w:eastAsia="Times New Roman" w:hAnsi="Times New Roman" w:cs="Times New Roman"/>
      <w:b/>
      <w:bCs/>
      <w:caps/>
      <w:sz w:val="28"/>
      <w:szCs w:val="24"/>
      <w:lang w:eastAsia="lv-LV"/>
    </w:rPr>
  </w:style>
  <w:style w:type="character" w:customStyle="1" w:styleId="TitleChar">
    <w:name w:val="Title Char"/>
    <w:basedOn w:val="DefaultParagraphFont"/>
    <w:link w:val="Title"/>
    <w:rsid w:val="00DD01CB"/>
    <w:rPr>
      <w:rFonts w:ascii="Times New Roman" w:eastAsia="Times New Roman" w:hAnsi="Times New Roman" w:cs="Times New Roman"/>
      <w:b/>
      <w:bCs/>
      <w:caps/>
      <w:sz w:val="28"/>
      <w:szCs w:val="24"/>
      <w:lang w:val="lv-LV" w:eastAsia="lv-LV"/>
    </w:rPr>
  </w:style>
  <w:style w:type="character" w:styleId="PlaceholderText">
    <w:name w:val="Placeholder Text"/>
    <w:basedOn w:val="DefaultParagraphFont"/>
    <w:uiPriority w:val="99"/>
    <w:semiHidden/>
    <w:rsid w:val="00453CB7"/>
    <w:rPr>
      <w:color w:val="808080"/>
    </w:rPr>
  </w:style>
  <w:style w:type="paragraph" w:styleId="EndnoteText">
    <w:name w:val="endnote text"/>
    <w:basedOn w:val="Normal"/>
    <w:link w:val="EndnoteTextChar"/>
    <w:uiPriority w:val="99"/>
    <w:semiHidden/>
    <w:unhideWhenUsed/>
    <w:rsid w:val="00DC196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C1966"/>
    <w:rPr>
      <w:sz w:val="20"/>
      <w:szCs w:val="20"/>
      <w:lang w:val="lv-LV"/>
    </w:rPr>
  </w:style>
  <w:style w:type="character" w:styleId="EndnoteReference">
    <w:name w:val="endnote reference"/>
    <w:basedOn w:val="DefaultParagraphFont"/>
    <w:uiPriority w:val="99"/>
    <w:semiHidden/>
    <w:unhideWhenUsed/>
    <w:rsid w:val="00DC1966"/>
    <w:rPr>
      <w:vertAlign w:val="superscript"/>
    </w:rPr>
  </w:style>
  <w:style w:type="table" w:styleId="GridTable5Dark-Accent5">
    <w:name w:val="Grid Table 5 Dark Accent 5"/>
    <w:basedOn w:val="TableNormal"/>
    <w:uiPriority w:val="50"/>
    <w:rsid w:val="005F5E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7Colorful-Accent1">
    <w:name w:val="List Table 7 Colorful Accent 1"/>
    <w:basedOn w:val="TableNormal"/>
    <w:uiPriority w:val="52"/>
    <w:rsid w:val="005F5E22"/>
    <w:pPr>
      <w:spacing w:after="0" w:line="240" w:lineRule="auto"/>
    </w:pPr>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4">
    <w:name w:val="toc 4"/>
    <w:basedOn w:val="Normal"/>
    <w:next w:val="Normal"/>
    <w:autoRedefine/>
    <w:uiPriority w:val="39"/>
    <w:unhideWhenUsed/>
    <w:rsid w:val="00484ED1"/>
    <w:pPr>
      <w:spacing w:after="0"/>
      <w:ind w:left="480"/>
      <w:jc w:val="left"/>
    </w:pPr>
    <w:rPr>
      <w:rFonts w:cstheme="minorHAnsi"/>
      <w:sz w:val="20"/>
      <w:szCs w:val="20"/>
    </w:rPr>
  </w:style>
  <w:style w:type="paragraph" w:styleId="TOC5">
    <w:name w:val="toc 5"/>
    <w:basedOn w:val="Normal"/>
    <w:next w:val="Normal"/>
    <w:autoRedefine/>
    <w:uiPriority w:val="39"/>
    <w:unhideWhenUsed/>
    <w:rsid w:val="00484ED1"/>
    <w:pPr>
      <w:spacing w:after="0"/>
      <w:ind w:left="720"/>
      <w:jc w:val="left"/>
    </w:pPr>
    <w:rPr>
      <w:rFonts w:cstheme="minorHAnsi"/>
      <w:sz w:val="20"/>
      <w:szCs w:val="20"/>
    </w:rPr>
  </w:style>
  <w:style w:type="paragraph" w:styleId="TOC6">
    <w:name w:val="toc 6"/>
    <w:basedOn w:val="Normal"/>
    <w:next w:val="Normal"/>
    <w:autoRedefine/>
    <w:uiPriority w:val="39"/>
    <w:unhideWhenUsed/>
    <w:rsid w:val="00484ED1"/>
    <w:pPr>
      <w:spacing w:after="0"/>
      <w:ind w:left="960"/>
      <w:jc w:val="left"/>
    </w:pPr>
    <w:rPr>
      <w:rFonts w:cstheme="minorHAnsi"/>
      <w:sz w:val="20"/>
      <w:szCs w:val="20"/>
    </w:rPr>
  </w:style>
  <w:style w:type="paragraph" w:styleId="TOC7">
    <w:name w:val="toc 7"/>
    <w:basedOn w:val="Normal"/>
    <w:next w:val="Normal"/>
    <w:autoRedefine/>
    <w:uiPriority w:val="39"/>
    <w:unhideWhenUsed/>
    <w:rsid w:val="00484ED1"/>
    <w:pPr>
      <w:spacing w:after="0"/>
      <w:ind w:left="1200"/>
      <w:jc w:val="left"/>
    </w:pPr>
    <w:rPr>
      <w:rFonts w:cstheme="minorHAnsi"/>
      <w:sz w:val="20"/>
      <w:szCs w:val="20"/>
    </w:rPr>
  </w:style>
  <w:style w:type="paragraph" w:styleId="TOC8">
    <w:name w:val="toc 8"/>
    <w:basedOn w:val="Normal"/>
    <w:next w:val="Normal"/>
    <w:autoRedefine/>
    <w:uiPriority w:val="39"/>
    <w:unhideWhenUsed/>
    <w:rsid w:val="00484ED1"/>
    <w:pPr>
      <w:spacing w:after="0"/>
      <w:ind w:left="1440"/>
      <w:jc w:val="left"/>
    </w:pPr>
    <w:rPr>
      <w:rFonts w:cstheme="minorHAnsi"/>
      <w:sz w:val="20"/>
      <w:szCs w:val="20"/>
    </w:rPr>
  </w:style>
  <w:style w:type="paragraph" w:styleId="TOC9">
    <w:name w:val="toc 9"/>
    <w:basedOn w:val="Normal"/>
    <w:next w:val="Normal"/>
    <w:autoRedefine/>
    <w:uiPriority w:val="39"/>
    <w:unhideWhenUsed/>
    <w:rsid w:val="00484ED1"/>
    <w:pPr>
      <w:spacing w:after="0"/>
      <w:ind w:left="1680"/>
      <w:jc w:val="left"/>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99277">
      <w:bodyDiv w:val="1"/>
      <w:marLeft w:val="0"/>
      <w:marRight w:val="0"/>
      <w:marTop w:val="0"/>
      <w:marBottom w:val="0"/>
      <w:divBdr>
        <w:top w:val="none" w:sz="0" w:space="0" w:color="auto"/>
        <w:left w:val="none" w:sz="0" w:space="0" w:color="auto"/>
        <w:bottom w:val="none" w:sz="0" w:space="0" w:color="auto"/>
        <w:right w:val="none" w:sz="0" w:space="0" w:color="auto"/>
      </w:divBdr>
    </w:div>
    <w:div w:id="97680847">
      <w:bodyDiv w:val="1"/>
      <w:marLeft w:val="0"/>
      <w:marRight w:val="0"/>
      <w:marTop w:val="0"/>
      <w:marBottom w:val="0"/>
      <w:divBdr>
        <w:top w:val="none" w:sz="0" w:space="0" w:color="auto"/>
        <w:left w:val="none" w:sz="0" w:space="0" w:color="auto"/>
        <w:bottom w:val="none" w:sz="0" w:space="0" w:color="auto"/>
        <w:right w:val="none" w:sz="0" w:space="0" w:color="auto"/>
      </w:divBdr>
    </w:div>
    <w:div w:id="203565313">
      <w:bodyDiv w:val="1"/>
      <w:marLeft w:val="0"/>
      <w:marRight w:val="0"/>
      <w:marTop w:val="0"/>
      <w:marBottom w:val="0"/>
      <w:divBdr>
        <w:top w:val="none" w:sz="0" w:space="0" w:color="auto"/>
        <w:left w:val="none" w:sz="0" w:space="0" w:color="auto"/>
        <w:bottom w:val="none" w:sz="0" w:space="0" w:color="auto"/>
        <w:right w:val="none" w:sz="0" w:space="0" w:color="auto"/>
      </w:divBdr>
    </w:div>
    <w:div w:id="301889089">
      <w:bodyDiv w:val="1"/>
      <w:marLeft w:val="0"/>
      <w:marRight w:val="0"/>
      <w:marTop w:val="0"/>
      <w:marBottom w:val="0"/>
      <w:divBdr>
        <w:top w:val="none" w:sz="0" w:space="0" w:color="auto"/>
        <w:left w:val="none" w:sz="0" w:space="0" w:color="auto"/>
        <w:bottom w:val="none" w:sz="0" w:space="0" w:color="auto"/>
        <w:right w:val="none" w:sz="0" w:space="0" w:color="auto"/>
      </w:divBdr>
    </w:div>
    <w:div w:id="401031331">
      <w:bodyDiv w:val="1"/>
      <w:marLeft w:val="0"/>
      <w:marRight w:val="0"/>
      <w:marTop w:val="0"/>
      <w:marBottom w:val="0"/>
      <w:divBdr>
        <w:top w:val="none" w:sz="0" w:space="0" w:color="auto"/>
        <w:left w:val="none" w:sz="0" w:space="0" w:color="auto"/>
        <w:bottom w:val="none" w:sz="0" w:space="0" w:color="auto"/>
        <w:right w:val="none" w:sz="0" w:space="0" w:color="auto"/>
      </w:divBdr>
    </w:div>
    <w:div w:id="428963994">
      <w:bodyDiv w:val="1"/>
      <w:marLeft w:val="0"/>
      <w:marRight w:val="0"/>
      <w:marTop w:val="0"/>
      <w:marBottom w:val="0"/>
      <w:divBdr>
        <w:top w:val="none" w:sz="0" w:space="0" w:color="auto"/>
        <w:left w:val="none" w:sz="0" w:space="0" w:color="auto"/>
        <w:bottom w:val="none" w:sz="0" w:space="0" w:color="auto"/>
        <w:right w:val="none" w:sz="0" w:space="0" w:color="auto"/>
      </w:divBdr>
    </w:div>
    <w:div w:id="463667579">
      <w:bodyDiv w:val="1"/>
      <w:marLeft w:val="0"/>
      <w:marRight w:val="0"/>
      <w:marTop w:val="0"/>
      <w:marBottom w:val="0"/>
      <w:divBdr>
        <w:top w:val="none" w:sz="0" w:space="0" w:color="auto"/>
        <w:left w:val="none" w:sz="0" w:space="0" w:color="auto"/>
        <w:bottom w:val="none" w:sz="0" w:space="0" w:color="auto"/>
        <w:right w:val="none" w:sz="0" w:space="0" w:color="auto"/>
      </w:divBdr>
    </w:div>
    <w:div w:id="503983625">
      <w:bodyDiv w:val="1"/>
      <w:marLeft w:val="0"/>
      <w:marRight w:val="0"/>
      <w:marTop w:val="0"/>
      <w:marBottom w:val="0"/>
      <w:divBdr>
        <w:top w:val="none" w:sz="0" w:space="0" w:color="auto"/>
        <w:left w:val="none" w:sz="0" w:space="0" w:color="auto"/>
        <w:bottom w:val="none" w:sz="0" w:space="0" w:color="auto"/>
        <w:right w:val="none" w:sz="0" w:space="0" w:color="auto"/>
      </w:divBdr>
    </w:div>
    <w:div w:id="546989488">
      <w:bodyDiv w:val="1"/>
      <w:marLeft w:val="0"/>
      <w:marRight w:val="0"/>
      <w:marTop w:val="0"/>
      <w:marBottom w:val="0"/>
      <w:divBdr>
        <w:top w:val="none" w:sz="0" w:space="0" w:color="auto"/>
        <w:left w:val="none" w:sz="0" w:space="0" w:color="auto"/>
        <w:bottom w:val="none" w:sz="0" w:space="0" w:color="auto"/>
        <w:right w:val="none" w:sz="0" w:space="0" w:color="auto"/>
      </w:divBdr>
    </w:div>
    <w:div w:id="578906950">
      <w:bodyDiv w:val="1"/>
      <w:marLeft w:val="0"/>
      <w:marRight w:val="0"/>
      <w:marTop w:val="0"/>
      <w:marBottom w:val="0"/>
      <w:divBdr>
        <w:top w:val="none" w:sz="0" w:space="0" w:color="auto"/>
        <w:left w:val="none" w:sz="0" w:space="0" w:color="auto"/>
        <w:bottom w:val="none" w:sz="0" w:space="0" w:color="auto"/>
        <w:right w:val="none" w:sz="0" w:space="0" w:color="auto"/>
      </w:divBdr>
    </w:div>
    <w:div w:id="645470831">
      <w:bodyDiv w:val="1"/>
      <w:marLeft w:val="0"/>
      <w:marRight w:val="0"/>
      <w:marTop w:val="0"/>
      <w:marBottom w:val="0"/>
      <w:divBdr>
        <w:top w:val="none" w:sz="0" w:space="0" w:color="auto"/>
        <w:left w:val="none" w:sz="0" w:space="0" w:color="auto"/>
        <w:bottom w:val="none" w:sz="0" w:space="0" w:color="auto"/>
        <w:right w:val="none" w:sz="0" w:space="0" w:color="auto"/>
      </w:divBdr>
    </w:div>
    <w:div w:id="658583980">
      <w:bodyDiv w:val="1"/>
      <w:marLeft w:val="0"/>
      <w:marRight w:val="0"/>
      <w:marTop w:val="0"/>
      <w:marBottom w:val="0"/>
      <w:divBdr>
        <w:top w:val="none" w:sz="0" w:space="0" w:color="auto"/>
        <w:left w:val="none" w:sz="0" w:space="0" w:color="auto"/>
        <w:bottom w:val="none" w:sz="0" w:space="0" w:color="auto"/>
        <w:right w:val="none" w:sz="0" w:space="0" w:color="auto"/>
      </w:divBdr>
    </w:div>
    <w:div w:id="704019191">
      <w:bodyDiv w:val="1"/>
      <w:marLeft w:val="0"/>
      <w:marRight w:val="0"/>
      <w:marTop w:val="0"/>
      <w:marBottom w:val="0"/>
      <w:divBdr>
        <w:top w:val="none" w:sz="0" w:space="0" w:color="auto"/>
        <w:left w:val="none" w:sz="0" w:space="0" w:color="auto"/>
        <w:bottom w:val="none" w:sz="0" w:space="0" w:color="auto"/>
        <w:right w:val="none" w:sz="0" w:space="0" w:color="auto"/>
      </w:divBdr>
    </w:div>
    <w:div w:id="775637499">
      <w:bodyDiv w:val="1"/>
      <w:marLeft w:val="0"/>
      <w:marRight w:val="0"/>
      <w:marTop w:val="0"/>
      <w:marBottom w:val="0"/>
      <w:divBdr>
        <w:top w:val="none" w:sz="0" w:space="0" w:color="auto"/>
        <w:left w:val="none" w:sz="0" w:space="0" w:color="auto"/>
        <w:bottom w:val="none" w:sz="0" w:space="0" w:color="auto"/>
        <w:right w:val="none" w:sz="0" w:space="0" w:color="auto"/>
      </w:divBdr>
    </w:div>
    <w:div w:id="791167742">
      <w:bodyDiv w:val="1"/>
      <w:marLeft w:val="0"/>
      <w:marRight w:val="0"/>
      <w:marTop w:val="0"/>
      <w:marBottom w:val="0"/>
      <w:divBdr>
        <w:top w:val="none" w:sz="0" w:space="0" w:color="auto"/>
        <w:left w:val="none" w:sz="0" w:space="0" w:color="auto"/>
        <w:bottom w:val="none" w:sz="0" w:space="0" w:color="auto"/>
        <w:right w:val="none" w:sz="0" w:space="0" w:color="auto"/>
      </w:divBdr>
    </w:div>
    <w:div w:id="852260577">
      <w:bodyDiv w:val="1"/>
      <w:marLeft w:val="0"/>
      <w:marRight w:val="0"/>
      <w:marTop w:val="0"/>
      <w:marBottom w:val="0"/>
      <w:divBdr>
        <w:top w:val="none" w:sz="0" w:space="0" w:color="auto"/>
        <w:left w:val="none" w:sz="0" w:space="0" w:color="auto"/>
        <w:bottom w:val="none" w:sz="0" w:space="0" w:color="auto"/>
        <w:right w:val="none" w:sz="0" w:space="0" w:color="auto"/>
      </w:divBdr>
    </w:div>
    <w:div w:id="907767663">
      <w:bodyDiv w:val="1"/>
      <w:marLeft w:val="0"/>
      <w:marRight w:val="0"/>
      <w:marTop w:val="0"/>
      <w:marBottom w:val="0"/>
      <w:divBdr>
        <w:top w:val="none" w:sz="0" w:space="0" w:color="auto"/>
        <w:left w:val="none" w:sz="0" w:space="0" w:color="auto"/>
        <w:bottom w:val="none" w:sz="0" w:space="0" w:color="auto"/>
        <w:right w:val="none" w:sz="0" w:space="0" w:color="auto"/>
      </w:divBdr>
    </w:div>
    <w:div w:id="915288644">
      <w:bodyDiv w:val="1"/>
      <w:marLeft w:val="0"/>
      <w:marRight w:val="0"/>
      <w:marTop w:val="0"/>
      <w:marBottom w:val="0"/>
      <w:divBdr>
        <w:top w:val="none" w:sz="0" w:space="0" w:color="auto"/>
        <w:left w:val="none" w:sz="0" w:space="0" w:color="auto"/>
        <w:bottom w:val="none" w:sz="0" w:space="0" w:color="auto"/>
        <w:right w:val="none" w:sz="0" w:space="0" w:color="auto"/>
      </w:divBdr>
    </w:div>
    <w:div w:id="937837243">
      <w:bodyDiv w:val="1"/>
      <w:marLeft w:val="0"/>
      <w:marRight w:val="0"/>
      <w:marTop w:val="0"/>
      <w:marBottom w:val="0"/>
      <w:divBdr>
        <w:top w:val="none" w:sz="0" w:space="0" w:color="auto"/>
        <w:left w:val="none" w:sz="0" w:space="0" w:color="auto"/>
        <w:bottom w:val="none" w:sz="0" w:space="0" w:color="auto"/>
        <w:right w:val="none" w:sz="0" w:space="0" w:color="auto"/>
      </w:divBdr>
    </w:div>
    <w:div w:id="986589121">
      <w:bodyDiv w:val="1"/>
      <w:marLeft w:val="0"/>
      <w:marRight w:val="0"/>
      <w:marTop w:val="0"/>
      <w:marBottom w:val="0"/>
      <w:divBdr>
        <w:top w:val="none" w:sz="0" w:space="0" w:color="auto"/>
        <w:left w:val="none" w:sz="0" w:space="0" w:color="auto"/>
        <w:bottom w:val="none" w:sz="0" w:space="0" w:color="auto"/>
        <w:right w:val="none" w:sz="0" w:space="0" w:color="auto"/>
      </w:divBdr>
    </w:div>
    <w:div w:id="1012758671">
      <w:bodyDiv w:val="1"/>
      <w:marLeft w:val="0"/>
      <w:marRight w:val="0"/>
      <w:marTop w:val="0"/>
      <w:marBottom w:val="0"/>
      <w:divBdr>
        <w:top w:val="none" w:sz="0" w:space="0" w:color="auto"/>
        <w:left w:val="none" w:sz="0" w:space="0" w:color="auto"/>
        <w:bottom w:val="none" w:sz="0" w:space="0" w:color="auto"/>
        <w:right w:val="none" w:sz="0" w:space="0" w:color="auto"/>
      </w:divBdr>
    </w:div>
    <w:div w:id="1020811732">
      <w:bodyDiv w:val="1"/>
      <w:marLeft w:val="0"/>
      <w:marRight w:val="0"/>
      <w:marTop w:val="0"/>
      <w:marBottom w:val="0"/>
      <w:divBdr>
        <w:top w:val="none" w:sz="0" w:space="0" w:color="auto"/>
        <w:left w:val="none" w:sz="0" w:space="0" w:color="auto"/>
        <w:bottom w:val="none" w:sz="0" w:space="0" w:color="auto"/>
        <w:right w:val="none" w:sz="0" w:space="0" w:color="auto"/>
      </w:divBdr>
    </w:div>
    <w:div w:id="1045908137">
      <w:bodyDiv w:val="1"/>
      <w:marLeft w:val="0"/>
      <w:marRight w:val="0"/>
      <w:marTop w:val="0"/>
      <w:marBottom w:val="0"/>
      <w:divBdr>
        <w:top w:val="none" w:sz="0" w:space="0" w:color="auto"/>
        <w:left w:val="none" w:sz="0" w:space="0" w:color="auto"/>
        <w:bottom w:val="none" w:sz="0" w:space="0" w:color="auto"/>
        <w:right w:val="none" w:sz="0" w:space="0" w:color="auto"/>
      </w:divBdr>
    </w:div>
    <w:div w:id="1054623706">
      <w:bodyDiv w:val="1"/>
      <w:marLeft w:val="0"/>
      <w:marRight w:val="0"/>
      <w:marTop w:val="0"/>
      <w:marBottom w:val="0"/>
      <w:divBdr>
        <w:top w:val="none" w:sz="0" w:space="0" w:color="auto"/>
        <w:left w:val="none" w:sz="0" w:space="0" w:color="auto"/>
        <w:bottom w:val="none" w:sz="0" w:space="0" w:color="auto"/>
        <w:right w:val="none" w:sz="0" w:space="0" w:color="auto"/>
      </w:divBdr>
    </w:div>
    <w:div w:id="1202978923">
      <w:bodyDiv w:val="1"/>
      <w:marLeft w:val="0"/>
      <w:marRight w:val="0"/>
      <w:marTop w:val="0"/>
      <w:marBottom w:val="0"/>
      <w:divBdr>
        <w:top w:val="none" w:sz="0" w:space="0" w:color="auto"/>
        <w:left w:val="none" w:sz="0" w:space="0" w:color="auto"/>
        <w:bottom w:val="none" w:sz="0" w:space="0" w:color="auto"/>
        <w:right w:val="none" w:sz="0" w:space="0" w:color="auto"/>
      </w:divBdr>
    </w:div>
    <w:div w:id="1203057751">
      <w:bodyDiv w:val="1"/>
      <w:marLeft w:val="0"/>
      <w:marRight w:val="0"/>
      <w:marTop w:val="0"/>
      <w:marBottom w:val="0"/>
      <w:divBdr>
        <w:top w:val="none" w:sz="0" w:space="0" w:color="auto"/>
        <w:left w:val="none" w:sz="0" w:space="0" w:color="auto"/>
        <w:bottom w:val="none" w:sz="0" w:space="0" w:color="auto"/>
        <w:right w:val="none" w:sz="0" w:space="0" w:color="auto"/>
      </w:divBdr>
    </w:div>
    <w:div w:id="1259947697">
      <w:bodyDiv w:val="1"/>
      <w:marLeft w:val="0"/>
      <w:marRight w:val="0"/>
      <w:marTop w:val="0"/>
      <w:marBottom w:val="0"/>
      <w:divBdr>
        <w:top w:val="none" w:sz="0" w:space="0" w:color="auto"/>
        <w:left w:val="none" w:sz="0" w:space="0" w:color="auto"/>
        <w:bottom w:val="none" w:sz="0" w:space="0" w:color="auto"/>
        <w:right w:val="none" w:sz="0" w:space="0" w:color="auto"/>
      </w:divBdr>
    </w:div>
    <w:div w:id="1310284437">
      <w:bodyDiv w:val="1"/>
      <w:marLeft w:val="0"/>
      <w:marRight w:val="0"/>
      <w:marTop w:val="0"/>
      <w:marBottom w:val="0"/>
      <w:divBdr>
        <w:top w:val="none" w:sz="0" w:space="0" w:color="auto"/>
        <w:left w:val="none" w:sz="0" w:space="0" w:color="auto"/>
        <w:bottom w:val="none" w:sz="0" w:space="0" w:color="auto"/>
        <w:right w:val="none" w:sz="0" w:space="0" w:color="auto"/>
      </w:divBdr>
    </w:div>
    <w:div w:id="1333098380">
      <w:bodyDiv w:val="1"/>
      <w:marLeft w:val="0"/>
      <w:marRight w:val="0"/>
      <w:marTop w:val="0"/>
      <w:marBottom w:val="0"/>
      <w:divBdr>
        <w:top w:val="none" w:sz="0" w:space="0" w:color="auto"/>
        <w:left w:val="none" w:sz="0" w:space="0" w:color="auto"/>
        <w:bottom w:val="none" w:sz="0" w:space="0" w:color="auto"/>
        <w:right w:val="none" w:sz="0" w:space="0" w:color="auto"/>
      </w:divBdr>
    </w:div>
    <w:div w:id="1338264441">
      <w:bodyDiv w:val="1"/>
      <w:marLeft w:val="0"/>
      <w:marRight w:val="0"/>
      <w:marTop w:val="0"/>
      <w:marBottom w:val="0"/>
      <w:divBdr>
        <w:top w:val="none" w:sz="0" w:space="0" w:color="auto"/>
        <w:left w:val="none" w:sz="0" w:space="0" w:color="auto"/>
        <w:bottom w:val="none" w:sz="0" w:space="0" w:color="auto"/>
        <w:right w:val="none" w:sz="0" w:space="0" w:color="auto"/>
      </w:divBdr>
    </w:div>
    <w:div w:id="1339965622">
      <w:bodyDiv w:val="1"/>
      <w:marLeft w:val="0"/>
      <w:marRight w:val="0"/>
      <w:marTop w:val="0"/>
      <w:marBottom w:val="0"/>
      <w:divBdr>
        <w:top w:val="none" w:sz="0" w:space="0" w:color="auto"/>
        <w:left w:val="none" w:sz="0" w:space="0" w:color="auto"/>
        <w:bottom w:val="none" w:sz="0" w:space="0" w:color="auto"/>
        <w:right w:val="none" w:sz="0" w:space="0" w:color="auto"/>
      </w:divBdr>
    </w:div>
    <w:div w:id="1346052881">
      <w:bodyDiv w:val="1"/>
      <w:marLeft w:val="0"/>
      <w:marRight w:val="0"/>
      <w:marTop w:val="0"/>
      <w:marBottom w:val="0"/>
      <w:divBdr>
        <w:top w:val="none" w:sz="0" w:space="0" w:color="auto"/>
        <w:left w:val="none" w:sz="0" w:space="0" w:color="auto"/>
        <w:bottom w:val="none" w:sz="0" w:space="0" w:color="auto"/>
        <w:right w:val="none" w:sz="0" w:space="0" w:color="auto"/>
      </w:divBdr>
    </w:div>
    <w:div w:id="1416972127">
      <w:bodyDiv w:val="1"/>
      <w:marLeft w:val="0"/>
      <w:marRight w:val="0"/>
      <w:marTop w:val="0"/>
      <w:marBottom w:val="0"/>
      <w:divBdr>
        <w:top w:val="none" w:sz="0" w:space="0" w:color="auto"/>
        <w:left w:val="none" w:sz="0" w:space="0" w:color="auto"/>
        <w:bottom w:val="none" w:sz="0" w:space="0" w:color="auto"/>
        <w:right w:val="none" w:sz="0" w:space="0" w:color="auto"/>
      </w:divBdr>
    </w:div>
    <w:div w:id="1466191913">
      <w:bodyDiv w:val="1"/>
      <w:marLeft w:val="0"/>
      <w:marRight w:val="0"/>
      <w:marTop w:val="0"/>
      <w:marBottom w:val="0"/>
      <w:divBdr>
        <w:top w:val="none" w:sz="0" w:space="0" w:color="auto"/>
        <w:left w:val="none" w:sz="0" w:space="0" w:color="auto"/>
        <w:bottom w:val="none" w:sz="0" w:space="0" w:color="auto"/>
        <w:right w:val="none" w:sz="0" w:space="0" w:color="auto"/>
      </w:divBdr>
    </w:div>
    <w:div w:id="1467352931">
      <w:bodyDiv w:val="1"/>
      <w:marLeft w:val="0"/>
      <w:marRight w:val="0"/>
      <w:marTop w:val="0"/>
      <w:marBottom w:val="0"/>
      <w:divBdr>
        <w:top w:val="none" w:sz="0" w:space="0" w:color="auto"/>
        <w:left w:val="none" w:sz="0" w:space="0" w:color="auto"/>
        <w:bottom w:val="none" w:sz="0" w:space="0" w:color="auto"/>
        <w:right w:val="none" w:sz="0" w:space="0" w:color="auto"/>
      </w:divBdr>
    </w:div>
    <w:div w:id="1469470980">
      <w:bodyDiv w:val="1"/>
      <w:marLeft w:val="0"/>
      <w:marRight w:val="0"/>
      <w:marTop w:val="0"/>
      <w:marBottom w:val="0"/>
      <w:divBdr>
        <w:top w:val="none" w:sz="0" w:space="0" w:color="auto"/>
        <w:left w:val="none" w:sz="0" w:space="0" w:color="auto"/>
        <w:bottom w:val="none" w:sz="0" w:space="0" w:color="auto"/>
        <w:right w:val="none" w:sz="0" w:space="0" w:color="auto"/>
      </w:divBdr>
    </w:div>
    <w:div w:id="1485005006">
      <w:bodyDiv w:val="1"/>
      <w:marLeft w:val="0"/>
      <w:marRight w:val="0"/>
      <w:marTop w:val="0"/>
      <w:marBottom w:val="0"/>
      <w:divBdr>
        <w:top w:val="none" w:sz="0" w:space="0" w:color="auto"/>
        <w:left w:val="none" w:sz="0" w:space="0" w:color="auto"/>
        <w:bottom w:val="none" w:sz="0" w:space="0" w:color="auto"/>
        <w:right w:val="none" w:sz="0" w:space="0" w:color="auto"/>
      </w:divBdr>
    </w:div>
    <w:div w:id="1498569761">
      <w:bodyDiv w:val="1"/>
      <w:marLeft w:val="0"/>
      <w:marRight w:val="0"/>
      <w:marTop w:val="0"/>
      <w:marBottom w:val="0"/>
      <w:divBdr>
        <w:top w:val="none" w:sz="0" w:space="0" w:color="auto"/>
        <w:left w:val="none" w:sz="0" w:space="0" w:color="auto"/>
        <w:bottom w:val="none" w:sz="0" w:space="0" w:color="auto"/>
        <w:right w:val="none" w:sz="0" w:space="0" w:color="auto"/>
      </w:divBdr>
    </w:div>
    <w:div w:id="1516773678">
      <w:bodyDiv w:val="1"/>
      <w:marLeft w:val="0"/>
      <w:marRight w:val="0"/>
      <w:marTop w:val="0"/>
      <w:marBottom w:val="0"/>
      <w:divBdr>
        <w:top w:val="none" w:sz="0" w:space="0" w:color="auto"/>
        <w:left w:val="none" w:sz="0" w:space="0" w:color="auto"/>
        <w:bottom w:val="none" w:sz="0" w:space="0" w:color="auto"/>
        <w:right w:val="none" w:sz="0" w:space="0" w:color="auto"/>
      </w:divBdr>
    </w:div>
    <w:div w:id="1567303259">
      <w:bodyDiv w:val="1"/>
      <w:marLeft w:val="0"/>
      <w:marRight w:val="0"/>
      <w:marTop w:val="0"/>
      <w:marBottom w:val="0"/>
      <w:divBdr>
        <w:top w:val="none" w:sz="0" w:space="0" w:color="auto"/>
        <w:left w:val="none" w:sz="0" w:space="0" w:color="auto"/>
        <w:bottom w:val="none" w:sz="0" w:space="0" w:color="auto"/>
        <w:right w:val="none" w:sz="0" w:space="0" w:color="auto"/>
      </w:divBdr>
    </w:div>
    <w:div w:id="1619020385">
      <w:bodyDiv w:val="1"/>
      <w:marLeft w:val="0"/>
      <w:marRight w:val="0"/>
      <w:marTop w:val="0"/>
      <w:marBottom w:val="0"/>
      <w:divBdr>
        <w:top w:val="none" w:sz="0" w:space="0" w:color="auto"/>
        <w:left w:val="none" w:sz="0" w:space="0" w:color="auto"/>
        <w:bottom w:val="none" w:sz="0" w:space="0" w:color="auto"/>
        <w:right w:val="none" w:sz="0" w:space="0" w:color="auto"/>
      </w:divBdr>
    </w:div>
    <w:div w:id="1648054056">
      <w:bodyDiv w:val="1"/>
      <w:marLeft w:val="0"/>
      <w:marRight w:val="0"/>
      <w:marTop w:val="0"/>
      <w:marBottom w:val="0"/>
      <w:divBdr>
        <w:top w:val="none" w:sz="0" w:space="0" w:color="auto"/>
        <w:left w:val="none" w:sz="0" w:space="0" w:color="auto"/>
        <w:bottom w:val="none" w:sz="0" w:space="0" w:color="auto"/>
        <w:right w:val="none" w:sz="0" w:space="0" w:color="auto"/>
      </w:divBdr>
    </w:div>
    <w:div w:id="1664549667">
      <w:bodyDiv w:val="1"/>
      <w:marLeft w:val="0"/>
      <w:marRight w:val="0"/>
      <w:marTop w:val="0"/>
      <w:marBottom w:val="0"/>
      <w:divBdr>
        <w:top w:val="none" w:sz="0" w:space="0" w:color="auto"/>
        <w:left w:val="none" w:sz="0" w:space="0" w:color="auto"/>
        <w:bottom w:val="none" w:sz="0" w:space="0" w:color="auto"/>
        <w:right w:val="none" w:sz="0" w:space="0" w:color="auto"/>
      </w:divBdr>
    </w:div>
    <w:div w:id="1672755104">
      <w:bodyDiv w:val="1"/>
      <w:marLeft w:val="0"/>
      <w:marRight w:val="0"/>
      <w:marTop w:val="0"/>
      <w:marBottom w:val="0"/>
      <w:divBdr>
        <w:top w:val="none" w:sz="0" w:space="0" w:color="auto"/>
        <w:left w:val="none" w:sz="0" w:space="0" w:color="auto"/>
        <w:bottom w:val="none" w:sz="0" w:space="0" w:color="auto"/>
        <w:right w:val="none" w:sz="0" w:space="0" w:color="auto"/>
      </w:divBdr>
    </w:div>
    <w:div w:id="1685008545">
      <w:bodyDiv w:val="1"/>
      <w:marLeft w:val="0"/>
      <w:marRight w:val="0"/>
      <w:marTop w:val="0"/>
      <w:marBottom w:val="0"/>
      <w:divBdr>
        <w:top w:val="none" w:sz="0" w:space="0" w:color="auto"/>
        <w:left w:val="none" w:sz="0" w:space="0" w:color="auto"/>
        <w:bottom w:val="none" w:sz="0" w:space="0" w:color="auto"/>
        <w:right w:val="none" w:sz="0" w:space="0" w:color="auto"/>
      </w:divBdr>
    </w:div>
    <w:div w:id="1743748422">
      <w:bodyDiv w:val="1"/>
      <w:marLeft w:val="0"/>
      <w:marRight w:val="0"/>
      <w:marTop w:val="0"/>
      <w:marBottom w:val="0"/>
      <w:divBdr>
        <w:top w:val="none" w:sz="0" w:space="0" w:color="auto"/>
        <w:left w:val="none" w:sz="0" w:space="0" w:color="auto"/>
        <w:bottom w:val="none" w:sz="0" w:space="0" w:color="auto"/>
        <w:right w:val="none" w:sz="0" w:space="0" w:color="auto"/>
      </w:divBdr>
    </w:div>
    <w:div w:id="1746489241">
      <w:bodyDiv w:val="1"/>
      <w:marLeft w:val="0"/>
      <w:marRight w:val="0"/>
      <w:marTop w:val="0"/>
      <w:marBottom w:val="0"/>
      <w:divBdr>
        <w:top w:val="none" w:sz="0" w:space="0" w:color="auto"/>
        <w:left w:val="none" w:sz="0" w:space="0" w:color="auto"/>
        <w:bottom w:val="none" w:sz="0" w:space="0" w:color="auto"/>
        <w:right w:val="none" w:sz="0" w:space="0" w:color="auto"/>
      </w:divBdr>
    </w:div>
    <w:div w:id="1856382326">
      <w:bodyDiv w:val="1"/>
      <w:marLeft w:val="0"/>
      <w:marRight w:val="0"/>
      <w:marTop w:val="0"/>
      <w:marBottom w:val="0"/>
      <w:divBdr>
        <w:top w:val="none" w:sz="0" w:space="0" w:color="auto"/>
        <w:left w:val="none" w:sz="0" w:space="0" w:color="auto"/>
        <w:bottom w:val="none" w:sz="0" w:space="0" w:color="auto"/>
        <w:right w:val="none" w:sz="0" w:space="0" w:color="auto"/>
      </w:divBdr>
    </w:div>
    <w:div w:id="1863013218">
      <w:bodyDiv w:val="1"/>
      <w:marLeft w:val="0"/>
      <w:marRight w:val="0"/>
      <w:marTop w:val="0"/>
      <w:marBottom w:val="0"/>
      <w:divBdr>
        <w:top w:val="none" w:sz="0" w:space="0" w:color="auto"/>
        <w:left w:val="none" w:sz="0" w:space="0" w:color="auto"/>
        <w:bottom w:val="none" w:sz="0" w:space="0" w:color="auto"/>
        <w:right w:val="none" w:sz="0" w:space="0" w:color="auto"/>
      </w:divBdr>
    </w:div>
    <w:div w:id="1865901157">
      <w:bodyDiv w:val="1"/>
      <w:marLeft w:val="0"/>
      <w:marRight w:val="0"/>
      <w:marTop w:val="0"/>
      <w:marBottom w:val="0"/>
      <w:divBdr>
        <w:top w:val="none" w:sz="0" w:space="0" w:color="auto"/>
        <w:left w:val="none" w:sz="0" w:space="0" w:color="auto"/>
        <w:bottom w:val="none" w:sz="0" w:space="0" w:color="auto"/>
        <w:right w:val="none" w:sz="0" w:space="0" w:color="auto"/>
      </w:divBdr>
    </w:div>
    <w:div w:id="1897083381">
      <w:bodyDiv w:val="1"/>
      <w:marLeft w:val="0"/>
      <w:marRight w:val="0"/>
      <w:marTop w:val="0"/>
      <w:marBottom w:val="0"/>
      <w:divBdr>
        <w:top w:val="none" w:sz="0" w:space="0" w:color="auto"/>
        <w:left w:val="none" w:sz="0" w:space="0" w:color="auto"/>
        <w:bottom w:val="none" w:sz="0" w:space="0" w:color="auto"/>
        <w:right w:val="none" w:sz="0" w:space="0" w:color="auto"/>
      </w:divBdr>
    </w:div>
    <w:div w:id="1898085410">
      <w:bodyDiv w:val="1"/>
      <w:marLeft w:val="0"/>
      <w:marRight w:val="0"/>
      <w:marTop w:val="0"/>
      <w:marBottom w:val="0"/>
      <w:divBdr>
        <w:top w:val="none" w:sz="0" w:space="0" w:color="auto"/>
        <w:left w:val="none" w:sz="0" w:space="0" w:color="auto"/>
        <w:bottom w:val="none" w:sz="0" w:space="0" w:color="auto"/>
        <w:right w:val="none" w:sz="0" w:space="0" w:color="auto"/>
      </w:divBdr>
    </w:div>
    <w:div w:id="1945113650">
      <w:bodyDiv w:val="1"/>
      <w:marLeft w:val="0"/>
      <w:marRight w:val="0"/>
      <w:marTop w:val="0"/>
      <w:marBottom w:val="0"/>
      <w:divBdr>
        <w:top w:val="none" w:sz="0" w:space="0" w:color="auto"/>
        <w:left w:val="none" w:sz="0" w:space="0" w:color="auto"/>
        <w:bottom w:val="none" w:sz="0" w:space="0" w:color="auto"/>
        <w:right w:val="none" w:sz="0" w:space="0" w:color="auto"/>
      </w:divBdr>
    </w:div>
    <w:div w:id="1947303746">
      <w:bodyDiv w:val="1"/>
      <w:marLeft w:val="0"/>
      <w:marRight w:val="0"/>
      <w:marTop w:val="0"/>
      <w:marBottom w:val="0"/>
      <w:divBdr>
        <w:top w:val="none" w:sz="0" w:space="0" w:color="auto"/>
        <w:left w:val="none" w:sz="0" w:space="0" w:color="auto"/>
        <w:bottom w:val="none" w:sz="0" w:space="0" w:color="auto"/>
        <w:right w:val="none" w:sz="0" w:space="0" w:color="auto"/>
      </w:divBdr>
    </w:div>
    <w:div w:id="1999459385">
      <w:bodyDiv w:val="1"/>
      <w:marLeft w:val="0"/>
      <w:marRight w:val="0"/>
      <w:marTop w:val="0"/>
      <w:marBottom w:val="0"/>
      <w:divBdr>
        <w:top w:val="none" w:sz="0" w:space="0" w:color="auto"/>
        <w:left w:val="none" w:sz="0" w:space="0" w:color="auto"/>
        <w:bottom w:val="none" w:sz="0" w:space="0" w:color="auto"/>
        <w:right w:val="none" w:sz="0" w:space="0" w:color="auto"/>
      </w:divBdr>
    </w:div>
    <w:div w:id="2007047210">
      <w:bodyDiv w:val="1"/>
      <w:marLeft w:val="0"/>
      <w:marRight w:val="0"/>
      <w:marTop w:val="0"/>
      <w:marBottom w:val="0"/>
      <w:divBdr>
        <w:top w:val="none" w:sz="0" w:space="0" w:color="auto"/>
        <w:left w:val="none" w:sz="0" w:space="0" w:color="auto"/>
        <w:bottom w:val="none" w:sz="0" w:space="0" w:color="auto"/>
        <w:right w:val="none" w:sz="0" w:space="0" w:color="auto"/>
      </w:divBdr>
    </w:div>
    <w:div w:id="2009795159">
      <w:bodyDiv w:val="1"/>
      <w:marLeft w:val="0"/>
      <w:marRight w:val="0"/>
      <w:marTop w:val="0"/>
      <w:marBottom w:val="0"/>
      <w:divBdr>
        <w:top w:val="none" w:sz="0" w:space="0" w:color="auto"/>
        <w:left w:val="none" w:sz="0" w:space="0" w:color="auto"/>
        <w:bottom w:val="none" w:sz="0" w:space="0" w:color="auto"/>
        <w:right w:val="none" w:sz="0" w:space="0" w:color="auto"/>
      </w:divBdr>
    </w:div>
    <w:div w:id="2014992798">
      <w:bodyDiv w:val="1"/>
      <w:marLeft w:val="0"/>
      <w:marRight w:val="0"/>
      <w:marTop w:val="0"/>
      <w:marBottom w:val="0"/>
      <w:divBdr>
        <w:top w:val="none" w:sz="0" w:space="0" w:color="auto"/>
        <w:left w:val="none" w:sz="0" w:space="0" w:color="auto"/>
        <w:bottom w:val="none" w:sz="0" w:space="0" w:color="auto"/>
        <w:right w:val="none" w:sz="0" w:space="0" w:color="auto"/>
      </w:divBdr>
    </w:div>
    <w:div w:id="2031567234">
      <w:bodyDiv w:val="1"/>
      <w:marLeft w:val="0"/>
      <w:marRight w:val="0"/>
      <w:marTop w:val="0"/>
      <w:marBottom w:val="0"/>
      <w:divBdr>
        <w:top w:val="none" w:sz="0" w:space="0" w:color="auto"/>
        <w:left w:val="none" w:sz="0" w:space="0" w:color="auto"/>
        <w:bottom w:val="none" w:sz="0" w:space="0" w:color="auto"/>
        <w:right w:val="none" w:sz="0" w:space="0" w:color="auto"/>
      </w:divBdr>
    </w:div>
    <w:div w:id="2051957246">
      <w:bodyDiv w:val="1"/>
      <w:marLeft w:val="0"/>
      <w:marRight w:val="0"/>
      <w:marTop w:val="0"/>
      <w:marBottom w:val="0"/>
      <w:divBdr>
        <w:top w:val="none" w:sz="0" w:space="0" w:color="auto"/>
        <w:left w:val="none" w:sz="0" w:space="0" w:color="auto"/>
        <w:bottom w:val="none" w:sz="0" w:space="0" w:color="auto"/>
        <w:right w:val="none" w:sz="0" w:space="0" w:color="auto"/>
      </w:divBdr>
    </w:div>
    <w:div w:id="2074347721">
      <w:bodyDiv w:val="1"/>
      <w:marLeft w:val="0"/>
      <w:marRight w:val="0"/>
      <w:marTop w:val="0"/>
      <w:marBottom w:val="0"/>
      <w:divBdr>
        <w:top w:val="none" w:sz="0" w:space="0" w:color="auto"/>
        <w:left w:val="none" w:sz="0" w:space="0" w:color="auto"/>
        <w:bottom w:val="none" w:sz="0" w:space="0" w:color="auto"/>
        <w:right w:val="none" w:sz="0" w:space="0" w:color="auto"/>
      </w:divBdr>
    </w:div>
    <w:div w:id="214500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meteo.lv/fs/CKFinderJava/userfiles/files/Par_centru/ES_projekti/2015_Atskaite_Emisijas%20faktoru_novertejums.pdf" TargetMode="External"/><Relationship Id="rId2" Type="http://schemas.openxmlformats.org/officeDocument/2006/relationships/hyperlink" Target="http://tap.mk.gov.lv/mk/tap/?pid=40497780" TargetMode="External"/><Relationship Id="rId1" Type="http://schemas.openxmlformats.org/officeDocument/2006/relationships/hyperlink" Target="https://www.ipcc-nggip.iges.or.jp/public/2006gl/vol5.html" TargetMode="External"/><Relationship Id="rId5" Type="http://schemas.openxmlformats.org/officeDocument/2006/relationships/hyperlink" Target="https://www.varam.gov.lv/lv/attistibas-planosanas-dokumentu-projekti" TargetMode="External"/><Relationship Id="rId4" Type="http://schemas.openxmlformats.org/officeDocument/2006/relationships/hyperlink" Target="https://www.meteo.lv/fs/CKFinderJava/userfiles/files/Par_centru/ES_projekti/2015_Atskaite_Emisijas%20faktoru_novertejum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38A0C-6405-49F1-9C42-7077273D5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14961</Words>
  <Characters>8528</Characters>
  <Application>Microsoft Office Word</Application>
  <DocSecurity>0</DocSecurity>
  <Lines>71</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NOTEKŪDEŅU APSAIMNIEKOŠANAS INVESTĪCIJU PLĀNs 2021. – 2027. GADAM</vt:lpstr>
      <vt:lpstr>NOTEKŪDEŅU APSAIMNIEKOŠANAS INVESTĪCIJU PLĀNs 2021. – 2027. GADAM</vt:lpstr>
    </vt:vector>
  </TitlesOfParts>
  <Company/>
  <LinksUpToDate>false</LinksUpToDate>
  <CharactersWithSpaces>23443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NOTEKŪDEŅU APSAIMNIEKOŠANAS INVESTĪCIJU PLĀNs 2021. – 2027. GADAM</dc:title>
  <dc:subject>GALA ZIŅOJUMS</dc:subject>
  <dc:creator>SIA “ISMADE”</dc:creator>
  <cp:keywords/>
  <dc:description/>
  <cp:lastModifiedBy>Laura Jukāme-Ķerus</cp:lastModifiedBy>
  <cp:revision>5</cp:revision>
  <cp:lastPrinted>2020-06-03T10:12:00Z</cp:lastPrinted>
  <dcterms:created xsi:type="dcterms:W3CDTF">2022-04-22T06:56:00Z</dcterms:created>
  <dcterms:modified xsi:type="dcterms:W3CDTF">2022-09-30T11:53:00Z</dcterms:modified>
</cp:coreProperties>
</file>