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73AD4" w14:textId="05FEFFD1" w:rsidR="00E62854" w:rsidRPr="005F2321" w:rsidRDefault="00E62854" w:rsidP="00E62854">
      <w:pPr>
        <w:shd w:val="clear" w:color="auto" w:fill="FFFFFF"/>
        <w:spacing w:after="0" w:line="293" w:lineRule="atLeast"/>
        <w:ind w:firstLine="300"/>
        <w:jc w:val="right"/>
        <w:rPr>
          <w:rFonts w:ascii="Times New Roman" w:eastAsia="Times New Roman" w:hAnsi="Times New Roman" w:cs="Times New Roman"/>
          <w:bCs/>
          <w:color w:val="414142"/>
          <w:sz w:val="28"/>
          <w:szCs w:val="28"/>
        </w:rPr>
      </w:pPr>
    </w:p>
    <w:p w14:paraId="5EE88FA9" w14:textId="77777777" w:rsidR="00E62854" w:rsidRPr="005F2321" w:rsidRDefault="00E62854" w:rsidP="005B60BD">
      <w:pPr>
        <w:shd w:val="clear" w:color="auto" w:fill="FFFFFF"/>
        <w:spacing w:after="0" w:line="293" w:lineRule="atLeast"/>
        <w:ind w:firstLine="300"/>
        <w:rPr>
          <w:rFonts w:ascii="Times New Roman" w:eastAsia="Times New Roman" w:hAnsi="Times New Roman" w:cs="Times New Roman"/>
          <w:b/>
          <w:bCs/>
          <w:color w:val="414142"/>
          <w:sz w:val="28"/>
          <w:szCs w:val="28"/>
        </w:rPr>
      </w:pPr>
    </w:p>
    <w:p w14:paraId="1ADC2C87" w14:textId="77777777" w:rsidR="00E62854" w:rsidRPr="005F2321" w:rsidRDefault="00E62854" w:rsidP="005B60BD">
      <w:pPr>
        <w:shd w:val="clear" w:color="auto" w:fill="FFFFFF"/>
        <w:spacing w:after="0" w:line="293" w:lineRule="atLeast"/>
        <w:ind w:firstLine="300"/>
        <w:rPr>
          <w:rFonts w:ascii="Times New Roman" w:eastAsia="Times New Roman" w:hAnsi="Times New Roman" w:cs="Times New Roman"/>
          <w:b/>
          <w:bCs/>
          <w:color w:val="414142"/>
          <w:sz w:val="28"/>
          <w:szCs w:val="28"/>
        </w:rPr>
      </w:pPr>
    </w:p>
    <w:p w14:paraId="0BA4E5BA" w14:textId="77777777" w:rsidR="00E62854" w:rsidRPr="00384026" w:rsidRDefault="00E62854" w:rsidP="005B60BD">
      <w:pPr>
        <w:shd w:val="clear" w:color="auto" w:fill="FFFFFF"/>
        <w:spacing w:after="0" w:line="293" w:lineRule="atLeast"/>
        <w:ind w:firstLine="300"/>
        <w:rPr>
          <w:rFonts w:ascii="Times New Roman" w:eastAsia="Times New Roman" w:hAnsi="Times New Roman" w:cs="Times New Roman"/>
          <w:b/>
          <w:bCs/>
          <w:color w:val="414142"/>
          <w:sz w:val="20"/>
          <w:szCs w:val="20"/>
        </w:rPr>
      </w:pPr>
    </w:p>
    <w:p w14:paraId="500DCA44" w14:textId="77777777" w:rsidR="00E62854" w:rsidRPr="00384026" w:rsidRDefault="00E62854" w:rsidP="005B60BD">
      <w:pPr>
        <w:shd w:val="clear" w:color="auto" w:fill="FFFFFF"/>
        <w:spacing w:after="0" w:line="293" w:lineRule="atLeast"/>
        <w:ind w:firstLine="300"/>
        <w:rPr>
          <w:rFonts w:ascii="Times New Roman" w:eastAsia="Times New Roman" w:hAnsi="Times New Roman" w:cs="Times New Roman"/>
          <w:b/>
          <w:bCs/>
          <w:color w:val="414142"/>
          <w:sz w:val="20"/>
          <w:szCs w:val="20"/>
        </w:rPr>
      </w:pPr>
    </w:p>
    <w:p w14:paraId="3C15674C" w14:textId="77777777" w:rsidR="00E62854" w:rsidRPr="00384026" w:rsidRDefault="00E62854" w:rsidP="005B60BD">
      <w:pPr>
        <w:shd w:val="clear" w:color="auto" w:fill="FFFFFF"/>
        <w:spacing w:after="0" w:line="293" w:lineRule="atLeast"/>
        <w:ind w:firstLine="300"/>
        <w:rPr>
          <w:rFonts w:ascii="Times New Roman" w:eastAsia="Times New Roman" w:hAnsi="Times New Roman" w:cs="Times New Roman"/>
          <w:b/>
          <w:bCs/>
          <w:color w:val="414142"/>
          <w:sz w:val="20"/>
          <w:szCs w:val="20"/>
        </w:rPr>
      </w:pPr>
    </w:p>
    <w:p w14:paraId="1C28AB39" w14:textId="77777777" w:rsidR="00E62854" w:rsidRPr="00384026" w:rsidRDefault="00E62854" w:rsidP="005B60BD">
      <w:pPr>
        <w:shd w:val="clear" w:color="auto" w:fill="FFFFFF"/>
        <w:spacing w:after="0" w:line="293" w:lineRule="atLeast"/>
        <w:ind w:firstLine="300"/>
        <w:rPr>
          <w:rFonts w:ascii="Times New Roman" w:eastAsia="Times New Roman" w:hAnsi="Times New Roman" w:cs="Times New Roman"/>
          <w:b/>
          <w:bCs/>
          <w:color w:val="414142"/>
          <w:sz w:val="20"/>
          <w:szCs w:val="20"/>
        </w:rPr>
      </w:pPr>
    </w:p>
    <w:p w14:paraId="5F3D70AA" w14:textId="77777777" w:rsidR="00E62854" w:rsidRPr="00384026" w:rsidRDefault="00E62854" w:rsidP="005B60BD">
      <w:pPr>
        <w:shd w:val="clear" w:color="auto" w:fill="FFFFFF"/>
        <w:spacing w:after="0" w:line="293" w:lineRule="atLeast"/>
        <w:ind w:firstLine="300"/>
        <w:rPr>
          <w:rFonts w:ascii="Times New Roman" w:eastAsia="Times New Roman" w:hAnsi="Times New Roman" w:cs="Times New Roman"/>
          <w:b/>
          <w:bCs/>
          <w:color w:val="414142"/>
          <w:sz w:val="20"/>
          <w:szCs w:val="20"/>
        </w:rPr>
      </w:pPr>
    </w:p>
    <w:p w14:paraId="5318041F" w14:textId="77777777" w:rsidR="00E62854" w:rsidRPr="00384026" w:rsidRDefault="00E62854" w:rsidP="005B60BD">
      <w:pPr>
        <w:shd w:val="clear" w:color="auto" w:fill="FFFFFF"/>
        <w:spacing w:after="0" w:line="293" w:lineRule="atLeast"/>
        <w:ind w:firstLine="300"/>
        <w:rPr>
          <w:rFonts w:ascii="Times New Roman" w:eastAsia="Times New Roman" w:hAnsi="Times New Roman" w:cs="Times New Roman"/>
          <w:b/>
          <w:bCs/>
          <w:color w:val="414142"/>
          <w:sz w:val="20"/>
          <w:szCs w:val="20"/>
        </w:rPr>
      </w:pPr>
    </w:p>
    <w:p w14:paraId="5B62F559" w14:textId="77777777" w:rsidR="00E62854" w:rsidRPr="00384026" w:rsidRDefault="00E62854" w:rsidP="005B60BD">
      <w:pPr>
        <w:shd w:val="clear" w:color="auto" w:fill="FFFFFF"/>
        <w:spacing w:after="0" w:line="293" w:lineRule="atLeast"/>
        <w:ind w:firstLine="300"/>
        <w:rPr>
          <w:rFonts w:ascii="Times New Roman" w:eastAsia="Times New Roman" w:hAnsi="Times New Roman" w:cs="Times New Roman"/>
          <w:b/>
          <w:bCs/>
          <w:color w:val="414142"/>
          <w:sz w:val="20"/>
          <w:szCs w:val="20"/>
        </w:rPr>
      </w:pPr>
    </w:p>
    <w:p w14:paraId="7E6B3A3C" w14:textId="77777777" w:rsidR="00E62854" w:rsidRPr="00384026" w:rsidRDefault="00E62854" w:rsidP="005B60BD">
      <w:pPr>
        <w:shd w:val="clear" w:color="auto" w:fill="FFFFFF"/>
        <w:spacing w:after="0" w:line="293" w:lineRule="atLeast"/>
        <w:ind w:firstLine="300"/>
        <w:rPr>
          <w:rFonts w:ascii="Times New Roman" w:eastAsia="Times New Roman" w:hAnsi="Times New Roman" w:cs="Times New Roman"/>
          <w:b/>
          <w:bCs/>
          <w:color w:val="414142"/>
          <w:sz w:val="20"/>
          <w:szCs w:val="20"/>
        </w:rPr>
      </w:pPr>
    </w:p>
    <w:p w14:paraId="72A60701" w14:textId="77777777" w:rsidR="00E62854" w:rsidRPr="00384026" w:rsidRDefault="00E62854" w:rsidP="00E62854">
      <w:pPr>
        <w:shd w:val="clear" w:color="auto" w:fill="FFFFFF"/>
        <w:spacing w:after="0" w:line="293" w:lineRule="atLeast"/>
        <w:ind w:firstLine="300"/>
        <w:jc w:val="center"/>
        <w:rPr>
          <w:rFonts w:ascii="Times New Roman" w:eastAsia="Times New Roman" w:hAnsi="Times New Roman" w:cs="Times New Roman"/>
          <w:b/>
          <w:bCs/>
          <w:color w:val="414142"/>
          <w:sz w:val="32"/>
          <w:szCs w:val="32"/>
        </w:rPr>
      </w:pPr>
      <w:r w:rsidRPr="00384026">
        <w:rPr>
          <w:rFonts w:ascii="Times New Roman" w:eastAsia="Times New Roman" w:hAnsi="Times New Roman" w:cs="Times New Roman"/>
          <w:b/>
          <w:bCs/>
          <w:color w:val="414142"/>
          <w:sz w:val="32"/>
          <w:szCs w:val="32"/>
        </w:rPr>
        <w:t>Informatīvais ziņojums “Par Narkotiku lietošanas</w:t>
      </w:r>
    </w:p>
    <w:p w14:paraId="6667B144" w14:textId="77777777" w:rsidR="00E62854" w:rsidRPr="00384026" w:rsidRDefault="00E62854" w:rsidP="00E62854">
      <w:pPr>
        <w:shd w:val="clear" w:color="auto" w:fill="FFFFFF"/>
        <w:spacing w:after="0" w:line="293" w:lineRule="atLeast"/>
        <w:ind w:firstLine="300"/>
        <w:jc w:val="center"/>
        <w:rPr>
          <w:rFonts w:ascii="Times New Roman" w:eastAsia="Times New Roman" w:hAnsi="Times New Roman" w:cs="Times New Roman"/>
          <w:b/>
          <w:bCs/>
          <w:color w:val="414142"/>
          <w:sz w:val="32"/>
          <w:szCs w:val="32"/>
        </w:rPr>
      </w:pPr>
      <w:r w:rsidRPr="00384026">
        <w:rPr>
          <w:rFonts w:ascii="Times New Roman" w:eastAsia="Times New Roman" w:hAnsi="Times New Roman" w:cs="Times New Roman"/>
          <w:b/>
          <w:bCs/>
          <w:color w:val="414142"/>
          <w:sz w:val="32"/>
          <w:szCs w:val="32"/>
        </w:rPr>
        <w:t>un izplatības ierobežošanas plāna 2019. – 2020. gadam izpildi”</w:t>
      </w:r>
    </w:p>
    <w:p w14:paraId="330859F1" w14:textId="77777777" w:rsidR="00E62854" w:rsidRPr="00384026" w:rsidRDefault="00E62854" w:rsidP="00E62854">
      <w:pPr>
        <w:shd w:val="clear" w:color="auto" w:fill="FFFFFF"/>
        <w:spacing w:after="0" w:line="293" w:lineRule="atLeast"/>
        <w:ind w:firstLine="300"/>
        <w:jc w:val="center"/>
        <w:rPr>
          <w:rFonts w:ascii="Times New Roman" w:eastAsia="Times New Roman" w:hAnsi="Times New Roman" w:cs="Times New Roman"/>
          <w:b/>
          <w:bCs/>
          <w:color w:val="414142"/>
          <w:sz w:val="32"/>
          <w:szCs w:val="32"/>
        </w:rPr>
      </w:pPr>
    </w:p>
    <w:p w14:paraId="626F3D07" w14:textId="77777777" w:rsidR="00E62854" w:rsidRPr="00384026" w:rsidRDefault="00E62854" w:rsidP="00E62854">
      <w:pPr>
        <w:shd w:val="clear" w:color="auto" w:fill="FFFFFF"/>
        <w:spacing w:after="0" w:line="293" w:lineRule="atLeast"/>
        <w:ind w:firstLine="300"/>
        <w:jc w:val="center"/>
        <w:rPr>
          <w:rFonts w:ascii="Times New Roman" w:eastAsia="Times New Roman" w:hAnsi="Times New Roman" w:cs="Times New Roman"/>
          <w:b/>
          <w:bCs/>
          <w:color w:val="414142"/>
          <w:sz w:val="32"/>
          <w:szCs w:val="32"/>
        </w:rPr>
      </w:pPr>
    </w:p>
    <w:p w14:paraId="60852483" w14:textId="77777777" w:rsidR="00E62854" w:rsidRPr="00384026" w:rsidRDefault="00E62854" w:rsidP="00E62854">
      <w:pPr>
        <w:shd w:val="clear" w:color="auto" w:fill="FFFFFF"/>
        <w:spacing w:after="0" w:line="293" w:lineRule="atLeast"/>
        <w:ind w:firstLine="300"/>
        <w:jc w:val="center"/>
        <w:rPr>
          <w:rFonts w:ascii="Times New Roman" w:eastAsia="Times New Roman" w:hAnsi="Times New Roman" w:cs="Times New Roman"/>
          <w:b/>
          <w:bCs/>
          <w:color w:val="414142"/>
          <w:sz w:val="32"/>
          <w:szCs w:val="32"/>
        </w:rPr>
      </w:pPr>
    </w:p>
    <w:p w14:paraId="6ED68FCD" w14:textId="77777777" w:rsidR="00E62854" w:rsidRPr="00384026" w:rsidRDefault="00E62854" w:rsidP="00E62854">
      <w:pPr>
        <w:shd w:val="clear" w:color="auto" w:fill="FFFFFF"/>
        <w:spacing w:after="0" w:line="293" w:lineRule="atLeast"/>
        <w:ind w:firstLine="300"/>
        <w:jc w:val="center"/>
        <w:rPr>
          <w:rFonts w:ascii="Times New Roman" w:eastAsia="Times New Roman" w:hAnsi="Times New Roman" w:cs="Times New Roman"/>
          <w:b/>
          <w:bCs/>
          <w:color w:val="414142"/>
          <w:sz w:val="32"/>
          <w:szCs w:val="32"/>
        </w:rPr>
      </w:pPr>
    </w:p>
    <w:p w14:paraId="38579FFD" w14:textId="77777777" w:rsidR="00E62854" w:rsidRPr="00384026" w:rsidRDefault="00E62854" w:rsidP="00E62854">
      <w:pPr>
        <w:shd w:val="clear" w:color="auto" w:fill="FFFFFF"/>
        <w:spacing w:after="0" w:line="293" w:lineRule="atLeast"/>
        <w:ind w:firstLine="300"/>
        <w:jc w:val="center"/>
        <w:rPr>
          <w:rFonts w:ascii="Times New Roman" w:eastAsia="Times New Roman" w:hAnsi="Times New Roman" w:cs="Times New Roman"/>
          <w:b/>
          <w:bCs/>
          <w:color w:val="414142"/>
          <w:sz w:val="20"/>
          <w:szCs w:val="20"/>
        </w:rPr>
      </w:pPr>
    </w:p>
    <w:p w14:paraId="14A171C6" w14:textId="77777777" w:rsidR="00E62854" w:rsidRPr="00384026" w:rsidRDefault="00E62854" w:rsidP="00E62854">
      <w:pPr>
        <w:shd w:val="clear" w:color="auto" w:fill="FFFFFF"/>
        <w:spacing w:after="0" w:line="293" w:lineRule="atLeast"/>
        <w:ind w:firstLine="300"/>
        <w:jc w:val="center"/>
        <w:rPr>
          <w:rFonts w:ascii="Times New Roman" w:eastAsia="Times New Roman" w:hAnsi="Times New Roman" w:cs="Times New Roman"/>
          <w:b/>
          <w:bCs/>
          <w:color w:val="414142"/>
          <w:sz w:val="20"/>
          <w:szCs w:val="20"/>
        </w:rPr>
      </w:pPr>
    </w:p>
    <w:p w14:paraId="109669A3" w14:textId="77777777" w:rsidR="00E62854" w:rsidRPr="00384026" w:rsidRDefault="00E62854" w:rsidP="00E62854">
      <w:pPr>
        <w:shd w:val="clear" w:color="auto" w:fill="FFFFFF"/>
        <w:spacing w:after="0" w:line="293" w:lineRule="atLeast"/>
        <w:ind w:firstLine="300"/>
        <w:jc w:val="center"/>
        <w:rPr>
          <w:rFonts w:ascii="Times New Roman" w:eastAsia="Times New Roman" w:hAnsi="Times New Roman" w:cs="Times New Roman"/>
          <w:b/>
          <w:bCs/>
          <w:color w:val="414142"/>
          <w:sz w:val="20"/>
          <w:szCs w:val="20"/>
        </w:rPr>
      </w:pPr>
    </w:p>
    <w:p w14:paraId="755F483C" w14:textId="77777777" w:rsidR="00E62854" w:rsidRPr="00384026" w:rsidRDefault="00E62854" w:rsidP="00E62854">
      <w:pPr>
        <w:shd w:val="clear" w:color="auto" w:fill="FFFFFF"/>
        <w:spacing w:after="0" w:line="293" w:lineRule="atLeast"/>
        <w:ind w:firstLine="300"/>
        <w:jc w:val="center"/>
        <w:rPr>
          <w:rFonts w:ascii="Times New Roman" w:eastAsia="Times New Roman" w:hAnsi="Times New Roman" w:cs="Times New Roman"/>
          <w:b/>
          <w:bCs/>
          <w:color w:val="414142"/>
          <w:sz w:val="20"/>
          <w:szCs w:val="20"/>
        </w:rPr>
      </w:pPr>
    </w:p>
    <w:p w14:paraId="63632493" w14:textId="77777777" w:rsidR="00E62854" w:rsidRPr="00384026" w:rsidRDefault="00E62854" w:rsidP="00E62854">
      <w:pPr>
        <w:shd w:val="clear" w:color="auto" w:fill="FFFFFF"/>
        <w:spacing w:after="0" w:line="293" w:lineRule="atLeast"/>
        <w:ind w:firstLine="300"/>
        <w:jc w:val="center"/>
        <w:rPr>
          <w:rFonts w:ascii="Times New Roman" w:eastAsia="Times New Roman" w:hAnsi="Times New Roman" w:cs="Times New Roman"/>
          <w:b/>
          <w:bCs/>
          <w:color w:val="414142"/>
          <w:sz w:val="20"/>
          <w:szCs w:val="20"/>
        </w:rPr>
      </w:pPr>
    </w:p>
    <w:p w14:paraId="6D7F0220" w14:textId="77777777" w:rsidR="00E62854" w:rsidRPr="00384026" w:rsidRDefault="00E62854" w:rsidP="00E62854">
      <w:pPr>
        <w:shd w:val="clear" w:color="auto" w:fill="FFFFFF"/>
        <w:spacing w:after="0" w:line="293" w:lineRule="atLeast"/>
        <w:ind w:firstLine="300"/>
        <w:jc w:val="center"/>
        <w:rPr>
          <w:rFonts w:ascii="Times New Roman" w:eastAsia="Times New Roman" w:hAnsi="Times New Roman" w:cs="Times New Roman"/>
          <w:b/>
          <w:bCs/>
          <w:color w:val="414142"/>
          <w:sz w:val="20"/>
          <w:szCs w:val="20"/>
        </w:rPr>
      </w:pPr>
    </w:p>
    <w:p w14:paraId="3C8186F4" w14:textId="77777777" w:rsidR="00E62854" w:rsidRPr="00384026" w:rsidRDefault="00E62854" w:rsidP="00E62854">
      <w:pPr>
        <w:shd w:val="clear" w:color="auto" w:fill="FFFFFF"/>
        <w:spacing w:after="0" w:line="293" w:lineRule="atLeast"/>
        <w:ind w:firstLine="300"/>
        <w:jc w:val="center"/>
        <w:rPr>
          <w:rFonts w:ascii="Times New Roman" w:eastAsia="Times New Roman" w:hAnsi="Times New Roman" w:cs="Times New Roman"/>
          <w:b/>
          <w:bCs/>
          <w:color w:val="414142"/>
          <w:sz w:val="20"/>
          <w:szCs w:val="20"/>
        </w:rPr>
      </w:pPr>
    </w:p>
    <w:p w14:paraId="502305E6" w14:textId="77777777" w:rsidR="00E62854" w:rsidRPr="00384026" w:rsidRDefault="00E62854" w:rsidP="00E62854">
      <w:pPr>
        <w:shd w:val="clear" w:color="auto" w:fill="FFFFFF"/>
        <w:spacing w:after="0" w:line="293" w:lineRule="atLeast"/>
        <w:ind w:firstLine="300"/>
        <w:jc w:val="center"/>
        <w:rPr>
          <w:rFonts w:ascii="Times New Roman" w:eastAsia="Times New Roman" w:hAnsi="Times New Roman" w:cs="Times New Roman"/>
          <w:b/>
          <w:bCs/>
          <w:color w:val="414142"/>
          <w:sz w:val="20"/>
          <w:szCs w:val="20"/>
        </w:rPr>
      </w:pPr>
    </w:p>
    <w:p w14:paraId="6AA6186D" w14:textId="77777777" w:rsidR="00E62854" w:rsidRPr="00384026" w:rsidRDefault="00E62854" w:rsidP="00E62854">
      <w:pPr>
        <w:shd w:val="clear" w:color="auto" w:fill="FFFFFF"/>
        <w:spacing w:after="0" w:line="293" w:lineRule="atLeast"/>
        <w:ind w:firstLine="300"/>
        <w:jc w:val="center"/>
        <w:rPr>
          <w:rFonts w:ascii="Times New Roman" w:eastAsia="Times New Roman" w:hAnsi="Times New Roman" w:cs="Times New Roman"/>
          <w:b/>
          <w:bCs/>
          <w:color w:val="414142"/>
          <w:sz w:val="20"/>
          <w:szCs w:val="20"/>
        </w:rPr>
      </w:pPr>
    </w:p>
    <w:p w14:paraId="0103FF91" w14:textId="77777777" w:rsidR="00E62854" w:rsidRPr="00384026" w:rsidRDefault="00E62854" w:rsidP="00E62854">
      <w:pPr>
        <w:shd w:val="clear" w:color="auto" w:fill="FFFFFF"/>
        <w:spacing w:after="0" w:line="293" w:lineRule="atLeast"/>
        <w:ind w:firstLine="300"/>
        <w:jc w:val="center"/>
        <w:rPr>
          <w:rFonts w:ascii="Times New Roman" w:eastAsia="Times New Roman" w:hAnsi="Times New Roman" w:cs="Times New Roman"/>
          <w:b/>
          <w:bCs/>
          <w:color w:val="414142"/>
          <w:sz w:val="20"/>
          <w:szCs w:val="20"/>
        </w:rPr>
      </w:pPr>
    </w:p>
    <w:p w14:paraId="11701BB8" w14:textId="77777777" w:rsidR="00E62854" w:rsidRPr="00384026" w:rsidRDefault="00E62854" w:rsidP="00E62854">
      <w:pPr>
        <w:shd w:val="clear" w:color="auto" w:fill="FFFFFF"/>
        <w:spacing w:after="0" w:line="293" w:lineRule="atLeast"/>
        <w:ind w:firstLine="300"/>
        <w:jc w:val="center"/>
        <w:rPr>
          <w:rFonts w:ascii="Times New Roman" w:eastAsia="Times New Roman" w:hAnsi="Times New Roman" w:cs="Times New Roman"/>
          <w:b/>
          <w:bCs/>
          <w:color w:val="414142"/>
          <w:sz w:val="20"/>
          <w:szCs w:val="20"/>
        </w:rPr>
      </w:pPr>
    </w:p>
    <w:p w14:paraId="14E4249C" w14:textId="77777777" w:rsidR="00E62854" w:rsidRPr="00384026" w:rsidRDefault="00E62854" w:rsidP="00E62854">
      <w:pPr>
        <w:shd w:val="clear" w:color="auto" w:fill="FFFFFF"/>
        <w:spacing w:after="0" w:line="293" w:lineRule="atLeast"/>
        <w:ind w:firstLine="300"/>
        <w:jc w:val="center"/>
        <w:rPr>
          <w:rFonts w:ascii="Times New Roman" w:eastAsia="Times New Roman" w:hAnsi="Times New Roman" w:cs="Times New Roman"/>
          <w:b/>
          <w:bCs/>
          <w:color w:val="414142"/>
          <w:sz w:val="20"/>
          <w:szCs w:val="20"/>
        </w:rPr>
      </w:pPr>
    </w:p>
    <w:p w14:paraId="0F5D2D95" w14:textId="77777777" w:rsidR="00E62854" w:rsidRPr="00384026" w:rsidRDefault="00E62854" w:rsidP="00E62854">
      <w:pPr>
        <w:shd w:val="clear" w:color="auto" w:fill="FFFFFF"/>
        <w:spacing w:after="0" w:line="293" w:lineRule="atLeast"/>
        <w:ind w:firstLine="300"/>
        <w:jc w:val="center"/>
        <w:rPr>
          <w:rFonts w:ascii="Times New Roman" w:eastAsia="Times New Roman" w:hAnsi="Times New Roman" w:cs="Times New Roman"/>
          <w:b/>
          <w:bCs/>
          <w:color w:val="414142"/>
          <w:sz w:val="20"/>
          <w:szCs w:val="20"/>
        </w:rPr>
      </w:pPr>
    </w:p>
    <w:p w14:paraId="04AA721B" w14:textId="77777777" w:rsidR="00E62854" w:rsidRPr="00384026" w:rsidRDefault="00E62854" w:rsidP="00E62854">
      <w:pPr>
        <w:shd w:val="clear" w:color="auto" w:fill="FFFFFF"/>
        <w:spacing w:after="0" w:line="293" w:lineRule="atLeast"/>
        <w:ind w:firstLine="300"/>
        <w:jc w:val="center"/>
        <w:rPr>
          <w:rFonts w:ascii="Times New Roman" w:eastAsia="Times New Roman" w:hAnsi="Times New Roman" w:cs="Times New Roman"/>
          <w:b/>
          <w:bCs/>
          <w:color w:val="414142"/>
          <w:sz w:val="20"/>
          <w:szCs w:val="20"/>
        </w:rPr>
      </w:pPr>
    </w:p>
    <w:p w14:paraId="19E81DC9" w14:textId="77777777" w:rsidR="00E62854" w:rsidRPr="00384026" w:rsidRDefault="00E62854" w:rsidP="00E62854">
      <w:pPr>
        <w:shd w:val="clear" w:color="auto" w:fill="FFFFFF"/>
        <w:spacing w:after="0" w:line="293" w:lineRule="atLeast"/>
        <w:ind w:firstLine="300"/>
        <w:jc w:val="center"/>
        <w:rPr>
          <w:rFonts w:ascii="Times New Roman" w:eastAsia="Times New Roman" w:hAnsi="Times New Roman" w:cs="Times New Roman"/>
          <w:b/>
          <w:bCs/>
          <w:color w:val="414142"/>
          <w:sz w:val="20"/>
          <w:szCs w:val="20"/>
        </w:rPr>
      </w:pPr>
    </w:p>
    <w:p w14:paraId="78CB6B0A" w14:textId="77777777" w:rsidR="00E62854" w:rsidRPr="00384026" w:rsidRDefault="00E62854" w:rsidP="00E62854">
      <w:pPr>
        <w:shd w:val="clear" w:color="auto" w:fill="FFFFFF"/>
        <w:spacing w:after="0" w:line="293" w:lineRule="atLeast"/>
        <w:ind w:firstLine="300"/>
        <w:jc w:val="center"/>
        <w:rPr>
          <w:rFonts w:ascii="Times New Roman" w:eastAsia="Times New Roman" w:hAnsi="Times New Roman" w:cs="Times New Roman"/>
          <w:b/>
          <w:bCs/>
          <w:color w:val="414142"/>
          <w:sz w:val="20"/>
          <w:szCs w:val="20"/>
        </w:rPr>
      </w:pPr>
    </w:p>
    <w:p w14:paraId="2ED65DFA" w14:textId="77777777" w:rsidR="00E62854" w:rsidRPr="00384026" w:rsidRDefault="00E62854" w:rsidP="00E62854">
      <w:pPr>
        <w:shd w:val="clear" w:color="auto" w:fill="FFFFFF"/>
        <w:spacing w:after="0" w:line="293" w:lineRule="atLeast"/>
        <w:ind w:firstLine="300"/>
        <w:jc w:val="center"/>
        <w:rPr>
          <w:rFonts w:ascii="Times New Roman" w:eastAsia="Times New Roman" w:hAnsi="Times New Roman" w:cs="Times New Roman"/>
          <w:b/>
          <w:bCs/>
          <w:color w:val="414142"/>
          <w:sz w:val="20"/>
          <w:szCs w:val="20"/>
        </w:rPr>
      </w:pPr>
    </w:p>
    <w:p w14:paraId="70DFFAF0" w14:textId="77777777" w:rsidR="00E62854" w:rsidRPr="00384026" w:rsidRDefault="00E62854" w:rsidP="005F2321">
      <w:pPr>
        <w:shd w:val="clear" w:color="auto" w:fill="FFFFFF"/>
        <w:spacing w:after="0" w:line="293" w:lineRule="atLeast"/>
        <w:rPr>
          <w:rFonts w:ascii="Times New Roman" w:eastAsia="Times New Roman" w:hAnsi="Times New Roman" w:cs="Times New Roman"/>
          <w:b/>
          <w:bCs/>
          <w:color w:val="414142"/>
          <w:sz w:val="20"/>
          <w:szCs w:val="20"/>
        </w:rPr>
      </w:pPr>
    </w:p>
    <w:p w14:paraId="5BAAAF17" w14:textId="77777777" w:rsidR="00E62854" w:rsidRPr="00384026" w:rsidRDefault="00E62854" w:rsidP="00E62854">
      <w:pPr>
        <w:shd w:val="clear" w:color="auto" w:fill="FFFFFF"/>
        <w:spacing w:after="0" w:line="293" w:lineRule="atLeast"/>
        <w:ind w:firstLine="300"/>
        <w:jc w:val="center"/>
        <w:rPr>
          <w:rFonts w:ascii="Times New Roman" w:eastAsia="Times New Roman" w:hAnsi="Times New Roman" w:cs="Times New Roman"/>
          <w:b/>
          <w:bCs/>
          <w:color w:val="414142"/>
          <w:sz w:val="20"/>
          <w:szCs w:val="20"/>
        </w:rPr>
      </w:pPr>
    </w:p>
    <w:p w14:paraId="3E0BE065" w14:textId="77777777" w:rsidR="00E62854" w:rsidRPr="00384026" w:rsidRDefault="00E62854" w:rsidP="00E62854">
      <w:pPr>
        <w:shd w:val="clear" w:color="auto" w:fill="FFFFFF"/>
        <w:spacing w:after="0" w:line="293" w:lineRule="atLeast"/>
        <w:ind w:firstLine="300"/>
        <w:jc w:val="center"/>
        <w:rPr>
          <w:rFonts w:ascii="Times New Roman" w:eastAsia="Times New Roman" w:hAnsi="Times New Roman" w:cs="Times New Roman"/>
          <w:b/>
          <w:bCs/>
          <w:color w:val="414142"/>
          <w:sz w:val="20"/>
          <w:szCs w:val="20"/>
        </w:rPr>
      </w:pPr>
    </w:p>
    <w:p w14:paraId="68AC50C4" w14:textId="77777777" w:rsidR="00E62854" w:rsidRPr="00384026" w:rsidRDefault="00E62854" w:rsidP="00E62854">
      <w:pPr>
        <w:shd w:val="clear" w:color="auto" w:fill="FFFFFF"/>
        <w:spacing w:after="0" w:line="293" w:lineRule="atLeast"/>
        <w:ind w:firstLine="300"/>
        <w:jc w:val="center"/>
        <w:rPr>
          <w:rFonts w:ascii="Times New Roman" w:eastAsia="Times New Roman" w:hAnsi="Times New Roman" w:cs="Times New Roman"/>
          <w:b/>
          <w:bCs/>
          <w:color w:val="414142"/>
          <w:sz w:val="20"/>
          <w:szCs w:val="20"/>
        </w:rPr>
      </w:pPr>
    </w:p>
    <w:p w14:paraId="35A35362" w14:textId="77777777" w:rsidR="00E62854" w:rsidRPr="00384026" w:rsidRDefault="00E62854" w:rsidP="00E62854">
      <w:pPr>
        <w:shd w:val="clear" w:color="auto" w:fill="FFFFFF"/>
        <w:spacing w:after="0" w:line="293" w:lineRule="atLeast"/>
        <w:ind w:firstLine="300"/>
        <w:jc w:val="center"/>
        <w:rPr>
          <w:rFonts w:ascii="Times New Roman" w:eastAsia="Times New Roman" w:hAnsi="Times New Roman" w:cs="Times New Roman"/>
          <w:b/>
          <w:bCs/>
          <w:color w:val="414142"/>
          <w:sz w:val="20"/>
          <w:szCs w:val="20"/>
        </w:rPr>
      </w:pPr>
    </w:p>
    <w:p w14:paraId="55C2AAD2" w14:textId="77777777" w:rsidR="00E62854" w:rsidRPr="00384026" w:rsidRDefault="00E62854" w:rsidP="00E62854">
      <w:pPr>
        <w:shd w:val="clear" w:color="auto" w:fill="FFFFFF"/>
        <w:spacing w:after="0" w:line="293" w:lineRule="atLeast"/>
        <w:ind w:firstLine="300"/>
        <w:jc w:val="center"/>
        <w:rPr>
          <w:rFonts w:ascii="Times New Roman" w:eastAsia="Times New Roman" w:hAnsi="Times New Roman" w:cs="Times New Roman"/>
          <w:b/>
          <w:bCs/>
          <w:color w:val="414142"/>
          <w:sz w:val="20"/>
          <w:szCs w:val="20"/>
        </w:rPr>
      </w:pPr>
    </w:p>
    <w:p w14:paraId="28201A6D" w14:textId="77777777" w:rsidR="00E62854" w:rsidRPr="00384026" w:rsidRDefault="00E62854" w:rsidP="00E62854">
      <w:pPr>
        <w:shd w:val="clear" w:color="auto" w:fill="FFFFFF"/>
        <w:spacing w:after="0" w:line="293" w:lineRule="atLeast"/>
        <w:ind w:firstLine="300"/>
        <w:jc w:val="center"/>
        <w:rPr>
          <w:rFonts w:ascii="Times New Roman" w:eastAsia="Times New Roman" w:hAnsi="Times New Roman" w:cs="Times New Roman"/>
          <w:b/>
          <w:bCs/>
          <w:color w:val="414142"/>
          <w:sz w:val="20"/>
          <w:szCs w:val="20"/>
        </w:rPr>
      </w:pPr>
    </w:p>
    <w:p w14:paraId="72A27CCB" w14:textId="77777777" w:rsidR="00E62854" w:rsidRPr="00384026" w:rsidRDefault="00E62854" w:rsidP="00E62854">
      <w:pPr>
        <w:shd w:val="clear" w:color="auto" w:fill="FFFFFF"/>
        <w:spacing w:after="0" w:line="293" w:lineRule="atLeast"/>
        <w:ind w:firstLine="300"/>
        <w:jc w:val="center"/>
        <w:rPr>
          <w:rFonts w:ascii="Times New Roman" w:eastAsia="Times New Roman" w:hAnsi="Times New Roman" w:cs="Times New Roman"/>
          <w:b/>
          <w:bCs/>
          <w:color w:val="414142"/>
          <w:sz w:val="20"/>
          <w:szCs w:val="20"/>
        </w:rPr>
      </w:pPr>
    </w:p>
    <w:p w14:paraId="5E9A7699" w14:textId="77777777" w:rsidR="00E62854" w:rsidRPr="005F2321" w:rsidRDefault="00E62854" w:rsidP="00E62854">
      <w:pPr>
        <w:shd w:val="clear" w:color="auto" w:fill="FFFFFF"/>
        <w:spacing w:after="0" w:line="293" w:lineRule="atLeast"/>
        <w:ind w:firstLine="300"/>
        <w:jc w:val="center"/>
        <w:rPr>
          <w:rFonts w:ascii="Times New Roman" w:eastAsia="Times New Roman" w:hAnsi="Times New Roman" w:cs="Times New Roman"/>
          <w:b/>
          <w:bCs/>
          <w:color w:val="414142"/>
          <w:sz w:val="28"/>
          <w:szCs w:val="28"/>
        </w:rPr>
        <w:sectPr w:rsidR="00E62854" w:rsidRPr="005F2321" w:rsidSect="00E6285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pPr>
      <w:r w:rsidRPr="005F2321">
        <w:rPr>
          <w:rFonts w:ascii="Times New Roman" w:eastAsia="Times New Roman" w:hAnsi="Times New Roman" w:cs="Times New Roman"/>
          <w:b/>
          <w:bCs/>
          <w:color w:val="414142"/>
          <w:sz w:val="28"/>
          <w:szCs w:val="28"/>
        </w:rPr>
        <w:t>Rīga</w:t>
      </w:r>
    </w:p>
    <w:sdt>
      <w:sdtPr>
        <w:rPr>
          <w:rFonts w:asciiTheme="minorHAnsi" w:eastAsiaTheme="minorHAnsi" w:hAnsiTheme="minorHAnsi" w:cstheme="minorBidi"/>
          <w:color w:val="auto"/>
          <w:sz w:val="22"/>
          <w:szCs w:val="22"/>
          <w:lang w:val="lv-LV"/>
        </w:rPr>
        <w:id w:val="-1523239148"/>
        <w:docPartObj>
          <w:docPartGallery w:val="Table of Contents"/>
          <w:docPartUnique/>
        </w:docPartObj>
      </w:sdtPr>
      <w:sdtEndPr>
        <w:rPr>
          <w:b/>
          <w:bCs/>
          <w:noProof/>
        </w:rPr>
      </w:sdtEndPr>
      <w:sdtContent>
        <w:p w14:paraId="66C4B95A" w14:textId="77777777" w:rsidR="00D04A63" w:rsidRDefault="00D04A63" w:rsidP="00D04A63">
          <w:pPr>
            <w:pStyle w:val="TOCHeading"/>
            <w:jc w:val="center"/>
          </w:pPr>
        </w:p>
        <w:p w14:paraId="24078F82" w14:textId="77777777" w:rsidR="00D04A63" w:rsidRDefault="00D04A63" w:rsidP="00D04A63">
          <w:pPr>
            <w:pStyle w:val="TOCHeading"/>
            <w:jc w:val="center"/>
          </w:pPr>
        </w:p>
        <w:p w14:paraId="51193196" w14:textId="77777777" w:rsidR="00D04A63" w:rsidRPr="008D5011" w:rsidRDefault="00D04A63" w:rsidP="00D04A63">
          <w:pPr>
            <w:pStyle w:val="TOCHeading"/>
            <w:jc w:val="center"/>
            <w:rPr>
              <w:rFonts w:ascii="Times New Roman" w:hAnsi="Times New Roman" w:cs="Times New Roman"/>
              <w:b/>
              <w:color w:val="auto"/>
              <w:lang w:val="lv-LV"/>
            </w:rPr>
          </w:pPr>
          <w:r w:rsidRPr="008D5011">
            <w:rPr>
              <w:rFonts w:ascii="Times New Roman" w:hAnsi="Times New Roman" w:cs="Times New Roman"/>
              <w:b/>
              <w:color w:val="auto"/>
              <w:lang w:val="lv-LV"/>
            </w:rPr>
            <w:t>Saturs</w:t>
          </w:r>
        </w:p>
        <w:p w14:paraId="4E902CA5" w14:textId="77777777" w:rsidR="00D04A63" w:rsidRDefault="00D04A63" w:rsidP="00D04A63">
          <w:pPr>
            <w:rPr>
              <w:lang w:val="en-US"/>
            </w:rPr>
          </w:pPr>
        </w:p>
        <w:p w14:paraId="0C0D9807" w14:textId="77777777" w:rsidR="00D04A63" w:rsidRPr="00D04A63" w:rsidRDefault="00D04A63" w:rsidP="00D04A63">
          <w:pPr>
            <w:rPr>
              <w:lang w:val="en-US"/>
            </w:rPr>
          </w:pPr>
        </w:p>
        <w:p w14:paraId="008DEF1B" w14:textId="77777777" w:rsidR="00D04A63" w:rsidRDefault="00D04A63">
          <w:pPr>
            <w:pStyle w:val="TOC2"/>
            <w:rPr>
              <w:rFonts w:asciiTheme="minorHAnsi" w:eastAsiaTheme="minorEastAsia" w:hAnsiTheme="minorHAnsi" w:cstheme="minorBidi"/>
              <w:b w:val="0"/>
              <w:lang w:eastAsia="lv-LV"/>
            </w:rPr>
          </w:pPr>
          <w:r w:rsidRPr="00D04A63">
            <w:fldChar w:fldCharType="begin"/>
          </w:r>
          <w:r w:rsidRPr="00D04A63">
            <w:instrText xml:space="preserve"> TOC \o "1-3" \h \z \u </w:instrText>
          </w:r>
          <w:r w:rsidRPr="00D04A63">
            <w:fldChar w:fldCharType="separate"/>
          </w:r>
          <w:hyperlink w:anchor="_Toc78372604" w:history="1">
            <w:r w:rsidRPr="00675EAC">
              <w:rPr>
                <w:rStyle w:val="Hyperlink"/>
                <w:rFonts w:eastAsia="Times New Roman"/>
              </w:rPr>
              <w:t>Izmantotie saīsinājumi un jēdzieni:</w:t>
            </w:r>
            <w:r>
              <w:rPr>
                <w:webHidden/>
              </w:rPr>
              <w:tab/>
            </w:r>
            <w:r>
              <w:rPr>
                <w:webHidden/>
              </w:rPr>
              <w:fldChar w:fldCharType="begin"/>
            </w:r>
            <w:r>
              <w:rPr>
                <w:webHidden/>
              </w:rPr>
              <w:instrText xml:space="preserve"> PAGEREF _Toc78372604 \h </w:instrText>
            </w:r>
            <w:r>
              <w:rPr>
                <w:webHidden/>
              </w:rPr>
            </w:r>
            <w:r>
              <w:rPr>
                <w:webHidden/>
              </w:rPr>
              <w:fldChar w:fldCharType="separate"/>
            </w:r>
            <w:r>
              <w:rPr>
                <w:webHidden/>
              </w:rPr>
              <w:t>3</w:t>
            </w:r>
            <w:r>
              <w:rPr>
                <w:webHidden/>
              </w:rPr>
              <w:fldChar w:fldCharType="end"/>
            </w:r>
          </w:hyperlink>
        </w:p>
        <w:p w14:paraId="601A98E0" w14:textId="77777777" w:rsidR="00D04A63" w:rsidRDefault="00FA6DB3">
          <w:pPr>
            <w:pStyle w:val="TOC2"/>
            <w:rPr>
              <w:rFonts w:asciiTheme="minorHAnsi" w:eastAsiaTheme="minorEastAsia" w:hAnsiTheme="minorHAnsi" w:cstheme="minorBidi"/>
              <w:b w:val="0"/>
              <w:lang w:eastAsia="lv-LV"/>
            </w:rPr>
          </w:pPr>
          <w:hyperlink w:anchor="_Toc78372605" w:history="1">
            <w:r w:rsidR="00D04A63" w:rsidRPr="00675EAC">
              <w:rPr>
                <w:rStyle w:val="Hyperlink"/>
                <w:bCs/>
                <w:lang w:eastAsia="lv-LV"/>
              </w:rPr>
              <w:t>Ievads</w:t>
            </w:r>
            <w:r w:rsidR="00D04A63">
              <w:rPr>
                <w:webHidden/>
              </w:rPr>
              <w:tab/>
            </w:r>
            <w:r w:rsidR="00D04A63">
              <w:rPr>
                <w:webHidden/>
              </w:rPr>
              <w:fldChar w:fldCharType="begin"/>
            </w:r>
            <w:r w:rsidR="00D04A63">
              <w:rPr>
                <w:webHidden/>
              </w:rPr>
              <w:instrText xml:space="preserve"> PAGEREF _Toc78372605 \h </w:instrText>
            </w:r>
            <w:r w:rsidR="00D04A63">
              <w:rPr>
                <w:webHidden/>
              </w:rPr>
            </w:r>
            <w:r w:rsidR="00D04A63">
              <w:rPr>
                <w:webHidden/>
              </w:rPr>
              <w:fldChar w:fldCharType="separate"/>
            </w:r>
            <w:r w:rsidR="00D04A63">
              <w:rPr>
                <w:webHidden/>
              </w:rPr>
              <w:t>5</w:t>
            </w:r>
            <w:r w:rsidR="00D04A63">
              <w:rPr>
                <w:webHidden/>
              </w:rPr>
              <w:fldChar w:fldCharType="end"/>
            </w:r>
          </w:hyperlink>
        </w:p>
        <w:p w14:paraId="7767C0CF" w14:textId="77777777" w:rsidR="00D04A63" w:rsidRDefault="00FA6DB3">
          <w:pPr>
            <w:pStyle w:val="TOC2"/>
            <w:rPr>
              <w:rFonts w:asciiTheme="minorHAnsi" w:eastAsiaTheme="minorEastAsia" w:hAnsiTheme="minorHAnsi" w:cstheme="minorBidi"/>
              <w:b w:val="0"/>
              <w:lang w:eastAsia="lv-LV"/>
            </w:rPr>
          </w:pPr>
          <w:hyperlink w:anchor="_Toc78372606" w:history="1">
            <w:r w:rsidR="00D04A63" w:rsidRPr="00675EAC">
              <w:rPr>
                <w:rStyle w:val="Hyperlink"/>
                <w:bCs/>
                <w:lang w:eastAsia="lv-LV"/>
              </w:rPr>
              <w:t>1.</w:t>
            </w:r>
            <w:r w:rsidR="00D04A63">
              <w:rPr>
                <w:rFonts w:asciiTheme="minorHAnsi" w:eastAsiaTheme="minorEastAsia" w:hAnsiTheme="minorHAnsi" w:cstheme="minorBidi"/>
                <w:b w:val="0"/>
                <w:lang w:eastAsia="lv-LV"/>
              </w:rPr>
              <w:tab/>
            </w:r>
            <w:r w:rsidR="00D04A63" w:rsidRPr="00675EAC">
              <w:rPr>
                <w:rStyle w:val="Hyperlink"/>
                <w:bCs/>
                <w:lang w:eastAsia="lv-LV"/>
              </w:rPr>
              <w:t>Plānā noteikto pasākumu izpilde</w:t>
            </w:r>
            <w:r w:rsidR="00D04A63">
              <w:rPr>
                <w:webHidden/>
              </w:rPr>
              <w:tab/>
            </w:r>
            <w:r w:rsidR="00D04A63">
              <w:rPr>
                <w:webHidden/>
              </w:rPr>
              <w:fldChar w:fldCharType="begin"/>
            </w:r>
            <w:r w:rsidR="00D04A63">
              <w:rPr>
                <w:webHidden/>
              </w:rPr>
              <w:instrText xml:space="preserve"> PAGEREF _Toc78372606 \h </w:instrText>
            </w:r>
            <w:r w:rsidR="00D04A63">
              <w:rPr>
                <w:webHidden/>
              </w:rPr>
            </w:r>
            <w:r w:rsidR="00D04A63">
              <w:rPr>
                <w:webHidden/>
              </w:rPr>
              <w:fldChar w:fldCharType="separate"/>
            </w:r>
            <w:r w:rsidR="00D04A63">
              <w:rPr>
                <w:webHidden/>
              </w:rPr>
              <w:t>7</w:t>
            </w:r>
            <w:r w:rsidR="00D04A63">
              <w:rPr>
                <w:webHidden/>
              </w:rPr>
              <w:fldChar w:fldCharType="end"/>
            </w:r>
          </w:hyperlink>
        </w:p>
        <w:p w14:paraId="625CBF08" w14:textId="77777777" w:rsidR="00D04A63" w:rsidRPr="00D04A63" w:rsidRDefault="00FA6DB3">
          <w:pPr>
            <w:pStyle w:val="TOC3"/>
            <w:tabs>
              <w:tab w:val="right" w:leader="dot" w:pos="9061"/>
            </w:tabs>
            <w:rPr>
              <w:rFonts w:eastAsiaTheme="minorEastAsia"/>
              <w:noProof/>
              <w:lang w:eastAsia="lv-LV"/>
            </w:rPr>
          </w:pPr>
          <w:hyperlink w:anchor="_Toc78372607" w:history="1">
            <w:r w:rsidR="00D04A63" w:rsidRPr="00D04A63">
              <w:rPr>
                <w:rStyle w:val="Hyperlink"/>
                <w:rFonts w:ascii="Times New Roman" w:hAnsi="Times New Roman" w:cs="Times New Roman"/>
                <w:bCs/>
                <w:noProof/>
                <w:lang w:eastAsia="lv-LV"/>
              </w:rPr>
              <w:t>1.1. Vispārēja informācija par izpildi</w:t>
            </w:r>
            <w:r w:rsidR="00D04A63" w:rsidRPr="00D04A63">
              <w:rPr>
                <w:noProof/>
                <w:webHidden/>
              </w:rPr>
              <w:tab/>
            </w:r>
            <w:r w:rsidR="00D04A63" w:rsidRPr="00D04A63">
              <w:rPr>
                <w:noProof/>
                <w:webHidden/>
              </w:rPr>
              <w:fldChar w:fldCharType="begin"/>
            </w:r>
            <w:r w:rsidR="00D04A63" w:rsidRPr="00D04A63">
              <w:rPr>
                <w:noProof/>
                <w:webHidden/>
              </w:rPr>
              <w:instrText xml:space="preserve"> PAGEREF _Toc78372607 \h </w:instrText>
            </w:r>
            <w:r w:rsidR="00D04A63" w:rsidRPr="00D04A63">
              <w:rPr>
                <w:noProof/>
                <w:webHidden/>
              </w:rPr>
            </w:r>
            <w:r w:rsidR="00D04A63" w:rsidRPr="00D04A63">
              <w:rPr>
                <w:noProof/>
                <w:webHidden/>
              </w:rPr>
              <w:fldChar w:fldCharType="separate"/>
            </w:r>
            <w:r w:rsidR="00D04A63" w:rsidRPr="00D04A63">
              <w:rPr>
                <w:noProof/>
                <w:webHidden/>
              </w:rPr>
              <w:t>7</w:t>
            </w:r>
            <w:r w:rsidR="00D04A63" w:rsidRPr="00D04A63">
              <w:rPr>
                <w:noProof/>
                <w:webHidden/>
              </w:rPr>
              <w:fldChar w:fldCharType="end"/>
            </w:r>
          </w:hyperlink>
        </w:p>
        <w:p w14:paraId="1B197D3C" w14:textId="77777777" w:rsidR="00D04A63" w:rsidRPr="00D04A63" w:rsidRDefault="00FA6DB3">
          <w:pPr>
            <w:pStyle w:val="TOC3"/>
            <w:tabs>
              <w:tab w:val="right" w:leader="dot" w:pos="9061"/>
            </w:tabs>
            <w:rPr>
              <w:rFonts w:eastAsiaTheme="minorEastAsia"/>
              <w:noProof/>
              <w:lang w:eastAsia="lv-LV"/>
            </w:rPr>
          </w:pPr>
          <w:hyperlink w:anchor="_Toc78372608" w:history="1">
            <w:r w:rsidR="00D04A63" w:rsidRPr="00D04A63">
              <w:rPr>
                <w:rStyle w:val="Hyperlink"/>
                <w:rFonts w:ascii="Times New Roman" w:hAnsi="Times New Roman" w:cs="Times New Roman"/>
                <w:noProof/>
              </w:rPr>
              <w:t>1.2. Pirm</w:t>
            </w:r>
            <w:r w:rsidR="00A21E41">
              <w:rPr>
                <w:rStyle w:val="Hyperlink"/>
                <w:rFonts w:ascii="Times New Roman" w:hAnsi="Times New Roman" w:cs="Times New Roman"/>
                <w:noProof/>
              </w:rPr>
              <w:t>aj</w:t>
            </w:r>
            <w:r w:rsidR="00D04A63" w:rsidRPr="00D04A63">
              <w:rPr>
                <w:rStyle w:val="Hyperlink"/>
                <w:rFonts w:ascii="Times New Roman" w:hAnsi="Times New Roman" w:cs="Times New Roman"/>
                <w:noProof/>
              </w:rPr>
              <w:t>ā rīcības virzienā iekļauto pasākumu izpilde</w:t>
            </w:r>
            <w:r w:rsidR="00D04A63" w:rsidRPr="00D04A63">
              <w:rPr>
                <w:noProof/>
                <w:webHidden/>
              </w:rPr>
              <w:tab/>
            </w:r>
            <w:r w:rsidR="00D04A63" w:rsidRPr="00D04A63">
              <w:rPr>
                <w:noProof/>
                <w:webHidden/>
              </w:rPr>
              <w:fldChar w:fldCharType="begin"/>
            </w:r>
            <w:r w:rsidR="00D04A63" w:rsidRPr="00D04A63">
              <w:rPr>
                <w:noProof/>
                <w:webHidden/>
              </w:rPr>
              <w:instrText xml:space="preserve"> PAGEREF _Toc78372608 \h </w:instrText>
            </w:r>
            <w:r w:rsidR="00D04A63" w:rsidRPr="00D04A63">
              <w:rPr>
                <w:noProof/>
                <w:webHidden/>
              </w:rPr>
            </w:r>
            <w:r w:rsidR="00D04A63" w:rsidRPr="00D04A63">
              <w:rPr>
                <w:noProof/>
                <w:webHidden/>
              </w:rPr>
              <w:fldChar w:fldCharType="separate"/>
            </w:r>
            <w:r w:rsidR="00D04A63" w:rsidRPr="00D04A63">
              <w:rPr>
                <w:noProof/>
                <w:webHidden/>
              </w:rPr>
              <w:t>8</w:t>
            </w:r>
            <w:r w:rsidR="00D04A63" w:rsidRPr="00D04A63">
              <w:rPr>
                <w:noProof/>
                <w:webHidden/>
              </w:rPr>
              <w:fldChar w:fldCharType="end"/>
            </w:r>
          </w:hyperlink>
        </w:p>
        <w:p w14:paraId="3BE62CC8" w14:textId="77777777" w:rsidR="00D04A63" w:rsidRPr="00D04A63" w:rsidRDefault="00FA6DB3">
          <w:pPr>
            <w:pStyle w:val="TOC3"/>
            <w:tabs>
              <w:tab w:val="right" w:leader="dot" w:pos="9061"/>
            </w:tabs>
            <w:rPr>
              <w:rFonts w:eastAsiaTheme="minorEastAsia"/>
              <w:noProof/>
              <w:lang w:eastAsia="lv-LV"/>
            </w:rPr>
          </w:pPr>
          <w:hyperlink w:anchor="_Toc78372609" w:history="1">
            <w:r w:rsidR="00A21E41">
              <w:rPr>
                <w:rStyle w:val="Hyperlink"/>
                <w:rFonts w:ascii="Times New Roman" w:hAnsi="Times New Roman" w:cs="Times New Roman"/>
                <w:noProof/>
              </w:rPr>
              <w:t>1.3. Otrajā</w:t>
            </w:r>
            <w:r w:rsidR="00D04A63" w:rsidRPr="00D04A63">
              <w:rPr>
                <w:rStyle w:val="Hyperlink"/>
                <w:rFonts w:ascii="Times New Roman" w:hAnsi="Times New Roman" w:cs="Times New Roman"/>
                <w:noProof/>
              </w:rPr>
              <w:t xml:space="preserve"> rīcības virzienā iekļauto pasākumu izpilde</w:t>
            </w:r>
            <w:r w:rsidR="00D04A63" w:rsidRPr="00D04A63">
              <w:rPr>
                <w:noProof/>
                <w:webHidden/>
              </w:rPr>
              <w:tab/>
            </w:r>
            <w:r w:rsidR="00D04A63" w:rsidRPr="00D04A63">
              <w:rPr>
                <w:noProof/>
                <w:webHidden/>
              </w:rPr>
              <w:fldChar w:fldCharType="begin"/>
            </w:r>
            <w:r w:rsidR="00D04A63" w:rsidRPr="00D04A63">
              <w:rPr>
                <w:noProof/>
                <w:webHidden/>
              </w:rPr>
              <w:instrText xml:space="preserve"> PAGEREF _Toc78372609 \h </w:instrText>
            </w:r>
            <w:r w:rsidR="00D04A63" w:rsidRPr="00D04A63">
              <w:rPr>
                <w:noProof/>
                <w:webHidden/>
              </w:rPr>
            </w:r>
            <w:r w:rsidR="00D04A63" w:rsidRPr="00D04A63">
              <w:rPr>
                <w:noProof/>
                <w:webHidden/>
              </w:rPr>
              <w:fldChar w:fldCharType="separate"/>
            </w:r>
            <w:r w:rsidR="00D04A63" w:rsidRPr="00D04A63">
              <w:rPr>
                <w:noProof/>
                <w:webHidden/>
              </w:rPr>
              <w:t>10</w:t>
            </w:r>
            <w:r w:rsidR="00D04A63" w:rsidRPr="00D04A63">
              <w:rPr>
                <w:noProof/>
                <w:webHidden/>
              </w:rPr>
              <w:fldChar w:fldCharType="end"/>
            </w:r>
          </w:hyperlink>
        </w:p>
        <w:p w14:paraId="0850C129" w14:textId="77777777" w:rsidR="00D04A63" w:rsidRPr="00D04A63" w:rsidRDefault="00FA6DB3">
          <w:pPr>
            <w:pStyle w:val="TOC3"/>
            <w:tabs>
              <w:tab w:val="right" w:leader="dot" w:pos="9061"/>
            </w:tabs>
            <w:rPr>
              <w:rFonts w:eastAsiaTheme="minorEastAsia"/>
              <w:noProof/>
              <w:lang w:eastAsia="lv-LV"/>
            </w:rPr>
          </w:pPr>
          <w:hyperlink w:anchor="_Toc78372610" w:history="1">
            <w:r w:rsidR="00D04A63" w:rsidRPr="00D04A63">
              <w:rPr>
                <w:rStyle w:val="Hyperlink"/>
                <w:rFonts w:ascii="Times New Roman" w:hAnsi="Times New Roman" w:cs="Times New Roman"/>
                <w:noProof/>
              </w:rPr>
              <w:t>1.4. Treš</w:t>
            </w:r>
            <w:r w:rsidR="00A21E41">
              <w:rPr>
                <w:rStyle w:val="Hyperlink"/>
                <w:rFonts w:ascii="Times New Roman" w:hAnsi="Times New Roman" w:cs="Times New Roman"/>
                <w:noProof/>
              </w:rPr>
              <w:t>aj</w:t>
            </w:r>
            <w:r w:rsidR="00D04A63" w:rsidRPr="00D04A63">
              <w:rPr>
                <w:rStyle w:val="Hyperlink"/>
                <w:rFonts w:ascii="Times New Roman" w:hAnsi="Times New Roman" w:cs="Times New Roman"/>
                <w:noProof/>
              </w:rPr>
              <w:t>ā rīcības virzienā iekļauto pasākumu izpilde</w:t>
            </w:r>
            <w:r w:rsidR="00D04A63" w:rsidRPr="00D04A63">
              <w:rPr>
                <w:noProof/>
                <w:webHidden/>
              </w:rPr>
              <w:tab/>
            </w:r>
            <w:r w:rsidR="00D04A63" w:rsidRPr="00D04A63">
              <w:rPr>
                <w:noProof/>
                <w:webHidden/>
              </w:rPr>
              <w:fldChar w:fldCharType="begin"/>
            </w:r>
            <w:r w:rsidR="00D04A63" w:rsidRPr="00D04A63">
              <w:rPr>
                <w:noProof/>
                <w:webHidden/>
              </w:rPr>
              <w:instrText xml:space="preserve"> PAGEREF _Toc78372610 \h </w:instrText>
            </w:r>
            <w:r w:rsidR="00D04A63" w:rsidRPr="00D04A63">
              <w:rPr>
                <w:noProof/>
                <w:webHidden/>
              </w:rPr>
            </w:r>
            <w:r w:rsidR="00D04A63" w:rsidRPr="00D04A63">
              <w:rPr>
                <w:noProof/>
                <w:webHidden/>
              </w:rPr>
              <w:fldChar w:fldCharType="separate"/>
            </w:r>
            <w:r w:rsidR="00D04A63" w:rsidRPr="00D04A63">
              <w:rPr>
                <w:noProof/>
                <w:webHidden/>
              </w:rPr>
              <w:t>11</w:t>
            </w:r>
            <w:r w:rsidR="00D04A63" w:rsidRPr="00D04A63">
              <w:rPr>
                <w:noProof/>
                <w:webHidden/>
              </w:rPr>
              <w:fldChar w:fldCharType="end"/>
            </w:r>
          </w:hyperlink>
        </w:p>
        <w:p w14:paraId="1D0F06D5" w14:textId="77777777" w:rsidR="00D04A63" w:rsidRDefault="00FA6DB3">
          <w:pPr>
            <w:pStyle w:val="TOC2"/>
            <w:rPr>
              <w:rFonts w:asciiTheme="minorHAnsi" w:eastAsiaTheme="minorEastAsia" w:hAnsiTheme="minorHAnsi" w:cstheme="minorBidi"/>
              <w:b w:val="0"/>
              <w:lang w:eastAsia="lv-LV"/>
            </w:rPr>
          </w:pPr>
          <w:hyperlink w:anchor="_Toc78372611" w:history="1">
            <w:r w:rsidR="00D04A63" w:rsidRPr="00675EAC">
              <w:rPr>
                <w:rStyle w:val="Hyperlink"/>
              </w:rPr>
              <w:t>2.</w:t>
            </w:r>
            <w:r w:rsidR="00D04A63">
              <w:rPr>
                <w:rFonts w:asciiTheme="minorHAnsi" w:eastAsiaTheme="minorEastAsia" w:hAnsiTheme="minorHAnsi" w:cstheme="minorBidi"/>
                <w:b w:val="0"/>
                <w:lang w:eastAsia="lv-LV"/>
              </w:rPr>
              <w:tab/>
            </w:r>
            <w:r w:rsidR="00D04A63" w:rsidRPr="00675EAC">
              <w:rPr>
                <w:rStyle w:val="Hyperlink"/>
              </w:rPr>
              <w:t>Plāna izpildei piesaistītais finansējums</w:t>
            </w:r>
            <w:r w:rsidR="00D04A63">
              <w:rPr>
                <w:webHidden/>
              </w:rPr>
              <w:tab/>
            </w:r>
            <w:r w:rsidR="00D04A63">
              <w:rPr>
                <w:webHidden/>
              </w:rPr>
              <w:fldChar w:fldCharType="begin"/>
            </w:r>
            <w:r w:rsidR="00D04A63">
              <w:rPr>
                <w:webHidden/>
              </w:rPr>
              <w:instrText xml:space="preserve"> PAGEREF _Toc78372611 \h </w:instrText>
            </w:r>
            <w:r w:rsidR="00D04A63">
              <w:rPr>
                <w:webHidden/>
              </w:rPr>
            </w:r>
            <w:r w:rsidR="00D04A63">
              <w:rPr>
                <w:webHidden/>
              </w:rPr>
              <w:fldChar w:fldCharType="separate"/>
            </w:r>
            <w:r w:rsidR="00D04A63">
              <w:rPr>
                <w:webHidden/>
              </w:rPr>
              <w:t>13</w:t>
            </w:r>
            <w:r w:rsidR="00D04A63">
              <w:rPr>
                <w:webHidden/>
              </w:rPr>
              <w:fldChar w:fldCharType="end"/>
            </w:r>
          </w:hyperlink>
        </w:p>
        <w:p w14:paraId="6485D10C" w14:textId="77777777" w:rsidR="00D04A63" w:rsidRDefault="00FA6DB3">
          <w:pPr>
            <w:pStyle w:val="TOC2"/>
            <w:rPr>
              <w:rFonts w:asciiTheme="minorHAnsi" w:eastAsiaTheme="minorEastAsia" w:hAnsiTheme="minorHAnsi" w:cstheme="minorBidi"/>
              <w:b w:val="0"/>
              <w:lang w:eastAsia="lv-LV"/>
            </w:rPr>
          </w:pPr>
          <w:hyperlink w:anchor="_Toc78372612" w:history="1">
            <w:r w:rsidR="00D04A63" w:rsidRPr="00675EAC">
              <w:rPr>
                <w:rStyle w:val="Hyperlink"/>
              </w:rPr>
              <w:t>Secinājumi</w:t>
            </w:r>
            <w:r w:rsidR="00D04A63">
              <w:rPr>
                <w:webHidden/>
              </w:rPr>
              <w:tab/>
            </w:r>
            <w:r w:rsidR="00D04A63">
              <w:rPr>
                <w:webHidden/>
              </w:rPr>
              <w:fldChar w:fldCharType="begin"/>
            </w:r>
            <w:r w:rsidR="00D04A63">
              <w:rPr>
                <w:webHidden/>
              </w:rPr>
              <w:instrText xml:space="preserve"> PAGEREF _Toc78372612 \h </w:instrText>
            </w:r>
            <w:r w:rsidR="00D04A63">
              <w:rPr>
                <w:webHidden/>
              </w:rPr>
            </w:r>
            <w:r w:rsidR="00D04A63">
              <w:rPr>
                <w:webHidden/>
              </w:rPr>
              <w:fldChar w:fldCharType="separate"/>
            </w:r>
            <w:r w:rsidR="00D04A63">
              <w:rPr>
                <w:webHidden/>
              </w:rPr>
              <w:t>15</w:t>
            </w:r>
            <w:r w:rsidR="00D04A63">
              <w:rPr>
                <w:webHidden/>
              </w:rPr>
              <w:fldChar w:fldCharType="end"/>
            </w:r>
          </w:hyperlink>
        </w:p>
        <w:p w14:paraId="7CB1B7FC" w14:textId="77777777" w:rsidR="00D04A63" w:rsidRDefault="00D04A63">
          <w:r w:rsidRPr="00D04A63">
            <w:rPr>
              <w:bCs/>
              <w:noProof/>
            </w:rPr>
            <w:fldChar w:fldCharType="end"/>
          </w:r>
        </w:p>
      </w:sdtContent>
    </w:sdt>
    <w:p w14:paraId="48EC3DB3" w14:textId="77777777" w:rsidR="00C73525" w:rsidRPr="00384026" w:rsidRDefault="00C73525" w:rsidP="00E62854">
      <w:pPr>
        <w:shd w:val="clear" w:color="auto" w:fill="FFFFFF"/>
        <w:spacing w:after="0" w:line="293" w:lineRule="atLeast"/>
        <w:ind w:firstLine="300"/>
        <w:jc w:val="both"/>
        <w:rPr>
          <w:rFonts w:ascii="Times New Roman" w:eastAsia="Times New Roman" w:hAnsi="Times New Roman" w:cs="Times New Roman"/>
          <w:b/>
          <w:bCs/>
          <w:sz w:val="24"/>
          <w:szCs w:val="24"/>
        </w:rPr>
        <w:sectPr w:rsidR="00C73525" w:rsidRPr="00384026" w:rsidSect="001422EB">
          <w:pgSz w:w="11906" w:h="16838"/>
          <w:pgMar w:top="1134" w:right="1134" w:bottom="1134" w:left="1701" w:header="709" w:footer="709" w:gutter="0"/>
          <w:cols w:space="708"/>
          <w:docGrid w:linePitch="360"/>
        </w:sectPr>
      </w:pPr>
    </w:p>
    <w:p w14:paraId="2A07DF4F" w14:textId="77777777" w:rsidR="00D04A63" w:rsidRDefault="00D04A63" w:rsidP="00E62854">
      <w:pPr>
        <w:shd w:val="clear" w:color="auto" w:fill="FFFFFF"/>
        <w:spacing w:after="0" w:line="293" w:lineRule="atLeast"/>
        <w:ind w:firstLine="300"/>
        <w:jc w:val="both"/>
        <w:rPr>
          <w:rFonts w:ascii="Times New Roman" w:eastAsia="Times New Roman" w:hAnsi="Times New Roman" w:cs="Times New Roman"/>
          <w:b/>
          <w:bCs/>
          <w:sz w:val="24"/>
          <w:szCs w:val="24"/>
        </w:rPr>
      </w:pPr>
    </w:p>
    <w:p w14:paraId="0B0EA707" w14:textId="77777777" w:rsidR="005B60BD" w:rsidRPr="00D04A63" w:rsidRDefault="005B60BD" w:rsidP="00D04A63">
      <w:pPr>
        <w:pStyle w:val="Heading2"/>
        <w:rPr>
          <w:rFonts w:ascii="Times New Roman" w:eastAsia="Times New Roman" w:hAnsi="Times New Roman" w:cs="Times New Roman"/>
          <w:b/>
          <w:color w:val="auto"/>
          <w:sz w:val="28"/>
          <w:szCs w:val="28"/>
        </w:rPr>
      </w:pPr>
      <w:bookmarkStart w:id="1" w:name="_Toc78372604"/>
      <w:r w:rsidRPr="00D04A63">
        <w:rPr>
          <w:rFonts w:ascii="Times New Roman" w:eastAsia="Times New Roman" w:hAnsi="Times New Roman" w:cs="Times New Roman"/>
          <w:b/>
          <w:color w:val="auto"/>
          <w:sz w:val="28"/>
          <w:szCs w:val="28"/>
        </w:rPr>
        <w:t>Izmantotie saīsinājumi un jēdzieni:</w:t>
      </w:r>
      <w:bookmarkEnd w:id="1"/>
    </w:p>
    <w:p w14:paraId="4C2A7C67" w14:textId="77777777" w:rsidR="009101FC" w:rsidRPr="00384026" w:rsidRDefault="009101FC" w:rsidP="00E62854">
      <w:pPr>
        <w:shd w:val="clear" w:color="auto" w:fill="FFFFFF"/>
        <w:spacing w:after="0" w:line="293" w:lineRule="atLeast"/>
        <w:ind w:firstLine="300"/>
        <w:jc w:val="both"/>
        <w:rPr>
          <w:rFonts w:ascii="Times New Roman" w:eastAsia="Times New Roman" w:hAnsi="Times New Roman" w:cs="Times New Roman"/>
          <w:b/>
          <w:bCs/>
          <w:sz w:val="24"/>
          <w:szCs w:val="24"/>
        </w:rPr>
      </w:pPr>
    </w:p>
    <w:p w14:paraId="14F3527D" w14:textId="77777777" w:rsidR="005B60BD" w:rsidRPr="00D04A63" w:rsidRDefault="005B60BD" w:rsidP="004964A3">
      <w:pPr>
        <w:pStyle w:val="ListParagraph"/>
        <w:numPr>
          <w:ilvl w:val="0"/>
          <w:numId w:val="17"/>
        </w:numPr>
        <w:shd w:val="clear" w:color="auto" w:fill="FFFFFF"/>
        <w:spacing w:before="120" w:after="0" w:line="293" w:lineRule="atLeast"/>
        <w:ind w:left="1015" w:hanging="357"/>
        <w:jc w:val="both"/>
        <w:rPr>
          <w:rFonts w:ascii="Times New Roman" w:eastAsia="Times New Roman" w:hAnsi="Times New Roman" w:cs="Times New Roman"/>
          <w:sz w:val="24"/>
          <w:szCs w:val="24"/>
        </w:rPr>
      </w:pPr>
      <w:r w:rsidRPr="00D04A63">
        <w:rPr>
          <w:rFonts w:ascii="Times New Roman" w:eastAsia="Times New Roman" w:hAnsi="Times New Roman" w:cs="Times New Roman"/>
          <w:b/>
          <w:bCs/>
          <w:sz w:val="24"/>
          <w:szCs w:val="24"/>
        </w:rPr>
        <w:t>EMCDDA</w:t>
      </w:r>
      <w:r w:rsidRPr="00D04A63">
        <w:rPr>
          <w:rFonts w:ascii="Times New Roman" w:eastAsia="Times New Roman" w:hAnsi="Times New Roman" w:cs="Times New Roman"/>
          <w:sz w:val="24"/>
          <w:szCs w:val="24"/>
        </w:rPr>
        <w:t> - Eiropas Narkotiku un narkomānijas uzraudzības centrs</w:t>
      </w:r>
    </w:p>
    <w:p w14:paraId="55B03B6F" w14:textId="77777777" w:rsidR="004964A3" w:rsidRPr="00D04A63" w:rsidRDefault="004964A3" w:rsidP="004964A3">
      <w:pPr>
        <w:pStyle w:val="ListParagraph"/>
        <w:numPr>
          <w:ilvl w:val="0"/>
          <w:numId w:val="17"/>
        </w:numPr>
        <w:shd w:val="clear" w:color="auto" w:fill="FFFFFF"/>
        <w:spacing w:before="120" w:after="0" w:line="293" w:lineRule="atLeast"/>
        <w:ind w:left="1015" w:hanging="357"/>
        <w:jc w:val="both"/>
        <w:rPr>
          <w:rFonts w:ascii="Times New Roman" w:eastAsia="Times New Roman" w:hAnsi="Times New Roman" w:cs="Times New Roman"/>
          <w:b/>
          <w:bCs/>
          <w:sz w:val="24"/>
          <w:szCs w:val="24"/>
        </w:rPr>
      </w:pPr>
      <w:r w:rsidRPr="00D04A63">
        <w:rPr>
          <w:rFonts w:ascii="Times New Roman" w:eastAsia="Times New Roman" w:hAnsi="Times New Roman" w:cs="Times New Roman"/>
          <w:b/>
          <w:bCs/>
          <w:sz w:val="24"/>
          <w:szCs w:val="24"/>
        </w:rPr>
        <w:t xml:space="preserve">ES – </w:t>
      </w:r>
      <w:r w:rsidRPr="00D04A63">
        <w:rPr>
          <w:rFonts w:ascii="Times New Roman" w:eastAsia="Times New Roman" w:hAnsi="Times New Roman" w:cs="Times New Roman"/>
          <w:bCs/>
          <w:sz w:val="24"/>
          <w:szCs w:val="24"/>
        </w:rPr>
        <w:t>Eiropas Savienība</w:t>
      </w:r>
    </w:p>
    <w:p w14:paraId="64E4E9BD" w14:textId="77777777" w:rsidR="009101FC" w:rsidRPr="00D04A63" w:rsidRDefault="009101FC" w:rsidP="004964A3">
      <w:pPr>
        <w:pStyle w:val="ListParagraph"/>
        <w:numPr>
          <w:ilvl w:val="0"/>
          <w:numId w:val="17"/>
        </w:numPr>
        <w:shd w:val="clear" w:color="auto" w:fill="FFFFFF"/>
        <w:spacing w:before="120" w:after="0" w:line="293" w:lineRule="atLeast"/>
        <w:ind w:left="1015" w:hanging="357"/>
        <w:jc w:val="both"/>
        <w:rPr>
          <w:rFonts w:ascii="Times New Roman" w:eastAsia="Times New Roman" w:hAnsi="Times New Roman" w:cs="Times New Roman"/>
          <w:b/>
          <w:bCs/>
          <w:sz w:val="24"/>
          <w:szCs w:val="24"/>
        </w:rPr>
      </w:pPr>
      <w:r w:rsidRPr="00D04A63">
        <w:rPr>
          <w:rFonts w:ascii="Times New Roman" w:eastAsia="Times New Roman" w:hAnsi="Times New Roman" w:cs="Times New Roman"/>
          <w:b/>
          <w:bCs/>
          <w:sz w:val="24"/>
          <w:szCs w:val="24"/>
        </w:rPr>
        <w:t>ESF</w:t>
      </w:r>
      <w:r w:rsidR="00E62854" w:rsidRPr="00D04A63">
        <w:rPr>
          <w:rFonts w:ascii="Times New Roman" w:eastAsia="Times New Roman" w:hAnsi="Times New Roman" w:cs="Times New Roman"/>
          <w:b/>
          <w:bCs/>
          <w:sz w:val="24"/>
          <w:szCs w:val="24"/>
        </w:rPr>
        <w:t xml:space="preserve"> – </w:t>
      </w:r>
      <w:r w:rsidR="00E62854" w:rsidRPr="00D04A63">
        <w:rPr>
          <w:rFonts w:ascii="Times New Roman" w:eastAsia="Times New Roman" w:hAnsi="Times New Roman" w:cs="Times New Roman"/>
          <w:bCs/>
          <w:sz w:val="24"/>
          <w:szCs w:val="24"/>
        </w:rPr>
        <w:t>Eiropas Sociālais fonds</w:t>
      </w:r>
    </w:p>
    <w:p w14:paraId="3CE7DE63" w14:textId="77777777" w:rsidR="009101FC" w:rsidRPr="00D04A63" w:rsidRDefault="009101FC" w:rsidP="004964A3">
      <w:pPr>
        <w:pStyle w:val="ListParagraph"/>
        <w:numPr>
          <w:ilvl w:val="0"/>
          <w:numId w:val="17"/>
        </w:numPr>
        <w:shd w:val="clear" w:color="auto" w:fill="FFFFFF"/>
        <w:spacing w:before="120" w:after="0" w:line="293" w:lineRule="atLeast"/>
        <w:ind w:left="1015" w:hanging="357"/>
        <w:jc w:val="both"/>
        <w:rPr>
          <w:rFonts w:ascii="Times New Roman" w:eastAsia="Times New Roman" w:hAnsi="Times New Roman" w:cs="Times New Roman"/>
          <w:b/>
          <w:bCs/>
          <w:sz w:val="24"/>
          <w:szCs w:val="24"/>
        </w:rPr>
      </w:pPr>
      <w:r w:rsidRPr="00D04A63">
        <w:rPr>
          <w:rFonts w:ascii="Times New Roman" w:eastAsia="Times New Roman" w:hAnsi="Times New Roman" w:cs="Times New Roman"/>
          <w:b/>
          <w:bCs/>
          <w:sz w:val="24"/>
          <w:szCs w:val="24"/>
        </w:rPr>
        <w:t>Vielu lietošanas traucējumi</w:t>
      </w:r>
      <w:r w:rsidR="00BE649C" w:rsidRPr="00D04A63">
        <w:rPr>
          <w:rFonts w:ascii="Times New Roman" w:eastAsia="Times New Roman" w:hAnsi="Times New Roman" w:cs="Times New Roman"/>
          <w:b/>
          <w:bCs/>
          <w:sz w:val="24"/>
          <w:szCs w:val="24"/>
        </w:rPr>
        <w:t xml:space="preserve"> </w:t>
      </w:r>
      <w:r w:rsidR="00BE649C" w:rsidRPr="00D04A63">
        <w:rPr>
          <w:rFonts w:ascii="Times New Roman" w:eastAsia="Times New Roman" w:hAnsi="Times New Roman" w:cs="Times New Roman"/>
          <w:bCs/>
          <w:sz w:val="24"/>
          <w:szCs w:val="24"/>
        </w:rPr>
        <w:t>(</w:t>
      </w:r>
      <w:r w:rsidR="00BE649C" w:rsidRPr="00D04A63">
        <w:rPr>
          <w:rFonts w:ascii="Times New Roman" w:eastAsia="Times New Roman" w:hAnsi="Times New Roman" w:cs="Times New Roman"/>
          <w:bCs/>
          <w:i/>
          <w:sz w:val="24"/>
          <w:szCs w:val="24"/>
        </w:rPr>
        <w:t>substance use disorders - SUD</w:t>
      </w:r>
      <w:r w:rsidR="00BE649C" w:rsidRPr="00D04A63">
        <w:rPr>
          <w:rFonts w:ascii="Times New Roman" w:eastAsia="Times New Roman" w:hAnsi="Times New Roman" w:cs="Times New Roman"/>
          <w:bCs/>
          <w:sz w:val="24"/>
          <w:szCs w:val="24"/>
        </w:rPr>
        <w:t>)</w:t>
      </w:r>
      <w:r w:rsidRPr="00D04A63">
        <w:rPr>
          <w:rFonts w:ascii="Times New Roman" w:eastAsia="Times New Roman" w:hAnsi="Times New Roman" w:cs="Times New Roman"/>
          <w:b/>
          <w:bCs/>
          <w:sz w:val="24"/>
          <w:szCs w:val="24"/>
        </w:rPr>
        <w:t xml:space="preserve"> – </w:t>
      </w:r>
      <w:r w:rsidR="00AD635F" w:rsidRPr="00D04A63">
        <w:rPr>
          <w:rFonts w:ascii="Times New Roman" w:eastAsia="Times New Roman" w:hAnsi="Times New Roman" w:cs="Times New Roman"/>
          <w:bCs/>
          <w:sz w:val="24"/>
          <w:szCs w:val="24"/>
        </w:rPr>
        <w:t>šajā ziņojumā attiecināms uz narkotisko vielu lietošanas traucējumiem atbilstoši 2016. gadā apstiprinā</w:t>
      </w:r>
      <w:r w:rsidR="00BE649C" w:rsidRPr="00D04A63">
        <w:rPr>
          <w:rFonts w:ascii="Times New Roman" w:eastAsia="Times New Roman" w:hAnsi="Times New Roman" w:cs="Times New Roman"/>
          <w:bCs/>
          <w:sz w:val="24"/>
          <w:szCs w:val="24"/>
        </w:rPr>
        <w:t>tajai</w:t>
      </w:r>
      <w:r w:rsidR="00AD635F" w:rsidRPr="00D04A63">
        <w:rPr>
          <w:rFonts w:ascii="Times New Roman" w:eastAsia="Times New Roman" w:hAnsi="Times New Roman" w:cs="Times New Roman"/>
          <w:bCs/>
          <w:sz w:val="24"/>
          <w:szCs w:val="24"/>
        </w:rPr>
        <w:t xml:space="preserve"> Amerikas Psihiatru asociācijas klas</w:t>
      </w:r>
      <w:r w:rsidR="00D72DF9" w:rsidRPr="00D04A63">
        <w:rPr>
          <w:rFonts w:ascii="Times New Roman" w:eastAsia="Times New Roman" w:hAnsi="Times New Roman" w:cs="Times New Roman"/>
          <w:bCs/>
          <w:sz w:val="24"/>
          <w:szCs w:val="24"/>
        </w:rPr>
        <w:t>ifikācijas sistēmas 5. redakcijai</w:t>
      </w:r>
      <w:r w:rsidR="00AD635F" w:rsidRPr="00D04A63">
        <w:rPr>
          <w:rFonts w:ascii="Times New Roman" w:eastAsia="Times New Roman" w:hAnsi="Times New Roman" w:cs="Times New Roman"/>
          <w:bCs/>
          <w:sz w:val="24"/>
          <w:szCs w:val="24"/>
        </w:rPr>
        <w:t xml:space="preserve"> (DSM-V) </w:t>
      </w:r>
    </w:p>
    <w:p w14:paraId="264B56EE" w14:textId="77777777" w:rsidR="005B60BD" w:rsidRPr="00D04A63" w:rsidRDefault="005B60BD" w:rsidP="004964A3">
      <w:pPr>
        <w:pStyle w:val="ListParagraph"/>
        <w:numPr>
          <w:ilvl w:val="0"/>
          <w:numId w:val="17"/>
        </w:numPr>
        <w:shd w:val="clear" w:color="auto" w:fill="FFFFFF"/>
        <w:spacing w:before="120" w:after="0" w:line="293" w:lineRule="atLeast"/>
        <w:ind w:left="1015" w:hanging="357"/>
        <w:jc w:val="both"/>
        <w:rPr>
          <w:rFonts w:ascii="Times New Roman" w:eastAsia="Times New Roman" w:hAnsi="Times New Roman" w:cs="Times New Roman"/>
          <w:sz w:val="24"/>
          <w:szCs w:val="24"/>
        </w:rPr>
      </w:pPr>
      <w:r w:rsidRPr="00D04A63">
        <w:rPr>
          <w:rFonts w:ascii="Times New Roman" w:eastAsia="Times New Roman" w:hAnsi="Times New Roman" w:cs="Times New Roman"/>
          <w:b/>
          <w:bCs/>
          <w:sz w:val="24"/>
          <w:szCs w:val="24"/>
        </w:rPr>
        <w:t>Kaitējuma mazināšana</w:t>
      </w:r>
      <w:r w:rsidRPr="00D04A63">
        <w:rPr>
          <w:rFonts w:ascii="Times New Roman" w:eastAsia="Times New Roman" w:hAnsi="Times New Roman" w:cs="Times New Roman"/>
          <w:sz w:val="24"/>
          <w:szCs w:val="24"/>
        </w:rPr>
        <w:t> - pasākumi un programmas, lai mazinātu nelabvēlīgas sekas uz veselību, ekonomiku un sociālo labklājību, kas saistītas ar narkotiku lietošanu</w:t>
      </w:r>
    </w:p>
    <w:p w14:paraId="3352AF92" w14:textId="77777777" w:rsidR="005B60BD" w:rsidRPr="00D04A63" w:rsidRDefault="005B60BD" w:rsidP="004964A3">
      <w:pPr>
        <w:pStyle w:val="ListParagraph"/>
        <w:numPr>
          <w:ilvl w:val="0"/>
          <w:numId w:val="17"/>
        </w:numPr>
        <w:shd w:val="clear" w:color="auto" w:fill="FFFFFF"/>
        <w:spacing w:before="120" w:after="0" w:line="293" w:lineRule="atLeast"/>
        <w:ind w:left="1015" w:hanging="357"/>
        <w:jc w:val="both"/>
        <w:rPr>
          <w:rFonts w:ascii="Times New Roman" w:eastAsia="Times New Roman" w:hAnsi="Times New Roman" w:cs="Times New Roman"/>
          <w:sz w:val="24"/>
          <w:szCs w:val="24"/>
        </w:rPr>
      </w:pPr>
      <w:r w:rsidRPr="00D04A63">
        <w:rPr>
          <w:rFonts w:ascii="Times New Roman" w:eastAsia="Times New Roman" w:hAnsi="Times New Roman" w:cs="Times New Roman"/>
          <w:b/>
          <w:bCs/>
          <w:sz w:val="24"/>
          <w:szCs w:val="24"/>
        </w:rPr>
        <w:t>Narkotika</w:t>
      </w:r>
      <w:r w:rsidR="00E62854" w:rsidRPr="00D04A63">
        <w:rPr>
          <w:rFonts w:ascii="Times New Roman" w:eastAsia="Times New Roman" w:hAnsi="Times New Roman" w:cs="Times New Roman"/>
          <w:sz w:val="24"/>
          <w:szCs w:val="24"/>
        </w:rPr>
        <w:t>s – Latvijā kontrolējamos sarakstos iekļautās narkotiskās un psihotropās vielas, kā arī jaunās psihoaktīvās vielas</w:t>
      </w:r>
    </w:p>
    <w:p w14:paraId="062635FB" w14:textId="77777777" w:rsidR="005B60BD" w:rsidRPr="00D04A63" w:rsidRDefault="005B60BD" w:rsidP="004964A3">
      <w:pPr>
        <w:pStyle w:val="ListParagraph"/>
        <w:numPr>
          <w:ilvl w:val="0"/>
          <w:numId w:val="17"/>
        </w:numPr>
        <w:shd w:val="clear" w:color="auto" w:fill="FFFFFF"/>
        <w:spacing w:before="120" w:after="0" w:line="293" w:lineRule="atLeast"/>
        <w:ind w:left="1015" w:hanging="357"/>
        <w:jc w:val="both"/>
        <w:rPr>
          <w:rFonts w:ascii="Times New Roman" w:eastAsia="Times New Roman" w:hAnsi="Times New Roman" w:cs="Times New Roman"/>
          <w:sz w:val="24"/>
          <w:szCs w:val="24"/>
        </w:rPr>
      </w:pPr>
      <w:r w:rsidRPr="00D04A63">
        <w:rPr>
          <w:rFonts w:ascii="Times New Roman" w:eastAsia="Times New Roman" w:hAnsi="Times New Roman" w:cs="Times New Roman"/>
          <w:b/>
          <w:bCs/>
          <w:sz w:val="24"/>
          <w:szCs w:val="24"/>
        </w:rPr>
        <w:t>NKNIKP</w:t>
      </w:r>
      <w:r w:rsidRPr="00D04A63">
        <w:rPr>
          <w:rFonts w:ascii="Times New Roman" w:eastAsia="Times New Roman" w:hAnsi="Times New Roman" w:cs="Times New Roman"/>
          <w:sz w:val="24"/>
          <w:szCs w:val="24"/>
        </w:rPr>
        <w:t> - Narkotiku kontroles un narkomānijas ierobežošanas koordinācijas padome</w:t>
      </w:r>
    </w:p>
    <w:p w14:paraId="02F18BAB" w14:textId="77777777" w:rsidR="00EA5C36" w:rsidRPr="00D04A63" w:rsidRDefault="00EA5C36" w:rsidP="00384026">
      <w:pPr>
        <w:pStyle w:val="ListParagraph"/>
        <w:numPr>
          <w:ilvl w:val="0"/>
          <w:numId w:val="17"/>
        </w:numPr>
        <w:shd w:val="clear" w:color="auto" w:fill="FFFFFF"/>
        <w:spacing w:before="120" w:after="0" w:line="293" w:lineRule="atLeast"/>
        <w:jc w:val="both"/>
        <w:rPr>
          <w:rFonts w:ascii="Times New Roman" w:eastAsia="Times New Roman" w:hAnsi="Times New Roman" w:cs="Times New Roman"/>
          <w:sz w:val="24"/>
          <w:szCs w:val="24"/>
        </w:rPr>
      </w:pPr>
      <w:r w:rsidRPr="00D04A63">
        <w:rPr>
          <w:rFonts w:ascii="Times New Roman" w:eastAsia="Times New Roman" w:hAnsi="Times New Roman" w:cs="Times New Roman"/>
          <w:b/>
          <w:bCs/>
          <w:sz w:val="24"/>
          <w:szCs w:val="24"/>
        </w:rPr>
        <w:t>PICS</w:t>
      </w:r>
      <w:r w:rsidR="00384026" w:rsidRPr="00D04A63">
        <w:rPr>
          <w:rFonts w:ascii="Times New Roman" w:eastAsia="Times New Roman" w:hAnsi="Times New Roman" w:cs="Times New Roman"/>
          <w:b/>
          <w:bCs/>
          <w:sz w:val="24"/>
          <w:szCs w:val="24"/>
        </w:rPr>
        <w:t xml:space="preserve"> – </w:t>
      </w:r>
      <w:r w:rsidR="00384026" w:rsidRPr="00D04A63">
        <w:rPr>
          <w:rFonts w:ascii="Times New Roman" w:eastAsia="Times New Roman" w:hAnsi="Times New Roman" w:cs="Times New Roman"/>
          <w:bCs/>
          <w:sz w:val="24"/>
          <w:szCs w:val="24"/>
        </w:rPr>
        <w:t>Prekursoru incidentu komunikācijas sistēma (</w:t>
      </w:r>
      <w:r w:rsidR="00384026" w:rsidRPr="00D04A63">
        <w:rPr>
          <w:rFonts w:ascii="Times New Roman" w:eastAsia="Times New Roman" w:hAnsi="Times New Roman" w:cs="Times New Roman"/>
          <w:bCs/>
          <w:i/>
          <w:sz w:val="24"/>
          <w:szCs w:val="24"/>
        </w:rPr>
        <w:t>Precursor Incident Communication System</w:t>
      </w:r>
      <w:r w:rsidR="00384026" w:rsidRPr="00D04A63">
        <w:rPr>
          <w:rFonts w:ascii="Times New Roman" w:eastAsia="Times New Roman" w:hAnsi="Times New Roman" w:cs="Times New Roman"/>
          <w:bCs/>
          <w:sz w:val="24"/>
          <w:szCs w:val="24"/>
        </w:rPr>
        <w:t>)</w:t>
      </w:r>
    </w:p>
    <w:p w14:paraId="0787DC6B" w14:textId="77777777" w:rsidR="00EA5C36" w:rsidRPr="00D04A63" w:rsidRDefault="00EA5C36" w:rsidP="004964A3">
      <w:pPr>
        <w:pStyle w:val="ListParagraph"/>
        <w:numPr>
          <w:ilvl w:val="0"/>
          <w:numId w:val="17"/>
        </w:numPr>
        <w:shd w:val="clear" w:color="auto" w:fill="FFFFFF"/>
        <w:spacing w:before="120" w:after="0" w:line="293" w:lineRule="atLeast"/>
        <w:ind w:left="1015" w:hanging="357"/>
        <w:jc w:val="both"/>
        <w:rPr>
          <w:rFonts w:ascii="Times New Roman" w:eastAsia="Times New Roman" w:hAnsi="Times New Roman" w:cs="Times New Roman"/>
          <w:sz w:val="24"/>
          <w:szCs w:val="24"/>
        </w:rPr>
      </w:pPr>
      <w:r w:rsidRPr="00D04A63">
        <w:rPr>
          <w:rFonts w:ascii="Times New Roman" w:eastAsia="Times New Roman" w:hAnsi="Times New Roman" w:cs="Times New Roman"/>
          <w:b/>
          <w:bCs/>
          <w:sz w:val="24"/>
          <w:szCs w:val="24"/>
        </w:rPr>
        <w:t>PEN</w:t>
      </w:r>
      <w:r w:rsidR="00384026" w:rsidRPr="00D04A63">
        <w:rPr>
          <w:rFonts w:ascii="Times New Roman" w:eastAsia="Times New Roman" w:hAnsi="Times New Roman" w:cs="Times New Roman"/>
          <w:b/>
          <w:bCs/>
          <w:sz w:val="24"/>
          <w:szCs w:val="24"/>
        </w:rPr>
        <w:t xml:space="preserve"> – </w:t>
      </w:r>
      <w:r w:rsidR="00384026" w:rsidRPr="00D04A63">
        <w:rPr>
          <w:rFonts w:ascii="Times New Roman" w:eastAsia="Times New Roman" w:hAnsi="Times New Roman" w:cs="Times New Roman"/>
          <w:bCs/>
          <w:sz w:val="24"/>
          <w:szCs w:val="24"/>
        </w:rPr>
        <w:t>Pirms eksporta ziņošanas sistēma (</w:t>
      </w:r>
      <w:r w:rsidR="00384026" w:rsidRPr="00D259DA">
        <w:rPr>
          <w:rFonts w:ascii="Times New Roman" w:hAnsi="Times New Roman" w:cs="Times New Roman"/>
          <w:i/>
          <w:sz w:val="24"/>
          <w:szCs w:val="24"/>
          <w:shd w:val="clear" w:color="auto" w:fill="FFFFFF"/>
        </w:rPr>
        <w:t>Pre-Export Notification</w:t>
      </w:r>
      <w:r w:rsidR="00384026" w:rsidRPr="00D04A63">
        <w:rPr>
          <w:rFonts w:ascii="Times New Roman" w:hAnsi="Times New Roman" w:cs="Times New Roman"/>
          <w:sz w:val="24"/>
          <w:szCs w:val="24"/>
          <w:shd w:val="clear" w:color="auto" w:fill="FFFFFF"/>
        </w:rPr>
        <w:t>)</w:t>
      </w:r>
    </w:p>
    <w:p w14:paraId="021F9852" w14:textId="5624B878" w:rsidR="005B60BD" w:rsidRDefault="005B60BD" w:rsidP="004964A3">
      <w:pPr>
        <w:pStyle w:val="ListParagraph"/>
        <w:numPr>
          <w:ilvl w:val="0"/>
          <w:numId w:val="17"/>
        </w:numPr>
        <w:shd w:val="clear" w:color="auto" w:fill="FFFFFF"/>
        <w:spacing w:before="120" w:after="0" w:line="293" w:lineRule="atLeast"/>
        <w:ind w:left="1015" w:hanging="357"/>
        <w:jc w:val="both"/>
        <w:rPr>
          <w:rFonts w:ascii="Times New Roman" w:eastAsia="Times New Roman" w:hAnsi="Times New Roman" w:cs="Times New Roman"/>
          <w:sz w:val="24"/>
          <w:szCs w:val="24"/>
        </w:rPr>
      </w:pPr>
      <w:r w:rsidRPr="00D04A63">
        <w:rPr>
          <w:rFonts w:ascii="Times New Roman" w:eastAsia="Times New Roman" w:hAnsi="Times New Roman" w:cs="Times New Roman"/>
          <w:b/>
          <w:bCs/>
          <w:sz w:val="24"/>
          <w:szCs w:val="24"/>
        </w:rPr>
        <w:t>Reitox</w:t>
      </w:r>
      <w:r w:rsidRPr="00D04A63">
        <w:rPr>
          <w:rFonts w:ascii="Times New Roman" w:eastAsia="Times New Roman" w:hAnsi="Times New Roman" w:cs="Times New Roman"/>
          <w:sz w:val="24"/>
          <w:szCs w:val="24"/>
        </w:rPr>
        <w:t> - Eiropas Narkotiku un narkomānijas uzraudzības centra informācijas tīkls</w:t>
      </w:r>
    </w:p>
    <w:p w14:paraId="59C5C52F" w14:textId="55A01E05" w:rsidR="00CB2FA2" w:rsidRPr="00D04A63" w:rsidRDefault="00CB2FA2" w:rsidP="004964A3">
      <w:pPr>
        <w:pStyle w:val="ListParagraph"/>
        <w:numPr>
          <w:ilvl w:val="0"/>
          <w:numId w:val="17"/>
        </w:numPr>
        <w:shd w:val="clear" w:color="auto" w:fill="FFFFFF"/>
        <w:spacing w:before="120" w:after="0" w:line="293" w:lineRule="atLeast"/>
        <w:ind w:left="1015" w:hanging="35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UNODC </w:t>
      </w:r>
      <w:r>
        <w:rPr>
          <w:rFonts w:ascii="Times New Roman" w:eastAsia="Times New Roman" w:hAnsi="Times New Roman" w:cs="Times New Roman"/>
          <w:sz w:val="24"/>
          <w:szCs w:val="24"/>
        </w:rPr>
        <w:t>– ANO Narkotiku un noziedzības novēršanas birojs</w:t>
      </w:r>
    </w:p>
    <w:p w14:paraId="112322AD" w14:textId="06744613" w:rsidR="009101FC" w:rsidRDefault="009101FC" w:rsidP="00E62854">
      <w:pPr>
        <w:jc w:val="both"/>
        <w:rPr>
          <w:rFonts w:ascii="Times New Roman" w:hAnsi="Times New Roman" w:cs="Times New Roman"/>
          <w:b/>
          <w:bCs/>
          <w:noProof/>
          <w:sz w:val="24"/>
          <w:szCs w:val="24"/>
          <w:lang w:eastAsia="lv-LV"/>
        </w:rPr>
      </w:pPr>
    </w:p>
    <w:p w14:paraId="35B0E8B2" w14:textId="77777777" w:rsidR="00CB2FA2" w:rsidRPr="00384026" w:rsidRDefault="00CB2FA2" w:rsidP="00E62854">
      <w:pPr>
        <w:jc w:val="both"/>
        <w:rPr>
          <w:rFonts w:ascii="Times New Roman" w:hAnsi="Times New Roman" w:cs="Times New Roman"/>
          <w:b/>
          <w:bCs/>
          <w:noProof/>
          <w:sz w:val="24"/>
          <w:szCs w:val="24"/>
          <w:lang w:eastAsia="lv-LV"/>
        </w:rPr>
        <w:sectPr w:rsidR="00CB2FA2" w:rsidRPr="00384026" w:rsidSect="001422EB">
          <w:pgSz w:w="11906" w:h="16838"/>
          <w:pgMar w:top="1134" w:right="1134" w:bottom="1134" w:left="1701" w:header="709" w:footer="709" w:gutter="0"/>
          <w:cols w:space="708"/>
          <w:docGrid w:linePitch="360"/>
        </w:sectPr>
      </w:pPr>
    </w:p>
    <w:p w14:paraId="0BF60778" w14:textId="77777777" w:rsidR="00A151A6" w:rsidRPr="00384026" w:rsidRDefault="00A151A6" w:rsidP="00A151A6">
      <w:pPr>
        <w:jc w:val="center"/>
        <w:rPr>
          <w:rFonts w:ascii="Times New Roman" w:hAnsi="Times New Roman" w:cs="Times New Roman"/>
          <w:b/>
          <w:bCs/>
          <w:noProof/>
          <w:color w:val="000000" w:themeColor="text1"/>
          <w:sz w:val="24"/>
          <w:szCs w:val="24"/>
          <w:lang w:eastAsia="lv-LV"/>
        </w:rPr>
      </w:pPr>
      <w:r w:rsidRPr="00384026">
        <w:rPr>
          <w:rFonts w:ascii="Times New Roman" w:hAnsi="Times New Roman" w:cs="Times New Roman"/>
          <w:b/>
          <w:bCs/>
          <w:noProof/>
          <w:color w:val="000000" w:themeColor="text1"/>
          <w:sz w:val="24"/>
          <w:szCs w:val="24"/>
          <w:lang w:eastAsia="lv-LV"/>
        </w:rPr>
        <w:lastRenderedPageBreak/>
        <w:t>Kopsavilkums</w:t>
      </w:r>
    </w:p>
    <w:p w14:paraId="78894822" w14:textId="77777777" w:rsidR="005B60BD" w:rsidRPr="00384026" w:rsidRDefault="005B60BD" w:rsidP="005B60BD">
      <w:pPr>
        <w:rPr>
          <w:rFonts w:ascii="Times New Roman" w:hAnsi="Times New Roman" w:cs="Times New Roman"/>
          <w:b/>
          <w:bCs/>
          <w:noProof/>
          <w:color w:val="000000" w:themeColor="text1"/>
          <w:sz w:val="24"/>
          <w:szCs w:val="24"/>
          <w:lang w:eastAsia="lv-LV"/>
        </w:rPr>
      </w:pPr>
    </w:p>
    <w:p w14:paraId="45A145EE" w14:textId="64D26C63" w:rsidR="00E5765F" w:rsidRPr="00384026" w:rsidRDefault="005B60BD" w:rsidP="00E217B6">
      <w:pPr>
        <w:spacing w:after="0"/>
        <w:ind w:firstLine="720"/>
        <w:jc w:val="both"/>
        <w:rPr>
          <w:rFonts w:ascii="Times New Roman" w:hAnsi="Times New Roman" w:cs="Times New Roman"/>
          <w:noProof/>
          <w:sz w:val="24"/>
          <w:szCs w:val="24"/>
          <w:lang w:eastAsia="lv-LV"/>
        </w:rPr>
      </w:pPr>
      <w:r w:rsidRPr="00384026">
        <w:rPr>
          <w:rFonts w:ascii="Times New Roman" w:hAnsi="Times New Roman" w:cs="Times New Roman"/>
          <w:noProof/>
          <w:sz w:val="24"/>
          <w:szCs w:val="24"/>
          <w:lang w:eastAsia="lv-LV"/>
        </w:rPr>
        <w:t>Saskaņā ar Ministru kabineta 2019. gada 17. jūlija rīkojuma Nr.</w:t>
      </w:r>
      <w:r w:rsidR="008757A6">
        <w:rPr>
          <w:rFonts w:ascii="Times New Roman" w:hAnsi="Times New Roman" w:cs="Times New Roman"/>
          <w:noProof/>
          <w:sz w:val="24"/>
          <w:szCs w:val="24"/>
          <w:lang w:eastAsia="lv-LV"/>
        </w:rPr>
        <w:t> </w:t>
      </w:r>
      <w:r w:rsidRPr="00384026">
        <w:rPr>
          <w:rFonts w:ascii="Times New Roman" w:hAnsi="Times New Roman" w:cs="Times New Roman"/>
          <w:noProof/>
          <w:sz w:val="24"/>
          <w:szCs w:val="24"/>
          <w:lang w:eastAsia="lv-LV"/>
        </w:rPr>
        <w:t>348 “Par Narkotiku lietošanas un izplatības lietošanas plānu 2019.</w:t>
      </w:r>
      <w:r w:rsidR="00CB2FA2">
        <w:rPr>
          <w:rFonts w:ascii="Times New Roman" w:hAnsi="Times New Roman" w:cs="Times New Roman"/>
          <w:noProof/>
          <w:sz w:val="24"/>
          <w:szCs w:val="24"/>
          <w:lang w:eastAsia="lv-LV"/>
        </w:rPr>
        <w:t xml:space="preserve"> </w:t>
      </w:r>
      <w:r w:rsidR="008757A6">
        <w:rPr>
          <w:rFonts w:ascii="Times New Roman" w:hAnsi="Times New Roman" w:cs="Times New Roman"/>
          <w:noProof/>
          <w:sz w:val="24"/>
          <w:szCs w:val="24"/>
          <w:lang w:eastAsia="lv-LV"/>
        </w:rPr>
        <w:t>-</w:t>
      </w:r>
      <w:r w:rsidR="00CB2FA2">
        <w:rPr>
          <w:rFonts w:ascii="Times New Roman" w:hAnsi="Times New Roman" w:cs="Times New Roman"/>
          <w:noProof/>
          <w:sz w:val="24"/>
          <w:szCs w:val="24"/>
          <w:lang w:eastAsia="lv-LV"/>
        </w:rPr>
        <w:t xml:space="preserve"> </w:t>
      </w:r>
      <w:r w:rsidRPr="00384026">
        <w:rPr>
          <w:rFonts w:ascii="Times New Roman" w:hAnsi="Times New Roman" w:cs="Times New Roman"/>
          <w:noProof/>
          <w:sz w:val="24"/>
          <w:szCs w:val="24"/>
          <w:lang w:eastAsia="lv-LV"/>
        </w:rPr>
        <w:t xml:space="preserve">2020. gadam” 6. punktu, Iekšlietu ministrija ir sagatavojusi informatīvo ziņojumu </w:t>
      </w:r>
      <w:r w:rsidR="00BE649C" w:rsidRPr="00384026">
        <w:rPr>
          <w:rFonts w:ascii="Times New Roman" w:hAnsi="Times New Roman" w:cs="Times New Roman"/>
          <w:noProof/>
          <w:sz w:val="24"/>
          <w:szCs w:val="24"/>
          <w:lang w:eastAsia="lv-LV"/>
        </w:rPr>
        <w:t>“P</w:t>
      </w:r>
      <w:r w:rsidRPr="00384026">
        <w:rPr>
          <w:rFonts w:ascii="Times New Roman" w:hAnsi="Times New Roman" w:cs="Times New Roman"/>
          <w:noProof/>
          <w:sz w:val="24"/>
          <w:szCs w:val="24"/>
          <w:lang w:eastAsia="lv-LV"/>
        </w:rPr>
        <w:t xml:space="preserve">ar Narkotiku lietošanas un izplatības </w:t>
      </w:r>
      <w:r w:rsidR="00D37EC0">
        <w:rPr>
          <w:rFonts w:ascii="Times New Roman" w:hAnsi="Times New Roman" w:cs="Times New Roman"/>
          <w:noProof/>
          <w:sz w:val="24"/>
          <w:szCs w:val="24"/>
          <w:lang w:eastAsia="lv-LV"/>
        </w:rPr>
        <w:t xml:space="preserve">ierobežošonas </w:t>
      </w:r>
      <w:r w:rsidRPr="00384026">
        <w:rPr>
          <w:rFonts w:ascii="Times New Roman" w:hAnsi="Times New Roman" w:cs="Times New Roman"/>
          <w:noProof/>
          <w:sz w:val="24"/>
          <w:szCs w:val="24"/>
          <w:lang w:eastAsia="lv-LV"/>
        </w:rPr>
        <w:t xml:space="preserve"> plāna 2019.</w:t>
      </w:r>
      <w:r w:rsidR="00CB2FA2">
        <w:rPr>
          <w:rFonts w:ascii="Times New Roman" w:hAnsi="Times New Roman" w:cs="Times New Roman"/>
          <w:noProof/>
          <w:sz w:val="24"/>
          <w:szCs w:val="24"/>
          <w:lang w:eastAsia="lv-LV"/>
        </w:rPr>
        <w:t xml:space="preserve"> </w:t>
      </w:r>
      <w:r w:rsidR="008757A6">
        <w:rPr>
          <w:rFonts w:ascii="Times New Roman" w:hAnsi="Times New Roman" w:cs="Times New Roman"/>
          <w:noProof/>
          <w:sz w:val="24"/>
          <w:szCs w:val="24"/>
          <w:lang w:eastAsia="lv-LV"/>
        </w:rPr>
        <w:t>-</w:t>
      </w:r>
      <w:r w:rsidR="00CB2FA2">
        <w:rPr>
          <w:rFonts w:ascii="Times New Roman" w:hAnsi="Times New Roman" w:cs="Times New Roman"/>
          <w:noProof/>
          <w:sz w:val="24"/>
          <w:szCs w:val="24"/>
          <w:lang w:eastAsia="lv-LV"/>
        </w:rPr>
        <w:t xml:space="preserve"> </w:t>
      </w:r>
      <w:r w:rsidRPr="00384026">
        <w:rPr>
          <w:rFonts w:ascii="Times New Roman" w:hAnsi="Times New Roman" w:cs="Times New Roman"/>
          <w:noProof/>
          <w:sz w:val="24"/>
          <w:szCs w:val="24"/>
          <w:lang w:eastAsia="lv-LV"/>
        </w:rPr>
        <w:t>2020. gadam izpildi</w:t>
      </w:r>
      <w:r w:rsidR="00BE649C" w:rsidRPr="00384026">
        <w:rPr>
          <w:rFonts w:ascii="Times New Roman" w:hAnsi="Times New Roman" w:cs="Times New Roman"/>
          <w:noProof/>
          <w:sz w:val="24"/>
          <w:szCs w:val="24"/>
          <w:lang w:eastAsia="lv-LV"/>
        </w:rPr>
        <w:t>”</w:t>
      </w:r>
      <w:r w:rsidR="00E5765F" w:rsidRPr="00384026">
        <w:rPr>
          <w:rFonts w:ascii="Times New Roman" w:hAnsi="Times New Roman" w:cs="Times New Roman"/>
          <w:noProof/>
          <w:sz w:val="24"/>
          <w:szCs w:val="24"/>
          <w:lang w:eastAsia="lv-LV"/>
        </w:rPr>
        <w:t>.</w:t>
      </w:r>
      <w:r w:rsidRPr="00384026">
        <w:rPr>
          <w:rFonts w:ascii="Times New Roman" w:hAnsi="Times New Roman" w:cs="Times New Roman"/>
          <w:noProof/>
          <w:sz w:val="24"/>
          <w:szCs w:val="24"/>
          <w:lang w:eastAsia="lv-LV"/>
        </w:rPr>
        <w:t xml:space="preserve">  </w:t>
      </w:r>
    </w:p>
    <w:p w14:paraId="570497FF" w14:textId="04A5FF01" w:rsidR="00E5765F" w:rsidRPr="00384026" w:rsidRDefault="00BE649C" w:rsidP="00E217B6">
      <w:pPr>
        <w:spacing w:after="0"/>
        <w:ind w:firstLine="720"/>
        <w:jc w:val="both"/>
        <w:rPr>
          <w:rFonts w:ascii="Times New Roman" w:hAnsi="Times New Roman" w:cs="Times New Roman"/>
          <w:noProof/>
          <w:sz w:val="24"/>
          <w:szCs w:val="24"/>
          <w:lang w:eastAsia="lv-LV"/>
        </w:rPr>
      </w:pPr>
      <w:r w:rsidRPr="00384026">
        <w:rPr>
          <w:rFonts w:ascii="Times New Roman" w:hAnsi="Times New Roman" w:cs="Times New Roman"/>
          <w:noProof/>
          <w:sz w:val="24"/>
          <w:szCs w:val="24"/>
          <w:lang w:eastAsia="lv-LV"/>
        </w:rPr>
        <w:t xml:space="preserve">Narkotiku lietošanas un izplatības </w:t>
      </w:r>
      <w:r w:rsidR="00D37EC0">
        <w:rPr>
          <w:rFonts w:ascii="Times New Roman" w:hAnsi="Times New Roman" w:cs="Times New Roman"/>
          <w:noProof/>
          <w:sz w:val="24"/>
          <w:szCs w:val="24"/>
          <w:lang w:eastAsia="lv-LV"/>
        </w:rPr>
        <w:t xml:space="preserve">ierobežošanas </w:t>
      </w:r>
      <w:r w:rsidRPr="00384026">
        <w:rPr>
          <w:rFonts w:ascii="Times New Roman" w:hAnsi="Times New Roman" w:cs="Times New Roman"/>
          <w:noProof/>
          <w:sz w:val="24"/>
          <w:szCs w:val="24"/>
          <w:lang w:eastAsia="lv-LV"/>
        </w:rPr>
        <w:t xml:space="preserve"> plāna 2019.</w:t>
      </w:r>
      <w:r w:rsidR="00CB2FA2">
        <w:rPr>
          <w:rFonts w:ascii="Times New Roman" w:hAnsi="Times New Roman" w:cs="Times New Roman"/>
          <w:noProof/>
          <w:sz w:val="24"/>
          <w:szCs w:val="24"/>
          <w:lang w:eastAsia="lv-LV"/>
        </w:rPr>
        <w:t xml:space="preserve"> </w:t>
      </w:r>
      <w:r w:rsidR="008757A6">
        <w:rPr>
          <w:rFonts w:ascii="Times New Roman" w:hAnsi="Times New Roman" w:cs="Times New Roman"/>
          <w:noProof/>
          <w:sz w:val="24"/>
          <w:szCs w:val="24"/>
          <w:lang w:eastAsia="lv-LV"/>
        </w:rPr>
        <w:t>-</w:t>
      </w:r>
      <w:r w:rsidR="00CB2FA2">
        <w:rPr>
          <w:rFonts w:ascii="Times New Roman" w:hAnsi="Times New Roman" w:cs="Times New Roman"/>
          <w:noProof/>
          <w:sz w:val="24"/>
          <w:szCs w:val="24"/>
          <w:lang w:eastAsia="lv-LV"/>
        </w:rPr>
        <w:t xml:space="preserve"> </w:t>
      </w:r>
      <w:r w:rsidRPr="00384026">
        <w:rPr>
          <w:rFonts w:ascii="Times New Roman" w:hAnsi="Times New Roman" w:cs="Times New Roman"/>
          <w:noProof/>
          <w:sz w:val="24"/>
          <w:szCs w:val="24"/>
          <w:lang w:eastAsia="lv-LV"/>
        </w:rPr>
        <w:t>2020. gadam (turpmāk - Plāns)</w:t>
      </w:r>
      <w:r w:rsidR="00E5765F" w:rsidRPr="00384026">
        <w:rPr>
          <w:rFonts w:ascii="Times New Roman" w:hAnsi="Times New Roman" w:cs="Times New Roman"/>
          <w:noProof/>
          <w:sz w:val="24"/>
          <w:szCs w:val="24"/>
          <w:lang w:eastAsia="lv-LV"/>
        </w:rPr>
        <w:t xml:space="preserve"> virsmērķis ir </w:t>
      </w:r>
      <w:r w:rsidR="00E5765F" w:rsidRPr="00384026">
        <w:rPr>
          <w:rFonts w:ascii="Times New Roman" w:hAnsi="Times New Roman" w:cs="Times New Roman"/>
          <w:sz w:val="24"/>
          <w:szCs w:val="24"/>
          <w:shd w:val="clear" w:color="auto" w:fill="FFFFFF"/>
        </w:rPr>
        <w:t xml:space="preserve">īstenot uz pierādījumiem balstītu narkotiku pieprasījuma un piedāvājuma samazināšanu, tai skaitā mazināt ar narkotiku lietošanu un izplatību saistītos veselības un sociālos </w:t>
      </w:r>
      <w:r w:rsidR="00E217B6" w:rsidRPr="00384026">
        <w:rPr>
          <w:rFonts w:ascii="Times New Roman" w:hAnsi="Times New Roman" w:cs="Times New Roman"/>
          <w:sz w:val="24"/>
          <w:szCs w:val="24"/>
          <w:shd w:val="clear" w:color="auto" w:fill="FFFFFF"/>
        </w:rPr>
        <w:t>riskus. Kopā plānā</w:t>
      </w:r>
      <w:r w:rsidR="00E5765F" w:rsidRPr="00384026">
        <w:rPr>
          <w:rFonts w:ascii="Times New Roman" w:hAnsi="Times New Roman" w:cs="Times New Roman"/>
          <w:sz w:val="24"/>
          <w:szCs w:val="24"/>
          <w:shd w:val="clear" w:color="auto" w:fill="FFFFFF"/>
        </w:rPr>
        <w:t xml:space="preserve"> iekļauti 28 pasākumi, kas iedalīti trīs rīcības virzienos:</w:t>
      </w:r>
    </w:p>
    <w:p w14:paraId="6647F7FD" w14:textId="77777777" w:rsidR="00E5765F" w:rsidRPr="00384026" w:rsidRDefault="00E5765F" w:rsidP="005F7A30">
      <w:pPr>
        <w:pStyle w:val="ListParagraph"/>
        <w:numPr>
          <w:ilvl w:val="0"/>
          <w:numId w:val="18"/>
        </w:numPr>
        <w:spacing w:after="0"/>
        <w:jc w:val="both"/>
        <w:rPr>
          <w:rFonts w:ascii="Times New Roman" w:hAnsi="Times New Roman" w:cs="Times New Roman"/>
          <w:noProof/>
          <w:sz w:val="24"/>
          <w:szCs w:val="24"/>
          <w:lang w:eastAsia="lv-LV"/>
        </w:rPr>
      </w:pPr>
      <w:r w:rsidRPr="00384026">
        <w:rPr>
          <w:rFonts w:ascii="Times New Roman" w:eastAsia="Times New Roman" w:hAnsi="Times New Roman" w:cs="Times New Roman"/>
          <w:sz w:val="24"/>
          <w:szCs w:val="24"/>
        </w:rPr>
        <w:t xml:space="preserve">Narkotiku </w:t>
      </w:r>
      <w:r w:rsidR="00AE3AE0" w:rsidRPr="00384026">
        <w:rPr>
          <w:rFonts w:ascii="Times New Roman" w:eastAsia="Times New Roman" w:hAnsi="Times New Roman" w:cs="Times New Roman"/>
          <w:sz w:val="24"/>
          <w:szCs w:val="24"/>
        </w:rPr>
        <w:t>lietošanas</w:t>
      </w:r>
      <w:r w:rsidRPr="00384026">
        <w:rPr>
          <w:rFonts w:ascii="Times New Roman" w:eastAsia="Times New Roman" w:hAnsi="Times New Roman" w:cs="Times New Roman"/>
          <w:sz w:val="24"/>
          <w:szCs w:val="24"/>
        </w:rPr>
        <w:t xml:space="preserve"> profilakses, atkarību ārstēšanas, sociālās rehabilitācijas un kaitējuma mazināšanas intervenču kvalitātes un pieejamības veicināšana;</w:t>
      </w:r>
    </w:p>
    <w:p w14:paraId="72018364" w14:textId="77777777" w:rsidR="00E5765F" w:rsidRPr="00384026" w:rsidRDefault="00E5765F" w:rsidP="005F7A30">
      <w:pPr>
        <w:pStyle w:val="ListParagraph"/>
        <w:numPr>
          <w:ilvl w:val="0"/>
          <w:numId w:val="18"/>
        </w:numPr>
        <w:spacing w:after="0"/>
        <w:jc w:val="both"/>
        <w:rPr>
          <w:rFonts w:ascii="Times New Roman" w:hAnsi="Times New Roman" w:cs="Times New Roman"/>
          <w:noProof/>
          <w:sz w:val="24"/>
          <w:szCs w:val="24"/>
          <w:lang w:eastAsia="lv-LV"/>
        </w:rPr>
      </w:pPr>
      <w:r w:rsidRPr="00384026">
        <w:rPr>
          <w:rFonts w:ascii="Times New Roman" w:eastAsia="Times New Roman" w:hAnsi="Times New Roman" w:cs="Times New Roman"/>
          <w:sz w:val="24"/>
          <w:szCs w:val="24"/>
        </w:rPr>
        <w:t>Narkotiku piedāvājuma un pieejamības samazināšana;</w:t>
      </w:r>
    </w:p>
    <w:p w14:paraId="3F1A9567" w14:textId="77777777" w:rsidR="00E5765F" w:rsidRPr="00384026" w:rsidRDefault="00E5765F" w:rsidP="005F7A30">
      <w:pPr>
        <w:pStyle w:val="ListParagraph"/>
        <w:numPr>
          <w:ilvl w:val="0"/>
          <w:numId w:val="18"/>
        </w:numPr>
        <w:spacing w:after="0"/>
        <w:jc w:val="both"/>
        <w:rPr>
          <w:rFonts w:ascii="Times New Roman" w:hAnsi="Times New Roman" w:cs="Times New Roman"/>
          <w:noProof/>
          <w:sz w:val="24"/>
          <w:szCs w:val="24"/>
          <w:lang w:eastAsia="lv-LV"/>
        </w:rPr>
      </w:pPr>
      <w:r w:rsidRPr="00384026">
        <w:rPr>
          <w:rFonts w:ascii="Times New Roman" w:eastAsia="Times New Roman" w:hAnsi="Times New Roman" w:cs="Times New Roman"/>
          <w:sz w:val="24"/>
          <w:szCs w:val="24"/>
        </w:rPr>
        <w:t>Politikas koordinācija, informācija, pētniecība, uzraudzība un izvērtēšana.</w:t>
      </w:r>
    </w:p>
    <w:p w14:paraId="79E276D7" w14:textId="77777777" w:rsidR="00E217B6" w:rsidRPr="00384026" w:rsidRDefault="00E217B6" w:rsidP="00E217B6">
      <w:pPr>
        <w:spacing w:after="0"/>
        <w:ind w:firstLine="720"/>
        <w:jc w:val="both"/>
        <w:rPr>
          <w:rFonts w:ascii="Times New Roman" w:hAnsi="Times New Roman" w:cs="Times New Roman"/>
          <w:noProof/>
          <w:sz w:val="24"/>
          <w:szCs w:val="24"/>
          <w:lang w:eastAsia="lv-LV"/>
        </w:rPr>
      </w:pPr>
    </w:p>
    <w:p w14:paraId="7FF621EB" w14:textId="2E377A62" w:rsidR="00E5765F" w:rsidRPr="00384026" w:rsidRDefault="005F7A30" w:rsidP="00E217B6">
      <w:pPr>
        <w:spacing w:after="0"/>
        <w:ind w:firstLine="720"/>
        <w:jc w:val="both"/>
        <w:rPr>
          <w:rFonts w:ascii="Times New Roman" w:hAnsi="Times New Roman" w:cs="Times New Roman"/>
          <w:noProof/>
          <w:sz w:val="24"/>
          <w:szCs w:val="24"/>
          <w:lang w:eastAsia="lv-LV"/>
        </w:rPr>
      </w:pPr>
      <w:r w:rsidRPr="00384026">
        <w:rPr>
          <w:rFonts w:ascii="Times New Roman" w:hAnsi="Times New Roman" w:cs="Times New Roman"/>
          <w:noProof/>
          <w:sz w:val="24"/>
          <w:szCs w:val="24"/>
          <w:lang w:eastAsia="lv-LV"/>
        </w:rPr>
        <w:t>Plāna izpildes i</w:t>
      </w:r>
      <w:r w:rsidR="00E5765F" w:rsidRPr="00384026">
        <w:rPr>
          <w:rFonts w:ascii="Times New Roman" w:hAnsi="Times New Roman" w:cs="Times New Roman"/>
          <w:noProof/>
          <w:sz w:val="24"/>
          <w:szCs w:val="24"/>
          <w:lang w:eastAsia="lv-LV"/>
        </w:rPr>
        <w:t>zvērtējuma rezult</w:t>
      </w:r>
      <w:r w:rsidR="00D72DF9" w:rsidRPr="00384026">
        <w:rPr>
          <w:rFonts w:ascii="Times New Roman" w:hAnsi="Times New Roman" w:cs="Times New Roman"/>
          <w:noProof/>
          <w:sz w:val="24"/>
          <w:szCs w:val="24"/>
          <w:lang w:eastAsia="lv-LV"/>
        </w:rPr>
        <w:t xml:space="preserve">āti kopumā parāda, ka </w:t>
      </w:r>
      <w:r w:rsidR="008C17EF" w:rsidRPr="00384026">
        <w:rPr>
          <w:rFonts w:ascii="Times New Roman" w:hAnsi="Times New Roman" w:cs="Times New Roman"/>
          <w:noProof/>
          <w:sz w:val="24"/>
          <w:szCs w:val="24"/>
          <w:lang w:eastAsia="lv-LV"/>
        </w:rPr>
        <w:t xml:space="preserve">nav </w:t>
      </w:r>
      <w:r w:rsidR="00D72DF9" w:rsidRPr="00384026">
        <w:rPr>
          <w:rFonts w:ascii="Times New Roman" w:hAnsi="Times New Roman" w:cs="Times New Roman"/>
          <w:noProof/>
          <w:sz w:val="24"/>
          <w:szCs w:val="24"/>
          <w:lang w:eastAsia="lv-LV"/>
        </w:rPr>
        <w:t xml:space="preserve">izpildīta </w:t>
      </w:r>
      <w:r w:rsidR="00E5765F" w:rsidRPr="00384026">
        <w:rPr>
          <w:rFonts w:ascii="Times New Roman" w:hAnsi="Times New Roman" w:cs="Times New Roman"/>
          <w:noProof/>
          <w:sz w:val="24"/>
          <w:szCs w:val="24"/>
          <w:lang w:eastAsia="lv-LV"/>
        </w:rPr>
        <w:t xml:space="preserve">trešā daļa </w:t>
      </w:r>
      <w:r w:rsidR="003968EB">
        <w:rPr>
          <w:rFonts w:ascii="Times New Roman" w:hAnsi="Times New Roman" w:cs="Times New Roman"/>
          <w:noProof/>
          <w:sz w:val="24"/>
          <w:szCs w:val="24"/>
          <w:lang w:eastAsia="lv-LV"/>
        </w:rPr>
        <w:t xml:space="preserve">iecerēto </w:t>
      </w:r>
      <w:r w:rsidR="00E5765F" w:rsidRPr="00384026">
        <w:rPr>
          <w:rFonts w:ascii="Times New Roman" w:hAnsi="Times New Roman" w:cs="Times New Roman"/>
          <w:noProof/>
          <w:sz w:val="24"/>
          <w:szCs w:val="24"/>
          <w:lang w:eastAsia="lv-LV"/>
        </w:rPr>
        <w:t>pasākumu. Nozīmīgāk</w:t>
      </w:r>
      <w:r w:rsidR="003968EB">
        <w:rPr>
          <w:rFonts w:ascii="Times New Roman" w:hAnsi="Times New Roman" w:cs="Times New Roman"/>
          <w:noProof/>
          <w:sz w:val="24"/>
          <w:szCs w:val="24"/>
          <w:lang w:eastAsia="lv-LV"/>
        </w:rPr>
        <w:t>ie</w:t>
      </w:r>
      <w:r w:rsidR="00E5765F" w:rsidRPr="00384026">
        <w:rPr>
          <w:rFonts w:ascii="Times New Roman" w:hAnsi="Times New Roman" w:cs="Times New Roman"/>
          <w:noProof/>
          <w:sz w:val="24"/>
          <w:szCs w:val="24"/>
          <w:lang w:eastAsia="lv-LV"/>
        </w:rPr>
        <w:t xml:space="preserve"> faktor</w:t>
      </w:r>
      <w:r w:rsidR="003968EB">
        <w:rPr>
          <w:rFonts w:ascii="Times New Roman" w:hAnsi="Times New Roman" w:cs="Times New Roman"/>
          <w:noProof/>
          <w:sz w:val="24"/>
          <w:szCs w:val="24"/>
          <w:lang w:eastAsia="lv-LV"/>
        </w:rPr>
        <w:t>i</w:t>
      </w:r>
      <w:r w:rsidR="00E5765F" w:rsidRPr="00384026">
        <w:rPr>
          <w:rFonts w:ascii="Times New Roman" w:hAnsi="Times New Roman" w:cs="Times New Roman"/>
          <w:noProof/>
          <w:sz w:val="24"/>
          <w:szCs w:val="24"/>
          <w:lang w:eastAsia="lv-LV"/>
        </w:rPr>
        <w:t xml:space="preserve"> pasākumu </w:t>
      </w:r>
      <w:r w:rsidR="00292E47" w:rsidRPr="00384026">
        <w:rPr>
          <w:rFonts w:ascii="Times New Roman" w:hAnsi="Times New Roman" w:cs="Times New Roman"/>
          <w:noProof/>
          <w:sz w:val="24"/>
          <w:szCs w:val="24"/>
          <w:lang w:eastAsia="lv-LV"/>
        </w:rPr>
        <w:t>ne</w:t>
      </w:r>
      <w:r w:rsidR="00E5765F" w:rsidRPr="00384026">
        <w:rPr>
          <w:rFonts w:ascii="Times New Roman" w:hAnsi="Times New Roman" w:cs="Times New Roman"/>
          <w:noProof/>
          <w:sz w:val="24"/>
          <w:szCs w:val="24"/>
          <w:lang w:eastAsia="lv-LV"/>
        </w:rPr>
        <w:t xml:space="preserve">izpildei ir </w:t>
      </w:r>
      <w:r w:rsidR="00292E47" w:rsidRPr="00384026">
        <w:rPr>
          <w:rFonts w:ascii="Times New Roman" w:hAnsi="Times New Roman" w:cs="Times New Roman"/>
          <w:noProof/>
          <w:sz w:val="24"/>
          <w:szCs w:val="24"/>
          <w:lang w:eastAsia="lv-LV"/>
        </w:rPr>
        <w:t xml:space="preserve">nepietiekams </w:t>
      </w:r>
      <w:r w:rsidR="00E5765F" w:rsidRPr="00384026">
        <w:rPr>
          <w:rFonts w:ascii="Times New Roman" w:hAnsi="Times New Roman" w:cs="Times New Roman"/>
          <w:noProof/>
          <w:sz w:val="24"/>
          <w:szCs w:val="24"/>
          <w:lang w:eastAsia="lv-LV"/>
        </w:rPr>
        <w:t>finansējums un cilvēkresurs</w:t>
      </w:r>
      <w:r w:rsidR="003968EB">
        <w:rPr>
          <w:rFonts w:ascii="Times New Roman" w:hAnsi="Times New Roman" w:cs="Times New Roman"/>
          <w:noProof/>
          <w:sz w:val="24"/>
          <w:szCs w:val="24"/>
          <w:lang w:eastAsia="lv-LV"/>
        </w:rPr>
        <w:t>u trūkum</w:t>
      </w:r>
      <w:r w:rsidR="00E5765F" w:rsidRPr="00384026">
        <w:rPr>
          <w:rFonts w:ascii="Times New Roman" w:hAnsi="Times New Roman" w:cs="Times New Roman"/>
          <w:noProof/>
          <w:sz w:val="24"/>
          <w:szCs w:val="24"/>
          <w:lang w:eastAsia="lv-LV"/>
        </w:rPr>
        <w:t xml:space="preserve">s. </w:t>
      </w:r>
      <w:r w:rsidR="00AE3AE0" w:rsidRPr="00384026">
        <w:rPr>
          <w:rFonts w:ascii="Times New Roman" w:hAnsi="Times New Roman" w:cs="Times New Roman"/>
          <w:noProof/>
          <w:sz w:val="24"/>
          <w:szCs w:val="24"/>
          <w:lang w:eastAsia="lv-LV"/>
        </w:rPr>
        <w:t>Plāna ietvaro</w:t>
      </w:r>
      <w:r w:rsidR="00036C9F" w:rsidRPr="00384026">
        <w:rPr>
          <w:rFonts w:ascii="Times New Roman" w:hAnsi="Times New Roman" w:cs="Times New Roman"/>
          <w:noProof/>
          <w:sz w:val="24"/>
          <w:szCs w:val="24"/>
          <w:lang w:eastAsia="lv-LV"/>
        </w:rPr>
        <w:t>s</w:t>
      </w:r>
      <w:r w:rsidR="00AE3AE0" w:rsidRPr="00384026">
        <w:rPr>
          <w:rFonts w:ascii="Times New Roman" w:hAnsi="Times New Roman" w:cs="Times New Roman"/>
          <w:noProof/>
          <w:sz w:val="24"/>
          <w:szCs w:val="24"/>
          <w:lang w:eastAsia="lv-LV"/>
        </w:rPr>
        <w:t xml:space="preserve"> tas </w:t>
      </w:r>
      <w:r w:rsidR="003968EB">
        <w:rPr>
          <w:rFonts w:ascii="Times New Roman" w:hAnsi="Times New Roman" w:cs="Times New Roman"/>
          <w:noProof/>
          <w:sz w:val="24"/>
          <w:szCs w:val="24"/>
          <w:lang w:eastAsia="lv-LV"/>
        </w:rPr>
        <w:t xml:space="preserve">īpaši </w:t>
      </w:r>
      <w:r w:rsidR="009A2D3E">
        <w:rPr>
          <w:rFonts w:ascii="Times New Roman" w:hAnsi="Times New Roman" w:cs="Times New Roman"/>
          <w:noProof/>
          <w:sz w:val="24"/>
          <w:szCs w:val="24"/>
          <w:lang w:eastAsia="lv-LV"/>
        </w:rPr>
        <w:t>redzams</w:t>
      </w:r>
      <w:r w:rsidR="00AE3AE0" w:rsidRPr="00384026">
        <w:rPr>
          <w:rFonts w:ascii="Times New Roman" w:hAnsi="Times New Roman" w:cs="Times New Roman"/>
          <w:noProof/>
          <w:sz w:val="24"/>
          <w:szCs w:val="24"/>
          <w:lang w:eastAsia="lv-LV"/>
        </w:rPr>
        <w:t xml:space="preserve"> ārstniecības pakalpojumu pieejamības uzlabošan</w:t>
      </w:r>
      <w:r w:rsidR="003968EB">
        <w:rPr>
          <w:rFonts w:ascii="Times New Roman" w:hAnsi="Times New Roman" w:cs="Times New Roman"/>
          <w:noProof/>
          <w:sz w:val="24"/>
          <w:szCs w:val="24"/>
          <w:lang w:eastAsia="lv-LV"/>
        </w:rPr>
        <w:t>ā</w:t>
      </w:r>
      <w:r w:rsidR="00D72DF9" w:rsidRPr="00384026">
        <w:rPr>
          <w:rFonts w:ascii="Times New Roman" w:hAnsi="Times New Roman" w:cs="Times New Roman"/>
          <w:noProof/>
          <w:sz w:val="24"/>
          <w:szCs w:val="24"/>
          <w:lang w:eastAsia="lv-LV"/>
        </w:rPr>
        <w:t xml:space="preserve"> un laboratoriju aprīkojumu pilnveidošan</w:t>
      </w:r>
      <w:r w:rsidR="003968EB">
        <w:rPr>
          <w:rFonts w:ascii="Times New Roman" w:hAnsi="Times New Roman" w:cs="Times New Roman"/>
          <w:noProof/>
          <w:sz w:val="24"/>
          <w:szCs w:val="24"/>
          <w:lang w:eastAsia="lv-LV"/>
        </w:rPr>
        <w:t>ā</w:t>
      </w:r>
      <w:r w:rsidR="00292E47" w:rsidRPr="00384026">
        <w:rPr>
          <w:rFonts w:ascii="Times New Roman" w:hAnsi="Times New Roman" w:cs="Times New Roman"/>
          <w:noProof/>
          <w:sz w:val="24"/>
          <w:szCs w:val="24"/>
          <w:lang w:eastAsia="lv-LV"/>
        </w:rPr>
        <w:t xml:space="preserve">. Tāpat </w:t>
      </w:r>
      <w:r w:rsidR="003968EB">
        <w:rPr>
          <w:rFonts w:ascii="Times New Roman" w:hAnsi="Times New Roman" w:cs="Times New Roman"/>
          <w:noProof/>
          <w:sz w:val="24"/>
          <w:szCs w:val="24"/>
          <w:lang w:eastAsia="lv-LV"/>
        </w:rPr>
        <w:t xml:space="preserve">atsevišķu </w:t>
      </w:r>
      <w:r w:rsidR="00292E47" w:rsidRPr="00384026">
        <w:rPr>
          <w:rFonts w:ascii="Times New Roman" w:hAnsi="Times New Roman" w:cs="Times New Roman"/>
          <w:noProof/>
          <w:sz w:val="24"/>
          <w:szCs w:val="24"/>
          <w:lang w:eastAsia="lv-LV"/>
        </w:rPr>
        <w:t>pasākumu</w:t>
      </w:r>
      <w:r w:rsidR="00AE3AE0" w:rsidRPr="00384026">
        <w:rPr>
          <w:rFonts w:ascii="Times New Roman" w:hAnsi="Times New Roman" w:cs="Times New Roman"/>
          <w:noProof/>
          <w:sz w:val="24"/>
          <w:szCs w:val="24"/>
          <w:lang w:eastAsia="lv-LV"/>
        </w:rPr>
        <w:t xml:space="preserve"> neizpilde ir saistīta ar Covid-19 </w:t>
      </w:r>
      <w:r w:rsidR="00292E47" w:rsidRPr="00384026">
        <w:rPr>
          <w:rFonts w:ascii="Times New Roman" w:hAnsi="Times New Roman" w:cs="Times New Roman"/>
          <w:noProof/>
          <w:sz w:val="24"/>
          <w:szCs w:val="24"/>
          <w:lang w:eastAsia="lv-LV"/>
        </w:rPr>
        <w:t>noteiktajiem ierobežoju</w:t>
      </w:r>
      <w:r w:rsidR="00036C9F" w:rsidRPr="00384026">
        <w:rPr>
          <w:rFonts w:ascii="Times New Roman" w:hAnsi="Times New Roman" w:cs="Times New Roman"/>
          <w:noProof/>
          <w:sz w:val="24"/>
          <w:szCs w:val="24"/>
          <w:lang w:eastAsia="lv-LV"/>
        </w:rPr>
        <w:t>miem</w:t>
      </w:r>
      <w:r w:rsidR="00AE3AE0" w:rsidRPr="00384026">
        <w:rPr>
          <w:rFonts w:ascii="Times New Roman" w:hAnsi="Times New Roman" w:cs="Times New Roman"/>
          <w:noProof/>
          <w:sz w:val="24"/>
          <w:szCs w:val="24"/>
          <w:lang w:eastAsia="lv-LV"/>
        </w:rPr>
        <w:t xml:space="preserve">, kas liedza organizēt dažādus klātienes pasākumus 2020. gadā un </w:t>
      </w:r>
      <w:r w:rsidR="003968EB">
        <w:rPr>
          <w:rFonts w:ascii="Times New Roman" w:hAnsi="Times New Roman" w:cs="Times New Roman"/>
          <w:noProof/>
          <w:sz w:val="24"/>
          <w:szCs w:val="24"/>
          <w:lang w:eastAsia="lv-LV"/>
        </w:rPr>
        <w:t>būtiski pārslogoja</w:t>
      </w:r>
      <w:r w:rsidR="003968EB" w:rsidRPr="00384026">
        <w:rPr>
          <w:rFonts w:ascii="Times New Roman" w:hAnsi="Times New Roman" w:cs="Times New Roman"/>
          <w:noProof/>
          <w:sz w:val="24"/>
          <w:szCs w:val="24"/>
          <w:lang w:eastAsia="lv-LV"/>
        </w:rPr>
        <w:t xml:space="preserve"> </w:t>
      </w:r>
      <w:r w:rsidR="00AE3AE0" w:rsidRPr="00384026">
        <w:rPr>
          <w:rFonts w:ascii="Times New Roman" w:hAnsi="Times New Roman" w:cs="Times New Roman"/>
          <w:noProof/>
          <w:sz w:val="24"/>
          <w:szCs w:val="24"/>
          <w:lang w:eastAsia="lv-LV"/>
        </w:rPr>
        <w:t xml:space="preserve">veselības </w:t>
      </w:r>
      <w:r w:rsidR="008311CE" w:rsidRPr="00384026">
        <w:rPr>
          <w:rFonts w:ascii="Times New Roman" w:hAnsi="Times New Roman" w:cs="Times New Roman"/>
          <w:noProof/>
          <w:sz w:val="24"/>
          <w:szCs w:val="24"/>
          <w:lang w:eastAsia="lv-LV"/>
        </w:rPr>
        <w:t>nozari. Arī šķietami maznozīmīgs</w:t>
      </w:r>
      <w:r w:rsidR="00AE3AE0" w:rsidRPr="00384026">
        <w:rPr>
          <w:rFonts w:ascii="Times New Roman" w:hAnsi="Times New Roman" w:cs="Times New Roman"/>
          <w:noProof/>
          <w:sz w:val="24"/>
          <w:szCs w:val="24"/>
          <w:lang w:eastAsia="lv-LV"/>
        </w:rPr>
        <w:t xml:space="preserve"> </w:t>
      </w:r>
      <w:r w:rsidR="00036C9F" w:rsidRPr="00384026">
        <w:rPr>
          <w:rFonts w:ascii="Times New Roman" w:hAnsi="Times New Roman" w:cs="Times New Roman"/>
          <w:noProof/>
          <w:sz w:val="24"/>
          <w:szCs w:val="24"/>
          <w:lang w:eastAsia="lv-LV"/>
        </w:rPr>
        <w:t>apstāklis kā</w:t>
      </w:r>
      <w:r w:rsidR="00AE3AE0" w:rsidRPr="00384026">
        <w:rPr>
          <w:rFonts w:ascii="Times New Roman" w:hAnsi="Times New Roman" w:cs="Times New Roman"/>
          <w:noProof/>
          <w:sz w:val="24"/>
          <w:szCs w:val="24"/>
          <w:lang w:eastAsia="lv-LV"/>
        </w:rPr>
        <w:t xml:space="preserve"> atbildīgā darbinieka ilgstoša prombūtne </w:t>
      </w:r>
      <w:r w:rsidR="00036C9F" w:rsidRPr="00384026">
        <w:rPr>
          <w:rFonts w:ascii="Times New Roman" w:hAnsi="Times New Roman" w:cs="Times New Roman"/>
          <w:noProof/>
          <w:sz w:val="24"/>
          <w:szCs w:val="24"/>
          <w:lang w:eastAsia="lv-LV"/>
        </w:rPr>
        <w:t>ir</w:t>
      </w:r>
      <w:r w:rsidR="00AE3AE0" w:rsidRPr="00384026">
        <w:rPr>
          <w:rFonts w:ascii="Times New Roman" w:hAnsi="Times New Roman" w:cs="Times New Roman"/>
          <w:noProof/>
          <w:sz w:val="24"/>
          <w:szCs w:val="24"/>
          <w:lang w:eastAsia="lv-LV"/>
        </w:rPr>
        <w:t xml:space="preserve"> iemesl</w:t>
      </w:r>
      <w:r w:rsidR="00036C9F" w:rsidRPr="00384026">
        <w:rPr>
          <w:rFonts w:ascii="Times New Roman" w:hAnsi="Times New Roman" w:cs="Times New Roman"/>
          <w:noProof/>
          <w:sz w:val="24"/>
          <w:szCs w:val="24"/>
          <w:lang w:eastAsia="lv-LV"/>
        </w:rPr>
        <w:t>s</w:t>
      </w:r>
      <w:r w:rsidR="00AE3AE0" w:rsidRPr="00384026">
        <w:rPr>
          <w:rFonts w:ascii="Times New Roman" w:hAnsi="Times New Roman" w:cs="Times New Roman"/>
          <w:noProof/>
          <w:sz w:val="24"/>
          <w:szCs w:val="24"/>
          <w:lang w:eastAsia="lv-LV"/>
        </w:rPr>
        <w:t xml:space="preserve"> dažu pasākumu neizpildei. </w:t>
      </w:r>
    </w:p>
    <w:p w14:paraId="2080327A" w14:textId="11A74CD6" w:rsidR="00036C9F" w:rsidRPr="00384026" w:rsidRDefault="00AE3AE0" w:rsidP="00E217B6">
      <w:pPr>
        <w:spacing w:after="0"/>
        <w:ind w:firstLine="720"/>
        <w:jc w:val="both"/>
        <w:rPr>
          <w:rFonts w:ascii="Times New Roman" w:hAnsi="Times New Roman" w:cs="Times New Roman"/>
          <w:sz w:val="24"/>
          <w:szCs w:val="24"/>
        </w:rPr>
      </w:pPr>
      <w:r w:rsidRPr="00384026">
        <w:rPr>
          <w:rFonts w:ascii="Times New Roman" w:eastAsia="Times New Roman" w:hAnsi="Times New Roman" w:cs="Times New Roman"/>
          <w:sz w:val="24"/>
          <w:szCs w:val="24"/>
        </w:rPr>
        <w:t>Kop</w:t>
      </w:r>
      <w:r w:rsidR="003968EB">
        <w:rPr>
          <w:rFonts w:ascii="Times New Roman" w:eastAsia="Times New Roman" w:hAnsi="Times New Roman" w:cs="Times New Roman"/>
          <w:sz w:val="24"/>
          <w:szCs w:val="24"/>
        </w:rPr>
        <w:t>um</w:t>
      </w:r>
      <w:r w:rsidR="00CB2FA2">
        <w:rPr>
          <w:rFonts w:ascii="Times New Roman" w:eastAsia="Times New Roman" w:hAnsi="Times New Roman" w:cs="Times New Roman"/>
          <w:sz w:val="24"/>
          <w:szCs w:val="24"/>
        </w:rPr>
        <w:t>ā Plānā noteikto</w:t>
      </w:r>
      <w:r w:rsidRPr="00384026">
        <w:rPr>
          <w:rFonts w:ascii="Times New Roman" w:eastAsia="Times New Roman" w:hAnsi="Times New Roman" w:cs="Times New Roman"/>
          <w:sz w:val="24"/>
          <w:szCs w:val="24"/>
        </w:rPr>
        <w:t xml:space="preserve"> </w:t>
      </w:r>
      <w:r w:rsidR="003968EB">
        <w:rPr>
          <w:rFonts w:ascii="Times New Roman" w:eastAsia="Times New Roman" w:hAnsi="Times New Roman" w:cs="Times New Roman"/>
          <w:sz w:val="24"/>
          <w:szCs w:val="24"/>
        </w:rPr>
        <w:t>pasākumu īstenošanai</w:t>
      </w:r>
      <w:r w:rsidR="003968EB" w:rsidRPr="00384026">
        <w:rPr>
          <w:rFonts w:ascii="Times New Roman" w:eastAsia="Times New Roman" w:hAnsi="Times New Roman" w:cs="Times New Roman"/>
          <w:sz w:val="24"/>
          <w:szCs w:val="24"/>
        </w:rPr>
        <w:t xml:space="preserve"> </w:t>
      </w:r>
      <w:r w:rsidRPr="00384026">
        <w:rPr>
          <w:rFonts w:ascii="Times New Roman" w:eastAsia="Times New Roman" w:hAnsi="Times New Roman" w:cs="Times New Roman"/>
          <w:sz w:val="24"/>
          <w:szCs w:val="24"/>
        </w:rPr>
        <w:t xml:space="preserve">tika pieprasīts papildu budžeta finansējums </w:t>
      </w:r>
      <w:r w:rsidRPr="00384026">
        <w:rPr>
          <w:rFonts w:ascii="Times New Roman" w:hAnsi="Times New Roman" w:cs="Times New Roman"/>
          <w:sz w:val="24"/>
          <w:szCs w:val="24"/>
        </w:rPr>
        <w:t>1 639 237 </w:t>
      </w:r>
      <w:r w:rsidRPr="00384026">
        <w:rPr>
          <w:rFonts w:ascii="Times New Roman" w:hAnsi="Times New Roman" w:cs="Times New Roman"/>
          <w:i/>
          <w:iCs/>
          <w:sz w:val="24"/>
          <w:szCs w:val="24"/>
        </w:rPr>
        <w:t>euro</w:t>
      </w:r>
      <w:r w:rsidRPr="00384026">
        <w:rPr>
          <w:rFonts w:ascii="Times New Roman" w:hAnsi="Times New Roman" w:cs="Times New Roman"/>
          <w:sz w:val="24"/>
          <w:szCs w:val="24"/>
        </w:rPr>
        <w:t xml:space="preserve"> apmērā, </w:t>
      </w:r>
      <w:r w:rsidR="00C427EC">
        <w:rPr>
          <w:rFonts w:ascii="Times New Roman" w:hAnsi="Times New Roman" w:cs="Times New Roman"/>
          <w:sz w:val="24"/>
          <w:szCs w:val="24"/>
        </w:rPr>
        <w:t xml:space="preserve">no kura pārskata periodā netika piešķirts </w:t>
      </w:r>
      <w:r w:rsidR="00CB2FA2">
        <w:rPr>
          <w:rFonts w:ascii="Times New Roman" w:hAnsi="Times New Roman" w:cs="Times New Roman"/>
          <w:sz w:val="24"/>
          <w:szCs w:val="24"/>
        </w:rPr>
        <w:t>finansējums</w:t>
      </w:r>
      <w:r w:rsidR="00C427EC">
        <w:rPr>
          <w:rFonts w:ascii="Times New Roman" w:hAnsi="Times New Roman" w:cs="Times New Roman"/>
          <w:sz w:val="24"/>
          <w:szCs w:val="24"/>
        </w:rPr>
        <w:t xml:space="preserve"> nevienam </w:t>
      </w:r>
      <w:r w:rsidR="00C427EC" w:rsidRPr="00605CE8">
        <w:rPr>
          <w:rFonts w:ascii="Times New Roman" w:hAnsi="Times New Roman" w:cs="Times New Roman"/>
          <w:sz w:val="24"/>
          <w:szCs w:val="24"/>
        </w:rPr>
        <w:t xml:space="preserve">pasākumam. </w:t>
      </w:r>
      <w:r w:rsidR="00605CE8">
        <w:rPr>
          <w:rFonts w:ascii="Times New Roman" w:hAnsi="Times New Roman" w:cs="Times New Roman"/>
          <w:sz w:val="24"/>
          <w:szCs w:val="24"/>
        </w:rPr>
        <w:t>Tādēļ,</w:t>
      </w:r>
      <w:r w:rsidR="00CB2FA2">
        <w:rPr>
          <w:rFonts w:ascii="Times New Roman" w:hAnsi="Times New Roman" w:cs="Times New Roman"/>
          <w:sz w:val="24"/>
          <w:szCs w:val="24"/>
        </w:rPr>
        <w:t xml:space="preserve"> lai nodrošinātu </w:t>
      </w:r>
      <w:r w:rsidR="00605CE8">
        <w:rPr>
          <w:rFonts w:ascii="Times New Roman" w:hAnsi="Times New Roman" w:cs="Times New Roman"/>
          <w:sz w:val="24"/>
          <w:szCs w:val="24"/>
        </w:rPr>
        <w:t>pasākumu izpildi</w:t>
      </w:r>
      <w:r w:rsidR="00CB2FA2">
        <w:rPr>
          <w:rFonts w:ascii="Times New Roman" w:hAnsi="Times New Roman" w:cs="Times New Roman"/>
          <w:sz w:val="24"/>
          <w:szCs w:val="24"/>
        </w:rPr>
        <w:t>,</w:t>
      </w:r>
      <w:r w:rsidR="00605CE8">
        <w:rPr>
          <w:rFonts w:ascii="Times New Roman" w:hAnsi="Times New Roman" w:cs="Times New Roman"/>
          <w:sz w:val="24"/>
          <w:szCs w:val="24"/>
        </w:rPr>
        <w:t xml:space="preserve"> finansējums tika piesaistīts no </w:t>
      </w:r>
      <w:r w:rsidR="00CB2FA2">
        <w:rPr>
          <w:rFonts w:ascii="Times New Roman" w:hAnsi="Times New Roman" w:cs="Times New Roman"/>
          <w:sz w:val="24"/>
          <w:szCs w:val="24"/>
        </w:rPr>
        <w:t>citiem finanšu avotiem, piemēram, Noziedzīgi iegūto līdzekļu konfiskācijas fonda un ESF</w:t>
      </w:r>
      <w:r w:rsidR="00605CE8">
        <w:rPr>
          <w:rFonts w:ascii="Times New Roman" w:hAnsi="Times New Roman" w:cs="Times New Roman"/>
          <w:sz w:val="24"/>
          <w:szCs w:val="24"/>
        </w:rPr>
        <w:t>.</w:t>
      </w:r>
      <w:r w:rsidR="00C427EC" w:rsidRPr="00605CE8">
        <w:rPr>
          <w:rFonts w:ascii="Times New Roman" w:hAnsi="Times New Roman" w:cs="Times New Roman"/>
          <w:sz w:val="24"/>
          <w:szCs w:val="24"/>
        </w:rPr>
        <w:t xml:space="preserve"> </w:t>
      </w:r>
      <w:r w:rsidR="00CB2FA2">
        <w:rPr>
          <w:rFonts w:ascii="Times New Roman" w:hAnsi="Times New Roman" w:cs="Times New Roman"/>
          <w:sz w:val="24"/>
          <w:szCs w:val="24"/>
        </w:rPr>
        <w:t xml:space="preserve">Savukārt situācijas izpēte tiek nodrošināta </w:t>
      </w:r>
      <w:r w:rsidR="00E83F0A" w:rsidRPr="00E83F0A">
        <w:rPr>
          <w:rFonts w:ascii="Times New Roman" w:hAnsi="Times New Roman" w:cs="Times New Roman"/>
          <w:sz w:val="24"/>
          <w:szCs w:val="24"/>
        </w:rPr>
        <w:t>no 70.06. budžeta apakšprogrammas “Narkotiku uzraudzības monitoringa fokālā</w:t>
      </w:r>
      <w:r w:rsidR="009A2D3E">
        <w:rPr>
          <w:rFonts w:ascii="Times New Roman" w:hAnsi="Times New Roman" w:cs="Times New Roman"/>
          <w:sz w:val="24"/>
          <w:szCs w:val="24"/>
        </w:rPr>
        <w:t xml:space="preserve"> punkta darbības nodrošināšana” </w:t>
      </w:r>
      <w:r w:rsidR="00E83F0A" w:rsidRPr="00E83F0A">
        <w:rPr>
          <w:rFonts w:ascii="Times New Roman" w:hAnsi="Times New Roman" w:cs="Times New Roman"/>
          <w:sz w:val="24"/>
          <w:szCs w:val="24"/>
        </w:rPr>
        <w:t>saskaņā ar granta līguma nosacījumiem, kas katru gadu ti</w:t>
      </w:r>
      <w:r w:rsidR="00E83F0A">
        <w:rPr>
          <w:rFonts w:ascii="Times New Roman" w:hAnsi="Times New Roman" w:cs="Times New Roman"/>
          <w:sz w:val="24"/>
          <w:szCs w:val="24"/>
        </w:rPr>
        <w:t>ek noslēgts starp EMCDDA un Slimību profilakses un kontroles centra.</w:t>
      </w:r>
    </w:p>
    <w:p w14:paraId="3D64EBE3" w14:textId="77777777" w:rsidR="00E83F0A" w:rsidRDefault="00E83F0A" w:rsidP="00E217B6">
      <w:pPr>
        <w:spacing w:after="0"/>
        <w:ind w:firstLine="720"/>
        <w:jc w:val="both"/>
        <w:rPr>
          <w:rFonts w:ascii="Times New Roman" w:hAnsi="Times New Roman" w:cs="Times New Roman"/>
          <w:noProof/>
          <w:sz w:val="24"/>
          <w:szCs w:val="24"/>
          <w:lang w:eastAsia="lv-LV"/>
        </w:rPr>
      </w:pPr>
    </w:p>
    <w:p w14:paraId="711D40C4" w14:textId="6CEC3973" w:rsidR="008D22AC" w:rsidRPr="00384026" w:rsidRDefault="00E83F0A" w:rsidP="00E217B6">
      <w:pPr>
        <w:spacing w:after="0"/>
        <w:ind w:firstLine="720"/>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I</w:t>
      </w:r>
      <w:r w:rsidR="00036C9F" w:rsidRPr="00384026">
        <w:rPr>
          <w:rFonts w:ascii="Times New Roman" w:hAnsi="Times New Roman" w:cs="Times New Roman"/>
          <w:noProof/>
          <w:sz w:val="24"/>
          <w:szCs w:val="24"/>
          <w:lang w:eastAsia="lv-LV"/>
        </w:rPr>
        <w:t>n</w:t>
      </w:r>
      <w:r w:rsidR="005F7A30" w:rsidRPr="00384026">
        <w:rPr>
          <w:rFonts w:ascii="Times New Roman" w:hAnsi="Times New Roman" w:cs="Times New Roman"/>
          <w:noProof/>
          <w:sz w:val="24"/>
          <w:szCs w:val="24"/>
          <w:lang w:eastAsia="lv-LV"/>
        </w:rPr>
        <w:t>formatīvais ziņojums veidots kā</w:t>
      </w:r>
      <w:r w:rsidR="00036C9F" w:rsidRPr="00384026">
        <w:rPr>
          <w:rFonts w:ascii="Times New Roman" w:hAnsi="Times New Roman" w:cs="Times New Roman"/>
          <w:noProof/>
          <w:sz w:val="24"/>
          <w:szCs w:val="24"/>
          <w:lang w:eastAsia="lv-LV"/>
        </w:rPr>
        <w:t xml:space="preserve"> iek</w:t>
      </w:r>
      <w:r w:rsidR="008D22AC" w:rsidRPr="00384026">
        <w:rPr>
          <w:rFonts w:ascii="Times New Roman" w:hAnsi="Times New Roman" w:cs="Times New Roman"/>
          <w:noProof/>
          <w:sz w:val="24"/>
          <w:szCs w:val="24"/>
          <w:lang w:eastAsia="lv-LV"/>
        </w:rPr>
        <w:t>šējais</w:t>
      </w:r>
      <w:r w:rsidR="00E217B6" w:rsidRPr="00384026">
        <w:rPr>
          <w:rFonts w:ascii="Times New Roman" w:hAnsi="Times New Roman" w:cs="Times New Roman"/>
          <w:noProof/>
          <w:sz w:val="24"/>
          <w:szCs w:val="24"/>
          <w:lang w:eastAsia="lv-LV"/>
        </w:rPr>
        <w:t xml:space="preserve"> procesa izvērtējums ar mērķi </w:t>
      </w:r>
      <w:r w:rsidR="00036C9F" w:rsidRPr="00384026">
        <w:rPr>
          <w:rFonts w:ascii="Times New Roman" w:hAnsi="Times New Roman" w:cs="Times New Roman"/>
          <w:noProof/>
          <w:sz w:val="24"/>
          <w:szCs w:val="24"/>
          <w:lang w:eastAsia="lv-LV"/>
        </w:rPr>
        <w:t xml:space="preserve"> </w:t>
      </w:r>
      <w:r w:rsidR="00E217B6" w:rsidRPr="00384026">
        <w:rPr>
          <w:rFonts w:ascii="Times New Roman" w:hAnsi="Times New Roman" w:cs="Times New Roman"/>
          <w:noProof/>
          <w:sz w:val="24"/>
          <w:szCs w:val="24"/>
          <w:lang w:eastAsia="lv-LV"/>
        </w:rPr>
        <w:t>noteikt</w:t>
      </w:r>
      <w:r w:rsidR="00036C9F" w:rsidRPr="00384026">
        <w:rPr>
          <w:rFonts w:ascii="Times New Roman" w:hAnsi="Times New Roman" w:cs="Times New Roman"/>
          <w:noProof/>
          <w:sz w:val="24"/>
          <w:szCs w:val="24"/>
          <w:lang w:eastAsia="lv-LV"/>
        </w:rPr>
        <w:t xml:space="preserve"> Plānā ie</w:t>
      </w:r>
      <w:r w:rsidR="002E6C82" w:rsidRPr="00384026">
        <w:rPr>
          <w:rFonts w:ascii="Times New Roman" w:hAnsi="Times New Roman" w:cs="Times New Roman"/>
          <w:noProof/>
          <w:sz w:val="24"/>
          <w:szCs w:val="24"/>
          <w:lang w:eastAsia="lv-LV"/>
        </w:rPr>
        <w:t>kļauto pasākumu izpildes līmeni</w:t>
      </w:r>
      <w:r w:rsidR="005F7A30" w:rsidRPr="00384026">
        <w:rPr>
          <w:rFonts w:ascii="Times New Roman" w:hAnsi="Times New Roman" w:cs="Times New Roman"/>
          <w:noProof/>
          <w:sz w:val="24"/>
          <w:szCs w:val="24"/>
          <w:lang w:eastAsia="lv-LV"/>
        </w:rPr>
        <w:t xml:space="preserve"> un</w:t>
      </w:r>
      <w:r w:rsidR="00036C9F" w:rsidRPr="00384026">
        <w:rPr>
          <w:rFonts w:ascii="Times New Roman" w:hAnsi="Times New Roman" w:cs="Times New Roman"/>
          <w:noProof/>
          <w:sz w:val="24"/>
          <w:szCs w:val="24"/>
          <w:lang w:eastAsia="lv-LV"/>
        </w:rPr>
        <w:t xml:space="preserve"> </w:t>
      </w:r>
      <w:r w:rsidR="002E6C82" w:rsidRPr="00384026">
        <w:rPr>
          <w:rFonts w:ascii="Times New Roman" w:hAnsi="Times New Roman" w:cs="Times New Roman"/>
          <w:noProof/>
          <w:sz w:val="24"/>
          <w:szCs w:val="24"/>
          <w:lang w:eastAsia="lv-LV"/>
        </w:rPr>
        <w:t>apzinā</w:t>
      </w:r>
      <w:r w:rsidR="00E217B6" w:rsidRPr="00384026">
        <w:rPr>
          <w:rFonts w:ascii="Times New Roman" w:hAnsi="Times New Roman" w:cs="Times New Roman"/>
          <w:noProof/>
          <w:sz w:val="24"/>
          <w:szCs w:val="24"/>
          <w:lang w:eastAsia="lv-LV"/>
        </w:rPr>
        <w:t xml:space="preserve">t </w:t>
      </w:r>
      <w:r w:rsidR="00036C9F" w:rsidRPr="00384026">
        <w:rPr>
          <w:rFonts w:ascii="Times New Roman" w:hAnsi="Times New Roman" w:cs="Times New Roman"/>
          <w:noProof/>
          <w:sz w:val="24"/>
          <w:szCs w:val="24"/>
          <w:lang w:eastAsia="lv-LV"/>
        </w:rPr>
        <w:t>pasākumu</w:t>
      </w:r>
      <w:r w:rsidR="005F7A30" w:rsidRPr="00384026">
        <w:rPr>
          <w:rFonts w:ascii="Times New Roman" w:hAnsi="Times New Roman" w:cs="Times New Roman"/>
          <w:noProof/>
          <w:sz w:val="24"/>
          <w:szCs w:val="24"/>
          <w:lang w:eastAsia="lv-LV"/>
        </w:rPr>
        <w:t xml:space="preserve"> izpildes</w:t>
      </w:r>
      <w:r w:rsidR="00036C9F" w:rsidRPr="00384026">
        <w:rPr>
          <w:rFonts w:ascii="Times New Roman" w:hAnsi="Times New Roman" w:cs="Times New Roman"/>
          <w:noProof/>
          <w:sz w:val="24"/>
          <w:szCs w:val="24"/>
          <w:lang w:eastAsia="lv-LV"/>
        </w:rPr>
        <w:t xml:space="preserve"> kavējoš</w:t>
      </w:r>
      <w:r w:rsidR="00E217B6" w:rsidRPr="00384026">
        <w:rPr>
          <w:rFonts w:ascii="Times New Roman" w:hAnsi="Times New Roman" w:cs="Times New Roman"/>
          <w:noProof/>
          <w:sz w:val="24"/>
          <w:szCs w:val="24"/>
          <w:lang w:eastAsia="lv-LV"/>
        </w:rPr>
        <w:t>os</w:t>
      </w:r>
      <w:r w:rsidR="00036C9F" w:rsidRPr="00384026">
        <w:rPr>
          <w:rFonts w:ascii="Times New Roman" w:hAnsi="Times New Roman" w:cs="Times New Roman"/>
          <w:noProof/>
          <w:sz w:val="24"/>
          <w:szCs w:val="24"/>
          <w:lang w:eastAsia="lv-LV"/>
        </w:rPr>
        <w:t xml:space="preserve"> un veicinoš</w:t>
      </w:r>
      <w:r w:rsidR="00E217B6" w:rsidRPr="00384026">
        <w:rPr>
          <w:rFonts w:ascii="Times New Roman" w:hAnsi="Times New Roman" w:cs="Times New Roman"/>
          <w:noProof/>
          <w:sz w:val="24"/>
          <w:szCs w:val="24"/>
          <w:lang w:eastAsia="lv-LV"/>
        </w:rPr>
        <w:t>os</w:t>
      </w:r>
      <w:r w:rsidR="00036C9F" w:rsidRPr="00384026">
        <w:rPr>
          <w:rFonts w:ascii="Times New Roman" w:hAnsi="Times New Roman" w:cs="Times New Roman"/>
          <w:noProof/>
          <w:sz w:val="24"/>
          <w:szCs w:val="24"/>
          <w:lang w:eastAsia="lv-LV"/>
        </w:rPr>
        <w:t xml:space="preserve"> </w:t>
      </w:r>
      <w:r w:rsidR="005F7A30" w:rsidRPr="00384026">
        <w:rPr>
          <w:rFonts w:ascii="Times New Roman" w:hAnsi="Times New Roman" w:cs="Times New Roman"/>
          <w:noProof/>
          <w:sz w:val="24"/>
          <w:szCs w:val="24"/>
          <w:lang w:eastAsia="lv-LV"/>
        </w:rPr>
        <w:t>apstākļus</w:t>
      </w:r>
      <w:r w:rsidR="008D22AC" w:rsidRPr="00384026">
        <w:rPr>
          <w:rFonts w:ascii="Times New Roman" w:hAnsi="Times New Roman" w:cs="Times New Roman"/>
          <w:noProof/>
          <w:sz w:val="24"/>
          <w:szCs w:val="24"/>
          <w:lang w:eastAsia="lv-LV"/>
        </w:rPr>
        <w:t>.</w:t>
      </w:r>
    </w:p>
    <w:p w14:paraId="0A4AA63A" w14:textId="77777777" w:rsidR="008D22AC" w:rsidRPr="00384026" w:rsidRDefault="00292E47" w:rsidP="00E217B6">
      <w:pPr>
        <w:spacing w:after="0"/>
        <w:ind w:firstLine="720"/>
        <w:jc w:val="both"/>
        <w:rPr>
          <w:rFonts w:ascii="Times New Roman" w:hAnsi="Times New Roman" w:cs="Times New Roman"/>
          <w:noProof/>
          <w:sz w:val="24"/>
          <w:szCs w:val="24"/>
          <w:lang w:eastAsia="lv-LV"/>
        </w:rPr>
        <w:sectPr w:rsidR="008D22AC" w:rsidRPr="00384026" w:rsidSect="001422EB">
          <w:pgSz w:w="11906" w:h="16838"/>
          <w:pgMar w:top="1134" w:right="1134" w:bottom="1134" w:left="1701" w:header="709" w:footer="709" w:gutter="0"/>
          <w:cols w:space="708"/>
          <w:docGrid w:linePitch="360"/>
        </w:sectPr>
      </w:pPr>
      <w:r w:rsidRPr="00384026">
        <w:rPr>
          <w:rFonts w:ascii="Times New Roman" w:hAnsi="Times New Roman" w:cs="Times New Roman"/>
          <w:noProof/>
          <w:sz w:val="24"/>
          <w:szCs w:val="24"/>
          <w:lang w:eastAsia="lv-LV"/>
        </w:rPr>
        <w:t>Savarīgākie</w:t>
      </w:r>
      <w:r w:rsidR="008D22AC" w:rsidRPr="00384026">
        <w:rPr>
          <w:rFonts w:ascii="Times New Roman" w:hAnsi="Times New Roman" w:cs="Times New Roman"/>
          <w:noProof/>
          <w:sz w:val="24"/>
          <w:szCs w:val="24"/>
          <w:lang w:eastAsia="lv-LV"/>
        </w:rPr>
        <w:t xml:space="preserve"> secinājumi kospavilkuma veidā iekļauti inform</w:t>
      </w:r>
      <w:r w:rsidR="00E217B6" w:rsidRPr="00384026">
        <w:rPr>
          <w:rFonts w:ascii="Times New Roman" w:hAnsi="Times New Roman" w:cs="Times New Roman"/>
          <w:noProof/>
          <w:sz w:val="24"/>
          <w:szCs w:val="24"/>
          <w:lang w:eastAsia="lv-LV"/>
        </w:rPr>
        <w:t>atīvā ziņojuma pamattekstā, bet detalizēts</w:t>
      </w:r>
      <w:r w:rsidR="008D22AC" w:rsidRPr="00384026">
        <w:rPr>
          <w:rFonts w:ascii="Times New Roman" w:hAnsi="Times New Roman" w:cs="Times New Roman"/>
          <w:noProof/>
          <w:sz w:val="24"/>
          <w:szCs w:val="24"/>
          <w:lang w:eastAsia="lv-LV"/>
        </w:rPr>
        <w:t xml:space="preserve"> katra uzdevuma izpildes apraksts ir atrodams šī ziņojuma pielikumā. </w:t>
      </w:r>
    </w:p>
    <w:p w14:paraId="6CD7BED5" w14:textId="77777777" w:rsidR="00EF014D" w:rsidRPr="00384026" w:rsidRDefault="003F32BC" w:rsidP="00427CC3">
      <w:pPr>
        <w:pStyle w:val="Heading2"/>
        <w:jc w:val="center"/>
        <w:rPr>
          <w:rFonts w:ascii="Times New Roman" w:hAnsi="Times New Roman" w:cs="Times New Roman"/>
          <w:b/>
          <w:bCs/>
          <w:noProof/>
          <w:color w:val="auto"/>
          <w:sz w:val="28"/>
          <w:szCs w:val="28"/>
          <w:lang w:eastAsia="lv-LV"/>
        </w:rPr>
      </w:pPr>
      <w:bookmarkStart w:id="2" w:name="_Toc78372605"/>
      <w:r w:rsidRPr="00384026">
        <w:rPr>
          <w:rFonts w:ascii="Times New Roman" w:hAnsi="Times New Roman" w:cs="Times New Roman"/>
          <w:b/>
          <w:bCs/>
          <w:noProof/>
          <w:color w:val="auto"/>
          <w:sz w:val="28"/>
          <w:szCs w:val="28"/>
          <w:lang w:eastAsia="lv-LV"/>
        </w:rPr>
        <w:lastRenderedPageBreak/>
        <w:t>Ievads</w:t>
      </w:r>
      <w:bookmarkEnd w:id="2"/>
    </w:p>
    <w:p w14:paraId="2BC0E153" w14:textId="77777777" w:rsidR="00E217B6" w:rsidRPr="00384026" w:rsidRDefault="00E217B6" w:rsidP="00E217B6">
      <w:pPr>
        <w:rPr>
          <w:rFonts w:ascii="Times New Roman" w:hAnsi="Times New Roman" w:cs="Times New Roman"/>
          <w:lang w:eastAsia="lv-LV"/>
        </w:rPr>
      </w:pPr>
    </w:p>
    <w:p w14:paraId="2190EF04" w14:textId="416A9A1A" w:rsidR="003F32BC" w:rsidRPr="00384026" w:rsidRDefault="00851883" w:rsidP="00FC4A58">
      <w:pPr>
        <w:spacing w:after="0" w:line="276" w:lineRule="auto"/>
        <w:ind w:firstLine="720"/>
        <w:jc w:val="both"/>
        <w:rPr>
          <w:rFonts w:ascii="Times New Roman" w:hAnsi="Times New Roman" w:cs="Times New Roman"/>
          <w:color w:val="000000" w:themeColor="text1"/>
          <w:sz w:val="24"/>
          <w:szCs w:val="24"/>
          <w:shd w:val="clear" w:color="auto" w:fill="FFFFFF"/>
        </w:rPr>
      </w:pPr>
      <w:r w:rsidRPr="00384026">
        <w:rPr>
          <w:rFonts w:ascii="Times New Roman" w:hAnsi="Times New Roman" w:cs="Times New Roman"/>
          <w:color w:val="000000" w:themeColor="text1"/>
          <w:sz w:val="24"/>
          <w:szCs w:val="24"/>
          <w:shd w:val="clear" w:color="auto" w:fill="FFFFFF"/>
        </w:rPr>
        <w:t>Narkotiku lietošanas un izplatības ierobežošanas plāns 2019.</w:t>
      </w:r>
      <w:r w:rsidR="00D81AEA">
        <w:rPr>
          <w:rFonts w:ascii="Times New Roman" w:hAnsi="Times New Roman" w:cs="Times New Roman"/>
          <w:color w:val="000000" w:themeColor="text1"/>
          <w:sz w:val="24"/>
          <w:szCs w:val="24"/>
          <w:shd w:val="clear" w:color="auto" w:fill="FFFFFF"/>
        </w:rPr>
        <w:t xml:space="preserve"> </w:t>
      </w:r>
      <w:r w:rsidRPr="00384026">
        <w:rPr>
          <w:rFonts w:ascii="Times New Roman" w:hAnsi="Times New Roman" w:cs="Times New Roman"/>
          <w:color w:val="000000" w:themeColor="text1"/>
          <w:sz w:val="24"/>
          <w:szCs w:val="24"/>
          <w:shd w:val="clear" w:color="auto" w:fill="FFFFFF"/>
        </w:rPr>
        <w:t>-</w:t>
      </w:r>
      <w:r w:rsidR="00D81AEA">
        <w:rPr>
          <w:rFonts w:ascii="Times New Roman" w:hAnsi="Times New Roman" w:cs="Times New Roman"/>
          <w:color w:val="000000" w:themeColor="text1"/>
          <w:sz w:val="24"/>
          <w:szCs w:val="24"/>
          <w:shd w:val="clear" w:color="auto" w:fill="FFFFFF"/>
        </w:rPr>
        <w:t xml:space="preserve"> </w:t>
      </w:r>
      <w:r w:rsidRPr="00384026">
        <w:rPr>
          <w:rFonts w:ascii="Times New Roman" w:hAnsi="Times New Roman" w:cs="Times New Roman"/>
          <w:color w:val="000000" w:themeColor="text1"/>
          <w:sz w:val="24"/>
          <w:szCs w:val="24"/>
          <w:shd w:val="clear" w:color="auto" w:fill="FFFFFF"/>
        </w:rPr>
        <w:t>2020.</w:t>
      </w:r>
      <w:r w:rsidR="00E217B6" w:rsidRPr="00384026">
        <w:rPr>
          <w:rFonts w:ascii="Times New Roman" w:hAnsi="Times New Roman" w:cs="Times New Roman"/>
          <w:color w:val="000000" w:themeColor="text1"/>
          <w:sz w:val="24"/>
          <w:szCs w:val="24"/>
          <w:shd w:val="clear" w:color="auto" w:fill="FFFFFF"/>
        </w:rPr>
        <w:t> </w:t>
      </w:r>
      <w:r w:rsidR="00C73525" w:rsidRPr="00384026">
        <w:rPr>
          <w:rFonts w:ascii="Times New Roman" w:hAnsi="Times New Roman" w:cs="Times New Roman"/>
          <w:color w:val="000000" w:themeColor="text1"/>
          <w:sz w:val="24"/>
          <w:szCs w:val="24"/>
          <w:shd w:val="clear" w:color="auto" w:fill="FFFFFF"/>
        </w:rPr>
        <w:t xml:space="preserve">gadam </w:t>
      </w:r>
      <w:r w:rsidRPr="00384026">
        <w:rPr>
          <w:rFonts w:ascii="Times New Roman" w:hAnsi="Times New Roman" w:cs="Times New Roman"/>
          <w:color w:val="000000" w:themeColor="text1"/>
          <w:sz w:val="24"/>
          <w:szCs w:val="24"/>
          <w:shd w:val="clear" w:color="auto" w:fill="FFFFFF"/>
        </w:rPr>
        <w:t>ir attīstības plānošanas dokuments, kas izstrādāts, lai turpinātu Narkotisko un psihotropo vielu un to atkarības izplatības ierobežošanas un kontroles pamatnostādnēs 2011.- 2017. gadam izvirzītos mērķus. Ievērojot Ministru kabineta 2014. gada 2. decembra noteikumu Nr. 737 "</w:t>
      </w:r>
      <w:hyperlink r:id="rId14" w:tgtFrame="_blank" w:history="1">
        <w:r w:rsidRPr="00384026">
          <w:rPr>
            <w:rStyle w:val="Hyperlink"/>
            <w:rFonts w:ascii="Times New Roman" w:hAnsi="Times New Roman" w:cs="Times New Roman"/>
            <w:color w:val="000000" w:themeColor="text1"/>
            <w:sz w:val="24"/>
            <w:szCs w:val="24"/>
            <w:u w:val="none"/>
            <w:shd w:val="clear" w:color="auto" w:fill="FFFFFF"/>
          </w:rPr>
          <w:t>Attīstības plānošanas dokumentu izstrādes un ietekmes izvērtēšanas noteikumi</w:t>
        </w:r>
      </w:hyperlink>
      <w:r w:rsidRPr="00384026">
        <w:rPr>
          <w:rFonts w:ascii="Times New Roman" w:hAnsi="Times New Roman" w:cs="Times New Roman"/>
          <w:color w:val="000000" w:themeColor="text1"/>
          <w:sz w:val="24"/>
          <w:szCs w:val="24"/>
          <w:shd w:val="clear" w:color="auto" w:fill="FFFFFF"/>
        </w:rPr>
        <w:t>" </w:t>
      </w:r>
      <w:hyperlink r:id="rId15" w:anchor="p59" w:tgtFrame="_blank" w:history="1">
        <w:r w:rsidRPr="00384026">
          <w:rPr>
            <w:rStyle w:val="Hyperlink"/>
            <w:rFonts w:ascii="Times New Roman" w:hAnsi="Times New Roman" w:cs="Times New Roman"/>
            <w:color w:val="000000" w:themeColor="text1"/>
            <w:sz w:val="24"/>
            <w:szCs w:val="24"/>
            <w:u w:val="none"/>
            <w:shd w:val="clear" w:color="auto" w:fill="FFFFFF"/>
          </w:rPr>
          <w:t>59. punktu</w:t>
        </w:r>
      </w:hyperlink>
      <w:r w:rsidRPr="00384026">
        <w:rPr>
          <w:rFonts w:ascii="Times New Roman" w:hAnsi="Times New Roman" w:cs="Times New Roman"/>
          <w:color w:val="000000" w:themeColor="text1"/>
          <w:sz w:val="24"/>
          <w:szCs w:val="24"/>
          <w:shd w:val="clear" w:color="auto" w:fill="FFFFFF"/>
        </w:rPr>
        <w:t xml:space="preserve">, kas paredz, ka vidējā termiņā politikas plānošanas dokumentu darbības laiks nedrīkst pārsniegt 2020. gada 31. decembri, plāns izstrādāts kā starpposma dokuments līdz 2020. gada beigām, kad </w:t>
      </w:r>
      <w:r w:rsidR="009A2D3E">
        <w:rPr>
          <w:rFonts w:ascii="Times New Roman" w:hAnsi="Times New Roman" w:cs="Times New Roman"/>
          <w:color w:val="000000" w:themeColor="text1"/>
          <w:sz w:val="24"/>
          <w:szCs w:val="24"/>
          <w:shd w:val="clear" w:color="auto" w:fill="FFFFFF"/>
        </w:rPr>
        <w:t xml:space="preserve">noslēdzas kopējais valsts </w:t>
      </w:r>
      <w:r w:rsidRPr="00384026">
        <w:rPr>
          <w:rFonts w:ascii="Times New Roman" w:hAnsi="Times New Roman" w:cs="Times New Roman"/>
          <w:color w:val="000000" w:themeColor="text1"/>
          <w:sz w:val="24"/>
          <w:szCs w:val="24"/>
          <w:shd w:val="clear" w:color="auto" w:fill="FFFFFF"/>
        </w:rPr>
        <w:t>plānošanas periods. Tāpat jānorāda, ka, sākot ar 2021.</w:t>
      </w:r>
      <w:r w:rsidR="00CB4E4C">
        <w:rPr>
          <w:rFonts w:ascii="Times New Roman" w:hAnsi="Times New Roman" w:cs="Times New Roman"/>
          <w:color w:val="000000" w:themeColor="text1"/>
          <w:sz w:val="24"/>
          <w:szCs w:val="24"/>
          <w:shd w:val="clear" w:color="auto" w:fill="FFFFFF"/>
        </w:rPr>
        <w:t> </w:t>
      </w:r>
      <w:r w:rsidRPr="00384026">
        <w:rPr>
          <w:rFonts w:ascii="Times New Roman" w:hAnsi="Times New Roman" w:cs="Times New Roman"/>
          <w:color w:val="000000" w:themeColor="text1"/>
          <w:sz w:val="24"/>
          <w:szCs w:val="24"/>
          <w:shd w:val="clear" w:color="auto" w:fill="FFFFFF"/>
        </w:rPr>
        <w:t>gadu</w:t>
      </w:r>
      <w:r w:rsidR="00292E47" w:rsidRPr="00384026">
        <w:rPr>
          <w:rFonts w:ascii="Times New Roman" w:hAnsi="Times New Roman" w:cs="Times New Roman"/>
          <w:color w:val="000000" w:themeColor="text1"/>
          <w:sz w:val="24"/>
          <w:szCs w:val="24"/>
          <w:shd w:val="clear" w:color="auto" w:fill="FFFFFF"/>
        </w:rPr>
        <w:t>,</w:t>
      </w:r>
      <w:r w:rsidRPr="00384026">
        <w:rPr>
          <w:rFonts w:ascii="Times New Roman" w:hAnsi="Times New Roman" w:cs="Times New Roman"/>
          <w:color w:val="000000" w:themeColor="text1"/>
          <w:sz w:val="24"/>
          <w:szCs w:val="24"/>
          <w:shd w:val="clear" w:color="auto" w:fill="FFFFFF"/>
        </w:rPr>
        <w:t xml:space="preserve"> narkotiku politikas izstrādi un koordināciju nodrošina</w:t>
      </w:r>
      <w:r w:rsidR="005F7A30" w:rsidRPr="00384026">
        <w:rPr>
          <w:rFonts w:ascii="Times New Roman" w:hAnsi="Times New Roman" w:cs="Times New Roman"/>
          <w:color w:val="000000" w:themeColor="text1"/>
          <w:sz w:val="24"/>
          <w:szCs w:val="24"/>
          <w:shd w:val="clear" w:color="auto" w:fill="FFFFFF"/>
        </w:rPr>
        <w:t xml:space="preserve"> Veselības ministrija</w:t>
      </w:r>
      <w:r w:rsidR="00292E47" w:rsidRPr="00384026">
        <w:rPr>
          <w:rFonts w:ascii="Times New Roman" w:hAnsi="Times New Roman" w:cs="Times New Roman"/>
          <w:color w:val="000000" w:themeColor="text1"/>
          <w:sz w:val="24"/>
          <w:szCs w:val="24"/>
          <w:shd w:val="clear" w:color="auto" w:fill="FFFFFF"/>
        </w:rPr>
        <w:t>, pārņemot to no Iekšlietu ministrijas</w:t>
      </w:r>
      <w:r w:rsidR="009A2D3E">
        <w:rPr>
          <w:rFonts w:ascii="Times New Roman" w:hAnsi="Times New Roman" w:cs="Times New Roman"/>
          <w:color w:val="000000" w:themeColor="text1"/>
          <w:sz w:val="24"/>
          <w:szCs w:val="24"/>
          <w:shd w:val="clear" w:color="auto" w:fill="FFFFFF"/>
        </w:rPr>
        <w:t>, līdz ar ko šis ir pēdējais Iekšlietu ministrijas izstrādātais ziņojums, kas attiecināms uz kopējo valsts mēroga narkotiku politiku</w:t>
      </w:r>
      <w:r w:rsidR="005F7A30" w:rsidRPr="00384026">
        <w:rPr>
          <w:rFonts w:ascii="Times New Roman" w:hAnsi="Times New Roman" w:cs="Times New Roman"/>
          <w:color w:val="000000" w:themeColor="text1"/>
          <w:sz w:val="24"/>
          <w:szCs w:val="24"/>
          <w:shd w:val="clear" w:color="auto" w:fill="FFFFFF"/>
        </w:rPr>
        <w:t>.</w:t>
      </w:r>
      <w:r w:rsidR="002B7AFF">
        <w:rPr>
          <w:rStyle w:val="FootnoteReference"/>
          <w:rFonts w:ascii="Times New Roman" w:hAnsi="Times New Roman" w:cs="Times New Roman"/>
          <w:color w:val="000000" w:themeColor="text1"/>
          <w:sz w:val="24"/>
          <w:szCs w:val="24"/>
          <w:shd w:val="clear" w:color="auto" w:fill="FFFFFF"/>
        </w:rPr>
        <w:footnoteReference w:id="1"/>
      </w:r>
    </w:p>
    <w:p w14:paraId="502E3954" w14:textId="16B108BE" w:rsidR="00E217B6" w:rsidRPr="00384026" w:rsidRDefault="00BB7284" w:rsidP="00E217B6">
      <w:pPr>
        <w:pStyle w:val="NormalWeb"/>
        <w:shd w:val="clear" w:color="auto" w:fill="FFFFFF"/>
        <w:spacing w:before="0" w:beforeAutospacing="0" w:after="0" w:afterAutospacing="0" w:line="276" w:lineRule="auto"/>
        <w:ind w:firstLine="720"/>
        <w:jc w:val="both"/>
        <w:rPr>
          <w:color w:val="000000" w:themeColor="text1"/>
          <w:lang w:val="lv-LV"/>
        </w:rPr>
      </w:pPr>
      <w:r w:rsidRPr="00384026">
        <w:rPr>
          <w:color w:val="000000" w:themeColor="text1"/>
          <w:lang w:val="lv-LV"/>
        </w:rPr>
        <w:t xml:space="preserve">Plāna virsmērķis </w:t>
      </w:r>
      <w:r w:rsidR="005F7A30" w:rsidRPr="00384026">
        <w:rPr>
          <w:color w:val="000000" w:themeColor="text1"/>
          <w:lang w:val="lv-LV"/>
        </w:rPr>
        <w:t>ir</w:t>
      </w:r>
      <w:r w:rsidRPr="00384026">
        <w:rPr>
          <w:color w:val="000000" w:themeColor="text1"/>
          <w:lang w:val="lv-LV"/>
        </w:rPr>
        <w:t xml:space="preserve"> īstenot uz pierādījumiem balstītu narkotiku pieprasījuma un piedāvājuma samazināšanu, tai skaitā mazināt ar narkotiku lietošanu un izplatību saistītos veselības un sociālos riskus. Narkotiku politika ir izteikti starpnozaru politika, tādēļ par Plānā iekļauto pasākumu izpildi kā atbildīgās institūcijas noteiktas Iekšlietu ministrija, Veselības ministrija, Valsts p</w:t>
      </w:r>
      <w:r w:rsidR="00D81AEA">
        <w:rPr>
          <w:color w:val="000000" w:themeColor="text1"/>
          <w:lang w:val="lv-LV"/>
        </w:rPr>
        <w:t>olicija, Ieslodzījuma</w:t>
      </w:r>
      <w:r w:rsidR="00B609B6">
        <w:rPr>
          <w:color w:val="000000" w:themeColor="text1"/>
          <w:lang w:val="lv-LV"/>
        </w:rPr>
        <w:t xml:space="preserve"> vietu</w:t>
      </w:r>
      <w:r w:rsidRPr="00384026">
        <w:rPr>
          <w:color w:val="000000" w:themeColor="text1"/>
          <w:lang w:val="lv-LV"/>
        </w:rPr>
        <w:t xml:space="preserve"> pārvalde, Valsts probācijas dienests, Valsts i</w:t>
      </w:r>
      <w:r w:rsidR="009A2D3E">
        <w:rPr>
          <w:color w:val="000000" w:themeColor="text1"/>
          <w:lang w:val="lv-LV"/>
        </w:rPr>
        <w:t>eņēmumu dienesta muitas iestādes</w:t>
      </w:r>
      <w:r w:rsidRPr="00384026">
        <w:rPr>
          <w:color w:val="000000" w:themeColor="text1"/>
          <w:lang w:val="lv-LV"/>
        </w:rPr>
        <w:t xml:space="preserve">, VSIA “Rīgas psihiatrijas un narkoloģijas centrs”, Slimību profilakses un kontroles centrs, </w:t>
      </w:r>
      <w:r w:rsidR="002B5D44" w:rsidRPr="00384026">
        <w:rPr>
          <w:color w:val="000000" w:themeColor="text1"/>
          <w:lang w:val="lv-LV"/>
        </w:rPr>
        <w:t>Valsts tie</w:t>
      </w:r>
      <w:r w:rsidR="002B5D44">
        <w:rPr>
          <w:color w:val="000000" w:themeColor="text1"/>
          <w:lang w:val="lv-LV"/>
        </w:rPr>
        <w:t>su medicīnas ekspertīzes centrs un Zāļu valsts aģentūra.</w:t>
      </w:r>
      <w:r w:rsidRPr="00384026">
        <w:rPr>
          <w:color w:val="000000" w:themeColor="text1"/>
          <w:lang w:val="lv-LV"/>
        </w:rPr>
        <w:t xml:space="preserve">  </w:t>
      </w:r>
    </w:p>
    <w:p w14:paraId="185A334B" w14:textId="0883B8FA" w:rsidR="00BB7284" w:rsidRPr="00384026" w:rsidRDefault="002B5D44" w:rsidP="00E217B6">
      <w:pPr>
        <w:pStyle w:val="NormalWeb"/>
        <w:shd w:val="clear" w:color="auto" w:fill="FFFFFF"/>
        <w:spacing w:before="0" w:beforeAutospacing="0" w:after="0" w:afterAutospacing="0" w:line="276" w:lineRule="auto"/>
        <w:ind w:firstLine="720"/>
        <w:jc w:val="both"/>
        <w:rPr>
          <w:color w:val="000000" w:themeColor="text1"/>
          <w:lang w:val="lv-LV"/>
        </w:rPr>
      </w:pPr>
      <w:r>
        <w:rPr>
          <w:color w:val="000000" w:themeColor="text1"/>
          <w:lang w:val="lv-LV"/>
        </w:rPr>
        <w:t>Plānā noteiktie</w:t>
      </w:r>
      <w:r w:rsidR="00BB7284" w:rsidRPr="00384026">
        <w:rPr>
          <w:color w:val="000000" w:themeColor="text1"/>
          <w:lang w:val="lv-LV"/>
        </w:rPr>
        <w:t xml:space="preserve"> pasākumi paredzēja virkni jaunu uzdevumu, veicinot profilakses un ārstniecības pieejamību un kvalitāti, uzlabojo</w:t>
      </w:r>
      <w:r w:rsidR="00292E47" w:rsidRPr="00384026">
        <w:rPr>
          <w:color w:val="000000" w:themeColor="text1"/>
          <w:lang w:val="lv-LV"/>
        </w:rPr>
        <w:t>t tiesu ekspertīžu kapacitāti, kā arī pilnveidojot</w:t>
      </w:r>
      <w:r w:rsidR="00BB7284" w:rsidRPr="00384026">
        <w:rPr>
          <w:color w:val="000000" w:themeColor="text1"/>
          <w:lang w:val="lv-LV"/>
        </w:rPr>
        <w:t xml:space="preserve"> politikas koordināciju.</w:t>
      </w:r>
      <w:r w:rsidR="00FC4A58" w:rsidRPr="00384026">
        <w:rPr>
          <w:color w:val="000000" w:themeColor="text1"/>
          <w:lang w:val="lv-LV"/>
        </w:rPr>
        <w:t xml:space="preserve"> </w:t>
      </w:r>
      <w:r w:rsidR="00BB7284" w:rsidRPr="00384026">
        <w:rPr>
          <w:color w:val="000000" w:themeColor="text1"/>
          <w:lang w:val="lv-LV"/>
        </w:rPr>
        <w:t xml:space="preserve">Pasākumu izpildei trīs </w:t>
      </w:r>
      <w:r w:rsidR="00292E47" w:rsidRPr="00384026">
        <w:rPr>
          <w:color w:val="000000" w:themeColor="text1"/>
          <w:lang w:val="lv-LV"/>
        </w:rPr>
        <w:t>ministrijām</w:t>
      </w:r>
      <w:r w:rsidR="00BB7284" w:rsidRPr="00384026">
        <w:rPr>
          <w:color w:val="000000" w:themeColor="text1"/>
          <w:lang w:val="lv-LV"/>
        </w:rPr>
        <w:t xml:space="preserve"> – Finanšu ministrijai, Iekšlietu ministrijai, Veselības mini</w:t>
      </w:r>
      <w:r w:rsidR="00E217B6" w:rsidRPr="00384026">
        <w:rPr>
          <w:color w:val="000000" w:themeColor="text1"/>
          <w:lang w:val="lv-LV"/>
        </w:rPr>
        <w:t xml:space="preserve">strijai </w:t>
      </w:r>
      <w:r w:rsidR="00CB4E4C">
        <w:rPr>
          <w:color w:val="000000" w:themeColor="text1"/>
          <w:lang w:val="lv-LV"/>
        </w:rPr>
        <w:t>–</w:t>
      </w:r>
      <w:r w:rsidR="00E217B6" w:rsidRPr="00384026">
        <w:rPr>
          <w:color w:val="000000" w:themeColor="text1"/>
          <w:lang w:val="lv-LV"/>
        </w:rPr>
        <w:t xml:space="preserve"> indikatīvi aprēķināt</w:t>
      </w:r>
      <w:r w:rsidR="00292E47" w:rsidRPr="00384026">
        <w:rPr>
          <w:color w:val="000000" w:themeColor="text1"/>
          <w:lang w:val="lv-LV"/>
        </w:rPr>
        <w:t>ai</w:t>
      </w:r>
      <w:r w:rsidR="00E217B6" w:rsidRPr="00384026">
        <w:rPr>
          <w:color w:val="000000" w:themeColor="text1"/>
          <w:lang w:val="lv-LV"/>
        </w:rPr>
        <w:t>s</w:t>
      </w:r>
      <w:r w:rsidR="00BB7284" w:rsidRPr="00384026">
        <w:rPr>
          <w:color w:val="000000" w:themeColor="text1"/>
          <w:lang w:val="lv-LV"/>
        </w:rPr>
        <w:t xml:space="preserve"> papildu </w:t>
      </w:r>
      <w:r w:rsidR="00E217B6" w:rsidRPr="00384026">
        <w:rPr>
          <w:color w:val="000000" w:themeColor="text1"/>
          <w:lang w:val="lv-LV"/>
        </w:rPr>
        <w:t xml:space="preserve">nepieciešamais budžeta </w:t>
      </w:r>
      <w:r w:rsidR="00BB7284" w:rsidRPr="00384026">
        <w:rPr>
          <w:color w:val="000000" w:themeColor="text1"/>
          <w:lang w:val="lv-LV"/>
        </w:rPr>
        <w:t>finansējums sasniedza </w:t>
      </w:r>
      <w:r w:rsidR="00BB7284" w:rsidRPr="00384026">
        <w:rPr>
          <w:b/>
          <w:bCs/>
          <w:color w:val="000000" w:themeColor="text1"/>
          <w:lang w:val="lv-LV"/>
        </w:rPr>
        <w:t>1</w:t>
      </w:r>
      <w:r w:rsidR="00CB4E4C">
        <w:rPr>
          <w:b/>
          <w:bCs/>
          <w:color w:val="000000" w:themeColor="text1"/>
          <w:lang w:val="lv-LV"/>
        </w:rPr>
        <w:t> </w:t>
      </w:r>
      <w:r w:rsidR="00BB7284" w:rsidRPr="00384026">
        <w:rPr>
          <w:b/>
          <w:bCs/>
          <w:color w:val="000000" w:themeColor="text1"/>
          <w:lang w:val="lv-LV"/>
        </w:rPr>
        <w:t>639</w:t>
      </w:r>
      <w:r w:rsidR="00CB4E4C">
        <w:rPr>
          <w:b/>
          <w:bCs/>
          <w:color w:val="000000" w:themeColor="text1"/>
          <w:lang w:val="lv-LV"/>
        </w:rPr>
        <w:t> </w:t>
      </w:r>
      <w:r w:rsidR="00BB7284" w:rsidRPr="00384026">
        <w:rPr>
          <w:b/>
          <w:bCs/>
          <w:color w:val="000000" w:themeColor="text1"/>
          <w:lang w:val="lv-LV"/>
        </w:rPr>
        <w:t>237</w:t>
      </w:r>
      <w:r w:rsidR="00BB7284" w:rsidRPr="00384026">
        <w:rPr>
          <w:color w:val="000000" w:themeColor="text1"/>
          <w:lang w:val="lv-LV"/>
        </w:rPr>
        <w:t> </w:t>
      </w:r>
      <w:r w:rsidR="00BB7284" w:rsidRPr="00384026">
        <w:rPr>
          <w:i/>
          <w:iCs/>
          <w:color w:val="000000" w:themeColor="text1"/>
          <w:lang w:val="lv-LV"/>
        </w:rPr>
        <w:t>euro.</w:t>
      </w:r>
      <w:r w:rsidR="00BB7284" w:rsidRPr="00384026">
        <w:rPr>
          <w:color w:val="000000" w:themeColor="text1"/>
          <w:lang w:val="lv-LV"/>
        </w:rPr>
        <w:t xml:space="preserve"> Papildus </w:t>
      </w:r>
      <w:r w:rsidR="005F7A30" w:rsidRPr="00384026">
        <w:rPr>
          <w:color w:val="000000" w:themeColor="text1"/>
          <w:lang w:val="lv-LV"/>
        </w:rPr>
        <w:t xml:space="preserve">šai summai Veselības ministrija pasākumu izpildei </w:t>
      </w:r>
      <w:r>
        <w:rPr>
          <w:color w:val="000000" w:themeColor="text1"/>
          <w:lang w:val="lv-LV"/>
        </w:rPr>
        <w:t>aprēķināja indikatīvi nepieciešamo finansējumu no ESF.</w:t>
      </w:r>
      <w:r w:rsidR="00BB7284" w:rsidRPr="00384026">
        <w:rPr>
          <w:color w:val="000000" w:themeColor="text1"/>
          <w:lang w:val="lv-LV"/>
        </w:rPr>
        <w:t xml:space="preserve"> </w:t>
      </w:r>
    </w:p>
    <w:p w14:paraId="576E8DAD" w14:textId="77777777" w:rsidR="00E217B6" w:rsidRPr="00384026" w:rsidRDefault="005F7A30" w:rsidP="00FC4A58">
      <w:pPr>
        <w:spacing w:after="0" w:line="276" w:lineRule="auto"/>
        <w:ind w:firstLine="720"/>
        <w:jc w:val="both"/>
        <w:rPr>
          <w:rFonts w:ascii="Times New Roman" w:hAnsi="Times New Roman" w:cs="Times New Roman"/>
          <w:color w:val="000000" w:themeColor="text1"/>
          <w:sz w:val="24"/>
          <w:szCs w:val="24"/>
          <w:shd w:val="clear" w:color="auto" w:fill="FFFFFF"/>
        </w:rPr>
      </w:pPr>
      <w:r w:rsidRPr="00384026">
        <w:rPr>
          <w:rFonts w:ascii="Times New Roman" w:hAnsi="Times New Roman" w:cs="Times New Roman"/>
          <w:color w:val="000000" w:themeColor="text1"/>
          <w:sz w:val="24"/>
          <w:szCs w:val="24"/>
          <w:shd w:val="clear" w:color="auto" w:fill="FFFFFF"/>
        </w:rPr>
        <w:t xml:space="preserve">Ņemot vērā </w:t>
      </w:r>
      <w:r w:rsidR="000510D7" w:rsidRPr="00384026">
        <w:rPr>
          <w:rFonts w:ascii="Times New Roman" w:hAnsi="Times New Roman" w:cs="Times New Roman"/>
          <w:color w:val="000000" w:themeColor="text1"/>
          <w:sz w:val="24"/>
          <w:szCs w:val="24"/>
          <w:shd w:val="clear" w:color="auto" w:fill="FFFFFF"/>
        </w:rPr>
        <w:t>Plāna</w:t>
      </w:r>
      <w:r w:rsidRPr="00384026">
        <w:rPr>
          <w:rFonts w:ascii="Times New Roman" w:hAnsi="Times New Roman" w:cs="Times New Roman"/>
          <w:color w:val="000000" w:themeColor="text1"/>
          <w:sz w:val="24"/>
          <w:szCs w:val="24"/>
          <w:shd w:val="clear" w:color="auto" w:fill="FFFFFF"/>
        </w:rPr>
        <w:t xml:space="preserve"> struktūru un noteiktos rezultatīvos rādītājus, plāna izpildes izvērtējumam i</w:t>
      </w:r>
      <w:r w:rsidR="00837E47" w:rsidRPr="00384026">
        <w:rPr>
          <w:rFonts w:ascii="Times New Roman" w:hAnsi="Times New Roman" w:cs="Times New Roman"/>
          <w:color w:val="000000" w:themeColor="text1"/>
          <w:sz w:val="24"/>
          <w:szCs w:val="24"/>
          <w:shd w:val="clear" w:color="auto" w:fill="FFFFFF"/>
        </w:rPr>
        <w:t>zvēlēta iekšējā procesa</w:t>
      </w:r>
      <w:r w:rsidR="000510D7" w:rsidRPr="00384026">
        <w:rPr>
          <w:rFonts w:ascii="Times New Roman" w:hAnsi="Times New Roman" w:cs="Times New Roman"/>
          <w:color w:val="000000" w:themeColor="text1"/>
          <w:sz w:val="24"/>
          <w:szCs w:val="24"/>
          <w:shd w:val="clear" w:color="auto" w:fill="FFFFFF"/>
        </w:rPr>
        <w:t xml:space="preserve"> jeb formatīvās</w:t>
      </w:r>
      <w:r w:rsidR="00837E47" w:rsidRPr="00384026">
        <w:rPr>
          <w:rFonts w:ascii="Times New Roman" w:hAnsi="Times New Roman" w:cs="Times New Roman"/>
          <w:color w:val="000000" w:themeColor="text1"/>
          <w:sz w:val="24"/>
          <w:szCs w:val="24"/>
          <w:shd w:val="clear" w:color="auto" w:fill="FFFFFF"/>
        </w:rPr>
        <w:t xml:space="preserve"> izvērtēšanas pieeja (</w:t>
      </w:r>
      <w:r w:rsidR="00837E47" w:rsidRPr="00384026">
        <w:rPr>
          <w:rFonts w:ascii="Times New Roman" w:hAnsi="Times New Roman" w:cs="Times New Roman"/>
          <w:i/>
          <w:iCs/>
          <w:color w:val="000000" w:themeColor="text1"/>
          <w:sz w:val="24"/>
          <w:szCs w:val="24"/>
          <w:shd w:val="clear" w:color="auto" w:fill="FFFFFF"/>
        </w:rPr>
        <w:t>internal process evaluation</w:t>
      </w:r>
      <w:r w:rsidR="00E217B6" w:rsidRPr="00384026">
        <w:rPr>
          <w:rFonts w:ascii="Times New Roman" w:hAnsi="Times New Roman" w:cs="Times New Roman"/>
          <w:color w:val="000000" w:themeColor="text1"/>
          <w:sz w:val="24"/>
          <w:szCs w:val="24"/>
          <w:shd w:val="clear" w:color="auto" w:fill="FFFFFF"/>
        </w:rPr>
        <w:t>).</w:t>
      </w:r>
      <w:r w:rsidR="00837E47" w:rsidRPr="00384026">
        <w:rPr>
          <w:rFonts w:ascii="Times New Roman" w:hAnsi="Times New Roman" w:cs="Times New Roman"/>
          <w:color w:val="000000" w:themeColor="text1"/>
          <w:sz w:val="24"/>
          <w:szCs w:val="24"/>
          <w:shd w:val="clear" w:color="auto" w:fill="FFFFFF"/>
        </w:rPr>
        <w:t xml:space="preserve"> </w:t>
      </w:r>
      <w:r w:rsidR="00C73525" w:rsidRPr="00384026">
        <w:rPr>
          <w:rFonts w:ascii="Times New Roman" w:hAnsi="Times New Roman" w:cs="Times New Roman"/>
          <w:color w:val="000000" w:themeColor="text1"/>
          <w:sz w:val="24"/>
          <w:szCs w:val="24"/>
          <w:shd w:val="clear" w:color="auto" w:fill="FFFFFF"/>
        </w:rPr>
        <w:t>Šāda izvērtējuma mērķis ir noteikt P</w:t>
      </w:r>
      <w:r w:rsidR="00837E47" w:rsidRPr="00384026">
        <w:rPr>
          <w:rFonts w:ascii="Times New Roman" w:hAnsi="Times New Roman" w:cs="Times New Roman"/>
          <w:color w:val="000000" w:themeColor="text1"/>
          <w:sz w:val="24"/>
          <w:szCs w:val="24"/>
          <w:shd w:val="clear" w:color="auto" w:fill="FFFFFF"/>
        </w:rPr>
        <w:t xml:space="preserve">lānā iekļauto pasākumu </w:t>
      </w:r>
      <w:r w:rsidR="00C73525" w:rsidRPr="00384026">
        <w:rPr>
          <w:rFonts w:ascii="Times New Roman" w:hAnsi="Times New Roman" w:cs="Times New Roman"/>
          <w:color w:val="000000" w:themeColor="text1"/>
          <w:sz w:val="24"/>
          <w:szCs w:val="24"/>
          <w:shd w:val="clear" w:color="auto" w:fill="FFFFFF"/>
        </w:rPr>
        <w:t>izpildes līmeni</w:t>
      </w:r>
      <w:r w:rsidR="00837E47" w:rsidRPr="00384026">
        <w:rPr>
          <w:rFonts w:ascii="Times New Roman" w:hAnsi="Times New Roman" w:cs="Times New Roman"/>
          <w:color w:val="000000" w:themeColor="text1"/>
          <w:sz w:val="24"/>
          <w:szCs w:val="24"/>
          <w:shd w:val="clear" w:color="auto" w:fill="FFFFFF"/>
        </w:rPr>
        <w:t>, kā arī izpildes veicinoš</w:t>
      </w:r>
      <w:r w:rsidR="00C73525" w:rsidRPr="00384026">
        <w:rPr>
          <w:rFonts w:ascii="Times New Roman" w:hAnsi="Times New Roman" w:cs="Times New Roman"/>
          <w:color w:val="000000" w:themeColor="text1"/>
          <w:sz w:val="24"/>
          <w:szCs w:val="24"/>
          <w:shd w:val="clear" w:color="auto" w:fill="FFFFFF"/>
        </w:rPr>
        <w:t>os un kavējošos</w:t>
      </w:r>
      <w:r w:rsidR="00837E47" w:rsidRPr="00384026">
        <w:rPr>
          <w:rFonts w:ascii="Times New Roman" w:hAnsi="Times New Roman" w:cs="Times New Roman"/>
          <w:color w:val="000000" w:themeColor="text1"/>
          <w:sz w:val="24"/>
          <w:szCs w:val="24"/>
          <w:shd w:val="clear" w:color="auto" w:fill="FFFFFF"/>
        </w:rPr>
        <w:t xml:space="preserve"> </w:t>
      </w:r>
      <w:r w:rsidR="00C73525" w:rsidRPr="00384026">
        <w:rPr>
          <w:rFonts w:ascii="Times New Roman" w:hAnsi="Times New Roman" w:cs="Times New Roman"/>
          <w:color w:val="000000" w:themeColor="text1"/>
          <w:sz w:val="24"/>
          <w:szCs w:val="24"/>
          <w:shd w:val="clear" w:color="auto" w:fill="FFFFFF"/>
        </w:rPr>
        <w:t>apstākļus</w:t>
      </w:r>
      <w:r w:rsidR="00837E47" w:rsidRPr="00384026">
        <w:rPr>
          <w:rFonts w:ascii="Times New Roman" w:hAnsi="Times New Roman" w:cs="Times New Roman"/>
          <w:color w:val="000000" w:themeColor="text1"/>
          <w:sz w:val="24"/>
          <w:szCs w:val="24"/>
          <w:shd w:val="clear" w:color="auto" w:fill="FFFFFF"/>
        </w:rPr>
        <w:t xml:space="preserve">. </w:t>
      </w:r>
    </w:p>
    <w:p w14:paraId="473DFFFC" w14:textId="050FEC36" w:rsidR="000510D7" w:rsidRPr="00384026" w:rsidRDefault="00CB4E4C" w:rsidP="00C73525">
      <w:pPr>
        <w:spacing w:after="0" w:line="276"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Informatīvā ziņojuma </w:t>
      </w:r>
      <w:r w:rsidRPr="00384026">
        <w:rPr>
          <w:rFonts w:ascii="Times New Roman" w:hAnsi="Times New Roman" w:cs="Times New Roman"/>
          <w:color w:val="000000" w:themeColor="text1"/>
          <w:sz w:val="24"/>
          <w:szCs w:val="24"/>
          <w:shd w:val="clear" w:color="auto" w:fill="FFFFFF"/>
        </w:rPr>
        <w:t xml:space="preserve"> </w:t>
      </w:r>
      <w:r w:rsidR="00837E47" w:rsidRPr="00384026">
        <w:rPr>
          <w:rFonts w:ascii="Times New Roman" w:hAnsi="Times New Roman" w:cs="Times New Roman"/>
          <w:color w:val="000000" w:themeColor="text1"/>
          <w:sz w:val="24"/>
          <w:szCs w:val="24"/>
          <w:shd w:val="clear" w:color="auto" w:fill="FFFFFF"/>
        </w:rPr>
        <w:t>1. attēlā atspoguļots izvērtējuma tvērum</w:t>
      </w:r>
      <w:r w:rsidR="00A6062C" w:rsidRPr="00384026">
        <w:rPr>
          <w:rFonts w:ascii="Times New Roman" w:hAnsi="Times New Roman" w:cs="Times New Roman"/>
          <w:color w:val="000000" w:themeColor="text1"/>
          <w:sz w:val="24"/>
          <w:szCs w:val="24"/>
          <w:shd w:val="clear" w:color="auto" w:fill="FFFFFF"/>
        </w:rPr>
        <w:t>s loģiskajā modelī</w:t>
      </w:r>
      <w:r w:rsidR="00837E47" w:rsidRPr="00384026">
        <w:rPr>
          <w:rFonts w:ascii="Times New Roman" w:hAnsi="Times New Roman" w:cs="Times New Roman"/>
          <w:color w:val="000000" w:themeColor="text1"/>
          <w:sz w:val="24"/>
          <w:szCs w:val="24"/>
          <w:shd w:val="clear" w:color="auto" w:fill="FFFFFF"/>
        </w:rPr>
        <w:t>, kas ietver mērķa, pasākumu un izpildes rezultātu (</w:t>
      </w:r>
      <w:r w:rsidR="00837E47" w:rsidRPr="00384026">
        <w:rPr>
          <w:rFonts w:ascii="Times New Roman" w:hAnsi="Times New Roman" w:cs="Times New Roman"/>
          <w:i/>
          <w:iCs/>
          <w:color w:val="000000" w:themeColor="text1"/>
          <w:sz w:val="24"/>
          <w:szCs w:val="24"/>
          <w:shd w:val="clear" w:color="auto" w:fill="FFFFFF"/>
        </w:rPr>
        <w:t>outputs</w:t>
      </w:r>
      <w:r w:rsidR="00837E47" w:rsidRPr="00384026">
        <w:rPr>
          <w:rFonts w:ascii="Times New Roman" w:hAnsi="Times New Roman" w:cs="Times New Roman"/>
          <w:color w:val="000000" w:themeColor="text1"/>
          <w:sz w:val="24"/>
          <w:szCs w:val="24"/>
          <w:shd w:val="clear" w:color="auto" w:fill="FFFFFF"/>
        </w:rPr>
        <w:t>) analīzi</w:t>
      </w:r>
      <w:r w:rsidR="00A6062C" w:rsidRPr="00384026">
        <w:rPr>
          <w:rFonts w:ascii="Times New Roman" w:hAnsi="Times New Roman" w:cs="Times New Roman"/>
          <w:color w:val="000000" w:themeColor="text1"/>
          <w:sz w:val="24"/>
          <w:szCs w:val="24"/>
          <w:shd w:val="clear" w:color="auto" w:fill="FFFFFF"/>
        </w:rPr>
        <w:t xml:space="preserve">. </w:t>
      </w:r>
      <w:r w:rsidR="000510D7" w:rsidRPr="00384026">
        <w:rPr>
          <w:rFonts w:ascii="Times New Roman" w:hAnsi="Times New Roman" w:cs="Times New Roman"/>
          <w:color w:val="000000" w:themeColor="text1"/>
          <w:sz w:val="24"/>
          <w:szCs w:val="24"/>
          <w:shd w:val="clear" w:color="auto" w:fill="FFFFFF"/>
        </w:rPr>
        <w:t>Vienlaikus redzams, ka</w:t>
      </w:r>
      <w:r w:rsidR="00A6062C" w:rsidRPr="00384026">
        <w:rPr>
          <w:rFonts w:ascii="Times New Roman" w:hAnsi="Times New Roman" w:cs="Times New Roman"/>
          <w:color w:val="000000" w:themeColor="text1"/>
          <w:sz w:val="24"/>
          <w:szCs w:val="24"/>
          <w:shd w:val="clear" w:color="auto" w:fill="FFFFFF"/>
        </w:rPr>
        <w:t xml:space="preserve"> šajā izvērtējumā </w:t>
      </w:r>
      <w:r w:rsidR="00C73525" w:rsidRPr="00384026">
        <w:rPr>
          <w:rFonts w:ascii="Times New Roman" w:hAnsi="Times New Roman" w:cs="Times New Roman"/>
          <w:color w:val="000000" w:themeColor="text1"/>
          <w:sz w:val="24"/>
          <w:szCs w:val="24"/>
          <w:shd w:val="clear" w:color="auto" w:fill="FFFFFF"/>
        </w:rPr>
        <w:t>nav</w:t>
      </w:r>
      <w:r w:rsidR="00A6062C" w:rsidRPr="00384026">
        <w:rPr>
          <w:rFonts w:ascii="Times New Roman" w:hAnsi="Times New Roman" w:cs="Times New Roman"/>
          <w:color w:val="000000" w:themeColor="text1"/>
          <w:sz w:val="24"/>
          <w:szCs w:val="24"/>
          <w:shd w:val="clear" w:color="auto" w:fill="FFFFFF"/>
        </w:rPr>
        <w:t xml:space="preserve"> analizēti iznākuma</w:t>
      </w:r>
      <w:r w:rsidR="002E6C82" w:rsidRPr="00384026">
        <w:rPr>
          <w:rFonts w:ascii="Times New Roman" w:hAnsi="Times New Roman" w:cs="Times New Roman"/>
          <w:color w:val="000000" w:themeColor="text1"/>
          <w:sz w:val="24"/>
          <w:szCs w:val="24"/>
          <w:shd w:val="clear" w:color="auto" w:fill="FFFFFF"/>
        </w:rPr>
        <w:t xml:space="preserve"> (</w:t>
      </w:r>
      <w:r w:rsidR="002E6C82" w:rsidRPr="00384026">
        <w:rPr>
          <w:rFonts w:ascii="Times New Roman" w:hAnsi="Times New Roman" w:cs="Times New Roman"/>
          <w:i/>
          <w:color w:val="000000" w:themeColor="text1"/>
          <w:sz w:val="24"/>
          <w:szCs w:val="24"/>
          <w:shd w:val="clear" w:color="auto" w:fill="FFFFFF"/>
        </w:rPr>
        <w:t>outcome</w:t>
      </w:r>
      <w:r w:rsidR="002E6C82" w:rsidRPr="00384026">
        <w:rPr>
          <w:rFonts w:ascii="Times New Roman" w:hAnsi="Times New Roman" w:cs="Times New Roman"/>
          <w:color w:val="000000" w:themeColor="text1"/>
          <w:sz w:val="24"/>
          <w:szCs w:val="24"/>
          <w:shd w:val="clear" w:color="auto" w:fill="FFFFFF"/>
        </w:rPr>
        <w:t>)</w:t>
      </w:r>
      <w:r w:rsidR="00A6062C" w:rsidRPr="00384026">
        <w:rPr>
          <w:rFonts w:ascii="Times New Roman" w:hAnsi="Times New Roman" w:cs="Times New Roman"/>
          <w:color w:val="000000" w:themeColor="text1"/>
          <w:sz w:val="24"/>
          <w:szCs w:val="24"/>
          <w:shd w:val="clear" w:color="auto" w:fill="FFFFFF"/>
        </w:rPr>
        <w:t xml:space="preserve"> un ietekmes</w:t>
      </w:r>
      <w:r w:rsidR="002E6C82" w:rsidRPr="00384026">
        <w:rPr>
          <w:rFonts w:ascii="Times New Roman" w:hAnsi="Times New Roman" w:cs="Times New Roman"/>
          <w:color w:val="000000" w:themeColor="text1"/>
          <w:sz w:val="24"/>
          <w:szCs w:val="24"/>
          <w:shd w:val="clear" w:color="auto" w:fill="FFFFFF"/>
        </w:rPr>
        <w:t xml:space="preserve"> (</w:t>
      </w:r>
      <w:r w:rsidR="002E6C82" w:rsidRPr="00384026">
        <w:rPr>
          <w:rFonts w:ascii="Times New Roman" w:hAnsi="Times New Roman" w:cs="Times New Roman"/>
          <w:i/>
          <w:color w:val="000000" w:themeColor="text1"/>
          <w:sz w:val="24"/>
          <w:szCs w:val="24"/>
          <w:shd w:val="clear" w:color="auto" w:fill="FFFFFF"/>
        </w:rPr>
        <w:t>impact)</w:t>
      </w:r>
      <w:r w:rsidR="00A6062C" w:rsidRPr="00384026">
        <w:rPr>
          <w:rFonts w:ascii="Times New Roman" w:hAnsi="Times New Roman" w:cs="Times New Roman"/>
          <w:color w:val="000000" w:themeColor="text1"/>
          <w:sz w:val="24"/>
          <w:szCs w:val="24"/>
          <w:shd w:val="clear" w:color="auto" w:fill="FFFFFF"/>
        </w:rPr>
        <w:t xml:space="preserve"> rezultāti</w:t>
      </w:r>
      <w:r w:rsidR="000510D7" w:rsidRPr="00384026">
        <w:rPr>
          <w:rFonts w:ascii="Times New Roman" w:hAnsi="Times New Roman" w:cs="Times New Roman"/>
          <w:color w:val="000000" w:themeColor="text1"/>
          <w:sz w:val="24"/>
          <w:szCs w:val="24"/>
          <w:shd w:val="clear" w:color="auto" w:fill="FFFFFF"/>
        </w:rPr>
        <w:t>, ko var skaidrot ar vairākiem apstākļiem</w:t>
      </w:r>
      <w:r w:rsidR="00CA0C46" w:rsidRPr="00384026">
        <w:rPr>
          <w:rFonts w:ascii="Times New Roman" w:hAnsi="Times New Roman" w:cs="Times New Roman"/>
          <w:color w:val="000000" w:themeColor="text1"/>
          <w:sz w:val="24"/>
          <w:szCs w:val="24"/>
          <w:shd w:val="clear" w:color="auto" w:fill="FFFFFF"/>
        </w:rPr>
        <w:t>.</w:t>
      </w:r>
      <w:r w:rsidR="00A6062C" w:rsidRPr="00384026">
        <w:rPr>
          <w:rFonts w:ascii="Times New Roman" w:hAnsi="Times New Roman" w:cs="Times New Roman"/>
          <w:color w:val="000000" w:themeColor="text1"/>
          <w:sz w:val="24"/>
          <w:szCs w:val="24"/>
          <w:shd w:val="clear" w:color="auto" w:fill="FFFFFF"/>
        </w:rPr>
        <w:t xml:space="preserve"> Pirmkārt, iznākumu un ietekmes s</w:t>
      </w:r>
      <w:r w:rsidR="00292E47" w:rsidRPr="00384026">
        <w:rPr>
          <w:rFonts w:ascii="Times New Roman" w:hAnsi="Times New Roman" w:cs="Times New Roman"/>
          <w:color w:val="000000" w:themeColor="text1"/>
          <w:sz w:val="24"/>
          <w:szCs w:val="24"/>
          <w:shd w:val="clear" w:color="auto" w:fill="FFFFFF"/>
        </w:rPr>
        <w:t>adaļa</w:t>
      </w:r>
      <w:r w:rsidR="00C73525" w:rsidRPr="00384026">
        <w:rPr>
          <w:rFonts w:ascii="Times New Roman" w:hAnsi="Times New Roman" w:cs="Times New Roman"/>
          <w:color w:val="000000" w:themeColor="text1"/>
          <w:sz w:val="24"/>
          <w:szCs w:val="24"/>
          <w:shd w:val="clear" w:color="auto" w:fill="FFFFFF"/>
        </w:rPr>
        <w:t xml:space="preserve"> nav iekļauta analīzē, jo P</w:t>
      </w:r>
      <w:r w:rsidR="00A6062C" w:rsidRPr="00384026">
        <w:rPr>
          <w:rFonts w:ascii="Times New Roman" w:hAnsi="Times New Roman" w:cs="Times New Roman"/>
          <w:color w:val="000000" w:themeColor="text1"/>
          <w:sz w:val="24"/>
          <w:szCs w:val="24"/>
          <w:shd w:val="clear" w:color="auto" w:fill="FFFFFF"/>
        </w:rPr>
        <w:t>lāna darbības periods ir ļoti īss – fak</w:t>
      </w:r>
      <w:r w:rsidR="00C73525" w:rsidRPr="00384026">
        <w:rPr>
          <w:rFonts w:ascii="Times New Roman" w:hAnsi="Times New Roman" w:cs="Times New Roman"/>
          <w:color w:val="000000" w:themeColor="text1"/>
          <w:sz w:val="24"/>
          <w:szCs w:val="24"/>
          <w:shd w:val="clear" w:color="auto" w:fill="FFFFFF"/>
        </w:rPr>
        <w:t>tiski 18 mēneši. Otrkārt, pašā P</w:t>
      </w:r>
      <w:r w:rsidR="00A6062C" w:rsidRPr="00384026">
        <w:rPr>
          <w:rFonts w:ascii="Times New Roman" w:hAnsi="Times New Roman" w:cs="Times New Roman"/>
          <w:color w:val="000000" w:themeColor="text1"/>
          <w:sz w:val="24"/>
          <w:szCs w:val="24"/>
          <w:shd w:val="clear" w:color="auto" w:fill="FFFFFF"/>
        </w:rPr>
        <w:t>lānā noteiktie rezultatīvie rādītāji pamatā ir izpildes rādītāji</w:t>
      </w:r>
      <w:r w:rsidR="00CA0C46" w:rsidRPr="00384026">
        <w:rPr>
          <w:rFonts w:ascii="Times New Roman" w:hAnsi="Times New Roman" w:cs="Times New Roman"/>
          <w:color w:val="000000" w:themeColor="text1"/>
          <w:sz w:val="24"/>
          <w:szCs w:val="24"/>
          <w:shd w:val="clear" w:color="auto" w:fill="FFFFFF"/>
        </w:rPr>
        <w:t xml:space="preserve"> (</w:t>
      </w:r>
      <w:r w:rsidR="00CA0C46" w:rsidRPr="00384026">
        <w:rPr>
          <w:rFonts w:ascii="Times New Roman" w:hAnsi="Times New Roman" w:cs="Times New Roman"/>
          <w:i/>
          <w:color w:val="000000" w:themeColor="text1"/>
          <w:sz w:val="24"/>
          <w:szCs w:val="24"/>
          <w:shd w:val="clear" w:color="auto" w:fill="FFFFFF"/>
        </w:rPr>
        <w:t>output</w:t>
      </w:r>
      <w:r w:rsidR="00CA0C46" w:rsidRPr="00384026">
        <w:rPr>
          <w:rFonts w:ascii="Times New Roman" w:hAnsi="Times New Roman" w:cs="Times New Roman"/>
          <w:color w:val="000000" w:themeColor="text1"/>
          <w:sz w:val="24"/>
          <w:szCs w:val="24"/>
          <w:shd w:val="clear" w:color="auto" w:fill="FFFFFF"/>
        </w:rPr>
        <w:t>)</w:t>
      </w:r>
      <w:r w:rsidR="00A6062C" w:rsidRPr="00384026">
        <w:rPr>
          <w:rFonts w:ascii="Times New Roman" w:hAnsi="Times New Roman" w:cs="Times New Roman"/>
          <w:color w:val="000000" w:themeColor="text1"/>
          <w:sz w:val="24"/>
          <w:szCs w:val="24"/>
          <w:shd w:val="clear" w:color="auto" w:fill="FFFFFF"/>
        </w:rPr>
        <w:t xml:space="preserve">. Treškārt, jāņem vērā arī politikas uzraudzības pārcelšanu </w:t>
      </w:r>
      <w:r w:rsidR="00CA0C46" w:rsidRPr="00384026">
        <w:rPr>
          <w:rFonts w:ascii="Times New Roman" w:hAnsi="Times New Roman" w:cs="Times New Roman"/>
          <w:color w:val="000000" w:themeColor="text1"/>
          <w:sz w:val="24"/>
          <w:szCs w:val="24"/>
          <w:shd w:val="clear" w:color="auto" w:fill="FFFFFF"/>
        </w:rPr>
        <w:t xml:space="preserve">no Iekšlietu ministrijas uz </w:t>
      </w:r>
      <w:r w:rsidR="00A6062C" w:rsidRPr="00384026">
        <w:rPr>
          <w:rFonts w:ascii="Times New Roman" w:hAnsi="Times New Roman" w:cs="Times New Roman"/>
          <w:color w:val="000000" w:themeColor="text1"/>
          <w:sz w:val="24"/>
          <w:szCs w:val="24"/>
          <w:shd w:val="clear" w:color="auto" w:fill="FFFFFF"/>
        </w:rPr>
        <w:t xml:space="preserve">Veselības ministriju, jo </w:t>
      </w:r>
      <w:r w:rsidR="000C73E3" w:rsidRPr="00384026">
        <w:rPr>
          <w:rFonts w:ascii="Times New Roman" w:hAnsi="Times New Roman" w:cs="Times New Roman"/>
          <w:color w:val="000000" w:themeColor="text1"/>
          <w:sz w:val="24"/>
          <w:szCs w:val="24"/>
          <w:shd w:val="clear" w:color="auto" w:fill="FFFFFF"/>
        </w:rPr>
        <w:t xml:space="preserve">turpmākās </w:t>
      </w:r>
      <w:r w:rsidR="00A6062C" w:rsidRPr="00384026">
        <w:rPr>
          <w:rFonts w:ascii="Times New Roman" w:hAnsi="Times New Roman" w:cs="Times New Roman"/>
          <w:color w:val="000000" w:themeColor="text1"/>
          <w:sz w:val="24"/>
          <w:szCs w:val="24"/>
          <w:shd w:val="clear" w:color="auto" w:fill="FFFFFF"/>
        </w:rPr>
        <w:t>narkotiku politikas ilgtermiņa mērķi, tātad iznākum</w:t>
      </w:r>
      <w:r w:rsidR="000C73E3" w:rsidRPr="00384026">
        <w:rPr>
          <w:rFonts w:ascii="Times New Roman" w:hAnsi="Times New Roman" w:cs="Times New Roman"/>
          <w:color w:val="000000" w:themeColor="text1"/>
          <w:sz w:val="24"/>
          <w:szCs w:val="24"/>
          <w:shd w:val="clear" w:color="auto" w:fill="FFFFFF"/>
        </w:rPr>
        <w:t>u</w:t>
      </w:r>
      <w:r w:rsidR="00A6062C" w:rsidRPr="00384026">
        <w:rPr>
          <w:rFonts w:ascii="Times New Roman" w:hAnsi="Times New Roman" w:cs="Times New Roman"/>
          <w:color w:val="000000" w:themeColor="text1"/>
          <w:sz w:val="24"/>
          <w:szCs w:val="24"/>
          <w:shd w:val="clear" w:color="auto" w:fill="FFFFFF"/>
        </w:rPr>
        <w:t xml:space="preserve"> un ietekmes mērķi, ir ietverti Sabiedrības veselības pamatnostādņu 2021.</w:t>
      </w:r>
      <w:r>
        <w:rPr>
          <w:rFonts w:ascii="Times New Roman" w:hAnsi="Times New Roman" w:cs="Times New Roman"/>
          <w:color w:val="000000" w:themeColor="text1"/>
          <w:sz w:val="24"/>
          <w:szCs w:val="24"/>
          <w:shd w:val="clear" w:color="auto" w:fill="FFFFFF"/>
        </w:rPr>
        <w:t>-</w:t>
      </w:r>
      <w:r w:rsidR="00A6062C" w:rsidRPr="00384026">
        <w:rPr>
          <w:rFonts w:ascii="Times New Roman" w:hAnsi="Times New Roman" w:cs="Times New Roman"/>
          <w:color w:val="000000" w:themeColor="text1"/>
          <w:sz w:val="24"/>
          <w:szCs w:val="24"/>
          <w:shd w:val="clear" w:color="auto" w:fill="FFFFFF"/>
        </w:rPr>
        <w:t xml:space="preserve">2027. </w:t>
      </w:r>
      <w:r w:rsidR="00A6062C" w:rsidRPr="00384026">
        <w:rPr>
          <w:rFonts w:ascii="Times New Roman" w:hAnsi="Times New Roman" w:cs="Times New Roman"/>
          <w:color w:val="000000" w:themeColor="text1"/>
          <w:sz w:val="24"/>
          <w:szCs w:val="24"/>
          <w:shd w:val="clear" w:color="auto" w:fill="FFFFFF"/>
        </w:rPr>
        <w:lastRenderedPageBreak/>
        <w:t xml:space="preserve">gadam </w:t>
      </w:r>
      <w:r w:rsidR="002E6C82" w:rsidRPr="00384026">
        <w:rPr>
          <w:rFonts w:ascii="Times New Roman" w:hAnsi="Times New Roman" w:cs="Times New Roman"/>
          <w:color w:val="000000" w:themeColor="text1"/>
          <w:sz w:val="24"/>
          <w:szCs w:val="24"/>
          <w:shd w:val="clear" w:color="auto" w:fill="FFFFFF"/>
        </w:rPr>
        <w:t>projektā</w:t>
      </w:r>
      <w:r w:rsidR="00A6062C" w:rsidRPr="00384026">
        <w:rPr>
          <w:rFonts w:ascii="Times New Roman" w:hAnsi="Times New Roman" w:cs="Times New Roman"/>
          <w:color w:val="000000" w:themeColor="text1"/>
          <w:sz w:val="24"/>
          <w:szCs w:val="24"/>
          <w:shd w:val="clear" w:color="auto" w:fill="FFFFFF"/>
        </w:rPr>
        <w:t>.</w:t>
      </w:r>
      <w:r w:rsidR="000C73E3" w:rsidRPr="00384026">
        <w:rPr>
          <w:rStyle w:val="FootnoteReference"/>
          <w:rFonts w:ascii="Times New Roman" w:hAnsi="Times New Roman" w:cs="Times New Roman"/>
          <w:color w:val="000000" w:themeColor="text1"/>
          <w:sz w:val="24"/>
          <w:szCs w:val="24"/>
          <w:shd w:val="clear" w:color="auto" w:fill="FFFFFF"/>
        </w:rPr>
        <w:footnoteReference w:id="2"/>
      </w:r>
      <w:r w:rsidR="00A6062C" w:rsidRPr="00384026">
        <w:rPr>
          <w:rFonts w:ascii="Times New Roman" w:hAnsi="Times New Roman" w:cs="Times New Roman"/>
          <w:color w:val="000000" w:themeColor="text1"/>
          <w:sz w:val="24"/>
          <w:szCs w:val="24"/>
          <w:shd w:val="clear" w:color="auto" w:fill="FFFFFF"/>
        </w:rPr>
        <w:t xml:space="preserve"> </w:t>
      </w:r>
      <w:r w:rsidR="000510D7" w:rsidRPr="00384026">
        <w:rPr>
          <w:rFonts w:ascii="Times New Roman" w:hAnsi="Times New Roman" w:cs="Times New Roman"/>
          <w:color w:val="000000" w:themeColor="text1"/>
          <w:sz w:val="24"/>
          <w:szCs w:val="24"/>
          <w:shd w:val="clear" w:color="auto" w:fill="FFFFFF"/>
        </w:rPr>
        <w:t>Līdz ar</w:t>
      </w:r>
      <w:r w:rsidR="002E6C82" w:rsidRPr="00384026">
        <w:rPr>
          <w:rFonts w:ascii="Times New Roman" w:hAnsi="Times New Roman" w:cs="Times New Roman"/>
          <w:color w:val="000000" w:themeColor="text1"/>
          <w:sz w:val="24"/>
          <w:szCs w:val="24"/>
          <w:shd w:val="clear" w:color="auto" w:fill="FFFFFF"/>
        </w:rPr>
        <w:t xml:space="preserve"> to arī</w:t>
      </w:r>
      <w:r w:rsidR="00C73525" w:rsidRPr="00384026">
        <w:rPr>
          <w:rFonts w:ascii="Times New Roman" w:hAnsi="Times New Roman" w:cs="Times New Roman"/>
          <w:color w:val="000000" w:themeColor="text1"/>
          <w:sz w:val="24"/>
          <w:szCs w:val="24"/>
          <w:shd w:val="clear" w:color="auto" w:fill="FFFFFF"/>
        </w:rPr>
        <w:t xml:space="preserve"> politikas iznākums un ietekm</w:t>
      </w:r>
      <w:r w:rsidR="00F62F9A" w:rsidRPr="00384026">
        <w:rPr>
          <w:rFonts w:ascii="Times New Roman" w:hAnsi="Times New Roman" w:cs="Times New Roman"/>
          <w:color w:val="000000" w:themeColor="text1"/>
          <w:sz w:val="24"/>
          <w:szCs w:val="24"/>
          <w:shd w:val="clear" w:color="auto" w:fill="FFFFFF"/>
        </w:rPr>
        <w:t>e</w:t>
      </w:r>
      <w:r w:rsidR="00C73525" w:rsidRPr="00384026">
        <w:rPr>
          <w:rFonts w:ascii="Times New Roman" w:hAnsi="Times New Roman" w:cs="Times New Roman"/>
          <w:color w:val="000000" w:themeColor="text1"/>
          <w:sz w:val="24"/>
          <w:szCs w:val="24"/>
          <w:shd w:val="clear" w:color="auto" w:fill="FFFFFF"/>
        </w:rPr>
        <w:t xml:space="preserve"> ir</w:t>
      </w:r>
      <w:r w:rsidR="00CA0C46" w:rsidRPr="00384026">
        <w:rPr>
          <w:rFonts w:ascii="Times New Roman" w:hAnsi="Times New Roman" w:cs="Times New Roman"/>
          <w:color w:val="000000" w:themeColor="text1"/>
          <w:sz w:val="24"/>
          <w:szCs w:val="24"/>
          <w:shd w:val="clear" w:color="auto" w:fill="FFFFFF"/>
        </w:rPr>
        <w:t xml:space="preserve"> vērtējama jau </w:t>
      </w:r>
      <w:r w:rsidR="002E6C82" w:rsidRPr="00384026">
        <w:rPr>
          <w:rFonts w:ascii="Times New Roman" w:hAnsi="Times New Roman" w:cs="Times New Roman"/>
          <w:color w:val="000000" w:themeColor="text1"/>
          <w:sz w:val="24"/>
          <w:szCs w:val="24"/>
          <w:shd w:val="clear" w:color="auto" w:fill="FFFFFF"/>
        </w:rPr>
        <w:t>minētā</w:t>
      </w:r>
      <w:r w:rsidR="00CA0C46" w:rsidRPr="00384026">
        <w:rPr>
          <w:rFonts w:ascii="Times New Roman" w:hAnsi="Times New Roman" w:cs="Times New Roman"/>
          <w:color w:val="000000" w:themeColor="text1"/>
          <w:sz w:val="24"/>
          <w:szCs w:val="24"/>
          <w:shd w:val="clear" w:color="auto" w:fill="FFFFFF"/>
        </w:rPr>
        <w:t xml:space="preserve"> politikas dokumenta </w:t>
      </w:r>
      <w:r w:rsidR="00C73525" w:rsidRPr="00384026">
        <w:rPr>
          <w:rFonts w:ascii="Times New Roman" w:hAnsi="Times New Roman" w:cs="Times New Roman"/>
          <w:color w:val="000000" w:themeColor="text1"/>
          <w:sz w:val="24"/>
          <w:szCs w:val="24"/>
          <w:shd w:val="clear" w:color="auto" w:fill="FFFFFF"/>
        </w:rPr>
        <w:t>izvērtēšanas ietvarā</w:t>
      </w:r>
      <w:r w:rsidR="000C73E3" w:rsidRPr="00384026">
        <w:rPr>
          <w:rFonts w:ascii="Times New Roman" w:hAnsi="Times New Roman" w:cs="Times New Roman"/>
          <w:color w:val="000000" w:themeColor="text1"/>
          <w:sz w:val="24"/>
          <w:szCs w:val="24"/>
          <w:shd w:val="clear" w:color="auto" w:fill="FFFFFF"/>
        </w:rPr>
        <w:t>.</w:t>
      </w:r>
    </w:p>
    <w:p w14:paraId="3565FADA" w14:textId="422F5FA8" w:rsidR="001422EB" w:rsidRPr="00384026" w:rsidRDefault="001422EB" w:rsidP="002B5D44">
      <w:pPr>
        <w:spacing w:after="0" w:line="276" w:lineRule="auto"/>
        <w:jc w:val="both"/>
        <w:rPr>
          <w:rFonts w:ascii="Times New Roman" w:hAnsi="Times New Roman" w:cs="Times New Roman"/>
          <w:color w:val="000000" w:themeColor="text1"/>
          <w:sz w:val="24"/>
          <w:szCs w:val="24"/>
          <w:shd w:val="clear" w:color="auto" w:fill="FFFFFF"/>
        </w:rPr>
      </w:pPr>
    </w:p>
    <w:p w14:paraId="24553ADD" w14:textId="44B1DE25" w:rsidR="00837E47" w:rsidRPr="00384026" w:rsidRDefault="008757A6" w:rsidP="002B7AFF">
      <w:pPr>
        <w:pStyle w:val="ListParagraph"/>
        <w:numPr>
          <w:ilvl w:val="0"/>
          <w:numId w:val="19"/>
        </w:numPr>
        <w:spacing w:after="0"/>
        <w:jc w:val="right"/>
        <w:rPr>
          <w:rFonts w:ascii="Times New Roman" w:hAnsi="Times New Roman" w:cs="Times New Roman"/>
          <w:b/>
          <w:bCs/>
          <w:color w:val="000000" w:themeColor="text1"/>
          <w:shd w:val="clear" w:color="auto" w:fill="FFFFFF"/>
        </w:rPr>
      </w:pPr>
      <w:r>
        <w:rPr>
          <w:rFonts w:ascii="Times New Roman" w:hAnsi="Times New Roman" w:cs="Times New Roman"/>
          <w:b/>
          <w:bCs/>
          <w:color w:val="000000" w:themeColor="text1"/>
          <w:shd w:val="clear" w:color="auto" w:fill="FFFFFF"/>
        </w:rPr>
        <w:t>a</w:t>
      </w:r>
      <w:r w:rsidR="000510D7" w:rsidRPr="00384026">
        <w:rPr>
          <w:rFonts w:ascii="Times New Roman" w:hAnsi="Times New Roman" w:cs="Times New Roman"/>
          <w:b/>
          <w:bCs/>
          <w:color w:val="000000" w:themeColor="text1"/>
          <w:shd w:val="clear" w:color="auto" w:fill="FFFFFF"/>
        </w:rPr>
        <w:t xml:space="preserve">ttēls. </w:t>
      </w:r>
      <w:r w:rsidR="00A15E6F" w:rsidRPr="00384026">
        <w:rPr>
          <w:rFonts w:ascii="Times New Roman" w:hAnsi="Times New Roman" w:cs="Times New Roman"/>
          <w:b/>
          <w:bCs/>
          <w:color w:val="000000" w:themeColor="text1"/>
          <w:shd w:val="clear" w:color="auto" w:fill="FFFFFF"/>
        </w:rPr>
        <w:t>Plāna</w:t>
      </w:r>
      <w:r w:rsidR="00A6062C" w:rsidRPr="00384026">
        <w:rPr>
          <w:rFonts w:ascii="Times New Roman" w:hAnsi="Times New Roman" w:cs="Times New Roman"/>
          <w:b/>
          <w:bCs/>
          <w:color w:val="000000" w:themeColor="text1"/>
          <w:shd w:val="clear" w:color="auto" w:fill="FFFFFF"/>
        </w:rPr>
        <w:t xml:space="preserve"> izvērtēšanas ietvars loģiskajā modelī</w:t>
      </w:r>
      <w:r w:rsidR="00FC4A58" w:rsidRPr="00384026">
        <w:rPr>
          <w:rFonts w:ascii="Times New Roman" w:hAnsi="Times New Roman" w:cs="Times New Roman"/>
          <w:b/>
          <w:bCs/>
          <w:color w:val="000000" w:themeColor="text1"/>
          <w:shd w:val="clear" w:color="auto" w:fill="FFFFFF"/>
        </w:rPr>
        <w:t xml:space="preserve"> </w:t>
      </w:r>
      <w:r w:rsidR="00A6062C" w:rsidRPr="00384026">
        <w:rPr>
          <w:rFonts w:ascii="Times New Roman" w:hAnsi="Times New Roman" w:cs="Times New Roman"/>
          <w:b/>
          <w:bCs/>
          <w:color w:val="000000" w:themeColor="text1"/>
          <w:shd w:val="clear" w:color="auto" w:fill="FFFFFF"/>
        </w:rPr>
        <w:t>ar pasākuma piemēru</w:t>
      </w:r>
      <w:r w:rsidR="00EC56FD" w:rsidRPr="00384026">
        <w:rPr>
          <w:rStyle w:val="FootnoteReference"/>
          <w:rFonts w:ascii="Times New Roman" w:hAnsi="Times New Roman" w:cs="Times New Roman"/>
          <w:b/>
          <w:bCs/>
          <w:color w:val="000000" w:themeColor="text1"/>
          <w:shd w:val="clear" w:color="auto" w:fill="FFFFFF"/>
        </w:rPr>
        <w:footnoteReference w:id="3"/>
      </w:r>
    </w:p>
    <w:p w14:paraId="74BFF691" w14:textId="77777777" w:rsidR="0013657B" w:rsidRPr="00384026" w:rsidRDefault="002E6C82" w:rsidP="00130D48">
      <w:pPr>
        <w:jc w:val="both"/>
        <w:rPr>
          <w:rFonts w:ascii="Times New Roman" w:hAnsi="Times New Roman" w:cs="Times New Roman"/>
          <w:noProof/>
          <w:color w:val="000000" w:themeColor="text1"/>
          <w:lang w:eastAsia="lv-LV"/>
        </w:rPr>
      </w:pPr>
      <w:r w:rsidRPr="00384026">
        <w:rPr>
          <w:rFonts w:ascii="Times New Roman" w:hAnsi="Times New Roman" w:cs="Times New Roman"/>
          <w:noProof/>
          <w:color w:val="000000" w:themeColor="text1"/>
          <w:lang w:eastAsia="lv-LV"/>
        </w:rPr>
        <mc:AlternateContent>
          <mc:Choice Requires="wps">
            <w:drawing>
              <wp:anchor distT="0" distB="0" distL="114300" distR="114300" simplePos="0" relativeHeight="251659264" behindDoc="0" locked="0" layoutInCell="1" allowOverlap="1" wp14:anchorId="0D6959D3" wp14:editId="1DA7A841">
                <wp:simplePos x="0" y="0"/>
                <wp:positionH relativeFrom="column">
                  <wp:posOffset>165100</wp:posOffset>
                </wp:positionH>
                <wp:positionV relativeFrom="paragraph">
                  <wp:posOffset>210185</wp:posOffset>
                </wp:positionV>
                <wp:extent cx="3180715" cy="1679575"/>
                <wp:effectExtent l="0" t="0" r="19685" b="15875"/>
                <wp:wrapNone/>
                <wp:docPr id="6" name="Rectangle: Rounded Corners 6"/>
                <wp:cNvGraphicFramePr/>
                <a:graphic xmlns:a="http://schemas.openxmlformats.org/drawingml/2006/main">
                  <a:graphicData uri="http://schemas.microsoft.com/office/word/2010/wordprocessingShape">
                    <wps:wsp>
                      <wps:cNvSpPr/>
                      <wps:spPr>
                        <a:xfrm>
                          <a:off x="0" y="0"/>
                          <a:ext cx="3180715" cy="1679575"/>
                        </a:xfrm>
                        <a:prstGeom prst="roundRect">
                          <a:avLst/>
                        </a:prstGeom>
                        <a:solidFill>
                          <a:schemeClr val="lt1">
                            <a:alpha val="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B446AE" id="Rectangle: Rounded Corners 6" o:spid="_x0000_s1026" style="position:absolute;margin-left:13pt;margin-top:16.55pt;width:250.45pt;height:1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" fillcolor="white [3201]" strokecolor="#70ad47 [3209]" strokeweight="1pt">
                <v:fill opacity="0"/>
                <v:stroke joinstyle="miter"/>
              </v:roundrect>
            </w:pict>
          </mc:Fallback>
        </mc:AlternateContent>
      </w:r>
      <w:r w:rsidRPr="00384026">
        <w:rPr>
          <w:rFonts w:ascii="Times New Roman" w:hAnsi="Times New Roman" w:cs="Times New Roman"/>
          <w:b/>
          <w:bCs/>
          <w:noProof/>
          <w:color w:val="000000" w:themeColor="text1"/>
          <w:shd w:val="clear" w:color="auto" w:fill="FFFFFF"/>
          <w:lang w:eastAsia="lv-LV"/>
        </w:rPr>
        <w:drawing>
          <wp:anchor distT="0" distB="0" distL="114300" distR="114300" simplePos="0" relativeHeight="251660288" behindDoc="0" locked="0" layoutInCell="1" allowOverlap="1" wp14:anchorId="43EE8CB8" wp14:editId="31995725">
            <wp:simplePos x="0" y="0"/>
            <wp:positionH relativeFrom="column">
              <wp:posOffset>247650</wp:posOffset>
            </wp:positionH>
            <wp:positionV relativeFrom="paragraph">
              <wp:posOffset>378460</wp:posOffset>
            </wp:positionV>
            <wp:extent cx="5279390" cy="13843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t="28465" b="26568"/>
                    <a:stretch/>
                  </pic:blipFill>
                  <pic:spPr bwMode="auto">
                    <a:xfrm>
                      <a:off x="0" y="0"/>
                      <a:ext cx="5279390" cy="13843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363010E" w14:textId="77777777" w:rsidR="0013657B" w:rsidRPr="00384026" w:rsidRDefault="0013657B" w:rsidP="00130D48">
      <w:pPr>
        <w:jc w:val="both"/>
        <w:rPr>
          <w:rFonts w:ascii="Times New Roman" w:hAnsi="Times New Roman" w:cs="Times New Roman"/>
          <w:color w:val="000000" w:themeColor="text1"/>
          <w:shd w:val="clear" w:color="auto" w:fill="FFFFFF"/>
        </w:rPr>
      </w:pPr>
    </w:p>
    <w:p w14:paraId="082C2A9D" w14:textId="77777777" w:rsidR="0013657B" w:rsidRPr="00384026" w:rsidRDefault="0013657B" w:rsidP="00130D48">
      <w:pPr>
        <w:jc w:val="both"/>
        <w:rPr>
          <w:rFonts w:ascii="Times New Roman" w:hAnsi="Times New Roman" w:cs="Times New Roman"/>
          <w:color w:val="000000" w:themeColor="text1"/>
          <w:sz w:val="24"/>
          <w:szCs w:val="24"/>
          <w:shd w:val="clear" w:color="auto" w:fill="FFFFFF"/>
        </w:rPr>
      </w:pPr>
    </w:p>
    <w:p w14:paraId="216B892D" w14:textId="77777777" w:rsidR="000C73E3" w:rsidRPr="00384026" w:rsidRDefault="000C73E3" w:rsidP="00130D48">
      <w:pPr>
        <w:jc w:val="both"/>
        <w:rPr>
          <w:rFonts w:ascii="Times New Roman" w:hAnsi="Times New Roman" w:cs="Times New Roman"/>
          <w:color w:val="000000" w:themeColor="text1"/>
          <w:sz w:val="24"/>
          <w:szCs w:val="24"/>
          <w:shd w:val="clear" w:color="auto" w:fill="FFFFFF"/>
        </w:rPr>
      </w:pPr>
      <w:r w:rsidRPr="00384026">
        <w:rPr>
          <w:rFonts w:ascii="Times New Roman" w:hAnsi="Times New Roman" w:cs="Times New Roman"/>
          <w:color w:val="000000" w:themeColor="text1"/>
          <w:sz w:val="24"/>
          <w:szCs w:val="24"/>
          <w:shd w:val="clear" w:color="auto" w:fill="FFFFFF"/>
        </w:rPr>
        <w:t xml:space="preserve">Plāna izvērtējuma </w:t>
      </w:r>
      <w:r w:rsidR="0013657B" w:rsidRPr="00384026">
        <w:rPr>
          <w:rFonts w:ascii="Times New Roman" w:hAnsi="Times New Roman" w:cs="Times New Roman"/>
          <w:color w:val="000000" w:themeColor="text1"/>
          <w:sz w:val="24"/>
          <w:szCs w:val="24"/>
          <w:shd w:val="clear" w:color="auto" w:fill="FFFFFF"/>
        </w:rPr>
        <w:t>izstrādē</w:t>
      </w:r>
      <w:r w:rsidRPr="00384026">
        <w:rPr>
          <w:rFonts w:ascii="Times New Roman" w:hAnsi="Times New Roman" w:cs="Times New Roman"/>
          <w:color w:val="000000" w:themeColor="text1"/>
          <w:sz w:val="24"/>
          <w:szCs w:val="24"/>
          <w:shd w:val="clear" w:color="auto" w:fill="FFFFFF"/>
        </w:rPr>
        <w:t xml:space="preserve"> tika izvirzīti </w:t>
      </w:r>
      <w:r w:rsidR="00C73525" w:rsidRPr="00384026">
        <w:rPr>
          <w:rFonts w:ascii="Times New Roman" w:hAnsi="Times New Roman" w:cs="Times New Roman"/>
          <w:color w:val="000000" w:themeColor="text1"/>
          <w:sz w:val="24"/>
          <w:szCs w:val="24"/>
          <w:shd w:val="clear" w:color="auto" w:fill="FFFFFF"/>
        </w:rPr>
        <w:t>divi</w:t>
      </w:r>
      <w:r w:rsidRPr="00384026">
        <w:rPr>
          <w:rFonts w:ascii="Times New Roman" w:hAnsi="Times New Roman" w:cs="Times New Roman"/>
          <w:color w:val="000000" w:themeColor="text1"/>
          <w:sz w:val="24"/>
          <w:szCs w:val="24"/>
          <w:shd w:val="clear" w:color="auto" w:fill="FFFFFF"/>
        </w:rPr>
        <w:t xml:space="preserve"> jautājumi:</w:t>
      </w:r>
    </w:p>
    <w:p w14:paraId="357A4968" w14:textId="051584C1" w:rsidR="000C73E3" w:rsidRPr="00384026" w:rsidRDefault="00D259DA" w:rsidP="000C73E3">
      <w:pPr>
        <w:pStyle w:val="ListParagraph"/>
        <w:numPr>
          <w:ilvl w:val="0"/>
          <w:numId w:val="2"/>
        </w:num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Cik lielā mērā izpildīti P</w:t>
      </w:r>
      <w:r w:rsidR="000C73E3" w:rsidRPr="00384026">
        <w:rPr>
          <w:rFonts w:ascii="Times New Roman" w:hAnsi="Times New Roman" w:cs="Times New Roman"/>
          <w:color w:val="000000" w:themeColor="text1"/>
          <w:sz w:val="24"/>
          <w:szCs w:val="24"/>
          <w:shd w:val="clear" w:color="auto" w:fill="FFFFFF"/>
        </w:rPr>
        <w:t>lānā noteiktie pasākumi?</w:t>
      </w:r>
    </w:p>
    <w:p w14:paraId="2F5EEE41" w14:textId="77777777" w:rsidR="000C73E3" w:rsidRPr="00384026" w:rsidRDefault="000C73E3" w:rsidP="000C73E3">
      <w:pPr>
        <w:pStyle w:val="ListParagraph"/>
        <w:numPr>
          <w:ilvl w:val="0"/>
          <w:numId w:val="2"/>
        </w:numPr>
        <w:jc w:val="both"/>
        <w:rPr>
          <w:rFonts w:ascii="Times New Roman" w:hAnsi="Times New Roman" w:cs="Times New Roman"/>
          <w:color w:val="000000" w:themeColor="text1"/>
          <w:sz w:val="24"/>
          <w:szCs w:val="24"/>
          <w:shd w:val="clear" w:color="auto" w:fill="FFFFFF"/>
        </w:rPr>
      </w:pPr>
      <w:r w:rsidRPr="00384026">
        <w:rPr>
          <w:rFonts w:ascii="Times New Roman" w:hAnsi="Times New Roman" w:cs="Times New Roman"/>
          <w:color w:val="000000" w:themeColor="text1"/>
          <w:sz w:val="24"/>
          <w:szCs w:val="24"/>
          <w:shd w:val="clear" w:color="auto" w:fill="FFFFFF"/>
        </w:rPr>
        <w:t>Kādi ir izpildes veicinošie un kavējošie faktori?</w:t>
      </w:r>
    </w:p>
    <w:p w14:paraId="67E6F46D" w14:textId="77777777" w:rsidR="00F82F3D" w:rsidRPr="00384026" w:rsidRDefault="00F82F3D" w:rsidP="00FC4A58">
      <w:pPr>
        <w:spacing w:after="0"/>
        <w:ind w:firstLine="720"/>
        <w:jc w:val="both"/>
        <w:rPr>
          <w:rFonts w:ascii="Times New Roman" w:hAnsi="Times New Roman" w:cs="Times New Roman"/>
          <w:color w:val="000000" w:themeColor="text1"/>
          <w:sz w:val="24"/>
          <w:szCs w:val="24"/>
          <w:shd w:val="clear" w:color="auto" w:fill="FFFFFF"/>
        </w:rPr>
      </w:pPr>
      <w:r w:rsidRPr="00384026">
        <w:rPr>
          <w:rFonts w:ascii="Times New Roman" w:hAnsi="Times New Roman" w:cs="Times New Roman"/>
          <w:color w:val="000000" w:themeColor="text1"/>
          <w:sz w:val="24"/>
          <w:szCs w:val="24"/>
          <w:shd w:val="clear" w:color="auto" w:fill="FFFFFF"/>
        </w:rPr>
        <w:t xml:space="preserve">Izvērtējuma sagatavošanai pamatā tika izmantoti divi informācijas avoti – iestāžu sniegtā informācija par pasākumu izpildi un </w:t>
      </w:r>
      <w:r w:rsidR="00F62F9A" w:rsidRPr="00384026">
        <w:rPr>
          <w:rFonts w:ascii="Times New Roman" w:hAnsi="Times New Roman" w:cs="Times New Roman"/>
          <w:color w:val="000000" w:themeColor="text1"/>
          <w:sz w:val="24"/>
          <w:szCs w:val="24"/>
          <w:shd w:val="clear" w:color="auto" w:fill="FFFFFF"/>
        </w:rPr>
        <w:t>publiski pieejamā informācija</w:t>
      </w:r>
      <w:r w:rsidRPr="00384026">
        <w:rPr>
          <w:rFonts w:ascii="Times New Roman" w:hAnsi="Times New Roman" w:cs="Times New Roman"/>
          <w:color w:val="000000" w:themeColor="text1"/>
          <w:sz w:val="24"/>
          <w:szCs w:val="24"/>
          <w:shd w:val="clear" w:color="auto" w:fill="FFFFFF"/>
        </w:rPr>
        <w:t>.</w:t>
      </w:r>
    </w:p>
    <w:p w14:paraId="223BD802" w14:textId="77777777" w:rsidR="00EC56FD" w:rsidRPr="00384026" w:rsidRDefault="00CA0C46" w:rsidP="00FC4A58">
      <w:pPr>
        <w:spacing w:after="0"/>
        <w:ind w:firstLine="720"/>
        <w:jc w:val="both"/>
        <w:rPr>
          <w:rFonts w:ascii="Times New Roman" w:hAnsi="Times New Roman" w:cs="Times New Roman"/>
          <w:color w:val="000000" w:themeColor="text1"/>
          <w:sz w:val="24"/>
          <w:szCs w:val="24"/>
          <w:shd w:val="clear" w:color="auto" w:fill="FFFFFF"/>
        </w:rPr>
      </w:pPr>
      <w:r w:rsidRPr="00384026">
        <w:rPr>
          <w:rFonts w:ascii="Times New Roman" w:hAnsi="Times New Roman" w:cs="Times New Roman"/>
          <w:color w:val="000000" w:themeColor="text1"/>
          <w:sz w:val="24"/>
          <w:szCs w:val="24"/>
          <w:shd w:val="clear" w:color="auto" w:fill="FFFFFF"/>
        </w:rPr>
        <w:t>Plāna pasākumu izpildes līmenis noteikts</w:t>
      </w:r>
      <w:r w:rsidR="00F82F3D" w:rsidRPr="00384026">
        <w:rPr>
          <w:rFonts w:ascii="Times New Roman" w:hAnsi="Times New Roman" w:cs="Times New Roman"/>
          <w:color w:val="000000" w:themeColor="text1"/>
          <w:sz w:val="24"/>
          <w:szCs w:val="24"/>
          <w:shd w:val="clear" w:color="auto" w:fill="FFFFFF"/>
        </w:rPr>
        <w:t>, izmantojot satiksmes luksoforu metodi, kur ar sarkano krāsu atzīmēti neizpildītie pasākumi, ar dzelteno atzīmēti daļēji izpildītie pasākumi vai pasākumi, kas atrodas izpildes procesā, un ar zaļo krāsu atzīmēti izpildītie pasākumi.</w:t>
      </w:r>
      <w:r w:rsidR="00EC56FD" w:rsidRPr="00384026">
        <w:rPr>
          <w:rStyle w:val="FootnoteReference"/>
          <w:rFonts w:ascii="Times New Roman" w:hAnsi="Times New Roman" w:cs="Times New Roman"/>
          <w:color w:val="000000" w:themeColor="text1"/>
          <w:sz w:val="24"/>
          <w:szCs w:val="24"/>
          <w:shd w:val="clear" w:color="auto" w:fill="FFFFFF"/>
        </w:rPr>
        <w:footnoteReference w:id="4"/>
      </w:r>
      <w:r w:rsidR="00EC56FD" w:rsidRPr="00384026">
        <w:rPr>
          <w:rFonts w:ascii="Times New Roman" w:hAnsi="Times New Roman" w:cs="Times New Roman"/>
          <w:color w:val="000000" w:themeColor="text1"/>
          <w:sz w:val="24"/>
          <w:szCs w:val="24"/>
          <w:shd w:val="clear" w:color="auto" w:fill="FFFFFF"/>
        </w:rPr>
        <w:t xml:space="preserve"> Lielākoties izpildes vai neizpildes vērtējuma pamatojums nesagādāja grūtības, bet vietās, kur vērtējums nav viennozīmīgs, sniegts papildu skaidrojums (skat. pielikumā).</w:t>
      </w:r>
    </w:p>
    <w:p w14:paraId="6CDA9978" w14:textId="77777777" w:rsidR="00FC4A58" w:rsidRPr="00384026" w:rsidRDefault="00F82F3D" w:rsidP="001422EB">
      <w:pPr>
        <w:spacing w:after="0"/>
        <w:ind w:firstLine="720"/>
        <w:jc w:val="both"/>
        <w:rPr>
          <w:rFonts w:ascii="Times New Roman" w:hAnsi="Times New Roman" w:cs="Times New Roman"/>
          <w:color w:val="000000" w:themeColor="text1"/>
          <w:sz w:val="24"/>
          <w:szCs w:val="24"/>
          <w:shd w:val="clear" w:color="auto" w:fill="FFFFFF"/>
        </w:rPr>
      </w:pPr>
      <w:r w:rsidRPr="00384026">
        <w:rPr>
          <w:rFonts w:ascii="Times New Roman" w:hAnsi="Times New Roman" w:cs="Times New Roman"/>
          <w:color w:val="000000" w:themeColor="text1"/>
          <w:sz w:val="24"/>
          <w:szCs w:val="24"/>
          <w:shd w:val="clear" w:color="auto" w:fill="FFFFFF"/>
        </w:rPr>
        <w:t>Pasākumu izpildes kavējošie un veicinoši faktori apzināti, izmantojot tematiskās analīzes metodi.</w:t>
      </w:r>
      <w:r w:rsidR="00EC56FD" w:rsidRPr="00384026">
        <w:rPr>
          <w:rStyle w:val="FootnoteReference"/>
          <w:rFonts w:ascii="Times New Roman" w:hAnsi="Times New Roman" w:cs="Times New Roman"/>
          <w:color w:val="000000" w:themeColor="text1"/>
          <w:sz w:val="24"/>
          <w:szCs w:val="24"/>
          <w:shd w:val="clear" w:color="auto" w:fill="FFFFFF"/>
        </w:rPr>
        <w:footnoteReference w:id="5"/>
      </w:r>
      <w:r w:rsidR="00CD4F0C" w:rsidRPr="00384026">
        <w:rPr>
          <w:rFonts w:ascii="Times New Roman" w:hAnsi="Times New Roman" w:cs="Times New Roman"/>
          <w:color w:val="000000" w:themeColor="text1"/>
          <w:sz w:val="24"/>
          <w:szCs w:val="24"/>
          <w:shd w:val="clear" w:color="auto" w:fill="FFFFFF"/>
        </w:rPr>
        <w:t xml:space="preserve"> Savukārt, </w:t>
      </w:r>
      <w:r w:rsidR="00C73525" w:rsidRPr="00384026">
        <w:rPr>
          <w:rFonts w:ascii="Times New Roman" w:hAnsi="Times New Roman" w:cs="Times New Roman"/>
          <w:color w:val="000000" w:themeColor="text1"/>
          <w:sz w:val="24"/>
          <w:szCs w:val="24"/>
          <w:shd w:val="clear" w:color="auto" w:fill="FFFFFF"/>
        </w:rPr>
        <w:t>izstrādājot secinājumu sadaļu,</w:t>
      </w:r>
      <w:r w:rsidR="00CD4F0C" w:rsidRPr="00384026">
        <w:rPr>
          <w:rFonts w:ascii="Times New Roman" w:hAnsi="Times New Roman" w:cs="Times New Roman"/>
          <w:color w:val="000000" w:themeColor="text1"/>
          <w:sz w:val="24"/>
          <w:szCs w:val="24"/>
          <w:shd w:val="clear" w:color="auto" w:fill="FFFFFF"/>
        </w:rPr>
        <w:t xml:space="preserve"> tika izmantot</w:t>
      </w:r>
      <w:r w:rsidR="00E209F3" w:rsidRPr="00384026">
        <w:rPr>
          <w:rFonts w:ascii="Times New Roman" w:hAnsi="Times New Roman" w:cs="Times New Roman"/>
          <w:color w:val="000000" w:themeColor="text1"/>
          <w:sz w:val="24"/>
          <w:szCs w:val="24"/>
          <w:shd w:val="clear" w:color="auto" w:fill="FFFFFF"/>
        </w:rPr>
        <w:t>a informācija no ziņojuma par "Par </w:t>
      </w:r>
      <w:r w:rsidR="00E209F3" w:rsidRPr="00384026">
        <w:rPr>
          <w:rStyle w:val="Emphasis"/>
          <w:rFonts w:ascii="Times New Roman" w:hAnsi="Times New Roman" w:cs="Times New Roman"/>
          <w:bCs/>
          <w:i w:val="0"/>
          <w:iCs w:val="0"/>
          <w:color w:val="000000" w:themeColor="text1"/>
          <w:sz w:val="24"/>
          <w:szCs w:val="24"/>
          <w:shd w:val="clear" w:color="auto" w:fill="FFFFFF"/>
        </w:rPr>
        <w:t>Narkotisko</w:t>
      </w:r>
      <w:r w:rsidR="00E209F3" w:rsidRPr="00384026">
        <w:rPr>
          <w:rFonts w:ascii="Times New Roman" w:hAnsi="Times New Roman" w:cs="Times New Roman"/>
          <w:color w:val="000000" w:themeColor="text1"/>
          <w:sz w:val="24"/>
          <w:szCs w:val="24"/>
          <w:shd w:val="clear" w:color="auto" w:fill="FFFFFF"/>
        </w:rPr>
        <w:t> un psihotropo </w:t>
      </w:r>
      <w:r w:rsidR="00E209F3" w:rsidRPr="00384026">
        <w:rPr>
          <w:rStyle w:val="Emphasis"/>
          <w:rFonts w:ascii="Times New Roman" w:hAnsi="Times New Roman" w:cs="Times New Roman"/>
          <w:bCs/>
          <w:i w:val="0"/>
          <w:iCs w:val="0"/>
          <w:color w:val="000000" w:themeColor="text1"/>
          <w:sz w:val="24"/>
          <w:szCs w:val="24"/>
          <w:shd w:val="clear" w:color="auto" w:fill="FFFFFF"/>
        </w:rPr>
        <w:t>vielu</w:t>
      </w:r>
      <w:r w:rsidR="00E209F3" w:rsidRPr="00384026">
        <w:rPr>
          <w:rFonts w:ascii="Times New Roman" w:hAnsi="Times New Roman" w:cs="Times New Roman"/>
          <w:color w:val="000000" w:themeColor="text1"/>
          <w:sz w:val="24"/>
          <w:szCs w:val="24"/>
          <w:shd w:val="clear" w:color="auto" w:fill="FFFFFF"/>
        </w:rPr>
        <w:t> un to atkarības ierobežošanas un kontroles pamatnostādņu 2011.-2017.</w:t>
      </w:r>
      <w:r w:rsidR="008757A6">
        <w:rPr>
          <w:rFonts w:ascii="Times New Roman" w:hAnsi="Times New Roman" w:cs="Times New Roman"/>
          <w:color w:val="000000" w:themeColor="text1"/>
          <w:sz w:val="24"/>
          <w:szCs w:val="24"/>
          <w:shd w:val="clear" w:color="auto" w:fill="FFFFFF"/>
        </w:rPr>
        <w:t> </w:t>
      </w:r>
      <w:r w:rsidR="00E209F3" w:rsidRPr="00384026">
        <w:rPr>
          <w:rFonts w:ascii="Times New Roman" w:hAnsi="Times New Roman" w:cs="Times New Roman"/>
          <w:color w:val="000000" w:themeColor="text1"/>
          <w:sz w:val="24"/>
          <w:szCs w:val="24"/>
          <w:shd w:val="clear" w:color="auto" w:fill="FFFFFF"/>
        </w:rPr>
        <w:t>gadam izpildi", kā arī jaunāki dati no dažādiem pētījumiem un ziņojumiem.</w:t>
      </w:r>
    </w:p>
    <w:p w14:paraId="193E7B25" w14:textId="77777777" w:rsidR="00E209F3" w:rsidRPr="00384026" w:rsidRDefault="00CA0C46" w:rsidP="00FC4A58">
      <w:pPr>
        <w:spacing w:after="0"/>
        <w:ind w:firstLine="720"/>
        <w:jc w:val="both"/>
        <w:rPr>
          <w:rFonts w:ascii="Times New Roman" w:hAnsi="Times New Roman" w:cs="Times New Roman"/>
          <w:color w:val="000000" w:themeColor="text1"/>
          <w:sz w:val="24"/>
          <w:szCs w:val="24"/>
          <w:shd w:val="clear" w:color="auto" w:fill="FFFFFF"/>
        </w:rPr>
      </w:pPr>
      <w:r w:rsidRPr="00384026">
        <w:rPr>
          <w:rFonts w:ascii="Times New Roman" w:hAnsi="Times New Roman" w:cs="Times New Roman"/>
          <w:color w:val="000000" w:themeColor="text1"/>
          <w:sz w:val="24"/>
          <w:szCs w:val="24"/>
          <w:shd w:val="clear" w:color="auto" w:fill="FFFFFF"/>
        </w:rPr>
        <w:t>Z</w:t>
      </w:r>
      <w:r w:rsidR="00E209F3" w:rsidRPr="00384026">
        <w:rPr>
          <w:rFonts w:ascii="Times New Roman" w:hAnsi="Times New Roman" w:cs="Times New Roman"/>
          <w:color w:val="000000" w:themeColor="text1"/>
          <w:sz w:val="24"/>
          <w:szCs w:val="24"/>
          <w:shd w:val="clear" w:color="auto" w:fill="FFFFFF"/>
        </w:rPr>
        <w:t xml:space="preserve">iņojums strukturēts </w:t>
      </w:r>
      <w:r w:rsidRPr="00384026">
        <w:rPr>
          <w:rFonts w:ascii="Times New Roman" w:hAnsi="Times New Roman" w:cs="Times New Roman"/>
          <w:color w:val="000000" w:themeColor="text1"/>
          <w:sz w:val="24"/>
          <w:szCs w:val="24"/>
          <w:shd w:val="clear" w:color="auto" w:fill="FFFFFF"/>
        </w:rPr>
        <w:t>trīs</w:t>
      </w:r>
      <w:r w:rsidR="002E6C82" w:rsidRPr="00384026">
        <w:rPr>
          <w:rFonts w:ascii="Times New Roman" w:hAnsi="Times New Roman" w:cs="Times New Roman"/>
          <w:color w:val="000000" w:themeColor="text1"/>
          <w:sz w:val="24"/>
          <w:szCs w:val="24"/>
          <w:shd w:val="clear" w:color="auto" w:fill="FFFFFF"/>
        </w:rPr>
        <w:t xml:space="preserve"> </w:t>
      </w:r>
      <w:r w:rsidR="00E209F3" w:rsidRPr="00384026">
        <w:rPr>
          <w:rFonts w:ascii="Times New Roman" w:hAnsi="Times New Roman" w:cs="Times New Roman"/>
          <w:color w:val="000000" w:themeColor="text1"/>
          <w:sz w:val="24"/>
          <w:szCs w:val="24"/>
          <w:shd w:val="clear" w:color="auto" w:fill="FFFFFF"/>
        </w:rPr>
        <w:t>nodaļās – pasākumu izpilde</w:t>
      </w:r>
      <w:r w:rsidRPr="00384026">
        <w:rPr>
          <w:rFonts w:ascii="Times New Roman" w:hAnsi="Times New Roman" w:cs="Times New Roman"/>
          <w:color w:val="000000" w:themeColor="text1"/>
          <w:sz w:val="24"/>
          <w:szCs w:val="24"/>
          <w:shd w:val="clear" w:color="auto" w:fill="FFFFFF"/>
        </w:rPr>
        <w:t xml:space="preserve">, </w:t>
      </w:r>
      <w:r w:rsidR="00E209F3" w:rsidRPr="00384026">
        <w:rPr>
          <w:rFonts w:ascii="Times New Roman" w:hAnsi="Times New Roman" w:cs="Times New Roman"/>
          <w:color w:val="000000" w:themeColor="text1"/>
          <w:sz w:val="24"/>
          <w:szCs w:val="24"/>
          <w:shd w:val="clear" w:color="auto" w:fill="FFFFFF"/>
        </w:rPr>
        <w:t>izlietotais finansējums</w:t>
      </w:r>
      <w:r w:rsidRPr="00384026">
        <w:rPr>
          <w:rFonts w:ascii="Times New Roman" w:hAnsi="Times New Roman" w:cs="Times New Roman"/>
          <w:color w:val="000000" w:themeColor="text1"/>
          <w:sz w:val="24"/>
          <w:szCs w:val="24"/>
          <w:shd w:val="clear" w:color="auto" w:fill="FFFFFF"/>
        </w:rPr>
        <w:t>, secinājumi</w:t>
      </w:r>
      <w:r w:rsidR="00E209F3" w:rsidRPr="00384026">
        <w:rPr>
          <w:rFonts w:ascii="Times New Roman" w:hAnsi="Times New Roman" w:cs="Times New Roman"/>
          <w:color w:val="000000" w:themeColor="text1"/>
          <w:sz w:val="24"/>
          <w:szCs w:val="24"/>
          <w:shd w:val="clear" w:color="auto" w:fill="FFFFFF"/>
        </w:rPr>
        <w:t>. Papildus</w:t>
      </w:r>
      <w:r w:rsidR="002E6C82" w:rsidRPr="00384026">
        <w:rPr>
          <w:rFonts w:ascii="Times New Roman" w:hAnsi="Times New Roman" w:cs="Times New Roman"/>
          <w:color w:val="000000" w:themeColor="text1"/>
          <w:sz w:val="24"/>
          <w:szCs w:val="24"/>
          <w:shd w:val="clear" w:color="auto" w:fill="FFFFFF"/>
        </w:rPr>
        <w:t>,</w:t>
      </w:r>
      <w:r w:rsidR="00E209F3" w:rsidRPr="00384026">
        <w:rPr>
          <w:rFonts w:ascii="Times New Roman" w:hAnsi="Times New Roman" w:cs="Times New Roman"/>
          <w:color w:val="000000" w:themeColor="text1"/>
          <w:sz w:val="24"/>
          <w:szCs w:val="24"/>
          <w:shd w:val="clear" w:color="auto" w:fill="FFFFFF"/>
        </w:rPr>
        <w:t xml:space="preserve"> ziņojuma pielikumā iekļauta detalizēta informācija par katra uzdevuma izpildes gaitu. </w:t>
      </w:r>
    </w:p>
    <w:p w14:paraId="0D06F94F" w14:textId="77777777" w:rsidR="00A15E6F" w:rsidRPr="00384026" w:rsidRDefault="00A15E6F" w:rsidP="00A15E6F">
      <w:pPr>
        <w:rPr>
          <w:rFonts w:ascii="Times New Roman" w:hAnsi="Times New Roman" w:cs="Times New Roman"/>
          <w:color w:val="000000" w:themeColor="text1"/>
          <w:lang w:eastAsia="lv-LV"/>
        </w:rPr>
      </w:pPr>
    </w:p>
    <w:p w14:paraId="5F970E62" w14:textId="77777777" w:rsidR="00A15E6F" w:rsidRPr="00384026" w:rsidRDefault="00A15E6F" w:rsidP="00A15E6F">
      <w:pPr>
        <w:jc w:val="right"/>
        <w:rPr>
          <w:rFonts w:ascii="Times New Roman" w:hAnsi="Times New Roman" w:cs="Times New Roman"/>
          <w:color w:val="000000" w:themeColor="text1"/>
          <w:lang w:eastAsia="lv-LV"/>
        </w:rPr>
      </w:pPr>
    </w:p>
    <w:p w14:paraId="410FB8C4" w14:textId="77777777" w:rsidR="00A15E6F" w:rsidRPr="00384026" w:rsidRDefault="00A15E6F" w:rsidP="00A15E6F">
      <w:pPr>
        <w:rPr>
          <w:rFonts w:ascii="Times New Roman" w:hAnsi="Times New Roman" w:cs="Times New Roman"/>
          <w:color w:val="000000" w:themeColor="text1"/>
          <w:lang w:eastAsia="lv-LV"/>
        </w:rPr>
      </w:pPr>
    </w:p>
    <w:p w14:paraId="13301803" w14:textId="77777777" w:rsidR="00E209F3" w:rsidRPr="00384026" w:rsidRDefault="00E209F3" w:rsidP="00A15E6F">
      <w:pPr>
        <w:rPr>
          <w:rFonts w:ascii="Times New Roman" w:hAnsi="Times New Roman" w:cs="Times New Roman"/>
          <w:color w:val="000000" w:themeColor="text1"/>
          <w:lang w:eastAsia="lv-LV"/>
        </w:rPr>
        <w:sectPr w:rsidR="00E209F3" w:rsidRPr="00384026" w:rsidSect="001422EB">
          <w:pgSz w:w="11906" w:h="16838"/>
          <w:pgMar w:top="1134" w:right="1134" w:bottom="1134" w:left="1701" w:header="709" w:footer="709" w:gutter="0"/>
          <w:cols w:space="708"/>
          <w:docGrid w:linePitch="360"/>
        </w:sectPr>
      </w:pPr>
    </w:p>
    <w:p w14:paraId="3715F8A4" w14:textId="77777777" w:rsidR="007C5216" w:rsidRPr="00384026" w:rsidRDefault="00E209F3" w:rsidP="00CA4DF6">
      <w:pPr>
        <w:pStyle w:val="Heading2"/>
        <w:numPr>
          <w:ilvl w:val="0"/>
          <w:numId w:val="6"/>
        </w:numPr>
        <w:rPr>
          <w:rFonts w:ascii="Times New Roman" w:hAnsi="Times New Roman" w:cs="Times New Roman"/>
          <w:b/>
          <w:bCs/>
          <w:noProof/>
          <w:color w:val="000000" w:themeColor="text1"/>
          <w:sz w:val="28"/>
          <w:szCs w:val="28"/>
          <w:lang w:eastAsia="lv-LV"/>
        </w:rPr>
      </w:pPr>
      <w:bookmarkStart w:id="3" w:name="_Toc78372606"/>
      <w:r w:rsidRPr="00384026">
        <w:rPr>
          <w:rFonts w:ascii="Times New Roman" w:hAnsi="Times New Roman" w:cs="Times New Roman"/>
          <w:b/>
          <w:bCs/>
          <w:noProof/>
          <w:color w:val="000000" w:themeColor="text1"/>
          <w:sz w:val="28"/>
          <w:szCs w:val="28"/>
          <w:lang w:eastAsia="lv-LV"/>
        </w:rPr>
        <w:lastRenderedPageBreak/>
        <w:t>Plānā noteikto pasākumu izpilde</w:t>
      </w:r>
      <w:bookmarkEnd w:id="3"/>
    </w:p>
    <w:p w14:paraId="60F08557" w14:textId="77777777" w:rsidR="00427CC3" w:rsidRPr="00384026" w:rsidRDefault="00427CC3" w:rsidP="00427CC3">
      <w:pPr>
        <w:rPr>
          <w:rFonts w:ascii="Times New Roman" w:hAnsi="Times New Roman" w:cs="Times New Roman"/>
          <w:lang w:eastAsia="lv-LV"/>
        </w:rPr>
      </w:pPr>
    </w:p>
    <w:p w14:paraId="06384BAD" w14:textId="77777777" w:rsidR="00CA4DF6" w:rsidRPr="00384026" w:rsidRDefault="00CA4DF6" w:rsidP="00CA4DF6">
      <w:pPr>
        <w:pStyle w:val="Heading3"/>
        <w:ind w:left="720"/>
        <w:rPr>
          <w:rFonts w:ascii="Times New Roman" w:hAnsi="Times New Roman" w:cs="Times New Roman"/>
          <w:b/>
          <w:bCs/>
          <w:color w:val="auto"/>
          <w:lang w:eastAsia="lv-LV"/>
        </w:rPr>
      </w:pPr>
      <w:bookmarkStart w:id="4" w:name="_Toc78372607"/>
      <w:r w:rsidRPr="00384026">
        <w:rPr>
          <w:rFonts w:ascii="Times New Roman" w:hAnsi="Times New Roman" w:cs="Times New Roman"/>
          <w:b/>
          <w:bCs/>
          <w:color w:val="auto"/>
          <w:lang w:eastAsia="lv-LV"/>
        </w:rPr>
        <w:t>1.1. Vispārēja informācija par izpildi</w:t>
      </w:r>
      <w:bookmarkEnd w:id="4"/>
    </w:p>
    <w:p w14:paraId="38BBE2FF" w14:textId="77777777" w:rsidR="00BB7284" w:rsidRPr="00384026" w:rsidRDefault="00BB7284" w:rsidP="00BB7284">
      <w:pPr>
        <w:pStyle w:val="NormalWeb"/>
        <w:shd w:val="clear" w:color="auto" w:fill="FFFFFF"/>
        <w:spacing w:before="0" w:beforeAutospacing="0" w:after="0" w:afterAutospacing="0" w:line="276" w:lineRule="auto"/>
        <w:ind w:firstLine="720"/>
        <w:jc w:val="both"/>
        <w:rPr>
          <w:color w:val="000000" w:themeColor="text1"/>
          <w:shd w:val="clear" w:color="auto" w:fill="FFFFFF"/>
          <w:lang w:val="lv-LV"/>
        </w:rPr>
      </w:pPr>
    </w:p>
    <w:p w14:paraId="1B001E7D" w14:textId="413D2E2C" w:rsidR="00427CC3" w:rsidRPr="00384026" w:rsidRDefault="00BB7284" w:rsidP="00BB7284">
      <w:pPr>
        <w:pStyle w:val="NormalWeb"/>
        <w:shd w:val="clear" w:color="auto" w:fill="FFFFFF"/>
        <w:spacing w:before="0" w:beforeAutospacing="0" w:after="0" w:afterAutospacing="0" w:line="276" w:lineRule="auto"/>
        <w:ind w:firstLine="720"/>
        <w:jc w:val="both"/>
        <w:rPr>
          <w:color w:val="000000" w:themeColor="text1"/>
          <w:lang w:val="lv-LV"/>
        </w:rPr>
      </w:pPr>
      <w:r w:rsidRPr="00384026">
        <w:rPr>
          <w:color w:val="000000" w:themeColor="text1"/>
          <w:shd w:val="clear" w:color="auto" w:fill="FFFFFF"/>
          <w:lang w:val="lv-LV"/>
        </w:rPr>
        <w:t xml:space="preserve">Narkotiku politika ir izteikti starpdisciplināra joma, kuras veiksmīgai īstenošanai nepieciešama laba sadarbība starp visām iesaistītajām nozarēm. Politikas ietvaru veido divi pīlāri </w:t>
      </w:r>
      <w:r w:rsidR="009132FF">
        <w:rPr>
          <w:color w:val="000000" w:themeColor="text1"/>
          <w:shd w:val="clear" w:color="auto" w:fill="FFFFFF"/>
          <w:lang w:val="lv-LV"/>
        </w:rPr>
        <w:t>–</w:t>
      </w:r>
      <w:r w:rsidRPr="00384026">
        <w:rPr>
          <w:color w:val="000000" w:themeColor="text1"/>
          <w:shd w:val="clear" w:color="auto" w:fill="FFFFFF"/>
          <w:lang w:val="lv-LV"/>
        </w:rPr>
        <w:t xml:space="preserve"> pieprasījuma samazināšana un piedāvājuma samazināšana. Narkotiku pieprasījuma samazināšanā ietverti profilakses, kaitējuma mazināšana</w:t>
      </w:r>
      <w:r w:rsidR="009132FF">
        <w:rPr>
          <w:color w:val="000000" w:themeColor="text1"/>
          <w:shd w:val="clear" w:color="auto" w:fill="FFFFFF"/>
          <w:lang w:val="lv-LV"/>
        </w:rPr>
        <w:t>s</w:t>
      </w:r>
      <w:r w:rsidRPr="00384026">
        <w:rPr>
          <w:color w:val="000000" w:themeColor="text1"/>
          <w:shd w:val="clear" w:color="auto" w:fill="FFFFFF"/>
          <w:lang w:val="lv-LV"/>
        </w:rPr>
        <w:t>,</w:t>
      </w:r>
      <w:r w:rsidR="00CA0C46" w:rsidRPr="00384026">
        <w:rPr>
          <w:rStyle w:val="FootnoteReference"/>
          <w:color w:val="000000" w:themeColor="text1"/>
          <w:shd w:val="clear" w:color="auto" w:fill="FFFFFF"/>
          <w:lang w:val="lv-LV"/>
        </w:rPr>
        <w:footnoteReference w:id="6"/>
      </w:r>
      <w:r w:rsidRPr="00384026">
        <w:rPr>
          <w:color w:val="000000" w:themeColor="text1"/>
          <w:shd w:val="clear" w:color="auto" w:fill="FFFFFF"/>
          <w:lang w:val="lv-LV"/>
        </w:rPr>
        <w:t xml:space="preserve"> ārstniecības un sociālās rehabilitācijas pasākumi, savukārt piedāvājuma samazināšana attiecināma uz tiesībaizsardzības iestāžu īstenotajiem pasākumiem, sodu politiku, kā arī vielu legālās aprites nosacījumiem. </w:t>
      </w:r>
      <w:r w:rsidR="00CA0C46" w:rsidRPr="00384026">
        <w:rPr>
          <w:color w:val="000000" w:themeColor="text1"/>
          <w:shd w:val="clear" w:color="auto" w:fill="FFFFFF"/>
          <w:lang w:val="lv-LV"/>
        </w:rPr>
        <w:t xml:space="preserve">Papildus šiem diviem pīlāriem, ir noteiktas vairākas horizontālās tēmas </w:t>
      </w:r>
      <w:r w:rsidR="009132FF">
        <w:rPr>
          <w:color w:val="000000" w:themeColor="text1"/>
          <w:shd w:val="clear" w:color="auto" w:fill="FFFFFF"/>
          <w:lang w:val="lv-LV"/>
        </w:rPr>
        <w:t>–</w:t>
      </w:r>
      <w:r w:rsidR="00CA0C46" w:rsidRPr="00384026">
        <w:rPr>
          <w:color w:val="000000" w:themeColor="text1"/>
          <w:shd w:val="clear" w:color="auto" w:fill="FFFFFF"/>
          <w:lang w:val="lv-LV"/>
        </w:rPr>
        <w:t xml:space="preserve"> izpēte</w:t>
      </w:r>
      <w:r w:rsidRPr="00384026">
        <w:rPr>
          <w:color w:val="000000" w:themeColor="text1"/>
          <w:shd w:val="clear" w:color="auto" w:fill="FFFFFF"/>
          <w:lang w:val="lv-LV"/>
        </w:rPr>
        <w:t xml:space="preserve">, informācijas </w:t>
      </w:r>
      <w:r w:rsidR="009132FF">
        <w:rPr>
          <w:color w:val="000000" w:themeColor="text1"/>
          <w:shd w:val="clear" w:color="auto" w:fill="FFFFFF"/>
          <w:lang w:val="lv-LV"/>
        </w:rPr>
        <w:t>apkopošana</w:t>
      </w:r>
      <w:r w:rsidRPr="00384026">
        <w:rPr>
          <w:color w:val="000000" w:themeColor="text1"/>
          <w:shd w:val="clear" w:color="auto" w:fill="FFFFFF"/>
          <w:lang w:val="lv-LV"/>
        </w:rPr>
        <w:t xml:space="preserve">, starptautiskās sadarbība, kā arī </w:t>
      </w:r>
      <w:r w:rsidR="00CA0C46" w:rsidRPr="00384026">
        <w:rPr>
          <w:color w:val="000000" w:themeColor="text1"/>
          <w:shd w:val="clear" w:color="auto" w:fill="FFFFFF"/>
          <w:lang w:val="lv-LV"/>
        </w:rPr>
        <w:t xml:space="preserve">normatīvā regulējuma </w:t>
      </w:r>
      <w:r w:rsidRPr="00384026">
        <w:rPr>
          <w:color w:val="000000" w:themeColor="text1"/>
          <w:shd w:val="clear" w:color="auto" w:fill="FFFFFF"/>
          <w:lang w:val="lv-LV"/>
        </w:rPr>
        <w:t>dimensija</w:t>
      </w:r>
      <w:r w:rsidR="00CA0C46" w:rsidRPr="00384026">
        <w:rPr>
          <w:color w:val="000000" w:themeColor="text1"/>
          <w:shd w:val="clear" w:color="auto" w:fill="FFFFFF"/>
          <w:lang w:val="lv-LV"/>
        </w:rPr>
        <w:t>, kas</w:t>
      </w:r>
      <w:r w:rsidRPr="00384026">
        <w:rPr>
          <w:color w:val="000000" w:themeColor="text1"/>
          <w:shd w:val="clear" w:color="auto" w:fill="FFFFFF"/>
          <w:lang w:val="lv-LV"/>
        </w:rPr>
        <w:t xml:space="preserve"> attiecināmas uz visu politiku. </w:t>
      </w:r>
    </w:p>
    <w:p w14:paraId="6E9E70AF" w14:textId="6047DE8E" w:rsidR="00BB7284" w:rsidRPr="00384026" w:rsidRDefault="00CA0C46" w:rsidP="00BB7284">
      <w:pPr>
        <w:pStyle w:val="NormalWeb"/>
        <w:shd w:val="clear" w:color="auto" w:fill="FFFFFF"/>
        <w:spacing w:before="0" w:beforeAutospacing="0" w:after="0" w:afterAutospacing="0" w:line="276" w:lineRule="auto"/>
        <w:ind w:firstLine="720"/>
        <w:jc w:val="both"/>
        <w:rPr>
          <w:color w:val="000000" w:themeColor="text1"/>
          <w:lang w:val="lv-LV"/>
        </w:rPr>
      </w:pPr>
      <w:r w:rsidRPr="00384026">
        <w:rPr>
          <w:color w:val="000000" w:themeColor="text1"/>
          <w:lang w:val="lv-LV"/>
        </w:rPr>
        <w:t>P</w:t>
      </w:r>
      <w:r w:rsidR="00BB7284" w:rsidRPr="00384026">
        <w:rPr>
          <w:color w:val="000000" w:themeColor="text1"/>
          <w:lang w:val="lv-LV"/>
        </w:rPr>
        <w:t>lāns tika izstrādāts atbilstoši tobrīd spēkā esošajai ES Narkotiku stratēģijai 2013.</w:t>
      </w:r>
      <w:r w:rsidR="009132FF">
        <w:rPr>
          <w:color w:val="000000" w:themeColor="text1"/>
          <w:lang w:val="lv-LV"/>
        </w:rPr>
        <w:t>-</w:t>
      </w:r>
      <w:r w:rsidR="00BB7284" w:rsidRPr="00384026">
        <w:rPr>
          <w:color w:val="000000" w:themeColor="text1"/>
          <w:lang w:val="lv-LV"/>
        </w:rPr>
        <w:t>2020.</w:t>
      </w:r>
      <w:r w:rsidR="002B7AFF">
        <w:rPr>
          <w:color w:val="000000" w:themeColor="text1"/>
          <w:lang w:val="lv-LV"/>
        </w:rPr>
        <w:t> </w:t>
      </w:r>
      <w:r w:rsidR="00BB7284" w:rsidRPr="00384026">
        <w:rPr>
          <w:color w:val="000000" w:themeColor="text1"/>
          <w:lang w:val="lv-LV"/>
        </w:rPr>
        <w:t>gadam un ietvēra pieprasījuma samazināšanas, piedāvājuma samazināšanas</w:t>
      </w:r>
      <w:r w:rsidR="009132FF">
        <w:rPr>
          <w:color w:val="000000" w:themeColor="text1"/>
          <w:lang w:val="lv-LV"/>
        </w:rPr>
        <w:t>,</w:t>
      </w:r>
      <w:r w:rsidR="002B7AFF">
        <w:rPr>
          <w:color w:val="000000" w:themeColor="text1"/>
          <w:lang w:val="lv-LV"/>
        </w:rPr>
        <w:t xml:space="preserve"> </w:t>
      </w:r>
      <w:r w:rsidR="00FC4A58" w:rsidRPr="00384026">
        <w:rPr>
          <w:color w:val="000000" w:themeColor="text1"/>
          <w:lang w:val="lv-LV"/>
        </w:rPr>
        <w:t>koordinācijas</w:t>
      </w:r>
      <w:r w:rsidR="009132FF">
        <w:rPr>
          <w:color w:val="000000" w:themeColor="text1"/>
          <w:lang w:val="lv-LV"/>
        </w:rPr>
        <w:t xml:space="preserve"> un</w:t>
      </w:r>
      <w:r w:rsidR="00FC4A58" w:rsidRPr="00384026">
        <w:rPr>
          <w:color w:val="000000" w:themeColor="text1"/>
          <w:lang w:val="lv-LV"/>
        </w:rPr>
        <w:t xml:space="preserve"> izpētes dimensijas. </w:t>
      </w:r>
    </w:p>
    <w:p w14:paraId="29393F9E" w14:textId="65F43EFB" w:rsidR="00416152" w:rsidRPr="00384026" w:rsidRDefault="007C5216" w:rsidP="00BB7284">
      <w:pPr>
        <w:pStyle w:val="NormalWeb"/>
        <w:shd w:val="clear" w:color="auto" w:fill="FFFFFF"/>
        <w:spacing w:before="0" w:beforeAutospacing="0" w:after="0" w:afterAutospacing="0" w:line="276" w:lineRule="auto"/>
        <w:ind w:firstLine="720"/>
        <w:jc w:val="both"/>
        <w:rPr>
          <w:color w:val="000000" w:themeColor="text1"/>
          <w:lang w:val="lv-LV"/>
        </w:rPr>
      </w:pPr>
      <w:r w:rsidRPr="00384026">
        <w:rPr>
          <w:color w:val="000000" w:themeColor="text1"/>
          <w:lang w:val="lv-LV"/>
        </w:rPr>
        <w:t>Mērķu sasniegšanai laika posmā no 2019. līdz 2020.</w:t>
      </w:r>
      <w:r w:rsidR="008D22AC" w:rsidRPr="00384026">
        <w:rPr>
          <w:color w:val="000000" w:themeColor="text1"/>
          <w:lang w:val="lv-LV"/>
        </w:rPr>
        <w:t> </w:t>
      </w:r>
      <w:r w:rsidRPr="00384026">
        <w:rPr>
          <w:color w:val="000000" w:themeColor="text1"/>
          <w:lang w:val="lv-LV"/>
        </w:rPr>
        <w:t xml:space="preserve">gadam kopā ir izvirzīti </w:t>
      </w:r>
      <w:r w:rsidR="00BB7284" w:rsidRPr="00384026">
        <w:rPr>
          <w:color w:val="000000" w:themeColor="text1"/>
          <w:lang w:val="lv-LV"/>
        </w:rPr>
        <w:t>28</w:t>
      </w:r>
      <w:r w:rsidR="0048696D" w:rsidRPr="00384026">
        <w:rPr>
          <w:color w:val="000000" w:themeColor="text1"/>
          <w:lang w:val="lv-LV"/>
        </w:rPr>
        <w:t xml:space="preserve"> </w:t>
      </w:r>
      <w:r w:rsidR="00BB7284" w:rsidRPr="00384026">
        <w:rPr>
          <w:color w:val="000000" w:themeColor="text1"/>
          <w:lang w:val="lv-LV"/>
        </w:rPr>
        <w:t>pasākumi</w:t>
      </w:r>
      <w:r w:rsidR="00EA5C36" w:rsidRPr="00384026">
        <w:rPr>
          <w:color w:val="000000" w:themeColor="text1"/>
          <w:lang w:val="lv-LV"/>
        </w:rPr>
        <w:t xml:space="preserve"> (3</w:t>
      </w:r>
      <w:r w:rsidR="002B7AFF">
        <w:rPr>
          <w:color w:val="000000" w:themeColor="text1"/>
          <w:lang w:val="lv-LV"/>
        </w:rPr>
        <w:t>3</w:t>
      </w:r>
      <w:r w:rsidR="000C032C">
        <w:rPr>
          <w:color w:val="000000" w:themeColor="text1"/>
          <w:lang w:val="lv-LV"/>
        </w:rPr>
        <w:t xml:space="preserve"> kopā </w:t>
      </w:r>
      <w:r w:rsidR="00F42DC4" w:rsidRPr="00384026">
        <w:rPr>
          <w:color w:val="000000" w:themeColor="text1"/>
          <w:lang w:val="lv-LV"/>
        </w:rPr>
        <w:t>ar apakšpasākumi</w:t>
      </w:r>
      <w:r w:rsidR="00D04851" w:rsidRPr="00384026">
        <w:rPr>
          <w:color w:val="000000" w:themeColor="text1"/>
          <w:lang w:val="lv-LV"/>
        </w:rPr>
        <w:t>em</w:t>
      </w:r>
      <w:r w:rsidR="0048696D" w:rsidRPr="00384026">
        <w:rPr>
          <w:color w:val="000000" w:themeColor="text1"/>
          <w:lang w:val="lv-LV"/>
        </w:rPr>
        <w:t>)</w:t>
      </w:r>
      <w:r w:rsidR="00D04851" w:rsidRPr="00384026">
        <w:rPr>
          <w:color w:val="000000" w:themeColor="text1"/>
          <w:lang w:val="lv-LV"/>
        </w:rPr>
        <w:t>,</w:t>
      </w:r>
      <w:r w:rsidRPr="00384026">
        <w:rPr>
          <w:color w:val="000000" w:themeColor="text1"/>
          <w:lang w:val="lv-LV"/>
        </w:rPr>
        <w:t xml:space="preserve"> kas iedalīti</w:t>
      </w:r>
      <w:r w:rsidR="008757A6">
        <w:rPr>
          <w:color w:val="000000" w:themeColor="text1"/>
          <w:lang w:val="lv-LV"/>
        </w:rPr>
        <w:t xml:space="preserve"> </w:t>
      </w:r>
      <w:r w:rsidRPr="00384026">
        <w:rPr>
          <w:bCs/>
          <w:color w:val="000000" w:themeColor="text1"/>
          <w:lang w:val="lv-LV"/>
        </w:rPr>
        <w:t>3 rīcības virzienos</w:t>
      </w:r>
      <w:r w:rsidR="0052255B" w:rsidRPr="00384026">
        <w:rPr>
          <w:color w:val="000000" w:themeColor="text1"/>
          <w:lang w:val="lv-LV"/>
        </w:rPr>
        <w:t>, pakārtojot tos katram Plāna apakšmērķim</w:t>
      </w:r>
      <w:r w:rsidR="00D04851" w:rsidRPr="00384026">
        <w:rPr>
          <w:color w:val="000000" w:themeColor="text1"/>
          <w:lang w:val="lv-LV"/>
        </w:rPr>
        <w:t xml:space="preserve"> (skat. 2. attēlu)</w:t>
      </w:r>
      <w:r w:rsidR="0048696D" w:rsidRPr="00384026">
        <w:rPr>
          <w:color w:val="000000" w:themeColor="text1"/>
          <w:lang w:val="lv-LV"/>
        </w:rPr>
        <w:t>.</w:t>
      </w:r>
    </w:p>
    <w:p w14:paraId="144A5722" w14:textId="77777777" w:rsidR="000253F0" w:rsidRPr="00384026" w:rsidRDefault="000253F0" w:rsidP="00416152">
      <w:pPr>
        <w:pStyle w:val="NormalWeb"/>
        <w:shd w:val="clear" w:color="auto" w:fill="FFFFFF"/>
        <w:spacing w:before="0" w:beforeAutospacing="0" w:after="0" w:afterAutospacing="0" w:line="293" w:lineRule="atLeast"/>
        <w:ind w:firstLine="302"/>
        <w:rPr>
          <w:color w:val="000000" w:themeColor="text1"/>
          <w:sz w:val="22"/>
          <w:szCs w:val="22"/>
          <w:lang w:val="lv-LV"/>
        </w:rPr>
      </w:pPr>
    </w:p>
    <w:p w14:paraId="02FD78D0" w14:textId="292FEB2C" w:rsidR="000253F0" w:rsidRPr="00384026" w:rsidRDefault="0036437E" w:rsidP="0036437E">
      <w:pPr>
        <w:pStyle w:val="NormalWeb"/>
        <w:shd w:val="clear" w:color="auto" w:fill="FFFFFF"/>
        <w:spacing w:before="0" w:beforeAutospacing="0" w:after="0" w:afterAutospacing="0" w:line="293" w:lineRule="atLeast"/>
        <w:ind w:left="720"/>
        <w:jc w:val="center"/>
        <w:rPr>
          <w:b/>
          <w:bCs/>
          <w:color w:val="000000" w:themeColor="text1"/>
          <w:sz w:val="22"/>
          <w:szCs w:val="22"/>
          <w:lang w:val="lv-LV"/>
        </w:rPr>
      </w:pPr>
      <w:r w:rsidRPr="00384026">
        <w:rPr>
          <w:b/>
          <w:bCs/>
          <w:color w:val="000000" w:themeColor="text1"/>
          <w:sz w:val="22"/>
          <w:szCs w:val="22"/>
          <w:lang w:val="lv-LV"/>
        </w:rPr>
        <w:t>2. </w:t>
      </w:r>
      <w:r w:rsidR="000253F0" w:rsidRPr="00384026">
        <w:rPr>
          <w:b/>
          <w:bCs/>
          <w:color w:val="000000" w:themeColor="text1"/>
          <w:sz w:val="22"/>
          <w:szCs w:val="22"/>
          <w:lang w:val="lv-LV"/>
        </w:rPr>
        <w:t>attēls. Plān</w:t>
      </w:r>
      <w:r w:rsidR="000C032C">
        <w:rPr>
          <w:b/>
          <w:bCs/>
          <w:color w:val="000000" w:themeColor="text1"/>
          <w:sz w:val="22"/>
          <w:szCs w:val="22"/>
          <w:lang w:val="lv-LV"/>
        </w:rPr>
        <w:t>ā</w:t>
      </w:r>
      <w:r w:rsidR="000253F0" w:rsidRPr="00384026">
        <w:rPr>
          <w:b/>
          <w:bCs/>
          <w:color w:val="000000" w:themeColor="text1"/>
          <w:sz w:val="22"/>
          <w:szCs w:val="22"/>
          <w:lang w:val="lv-LV"/>
        </w:rPr>
        <w:t xml:space="preserve"> iekļaut</w:t>
      </w:r>
      <w:r w:rsidR="000C032C">
        <w:rPr>
          <w:b/>
          <w:bCs/>
          <w:color w:val="000000" w:themeColor="text1"/>
          <w:sz w:val="22"/>
          <w:szCs w:val="22"/>
          <w:lang w:val="lv-LV"/>
        </w:rPr>
        <w:t>o</w:t>
      </w:r>
      <w:r w:rsidR="000253F0" w:rsidRPr="00384026">
        <w:rPr>
          <w:b/>
          <w:bCs/>
          <w:color w:val="000000" w:themeColor="text1"/>
          <w:sz w:val="22"/>
          <w:szCs w:val="22"/>
          <w:lang w:val="lv-LV"/>
        </w:rPr>
        <w:t xml:space="preserve"> rīcības virzienu un noteikto pasākumu skaits</w:t>
      </w:r>
    </w:p>
    <w:p w14:paraId="511085A6" w14:textId="77777777" w:rsidR="007C5216" w:rsidRPr="00384026" w:rsidRDefault="00416152" w:rsidP="000253F0">
      <w:pPr>
        <w:pStyle w:val="NormalWeb"/>
        <w:shd w:val="clear" w:color="auto" w:fill="FFFFFF"/>
        <w:spacing w:before="0" w:beforeAutospacing="0" w:after="0" w:afterAutospacing="0" w:line="293" w:lineRule="atLeast"/>
        <w:ind w:firstLine="302"/>
        <w:rPr>
          <w:color w:val="000000" w:themeColor="text1"/>
          <w:sz w:val="22"/>
          <w:szCs w:val="22"/>
          <w:lang w:val="lv-LV"/>
        </w:rPr>
      </w:pPr>
      <w:r w:rsidRPr="00384026">
        <w:rPr>
          <w:noProof/>
          <w:color w:val="000000" w:themeColor="text1"/>
          <w:sz w:val="22"/>
          <w:szCs w:val="22"/>
          <w:lang w:val="lv-LV" w:eastAsia="lv-LV"/>
        </w:rPr>
        <w:drawing>
          <wp:inline distT="0" distB="0" distL="0" distR="0" wp14:anchorId="62B0FA49" wp14:editId="4956C3D2">
            <wp:extent cx="5274310" cy="3076575"/>
            <wp:effectExtent l="0" t="0" r="2159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Pr="00384026">
        <w:rPr>
          <w:color w:val="000000" w:themeColor="text1"/>
          <w:sz w:val="22"/>
          <w:szCs w:val="22"/>
          <w:lang w:val="lv-LV"/>
        </w:rPr>
        <w:t xml:space="preserve"> </w:t>
      </w:r>
    </w:p>
    <w:p w14:paraId="01E41318" w14:textId="36403738" w:rsidR="00427CC3" w:rsidRPr="00384026" w:rsidRDefault="00427CC3" w:rsidP="00427CC3">
      <w:pPr>
        <w:pStyle w:val="NormalWeb"/>
        <w:shd w:val="clear" w:color="auto" w:fill="FFFFFF"/>
        <w:spacing w:before="0" w:beforeAutospacing="0" w:after="0" w:afterAutospacing="0" w:line="276" w:lineRule="auto"/>
        <w:ind w:firstLine="302"/>
        <w:jc w:val="both"/>
        <w:rPr>
          <w:color w:val="000000" w:themeColor="text1"/>
          <w:lang w:val="lv-LV"/>
        </w:rPr>
      </w:pPr>
      <w:r w:rsidRPr="00384026">
        <w:rPr>
          <w:color w:val="000000" w:themeColor="text1"/>
          <w:lang w:val="lv-LV"/>
        </w:rPr>
        <w:t xml:space="preserve"> </w:t>
      </w:r>
      <w:r w:rsidR="002B5D44">
        <w:rPr>
          <w:color w:val="000000" w:themeColor="text1"/>
          <w:lang w:val="lv-LV"/>
        </w:rPr>
        <w:tab/>
      </w:r>
      <w:r w:rsidRPr="00384026">
        <w:rPr>
          <w:color w:val="000000" w:themeColor="text1"/>
          <w:lang w:val="lv-LV"/>
        </w:rPr>
        <w:t>Visvairāk pasākumu tika noteikti 1.</w:t>
      </w:r>
      <w:r w:rsidR="0048696D" w:rsidRPr="00384026">
        <w:rPr>
          <w:color w:val="000000" w:themeColor="text1"/>
          <w:lang w:val="lv-LV"/>
        </w:rPr>
        <w:t> </w:t>
      </w:r>
      <w:r w:rsidRPr="00384026">
        <w:rPr>
          <w:color w:val="000000" w:themeColor="text1"/>
          <w:lang w:val="lv-LV"/>
        </w:rPr>
        <w:t>rīcības virzienā, kas veltīts pie</w:t>
      </w:r>
      <w:r w:rsidR="002B5D44">
        <w:rPr>
          <w:color w:val="000000" w:themeColor="text1"/>
          <w:lang w:val="lv-LV"/>
        </w:rPr>
        <w:t>prasījuma samazināšanai. P</w:t>
      </w:r>
      <w:r w:rsidR="00F62F9A" w:rsidRPr="00384026">
        <w:rPr>
          <w:color w:val="000000" w:themeColor="text1"/>
          <w:lang w:val="lv-LV"/>
        </w:rPr>
        <w:t>ārējos</w:t>
      </w:r>
      <w:r w:rsidRPr="00384026">
        <w:rPr>
          <w:color w:val="000000" w:themeColor="text1"/>
          <w:lang w:val="lv-LV"/>
        </w:rPr>
        <w:t xml:space="preserve"> rīcības virzien</w:t>
      </w:r>
      <w:r w:rsidR="00F62F9A" w:rsidRPr="00384026">
        <w:rPr>
          <w:color w:val="000000" w:themeColor="text1"/>
          <w:lang w:val="lv-LV"/>
        </w:rPr>
        <w:t>os</w:t>
      </w:r>
      <w:r w:rsidRPr="00384026">
        <w:rPr>
          <w:color w:val="000000" w:themeColor="text1"/>
          <w:lang w:val="lv-LV"/>
        </w:rPr>
        <w:t xml:space="preserve"> skaitliski noteikts mazāks skaits pasākumu. Vienlaikus šajā plānā netika iekļauti kaitējuma mazināšanas pasākumi, jo </w:t>
      </w:r>
      <w:r w:rsidR="000A12E6" w:rsidRPr="00384026">
        <w:rPr>
          <w:color w:val="000000" w:themeColor="text1"/>
          <w:lang w:val="lv-LV"/>
        </w:rPr>
        <w:t xml:space="preserve">uz Plāna izstrādes brīdi kaitējuma mazināšana jau bija </w:t>
      </w:r>
      <w:r w:rsidR="00F62F9A" w:rsidRPr="00384026">
        <w:rPr>
          <w:color w:val="000000" w:themeColor="text1"/>
          <w:lang w:val="lv-LV"/>
        </w:rPr>
        <w:t>iekļauta</w:t>
      </w:r>
      <w:r w:rsidRPr="00384026">
        <w:rPr>
          <w:color w:val="000000" w:themeColor="text1"/>
          <w:lang w:val="lv-LV"/>
        </w:rPr>
        <w:t xml:space="preserve"> </w:t>
      </w:r>
      <w:r w:rsidRPr="00384026">
        <w:rPr>
          <w:color w:val="000000" w:themeColor="text1"/>
          <w:shd w:val="clear" w:color="auto" w:fill="FFFFFF"/>
          <w:lang w:val="lv-LV"/>
        </w:rPr>
        <w:t>HIV infekcijas, seksuālās transmisijas infekciju, B un C hepatīta izplatības ierobežošanas rīcības plān</w:t>
      </w:r>
      <w:r w:rsidR="0048696D" w:rsidRPr="00384026">
        <w:rPr>
          <w:color w:val="000000" w:themeColor="text1"/>
          <w:shd w:val="clear" w:color="auto" w:fill="FFFFFF"/>
          <w:lang w:val="lv-LV"/>
        </w:rPr>
        <w:t>ā</w:t>
      </w:r>
      <w:r w:rsidRPr="00384026">
        <w:rPr>
          <w:color w:val="000000" w:themeColor="text1"/>
          <w:shd w:val="clear" w:color="auto" w:fill="FFFFFF"/>
          <w:lang w:val="lv-LV"/>
        </w:rPr>
        <w:t xml:space="preserve"> 2018.-2020. gadam</w:t>
      </w:r>
      <w:r w:rsidRPr="00384026">
        <w:rPr>
          <w:color w:val="000000" w:themeColor="text1"/>
          <w:lang w:val="lv-LV"/>
        </w:rPr>
        <w:t xml:space="preserve">. </w:t>
      </w:r>
    </w:p>
    <w:p w14:paraId="25BD2569" w14:textId="7B4AD48B" w:rsidR="000253F0" w:rsidRPr="00384026" w:rsidRDefault="000253F0" w:rsidP="00427CC3">
      <w:pPr>
        <w:spacing w:after="0"/>
        <w:ind w:firstLine="720"/>
        <w:jc w:val="both"/>
        <w:rPr>
          <w:rFonts w:ascii="Times New Roman" w:hAnsi="Times New Roman" w:cs="Times New Roman"/>
          <w:noProof/>
          <w:color w:val="000000" w:themeColor="text1"/>
          <w:sz w:val="24"/>
          <w:szCs w:val="24"/>
          <w:lang w:eastAsia="lv-LV"/>
        </w:rPr>
      </w:pPr>
      <w:r w:rsidRPr="00384026">
        <w:rPr>
          <w:rFonts w:ascii="Times New Roman" w:hAnsi="Times New Roman" w:cs="Times New Roman"/>
          <w:noProof/>
          <w:color w:val="000000" w:themeColor="text1"/>
          <w:sz w:val="24"/>
          <w:szCs w:val="24"/>
          <w:lang w:eastAsia="lv-LV"/>
        </w:rPr>
        <w:lastRenderedPageBreak/>
        <w:t>Lai gan</w:t>
      </w:r>
      <w:r w:rsidR="00416152" w:rsidRPr="00384026">
        <w:rPr>
          <w:rFonts w:ascii="Times New Roman" w:hAnsi="Times New Roman" w:cs="Times New Roman"/>
          <w:noProof/>
          <w:color w:val="000000" w:themeColor="text1"/>
          <w:sz w:val="24"/>
          <w:szCs w:val="24"/>
          <w:lang w:eastAsia="lv-LV"/>
        </w:rPr>
        <w:t xml:space="preserve"> Plān</w:t>
      </w:r>
      <w:r w:rsidRPr="00384026">
        <w:rPr>
          <w:rFonts w:ascii="Times New Roman" w:hAnsi="Times New Roman" w:cs="Times New Roman"/>
          <w:noProof/>
          <w:color w:val="000000" w:themeColor="text1"/>
          <w:sz w:val="24"/>
          <w:szCs w:val="24"/>
          <w:lang w:eastAsia="lv-LV"/>
        </w:rPr>
        <w:t>ā</w:t>
      </w:r>
      <w:r w:rsidR="00416152" w:rsidRPr="00384026">
        <w:rPr>
          <w:rFonts w:ascii="Times New Roman" w:hAnsi="Times New Roman" w:cs="Times New Roman"/>
          <w:noProof/>
          <w:color w:val="000000" w:themeColor="text1"/>
          <w:sz w:val="24"/>
          <w:szCs w:val="24"/>
          <w:lang w:eastAsia="lv-LV"/>
        </w:rPr>
        <w:t xml:space="preserve"> iekļauti 28 pasākumi</w:t>
      </w:r>
      <w:r w:rsidR="008D22AC" w:rsidRPr="00384026">
        <w:rPr>
          <w:rFonts w:ascii="Times New Roman" w:hAnsi="Times New Roman" w:cs="Times New Roman"/>
          <w:noProof/>
          <w:color w:val="000000" w:themeColor="text1"/>
          <w:sz w:val="24"/>
          <w:szCs w:val="24"/>
          <w:lang w:eastAsia="lv-LV"/>
        </w:rPr>
        <w:t>, i</w:t>
      </w:r>
      <w:r w:rsidR="00416152" w:rsidRPr="00384026">
        <w:rPr>
          <w:rFonts w:ascii="Times New Roman" w:hAnsi="Times New Roman" w:cs="Times New Roman"/>
          <w:noProof/>
          <w:color w:val="000000" w:themeColor="text1"/>
          <w:sz w:val="24"/>
          <w:szCs w:val="24"/>
          <w:lang w:eastAsia="lv-LV"/>
        </w:rPr>
        <w:t>zvērtējumā atsevi</w:t>
      </w:r>
      <w:r w:rsidR="008D22AC" w:rsidRPr="00384026">
        <w:rPr>
          <w:rFonts w:ascii="Times New Roman" w:hAnsi="Times New Roman" w:cs="Times New Roman"/>
          <w:noProof/>
          <w:color w:val="000000" w:themeColor="text1"/>
          <w:sz w:val="24"/>
          <w:szCs w:val="24"/>
          <w:lang w:eastAsia="lv-LV"/>
        </w:rPr>
        <w:t>š</w:t>
      </w:r>
      <w:r w:rsidR="00416152" w:rsidRPr="00384026">
        <w:rPr>
          <w:rFonts w:ascii="Times New Roman" w:hAnsi="Times New Roman" w:cs="Times New Roman"/>
          <w:noProof/>
          <w:color w:val="000000" w:themeColor="text1"/>
          <w:sz w:val="24"/>
          <w:szCs w:val="24"/>
          <w:lang w:eastAsia="lv-LV"/>
        </w:rPr>
        <w:t xml:space="preserve">ķi vērtēti arī iekļautie apakšpasākumi, piemēram, ja vienam pasākumam ir divi apakšpasākumi, to </w:t>
      </w:r>
      <w:r w:rsidR="0048696D" w:rsidRPr="00384026">
        <w:rPr>
          <w:rFonts w:ascii="Times New Roman" w:hAnsi="Times New Roman" w:cs="Times New Roman"/>
          <w:noProof/>
          <w:color w:val="000000" w:themeColor="text1"/>
          <w:sz w:val="24"/>
          <w:szCs w:val="24"/>
          <w:lang w:eastAsia="lv-LV"/>
        </w:rPr>
        <w:t xml:space="preserve">izpilde </w:t>
      </w:r>
      <w:r w:rsidR="00416152" w:rsidRPr="00384026">
        <w:rPr>
          <w:rFonts w:ascii="Times New Roman" w:hAnsi="Times New Roman" w:cs="Times New Roman"/>
          <w:noProof/>
          <w:color w:val="000000" w:themeColor="text1"/>
          <w:sz w:val="24"/>
          <w:szCs w:val="24"/>
          <w:lang w:eastAsia="lv-LV"/>
        </w:rPr>
        <w:t>vērtēt</w:t>
      </w:r>
      <w:r w:rsidR="0048696D" w:rsidRPr="00384026">
        <w:rPr>
          <w:rFonts w:ascii="Times New Roman" w:hAnsi="Times New Roman" w:cs="Times New Roman"/>
          <w:noProof/>
          <w:color w:val="000000" w:themeColor="text1"/>
          <w:sz w:val="24"/>
          <w:szCs w:val="24"/>
          <w:lang w:eastAsia="lv-LV"/>
        </w:rPr>
        <w:t>a</w:t>
      </w:r>
      <w:r w:rsidR="00416152" w:rsidRPr="00384026">
        <w:rPr>
          <w:rFonts w:ascii="Times New Roman" w:hAnsi="Times New Roman" w:cs="Times New Roman"/>
          <w:noProof/>
          <w:color w:val="000000" w:themeColor="text1"/>
          <w:sz w:val="24"/>
          <w:szCs w:val="24"/>
          <w:lang w:eastAsia="lv-LV"/>
        </w:rPr>
        <w:t xml:space="preserve"> atsevišķi, līdz ar to kopā </w:t>
      </w:r>
      <w:r w:rsidR="00416152" w:rsidRPr="002B7AFF">
        <w:rPr>
          <w:rFonts w:ascii="Times New Roman" w:hAnsi="Times New Roman" w:cs="Times New Roman"/>
          <w:noProof/>
          <w:color w:val="000000" w:themeColor="text1"/>
          <w:sz w:val="24"/>
          <w:szCs w:val="24"/>
          <w:lang w:eastAsia="lv-LV"/>
        </w:rPr>
        <w:t>vērtēti 3</w:t>
      </w:r>
      <w:r w:rsidR="002B7AFF" w:rsidRPr="002B7AFF">
        <w:rPr>
          <w:rFonts w:ascii="Times New Roman" w:hAnsi="Times New Roman" w:cs="Times New Roman"/>
          <w:noProof/>
          <w:color w:val="000000" w:themeColor="text1"/>
          <w:sz w:val="24"/>
          <w:szCs w:val="24"/>
          <w:lang w:eastAsia="lv-LV"/>
        </w:rPr>
        <w:t>3</w:t>
      </w:r>
      <w:r w:rsidR="00416152" w:rsidRPr="00384026">
        <w:rPr>
          <w:rFonts w:ascii="Times New Roman" w:hAnsi="Times New Roman" w:cs="Times New Roman"/>
          <w:noProof/>
          <w:color w:val="000000" w:themeColor="text1"/>
          <w:sz w:val="24"/>
          <w:szCs w:val="24"/>
          <w:lang w:eastAsia="lv-LV"/>
        </w:rPr>
        <w:t xml:space="preserve"> pasākum</w:t>
      </w:r>
      <w:r w:rsidR="00F42DC4" w:rsidRPr="00384026">
        <w:rPr>
          <w:rFonts w:ascii="Times New Roman" w:hAnsi="Times New Roman" w:cs="Times New Roman"/>
          <w:noProof/>
          <w:color w:val="000000" w:themeColor="text1"/>
          <w:sz w:val="24"/>
          <w:szCs w:val="24"/>
          <w:lang w:eastAsia="lv-LV"/>
        </w:rPr>
        <w:t>i</w:t>
      </w:r>
      <w:r w:rsidR="00416152" w:rsidRPr="00384026">
        <w:rPr>
          <w:rFonts w:ascii="Times New Roman" w:hAnsi="Times New Roman" w:cs="Times New Roman"/>
          <w:noProof/>
          <w:color w:val="000000" w:themeColor="text1"/>
          <w:sz w:val="24"/>
          <w:szCs w:val="24"/>
          <w:lang w:eastAsia="lv-LV"/>
        </w:rPr>
        <w:t xml:space="preserve"> un apakšpasākum</w:t>
      </w:r>
      <w:r w:rsidR="00F42DC4" w:rsidRPr="00384026">
        <w:rPr>
          <w:rFonts w:ascii="Times New Roman" w:hAnsi="Times New Roman" w:cs="Times New Roman"/>
          <w:noProof/>
          <w:color w:val="000000" w:themeColor="text1"/>
          <w:sz w:val="24"/>
          <w:szCs w:val="24"/>
          <w:lang w:eastAsia="lv-LV"/>
        </w:rPr>
        <w:t>i</w:t>
      </w:r>
      <w:r w:rsidRPr="00384026">
        <w:rPr>
          <w:rFonts w:ascii="Times New Roman" w:hAnsi="Times New Roman" w:cs="Times New Roman"/>
          <w:noProof/>
          <w:color w:val="000000" w:themeColor="text1"/>
          <w:sz w:val="24"/>
          <w:szCs w:val="24"/>
          <w:lang w:eastAsia="lv-LV"/>
        </w:rPr>
        <w:t>. Šāda pieeja izvēlēta, lai labāk atspoguļotu izpildes gaitu</w:t>
      </w:r>
      <w:r w:rsidR="0036437E" w:rsidRPr="00384026">
        <w:rPr>
          <w:rFonts w:ascii="Times New Roman" w:hAnsi="Times New Roman" w:cs="Times New Roman"/>
          <w:noProof/>
          <w:color w:val="000000" w:themeColor="text1"/>
          <w:sz w:val="24"/>
          <w:szCs w:val="24"/>
          <w:lang w:eastAsia="lv-LV"/>
        </w:rPr>
        <w:t xml:space="preserve">, jo </w:t>
      </w:r>
      <w:r w:rsidR="00427CC3" w:rsidRPr="00384026">
        <w:rPr>
          <w:rFonts w:ascii="Times New Roman" w:hAnsi="Times New Roman" w:cs="Times New Roman"/>
          <w:noProof/>
          <w:color w:val="000000" w:themeColor="text1"/>
          <w:sz w:val="24"/>
          <w:szCs w:val="24"/>
          <w:lang w:eastAsia="lv-LV"/>
        </w:rPr>
        <w:t xml:space="preserve">ir </w:t>
      </w:r>
      <w:r w:rsidR="0036437E" w:rsidRPr="00384026">
        <w:rPr>
          <w:rFonts w:ascii="Times New Roman" w:hAnsi="Times New Roman" w:cs="Times New Roman"/>
          <w:noProof/>
          <w:color w:val="000000" w:themeColor="text1"/>
          <w:sz w:val="24"/>
          <w:szCs w:val="24"/>
          <w:lang w:eastAsia="lv-LV"/>
        </w:rPr>
        <w:t>gadījumi, kad viens no apakšp</w:t>
      </w:r>
      <w:r w:rsidR="00427CC3" w:rsidRPr="00384026">
        <w:rPr>
          <w:rFonts w:ascii="Times New Roman" w:hAnsi="Times New Roman" w:cs="Times New Roman"/>
          <w:noProof/>
          <w:color w:val="000000" w:themeColor="text1"/>
          <w:sz w:val="24"/>
          <w:szCs w:val="24"/>
          <w:lang w:eastAsia="lv-LV"/>
        </w:rPr>
        <w:t>asākumiem</w:t>
      </w:r>
      <w:r w:rsidR="0036437E" w:rsidRPr="00384026">
        <w:rPr>
          <w:rFonts w:ascii="Times New Roman" w:hAnsi="Times New Roman" w:cs="Times New Roman"/>
          <w:noProof/>
          <w:color w:val="000000" w:themeColor="text1"/>
          <w:sz w:val="24"/>
          <w:szCs w:val="24"/>
          <w:lang w:eastAsia="lv-LV"/>
        </w:rPr>
        <w:t xml:space="preserve"> ir izpildīts, bet otrs</w:t>
      </w:r>
      <w:r w:rsidRPr="00384026">
        <w:rPr>
          <w:rFonts w:ascii="Times New Roman" w:hAnsi="Times New Roman" w:cs="Times New Roman"/>
          <w:noProof/>
          <w:color w:val="000000" w:themeColor="text1"/>
          <w:sz w:val="24"/>
          <w:szCs w:val="24"/>
          <w:lang w:eastAsia="lv-LV"/>
        </w:rPr>
        <w:t xml:space="preserve"> </w:t>
      </w:r>
      <w:r w:rsidR="002B5D44">
        <w:rPr>
          <w:rFonts w:ascii="Times New Roman" w:hAnsi="Times New Roman" w:cs="Times New Roman"/>
          <w:noProof/>
          <w:color w:val="000000" w:themeColor="text1"/>
          <w:sz w:val="24"/>
          <w:szCs w:val="24"/>
          <w:lang w:eastAsia="lv-LV"/>
        </w:rPr>
        <w:t xml:space="preserve">nav. Šādā gadījumā </w:t>
      </w:r>
      <w:r w:rsidR="002B5D44" w:rsidRPr="002B5D44">
        <w:rPr>
          <w:rFonts w:ascii="Times New Roman" w:hAnsi="Times New Roman" w:cs="Times New Roman"/>
          <w:i/>
          <w:noProof/>
          <w:color w:val="000000" w:themeColor="text1"/>
          <w:sz w:val="24"/>
          <w:szCs w:val="24"/>
          <w:lang w:eastAsia="lv-LV"/>
        </w:rPr>
        <w:t>vidējā</w:t>
      </w:r>
      <w:r w:rsidR="0036437E" w:rsidRPr="002B5D44">
        <w:rPr>
          <w:rFonts w:ascii="Times New Roman" w:hAnsi="Times New Roman" w:cs="Times New Roman"/>
          <w:i/>
          <w:noProof/>
          <w:color w:val="000000" w:themeColor="text1"/>
          <w:sz w:val="24"/>
          <w:szCs w:val="24"/>
          <w:lang w:eastAsia="lv-LV"/>
        </w:rPr>
        <w:t xml:space="preserve"> </w:t>
      </w:r>
      <w:r w:rsidR="0036437E" w:rsidRPr="00384026">
        <w:rPr>
          <w:rFonts w:ascii="Times New Roman" w:hAnsi="Times New Roman" w:cs="Times New Roman"/>
          <w:noProof/>
          <w:color w:val="000000" w:themeColor="text1"/>
          <w:sz w:val="24"/>
          <w:szCs w:val="24"/>
          <w:lang w:eastAsia="lv-LV"/>
        </w:rPr>
        <w:t xml:space="preserve">vērtējuma noteikšana būtu nekorekta, jo arī katram </w:t>
      </w:r>
      <w:r w:rsidR="0048696D" w:rsidRPr="00384026">
        <w:rPr>
          <w:rFonts w:ascii="Times New Roman" w:hAnsi="Times New Roman" w:cs="Times New Roman"/>
          <w:noProof/>
          <w:color w:val="000000" w:themeColor="text1"/>
          <w:sz w:val="24"/>
          <w:szCs w:val="24"/>
          <w:lang w:eastAsia="lv-LV"/>
        </w:rPr>
        <w:t xml:space="preserve">apakšpasākumam </w:t>
      </w:r>
      <w:r w:rsidR="0036437E" w:rsidRPr="00384026">
        <w:rPr>
          <w:rFonts w:ascii="Times New Roman" w:hAnsi="Times New Roman" w:cs="Times New Roman"/>
          <w:noProof/>
          <w:color w:val="000000" w:themeColor="text1"/>
          <w:sz w:val="24"/>
          <w:szCs w:val="24"/>
          <w:lang w:eastAsia="lv-LV"/>
        </w:rPr>
        <w:t>ir sav</w:t>
      </w:r>
      <w:r w:rsidR="00F62F9A" w:rsidRPr="00384026">
        <w:rPr>
          <w:rFonts w:ascii="Times New Roman" w:hAnsi="Times New Roman" w:cs="Times New Roman"/>
          <w:noProof/>
          <w:color w:val="000000" w:themeColor="text1"/>
          <w:sz w:val="24"/>
          <w:szCs w:val="24"/>
          <w:lang w:eastAsia="lv-LV"/>
        </w:rPr>
        <w:t>i</w:t>
      </w:r>
      <w:r w:rsidR="0036437E" w:rsidRPr="00384026">
        <w:rPr>
          <w:rFonts w:ascii="Times New Roman" w:hAnsi="Times New Roman" w:cs="Times New Roman"/>
          <w:noProof/>
          <w:color w:val="000000" w:themeColor="text1"/>
          <w:sz w:val="24"/>
          <w:szCs w:val="24"/>
          <w:lang w:eastAsia="lv-LV"/>
        </w:rPr>
        <w:t xml:space="preserve"> izpildes vai neizpildes iemesli.</w:t>
      </w:r>
    </w:p>
    <w:p w14:paraId="6450EEA2" w14:textId="76583447" w:rsidR="000A12E6" w:rsidRPr="00384026" w:rsidRDefault="000A12E6" w:rsidP="00427CC3">
      <w:pPr>
        <w:spacing w:after="0"/>
        <w:ind w:firstLine="720"/>
        <w:jc w:val="both"/>
        <w:rPr>
          <w:rFonts w:ascii="Times New Roman" w:hAnsi="Times New Roman" w:cs="Times New Roman"/>
          <w:noProof/>
          <w:color w:val="000000" w:themeColor="text1"/>
          <w:sz w:val="24"/>
          <w:szCs w:val="24"/>
          <w:lang w:eastAsia="lv-LV"/>
        </w:rPr>
      </w:pPr>
      <w:r w:rsidRPr="00384026">
        <w:rPr>
          <w:rFonts w:ascii="Times New Roman" w:hAnsi="Times New Roman" w:cs="Times New Roman"/>
          <w:color w:val="000000" w:themeColor="text1"/>
          <w:sz w:val="24"/>
          <w:szCs w:val="24"/>
        </w:rPr>
        <w:t>Pasākumu tvērums un nepieciešamais resurss atšķiras, jo Plānā tika iekļauti gan pasākumi, kuru organizācija bija salīdzinoši vienkārša, neprasot papildu finans</w:t>
      </w:r>
      <w:r w:rsidR="00F62F9A" w:rsidRPr="00384026">
        <w:rPr>
          <w:rFonts w:ascii="Times New Roman" w:hAnsi="Times New Roman" w:cs="Times New Roman"/>
          <w:color w:val="000000" w:themeColor="text1"/>
          <w:sz w:val="24"/>
          <w:szCs w:val="24"/>
        </w:rPr>
        <w:t xml:space="preserve">ējumu, gan </w:t>
      </w:r>
      <w:r w:rsidRPr="00384026">
        <w:rPr>
          <w:rFonts w:ascii="Times New Roman" w:hAnsi="Times New Roman" w:cs="Times New Roman"/>
          <w:color w:val="000000" w:themeColor="text1"/>
          <w:sz w:val="24"/>
          <w:szCs w:val="24"/>
        </w:rPr>
        <w:t>tādi pasākumi, kuru izpildei bija nepieciešama gan rūpīga plānošana, gan finansējums un cilvēkresurs</w:t>
      </w:r>
      <w:r w:rsidR="00527DB4">
        <w:rPr>
          <w:rFonts w:ascii="Times New Roman" w:hAnsi="Times New Roman" w:cs="Times New Roman"/>
          <w:color w:val="000000" w:themeColor="text1"/>
          <w:sz w:val="24"/>
          <w:szCs w:val="24"/>
        </w:rPr>
        <w:t>u iesaiste</w:t>
      </w:r>
      <w:r w:rsidRPr="00384026">
        <w:rPr>
          <w:rFonts w:ascii="Times New Roman" w:hAnsi="Times New Roman" w:cs="Times New Roman"/>
          <w:color w:val="000000" w:themeColor="text1"/>
          <w:sz w:val="24"/>
          <w:szCs w:val="24"/>
        </w:rPr>
        <w:t>.</w:t>
      </w:r>
    </w:p>
    <w:p w14:paraId="0FDFA442" w14:textId="1FCA352C" w:rsidR="00206EAA" w:rsidRPr="00384026" w:rsidRDefault="0036437E" w:rsidP="00427CC3">
      <w:pPr>
        <w:spacing w:after="0"/>
        <w:ind w:firstLine="720"/>
        <w:jc w:val="both"/>
        <w:rPr>
          <w:rFonts w:ascii="Times New Roman" w:hAnsi="Times New Roman" w:cs="Times New Roman"/>
          <w:noProof/>
          <w:color w:val="000000" w:themeColor="text1"/>
          <w:sz w:val="24"/>
          <w:szCs w:val="24"/>
          <w:lang w:eastAsia="lv-LV"/>
        </w:rPr>
      </w:pPr>
      <w:r w:rsidRPr="00384026">
        <w:rPr>
          <w:rFonts w:ascii="Times New Roman" w:hAnsi="Times New Roman" w:cs="Times New Roman"/>
          <w:noProof/>
          <w:color w:val="000000" w:themeColor="text1"/>
          <w:sz w:val="24"/>
          <w:szCs w:val="24"/>
          <w:lang w:eastAsia="lv-LV"/>
        </w:rPr>
        <w:t>Kopsavelkot analīzes rezultātus atbilstoši satiksmes luksoforu metod</w:t>
      </w:r>
      <w:r w:rsidR="000A12E6" w:rsidRPr="00384026">
        <w:rPr>
          <w:rFonts w:ascii="Times New Roman" w:hAnsi="Times New Roman" w:cs="Times New Roman"/>
          <w:noProof/>
          <w:color w:val="000000" w:themeColor="text1"/>
          <w:sz w:val="24"/>
          <w:szCs w:val="24"/>
          <w:lang w:eastAsia="lv-LV"/>
        </w:rPr>
        <w:t xml:space="preserve">ei, </w:t>
      </w:r>
      <w:r w:rsidR="00527DB4">
        <w:rPr>
          <w:rFonts w:ascii="Times New Roman" w:hAnsi="Times New Roman" w:cs="Times New Roman"/>
          <w:noProof/>
          <w:color w:val="000000" w:themeColor="text1"/>
          <w:sz w:val="24"/>
          <w:szCs w:val="24"/>
          <w:lang w:eastAsia="lv-LV"/>
        </w:rPr>
        <w:t xml:space="preserve">(skat. </w:t>
      </w:r>
      <w:r w:rsidR="00A15E6F" w:rsidRPr="00384026">
        <w:rPr>
          <w:rFonts w:ascii="Times New Roman" w:hAnsi="Times New Roman" w:cs="Times New Roman"/>
          <w:noProof/>
          <w:color w:val="000000" w:themeColor="text1"/>
          <w:sz w:val="24"/>
          <w:szCs w:val="24"/>
          <w:lang w:eastAsia="lv-LV"/>
        </w:rPr>
        <w:t>3. </w:t>
      </w:r>
      <w:r w:rsidRPr="00384026">
        <w:rPr>
          <w:rFonts w:ascii="Times New Roman" w:hAnsi="Times New Roman" w:cs="Times New Roman"/>
          <w:noProof/>
          <w:color w:val="000000" w:themeColor="text1"/>
          <w:sz w:val="24"/>
          <w:szCs w:val="24"/>
          <w:lang w:eastAsia="lv-LV"/>
        </w:rPr>
        <w:t>attēl</w:t>
      </w:r>
      <w:r w:rsidR="00527DB4">
        <w:rPr>
          <w:rFonts w:ascii="Times New Roman" w:hAnsi="Times New Roman" w:cs="Times New Roman"/>
          <w:noProof/>
          <w:color w:val="000000" w:themeColor="text1"/>
          <w:sz w:val="24"/>
          <w:szCs w:val="24"/>
          <w:lang w:eastAsia="lv-LV"/>
        </w:rPr>
        <w:t>u)</w:t>
      </w:r>
      <w:r w:rsidRPr="00384026">
        <w:rPr>
          <w:rFonts w:ascii="Times New Roman" w:hAnsi="Times New Roman" w:cs="Times New Roman"/>
          <w:noProof/>
          <w:color w:val="000000" w:themeColor="text1"/>
          <w:sz w:val="24"/>
          <w:szCs w:val="24"/>
          <w:lang w:eastAsia="lv-LV"/>
        </w:rPr>
        <w:t xml:space="preserve">, var redzēt, ka </w:t>
      </w:r>
      <w:r w:rsidR="00E97573" w:rsidRPr="00384026">
        <w:rPr>
          <w:rFonts w:ascii="Times New Roman" w:hAnsi="Times New Roman" w:cs="Times New Roman"/>
          <w:noProof/>
          <w:color w:val="000000" w:themeColor="text1"/>
          <w:sz w:val="24"/>
          <w:szCs w:val="24"/>
          <w:lang w:eastAsia="lv-LV"/>
        </w:rPr>
        <w:t xml:space="preserve">pārskata periodā </w:t>
      </w:r>
      <w:r w:rsidR="00F42DC4" w:rsidRPr="00384026">
        <w:rPr>
          <w:rFonts w:ascii="Times New Roman" w:hAnsi="Times New Roman" w:cs="Times New Roman"/>
          <w:noProof/>
          <w:color w:val="000000" w:themeColor="text1"/>
          <w:sz w:val="24"/>
          <w:szCs w:val="24"/>
          <w:lang w:eastAsia="lv-LV"/>
        </w:rPr>
        <w:t>izpildīti 17</w:t>
      </w:r>
      <w:r w:rsidR="00206EAA" w:rsidRPr="00384026">
        <w:rPr>
          <w:rFonts w:ascii="Times New Roman" w:hAnsi="Times New Roman" w:cs="Times New Roman"/>
          <w:noProof/>
          <w:color w:val="000000" w:themeColor="text1"/>
          <w:sz w:val="24"/>
          <w:szCs w:val="24"/>
          <w:lang w:eastAsia="lv-LV"/>
        </w:rPr>
        <w:t xml:space="preserve"> pasākumi, 5 ir izpildīti da</w:t>
      </w:r>
      <w:r w:rsidR="001F5171" w:rsidRPr="00384026">
        <w:rPr>
          <w:rFonts w:ascii="Times New Roman" w:hAnsi="Times New Roman" w:cs="Times New Roman"/>
          <w:noProof/>
          <w:color w:val="000000" w:themeColor="text1"/>
          <w:sz w:val="24"/>
          <w:szCs w:val="24"/>
          <w:lang w:eastAsia="lv-LV"/>
        </w:rPr>
        <w:t>ļēji vai uz izvērtējuma laiku bija</w:t>
      </w:r>
      <w:r w:rsidR="00206EAA" w:rsidRPr="00384026">
        <w:rPr>
          <w:rFonts w:ascii="Times New Roman" w:hAnsi="Times New Roman" w:cs="Times New Roman"/>
          <w:noProof/>
          <w:color w:val="000000" w:themeColor="text1"/>
          <w:sz w:val="24"/>
          <w:szCs w:val="24"/>
          <w:lang w:eastAsia="lv-LV"/>
        </w:rPr>
        <w:t xml:space="preserve"> izpildes procesā</w:t>
      </w:r>
      <w:r w:rsidR="000253F0" w:rsidRPr="00384026">
        <w:rPr>
          <w:rFonts w:ascii="Times New Roman" w:hAnsi="Times New Roman" w:cs="Times New Roman"/>
          <w:noProof/>
          <w:color w:val="000000" w:themeColor="text1"/>
          <w:sz w:val="24"/>
          <w:szCs w:val="24"/>
          <w:lang w:eastAsia="lv-LV"/>
        </w:rPr>
        <w:t xml:space="preserve">, bet </w:t>
      </w:r>
      <w:r w:rsidR="00A15E6F" w:rsidRPr="00384026">
        <w:rPr>
          <w:rFonts w:ascii="Times New Roman" w:hAnsi="Times New Roman" w:cs="Times New Roman"/>
          <w:noProof/>
          <w:color w:val="000000" w:themeColor="text1"/>
          <w:sz w:val="24"/>
          <w:szCs w:val="24"/>
          <w:lang w:eastAsia="lv-LV"/>
        </w:rPr>
        <w:t>11</w:t>
      </w:r>
      <w:r w:rsidR="00206EAA" w:rsidRPr="00384026">
        <w:rPr>
          <w:rFonts w:ascii="Times New Roman" w:hAnsi="Times New Roman" w:cs="Times New Roman"/>
          <w:noProof/>
          <w:color w:val="000000" w:themeColor="text1"/>
          <w:sz w:val="24"/>
          <w:szCs w:val="24"/>
          <w:lang w:eastAsia="lv-LV"/>
        </w:rPr>
        <w:t xml:space="preserve"> pasākumi</w:t>
      </w:r>
      <w:r w:rsidR="00A15E6F" w:rsidRPr="00384026">
        <w:rPr>
          <w:rFonts w:ascii="Times New Roman" w:hAnsi="Times New Roman" w:cs="Times New Roman"/>
          <w:noProof/>
          <w:color w:val="000000" w:themeColor="text1"/>
          <w:sz w:val="24"/>
          <w:szCs w:val="24"/>
          <w:lang w:eastAsia="lv-LV"/>
        </w:rPr>
        <w:t xml:space="preserve"> nav izpildīti. Tātad kopā no </w:t>
      </w:r>
      <w:r w:rsidR="002B7AFF">
        <w:rPr>
          <w:rFonts w:ascii="Times New Roman" w:hAnsi="Times New Roman" w:cs="Times New Roman"/>
          <w:noProof/>
          <w:color w:val="000000" w:themeColor="text1"/>
          <w:sz w:val="24"/>
          <w:szCs w:val="24"/>
          <w:lang w:eastAsia="lv-LV"/>
        </w:rPr>
        <w:t xml:space="preserve">33 </w:t>
      </w:r>
      <w:r w:rsidR="00206EAA" w:rsidRPr="00384026">
        <w:rPr>
          <w:rFonts w:ascii="Times New Roman" w:hAnsi="Times New Roman" w:cs="Times New Roman"/>
          <w:noProof/>
          <w:color w:val="000000" w:themeColor="text1"/>
          <w:sz w:val="24"/>
          <w:szCs w:val="24"/>
          <w:lang w:eastAsia="lv-LV"/>
        </w:rPr>
        <w:t>Plānā iekļautajiem pasākumiem un apakšpasāk</w:t>
      </w:r>
      <w:r w:rsidR="001F5171" w:rsidRPr="00384026">
        <w:rPr>
          <w:rFonts w:ascii="Times New Roman" w:hAnsi="Times New Roman" w:cs="Times New Roman"/>
          <w:noProof/>
          <w:color w:val="000000" w:themeColor="text1"/>
          <w:sz w:val="24"/>
          <w:szCs w:val="24"/>
          <w:lang w:eastAsia="lv-LV"/>
        </w:rPr>
        <w:t>umiem izpildīta nav trešā daļa</w:t>
      </w:r>
      <w:r w:rsidR="00206EAA" w:rsidRPr="00384026">
        <w:rPr>
          <w:rFonts w:ascii="Times New Roman" w:hAnsi="Times New Roman" w:cs="Times New Roman"/>
          <w:noProof/>
          <w:color w:val="000000" w:themeColor="text1"/>
          <w:sz w:val="24"/>
          <w:szCs w:val="24"/>
          <w:lang w:eastAsia="lv-LV"/>
        </w:rPr>
        <w:t xml:space="preserve">. </w:t>
      </w:r>
    </w:p>
    <w:p w14:paraId="11AD1E91" w14:textId="77777777" w:rsidR="0044035E" w:rsidRPr="00384026" w:rsidRDefault="0044035E" w:rsidP="00130D48">
      <w:pPr>
        <w:jc w:val="both"/>
        <w:rPr>
          <w:rFonts w:ascii="Times New Roman" w:hAnsi="Times New Roman" w:cs="Times New Roman"/>
          <w:noProof/>
          <w:color w:val="000000" w:themeColor="text1"/>
          <w:sz w:val="24"/>
          <w:szCs w:val="24"/>
          <w:lang w:eastAsia="lv-LV"/>
        </w:rPr>
      </w:pPr>
    </w:p>
    <w:p w14:paraId="397A690F" w14:textId="77777777" w:rsidR="000253F0" w:rsidRPr="00384026" w:rsidRDefault="000253F0" w:rsidP="0032103A">
      <w:pPr>
        <w:pStyle w:val="ListParagraph"/>
        <w:jc w:val="right"/>
        <w:rPr>
          <w:rFonts w:ascii="Times New Roman" w:hAnsi="Times New Roman" w:cs="Times New Roman"/>
          <w:b/>
          <w:bCs/>
          <w:noProof/>
          <w:color w:val="000000" w:themeColor="text1"/>
          <w:lang w:eastAsia="lv-LV"/>
        </w:rPr>
      </w:pPr>
      <w:r w:rsidRPr="00384026">
        <w:rPr>
          <w:rFonts w:ascii="Times New Roman" w:hAnsi="Times New Roman" w:cs="Times New Roman"/>
          <w:b/>
          <w:bCs/>
          <w:noProof/>
          <w:color w:val="000000" w:themeColor="text1"/>
          <w:lang w:eastAsia="lv-LV"/>
        </w:rPr>
        <w:t>3.</w:t>
      </w:r>
      <w:r w:rsidR="0032103A" w:rsidRPr="00384026">
        <w:rPr>
          <w:rFonts w:ascii="Times New Roman" w:hAnsi="Times New Roman" w:cs="Times New Roman"/>
          <w:b/>
          <w:bCs/>
          <w:noProof/>
          <w:color w:val="000000" w:themeColor="text1"/>
          <w:lang w:eastAsia="lv-LV"/>
        </w:rPr>
        <w:t> attēls. Plānā iekļauto pasākumu izpilde</w:t>
      </w:r>
    </w:p>
    <w:p w14:paraId="281D29C2" w14:textId="77777777" w:rsidR="00751223" w:rsidRPr="00384026" w:rsidRDefault="00751223">
      <w:pPr>
        <w:rPr>
          <w:rFonts w:ascii="Times New Roman" w:hAnsi="Times New Roman" w:cs="Times New Roman"/>
          <w:color w:val="000000" w:themeColor="text1"/>
        </w:rPr>
      </w:pPr>
      <w:r w:rsidRPr="00384026">
        <w:rPr>
          <w:rFonts w:ascii="Times New Roman" w:hAnsi="Times New Roman" w:cs="Times New Roman"/>
          <w:noProof/>
          <w:color w:val="000000" w:themeColor="text1"/>
          <w:lang w:eastAsia="lv-LV"/>
        </w:rPr>
        <w:drawing>
          <wp:inline distT="0" distB="0" distL="0" distR="0" wp14:anchorId="27B9D627" wp14:editId="1F596CCA">
            <wp:extent cx="5279922" cy="1699014"/>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1D7D1FE" w14:textId="2B66A689" w:rsidR="00E97573" w:rsidRPr="00384026" w:rsidRDefault="0032103A" w:rsidP="00427CC3">
      <w:pPr>
        <w:spacing w:after="0"/>
        <w:ind w:firstLine="720"/>
        <w:jc w:val="both"/>
        <w:rPr>
          <w:rFonts w:ascii="Times New Roman" w:hAnsi="Times New Roman" w:cs="Times New Roman"/>
          <w:color w:val="000000" w:themeColor="text1"/>
          <w:sz w:val="24"/>
          <w:szCs w:val="24"/>
        </w:rPr>
      </w:pPr>
      <w:r w:rsidRPr="00384026">
        <w:rPr>
          <w:rFonts w:ascii="Times New Roman" w:hAnsi="Times New Roman" w:cs="Times New Roman"/>
          <w:color w:val="000000" w:themeColor="text1"/>
          <w:sz w:val="24"/>
          <w:szCs w:val="24"/>
        </w:rPr>
        <w:t xml:space="preserve">Neizpildes līmenis kopumā norāda, ka Plāns </w:t>
      </w:r>
      <w:r w:rsidR="00EA24E4" w:rsidRPr="00384026">
        <w:rPr>
          <w:rFonts w:ascii="Times New Roman" w:hAnsi="Times New Roman" w:cs="Times New Roman"/>
          <w:color w:val="000000" w:themeColor="text1"/>
          <w:sz w:val="24"/>
          <w:szCs w:val="24"/>
        </w:rPr>
        <w:t>izstrādāts</w:t>
      </w:r>
      <w:r w:rsidR="00F42DC4" w:rsidRPr="00384026">
        <w:rPr>
          <w:rFonts w:ascii="Times New Roman" w:hAnsi="Times New Roman" w:cs="Times New Roman"/>
          <w:color w:val="000000" w:themeColor="text1"/>
          <w:sz w:val="24"/>
          <w:szCs w:val="24"/>
        </w:rPr>
        <w:t>,</w:t>
      </w:r>
      <w:r w:rsidRPr="00384026">
        <w:rPr>
          <w:rFonts w:ascii="Times New Roman" w:hAnsi="Times New Roman" w:cs="Times New Roman"/>
          <w:color w:val="000000" w:themeColor="text1"/>
          <w:sz w:val="24"/>
          <w:szCs w:val="24"/>
        </w:rPr>
        <w:t xml:space="preserve"> </w:t>
      </w:r>
      <w:r w:rsidR="0048696D" w:rsidRPr="00384026">
        <w:rPr>
          <w:rFonts w:ascii="Times New Roman" w:hAnsi="Times New Roman" w:cs="Times New Roman"/>
          <w:color w:val="000000" w:themeColor="text1"/>
          <w:sz w:val="24"/>
          <w:szCs w:val="24"/>
        </w:rPr>
        <w:t>iespējams</w:t>
      </w:r>
      <w:r w:rsidR="00F42DC4" w:rsidRPr="00384026">
        <w:rPr>
          <w:rFonts w:ascii="Times New Roman" w:hAnsi="Times New Roman" w:cs="Times New Roman"/>
          <w:color w:val="000000" w:themeColor="text1"/>
          <w:sz w:val="24"/>
          <w:szCs w:val="24"/>
        </w:rPr>
        <w:t>,</w:t>
      </w:r>
      <w:r w:rsidR="0048696D" w:rsidRPr="00384026">
        <w:rPr>
          <w:rFonts w:ascii="Times New Roman" w:hAnsi="Times New Roman" w:cs="Times New Roman"/>
          <w:color w:val="000000" w:themeColor="text1"/>
          <w:sz w:val="24"/>
          <w:szCs w:val="24"/>
        </w:rPr>
        <w:t xml:space="preserve"> pārlieku </w:t>
      </w:r>
      <w:r w:rsidR="000A12E6" w:rsidRPr="00384026">
        <w:rPr>
          <w:rFonts w:ascii="Times New Roman" w:hAnsi="Times New Roman" w:cs="Times New Roman"/>
          <w:color w:val="000000" w:themeColor="text1"/>
          <w:sz w:val="24"/>
          <w:szCs w:val="24"/>
        </w:rPr>
        <w:t>ambiciozi.</w:t>
      </w:r>
      <w:r w:rsidRPr="00384026">
        <w:rPr>
          <w:rFonts w:ascii="Times New Roman" w:hAnsi="Times New Roman" w:cs="Times New Roman"/>
          <w:color w:val="000000" w:themeColor="text1"/>
          <w:sz w:val="24"/>
          <w:szCs w:val="24"/>
        </w:rPr>
        <w:t xml:space="preserve"> </w:t>
      </w:r>
      <w:r w:rsidR="000A12E6" w:rsidRPr="00384026">
        <w:rPr>
          <w:rFonts w:ascii="Times New Roman" w:hAnsi="Times New Roman" w:cs="Times New Roman"/>
          <w:color w:val="000000" w:themeColor="text1"/>
          <w:sz w:val="24"/>
          <w:szCs w:val="24"/>
        </w:rPr>
        <w:t>Plāna</w:t>
      </w:r>
      <w:r w:rsidRPr="00384026">
        <w:rPr>
          <w:rFonts w:ascii="Times New Roman" w:hAnsi="Times New Roman" w:cs="Times New Roman"/>
          <w:color w:val="000000" w:themeColor="text1"/>
          <w:sz w:val="24"/>
          <w:szCs w:val="24"/>
        </w:rPr>
        <w:t xml:space="preserve"> </w:t>
      </w:r>
      <w:r w:rsidR="00F42DC4" w:rsidRPr="00384026">
        <w:rPr>
          <w:rFonts w:ascii="Times New Roman" w:hAnsi="Times New Roman" w:cs="Times New Roman"/>
          <w:color w:val="000000" w:themeColor="text1"/>
          <w:sz w:val="24"/>
          <w:szCs w:val="24"/>
        </w:rPr>
        <w:t xml:space="preserve">pilnīga </w:t>
      </w:r>
      <w:r w:rsidRPr="00384026">
        <w:rPr>
          <w:rFonts w:ascii="Times New Roman" w:hAnsi="Times New Roman" w:cs="Times New Roman"/>
          <w:color w:val="000000" w:themeColor="text1"/>
          <w:sz w:val="24"/>
          <w:szCs w:val="24"/>
        </w:rPr>
        <w:t xml:space="preserve">izpilde </w:t>
      </w:r>
      <w:r w:rsidR="0048696D" w:rsidRPr="00384026">
        <w:rPr>
          <w:rFonts w:ascii="Times New Roman" w:hAnsi="Times New Roman" w:cs="Times New Roman"/>
          <w:color w:val="000000" w:themeColor="text1"/>
          <w:sz w:val="24"/>
          <w:szCs w:val="24"/>
        </w:rPr>
        <w:t xml:space="preserve">dotu vērā ņemamus uzlabojumus </w:t>
      </w:r>
      <w:r w:rsidRPr="00384026">
        <w:rPr>
          <w:rFonts w:ascii="Times New Roman" w:hAnsi="Times New Roman" w:cs="Times New Roman"/>
          <w:color w:val="000000" w:themeColor="text1"/>
          <w:sz w:val="24"/>
          <w:szCs w:val="24"/>
        </w:rPr>
        <w:t>kop</w:t>
      </w:r>
      <w:r w:rsidR="000A12E6" w:rsidRPr="00384026">
        <w:rPr>
          <w:rFonts w:ascii="Times New Roman" w:hAnsi="Times New Roman" w:cs="Times New Roman"/>
          <w:color w:val="000000" w:themeColor="text1"/>
          <w:sz w:val="24"/>
          <w:szCs w:val="24"/>
        </w:rPr>
        <w:t>ēj</w:t>
      </w:r>
      <w:r w:rsidR="00527DB4">
        <w:rPr>
          <w:rFonts w:ascii="Times New Roman" w:hAnsi="Times New Roman" w:cs="Times New Roman"/>
          <w:color w:val="000000" w:themeColor="text1"/>
          <w:sz w:val="24"/>
          <w:szCs w:val="24"/>
        </w:rPr>
        <w:t>ā</w:t>
      </w:r>
      <w:r w:rsidR="000A12E6" w:rsidRPr="00384026">
        <w:rPr>
          <w:rFonts w:ascii="Times New Roman" w:hAnsi="Times New Roman" w:cs="Times New Roman"/>
          <w:color w:val="000000" w:themeColor="text1"/>
          <w:sz w:val="24"/>
          <w:szCs w:val="24"/>
        </w:rPr>
        <w:t xml:space="preserve"> narkotiku politikas jomā. </w:t>
      </w:r>
      <w:r w:rsidR="00E97573" w:rsidRPr="00384026">
        <w:rPr>
          <w:rFonts w:ascii="Times New Roman" w:hAnsi="Times New Roman" w:cs="Times New Roman"/>
          <w:color w:val="000000" w:themeColor="text1"/>
          <w:sz w:val="24"/>
          <w:szCs w:val="24"/>
        </w:rPr>
        <w:t xml:space="preserve">Piemēram, līdzmaksājumu atcelšana narkoloģijas pacientiem vai jaunas ambulatoras ārstniecības programmas izveide </w:t>
      </w:r>
      <w:r w:rsidR="000A12E6" w:rsidRPr="00384026">
        <w:rPr>
          <w:rFonts w:ascii="Times New Roman" w:hAnsi="Times New Roman" w:cs="Times New Roman"/>
          <w:color w:val="000000" w:themeColor="text1"/>
          <w:sz w:val="24"/>
          <w:szCs w:val="24"/>
        </w:rPr>
        <w:t xml:space="preserve">risinātu problēmas, kas </w:t>
      </w:r>
      <w:r w:rsidR="00D65547" w:rsidRPr="00384026">
        <w:rPr>
          <w:rFonts w:ascii="Times New Roman" w:hAnsi="Times New Roman" w:cs="Times New Roman"/>
          <w:color w:val="000000" w:themeColor="text1"/>
          <w:sz w:val="24"/>
          <w:szCs w:val="24"/>
        </w:rPr>
        <w:t xml:space="preserve">jau bija identificētas </w:t>
      </w:r>
      <w:r w:rsidR="000A12E6" w:rsidRPr="00384026">
        <w:rPr>
          <w:rFonts w:ascii="Times New Roman" w:hAnsi="Times New Roman" w:cs="Times New Roman"/>
          <w:color w:val="000000" w:themeColor="text1"/>
          <w:sz w:val="24"/>
          <w:szCs w:val="24"/>
        </w:rPr>
        <w:t xml:space="preserve"> Narkotisko un psihotropo vielu un to atkarības ierobežošanas un kontroles p</w:t>
      </w:r>
      <w:r w:rsidR="00D65547" w:rsidRPr="00384026">
        <w:rPr>
          <w:rFonts w:ascii="Times New Roman" w:hAnsi="Times New Roman" w:cs="Times New Roman"/>
          <w:color w:val="000000" w:themeColor="text1"/>
          <w:sz w:val="24"/>
          <w:szCs w:val="24"/>
        </w:rPr>
        <w:t xml:space="preserve">amatnostādnēs 2011.-2017.gadam, tātad zināmas jau gadiem. </w:t>
      </w:r>
      <w:r w:rsidR="00E97573" w:rsidRPr="00384026">
        <w:rPr>
          <w:rFonts w:ascii="Times New Roman" w:hAnsi="Times New Roman" w:cs="Times New Roman"/>
          <w:color w:val="000000" w:themeColor="text1"/>
          <w:sz w:val="24"/>
          <w:szCs w:val="24"/>
        </w:rPr>
        <w:t xml:space="preserve"> </w:t>
      </w:r>
      <w:r w:rsidR="003D3C04" w:rsidRPr="00384026">
        <w:rPr>
          <w:rFonts w:ascii="Times New Roman" w:hAnsi="Times New Roman" w:cs="Times New Roman"/>
          <w:color w:val="000000" w:themeColor="text1"/>
          <w:sz w:val="24"/>
          <w:szCs w:val="24"/>
        </w:rPr>
        <w:t xml:space="preserve"> </w:t>
      </w:r>
    </w:p>
    <w:p w14:paraId="4F9FC0EF" w14:textId="77777777" w:rsidR="001F5171" w:rsidRPr="00384026" w:rsidRDefault="00F42DC4" w:rsidP="00427CC3">
      <w:pPr>
        <w:spacing w:after="0"/>
        <w:ind w:firstLine="720"/>
        <w:jc w:val="both"/>
        <w:rPr>
          <w:rFonts w:ascii="Times New Roman" w:hAnsi="Times New Roman" w:cs="Times New Roman"/>
          <w:color w:val="000000" w:themeColor="text1"/>
          <w:sz w:val="24"/>
          <w:szCs w:val="24"/>
        </w:rPr>
      </w:pPr>
      <w:r w:rsidRPr="00384026">
        <w:rPr>
          <w:rFonts w:ascii="Times New Roman" w:hAnsi="Times New Roman" w:cs="Times New Roman"/>
          <w:color w:val="000000" w:themeColor="text1"/>
          <w:sz w:val="24"/>
          <w:szCs w:val="24"/>
        </w:rPr>
        <w:t>Kopumā p</w:t>
      </w:r>
      <w:r w:rsidR="00E97573" w:rsidRPr="00384026">
        <w:rPr>
          <w:rFonts w:ascii="Times New Roman" w:hAnsi="Times New Roman" w:cs="Times New Roman"/>
          <w:color w:val="000000" w:themeColor="text1"/>
          <w:sz w:val="24"/>
          <w:szCs w:val="24"/>
        </w:rPr>
        <w:t>asākumu</w:t>
      </w:r>
      <w:r w:rsidR="00EA24E4" w:rsidRPr="00384026">
        <w:rPr>
          <w:rFonts w:ascii="Times New Roman" w:hAnsi="Times New Roman" w:cs="Times New Roman"/>
          <w:color w:val="000000" w:themeColor="text1"/>
          <w:sz w:val="24"/>
          <w:szCs w:val="24"/>
        </w:rPr>
        <w:t xml:space="preserve"> neizpilde </w:t>
      </w:r>
      <w:r w:rsidR="00E97573" w:rsidRPr="00384026">
        <w:rPr>
          <w:rFonts w:ascii="Times New Roman" w:hAnsi="Times New Roman" w:cs="Times New Roman"/>
          <w:color w:val="000000" w:themeColor="text1"/>
          <w:sz w:val="24"/>
          <w:szCs w:val="24"/>
        </w:rPr>
        <w:t xml:space="preserve">norāda </w:t>
      </w:r>
      <w:r w:rsidR="00EA24E4" w:rsidRPr="00384026">
        <w:rPr>
          <w:rFonts w:ascii="Times New Roman" w:hAnsi="Times New Roman" w:cs="Times New Roman"/>
          <w:color w:val="000000" w:themeColor="text1"/>
          <w:sz w:val="24"/>
          <w:szCs w:val="24"/>
        </w:rPr>
        <w:t>uz nepietiekamu resursu politikas attīstībai, tādēļ šī</w:t>
      </w:r>
      <w:r w:rsidR="003D3C04" w:rsidRPr="00384026">
        <w:rPr>
          <w:rFonts w:ascii="Times New Roman" w:hAnsi="Times New Roman" w:cs="Times New Roman"/>
          <w:color w:val="000000" w:themeColor="text1"/>
          <w:sz w:val="24"/>
          <w:szCs w:val="24"/>
        </w:rPr>
        <w:t xml:space="preserve"> Plāna izpildes kontekstā ir svarīgi noskaidrot apstākļus un iemeslus pasākumu neizpildei, kas va</w:t>
      </w:r>
      <w:r w:rsidR="001F5171" w:rsidRPr="00384026">
        <w:rPr>
          <w:rFonts w:ascii="Times New Roman" w:hAnsi="Times New Roman" w:cs="Times New Roman"/>
          <w:color w:val="000000" w:themeColor="text1"/>
          <w:sz w:val="24"/>
          <w:szCs w:val="24"/>
        </w:rPr>
        <w:t xml:space="preserve">r kalpot kā atbalsts turpmākajā politikas plānošanā. </w:t>
      </w:r>
    </w:p>
    <w:p w14:paraId="3EB96B7D" w14:textId="77777777" w:rsidR="009F1601" w:rsidRPr="00384026" w:rsidRDefault="001F5171" w:rsidP="00427CC3">
      <w:pPr>
        <w:spacing w:after="0"/>
        <w:ind w:firstLine="720"/>
        <w:jc w:val="both"/>
        <w:rPr>
          <w:rFonts w:ascii="Times New Roman" w:hAnsi="Times New Roman" w:cs="Times New Roman"/>
          <w:color w:val="000000" w:themeColor="text1"/>
          <w:sz w:val="24"/>
          <w:szCs w:val="24"/>
        </w:rPr>
      </w:pPr>
      <w:r w:rsidRPr="00384026">
        <w:rPr>
          <w:rFonts w:ascii="Times New Roman" w:hAnsi="Times New Roman" w:cs="Times New Roman"/>
          <w:color w:val="000000" w:themeColor="text1"/>
          <w:sz w:val="24"/>
          <w:szCs w:val="24"/>
        </w:rPr>
        <w:t>Pasākumu izpildes v</w:t>
      </w:r>
      <w:r w:rsidR="0044035E" w:rsidRPr="00384026">
        <w:rPr>
          <w:rFonts w:ascii="Times New Roman" w:hAnsi="Times New Roman" w:cs="Times New Roman"/>
          <w:color w:val="000000" w:themeColor="text1"/>
          <w:sz w:val="24"/>
          <w:szCs w:val="24"/>
        </w:rPr>
        <w:t xml:space="preserve">eicinošie un kavējošie </w:t>
      </w:r>
      <w:r w:rsidR="00D65547" w:rsidRPr="00384026">
        <w:rPr>
          <w:rFonts w:ascii="Times New Roman" w:hAnsi="Times New Roman" w:cs="Times New Roman"/>
          <w:color w:val="000000" w:themeColor="text1"/>
          <w:sz w:val="24"/>
          <w:szCs w:val="24"/>
        </w:rPr>
        <w:t>apstākļi</w:t>
      </w:r>
      <w:r w:rsidR="0044035E" w:rsidRPr="00384026">
        <w:rPr>
          <w:rFonts w:ascii="Times New Roman" w:hAnsi="Times New Roman" w:cs="Times New Roman"/>
          <w:color w:val="000000" w:themeColor="text1"/>
          <w:sz w:val="24"/>
          <w:szCs w:val="24"/>
        </w:rPr>
        <w:t xml:space="preserve"> detalizētāk apskatīti turpmākajās apakšnodaļās, kas katra veltīta vienam rīcības virzienam.</w:t>
      </w:r>
    </w:p>
    <w:p w14:paraId="6A5D8302" w14:textId="77777777" w:rsidR="00427CC3" w:rsidRPr="00384026" w:rsidRDefault="00427CC3">
      <w:pPr>
        <w:rPr>
          <w:rFonts w:ascii="Times New Roman" w:hAnsi="Times New Roman" w:cs="Times New Roman"/>
          <w:b/>
          <w:color w:val="000000" w:themeColor="text1"/>
          <w:sz w:val="24"/>
          <w:szCs w:val="24"/>
        </w:rPr>
      </w:pPr>
    </w:p>
    <w:p w14:paraId="2077D372" w14:textId="77777777" w:rsidR="00D65547" w:rsidRPr="00384026" w:rsidRDefault="00206EAA" w:rsidP="00D65547">
      <w:pPr>
        <w:pStyle w:val="Heading3"/>
        <w:rPr>
          <w:rFonts w:ascii="Times New Roman" w:hAnsi="Times New Roman" w:cs="Times New Roman"/>
          <w:b/>
          <w:color w:val="auto"/>
        </w:rPr>
      </w:pPr>
      <w:bookmarkStart w:id="5" w:name="_Toc78372608"/>
      <w:r w:rsidRPr="00384026">
        <w:rPr>
          <w:rFonts w:ascii="Times New Roman" w:hAnsi="Times New Roman" w:cs="Times New Roman"/>
          <w:b/>
          <w:color w:val="auto"/>
        </w:rPr>
        <w:t xml:space="preserve">1.2. </w:t>
      </w:r>
      <w:r w:rsidR="00CA4DF6" w:rsidRPr="00384026">
        <w:rPr>
          <w:rFonts w:ascii="Times New Roman" w:hAnsi="Times New Roman" w:cs="Times New Roman"/>
          <w:b/>
          <w:color w:val="auto"/>
        </w:rPr>
        <w:t>Pirm</w:t>
      </w:r>
      <w:r w:rsidR="00A21E41">
        <w:rPr>
          <w:rFonts w:ascii="Times New Roman" w:hAnsi="Times New Roman" w:cs="Times New Roman"/>
          <w:b/>
          <w:color w:val="auto"/>
        </w:rPr>
        <w:t>aj</w:t>
      </w:r>
      <w:r w:rsidR="00CA4DF6" w:rsidRPr="00384026">
        <w:rPr>
          <w:rFonts w:ascii="Times New Roman" w:hAnsi="Times New Roman" w:cs="Times New Roman"/>
          <w:b/>
          <w:color w:val="auto"/>
        </w:rPr>
        <w:t>ā r</w:t>
      </w:r>
      <w:r w:rsidR="00306BBB" w:rsidRPr="00384026">
        <w:rPr>
          <w:rFonts w:ascii="Times New Roman" w:hAnsi="Times New Roman" w:cs="Times New Roman"/>
          <w:b/>
          <w:color w:val="auto"/>
        </w:rPr>
        <w:t>īcības virzienā iekļauto pasākumu izpilde</w:t>
      </w:r>
      <w:bookmarkEnd w:id="5"/>
    </w:p>
    <w:p w14:paraId="2FF78F96" w14:textId="146F44B2" w:rsidR="00867AD6" w:rsidRPr="00384026" w:rsidRDefault="00D65547" w:rsidP="00D65547">
      <w:pPr>
        <w:spacing w:before="120" w:after="0"/>
        <w:ind w:firstLine="720"/>
        <w:jc w:val="both"/>
        <w:rPr>
          <w:rFonts w:ascii="Times New Roman" w:hAnsi="Times New Roman" w:cs="Times New Roman"/>
          <w:color w:val="000000" w:themeColor="text1"/>
          <w:sz w:val="24"/>
          <w:szCs w:val="24"/>
        </w:rPr>
      </w:pPr>
      <w:r w:rsidRPr="00384026">
        <w:rPr>
          <w:rFonts w:ascii="Times New Roman" w:hAnsi="Times New Roman" w:cs="Times New Roman"/>
          <w:color w:val="000000" w:themeColor="text1"/>
          <w:sz w:val="24"/>
          <w:szCs w:val="24"/>
        </w:rPr>
        <w:t>Detalizētāk</w:t>
      </w:r>
      <w:r w:rsidR="0044035E" w:rsidRPr="00384026">
        <w:rPr>
          <w:rFonts w:ascii="Times New Roman" w:hAnsi="Times New Roman" w:cs="Times New Roman"/>
          <w:color w:val="000000" w:themeColor="text1"/>
          <w:sz w:val="24"/>
          <w:szCs w:val="24"/>
        </w:rPr>
        <w:t xml:space="preserve"> aplūkojot 1.</w:t>
      </w:r>
      <w:r w:rsidR="004B517D" w:rsidRPr="00384026">
        <w:rPr>
          <w:rFonts w:ascii="Times New Roman" w:hAnsi="Times New Roman" w:cs="Times New Roman"/>
          <w:color w:val="000000" w:themeColor="text1"/>
          <w:sz w:val="24"/>
          <w:szCs w:val="24"/>
        </w:rPr>
        <w:t> </w:t>
      </w:r>
      <w:r w:rsidR="0044035E" w:rsidRPr="00384026">
        <w:rPr>
          <w:rFonts w:ascii="Times New Roman" w:hAnsi="Times New Roman" w:cs="Times New Roman"/>
          <w:color w:val="000000" w:themeColor="text1"/>
          <w:sz w:val="24"/>
          <w:szCs w:val="24"/>
        </w:rPr>
        <w:t xml:space="preserve">rīcības virziena “Veicināt narkotiku pieprasījuma intervenču (profilakses, ārstniecības un kaitējuma mazināšanas) </w:t>
      </w:r>
      <w:r w:rsidRPr="00384026">
        <w:rPr>
          <w:rFonts w:ascii="Times New Roman" w:hAnsi="Times New Roman" w:cs="Times New Roman"/>
          <w:color w:val="000000" w:themeColor="text1"/>
          <w:sz w:val="24"/>
          <w:szCs w:val="24"/>
        </w:rPr>
        <w:t>pieejamību un kvalitāti” izpildi</w:t>
      </w:r>
      <w:r w:rsidR="0044035E" w:rsidRPr="00384026">
        <w:rPr>
          <w:rFonts w:ascii="Times New Roman" w:hAnsi="Times New Roman" w:cs="Times New Roman"/>
          <w:color w:val="000000" w:themeColor="text1"/>
          <w:sz w:val="24"/>
          <w:szCs w:val="24"/>
        </w:rPr>
        <w:t xml:space="preserve">, redzams, ka šajā rīcības virzienā pilnībā </w:t>
      </w:r>
      <w:r w:rsidR="0044035E" w:rsidRPr="002B7AFF">
        <w:rPr>
          <w:rFonts w:ascii="Times New Roman" w:hAnsi="Times New Roman" w:cs="Times New Roman"/>
          <w:color w:val="000000" w:themeColor="text1"/>
          <w:sz w:val="24"/>
          <w:szCs w:val="24"/>
        </w:rPr>
        <w:t xml:space="preserve">izpildīti </w:t>
      </w:r>
      <w:r w:rsidR="000B6BD2">
        <w:rPr>
          <w:rFonts w:ascii="Times New Roman" w:hAnsi="Times New Roman" w:cs="Times New Roman"/>
          <w:color w:val="000000" w:themeColor="text1"/>
          <w:sz w:val="24"/>
          <w:szCs w:val="24"/>
        </w:rPr>
        <w:t>8</w:t>
      </w:r>
      <w:r w:rsidR="0044035E" w:rsidRPr="00384026">
        <w:rPr>
          <w:rFonts w:ascii="Times New Roman" w:hAnsi="Times New Roman" w:cs="Times New Roman"/>
          <w:color w:val="000000" w:themeColor="text1"/>
          <w:sz w:val="24"/>
          <w:szCs w:val="24"/>
        </w:rPr>
        <w:t xml:space="preserve"> pasākumi no 16</w:t>
      </w:r>
      <w:r w:rsidR="00F42DC4" w:rsidRPr="00384026">
        <w:rPr>
          <w:rFonts w:ascii="Times New Roman" w:hAnsi="Times New Roman" w:cs="Times New Roman"/>
          <w:color w:val="000000" w:themeColor="text1"/>
          <w:sz w:val="24"/>
          <w:szCs w:val="24"/>
        </w:rPr>
        <w:t xml:space="preserve"> (skat. 4. attēlu)</w:t>
      </w:r>
      <w:r w:rsidR="0044035E" w:rsidRPr="00384026">
        <w:rPr>
          <w:rFonts w:ascii="Times New Roman" w:hAnsi="Times New Roman" w:cs="Times New Roman"/>
          <w:color w:val="000000" w:themeColor="text1"/>
          <w:sz w:val="24"/>
          <w:szCs w:val="24"/>
        </w:rPr>
        <w:t xml:space="preserve">. </w:t>
      </w:r>
      <w:r w:rsidR="00306BBB" w:rsidRPr="00384026">
        <w:rPr>
          <w:rFonts w:ascii="Times New Roman" w:hAnsi="Times New Roman" w:cs="Times New Roman"/>
          <w:color w:val="000000" w:themeColor="text1"/>
          <w:sz w:val="24"/>
          <w:szCs w:val="24"/>
        </w:rPr>
        <w:t xml:space="preserve"> </w:t>
      </w:r>
      <w:r w:rsidR="00F42DC4" w:rsidRPr="00384026">
        <w:rPr>
          <w:rFonts w:ascii="Times New Roman" w:hAnsi="Times New Roman" w:cs="Times New Roman"/>
          <w:color w:val="000000" w:themeColor="text1"/>
          <w:sz w:val="24"/>
          <w:szCs w:val="24"/>
        </w:rPr>
        <w:t>P</w:t>
      </w:r>
      <w:r w:rsidR="00306BBB" w:rsidRPr="00384026">
        <w:rPr>
          <w:rFonts w:ascii="Times New Roman" w:hAnsi="Times New Roman" w:cs="Times New Roman"/>
          <w:color w:val="000000" w:themeColor="text1"/>
          <w:sz w:val="24"/>
          <w:szCs w:val="24"/>
        </w:rPr>
        <w:t>amatā veiksmīgi īstenot</w:t>
      </w:r>
      <w:r w:rsidR="004B517D" w:rsidRPr="00384026">
        <w:rPr>
          <w:rFonts w:ascii="Times New Roman" w:hAnsi="Times New Roman" w:cs="Times New Roman"/>
          <w:color w:val="000000" w:themeColor="text1"/>
          <w:sz w:val="24"/>
          <w:szCs w:val="24"/>
        </w:rPr>
        <w:t>as</w:t>
      </w:r>
      <w:r w:rsidR="00306BBB" w:rsidRPr="00384026">
        <w:rPr>
          <w:rFonts w:ascii="Times New Roman" w:hAnsi="Times New Roman" w:cs="Times New Roman"/>
          <w:color w:val="000000" w:themeColor="text1"/>
          <w:sz w:val="24"/>
          <w:szCs w:val="24"/>
        </w:rPr>
        <w:t xml:space="preserve"> mācīb</w:t>
      </w:r>
      <w:r w:rsidR="004B517D" w:rsidRPr="00384026">
        <w:rPr>
          <w:rFonts w:ascii="Times New Roman" w:hAnsi="Times New Roman" w:cs="Times New Roman"/>
          <w:color w:val="000000" w:themeColor="text1"/>
          <w:sz w:val="24"/>
          <w:szCs w:val="24"/>
        </w:rPr>
        <w:t>as</w:t>
      </w:r>
      <w:r w:rsidR="00C42D5F" w:rsidRPr="00384026">
        <w:rPr>
          <w:rFonts w:ascii="Times New Roman" w:hAnsi="Times New Roman" w:cs="Times New Roman"/>
          <w:color w:val="000000" w:themeColor="text1"/>
          <w:sz w:val="24"/>
          <w:szCs w:val="24"/>
        </w:rPr>
        <w:t xml:space="preserve"> dažādām mērķa grupām – pašval</w:t>
      </w:r>
      <w:r w:rsidR="001F5171" w:rsidRPr="00384026">
        <w:rPr>
          <w:rFonts w:ascii="Times New Roman" w:hAnsi="Times New Roman" w:cs="Times New Roman"/>
          <w:color w:val="000000" w:themeColor="text1"/>
          <w:sz w:val="24"/>
          <w:szCs w:val="24"/>
        </w:rPr>
        <w:t xml:space="preserve">dību speciālistiem, skolēniem, </w:t>
      </w:r>
      <w:r w:rsidR="00C028E7">
        <w:rPr>
          <w:rFonts w:ascii="Times New Roman" w:hAnsi="Times New Roman" w:cs="Times New Roman"/>
          <w:color w:val="000000" w:themeColor="text1"/>
          <w:sz w:val="24"/>
          <w:szCs w:val="24"/>
        </w:rPr>
        <w:t xml:space="preserve">vecākiem, </w:t>
      </w:r>
      <w:r w:rsidR="001F5171" w:rsidRPr="00384026">
        <w:rPr>
          <w:rFonts w:ascii="Times New Roman" w:hAnsi="Times New Roman" w:cs="Times New Roman"/>
          <w:color w:val="000000" w:themeColor="text1"/>
          <w:sz w:val="24"/>
          <w:szCs w:val="24"/>
        </w:rPr>
        <w:t>V</w:t>
      </w:r>
      <w:r w:rsidR="00C42D5F" w:rsidRPr="00384026">
        <w:rPr>
          <w:rFonts w:ascii="Times New Roman" w:hAnsi="Times New Roman" w:cs="Times New Roman"/>
          <w:color w:val="000000" w:themeColor="text1"/>
          <w:sz w:val="24"/>
          <w:szCs w:val="24"/>
        </w:rPr>
        <w:t>alsts policijas darbiniekiem</w:t>
      </w:r>
      <w:r w:rsidR="00465F85" w:rsidRPr="00384026">
        <w:rPr>
          <w:rFonts w:ascii="Times New Roman" w:hAnsi="Times New Roman" w:cs="Times New Roman"/>
          <w:color w:val="000000" w:themeColor="text1"/>
          <w:sz w:val="24"/>
          <w:szCs w:val="24"/>
        </w:rPr>
        <w:t>, primārās veselības aprūp</w:t>
      </w:r>
      <w:r w:rsidR="00D81AEA">
        <w:rPr>
          <w:rFonts w:ascii="Times New Roman" w:hAnsi="Times New Roman" w:cs="Times New Roman"/>
          <w:color w:val="000000" w:themeColor="text1"/>
          <w:sz w:val="24"/>
          <w:szCs w:val="24"/>
        </w:rPr>
        <w:t xml:space="preserve">es speciālistiem un </w:t>
      </w:r>
      <w:r w:rsidR="001F5171" w:rsidRPr="00384026">
        <w:rPr>
          <w:rFonts w:ascii="Times New Roman" w:hAnsi="Times New Roman" w:cs="Times New Roman"/>
          <w:color w:val="000000" w:themeColor="text1"/>
          <w:sz w:val="24"/>
          <w:szCs w:val="24"/>
        </w:rPr>
        <w:t>Ieslodzījuma</w:t>
      </w:r>
      <w:r w:rsidR="00465F85" w:rsidRPr="00384026">
        <w:rPr>
          <w:rFonts w:ascii="Times New Roman" w:hAnsi="Times New Roman" w:cs="Times New Roman"/>
          <w:color w:val="000000" w:themeColor="text1"/>
          <w:sz w:val="24"/>
          <w:szCs w:val="24"/>
        </w:rPr>
        <w:t xml:space="preserve"> viet</w:t>
      </w:r>
      <w:r w:rsidR="001F5171" w:rsidRPr="00384026">
        <w:rPr>
          <w:rFonts w:ascii="Times New Roman" w:hAnsi="Times New Roman" w:cs="Times New Roman"/>
          <w:color w:val="000000" w:themeColor="text1"/>
          <w:sz w:val="24"/>
          <w:szCs w:val="24"/>
        </w:rPr>
        <w:t>u</w:t>
      </w:r>
      <w:r w:rsidR="00465F85" w:rsidRPr="00384026">
        <w:rPr>
          <w:rFonts w:ascii="Times New Roman" w:hAnsi="Times New Roman" w:cs="Times New Roman"/>
          <w:color w:val="000000" w:themeColor="text1"/>
          <w:sz w:val="24"/>
          <w:szCs w:val="24"/>
        </w:rPr>
        <w:t xml:space="preserve"> pārvaldes </w:t>
      </w:r>
      <w:r w:rsidR="00D81AEA">
        <w:rPr>
          <w:rFonts w:ascii="Times New Roman" w:hAnsi="Times New Roman" w:cs="Times New Roman"/>
          <w:color w:val="000000" w:themeColor="text1"/>
          <w:sz w:val="24"/>
          <w:szCs w:val="24"/>
        </w:rPr>
        <w:t>darbiniekiem</w:t>
      </w:r>
      <w:r w:rsidR="00465F85" w:rsidRPr="00384026">
        <w:rPr>
          <w:rFonts w:ascii="Times New Roman" w:hAnsi="Times New Roman" w:cs="Times New Roman"/>
          <w:color w:val="000000" w:themeColor="text1"/>
          <w:sz w:val="24"/>
          <w:szCs w:val="24"/>
        </w:rPr>
        <w:t xml:space="preserve">. Mācību saturs atšķīrās, pielāgojot saturu katrai mērķa grupai. Mācības skolēniem, </w:t>
      </w:r>
      <w:r w:rsidR="00C028E7">
        <w:rPr>
          <w:rFonts w:ascii="Times New Roman" w:hAnsi="Times New Roman" w:cs="Times New Roman"/>
          <w:color w:val="000000" w:themeColor="text1"/>
          <w:sz w:val="24"/>
          <w:szCs w:val="24"/>
        </w:rPr>
        <w:t xml:space="preserve">vecākiem, </w:t>
      </w:r>
      <w:r w:rsidR="00465F85" w:rsidRPr="00384026">
        <w:rPr>
          <w:rFonts w:ascii="Times New Roman" w:hAnsi="Times New Roman" w:cs="Times New Roman"/>
          <w:color w:val="000000" w:themeColor="text1"/>
          <w:sz w:val="24"/>
          <w:szCs w:val="24"/>
        </w:rPr>
        <w:t>pašvaldību speciālistiem un primārās veselības aprūpes speciālisti</w:t>
      </w:r>
      <w:r w:rsidR="00CA4DF6" w:rsidRPr="00384026">
        <w:rPr>
          <w:rFonts w:ascii="Times New Roman" w:hAnsi="Times New Roman" w:cs="Times New Roman"/>
          <w:color w:val="000000" w:themeColor="text1"/>
          <w:sz w:val="24"/>
          <w:szCs w:val="24"/>
        </w:rPr>
        <w:t xml:space="preserve">em </w:t>
      </w:r>
      <w:r w:rsidR="00465F85" w:rsidRPr="00384026">
        <w:rPr>
          <w:rFonts w:ascii="Times New Roman" w:hAnsi="Times New Roman" w:cs="Times New Roman"/>
          <w:color w:val="000000" w:themeColor="text1"/>
          <w:sz w:val="24"/>
          <w:szCs w:val="24"/>
        </w:rPr>
        <w:lastRenderedPageBreak/>
        <w:t>īstenota</w:t>
      </w:r>
      <w:r w:rsidR="00CA4DF6" w:rsidRPr="00384026">
        <w:rPr>
          <w:rFonts w:ascii="Times New Roman" w:hAnsi="Times New Roman" w:cs="Times New Roman"/>
          <w:color w:val="000000" w:themeColor="text1"/>
          <w:sz w:val="24"/>
          <w:szCs w:val="24"/>
        </w:rPr>
        <w:t>s</w:t>
      </w:r>
      <w:r w:rsidR="00465F85" w:rsidRPr="00384026">
        <w:rPr>
          <w:rFonts w:ascii="Times New Roman" w:hAnsi="Times New Roman" w:cs="Times New Roman"/>
          <w:color w:val="000000" w:themeColor="text1"/>
          <w:sz w:val="24"/>
          <w:szCs w:val="24"/>
        </w:rPr>
        <w:t xml:space="preserve"> ar ESF atbalstu, turklāt šie apmācību kursi jau tika uzsākti pirms Plāna apstiprināšanas.</w:t>
      </w:r>
      <w:r w:rsidR="00CA4DF6" w:rsidRPr="00384026">
        <w:rPr>
          <w:rFonts w:ascii="Times New Roman" w:hAnsi="Times New Roman" w:cs="Times New Roman"/>
          <w:color w:val="000000" w:themeColor="text1"/>
          <w:sz w:val="24"/>
          <w:szCs w:val="24"/>
        </w:rPr>
        <w:t xml:space="preserve"> Valsts policijas</w:t>
      </w:r>
      <w:r w:rsidR="00F42DC4" w:rsidRPr="00384026">
        <w:rPr>
          <w:rFonts w:ascii="Times New Roman" w:hAnsi="Times New Roman" w:cs="Times New Roman"/>
          <w:color w:val="000000" w:themeColor="text1"/>
          <w:sz w:val="24"/>
          <w:szCs w:val="24"/>
        </w:rPr>
        <w:t xml:space="preserve"> un I</w:t>
      </w:r>
      <w:r w:rsidR="00CA4DF6" w:rsidRPr="00384026">
        <w:rPr>
          <w:rFonts w:ascii="Times New Roman" w:hAnsi="Times New Roman" w:cs="Times New Roman"/>
          <w:color w:val="000000" w:themeColor="text1"/>
          <w:sz w:val="24"/>
          <w:szCs w:val="24"/>
        </w:rPr>
        <w:t xml:space="preserve">eslodzījuma vietu pārvaldes darbiniekiem </w:t>
      </w:r>
      <w:r w:rsidR="001F5171" w:rsidRPr="00384026">
        <w:rPr>
          <w:rFonts w:ascii="Times New Roman" w:hAnsi="Times New Roman" w:cs="Times New Roman"/>
          <w:color w:val="000000" w:themeColor="text1"/>
          <w:sz w:val="24"/>
          <w:szCs w:val="24"/>
        </w:rPr>
        <w:t xml:space="preserve">mācības </w:t>
      </w:r>
      <w:r w:rsidR="00CA4DF6" w:rsidRPr="00384026">
        <w:rPr>
          <w:rFonts w:ascii="Times New Roman" w:hAnsi="Times New Roman" w:cs="Times New Roman"/>
          <w:color w:val="000000" w:themeColor="text1"/>
          <w:sz w:val="24"/>
          <w:szCs w:val="24"/>
        </w:rPr>
        <w:t>tika īstenotas va</w:t>
      </w:r>
      <w:r w:rsidRPr="00384026">
        <w:rPr>
          <w:rFonts w:ascii="Times New Roman" w:hAnsi="Times New Roman" w:cs="Times New Roman"/>
          <w:color w:val="000000" w:themeColor="text1"/>
          <w:sz w:val="24"/>
          <w:szCs w:val="24"/>
        </w:rPr>
        <w:t>lsts budžeta līdzekļu ietvaros</w:t>
      </w:r>
      <w:r w:rsidR="00CA4DF6" w:rsidRPr="00384026">
        <w:rPr>
          <w:rFonts w:ascii="Times New Roman" w:hAnsi="Times New Roman" w:cs="Times New Roman"/>
          <w:color w:val="000000" w:themeColor="text1"/>
          <w:sz w:val="24"/>
          <w:szCs w:val="24"/>
        </w:rPr>
        <w:t xml:space="preserve"> semināru/ prezentāciju formātā</w:t>
      </w:r>
      <w:r w:rsidR="0013657B" w:rsidRPr="00384026">
        <w:rPr>
          <w:rFonts w:ascii="Times New Roman" w:hAnsi="Times New Roman" w:cs="Times New Roman"/>
          <w:color w:val="000000" w:themeColor="text1"/>
          <w:sz w:val="24"/>
          <w:szCs w:val="24"/>
        </w:rPr>
        <w:t>.</w:t>
      </w:r>
    </w:p>
    <w:p w14:paraId="474C38CC" w14:textId="77777777" w:rsidR="00402782" w:rsidRPr="00384026" w:rsidRDefault="00DC7411" w:rsidP="0013657B">
      <w:pPr>
        <w:spacing w:after="0"/>
        <w:ind w:firstLine="720"/>
        <w:jc w:val="both"/>
        <w:rPr>
          <w:rFonts w:ascii="Times New Roman" w:hAnsi="Times New Roman" w:cs="Times New Roman"/>
          <w:color w:val="000000" w:themeColor="text1"/>
          <w:sz w:val="24"/>
          <w:szCs w:val="24"/>
        </w:rPr>
      </w:pPr>
      <w:r w:rsidRPr="00384026">
        <w:rPr>
          <w:rFonts w:ascii="Times New Roman" w:hAnsi="Times New Roman" w:cs="Times New Roman"/>
          <w:color w:val="000000" w:themeColor="text1"/>
          <w:sz w:val="24"/>
          <w:szCs w:val="24"/>
        </w:rPr>
        <w:t xml:space="preserve">Vadlīniju un metodisko materiālu izstrāde bija otrs pasākumu kopums, kas veiksmīgi </w:t>
      </w:r>
      <w:r w:rsidR="001F5171" w:rsidRPr="00384026">
        <w:rPr>
          <w:rFonts w:ascii="Times New Roman" w:hAnsi="Times New Roman" w:cs="Times New Roman"/>
          <w:color w:val="000000" w:themeColor="text1"/>
          <w:sz w:val="24"/>
          <w:szCs w:val="24"/>
        </w:rPr>
        <w:t>īstenots</w:t>
      </w:r>
      <w:r w:rsidRPr="00384026">
        <w:rPr>
          <w:rFonts w:ascii="Times New Roman" w:hAnsi="Times New Roman" w:cs="Times New Roman"/>
          <w:color w:val="000000" w:themeColor="text1"/>
          <w:sz w:val="24"/>
          <w:szCs w:val="24"/>
        </w:rPr>
        <w:t xml:space="preserve"> 1. rīcības virziena ietvaros</w:t>
      </w:r>
      <w:r w:rsidR="00427CC3" w:rsidRPr="00384026">
        <w:rPr>
          <w:rFonts w:ascii="Times New Roman" w:hAnsi="Times New Roman" w:cs="Times New Roman"/>
          <w:color w:val="000000" w:themeColor="text1"/>
          <w:sz w:val="24"/>
          <w:szCs w:val="24"/>
        </w:rPr>
        <w:t>, turklāt pārskata periodā kopā identificēti 4 metodisko materiālu un vadlīniju izstrāde. Tematiski šajos materiālos iekļauta</w:t>
      </w:r>
      <w:r w:rsidR="001F5171" w:rsidRPr="00384026">
        <w:rPr>
          <w:rFonts w:ascii="Times New Roman" w:hAnsi="Times New Roman" w:cs="Times New Roman"/>
          <w:color w:val="000000" w:themeColor="text1"/>
          <w:sz w:val="24"/>
          <w:szCs w:val="24"/>
        </w:rPr>
        <w:t>s</w:t>
      </w:r>
      <w:r w:rsidR="00427CC3" w:rsidRPr="00384026">
        <w:rPr>
          <w:rFonts w:ascii="Times New Roman" w:hAnsi="Times New Roman" w:cs="Times New Roman"/>
          <w:color w:val="000000" w:themeColor="text1"/>
          <w:sz w:val="24"/>
          <w:szCs w:val="24"/>
        </w:rPr>
        <w:t xml:space="preserve"> profilakses, kaitējuma mazināšanas un sociālā darba tēmas. </w:t>
      </w:r>
    </w:p>
    <w:p w14:paraId="522BB2A4" w14:textId="77777777" w:rsidR="00427CC3" w:rsidRPr="00384026" w:rsidRDefault="00427CC3" w:rsidP="0044035E">
      <w:pPr>
        <w:jc w:val="both"/>
        <w:rPr>
          <w:rFonts w:ascii="Times New Roman" w:hAnsi="Times New Roman" w:cs="Times New Roman"/>
          <w:color w:val="000000" w:themeColor="text1"/>
          <w:sz w:val="24"/>
          <w:szCs w:val="24"/>
        </w:rPr>
      </w:pPr>
    </w:p>
    <w:p w14:paraId="717110D2" w14:textId="0066EB80" w:rsidR="00DC7411" w:rsidRPr="002B7AFF" w:rsidRDefault="00C427EC" w:rsidP="002B7AFF">
      <w:pPr>
        <w:ind w:left="662"/>
        <w:jc w:val="righ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4</w:t>
      </w:r>
      <w:r w:rsidR="002B7AFF">
        <w:rPr>
          <w:rFonts w:ascii="Times New Roman" w:hAnsi="Times New Roman" w:cs="Times New Roman"/>
          <w:b/>
          <w:bCs/>
          <w:color w:val="000000" w:themeColor="text1"/>
          <w:sz w:val="24"/>
          <w:szCs w:val="24"/>
        </w:rPr>
        <w:t>. </w:t>
      </w:r>
      <w:r w:rsidR="00DC7411" w:rsidRPr="002B7AFF">
        <w:rPr>
          <w:rFonts w:ascii="Times New Roman" w:hAnsi="Times New Roman" w:cs="Times New Roman"/>
          <w:b/>
          <w:bCs/>
          <w:color w:val="000000" w:themeColor="text1"/>
          <w:sz w:val="24"/>
          <w:szCs w:val="24"/>
        </w:rPr>
        <w:t xml:space="preserve">attēls. 1. rīcības virzienā iekļauto pasākumu izpildes statuss </w:t>
      </w:r>
    </w:p>
    <w:p w14:paraId="199F40ED" w14:textId="77777777" w:rsidR="00DC7411" w:rsidRPr="00384026" w:rsidRDefault="00DC7411" w:rsidP="00DC7411">
      <w:pPr>
        <w:pStyle w:val="ListParagraph"/>
        <w:ind w:left="1022"/>
        <w:jc w:val="right"/>
        <w:rPr>
          <w:rFonts w:ascii="Times New Roman" w:hAnsi="Times New Roman" w:cs="Times New Roman"/>
          <w:color w:val="000000" w:themeColor="text1"/>
          <w:sz w:val="24"/>
          <w:szCs w:val="24"/>
        </w:rPr>
      </w:pPr>
      <w:r w:rsidRPr="00384026">
        <w:rPr>
          <w:rFonts w:ascii="Times New Roman" w:hAnsi="Times New Roman" w:cs="Times New Roman"/>
          <w:color w:val="000000" w:themeColor="text1"/>
          <w:sz w:val="24"/>
          <w:szCs w:val="24"/>
        </w:rPr>
        <w:t>(sarkans – neizpildīts; dzeltens – daļēji izpildīts/procesā; zaļš – izpildīts)</w:t>
      </w:r>
    </w:p>
    <w:p w14:paraId="0D8A88A9" w14:textId="1F7D34E9" w:rsidR="00DC7411" w:rsidRPr="00384026" w:rsidRDefault="000B6BD2" w:rsidP="00A21E41">
      <w:pPr>
        <w:rPr>
          <w:rFonts w:ascii="Times New Roman" w:hAnsi="Times New Roman" w:cs="Times New Roman"/>
          <w:color w:val="000000" w:themeColor="text1"/>
          <w:sz w:val="24"/>
          <w:szCs w:val="24"/>
        </w:rPr>
      </w:pPr>
      <w:r>
        <w:rPr>
          <w:noProof/>
          <w:lang w:eastAsia="lv-LV"/>
        </w:rPr>
        <w:drawing>
          <wp:inline distT="0" distB="0" distL="0" distR="0" wp14:anchorId="21639E85" wp14:editId="59841D1D">
            <wp:extent cx="5760085" cy="51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3199" t="9467" r="25799" b="9202"/>
                    <a:stretch/>
                  </pic:blipFill>
                  <pic:spPr bwMode="auto">
                    <a:xfrm>
                      <a:off x="0" y="0"/>
                      <a:ext cx="5760085" cy="5166700"/>
                    </a:xfrm>
                    <a:prstGeom prst="rect">
                      <a:avLst/>
                    </a:prstGeom>
                    <a:ln>
                      <a:noFill/>
                    </a:ln>
                    <a:extLst>
                      <a:ext uri="{53640926-AAD7-44D8-BBD7-CCE9431645EC}">
                        <a14:shadowObscured xmlns:a14="http://schemas.microsoft.com/office/drawing/2010/main"/>
                      </a:ext>
                    </a:extLst>
                  </pic:spPr>
                </pic:pic>
              </a:graphicData>
            </a:graphic>
          </wp:inline>
        </w:drawing>
      </w:r>
    </w:p>
    <w:p w14:paraId="16A97697" w14:textId="55ABC984" w:rsidR="005B3E06" w:rsidRPr="00C427EC" w:rsidRDefault="00527DB4" w:rsidP="00427CC3">
      <w:pPr>
        <w:spacing w:after="0"/>
        <w:ind w:firstLine="720"/>
        <w:jc w:val="both"/>
        <w:rPr>
          <w:rFonts w:ascii="Times New Roman" w:hAnsi="Times New Roman" w:cs="Times New Roman"/>
          <w:color w:val="000000" w:themeColor="text1"/>
          <w:sz w:val="24"/>
          <w:szCs w:val="24"/>
        </w:rPr>
      </w:pPr>
      <w:r w:rsidRPr="00C427EC">
        <w:rPr>
          <w:rFonts w:ascii="Times New Roman" w:hAnsi="Times New Roman" w:cs="Times New Roman"/>
          <w:color w:val="000000" w:themeColor="text1"/>
          <w:sz w:val="24"/>
          <w:szCs w:val="24"/>
        </w:rPr>
        <w:t xml:space="preserve">Kā </w:t>
      </w:r>
      <w:r w:rsidR="00402782" w:rsidRPr="00C427EC">
        <w:rPr>
          <w:rFonts w:ascii="Times New Roman" w:hAnsi="Times New Roman" w:cs="Times New Roman"/>
          <w:color w:val="000000" w:themeColor="text1"/>
          <w:sz w:val="24"/>
          <w:szCs w:val="24"/>
        </w:rPr>
        <w:t xml:space="preserve">daļēji izpildīti </w:t>
      </w:r>
      <w:r w:rsidR="00DC7411" w:rsidRPr="00C427EC">
        <w:rPr>
          <w:rFonts w:ascii="Times New Roman" w:hAnsi="Times New Roman" w:cs="Times New Roman"/>
          <w:color w:val="000000" w:themeColor="text1"/>
          <w:sz w:val="24"/>
          <w:szCs w:val="24"/>
        </w:rPr>
        <w:t>novērtēti</w:t>
      </w:r>
      <w:r w:rsidR="001C3A8D">
        <w:rPr>
          <w:rFonts w:ascii="Times New Roman" w:hAnsi="Times New Roman" w:cs="Times New Roman"/>
          <w:color w:val="000000" w:themeColor="text1"/>
          <w:sz w:val="24"/>
          <w:szCs w:val="24"/>
        </w:rPr>
        <w:t xml:space="preserve"> četri pasākumi. Trīs pasākumiem Plānā noteiktie rezultatīvie rādītāji nav sasniegti</w:t>
      </w:r>
      <w:r w:rsidR="00DC7411" w:rsidRPr="00C427EC">
        <w:rPr>
          <w:rFonts w:ascii="Times New Roman" w:hAnsi="Times New Roman" w:cs="Times New Roman"/>
          <w:color w:val="000000" w:themeColor="text1"/>
          <w:sz w:val="24"/>
          <w:szCs w:val="24"/>
        </w:rPr>
        <w:t>, bet</w:t>
      </w:r>
      <w:r w:rsidR="0048696D" w:rsidRPr="00C427EC">
        <w:rPr>
          <w:rFonts w:ascii="Times New Roman" w:hAnsi="Times New Roman" w:cs="Times New Roman"/>
          <w:color w:val="000000" w:themeColor="text1"/>
          <w:sz w:val="24"/>
          <w:szCs w:val="24"/>
        </w:rPr>
        <w:t>,</w:t>
      </w:r>
      <w:r w:rsidR="00DC7411" w:rsidRPr="00C427EC">
        <w:rPr>
          <w:rFonts w:ascii="Times New Roman" w:hAnsi="Times New Roman" w:cs="Times New Roman"/>
          <w:color w:val="000000" w:themeColor="text1"/>
          <w:sz w:val="24"/>
          <w:szCs w:val="24"/>
        </w:rPr>
        <w:t xml:space="preserve"> tā kā</w:t>
      </w:r>
      <w:r w:rsidR="00D15DD2" w:rsidRPr="00C427EC">
        <w:rPr>
          <w:rFonts w:ascii="Times New Roman" w:hAnsi="Times New Roman" w:cs="Times New Roman"/>
          <w:color w:val="000000" w:themeColor="text1"/>
          <w:sz w:val="24"/>
          <w:szCs w:val="24"/>
        </w:rPr>
        <w:t xml:space="preserve"> pārskata periodā ir noticis aktīvs darbs šo pasākumu plānošanā</w:t>
      </w:r>
      <w:r w:rsidR="001C3A8D">
        <w:rPr>
          <w:rFonts w:ascii="Times New Roman" w:hAnsi="Times New Roman" w:cs="Times New Roman"/>
          <w:color w:val="000000" w:themeColor="text1"/>
          <w:sz w:val="24"/>
          <w:szCs w:val="24"/>
        </w:rPr>
        <w:t xml:space="preserve"> un uzsākšanā</w:t>
      </w:r>
      <w:r w:rsidR="00DC7411" w:rsidRPr="00C427EC">
        <w:rPr>
          <w:rFonts w:ascii="Times New Roman" w:hAnsi="Times New Roman" w:cs="Times New Roman"/>
          <w:color w:val="000000" w:themeColor="text1"/>
          <w:sz w:val="24"/>
          <w:szCs w:val="24"/>
        </w:rPr>
        <w:t xml:space="preserve">, </w:t>
      </w:r>
      <w:r w:rsidR="001C3A8D">
        <w:rPr>
          <w:rFonts w:ascii="Times New Roman" w:hAnsi="Times New Roman" w:cs="Times New Roman"/>
          <w:color w:val="000000" w:themeColor="text1"/>
          <w:sz w:val="24"/>
          <w:szCs w:val="24"/>
        </w:rPr>
        <w:t>tie vērtējami kā pasākumi, kuru izpilde ir procesā</w:t>
      </w:r>
      <w:r w:rsidR="00D15DD2" w:rsidRPr="00C427EC">
        <w:rPr>
          <w:rFonts w:ascii="Times New Roman" w:hAnsi="Times New Roman" w:cs="Times New Roman"/>
          <w:color w:val="000000" w:themeColor="text1"/>
          <w:sz w:val="24"/>
          <w:szCs w:val="24"/>
        </w:rPr>
        <w:t>. Piemēram, 2. un 4. pasākuma izpildei iepirkums noslēdzās 2020. gada 1. decembrī</w:t>
      </w:r>
      <w:r w:rsidR="0048696D" w:rsidRPr="00C427EC">
        <w:rPr>
          <w:rFonts w:ascii="Times New Roman" w:hAnsi="Times New Roman" w:cs="Times New Roman"/>
          <w:color w:val="000000" w:themeColor="text1"/>
          <w:sz w:val="24"/>
          <w:szCs w:val="24"/>
        </w:rPr>
        <w:t>, tātad</w:t>
      </w:r>
      <w:r w:rsidR="00DC7411" w:rsidRPr="00C427EC">
        <w:rPr>
          <w:rFonts w:ascii="Times New Roman" w:hAnsi="Times New Roman" w:cs="Times New Roman"/>
          <w:color w:val="000000" w:themeColor="text1"/>
          <w:sz w:val="24"/>
          <w:szCs w:val="24"/>
        </w:rPr>
        <w:t xml:space="preserve"> </w:t>
      </w:r>
      <w:r w:rsidR="00C427EC" w:rsidRPr="00C427EC">
        <w:rPr>
          <w:rFonts w:ascii="Times New Roman" w:hAnsi="Times New Roman" w:cs="Times New Roman"/>
          <w:sz w:val="24"/>
          <w:szCs w:val="24"/>
        </w:rPr>
        <w:t>pārskata periodā tika nodrošināta pasākumu izpildes sagatavošana, izstrādājot iepirkumu, to izsludinot un noslēdzot līgumu ar izpildītāju.</w:t>
      </w:r>
      <w:r w:rsidR="00DC7411" w:rsidRPr="00C427EC">
        <w:rPr>
          <w:rFonts w:ascii="Times New Roman" w:hAnsi="Times New Roman" w:cs="Times New Roman"/>
          <w:color w:val="000000" w:themeColor="text1"/>
          <w:sz w:val="24"/>
          <w:szCs w:val="24"/>
        </w:rPr>
        <w:t xml:space="preserve"> </w:t>
      </w:r>
      <w:r w:rsidR="000B6BD2">
        <w:rPr>
          <w:rFonts w:ascii="Times New Roman" w:hAnsi="Times New Roman" w:cs="Times New Roman"/>
          <w:color w:val="000000" w:themeColor="text1"/>
          <w:sz w:val="24"/>
          <w:szCs w:val="24"/>
        </w:rPr>
        <w:t xml:space="preserve"> </w:t>
      </w:r>
    </w:p>
    <w:p w14:paraId="7E37455C" w14:textId="3000F8E8" w:rsidR="00DF318F" w:rsidRPr="00384026" w:rsidRDefault="0048696D" w:rsidP="0013657B">
      <w:pPr>
        <w:spacing w:after="0"/>
        <w:ind w:firstLine="720"/>
        <w:jc w:val="both"/>
        <w:rPr>
          <w:rFonts w:ascii="Times New Roman" w:hAnsi="Times New Roman" w:cs="Times New Roman"/>
          <w:color w:val="000000" w:themeColor="text1"/>
          <w:sz w:val="24"/>
          <w:szCs w:val="24"/>
        </w:rPr>
      </w:pPr>
      <w:r w:rsidRPr="00384026">
        <w:rPr>
          <w:rFonts w:ascii="Times New Roman" w:hAnsi="Times New Roman" w:cs="Times New Roman"/>
          <w:color w:val="000000" w:themeColor="text1"/>
          <w:sz w:val="24"/>
          <w:szCs w:val="24"/>
        </w:rPr>
        <w:lastRenderedPageBreak/>
        <w:t>Pasākumu i</w:t>
      </w:r>
      <w:r w:rsidR="00D15DD2" w:rsidRPr="00384026">
        <w:rPr>
          <w:rFonts w:ascii="Times New Roman" w:hAnsi="Times New Roman" w:cs="Times New Roman"/>
          <w:color w:val="000000" w:themeColor="text1"/>
          <w:sz w:val="24"/>
          <w:szCs w:val="24"/>
        </w:rPr>
        <w:t xml:space="preserve">zpildes kontekstā ir jāmin vēl kāds kavējošs </w:t>
      </w:r>
      <w:r w:rsidR="00BA1C33" w:rsidRPr="00384026">
        <w:rPr>
          <w:rFonts w:ascii="Times New Roman" w:hAnsi="Times New Roman" w:cs="Times New Roman"/>
          <w:color w:val="000000" w:themeColor="text1"/>
          <w:sz w:val="24"/>
          <w:szCs w:val="24"/>
        </w:rPr>
        <w:t>apstāklis</w:t>
      </w:r>
      <w:r w:rsidR="00D15DD2" w:rsidRPr="00384026">
        <w:rPr>
          <w:rFonts w:ascii="Times New Roman" w:hAnsi="Times New Roman" w:cs="Times New Roman"/>
          <w:color w:val="000000" w:themeColor="text1"/>
          <w:sz w:val="24"/>
          <w:szCs w:val="24"/>
        </w:rPr>
        <w:t xml:space="preserve">, kas saistīts ar </w:t>
      </w:r>
      <w:r w:rsidR="00DF318F" w:rsidRPr="00384026">
        <w:rPr>
          <w:rFonts w:ascii="Times New Roman" w:hAnsi="Times New Roman" w:cs="Times New Roman"/>
          <w:color w:val="000000" w:themeColor="text1"/>
          <w:sz w:val="24"/>
          <w:szCs w:val="24"/>
        </w:rPr>
        <w:t>standartizēto programmu</w:t>
      </w:r>
      <w:r w:rsidR="00D15DD2" w:rsidRPr="00384026">
        <w:rPr>
          <w:rFonts w:ascii="Times New Roman" w:hAnsi="Times New Roman" w:cs="Times New Roman"/>
          <w:color w:val="000000" w:themeColor="text1"/>
          <w:sz w:val="24"/>
          <w:szCs w:val="24"/>
        </w:rPr>
        <w:t xml:space="preserve"> ieviešanu. Plānojot </w:t>
      </w:r>
      <w:r w:rsidR="00DF318F" w:rsidRPr="00384026">
        <w:rPr>
          <w:rFonts w:ascii="Times New Roman" w:hAnsi="Times New Roman" w:cs="Times New Roman"/>
          <w:color w:val="000000" w:themeColor="text1"/>
          <w:sz w:val="24"/>
          <w:szCs w:val="24"/>
        </w:rPr>
        <w:t>agrīnās intervences</w:t>
      </w:r>
      <w:r w:rsidR="00F8760E" w:rsidRPr="00384026">
        <w:rPr>
          <w:rFonts w:ascii="Times New Roman" w:hAnsi="Times New Roman" w:cs="Times New Roman"/>
          <w:color w:val="000000" w:themeColor="text1"/>
          <w:sz w:val="24"/>
          <w:szCs w:val="24"/>
        </w:rPr>
        <w:t xml:space="preserve"> programmas </w:t>
      </w:r>
      <w:r w:rsidR="00F8760E" w:rsidRPr="00384026">
        <w:rPr>
          <w:rFonts w:ascii="Times New Roman" w:hAnsi="Times New Roman" w:cs="Times New Roman"/>
          <w:i/>
          <w:color w:val="000000" w:themeColor="text1"/>
          <w:sz w:val="24"/>
          <w:szCs w:val="24"/>
        </w:rPr>
        <w:t>FreD</w:t>
      </w:r>
      <w:r w:rsidR="00F42DC4" w:rsidRPr="00384026">
        <w:rPr>
          <w:rFonts w:ascii="Times New Roman" w:hAnsi="Times New Roman" w:cs="Times New Roman"/>
          <w:i/>
          <w:color w:val="000000" w:themeColor="text1"/>
          <w:sz w:val="24"/>
          <w:szCs w:val="24"/>
        </w:rPr>
        <w:t xml:space="preserve"> </w:t>
      </w:r>
      <w:r w:rsidR="00F8760E" w:rsidRPr="00384026">
        <w:rPr>
          <w:rFonts w:ascii="Times New Roman" w:hAnsi="Times New Roman" w:cs="Times New Roman"/>
          <w:i/>
          <w:color w:val="000000" w:themeColor="text1"/>
          <w:sz w:val="24"/>
          <w:szCs w:val="24"/>
        </w:rPr>
        <w:t>goes</w:t>
      </w:r>
      <w:r w:rsidR="00F42DC4" w:rsidRPr="00384026">
        <w:rPr>
          <w:rFonts w:ascii="Times New Roman" w:hAnsi="Times New Roman" w:cs="Times New Roman"/>
          <w:i/>
          <w:color w:val="000000" w:themeColor="text1"/>
          <w:sz w:val="24"/>
          <w:szCs w:val="24"/>
        </w:rPr>
        <w:t xml:space="preserve"> </w:t>
      </w:r>
      <w:r w:rsidR="00F8760E" w:rsidRPr="00384026">
        <w:rPr>
          <w:rFonts w:ascii="Times New Roman" w:hAnsi="Times New Roman" w:cs="Times New Roman"/>
          <w:i/>
          <w:color w:val="000000" w:themeColor="text1"/>
          <w:sz w:val="24"/>
          <w:szCs w:val="24"/>
        </w:rPr>
        <w:t>n</w:t>
      </w:r>
      <w:r w:rsidR="00D15DD2" w:rsidRPr="00384026">
        <w:rPr>
          <w:rFonts w:ascii="Times New Roman" w:hAnsi="Times New Roman" w:cs="Times New Roman"/>
          <w:i/>
          <w:color w:val="000000" w:themeColor="text1"/>
          <w:sz w:val="24"/>
          <w:szCs w:val="24"/>
        </w:rPr>
        <w:t>et</w:t>
      </w:r>
      <w:r w:rsidR="00B83BD1" w:rsidRPr="00384026">
        <w:rPr>
          <w:rStyle w:val="FootnoteReference"/>
          <w:rFonts w:ascii="Times New Roman" w:hAnsi="Times New Roman" w:cs="Times New Roman"/>
          <w:color w:val="000000" w:themeColor="text1"/>
          <w:sz w:val="24"/>
          <w:szCs w:val="24"/>
        </w:rPr>
        <w:footnoteReference w:id="7"/>
      </w:r>
      <w:r w:rsidR="00D15DD2" w:rsidRPr="00384026">
        <w:rPr>
          <w:rFonts w:ascii="Times New Roman" w:hAnsi="Times New Roman" w:cs="Times New Roman"/>
          <w:color w:val="000000" w:themeColor="text1"/>
          <w:sz w:val="24"/>
          <w:szCs w:val="24"/>
        </w:rPr>
        <w:t xml:space="preserve"> ieviešanu Latvijā, </w:t>
      </w:r>
      <w:r w:rsidR="00B83BD1" w:rsidRPr="00384026">
        <w:rPr>
          <w:rFonts w:ascii="Times New Roman" w:hAnsi="Times New Roman" w:cs="Times New Roman"/>
          <w:color w:val="000000" w:themeColor="text1"/>
          <w:sz w:val="24"/>
          <w:szCs w:val="24"/>
        </w:rPr>
        <w:t>C</w:t>
      </w:r>
      <w:r w:rsidR="00BA1C33" w:rsidRPr="00384026">
        <w:rPr>
          <w:rFonts w:ascii="Times New Roman" w:hAnsi="Times New Roman" w:cs="Times New Roman"/>
          <w:color w:val="000000" w:themeColor="text1"/>
          <w:sz w:val="24"/>
          <w:szCs w:val="24"/>
        </w:rPr>
        <w:t xml:space="preserve">entrālā finanšu </w:t>
      </w:r>
      <w:r w:rsidR="001F5171" w:rsidRPr="00384026">
        <w:rPr>
          <w:rFonts w:ascii="Times New Roman" w:hAnsi="Times New Roman" w:cs="Times New Roman"/>
          <w:color w:val="000000" w:themeColor="text1"/>
          <w:sz w:val="24"/>
          <w:szCs w:val="24"/>
        </w:rPr>
        <w:t>un līgumu</w:t>
      </w:r>
      <w:r w:rsidR="00BA1C33" w:rsidRPr="00384026">
        <w:rPr>
          <w:rFonts w:ascii="Times New Roman" w:hAnsi="Times New Roman" w:cs="Times New Roman"/>
          <w:color w:val="000000" w:themeColor="text1"/>
          <w:sz w:val="24"/>
          <w:szCs w:val="24"/>
        </w:rPr>
        <w:t xml:space="preserve"> aģentūra </w:t>
      </w:r>
      <w:r w:rsidR="00DF318F" w:rsidRPr="00384026">
        <w:rPr>
          <w:rFonts w:ascii="Times New Roman" w:hAnsi="Times New Roman" w:cs="Times New Roman"/>
          <w:color w:val="000000" w:themeColor="text1"/>
          <w:sz w:val="24"/>
          <w:szCs w:val="24"/>
        </w:rPr>
        <w:t xml:space="preserve">veica </w:t>
      </w:r>
      <w:r w:rsidR="001F5171" w:rsidRPr="00384026">
        <w:rPr>
          <w:rFonts w:ascii="Times New Roman" w:hAnsi="Times New Roman" w:cs="Times New Roman"/>
          <w:color w:val="000000" w:themeColor="text1"/>
          <w:sz w:val="24"/>
          <w:szCs w:val="24"/>
        </w:rPr>
        <w:t xml:space="preserve">pieteikuma </w:t>
      </w:r>
      <w:r w:rsidR="00B83BD1" w:rsidRPr="00384026">
        <w:rPr>
          <w:rFonts w:ascii="Times New Roman" w:hAnsi="Times New Roman" w:cs="Times New Roman"/>
          <w:color w:val="000000" w:themeColor="text1"/>
          <w:sz w:val="24"/>
          <w:szCs w:val="24"/>
        </w:rPr>
        <w:t>izvērtējumu</w:t>
      </w:r>
      <w:r w:rsidR="00DF318F" w:rsidRPr="00384026">
        <w:rPr>
          <w:rFonts w:ascii="Times New Roman" w:hAnsi="Times New Roman" w:cs="Times New Roman"/>
          <w:color w:val="000000" w:themeColor="text1"/>
          <w:sz w:val="24"/>
          <w:szCs w:val="24"/>
        </w:rPr>
        <w:t xml:space="preserve"> un secināja,</w:t>
      </w:r>
      <w:r w:rsidR="00D15DD2" w:rsidRPr="00384026">
        <w:rPr>
          <w:rFonts w:ascii="Times New Roman" w:hAnsi="Times New Roman" w:cs="Times New Roman"/>
          <w:color w:val="000000" w:themeColor="text1"/>
          <w:sz w:val="24"/>
          <w:szCs w:val="24"/>
        </w:rPr>
        <w:t xml:space="preserve"> k</w:t>
      </w:r>
      <w:r w:rsidR="00DF318F" w:rsidRPr="00384026">
        <w:rPr>
          <w:rFonts w:ascii="Times New Roman" w:hAnsi="Times New Roman" w:cs="Times New Roman"/>
          <w:color w:val="000000" w:themeColor="text1"/>
          <w:sz w:val="24"/>
          <w:szCs w:val="24"/>
        </w:rPr>
        <w:t>a</w:t>
      </w:r>
      <w:r w:rsidR="00D15DD2" w:rsidRPr="00384026">
        <w:rPr>
          <w:rFonts w:ascii="Times New Roman" w:hAnsi="Times New Roman" w:cs="Times New Roman"/>
          <w:color w:val="000000" w:themeColor="text1"/>
          <w:sz w:val="24"/>
          <w:szCs w:val="24"/>
        </w:rPr>
        <w:t xml:space="preserve"> programmas korekta ieviešan</w:t>
      </w:r>
      <w:r w:rsidR="00BA7064">
        <w:rPr>
          <w:rFonts w:ascii="Times New Roman" w:hAnsi="Times New Roman" w:cs="Times New Roman"/>
          <w:color w:val="000000" w:themeColor="text1"/>
          <w:sz w:val="24"/>
          <w:szCs w:val="24"/>
        </w:rPr>
        <w:t>a</w:t>
      </w:r>
      <w:r w:rsidR="00D15DD2" w:rsidRPr="00384026">
        <w:rPr>
          <w:rFonts w:ascii="Times New Roman" w:hAnsi="Times New Roman" w:cs="Times New Roman"/>
          <w:color w:val="000000" w:themeColor="text1"/>
          <w:sz w:val="24"/>
          <w:szCs w:val="24"/>
        </w:rPr>
        <w:t xml:space="preserve"> būtu iespējama tikai ar </w:t>
      </w:r>
      <w:r w:rsidR="00B72924" w:rsidRPr="00384026">
        <w:rPr>
          <w:rFonts w:ascii="Times New Roman" w:hAnsi="Times New Roman" w:cs="Times New Roman"/>
          <w:color w:val="000000" w:themeColor="text1"/>
          <w:sz w:val="24"/>
          <w:szCs w:val="24"/>
        </w:rPr>
        <w:t xml:space="preserve">tās </w:t>
      </w:r>
      <w:r w:rsidR="00D15DD2" w:rsidRPr="00384026">
        <w:rPr>
          <w:rFonts w:ascii="Times New Roman" w:hAnsi="Times New Roman" w:cs="Times New Roman"/>
          <w:color w:val="000000" w:themeColor="text1"/>
          <w:sz w:val="24"/>
          <w:szCs w:val="24"/>
        </w:rPr>
        <w:t>izstrādātāju atbalstu</w:t>
      </w:r>
      <w:r w:rsidR="00DF318F" w:rsidRPr="00384026">
        <w:rPr>
          <w:rFonts w:ascii="Times New Roman" w:hAnsi="Times New Roman" w:cs="Times New Roman"/>
          <w:color w:val="000000" w:themeColor="text1"/>
          <w:sz w:val="24"/>
          <w:szCs w:val="24"/>
        </w:rPr>
        <w:t>,</w:t>
      </w:r>
      <w:r w:rsidR="00D15DD2" w:rsidRPr="00384026">
        <w:rPr>
          <w:rFonts w:ascii="Times New Roman" w:hAnsi="Times New Roman" w:cs="Times New Roman"/>
          <w:color w:val="000000" w:themeColor="text1"/>
          <w:sz w:val="24"/>
          <w:szCs w:val="24"/>
        </w:rPr>
        <w:t xml:space="preserve"> kuri pārskata periodā šo atbalstu nodrošināt</w:t>
      </w:r>
      <w:r w:rsidR="00DF318F" w:rsidRPr="00384026">
        <w:rPr>
          <w:rFonts w:ascii="Times New Roman" w:hAnsi="Times New Roman" w:cs="Times New Roman"/>
          <w:color w:val="000000" w:themeColor="text1"/>
          <w:sz w:val="24"/>
          <w:szCs w:val="24"/>
        </w:rPr>
        <w:t xml:space="preserve"> nevarēja</w:t>
      </w:r>
      <w:r w:rsidR="00D15DD2" w:rsidRPr="00384026">
        <w:rPr>
          <w:rFonts w:ascii="Times New Roman" w:hAnsi="Times New Roman" w:cs="Times New Roman"/>
          <w:color w:val="000000" w:themeColor="text1"/>
          <w:sz w:val="24"/>
          <w:szCs w:val="24"/>
        </w:rPr>
        <w:t xml:space="preserve">. Līdz ar to </w:t>
      </w:r>
      <w:r w:rsidR="00DF318F" w:rsidRPr="00384026">
        <w:rPr>
          <w:rFonts w:ascii="Times New Roman" w:hAnsi="Times New Roman" w:cs="Times New Roman"/>
          <w:color w:val="000000" w:themeColor="text1"/>
          <w:sz w:val="24"/>
          <w:szCs w:val="24"/>
        </w:rPr>
        <w:t xml:space="preserve">pieņemts lēmums </w:t>
      </w:r>
      <w:r w:rsidR="00BA7064">
        <w:rPr>
          <w:rFonts w:ascii="Times New Roman" w:hAnsi="Times New Roman" w:cs="Times New Roman"/>
          <w:color w:val="000000" w:themeColor="text1"/>
          <w:sz w:val="24"/>
          <w:szCs w:val="24"/>
        </w:rPr>
        <w:t xml:space="preserve">veidot līdzīgu </w:t>
      </w:r>
      <w:r w:rsidR="00D65547" w:rsidRPr="00384026">
        <w:rPr>
          <w:rFonts w:ascii="Times New Roman" w:hAnsi="Times New Roman" w:cs="Times New Roman"/>
          <w:color w:val="000000" w:themeColor="text1"/>
          <w:sz w:val="24"/>
          <w:szCs w:val="24"/>
        </w:rPr>
        <w:t xml:space="preserve">Latvijas </w:t>
      </w:r>
      <w:r w:rsidR="00BA1C33" w:rsidRPr="00384026">
        <w:rPr>
          <w:rFonts w:ascii="Times New Roman" w:hAnsi="Times New Roman" w:cs="Times New Roman"/>
          <w:color w:val="000000" w:themeColor="text1"/>
          <w:sz w:val="24"/>
          <w:szCs w:val="24"/>
        </w:rPr>
        <w:t>oriģinālprogrammu</w:t>
      </w:r>
      <w:r w:rsidR="00DF318F" w:rsidRPr="00384026">
        <w:rPr>
          <w:rFonts w:ascii="Times New Roman" w:hAnsi="Times New Roman" w:cs="Times New Roman"/>
          <w:color w:val="000000" w:themeColor="text1"/>
          <w:sz w:val="24"/>
          <w:szCs w:val="24"/>
        </w:rPr>
        <w:t xml:space="preserve">, </w:t>
      </w:r>
      <w:r w:rsidR="00B72924" w:rsidRPr="00384026">
        <w:rPr>
          <w:rFonts w:ascii="Times New Roman" w:hAnsi="Times New Roman" w:cs="Times New Roman"/>
          <w:color w:val="000000" w:themeColor="text1"/>
          <w:sz w:val="24"/>
          <w:szCs w:val="24"/>
        </w:rPr>
        <w:t xml:space="preserve">par pamatu izmantojot programmas </w:t>
      </w:r>
      <w:r w:rsidR="00B72924" w:rsidRPr="00384026">
        <w:rPr>
          <w:rFonts w:ascii="Times New Roman" w:hAnsi="Times New Roman" w:cs="Times New Roman"/>
          <w:i/>
          <w:color w:val="000000" w:themeColor="text1"/>
          <w:sz w:val="24"/>
          <w:szCs w:val="24"/>
        </w:rPr>
        <w:t>FreD</w:t>
      </w:r>
      <w:r w:rsidR="00A15E6F" w:rsidRPr="00384026">
        <w:rPr>
          <w:rFonts w:ascii="Times New Roman" w:hAnsi="Times New Roman" w:cs="Times New Roman"/>
          <w:i/>
          <w:color w:val="000000" w:themeColor="text1"/>
          <w:sz w:val="24"/>
          <w:szCs w:val="24"/>
        </w:rPr>
        <w:t xml:space="preserve"> </w:t>
      </w:r>
      <w:r w:rsidR="00B72924" w:rsidRPr="00384026">
        <w:rPr>
          <w:rFonts w:ascii="Times New Roman" w:hAnsi="Times New Roman" w:cs="Times New Roman"/>
          <w:i/>
          <w:color w:val="000000" w:themeColor="text1"/>
          <w:sz w:val="24"/>
          <w:szCs w:val="24"/>
        </w:rPr>
        <w:t>goes</w:t>
      </w:r>
      <w:r w:rsidR="00A15E6F" w:rsidRPr="00384026">
        <w:rPr>
          <w:rFonts w:ascii="Times New Roman" w:hAnsi="Times New Roman" w:cs="Times New Roman"/>
          <w:i/>
          <w:color w:val="000000" w:themeColor="text1"/>
          <w:sz w:val="24"/>
          <w:szCs w:val="24"/>
        </w:rPr>
        <w:t xml:space="preserve"> </w:t>
      </w:r>
      <w:r w:rsidR="00B72924" w:rsidRPr="00384026">
        <w:rPr>
          <w:rFonts w:ascii="Times New Roman" w:hAnsi="Times New Roman" w:cs="Times New Roman"/>
          <w:i/>
          <w:color w:val="000000" w:themeColor="text1"/>
          <w:sz w:val="24"/>
          <w:szCs w:val="24"/>
        </w:rPr>
        <w:t>net</w:t>
      </w:r>
      <w:r w:rsidR="00B72924" w:rsidRPr="00384026">
        <w:rPr>
          <w:rFonts w:ascii="Times New Roman" w:hAnsi="Times New Roman" w:cs="Times New Roman"/>
          <w:color w:val="000000" w:themeColor="text1"/>
          <w:sz w:val="24"/>
          <w:szCs w:val="24"/>
        </w:rPr>
        <w:t xml:space="preserve"> </w:t>
      </w:r>
      <w:r w:rsidR="002B5D44">
        <w:rPr>
          <w:rFonts w:ascii="Times New Roman" w:hAnsi="Times New Roman" w:cs="Times New Roman"/>
          <w:color w:val="000000" w:themeColor="text1"/>
          <w:sz w:val="24"/>
          <w:szCs w:val="24"/>
        </w:rPr>
        <w:t>principus</w:t>
      </w:r>
      <w:r w:rsidR="00B72924" w:rsidRPr="00384026">
        <w:rPr>
          <w:rFonts w:ascii="Times New Roman" w:hAnsi="Times New Roman" w:cs="Times New Roman"/>
          <w:color w:val="000000" w:themeColor="text1"/>
          <w:sz w:val="24"/>
          <w:szCs w:val="24"/>
        </w:rPr>
        <w:t xml:space="preserve">. </w:t>
      </w:r>
    </w:p>
    <w:p w14:paraId="296CD7B4" w14:textId="12E99941" w:rsidR="006E6DCA" w:rsidRPr="00384026" w:rsidRDefault="006E6DCA" w:rsidP="0013657B">
      <w:pPr>
        <w:spacing w:after="0"/>
        <w:ind w:firstLine="720"/>
        <w:jc w:val="both"/>
        <w:rPr>
          <w:rFonts w:ascii="Times New Roman" w:hAnsi="Times New Roman" w:cs="Times New Roman"/>
          <w:color w:val="000000" w:themeColor="text1"/>
          <w:sz w:val="24"/>
          <w:szCs w:val="24"/>
        </w:rPr>
      </w:pPr>
      <w:r w:rsidRPr="00384026">
        <w:rPr>
          <w:rFonts w:ascii="Times New Roman" w:hAnsi="Times New Roman" w:cs="Times New Roman"/>
          <w:color w:val="000000" w:themeColor="text1"/>
          <w:sz w:val="24"/>
          <w:szCs w:val="24"/>
        </w:rPr>
        <w:t xml:space="preserve">Savukārt kā neizpildīti novērtēti </w:t>
      </w:r>
      <w:r w:rsidR="00F11A18" w:rsidRPr="00384026">
        <w:rPr>
          <w:rFonts w:ascii="Times New Roman" w:hAnsi="Times New Roman" w:cs="Times New Roman"/>
          <w:color w:val="000000" w:themeColor="text1"/>
          <w:sz w:val="24"/>
          <w:szCs w:val="24"/>
        </w:rPr>
        <w:t>četri</w:t>
      </w:r>
      <w:r w:rsidRPr="00384026">
        <w:rPr>
          <w:rFonts w:ascii="Times New Roman" w:hAnsi="Times New Roman" w:cs="Times New Roman"/>
          <w:color w:val="000000" w:themeColor="text1"/>
          <w:sz w:val="24"/>
          <w:szCs w:val="24"/>
        </w:rPr>
        <w:t xml:space="preserve"> pasākumi</w:t>
      </w:r>
      <w:r w:rsidR="00D600CD" w:rsidRPr="00384026">
        <w:rPr>
          <w:rFonts w:ascii="Times New Roman" w:hAnsi="Times New Roman" w:cs="Times New Roman"/>
          <w:color w:val="000000" w:themeColor="text1"/>
          <w:sz w:val="24"/>
          <w:szCs w:val="24"/>
        </w:rPr>
        <w:t xml:space="preserve"> un zīmīgi, ka </w:t>
      </w:r>
      <w:r w:rsidR="00F11A18" w:rsidRPr="00384026">
        <w:rPr>
          <w:rFonts w:ascii="Times New Roman" w:hAnsi="Times New Roman" w:cs="Times New Roman"/>
          <w:color w:val="000000" w:themeColor="text1"/>
          <w:sz w:val="24"/>
          <w:szCs w:val="24"/>
        </w:rPr>
        <w:t>trīs no šiem pasākumi</w:t>
      </w:r>
      <w:r w:rsidR="00D65547" w:rsidRPr="00384026">
        <w:rPr>
          <w:rFonts w:ascii="Times New Roman" w:hAnsi="Times New Roman" w:cs="Times New Roman"/>
          <w:color w:val="000000" w:themeColor="text1"/>
          <w:sz w:val="24"/>
          <w:szCs w:val="24"/>
        </w:rPr>
        <w:t>em</w:t>
      </w:r>
      <w:r w:rsidR="00F11A18" w:rsidRPr="00384026">
        <w:rPr>
          <w:rFonts w:ascii="Times New Roman" w:hAnsi="Times New Roman" w:cs="Times New Roman"/>
          <w:color w:val="000000" w:themeColor="text1"/>
          <w:sz w:val="24"/>
          <w:szCs w:val="24"/>
        </w:rPr>
        <w:t xml:space="preserve"> ir saistīti ar ārstniecības pakalpojuma pieejamības paplašināšanu un dažādošanu. </w:t>
      </w:r>
      <w:r w:rsidR="00F8760E" w:rsidRPr="00384026">
        <w:rPr>
          <w:rFonts w:ascii="Times New Roman" w:hAnsi="Times New Roman" w:cs="Times New Roman"/>
          <w:color w:val="000000" w:themeColor="text1"/>
          <w:sz w:val="24"/>
          <w:szCs w:val="24"/>
        </w:rPr>
        <w:t xml:space="preserve">Tātad pārskata periodā netika </w:t>
      </w:r>
      <w:r w:rsidR="0088487E" w:rsidRPr="00384026">
        <w:rPr>
          <w:rFonts w:ascii="Times New Roman" w:hAnsi="Times New Roman" w:cs="Times New Roman"/>
          <w:color w:val="000000" w:themeColor="text1"/>
          <w:sz w:val="24"/>
          <w:szCs w:val="24"/>
        </w:rPr>
        <w:t>piešķirts</w:t>
      </w:r>
      <w:r w:rsidR="00F8760E" w:rsidRPr="00384026">
        <w:rPr>
          <w:rFonts w:ascii="Times New Roman" w:hAnsi="Times New Roman" w:cs="Times New Roman"/>
          <w:color w:val="000000" w:themeColor="text1"/>
          <w:sz w:val="24"/>
          <w:szCs w:val="24"/>
        </w:rPr>
        <w:t xml:space="preserve"> </w:t>
      </w:r>
      <w:r w:rsidR="00BA7064">
        <w:rPr>
          <w:rFonts w:ascii="Times New Roman" w:hAnsi="Times New Roman" w:cs="Times New Roman"/>
          <w:color w:val="000000" w:themeColor="text1"/>
          <w:sz w:val="24"/>
          <w:szCs w:val="24"/>
        </w:rPr>
        <w:t xml:space="preserve">valsts </w:t>
      </w:r>
      <w:r w:rsidR="00F8760E" w:rsidRPr="00384026">
        <w:rPr>
          <w:rFonts w:ascii="Times New Roman" w:hAnsi="Times New Roman" w:cs="Times New Roman"/>
          <w:color w:val="000000" w:themeColor="text1"/>
          <w:sz w:val="24"/>
          <w:szCs w:val="24"/>
        </w:rPr>
        <w:t xml:space="preserve">finansējums narkoloģijas pacientu atbrīvošanai no līdzmaksājumiem, </w:t>
      </w:r>
      <w:r w:rsidR="00BA7064">
        <w:rPr>
          <w:rFonts w:ascii="Times New Roman" w:hAnsi="Times New Roman" w:cs="Times New Roman"/>
          <w:color w:val="000000" w:themeColor="text1"/>
          <w:sz w:val="24"/>
          <w:szCs w:val="24"/>
        </w:rPr>
        <w:t xml:space="preserve">papildus </w:t>
      </w:r>
      <w:r w:rsidR="00F8760E" w:rsidRPr="00384026">
        <w:rPr>
          <w:rFonts w:ascii="Times New Roman" w:hAnsi="Times New Roman" w:cs="Times New Roman"/>
          <w:color w:val="000000" w:themeColor="text1"/>
          <w:sz w:val="24"/>
          <w:szCs w:val="24"/>
        </w:rPr>
        <w:t>ambulatorās grupas izveidei nepilngadīgām personām un ambulator</w:t>
      </w:r>
      <w:r w:rsidR="00BA7064">
        <w:rPr>
          <w:rFonts w:ascii="Times New Roman" w:hAnsi="Times New Roman" w:cs="Times New Roman"/>
          <w:color w:val="000000" w:themeColor="text1"/>
          <w:sz w:val="24"/>
          <w:szCs w:val="24"/>
        </w:rPr>
        <w:t>o</w:t>
      </w:r>
      <w:r w:rsidR="00F8760E" w:rsidRPr="00384026">
        <w:rPr>
          <w:rFonts w:ascii="Times New Roman" w:hAnsi="Times New Roman" w:cs="Times New Roman"/>
          <w:color w:val="000000" w:themeColor="text1"/>
          <w:sz w:val="24"/>
          <w:szCs w:val="24"/>
        </w:rPr>
        <w:t xml:space="preserve"> psihoterapijas grup</w:t>
      </w:r>
      <w:r w:rsidR="00BA7064">
        <w:rPr>
          <w:rFonts w:ascii="Times New Roman" w:hAnsi="Times New Roman" w:cs="Times New Roman"/>
          <w:color w:val="000000" w:themeColor="text1"/>
          <w:sz w:val="24"/>
          <w:szCs w:val="24"/>
        </w:rPr>
        <w:t>u</w:t>
      </w:r>
      <w:r w:rsidR="00F8760E" w:rsidRPr="00384026">
        <w:rPr>
          <w:rFonts w:ascii="Times New Roman" w:hAnsi="Times New Roman" w:cs="Times New Roman"/>
          <w:color w:val="000000" w:themeColor="text1"/>
          <w:sz w:val="24"/>
          <w:szCs w:val="24"/>
        </w:rPr>
        <w:t xml:space="preserve"> pēc 12 soļu programmas</w:t>
      </w:r>
      <w:r w:rsidR="0088487E" w:rsidRPr="00384026">
        <w:rPr>
          <w:rFonts w:ascii="Times New Roman" w:hAnsi="Times New Roman" w:cs="Times New Roman"/>
          <w:color w:val="000000" w:themeColor="text1"/>
          <w:sz w:val="24"/>
          <w:szCs w:val="24"/>
        </w:rPr>
        <w:t xml:space="preserve"> principiem izveidei.</w:t>
      </w:r>
      <w:r w:rsidR="00F8760E" w:rsidRPr="00384026">
        <w:rPr>
          <w:rFonts w:ascii="Times New Roman" w:hAnsi="Times New Roman" w:cs="Times New Roman"/>
          <w:color w:val="000000" w:themeColor="text1"/>
          <w:sz w:val="24"/>
          <w:szCs w:val="24"/>
        </w:rPr>
        <w:t xml:space="preserve"> </w:t>
      </w:r>
      <w:r w:rsidR="00D65547" w:rsidRPr="00384026">
        <w:rPr>
          <w:rFonts w:ascii="Times New Roman" w:hAnsi="Times New Roman" w:cs="Times New Roman"/>
          <w:color w:val="000000" w:themeColor="text1"/>
          <w:sz w:val="24"/>
          <w:szCs w:val="24"/>
        </w:rPr>
        <w:t xml:space="preserve">Papildus šiem pasākumiem, 1. rīcības virzienā netika īstenotas arī mācības Valsts probācijas dienesta darbiniekiem. </w:t>
      </w:r>
      <w:r w:rsidR="00130D48" w:rsidRPr="00384026">
        <w:rPr>
          <w:rFonts w:ascii="Times New Roman" w:hAnsi="Times New Roman" w:cs="Times New Roman"/>
          <w:color w:val="000000" w:themeColor="text1"/>
          <w:sz w:val="24"/>
          <w:szCs w:val="24"/>
        </w:rPr>
        <w:t>Visu neīstenoto pasākumu neizpildes ieme</w:t>
      </w:r>
      <w:r w:rsidR="00D65547" w:rsidRPr="00384026">
        <w:rPr>
          <w:rFonts w:ascii="Times New Roman" w:hAnsi="Times New Roman" w:cs="Times New Roman"/>
          <w:color w:val="000000" w:themeColor="text1"/>
          <w:sz w:val="24"/>
          <w:szCs w:val="24"/>
        </w:rPr>
        <w:t>sls ir nepietiekams finansējums</w:t>
      </w:r>
      <w:r w:rsidR="00130D48" w:rsidRPr="00384026">
        <w:rPr>
          <w:rFonts w:ascii="Times New Roman" w:hAnsi="Times New Roman" w:cs="Times New Roman"/>
          <w:color w:val="000000" w:themeColor="text1"/>
          <w:sz w:val="24"/>
          <w:szCs w:val="24"/>
        </w:rPr>
        <w:t xml:space="preserve">, kas pārskata periodā netika piešķirts. </w:t>
      </w:r>
    </w:p>
    <w:p w14:paraId="4F9BE2D7" w14:textId="415AC3FD" w:rsidR="009B0210" w:rsidRPr="00384026" w:rsidRDefault="00DC7411" w:rsidP="009101FC">
      <w:pPr>
        <w:spacing w:after="0"/>
        <w:ind w:firstLine="720"/>
        <w:jc w:val="both"/>
        <w:rPr>
          <w:rFonts w:ascii="Times New Roman" w:hAnsi="Times New Roman" w:cs="Times New Roman"/>
          <w:color w:val="000000" w:themeColor="text1"/>
          <w:sz w:val="24"/>
          <w:szCs w:val="24"/>
        </w:rPr>
      </w:pPr>
      <w:r w:rsidRPr="00384026">
        <w:rPr>
          <w:rFonts w:ascii="Times New Roman" w:hAnsi="Times New Roman" w:cs="Times New Roman"/>
          <w:color w:val="000000" w:themeColor="text1"/>
          <w:sz w:val="24"/>
          <w:szCs w:val="24"/>
        </w:rPr>
        <w:t>Apsk</w:t>
      </w:r>
      <w:r w:rsidR="00F42DC4" w:rsidRPr="00384026">
        <w:rPr>
          <w:rFonts w:ascii="Times New Roman" w:hAnsi="Times New Roman" w:cs="Times New Roman"/>
          <w:color w:val="000000" w:themeColor="text1"/>
          <w:sz w:val="24"/>
          <w:szCs w:val="24"/>
        </w:rPr>
        <w:t>atot katra pasākum</w:t>
      </w:r>
      <w:r w:rsidR="00BA7064">
        <w:rPr>
          <w:rFonts w:ascii="Times New Roman" w:hAnsi="Times New Roman" w:cs="Times New Roman"/>
          <w:color w:val="000000" w:themeColor="text1"/>
          <w:sz w:val="24"/>
          <w:szCs w:val="24"/>
        </w:rPr>
        <w:t>a</w:t>
      </w:r>
      <w:r w:rsidR="00F42DC4" w:rsidRPr="00384026">
        <w:rPr>
          <w:rFonts w:ascii="Times New Roman" w:hAnsi="Times New Roman" w:cs="Times New Roman"/>
          <w:color w:val="000000" w:themeColor="text1"/>
          <w:sz w:val="24"/>
          <w:szCs w:val="24"/>
        </w:rPr>
        <w:t xml:space="preserve"> izpildi, iespējams apzināt</w:t>
      </w:r>
      <w:r w:rsidRPr="00384026">
        <w:rPr>
          <w:rFonts w:ascii="Times New Roman" w:hAnsi="Times New Roman" w:cs="Times New Roman"/>
          <w:color w:val="000000" w:themeColor="text1"/>
          <w:sz w:val="24"/>
          <w:szCs w:val="24"/>
        </w:rPr>
        <w:t xml:space="preserve"> svarīgāko</w:t>
      </w:r>
      <w:r w:rsidR="00B458A5" w:rsidRPr="00384026">
        <w:rPr>
          <w:rFonts w:ascii="Times New Roman" w:hAnsi="Times New Roman" w:cs="Times New Roman"/>
          <w:color w:val="000000" w:themeColor="text1"/>
          <w:sz w:val="24"/>
          <w:szCs w:val="24"/>
        </w:rPr>
        <w:t>s</w:t>
      </w:r>
      <w:r w:rsidRPr="00384026">
        <w:rPr>
          <w:rFonts w:ascii="Times New Roman" w:hAnsi="Times New Roman" w:cs="Times New Roman"/>
          <w:color w:val="000000" w:themeColor="text1"/>
          <w:sz w:val="24"/>
          <w:szCs w:val="24"/>
        </w:rPr>
        <w:t xml:space="preserve"> </w:t>
      </w:r>
      <w:r w:rsidR="00B458A5" w:rsidRPr="00384026">
        <w:rPr>
          <w:rFonts w:ascii="Times New Roman" w:hAnsi="Times New Roman" w:cs="Times New Roman"/>
          <w:color w:val="000000" w:themeColor="text1"/>
          <w:sz w:val="24"/>
          <w:szCs w:val="24"/>
        </w:rPr>
        <w:t>izpild</w:t>
      </w:r>
      <w:r w:rsidR="00BA7064">
        <w:rPr>
          <w:rFonts w:ascii="Times New Roman" w:hAnsi="Times New Roman" w:cs="Times New Roman"/>
          <w:color w:val="000000" w:themeColor="text1"/>
          <w:sz w:val="24"/>
          <w:szCs w:val="24"/>
        </w:rPr>
        <w:t>i</w:t>
      </w:r>
      <w:r w:rsidR="00B458A5" w:rsidRPr="00384026">
        <w:rPr>
          <w:rFonts w:ascii="Times New Roman" w:hAnsi="Times New Roman" w:cs="Times New Roman"/>
          <w:color w:val="000000" w:themeColor="text1"/>
          <w:sz w:val="24"/>
          <w:szCs w:val="24"/>
        </w:rPr>
        <w:t xml:space="preserve"> veicinošos un kavējošos apstākļus</w:t>
      </w:r>
      <w:r w:rsidR="00F42DC4" w:rsidRPr="00384026">
        <w:rPr>
          <w:rFonts w:ascii="Times New Roman" w:hAnsi="Times New Roman" w:cs="Times New Roman"/>
          <w:color w:val="000000" w:themeColor="text1"/>
          <w:sz w:val="24"/>
          <w:szCs w:val="24"/>
        </w:rPr>
        <w:t xml:space="preserve">. Secināms, </w:t>
      </w:r>
      <w:r w:rsidR="00BA1C33" w:rsidRPr="00384026">
        <w:rPr>
          <w:rFonts w:ascii="Times New Roman" w:hAnsi="Times New Roman" w:cs="Times New Roman"/>
          <w:color w:val="000000" w:themeColor="text1"/>
          <w:sz w:val="24"/>
          <w:szCs w:val="24"/>
        </w:rPr>
        <w:t>ka v</w:t>
      </w:r>
      <w:r w:rsidR="00B458A5" w:rsidRPr="00384026">
        <w:rPr>
          <w:rFonts w:ascii="Times New Roman" w:hAnsi="Times New Roman" w:cs="Times New Roman"/>
          <w:color w:val="000000" w:themeColor="text1"/>
          <w:sz w:val="24"/>
          <w:szCs w:val="24"/>
        </w:rPr>
        <w:t>isbūtiskākā nozīme ir finansējuma pieejamībai</w:t>
      </w:r>
      <w:r w:rsidR="0088487E" w:rsidRPr="00384026">
        <w:rPr>
          <w:rFonts w:ascii="Times New Roman" w:hAnsi="Times New Roman" w:cs="Times New Roman"/>
          <w:color w:val="000000" w:themeColor="text1"/>
          <w:sz w:val="24"/>
          <w:szCs w:val="24"/>
        </w:rPr>
        <w:t xml:space="preserve">, kas ļauj piesaistīt speciālistus, </w:t>
      </w:r>
      <w:r w:rsidR="001F5171" w:rsidRPr="00384026">
        <w:rPr>
          <w:rFonts w:ascii="Times New Roman" w:hAnsi="Times New Roman" w:cs="Times New Roman"/>
          <w:color w:val="000000" w:themeColor="text1"/>
          <w:sz w:val="24"/>
          <w:szCs w:val="24"/>
        </w:rPr>
        <w:t xml:space="preserve">sagādāt </w:t>
      </w:r>
      <w:r w:rsidR="0088487E" w:rsidRPr="00384026">
        <w:rPr>
          <w:rFonts w:ascii="Times New Roman" w:hAnsi="Times New Roman" w:cs="Times New Roman"/>
          <w:color w:val="000000" w:themeColor="text1"/>
          <w:sz w:val="24"/>
          <w:szCs w:val="24"/>
        </w:rPr>
        <w:t>aprīkojumu vai telpas, tātad nodrošināt visu</w:t>
      </w:r>
      <w:r w:rsidR="00F42DC4" w:rsidRPr="00384026">
        <w:rPr>
          <w:rFonts w:ascii="Times New Roman" w:hAnsi="Times New Roman" w:cs="Times New Roman"/>
          <w:color w:val="000000" w:themeColor="text1"/>
          <w:sz w:val="24"/>
          <w:szCs w:val="24"/>
        </w:rPr>
        <w:t xml:space="preserve"> nepieciešamo</w:t>
      </w:r>
      <w:r w:rsidR="0088487E" w:rsidRPr="00384026">
        <w:rPr>
          <w:rFonts w:ascii="Times New Roman" w:hAnsi="Times New Roman" w:cs="Times New Roman"/>
          <w:color w:val="000000" w:themeColor="text1"/>
          <w:sz w:val="24"/>
          <w:szCs w:val="24"/>
        </w:rPr>
        <w:t xml:space="preserve">.  </w:t>
      </w:r>
      <w:r w:rsidR="009B0210" w:rsidRPr="00384026">
        <w:rPr>
          <w:rFonts w:ascii="Times New Roman" w:hAnsi="Times New Roman" w:cs="Times New Roman"/>
          <w:color w:val="000000" w:themeColor="text1"/>
          <w:sz w:val="24"/>
          <w:szCs w:val="24"/>
        </w:rPr>
        <w:t>F</w:t>
      </w:r>
      <w:r w:rsidR="0088487E" w:rsidRPr="00384026">
        <w:rPr>
          <w:rFonts w:ascii="Times New Roman" w:hAnsi="Times New Roman" w:cs="Times New Roman"/>
          <w:color w:val="000000" w:themeColor="text1"/>
          <w:sz w:val="24"/>
          <w:szCs w:val="24"/>
        </w:rPr>
        <w:t>inansējuma piesaistīšanā no ESF</w:t>
      </w:r>
      <w:r w:rsidR="009B0210" w:rsidRPr="00384026">
        <w:rPr>
          <w:rFonts w:ascii="Times New Roman" w:hAnsi="Times New Roman" w:cs="Times New Roman"/>
          <w:color w:val="000000" w:themeColor="text1"/>
          <w:sz w:val="24"/>
          <w:szCs w:val="24"/>
        </w:rPr>
        <w:t xml:space="preserve"> </w:t>
      </w:r>
      <w:r w:rsidR="00BA1C33" w:rsidRPr="00384026">
        <w:rPr>
          <w:rFonts w:ascii="Times New Roman" w:hAnsi="Times New Roman" w:cs="Times New Roman"/>
          <w:color w:val="000000" w:themeColor="text1"/>
          <w:sz w:val="24"/>
          <w:szCs w:val="24"/>
        </w:rPr>
        <w:t xml:space="preserve">pieejamiem līdzekļiem </w:t>
      </w:r>
      <w:r w:rsidR="009B0210" w:rsidRPr="00384026">
        <w:rPr>
          <w:rFonts w:ascii="Times New Roman" w:hAnsi="Times New Roman" w:cs="Times New Roman"/>
          <w:color w:val="000000" w:themeColor="text1"/>
          <w:sz w:val="24"/>
          <w:szCs w:val="24"/>
        </w:rPr>
        <w:t xml:space="preserve">standartizēto programmu ieviešanā ir jārēķinās ar ilgāku formalitāšu kārtošanu, kā arī papildu prasībām, lai nodrošinātu korektu programmu pārņemšanu. </w:t>
      </w:r>
    </w:p>
    <w:p w14:paraId="2A5A32C4" w14:textId="77777777" w:rsidR="00F42DC4" w:rsidRPr="00384026" w:rsidRDefault="00F42DC4" w:rsidP="009101FC">
      <w:pPr>
        <w:spacing w:after="0"/>
        <w:ind w:firstLine="720"/>
        <w:jc w:val="both"/>
        <w:rPr>
          <w:rFonts w:ascii="Times New Roman" w:hAnsi="Times New Roman" w:cs="Times New Roman"/>
          <w:color w:val="000000" w:themeColor="text1"/>
          <w:sz w:val="24"/>
          <w:szCs w:val="24"/>
        </w:rPr>
      </w:pPr>
    </w:p>
    <w:p w14:paraId="615A48D1" w14:textId="77777777" w:rsidR="004775EA" w:rsidRPr="00384026" w:rsidRDefault="004775EA" w:rsidP="006026AA">
      <w:pPr>
        <w:pStyle w:val="Heading3"/>
        <w:rPr>
          <w:rFonts w:ascii="Times New Roman" w:hAnsi="Times New Roman" w:cs="Times New Roman"/>
          <w:b/>
          <w:color w:val="auto"/>
        </w:rPr>
      </w:pPr>
      <w:bookmarkStart w:id="6" w:name="_Toc78372609"/>
      <w:r w:rsidRPr="00384026">
        <w:rPr>
          <w:rFonts w:ascii="Times New Roman" w:hAnsi="Times New Roman" w:cs="Times New Roman"/>
          <w:b/>
          <w:color w:val="auto"/>
        </w:rPr>
        <w:t xml:space="preserve">1.3. </w:t>
      </w:r>
      <w:r w:rsidR="00FC4A58" w:rsidRPr="00384026">
        <w:rPr>
          <w:rFonts w:ascii="Times New Roman" w:hAnsi="Times New Roman" w:cs="Times New Roman"/>
          <w:b/>
          <w:color w:val="auto"/>
        </w:rPr>
        <w:t>Otr</w:t>
      </w:r>
      <w:r w:rsidR="00A21E41">
        <w:rPr>
          <w:rFonts w:ascii="Times New Roman" w:hAnsi="Times New Roman" w:cs="Times New Roman"/>
          <w:b/>
          <w:color w:val="auto"/>
        </w:rPr>
        <w:t>aj</w:t>
      </w:r>
      <w:r w:rsidR="00FC4A58" w:rsidRPr="00384026">
        <w:rPr>
          <w:rFonts w:ascii="Times New Roman" w:hAnsi="Times New Roman" w:cs="Times New Roman"/>
          <w:b/>
          <w:color w:val="auto"/>
        </w:rPr>
        <w:t>ā</w:t>
      </w:r>
      <w:r w:rsidRPr="00384026">
        <w:rPr>
          <w:rFonts w:ascii="Times New Roman" w:hAnsi="Times New Roman" w:cs="Times New Roman"/>
          <w:b/>
          <w:color w:val="auto"/>
        </w:rPr>
        <w:t xml:space="preserve"> rīcības virzienā iekļauto pasākumu izpilde</w:t>
      </w:r>
      <w:bookmarkEnd w:id="6"/>
    </w:p>
    <w:p w14:paraId="5FA85BEE" w14:textId="2832C45A" w:rsidR="0010604A" w:rsidRPr="002B7AFF" w:rsidRDefault="009B0210" w:rsidP="0013657B">
      <w:pPr>
        <w:ind w:firstLine="662"/>
        <w:jc w:val="both"/>
        <w:rPr>
          <w:rFonts w:ascii="Times New Roman" w:hAnsi="Times New Roman" w:cs="Times New Roman"/>
          <w:color w:val="000000" w:themeColor="text1"/>
          <w:sz w:val="24"/>
          <w:szCs w:val="24"/>
        </w:rPr>
      </w:pPr>
      <w:r w:rsidRPr="002B7AFF">
        <w:rPr>
          <w:rFonts w:ascii="Times New Roman" w:hAnsi="Times New Roman" w:cs="Times New Roman"/>
          <w:color w:val="000000" w:themeColor="text1"/>
          <w:sz w:val="24"/>
          <w:szCs w:val="24"/>
        </w:rPr>
        <w:t>Kopumā šajā rīcības virzienā</w:t>
      </w:r>
      <w:r w:rsidR="00E0357B" w:rsidRPr="002B7AFF">
        <w:rPr>
          <w:rFonts w:ascii="Times New Roman" w:hAnsi="Times New Roman" w:cs="Times New Roman"/>
          <w:color w:val="000000" w:themeColor="text1"/>
          <w:sz w:val="24"/>
          <w:szCs w:val="24"/>
        </w:rPr>
        <w:t xml:space="preserve"> izpildīti </w:t>
      </w:r>
      <w:r w:rsidR="00653502">
        <w:rPr>
          <w:rFonts w:ascii="Times New Roman" w:hAnsi="Times New Roman" w:cs="Times New Roman"/>
          <w:color w:val="000000" w:themeColor="text1"/>
          <w:sz w:val="24"/>
          <w:szCs w:val="24"/>
        </w:rPr>
        <w:t>5</w:t>
      </w:r>
      <w:r w:rsidR="00E0357B" w:rsidRPr="002B7AFF">
        <w:rPr>
          <w:rFonts w:ascii="Times New Roman" w:hAnsi="Times New Roman" w:cs="Times New Roman"/>
          <w:color w:val="000000" w:themeColor="text1"/>
          <w:sz w:val="24"/>
          <w:szCs w:val="24"/>
        </w:rPr>
        <w:t xml:space="preserve"> pasākumi</w:t>
      </w:r>
      <w:r w:rsidR="00CD6B08" w:rsidRPr="002B7AFF">
        <w:rPr>
          <w:rFonts w:ascii="Times New Roman" w:hAnsi="Times New Roman" w:cs="Times New Roman"/>
          <w:color w:val="000000" w:themeColor="text1"/>
          <w:sz w:val="24"/>
          <w:szCs w:val="24"/>
        </w:rPr>
        <w:t xml:space="preserve"> (skat. </w:t>
      </w:r>
      <w:r w:rsidR="00C427EC">
        <w:rPr>
          <w:rFonts w:ascii="Times New Roman" w:hAnsi="Times New Roman" w:cs="Times New Roman"/>
          <w:color w:val="000000" w:themeColor="text1"/>
          <w:sz w:val="24"/>
          <w:szCs w:val="24"/>
        </w:rPr>
        <w:t>5</w:t>
      </w:r>
      <w:r w:rsidR="002B7AFF" w:rsidRPr="002B7AFF">
        <w:rPr>
          <w:rFonts w:ascii="Times New Roman" w:hAnsi="Times New Roman" w:cs="Times New Roman"/>
          <w:color w:val="000000" w:themeColor="text1"/>
          <w:sz w:val="24"/>
          <w:szCs w:val="24"/>
        </w:rPr>
        <w:t>.</w:t>
      </w:r>
      <w:r w:rsidR="0091236C">
        <w:rPr>
          <w:rFonts w:ascii="Times New Roman" w:hAnsi="Times New Roman" w:cs="Times New Roman"/>
          <w:color w:val="000000" w:themeColor="text1"/>
          <w:sz w:val="24"/>
          <w:szCs w:val="24"/>
        </w:rPr>
        <w:t xml:space="preserve"> </w:t>
      </w:r>
      <w:r w:rsidR="00CD6B08" w:rsidRPr="002B7AFF">
        <w:rPr>
          <w:rFonts w:ascii="Times New Roman" w:hAnsi="Times New Roman" w:cs="Times New Roman"/>
          <w:color w:val="000000" w:themeColor="text1"/>
          <w:sz w:val="24"/>
          <w:szCs w:val="24"/>
        </w:rPr>
        <w:t>attēlu)</w:t>
      </w:r>
      <w:r w:rsidR="00E0357B" w:rsidRPr="002B7AFF">
        <w:rPr>
          <w:rFonts w:ascii="Times New Roman" w:hAnsi="Times New Roman" w:cs="Times New Roman"/>
          <w:color w:val="000000" w:themeColor="text1"/>
          <w:sz w:val="24"/>
          <w:szCs w:val="24"/>
        </w:rPr>
        <w:t xml:space="preserve">, no kuriem </w:t>
      </w:r>
      <w:r w:rsidR="00653502">
        <w:rPr>
          <w:rFonts w:ascii="Times New Roman" w:hAnsi="Times New Roman" w:cs="Times New Roman"/>
          <w:color w:val="000000" w:themeColor="text1"/>
          <w:sz w:val="24"/>
          <w:szCs w:val="24"/>
        </w:rPr>
        <w:t>3</w:t>
      </w:r>
      <w:r w:rsidR="00BA1C33" w:rsidRPr="002B7AFF">
        <w:rPr>
          <w:rFonts w:ascii="Times New Roman" w:hAnsi="Times New Roman" w:cs="Times New Roman"/>
          <w:color w:val="000000" w:themeColor="text1"/>
          <w:sz w:val="24"/>
          <w:szCs w:val="24"/>
        </w:rPr>
        <w:t xml:space="preserve"> </w:t>
      </w:r>
      <w:r w:rsidR="00E0357B" w:rsidRPr="002B7AFF">
        <w:rPr>
          <w:rFonts w:ascii="Times New Roman" w:hAnsi="Times New Roman" w:cs="Times New Roman"/>
          <w:color w:val="000000" w:themeColor="text1"/>
          <w:sz w:val="24"/>
          <w:szCs w:val="24"/>
        </w:rPr>
        <w:t xml:space="preserve">pasākumi īstenoti valsts budžeta līdzekļu ietvarā, viens pasākums īstenots </w:t>
      </w:r>
      <w:r w:rsidR="00BA1C33" w:rsidRPr="002B7AFF">
        <w:rPr>
          <w:rFonts w:ascii="Times New Roman" w:hAnsi="Times New Roman" w:cs="Times New Roman"/>
          <w:color w:val="000000" w:themeColor="text1"/>
          <w:sz w:val="24"/>
          <w:szCs w:val="24"/>
        </w:rPr>
        <w:t xml:space="preserve">no </w:t>
      </w:r>
      <w:r w:rsidR="00E0357B" w:rsidRPr="002B7AFF">
        <w:rPr>
          <w:rFonts w:ascii="Times New Roman" w:hAnsi="Times New Roman" w:cs="Times New Roman"/>
          <w:color w:val="000000" w:themeColor="text1"/>
          <w:sz w:val="24"/>
          <w:szCs w:val="24"/>
        </w:rPr>
        <w:t xml:space="preserve">budžeta apakšprogrammas 70.06. “Narkotiku uzraudzības monitoringa fokālā punkta darbības nodrošināšana” saskaņā ar granta līguma nosacījumiem, kas katru gadu tiek noslēgts starp EMCDDA un </w:t>
      </w:r>
      <w:r w:rsidR="001C3A8D">
        <w:rPr>
          <w:rFonts w:ascii="Times New Roman" w:hAnsi="Times New Roman" w:cs="Times New Roman"/>
          <w:color w:val="000000" w:themeColor="text1"/>
          <w:sz w:val="24"/>
          <w:szCs w:val="24"/>
        </w:rPr>
        <w:t>Slimību profilakses un kontroles centru</w:t>
      </w:r>
      <w:r w:rsidR="00E0357B" w:rsidRPr="002B7AFF">
        <w:rPr>
          <w:rFonts w:ascii="Times New Roman" w:hAnsi="Times New Roman" w:cs="Times New Roman"/>
          <w:color w:val="000000" w:themeColor="text1"/>
          <w:sz w:val="24"/>
          <w:szCs w:val="24"/>
        </w:rPr>
        <w:t xml:space="preserve">. Vēl viens pasākums īstenots, jo tā izpildei piešķirts papildu finansējums. </w:t>
      </w:r>
    </w:p>
    <w:p w14:paraId="58DBA9C7" w14:textId="76EF5D7F" w:rsidR="009B0210" w:rsidRPr="002B7AFF" w:rsidRDefault="00C427EC" w:rsidP="002B7AFF">
      <w:pPr>
        <w:ind w:left="662"/>
        <w:jc w:val="righ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w:t>
      </w:r>
      <w:r w:rsidR="002B7AFF" w:rsidRPr="002B7AFF">
        <w:rPr>
          <w:rFonts w:ascii="Times New Roman" w:hAnsi="Times New Roman" w:cs="Times New Roman"/>
          <w:b/>
          <w:bCs/>
          <w:color w:val="000000" w:themeColor="text1"/>
          <w:sz w:val="24"/>
          <w:szCs w:val="24"/>
        </w:rPr>
        <w:t xml:space="preserve">. </w:t>
      </w:r>
      <w:r w:rsidR="009B0210" w:rsidRPr="002B7AFF">
        <w:rPr>
          <w:rFonts w:ascii="Times New Roman" w:hAnsi="Times New Roman" w:cs="Times New Roman"/>
          <w:b/>
          <w:bCs/>
          <w:color w:val="000000" w:themeColor="text1"/>
          <w:sz w:val="24"/>
          <w:szCs w:val="24"/>
        </w:rPr>
        <w:t xml:space="preserve">attēls. 2. rīcības virzienā iekļauto pasākumu izpildes statuss </w:t>
      </w:r>
    </w:p>
    <w:p w14:paraId="7E0D1BD8" w14:textId="57E2DA7B" w:rsidR="009B0210" w:rsidRDefault="00427E12" w:rsidP="009B0210">
      <w:pPr>
        <w:pStyle w:val="ListParagraph"/>
        <w:ind w:left="1022"/>
        <w:jc w:val="right"/>
        <w:rPr>
          <w:rFonts w:ascii="Times New Roman" w:hAnsi="Times New Roman" w:cs="Times New Roman"/>
          <w:color w:val="000000" w:themeColor="text1"/>
          <w:sz w:val="24"/>
          <w:szCs w:val="24"/>
        </w:rPr>
      </w:pPr>
      <w:r>
        <w:rPr>
          <w:noProof/>
          <w:lang w:eastAsia="lv-LV"/>
        </w:rPr>
        <w:drawing>
          <wp:anchor distT="0" distB="0" distL="114300" distR="114300" simplePos="0" relativeHeight="251661312" behindDoc="0" locked="0" layoutInCell="1" allowOverlap="1" wp14:anchorId="6765A6CB" wp14:editId="17A5FFC0">
            <wp:simplePos x="0" y="0"/>
            <wp:positionH relativeFrom="column">
              <wp:posOffset>-26132</wp:posOffset>
            </wp:positionH>
            <wp:positionV relativeFrom="paragraph">
              <wp:posOffset>291563</wp:posOffset>
            </wp:positionV>
            <wp:extent cx="5935980" cy="2792095"/>
            <wp:effectExtent l="0" t="0" r="762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val="0"/>
                        </a:ext>
                      </a:extLst>
                    </a:blip>
                    <a:srcRect l="12800" t="23695" r="14821" b="15775"/>
                    <a:stretch/>
                  </pic:blipFill>
                  <pic:spPr bwMode="auto">
                    <a:xfrm>
                      <a:off x="0" y="0"/>
                      <a:ext cx="5935980" cy="2792095"/>
                    </a:xfrm>
                    <a:prstGeom prst="rect">
                      <a:avLst/>
                    </a:prstGeom>
                    <a:ln>
                      <a:noFill/>
                    </a:ln>
                    <a:extLst>
                      <a:ext uri="{53640926-AAD7-44D8-BBD7-CCE9431645EC}">
                        <a14:shadowObscured xmlns:a14="http://schemas.microsoft.com/office/drawing/2010/main"/>
                      </a:ext>
                    </a:extLst>
                  </pic:spPr>
                </pic:pic>
              </a:graphicData>
            </a:graphic>
          </wp:anchor>
        </w:drawing>
      </w:r>
      <w:r w:rsidR="009B0210" w:rsidRPr="00384026">
        <w:rPr>
          <w:rFonts w:ascii="Times New Roman" w:hAnsi="Times New Roman" w:cs="Times New Roman"/>
          <w:color w:val="000000" w:themeColor="text1"/>
          <w:sz w:val="24"/>
          <w:szCs w:val="24"/>
        </w:rPr>
        <w:t>(sarkans – neizpildīts; dzeltens – daļēji izpildīts/procesā; zaļš – izpildīts)</w:t>
      </w:r>
    </w:p>
    <w:p w14:paraId="57F22487" w14:textId="2622BDEB" w:rsidR="00A21E41" w:rsidRDefault="00A21E41" w:rsidP="00C427EC">
      <w:pPr>
        <w:pStyle w:val="ListParagraph"/>
        <w:ind w:left="10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p>
    <w:p w14:paraId="7F704101" w14:textId="083E6B03" w:rsidR="00E0357B" w:rsidRPr="00384026" w:rsidRDefault="00F42DC4" w:rsidP="00A21E41">
      <w:pPr>
        <w:ind w:firstLine="720"/>
        <w:jc w:val="both"/>
        <w:rPr>
          <w:rFonts w:ascii="Times New Roman" w:hAnsi="Times New Roman" w:cs="Times New Roman"/>
          <w:color w:val="000000" w:themeColor="text1"/>
          <w:sz w:val="24"/>
          <w:szCs w:val="24"/>
        </w:rPr>
      </w:pPr>
      <w:r w:rsidRPr="00384026">
        <w:rPr>
          <w:rFonts w:ascii="Times New Roman" w:hAnsi="Times New Roman" w:cs="Times New Roman"/>
          <w:color w:val="000000" w:themeColor="text1"/>
          <w:sz w:val="24"/>
          <w:szCs w:val="24"/>
        </w:rPr>
        <w:t>Š</w:t>
      </w:r>
      <w:r w:rsidR="00BA1C33" w:rsidRPr="00384026">
        <w:rPr>
          <w:rFonts w:ascii="Times New Roman" w:hAnsi="Times New Roman" w:cs="Times New Roman"/>
          <w:color w:val="000000" w:themeColor="text1"/>
          <w:sz w:val="24"/>
          <w:szCs w:val="24"/>
        </w:rPr>
        <w:t xml:space="preserve">ajā rīcības virzienā </w:t>
      </w:r>
      <w:r w:rsidR="00E0357B" w:rsidRPr="00384026">
        <w:rPr>
          <w:rFonts w:ascii="Times New Roman" w:hAnsi="Times New Roman" w:cs="Times New Roman"/>
          <w:color w:val="000000" w:themeColor="text1"/>
          <w:sz w:val="24"/>
          <w:szCs w:val="24"/>
        </w:rPr>
        <w:t xml:space="preserve">nav konstatēts </w:t>
      </w:r>
      <w:r w:rsidR="009B0210" w:rsidRPr="00384026">
        <w:rPr>
          <w:rFonts w:ascii="Times New Roman" w:hAnsi="Times New Roman" w:cs="Times New Roman"/>
          <w:color w:val="000000" w:themeColor="text1"/>
          <w:sz w:val="24"/>
          <w:szCs w:val="24"/>
        </w:rPr>
        <w:t>viens</w:t>
      </w:r>
      <w:r w:rsidR="00E0357B" w:rsidRPr="00384026">
        <w:rPr>
          <w:rFonts w:ascii="Times New Roman" w:hAnsi="Times New Roman" w:cs="Times New Roman"/>
          <w:color w:val="000000" w:themeColor="text1"/>
          <w:sz w:val="24"/>
          <w:szCs w:val="24"/>
        </w:rPr>
        <w:t xml:space="preserve"> konkrēts </w:t>
      </w:r>
      <w:r w:rsidR="00EA5C36" w:rsidRPr="00384026">
        <w:rPr>
          <w:rFonts w:ascii="Times New Roman" w:hAnsi="Times New Roman" w:cs="Times New Roman"/>
          <w:color w:val="000000" w:themeColor="text1"/>
          <w:sz w:val="24"/>
          <w:szCs w:val="24"/>
        </w:rPr>
        <w:t>apstā</w:t>
      </w:r>
      <w:r w:rsidR="00F5339C" w:rsidRPr="00384026">
        <w:rPr>
          <w:rFonts w:ascii="Times New Roman" w:hAnsi="Times New Roman" w:cs="Times New Roman"/>
          <w:color w:val="000000" w:themeColor="text1"/>
          <w:sz w:val="24"/>
          <w:szCs w:val="24"/>
        </w:rPr>
        <w:t>klis</w:t>
      </w:r>
      <w:r w:rsidR="00E0357B" w:rsidRPr="00384026">
        <w:rPr>
          <w:rFonts w:ascii="Times New Roman" w:hAnsi="Times New Roman" w:cs="Times New Roman"/>
          <w:color w:val="000000" w:themeColor="text1"/>
          <w:sz w:val="24"/>
          <w:szCs w:val="24"/>
        </w:rPr>
        <w:t xml:space="preserve">, kas būtu veicinājis pasākumu izpildi. Piemēram, </w:t>
      </w:r>
      <w:r w:rsidR="009B0210" w:rsidRPr="00384026">
        <w:rPr>
          <w:rFonts w:ascii="Times New Roman" w:hAnsi="Times New Roman" w:cs="Times New Roman"/>
          <w:color w:val="000000" w:themeColor="text1"/>
          <w:sz w:val="24"/>
          <w:szCs w:val="24"/>
        </w:rPr>
        <w:t>Agrīnās b</w:t>
      </w:r>
      <w:r w:rsidR="0010604A" w:rsidRPr="00384026">
        <w:rPr>
          <w:rFonts w:ascii="Times New Roman" w:hAnsi="Times New Roman" w:cs="Times New Roman"/>
          <w:color w:val="000000" w:themeColor="text1"/>
          <w:sz w:val="24"/>
          <w:szCs w:val="24"/>
        </w:rPr>
        <w:t xml:space="preserve">rīdināšanas sistēmas par jaunajām psihoaktīvajām vielām </w:t>
      </w:r>
      <w:r w:rsidR="00EA5C36" w:rsidRPr="00384026">
        <w:rPr>
          <w:rFonts w:ascii="Times New Roman" w:hAnsi="Times New Roman" w:cs="Times New Roman"/>
          <w:color w:val="000000" w:themeColor="text1"/>
          <w:sz w:val="24"/>
          <w:szCs w:val="24"/>
        </w:rPr>
        <w:t xml:space="preserve">darbība </w:t>
      </w:r>
      <w:r w:rsidR="0010604A" w:rsidRPr="00384026">
        <w:rPr>
          <w:rFonts w:ascii="Times New Roman" w:hAnsi="Times New Roman" w:cs="Times New Roman"/>
          <w:color w:val="000000" w:themeColor="text1"/>
          <w:sz w:val="24"/>
          <w:szCs w:val="24"/>
        </w:rPr>
        <w:t>nodrošināta, tam atvēlot finansējumu</w:t>
      </w:r>
      <w:r w:rsidR="009B0210" w:rsidRPr="00384026">
        <w:rPr>
          <w:rFonts w:ascii="Times New Roman" w:hAnsi="Times New Roman" w:cs="Times New Roman"/>
          <w:color w:val="000000" w:themeColor="text1"/>
          <w:sz w:val="24"/>
          <w:szCs w:val="24"/>
        </w:rPr>
        <w:t xml:space="preserve"> no </w:t>
      </w:r>
      <w:r w:rsidR="00EA5C36" w:rsidRPr="00384026">
        <w:rPr>
          <w:rFonts w:ascii="Times New Roman" w:hAnsi="Times New Roman" w:cs="Times New Roman"/>
          <w:i/>
          <w:color w:val="000000" w:themeColor="text1"/>
          <w:sz w:val="24"/>
          <w:szCs w:val="24"/>
        </w:rPr>
        <w:t>Reitox</w:t>
      </w:r>
      <w:r w:rsidR="00EA5C36" w:rsidRPr="00384026">
        <w:rPr>
          <w:rFonts w:ascii="Times New Roman" w:hAnsi="Times New Roman" w:cs="Times New Roman"/>
          <w:color w:val="000000" w:themeColor="text1"/>
          <w:sz w:val="24"/>
          <w:szCs w:val="24"/>
        </w:rPr>
        <w:t xml:space="preserve"> </w:t>
      </w:r>
      <w:r w:rsidR="009B0210" w:rsidRPr="00384026">
        <w:rPr>
          <w:rFonts w:ascii="Times New Roman" w:hAnsi="Times New Roman" w:cs="Times New Roman"/>
          <w:color w:val="000000" w:themeColor="text1"/>
          <w:sz w:val="24"/>
          <w:szCs w:val="24"/>
        </w:rPr>
        <w:t>granta līguma</w:t>
      </w:r>
      <w:r w:rsidR="0010604A" w:rsidRPr="00384026">
        <w:rPr>
          <w:rFonts w:ascii="Times New Roman" w:hAnsi="Times New Roman" w:cs="Times New Roman"/>
          <w:color w:val="000000" w:themeColor="text1"/>
          <w:sz w:val="24"/>
          <w:szCs w:val="24"/>
        </w:rPr>
        <w:t xml:space="preserve">. </w:t>
      </w:r>
      <w:r w:rsidR="00FB585A" w:rsidRPr="00384026">
        <w:rPr>
          <w:rFonts w:ascii="Times New Roman" w:hAnsi="Times New Roman" w:cs="Times New Roman"/>
          <w:color w:val="000000" w:themeColor="text1"/>
          <w:sz w:val="24"/>
          <w:szCs w:val="24"/>
        </w:rPr>
        <w:t>Arī V</w:t>
      </w:r>
      <w:r w:rsidR="00EA5C36" w:rsidRPr="00384026">
        <w:rPr>
          <w:rFonts w:ascii="Times New Roman" w:hAnsi="Times New Roman" w:cs="Times New Roman"/>
          <w:color w:val="000000" w:themeColor="text1"/>
          <w:sz w:val="24"/>
          <w:szCs w:val="24"/>
        </w:rPr>
        <w:t>alsts policijas</w:t>
      </w:r>
      <w:r w:rsidR="00FB585A" w:rsidRPr="00384026">
        <w:rPr>
          <w:rFonts w:ascii="Times New Roman" w:hAnsi="Times New Roman" w:cs="Times New Roman"/>
          <w:color w:val="000000" w:themeColor="text1"/>
          <w:sz w:val="24"/>
          <w:szCs w:val="24"/>
        </w:rPr>
        <w:t xml:space="preserve"> Kriminālistikas pārvaldes aprīkojuma iegādei piešķirti papildu līdzekļi. </w:t>
      </w:r>
      <w:r w:rsidR="0010604A" w:rsidRPr="00384026">
        <w:rPr>
          <w:rFonts w:ascii="Times New Roman" w:hAnsi="Times New Roman" w:cs="Times New Roman"/>
          <w:color w:val="000000" w:themeColor="text1"/>
          <w:sz w:val="24"/>
          <w:szCs w:val="24"/>
        </w:rPr>
        <w:t xml:space="preserve">Ministru  kabineta noteikumu </w:t>
      </w:r>
      <w:r w:rsidR="001A07B4">
        <w:rPr>
          <w:rFonts w:ascii="Times New Roman" w:hAnsi="Times New Roman" w:cs="Times New Roman"/>
          <w:color w:val="000000" w:themeColor="text1"/>
          <w:sz w:val="24"/>
          <w:szCs w:val="24"/>
        </w:rPr>
        <w:t xml:space="preserve">neklasificēto </w:t>
      </w:r>
      <w:r w:rsidR="0010604A" w:rsidRPr="00384026">
        <w:rPr>
          <w:rFonts w:ascii="Times New Roman" w:hAnsi="Times New Roman" w:cs="Times New Roman"/>
          <w:color w:val="000000" w:themeColor="text1"/>
          <w:sz w:val="24"/>
          <w:szCs w:val="24"/>
        </w:rPr>
        <w:t xml:space="preserve"> vielu aprites regulējum</w:t>
      </w:r>
      <w:r w:rsidR="009B0210" w:rsidRPr="00384026">
        <w:rPr>
          <w:rFonts w:ascii="Times New Roman" w:hAnsi="Times New Roman" w:cs="Times New Roman"/>
          <w:color w:val="000000" w:themeColor="text1"/>
          <w:sz w:val="24"/>
          <w:szCs w:val="24"/>
        </w:rPr>
        <w:t xml:space="preserve">a noteikšanai izstrādāta, nepiesaistot </w:t>
      </w:r>
      <w:r w:rsidR="0010604A" w:rsidRPr="00384026">
        <w:rPr>
          <w:rFonts w:ascii="Times New Roman" w:hAnsi="Times New Roman" w:cs="Times New Roman"/>
          <w:color w:val="000000" w:themeColor="text1"/>
          <w:sz w:val="24"/>
          <w:szCs w:val="24"/>
        </w:rPr>
        <w:t>piepi</w:t>
      </w:r>
      <w:r w:rsidR="009B0210" w:rsidRPr="00384026">
        <w:rPr>
          <w:rFonts w:ascii="Times New Roman" w:hAnsi="Times New Roman" w:cs="Times New Roman"/>
          <w:color w:val="000000" w:themeColor="text1"/>
          <w:sz w:val="24"/>
          <w:szCs w:val="24"/>
        </w:rPr>
        <w:t>ldu resurs</w:t>
      </w:r>
      <w:r w:rsidR="001A07B4">
        <w:rPr>
          <w:rFonts w:ascii="Times New Roman" w:hAnsi="Times New Roman" w:cs="Times New Roman"/>
          <w:color w:val="000000" w:themeColor="text1"/>
          <w:sz w:val="24"/>
          <w:szCs w:val="24"/>
        </w:rPr>
        <w:t>us</w:t>
      </w:r>
      <w:r w:rsidR="009B0210" w:rsidRPr="00384026">
        <w:rPr>
          <w:rFonts w:ascii="Times New Roman" w:hAnsi="Times New Roman" w:cs="Times New Roman"/>
          <w:color w:val="000000" w:themeColor="text1"/>
          <w:sz w:val="24"/>
          <w:szCs w:val="24"/>
        </w:rPr>
        <w:t xml:space="preserve"> vai finansējumu</w:t>
      </w:r>
      <w:r w:rsidRPr="00384026">
        <w:rPr>
          <w:rFonts w:ascii="Times New Roman" w:hAnsi="Times New Roman" w:cs="Times New Roman"/>
          <w:color w:val="000000" w:themeColor="text1"/>
          <w:sz w:val="24"/>
          <w:szCs w:val="24"/>
        </w:rPr>
        <w:t xml:space="preserve">, tas </w:t>
      </w:r>
      <w:r w:rsidR="0010604A" w:rsidRPr="00384026">
        <w:rPr>
          <w:rFonts w:ascii="Times New Roman" w:hAnsi="Times New Roman" w:cs="Times New Roman"/>
          <w:color w:val="000000" w:themeColor="text1"/>
          <w:sz w:val="24"/>
          <w:szCs w:val="24"/>
        </w:rPr>
        <w:t>īstenots, lai sakārtotu aprites jautājumu. Arī PICS un PEN sistēmas izmantošana nodrošināta</w:t>
      </w:r>
      <w:r w:rsidR="009B0210" w:rsidRPr="00384026">
        <w:rPr>
          <w:rFonts w:ascii="Times New Roman" w:hAnsi="Times New Roman" w:cs="Times New Roman"/>
          <w:color w:val="000000" w:themeColor="text1"/>
          <w:sz w:val="24"/>
          <w:szCs w:val="24"/>
        </w:rPr>
        <w:t xml:space="preserve"> valsts budžeta līdzekļu ietvaros</w:t>
      </w:r>
      <w:r w:rsidR="0010604A" w:rsidRPr="00384026">
        <w:rPr>
          <w:rFonts w:ascii="Times New Roman" w:hAnsi="Times New Roman" w:cs="Times New Roman"/>
          <w:color w:val="000000" w:themeColor="text1"/>
          <w:sz w:val="24"/>
          <w:szCs w:val="24"/>
        </w:rPr>
        <w:t>. Vienlaikus, lai uzlabotu PICS sistēmas izmantošanu Latvijā, deleģētas divas kontaktpersonas no V</w:t>
      </w:r>
      <w:r w:rsidR="00BA1C33" w:rsidRPr="00384026">
        <w:rPr>
          <w:rFonts w:ascii="Times New Roman" w:hAnsi="Times New Roman" w:cs="Times New Roman"/>
          <w:color w:val="000000" w:themeColor="text1"/>
          <w:sz w:val="24"/>
          <w:szCs w:val="24"/>
        </w:rPr>
        <w:t>alsts policijas</w:t>
      </w:r>
      <w:r w:rsidR="0010604A" w:rsidRPr="00384026">
        <w:rPr>
          <w:rFonts w:ascii="Times New Roman" w:hAnsi="Times New Roman" w:cs="Times New Roman"/>
          <w:color w:val="000000" w:themeColor="text1"/>
          <w:sz w:val="24"/>
          <w:szCs w:val="24"/>
        </w:rPr>
        <w:t xml:space="preserve"> Kriminālistikas pārvaldes. </w:t>
      </w:r>
    </w:p>
    <w:p w14:paraId="107ACE22" w14:textId="68598287" w:rsidR="004775EA" w:rsidRPr="00384026" w:rsidRDefault="00EA5C36" w:rsidP="0013657B">
      <w:pPr>
        <w:spacing w:after="0"/>
        <w:ind w:firstLine="720"/>
        <w:jc w:val="both"/>
        <w:rPr>
          <w:rFonts w:ascii="Times New Roman" w:hAnsi="Times New Roman" w:cs="Times New Roman"/>
          <w:color w:val="000000" w:themeColor="text1"/>
          <w:sz w:val="24"/>
          <w:szCs w:val="24"/>
        </w:rPr>
      </w:pPr>
      <w:r w:rsidRPr="00384026">
        <w:rPr>
          <w:rFonts w:ascii="Times New Roman" w:hAnsi="Times New Roman" w:cs="Times New Roman"/>
          <w:color w:val="000000" w:themeColor="text1"/>
          <w:sz w:val="24"/>
          <w:szCs w:val="24"/>
        </w:rPr>
        <w:t>Kā daļēji izpildīti</w:t>
      </w:r>
      <w:r w:rsidR="0046264C" w:rsidRPr="00384026">
        <w:rPr>
          <w:rFonts w:ascii="Times New Roman" w:hAnsi="Times New Roman" w:cs="Times New Roman"/>
          <w:color w:val="000000" w:themeColor="text1"/>
          <w:sz w:val="24"/>
          <w:szCs w:val="24"/>
        </w:rPr>
        <w:t xml:space="preserve"> </w:t>
      </w:r>
      <w:r w:rsidR="00CD6B08" w:rsidRPr="00384026">
        <w:rPr>
          <w:rFonts w:ascii="Times New Roman" w:hAnsi="Times New Roman" w:cs="Times New Roman"/>
          <w:color w:val="000000" w:themeColor="text1"/>
          <w:sz w:val="24"/>
          <w:szCs w:val="24"/>
        </w:rPr>
        <w:t xml:space="preserve">šajā rīcības virzienā </w:t>
      </w:r>
      <w:r w:rsidR="0046264C" w:rsidRPr="00384026">
        <w:rPr>
          <w:rFonts w:ascii="Times New Roman" w:hAnsi="Times New Roman" w:cs="Times New Roman"/>
          <w:color w:val="000000" w:themeColor="text1"/>
          <w:sz w:val="24"/>
          <w:szCs w:val="24"/>
        </w:rPr>
        <w:t>novērtēti divi pasākumi.</w:t>
      </w:r>
      <w:r w:rsidR="0010604A" w:rsidRPr="00384026">
        <w:rPr>
          <w:rFonts w:ascii="Times New Roman" w:hAnsi="Times New Roman" w:cs="Times New Roman"/>
          <w:color w:val="000000" w:themeColor="text1"/>
          <w:sz w:val="24"/>
          <w:szCs w:val="24"/>
        </w:rPr>
        <w:t xml:space="preserve"> Plāna 16. pasākums, kas paredz sadarbības līgumu slēgšan</w:t>
      </w:r>
      <w:r w:rsidR="001A07B4">
        <w:rPr>
          <w:rFonts w:ascii="Times New Roman" w:hAnsi="Times New Roman" w:cs="Times New Roman"/>
          <w:color w:val="000000" w:themeColor="text1"/>
          <w:sz w:val="24"/>
          <w:szCs w:val="24"/>
        </w:rPr>
        <w:t>u</w:t>
      </w:r>
      <w:r w:rsidR="0010604A" w:rsidRPr="00384026">
        <w:rPr>
          <w:rFonts w:ascii="Times New Roman" w:hAnsi="Times New Roman" w:cs="Times New Roman"/>
          <w:color w:val="000000" w:themeColor="text1"/>
          <w:sz w:val="24"/>
          <w:szCs w:val="24"/>
        </w:rPr>
        <w:t xml:space="preserve"> starp Zāļu valsts aģentūru, Valsts po</w:t>
      </w:r>
      <w:r w:rsidR="00D200A3">
        <w:rPr>
          <w:rFonts w:ascii="Times New Roman" w:hAnsi="Times New Roman" w:cs="Times New Roman"/>
          <w:color w:val="000000" w:themeColor="text1"/>
          <w:sz w:val="24"/>
          <w:szCs w:val="24"/>
        </w:rPr>
        <w:t>liciju, Valsts ieņēmumu dienesta muitas iestādēm</w:t>
      </w:r>
      <w:r w:rsidR="0010604A" w:rsidRPr="00384026">
        <w:rPr>
          <w:rFonts w:ascii="Times New Roman" w:hAnsi="Times New Roman" w:cs="Times New Roman"/>
          <w:color w:val="000000" w:themeColor="text1"/>
          <w:sz w:val="24"/>
          <w:szCs w:val="24"/>
        </w:rPr>
        <w:t xml:space="preserve"> un rūpniecības uzņēmumiem</w:t>
      </w:r>
      <w:r w:rsidR="0046264C" w:rsidRPr="00384026">
        <w:rPr>
          <w:rFonts w:ascii="Times New Roman" w:hAnsi="Times New Roman" w:cs="Times New Roman"/>
          <w:color w:val="000000" w:themeColor="text1"/>
          <w:sz w:val="24"/>
          <w:szCs w:val="24"/>
        </w:rPr>
        <w:t xml:space="preserve">, </w:t>
      </w:r>
      <w:r w:rsidR="00CD6B08">
        <w:rPr>
          <w:rFonts w:ascii="Times New Roman" w:hAnsi="Times New Roman" w:cs="Times New Roman"/>
          <w:color w:val="000000" w:themeColor="text1"/>
          <w:sz w:val="24"/>
          <w:szCs w:val="24"/>
        </w:rPr>
        <w:t>faktiski</w:t>
      </w:r>
      <w:r w:rsidR="0046264C" w:rsidRPr="00384026">
        <w:rPr>
          <w:rFonts w:ascii="Times New Roman" w:hAnsi="Times New Roman" w:cs="Times New Roman"/>
          <w:color w:val="000000" w:themeColor="text1"/>
          <w:sz w:val="24"/>
          <w:szCs w:val="24"/>
        </w:rPr>
        <w:t xml:space="preserve"> nav izpildīts</w:t>
      </w:r>
      <w:r w:rsidR="002B7AFF">
        <w:rPr>
          <w:rFonts w:ascii="Times New Roman" w:hAnsi="Times New Roman" w:cs="Times New Roman"/>
          <w:color w:val="000000" w:themeColor="text1"/>
          <w:sz w:val="24"/>
          <w:szCs w:val="24"/>
        </w:rPr>
        <w:t xml:space="preserve">. </w:t>
      </w:r>
      <w:r w:rsidR="0046264C" w:rsidRPr="00384026">
        <w:rPr>
          <w:rFonts w:ascii="Times New Roman" w:hAnsi="Times New Roman" w:cs="Times New Roman"/>
          <w:color w:val="000000" w:themeColor="text1"/>
          <w:sz w:val="24"/>
          <w:szCs w:val="24"/>
        </w:rPr>
        <w:t>V</w:t>
      </w:r>
      <w:r w:rsidR="00636FBC" w:rsidRPr="00384026">
        <w:rPr>
          <w:rFonts w:ascii="Times New Roman" w:hAnsi="Times New Roman" w:cs="Times New Roman"/>
          <w:color w:val="000000" w:themeColor="text1"/>
          <w:sz w:val="24"/>
          <w:szCs w:val="24"/>
        </w:rPr>
        <w:t xml:space="preserve">ienlaikus sadarbība </w:t>
      </w:r>
      <w:r w:rsidR="00F5339C" w:rsidRPr="00384026">
        <w:rPr>
          <w:rFonts w:ascii="Times New Roman" w:hAnsi="Times New Roman" w:cs="Times New Roman"/>
          <w:color w:val="000000" w:themeColor="text1"/>
          <w:sz w:val="24"/>
          <w:szCs w:val="24"/>
        </w:rPr>
        <w:t xml:space="preserve">kompetences ietvaros </w:t>
      </w:r>
      <w:r w:rsidR="00636FBC" w:rsidRPr="00384026">
        <w:rPr>
          <w:rFonts w:ascii="Times New Roman" w:hAnsi="Times New Roman" w:cs="Times New Roman"/>
          <w:color w:val="000000" w:themeColor="text1"/>
          <w:sz w:val="24"/>
          <w:szCs w:val="24"/>
        </w:rPr>
        <w:t>starp iesaistītajām pusēm aizdomīgu darījumu gadījumos tiek īstenota ar</w:t>
      </w:r>
      <w:r w:rsidR="009B0210" w:rsidRPr="00384026">
        <w:rPr>
          <w:rFonts w:ascii="Times New Roman" w:hAnsi="Times New Roman" w:cs="Times New Roman"/>
          <w:color w:val="000000" w:themeColor="text1"/>
          <w:sz w:val="24"/>
          <w:szCs w:val="24"/>
        </w:rPr>
        <w:t>ī</w:t>
      </w:r>
      <w:r w:rsidR="00636FBC" w:rsidRPr="00384026">
        <w:rPr>
          <w:rFonts w:ascii="Times New Roman" w:hAnsi="Times New Roman" w:cs="Times New Roman"/>
          <w:color w:val="000000" w:themeColor="text1"/>
          <w:sz w:val="24"/>
          <w:szCs w:val="24"/>
        </w:rPr>
        <w:t xml:space="preserve"> bez līguma. Attiecīgi </w:t>
      </w:r>
      <w:r w:rsidR="00CD6B08">
        <w:rPr>
          <w:rFonts w:ascii="Times New Roman" w:hAnsi="Times New Roman" w:cs="Times New Roman"/>
          <w:color w:val="000000" w:themeColor="text1"/>
          <w:sz w:val="24"/>
          <w:szCs w:val="24"/>
        </w:rPr>
        <w:t xml:space="preserve">turpmāk atsevišķi </w:t>
      </w:r>
      <w:r w:rsidR="00636FBC" w:rsidRPr="00384026">
        <w:rPr>
          <w:rFonts w:ascii="Times New Roman" w:hAnsi="Times New Roman" w:cs="Times New Roman"/>
          <w:color w:val="000000" w:themeColor="text1"/>
          <w:sz w:val="24"/>
          <w:szCs w:val="24"/>
        </w:rPr>
        <w:t xml:space="preserve">būtu jāvērtē </w:t>
      </w:r>
      <w:r w:rsidR="00733586" w:rsidRPr="00384026">
        <w:rPr>
          <w:rFonts w:ascii="Times New Roman" w:hAnsi="Times New Roman" w:cs="Times New Roman"/>
          <w:color w:val="000000" w:themeColor="text1"/>
          <w:sz w:val="24"/>
          <w:szCs w:val="24"/>
        </w:rPr>
        <w:t xml:space="preserve">pasākuma </w:t>
      </w:r>
      <w:r w:rsidR="00636FBC" w:rsidRPr="00384026">
        <w:rPr>
          <w:rFonts w:ascii="Times New Roman" w:hAnsi="Times New Roman" w:cs="Times New Roman"/>
          <w:color w:val="000000" w:themeColor="text1"/>
          <w:sz w:val="24"/>
          <w:szCs w:val="24"/>
        </w:rPr>
        <w:t>aktualitāti</w:t>
      </w:r>
      <w:r w:rsidR="0046264C" w:rsidRPr="00384026">
        <w:rPr>
          <w:rFonts w:ascii="Times New Roman" w:hAnsi="Times New Roman" w:cs="Times New Roman"/>
          <w:color w:val="000000" w:themeColor="text1"/>
          <w:sz w:val="24"/>
          <w:szCs w:val="24"/>
        </w:rPr>
        <w:t xml:space="preserve"> </w:t>
      </w:r>
      <w:r w:rsidR="00F5339C" w:rsidRPr="00384026">
        <w:rPr>
          <w:rFonts w:ascii="Times New Roman" w:hAnsi="Times New Roman" w:cs="Times New Roman"/>
          <w:color w:val="000000" w:themeColor="text1"/>
          <w:sz w:val="24"/>
          <w:szCs w:val="24"/>
        </w:rPr>
        <w:t>un iespējas</w:t>
      </w:r>
      <w:r w:rsidR="00CD6B08">
        <w:rPr>
          <w:rFonts w:ascii="Times New Roman" w:hAnsi="Times New Roman" w:cs="Times New Roman"/>
          <w:color w:val="000000" w:themeColor="text1"/>
          <w:sz w:val="24"/>
          <w:szCs w:val="24"/>
        </w:rPr>
        <w:t xml:space="preserve"> un nepieciešamība</w:t>
      </w:r>
      <w:r w:rsidR="00F5339C" w:rsidRPr="00384026">
        <w:rPr>
          <w:rFonts w:ascii="Times New Roman" w:hAnsi="Times New Roman" w:cs="Times New Roman"/>
          <w:color w:val="000000" w:themeColor="text1"/>
          <w:sz w:val="24"/>
          <w:szCs w:val="24"/>
        </w:rPr>
        <w:t xml:space="preserve"> to īstenot</w:t>
      </w:r>
      <w:r w:rsidR="00CD6B08">
        <w:rPr>
          <w:rFonts w:ascii="Times New Roman" w:hAnsi="Times New Roman" w:cs="Times New Roman"/>
          <w:color w:val="000000" w:themeColor="text1"/>
          <w:sz w:val="24"/>
          <w:szCs w:val="24"/>
        </w:rPr>
        <w:t xml:space="preserve"> šādā formā</w:t>
      </w:r>
      <w:r w:rsidR="00636FBC" w:rsidRPr="00384026">
        <w:rPr>
          <w:rFonts w:ascii="Times New Roman" w:hAnsi="Times New Roman" w:cs="Times New Roman"/>
          <w:color w:val="000000" w:themeColor="text1"/>
          <w:sz w:val="24"/>
          <w:szCs w:val="24"/>
        </w:rPr>
        <w:t>.</w:t>
      </w:r>
      <w:r w:rsidR="0046264C" w:rsidRPr="00384026">
        <w:rPr>
          <w:rFonts w:ascii="Times New Roman" w:hAnsi="Times New Roman" w:cs="Times New Roman"/>
          <w:color w:val="000000" w:themeColor="text1"/>
          <w:sz w:val="24"/>
          <w:szCs w:val="24"/>
        </w:rPr>
        <w:t xml:space="preserve"> Otrs daļēji izpildīt</w:t>
      </w:r>
      <w:r w:rsidR="00CD6B08">
        <w:rPr>
          <w:rFonts w:ascii="Times New Roman" w:hAnsi="Times New Roman" w:cs="Times New Roman"/>
          <w:color w:val="000000" w:themeColor="text1"/>
          <w:sz w:val="24"/>
          <w:szCs w:val="24"/>
        </w:rPr>
        <w:t>ai</w:t>
      </w:r>
      <w:r w:rsidR="0046264C" w:rsidRPr="00384026">
        <w:rPr>
          <w:rFonts w:ascii="Times New Roman" w:hAnsi="Times New Roman" w:cs="Times New Roman"/>
          <w:color w:val="000000" w:themeColor="text1"/>
          <w:sz w:val="24"/>
          <w:szCs w:val="24"/>
        </w:rPr>
        <w:t xml:space="preserve">s pasākums, ir NKNIKP </w:t>
      </w:r>
      <w:r w:rsidR="00733586" w:rsidRPr="00384026">
        <w:rPr>
          <w:rFonts w:ascii="Times New Roman" w:hAnsi="Times New Roman" w:cs="Times New Roman"/>
          <w:color w:val="000000" w:themeColor="text1"/>
          <w:sz w:val="24"/>
          <w:szCs w:val="24"/>
        </w:rPr>
        <w:t>Piedāvājuma samazināšanas darba grupas sēžu</w:t>
      </w:r>
      <w:r w:rsidR="0046264C" w:rsidRPr="00384026">
        <w:rPr>
          <w:rFonts w:ascii="Times New Roman" w:hAnsi="Times New Roman" w:cs="Times New Roman"/>
          <w:color w:val="000000" w:themeColor="text1"/>
          <w:sz w:val="24"/>
          <w:szCs w:val="24"/>
        </w:rPr>
        <w:t xml:space="preserve"> organiz</w:t>
      </w:r>
      <w:r w:rsidR="00733586" w:rsidRPr="00384026">
        <w:rPr>
          <w:rFonts w:ascii="Times New Roman" w:hAnsi="Times New Roman" w:cs="Times New Roman"/>
          <w:color w:val="000000" w:themeColor="text1"/>
          <w:sz w:val="24"/>
          <w:szCs w:val="24"/>
        </w:rPr>
        <w:t>ācija</w:t>
      </w:r>
      <w:r w:rsidR="0046264C" w:rsidRPr="00384026">
        <w:rPr>
          <w:rFonts w:ascii="Times New Roman" w:hAnsi="Times New Roman" w:cs="Times New Roman"/>
          <w:color w:val="000000" w:themeColor="text1"/>
          <w:sz w:val="24"/>
          <w:szCs w:val="24"/>
        </w:rPr>
        <w:t xml:space="preserve">, kas </w:t>
      </w:r>
      <w:r w:rsidR="00733586" w:rsidRPr="00384026">
        <w:rPr>
          <w:rFonts w:ascii="Times New Roman" w:hAnsi="Times New Roman" w:cs="Times New Roman"/>
          <w:color w:val="000000" w:themeColor="text1"/>
          <w:sz w:val="24"/>
          <w:szCs w:val="24"/>
        </w:rPr>
        <w:t>pārskata periodā norisinājās</w:t>
      </w:r>
      <w:r w:rsidR="0046264C" w:rsidRPr="00384026">
        <w:rPr>
          <w:rFonts w:ascii="Times New Roman" w:hAnsi="Times New Roman" w:cs="Times New Roman"/>
          <w:color w:val="000000" w:themeColor="text1"/>
          <w:sz w:val="24"/>
          <w:szCs w:val="24"/>
        </w:rPr>
        <w:t xml:space="preserve"> </w:t>
      </w:r>
      <w:r w:rsidRPr="00384026">
        <w:rPr>
          <w:rFonts w:ascii="Times New Roman" w:hAnsi="Times New Roman" w:cs="Times New Roman"/>
          <w:color w:val="000000" w:themeColor="text1"/>
          <w:sz w:val="24"/>
          <w:szCs w:val="24"/>
        </w:rPr>
        <w:t xml:space="preserve">tikai </w:t>
      </w:r>
      <w:r w:rsidR="0046264C" w:rsidRPr="00384026">
        <w:rPr>
          <w:rFonts w:ascii="Times New Roman" w:hAnsi="Times New Roman" w:cs="Times New Roman"/>
          <w:color w:val="000000" w:themeColor="text1"/>
          <w:sz w:val="24"/>
          <w:szCs w:val="24"/>
        </w:rPr>
        <w:t>2020.</w:t>
      </w:r>
      <w:r w:rsidR="00CD6B08">
        <w:rPr>
          <w:rFonts w:ascii="Times New Roman" w:hAnsi="Times New Roman" w:cs="Times New Roman"/>
          <w:color w:val="000000" w:themeColor="text1"/>
          <w:sz w:val="24"/>
          <w:szCs w:val="24"/>
        </w:rPr>
        <w:t> </w:t>
      </w:r>
      <w:r w:rsidR="0046264C" w:rsidRPr="00384026">
        <w:rPr>
          <w:rFonts w:ascii="Times New Roman" w:hAnsi="Times New Roman" w:cs="Times New Roman"/>
          <w:color w:val="000000" w:themeColor="text1"/>
          <w:sz w:val="24"/>
          <w:szCs w:val="24"/>
        </w:rPr>
        <w:t>gadā</w:t>
      </w:r>
      <w:r w:rsidR="00733586" w:rsidRPr="00384026">
        <w:rPr>
          <w:rFonts w:ascii="Times New Roman" w:hAnsi="Times New Roman" w:cs="Times New Roman"/>
          <w:color w:val="000000" w:themeColor="text1"/>
          <w:sz w:val="24"/>
          <w:szCs w:val="24"/>
        </w:rPr>
        <w:t>. To</w:t>
      </w:r>
      <w:r w:rsidR="0046264C" w:rsidRPr="00384026">
        <w:rPr>
          <w:rFonts w:ascii="Times New Roman" w:hAnsi="Times New Roman" w:cs="Times New Roman"/>
          <w:color w:val="000000" w:themeColor="text1"/>
          <w:sz w:val="24"/>
          <w:szCs w:val="24"/>
        </w:rPr>
        <w:t xml:space="preserve"> var saistīt gan ar personāla maiņu, gan to, ka aktuāl</w:t>
      </w:r>
      <w:r w:rsidRPr="00384026">
        <w:rPr>
          <w:rFonts w:ascii="Times New Roman" w:hAnsi="Times New Roman" w:cs="Times New Roman"/>
          <w:color w:val="000000" w:themeColor="text1"/>
          <w:sz w:val="24"/>
          <w:szCs w:val="24"/>
        </w:rPr>
        <w:t>os</w:t>
      </w:r>
      <w:r w:rsidR="0046264C" w:rsidRPr="00384026">
        <w:rPr>
          <w:rFonts w:ascii="Times New Roman" w:hAnsi="Times New Roman" w:cs="Times New Roman"/>
          <w:color w:val="000000" w:themeColor="text1"/>
          <w:sz w:val="24"/>
          <w:szCs w:val="24"/>
        </w:rPr>
        <w:t xml:space="preserve"> jautājumus bija iespējams risināt arī bez darba grupas sasaukšanas.</w:t>
      </w:r>
    </w:p>
    <w:p w14:paraId="5242B11D" w14:textId="7EECAF99" w:rsidR="00636FBC" w:rsidRPr="00384026" w:rsidRDefault="00636FBC" w:rsidP="0013657B">
      <w:pPr>
        <w:spacing w:after="0"/>
        <w:ind w:firstLine="720"/>
        <w:jc w:val="both"/>
        <w:rPr>
          <w:rFonts w:ascii="Times New Roman" w:hAnsi="Times New Roman" w:cs="Times New Roman"/>
          <w:color w:val="000000" w:themeColor="text1"/>
          <w:sz w:val="24"/>
          <w:szCs w:val="24"/>
        </w:rPr>
      </w:pPr>
      <w:r w:rsidRPr="00384026">
        <w:rPr>
          <w:rFonts w:ascii="Times New Roman" w:hAnsi="Times New Roman" w:cs="Times New Roman"/>
          <w:color w:val="000000" w:themeColor="text1"/>
          <w:sz w:val="24"/>
          <w:szCs w:val="24"/>
        </w:rPr>
        <w:t xml:space="preserve">Savukārt </w:t>
      </w:r>
      <w:r w:rsidR="00CD6B08">
        <w:rPr>
          <w:rFonts w:ascii="Times New Roman" w:hAnsi="Times New Roman" w:cs="Times New Roman"/>
          <w:color w:val="000000" w:themeColor="text1"/>
          <w:sz w:val="24"/>
          <w:szCs w:val="24"/>
        </w:rPr>
        <w:t>kā</w:t>
      </w:r>
      <w:r w:rsidR="00CD6B08" w:rsidRPr="00384026">
        <w:rPr>
          <w:rFonts w:ascii="Times New Roman" w:hAnsi="Times New Roman" w:cs="Times New Roman"/>
          <w:color w:val="000000" w:themeColor="text1"/>
          <w:sz w:val="24"/>
          <w:szCs w:val="24"/>
        </w:rPr>
        <w:t xml:space="preserve"> </w:t>
      </w:r>
      <w:r w:rsidRPr="00384026">
        <w:rPr>
          <w:rFonts w:ascii="Times New Roman" w:hAnsi="Times New Roman" w:cs="Times New Roman"/>
          <w:color w:val="000000" w:themeColor="text1"/>
          <w:sz w:val="24"/>
          <w:szCs w:val="24"/>
        </w:rPr>
        <w:t xml:space="preserve">neizpildīti novērtēti divi pasākumi. </w:t>
      </w:r>
      <w:r w:rsidR="00733586" w:rsidRPr="00384026">
        <w:rPr>
          <w:rFonts w:ascii="Times New Roman" w:hAnsi="Times New Roman" w:cs="Times New Roman"/>
          <w:color w:val="000000" w:themeColor="text1"/>
          <w:sz w:val="24"/>
          <w:szCs w:val="24"/>
        </w:rPr>
        <w:t>V</w:t>
      </w:r>
      <w:r w:rsidR="00EA5C36" w:rsidRPr="00384026">
        <w:rPr>
          <w:rFonts w:ascii="Times New Roman" w:hAnsi="Times New Roman" w:cs="Times New Roman"/>
          <w:color w:val="000000" w:themeColor="text1"/>
          <w:sz w:val="24"/>
          <w:szCs w:val="24"/>
        </w:rPr>
        <w:t>iena</w:t>
      </w:r>
      <w:r w:rsidR="00733586" w:rsidRPr="00384026">
        <w:rPr>
          <w:rFonts w:ascii="Times New Roman" w:hAnsi="Times New Roman" w:cs="Times New Roman"/>
          <w:color w:val="000000" w:themeColor="text1"/>
          <w:sz w:val="24"/>
          <w:szCs w:val="24"/>
        </w:rPr>
        <w:t xml:space="preserve"> pasākuma neizpilde </w:t>
      </w:r>
      <w:r w:rsidR="000404F3" w:rsidRPr="00384026">
        <w:rPr>
          <w:rFonts w:ascii="Times New Roman" w:hAnsi="Times New Roman" w:cs="Times New Roman"/>
          <w:color w:val="000000" w:themeColor="text1"/>
          <w:sz w:val="24"/>
          <w:szCs w:val="24"/>
        </w:rPr>
        <w:t>saistīt</w:t>
      </w:r>
      <w:r w:rsidR="00733586" w:rsidRPr="00384026">
        <w:rPr>
          <w:rFonts w:ascii="Times New Roman" w:hAnsi="Times New Roman" w:cs="Times New Roman"/>
          <w:color w:val="000000" w:themeColor="text1"/>
          <w:sz w:val="24"/>
          <w:szCs w:val="24"/>
        </w:rPr>
        <w:t>a</w:t>
      </w:r>
      <w:r w:rsidR="00EA5C36" w:rsidRPr="00384026">
        <w:rPr>
          <w:rFonts w:ascii="Times New Roman" w:hAnsi="Times New Roman" w:cs="Times New Roman"/>
          <w:color w:val="000000" w:themeColor="text1"/>
          <w:sz w:val="24"/>
          <w:szCs w:val="24"/>
        </w:rPr>
        <w:t xml:space="preserve"> ar nepietieka</w:t>
      </w:r>
      <w:r w:rsidR="000404F3" w:rsidRPr="00384026">
        <w:rPr>
          <w:rFonts w:ascii="Times New Roman" w:hAnsi="Times New Roman" w:cs="Times New Roman"/>
          <w:color w:val="000000" w:themeColor="text1"/>
          <w:sz w:val="24"/>
          <w:szCs w:val="24"/>
        </w:rPr>
        <w:t>m</w:t>
      </w:r>
      <w:r w:rsidR="00733586" w:rsidRPr="00384026">
        <w:rPr>
          <w:rFonts w:ascii="Times New Roman" w:hAnsi="Times New Roman" w:cs="Times New Roman"/>
          <w:color w:val="000000" w:themeColor="text1"/>
          <w:sz w:val="24"/>
          <w:szCs w:val="24"/>
        </w:rPr>
        <w:t>u</w:t>
      </w:r>
      <w:r w:rsidR="000404F3" w:rsidRPr="00384026">
        <w:rPr>
          <w:rFonts w:ascii="Times New Roman" w:hAnsi="Times New Roman" w:cs="Times New Roman"/>
          <w:color w:val="000000" w:themeColor="text1"/>
          <w:sz w:val="24"/>
          <w:szCs w:val="24"/>
        </w:rPr>
        <w:t xml:space="preserve"> finansējumu V</w:t>
      </w:r>
      <w:r w:rsidR="00F5339C" w:rsidRPr="00384026">
        <w:rPr>
          <w:rFonts w:ascii="Times New Roman" w:hAnsi="Times New Roman" w:cs="Times New Roman"/>
          <w:color w:val="000000" w:themeColor="text1"/>
          <w:sz w:val="24"/>
          <w:szCs w:val="24"/>
        </w:rPr>
        <w:t>alsts ieņēmumu dienesta</w:t>
      </w:r>
      <w:r w:rsidR="000404F3" w:rsidRPr="00384026">
        <w:rPr>
          <w:rFonts w:ascii="Times New Roman" w:hAnsi="Times New Roman" w:cs="Times New Roman"/>
          <w:color w:val="000000" w:themeColor="text1"/>
          <w:sz w:val="24"/>
          <w:szCs w:val="24"/>
        </w:rPr>
        <w:t xml:space="preserve"> Muitas Pārvaldes </w:t>
      </w:r>
      <w:r w:rsidR="00D259DA">
        <w:rPr>
          <w:rFonts w:ascii="Times New Roman" w:hAnsi="Times New Roman" w:cs="Times New Roman"/>
          <w:color w:val="000000" w:themeColor="text1"/>
          <w:sz w:val="24"/>
          <w:szCs w:val="24"/>
        </w:rPr>
        <w:t xml:space="preserve">Muitas </w:t>
      </w:r>
      <w:r w:rsidR="000404F3" w:rsidRPr="00384026">
        <w:rPr>
          <w:rFonts w:ascii="Times New Roman" w:hAnsi="Times New Roman" w:cs="Times New Roman"/>
          <w:color w:val="000000" w:themeColor="text1"/>
          <w:sz w:val="24"/>
          <w:szCs w:val="24"/>
        </w:rPr>
        <w:t>laboratorijas materi</w:t>
      </w:r>
      <w:r w:rsidR="00246349" w:rsidRPr="00384026">
        <w:rPr>
          <w:rFonts w:ascii="Times New Roman" w:hAnsi="Times New Roman" w:cs="Times New Roman"/>
          <w:color w:val="000000" w:themeColor="text1"/>
          <w:sz w:val="24"/>
          <w:szCs w:val="24"/>
        </w:rPr>
        <w:t>āltehniskā aprīkojuma uzlabošanai</w:t>
      </w:r>
      <w:r w:rsidR="000404F3" w:rsidRPr="00384026">
        <w:rPr>
          <w:rFonts w:ascii="Times New Roman" w:hAnsi="Times New Roman" w:cs="Times New Roman"/>
          <w:color w:val="000000" w:themeColor="text1"/>
          <w:sz w:val="24"/>
          <w:szCs w:val="24"/>
        </w:rPr>
        <w:t xml:space="preserve"> narkotisko</w:t>
      </w:r>
      <w:r w:rsidR="0046264C" w:rsidRPr="00384026">
        <w:rPr>
          <w:rFonts w:ascii="Times New Roman" w:hAnsi="Times New Roman" w:cs="Times New Roman"/>
          <w:color w:val="000000" w:themeColor="text1"/>
          <w:sz w:val="24"/>
          <w:szCs w:val="24"/>
        </w:rPr>
        <w:t xml:space="preserve"> un jauno psihoaktīvo vielu noteikšanai. O</w:t>
      </w:r>
      <w:r w:rsidR="000404F3" w:rsidRPr="00384026">
        <w:rPr>
          <w:rFonts w:ascii="Times New Roman" w:hAnsi="Times New Roman" w:cs="Times New Roman"/>
          <w:color w:val="000000" w:themeColor="text1"/>
          <w:sz w:val="24"/>
          <w:szCs w:val="24"/>
        </w:rPr>
        <w:t>trs neizpildītais pasākums</w:t>
      </w:r>
      <w:r w:rsidR="000C5878" w:rsidRPr="00384026">
        <w:rPr>
          <w:rFonts w:ascii="Times New Roman" w:hAnsi="Times New Roman" w:cs="Times New Roman"/>
          <w:color w:val="000000" w:themeColor="text1"/>
          <w:sz w:val="24"/>
          <w:szCs w:val="24"/>
        </w:rPr>
        <w:t xml:space="preserve"> saistīts ar neapstiprinātām </w:t>
      </w:r>
      <w:r w:rsidR="0046264C" w:rsidRPr="00384026">
        <w:rPr>
          <w:rFonts w:ascii="Times New Roman" w:hAnsi="Times New Roman" w:cs="Times New Roman"/>
          <w:color w:val="000000" w:themeColor="text1"/>
          <w:sz w:val="24"/>
          <w:szCs w:val="24"/>
        </w:rPr>
        <w:t xml:space="preserve">narkotiku piedāvājuma monitoringa </w:t>
      </w:r>
      <w:r w:rsidR="000C5878" w:rsidRPr="00384026">
        <w:rPr>
          <w:rFonts w:ascii="Times New Roman" w:hAnsi="Times New Roman" w:cs="Times New Roman"/>
          <w:color w:val="000000" w:themeColor="text1"/>
          <w:sz w:val="24"/>
          <w:szCs w:val="24"/>
        </w:rPr>
        <w:t>vadlīnijām. Vadlīnijas nav apstiprinātas, jo atbildīgā amatpersona atradās ilgstošā prombūtnē, kā arī UNODC un EMCDDA pārskata periodā strādāja pie jaunu informācijas ievākšanas rīku i</w:t>
      </w:r>
      <w:r w:rsidR="00246349" w:rsidRPr="00384026">
        <w:rPr>
          <w:rFonts w:ascii="Times New Roman" w:hAnsi="Times New Roman" w:cs="Times New Roman"/>
          <w:color w:val="000000" w:themeColor="text1"/>
          <w:sz w:val="24"/>
          <w:szCs w:val="24"/>
        </w:rPr>
        <w:t xml:space="preserve">zstrādes, kā rezultātā ir jāpapildina jau izstrādāto vadlīniju projekts. </w:t>
      </w:r>
    </w:p>
    <w:p w14:paraId="6391794E" w14:textId="77777777" w:rsidR="004775EA" w:rsidRPr="00384026" w:rsidRDefault="00246349" w:rsidP="0013657B">
      <w:pPr>
        <w:ind w:firstLine="720"/>
        <w:jc w:val="both"/>
        <w:rPr>
          <w:rFonts w:ascii="Times New Roman" w:hAnsi="Times New Roman" w:cs="Times New Roman"/>
          <w:color w:val="000000" w:themeColor="text1"/>
          <w:sz w:val="24"/>
          <w:szCs w:val="24"/>
        </w:rPr>
      </w:pPr>
      <w:r w:rsidRPr="00384026">
        <w:rPr>
          <w:rFonts w:ascii="Times New Roman" w:hAnsi="Times New Roman" w:cs="Times New Roman"/>
          <w:color w:val="000000" w:themeColor="text1"/>
          <w:sz w:val="24"/>
          <w:szCs w:val="24"/>
        </w:rPr>
        <w:t>Šajā rīcības virzienā iekļauto pasākumu izpildi veicināja gan ie</w:t>
      </w:r>
      <w:r w:rsidR="00EA5C36" w:rsidRPr="00384026">
        <w:rPr>
          <w:rFonts w:ascii="Times New Roman" w:hAnsi="Times New Roman" w:cs="Times New Roman"/>
          <w:color w:val="000000" w:themeColor="text1"/>
          <w:sz w:val="24"/>
          <w:szCs w:val="24"/>
        </w:rPr>
        <w:t>spēja piesaistīt</w:t>
      </w:r>
      <w:r w:rsidRPr="00384026">
        <w:rPr>
          <w:rFonts w:ascii="Times New Roman" w:hAnsi="Times New Roman" w:cs="Times New Roman"/>
          <w:color w:val="000000" w:themeColor="text1"/>
          <w:sz w:val="24"/>
          <w:szCs w:val="24"/>
        </w:rPr>
        <w:t xml:space="preserve"> finansējumu, gan iespēja </w:t>
      </w:r>
      <w:r w:rsidR="00733586" w:rsidRPr="00384026">
        <w:rPr>
          <w:rFonts w:ascii="Times New Roman" w:hAnsi="Times New Roman" w:cs="Times New Roman"/>
          <w:color w:val="000000" w:themeColor="text1"/>
          <w:sz w:val="24"/>
          <w:szCs w:val="24"/>
        </w:rPr>
        <w:t xml:space="preserve">strādāt </w:t>
      </w:r>
      <w:r w:rsidRPr="00384026">
        <w:rPr>
          <w:rFonts w:ascii="Times New Roman" w:hAnsi="Times New Roman" w:cs="Times New Roman"/>
          <w:color w:val="000000" w:themeColor="text1"/>
          <w:sz w:val="24"/>
          <w:szCs w:val="24"/>
        </w:rPr>
        <w:t xml:space="preserve">esošā resursa ietvaros. Saistībā ar kavējošiem </w:t>
      </w:r>
      <w:r w:rsidR="00F5339C" w:rsidRPr="00384026">
        <w:rPr>
          <w:rFonts w:ascii="Times New Roman" w:hAnsi="Times New Roman" w:cs="Times New Roman"/>
          <w:color w:val="000000" w:themeColor="text1"/>
          <w:sz w:val="24"/>
          <w:szCs w:val="24"/>
        </w:rPr>
        <w:t>apstākļiem</w:t>
      </w:r>
      <w:r w:rsidRPr="00384026">
        <w:rPr>
          <w:rFonts w:ascii="Times New Roman" w:hAnsi="Times New Roman" w:cs="Times New Roman"/>
          <w:color w:val="000000" w:themeColor="text1"/>
          <w:sz w:val="24"/>
          <w:szCs w:val="24"/>
        </w:rPr>
        <w:t xml:space="preserve"> šajā rīcības virzienā vairāk redzama</w:t>
      </w:r>
      <w:r w:rsidR="000605EC" w:rsidRPr="00384026">
        <w:rPr>
          <w:rFonts w:ascii="Times New Roman" w:hAnsi="Times New Roman" w:cs="Times New Roman"/>
          <w:color w:val="000000" w:themeColor="text1"/>
          <w:sz w:val="24"/>
          <w:szCs w:val="24"/>
        </w:rPr>
        <w:t xml:space="preserve"> pasākuma aktualitātes zaudēšana, arī atbildīgo darbinieku prombūtne un, protams, nepietiekams finansējums.</w:t>
      </w:r>
    </w:p>
    <w:p w14:paraId="5EE78205" w14:textId="77777777" w:rsidR="004775EA" w:rsidRPr="00384026" w:rsidRDefault="00FB585A" w:rsidP="006026AA">
      <w:pPr>
        <w:pStyle w:val="Heading3"/>
        <w:rPr>
          <w:rFonts w:ascii="Times New Roman" w:hAnsi="Times New Roman" w:cs="Times New Roman"/>
          <w:b/>
          <w:color w:val="auto"/>
        </w:rPr>
      </w:pPr>
      <w:bookmarkStart w:id="7" w:name="_Toc78372610"/>
      <w:r w:rsidRPr="00384026">
        <w:rPr>
          <w:rFonts w:ascii="Times New Roman" w:hAnsi="Times New Roman" w:cs="Times New Roman"/>
          <w:b/>
          <w:color w:val="auto"/>
        </w:rPr>
        <w:t>1.4.</w:t>
      </w:r>
      <w:r w:rsidR="006026AA" w:rsidRPr="00384026">
        <w:rPr>
          <w:rFonts w:ascii="Times New Roman" w:hAnsi="Times New Roman" w:cs="Times New Roman"/>
          <w:b/>
          <w:color w:val="auto"/>
        </w:rPr>
        <w:t xml:space="preserve"> Treš</w:t>
      </w:r>
      <w:r w:rsidR="00A21E41">
        <w:rPr>
          <w:rFonts w:ascii="Times New Roman" w:hAnsi="Times New Roman" w:cs="Times New Roman"/>
          <w:b/>
          <w:color w:val="auto"/>
        </w:rPr>
        <w:t>aj</w:t>
      </w:r>
      <w:r w:rsidR="006026AA" w:rsidRPr="00384026">
        <w:rPr>
          <w:rFonts w:ascii="Times New Roman" w:hAnsi="Times New Roman" w:cs="Times New Roman"/>
          <w:b/>
          <w:color w:val="auto"/>
        </w:rPr>
        <w:t>ā</w:t>
      </w:r>
      <w:r w:rsidRPr="00384026">
        <w:rPr>
          <w:rFonts w:ascii="Times New Roman" w:hAnsi="Times New Roman" w:cs="Times New Roman"/>
          <w:b/>
          <w:color w:val="auto"/>
        </w:rPr>
        <w:t xml:space="preserve"> rīcības virzienā </w:t>
      </w:r>
      <w:r w:rsidR="00FC4A58" w:rsidRPr="00384026">
        <w:rPr>
          <w:rFonts w:ascii="Times New Roman" w:hAnsi="Times New Roman" w:cs="Times New Roman"/>
          <w:b/>
          <w:color w:val="auto"/>
        </w:rPr>
        <w:t>iekļauto</w:t>
      </w:r>
      <w:r w:rsidRPr="00384026">
        <w:rPr>
          <w:rFonts w:ascii="Times New Roman" w:hAnsi="Times New Roman" w:cs="Times New Roman"/>
          <w:b/>
          <w:color w:val="auto"/>
        </w:rPr>
        <w:t xml:space="preserve"> </w:t>
      </w:r>
      <w:r w:rsidR="00FC4A58" w:rsidRPr="00384026">
        <w:rPr>
          <w:rFonts w:ascii="Times New Roman" w:hAnsi="Times New Roman" w:cs="Times New Roman"/>
          <w:b/>
          <w:color w:val="auto"/>
        </w:rPr>
        <w:t>pasākumu</w:t>
      </w:r>
      <w:r w:rsidRPr="00384026">
        <w:rPr>
          <w:rFonts w:ascii="Times New Roman" w:hAnsi="Times New Roman" w:cs="Times New Roman"/>
          <w:b/>
          <w:color w:val="auto"/>
        </w:rPr>
        <w:t xml:space="preserve"> izpilde</w:t>
      </w:r>
      <w:bookmarkEnd w:id="7"/>
    </w:p>
    <w:p w14:paraId="25B5B124" w14:textId="7635711A" w:rsidR="00427E12" w:rsidRDefault="00617DB6" w:rsidP="0091236C">
      <w:pPr>
        <w:ind w:firstLine="720"/>
        <w:jc w:val="both"/>
        <w:rPr>
          <w:rFonts w:ascii="Times New Roman" w:hAnsi="Times New Roman" w:cs="Times New Roman"/>
          <w:color w:val="000000" w:themeColor="text1"/>
          <w:sz w:val="24"/>
          <w:szCs w:val="24"/>
        </w:rPr>
      </w:pPr>
      <w:r w:rsidRPr="00384026">
        <w:rPr>
          <w:rFonts w:ascii="Times New Roman" w:hAnsi="Times New Roman" w:cs="Times New Roman"/>
          <w:color w:val="000000" w:themeColor="text1"/>
          <w:sz w:val="24"/>
          <w:szCs w:val="24"/>
        </w:rPr>
        <w:t xml:space="preserve">Šajā rīcības virzienā </w:t>
      </w:r>
      <w:r w:rsidR="00644111" w:rsidRPr="00384026">
        <w:rPr>
          <w:rFonts w:ascii="Times New Roman" w:hAnsi="Times New Roman" w:cs="Times New Roman"/>
          <w:color w:val="000000" w:themeColor="text1"/>
          <w:sz w:val="24"/>
          <w:szCs w:val="24"/>
        </w:rPr>
        <w:t xml:space="preserve">izpildīti </w:t>
      </w:r>
      <w:r w:rsidR="00F5339C" w:rsidRPr="00384026">
        <w:rPr>
          <w:rFonts w:ascii="Times New Roman" w:hAnsi="Times New Roman" w:cs="Times New Roman"/>
          <w:color w:val="000000" w:themeColor="text1"/>
          <w:sz w:val="24"/>
          <w:szCs w:val="24"/>
        </w:rPr>
        <w:t>3</w:t>
      </w:r>
      <w:r w:rsidR="00644111" w:rsidRPr="00384026">
        <w:rPr>
          <w:rFonts w:ascii="Times New Roman" w:hAnsi="Times New Roman" w:cs="Times New Roman"/>
          <w:color w:val="000000" w:themeColor="text1"/>
          <w:sz w:val="24"/>
          <w:szCs w:val="24"/>
        </w:rPr>
        <w:t xml:space="preserve"> pasākumi</w:t>
      </w:r>
      <w:r w:rsidR="00D06B27">
        <w:rPr>
          <w:rFonts w:ascii="Times New Roman" w:hAnsi="Times New Roman" w:cs="Times New Roman"/>
          <w:color w:val="000000" w:themeColor="text1"/>
          <w:sz w:val="24"/>
          <w:szCs w:val="24"/>
        </w:rPr>
        <w:t xml:space="preserve"> (skat. </w:t>
      </w:r>
      <w:r w:rsidR="00C427EC">
        <w:rPr>
          <w:rFonts w:ascii="Times New Roman" w:hAnsi="Times New Roman" w:cs="Times New Roman"/>
          <w:color w:val="000000" w:themeColor="text1"/>
          <w:sz w:val="24"/>
          <w:szCs w:val="24"/>
        </w:rPr>
        <w:t>6</w:t>
      </w:r>
      <w:r w:rsidR="00D06B27">
        <w:rPr>
          <w:rFonts w:ascii="Times New Roman" w:hAnsi="Times New Roman" w:cs="Times New Roman"/>
          <w:color w:val="000000" w:themeColor="text1"/>
          <w:sz w:val="24"/>
          <w:szCs w:val="24"/>
        </w:rPr>
        <w:t>. attēlu)</w:t>
      </w:r>
      <w:r w:rsidR="00644111" w:rsidRPr="00384026">
        <w:rPr>
          <w:rFonts w:ascii="Times New Roman" w:hAnsi="Times New Roman" w:cs="Times New Roman"/>
          <w:color w:val="000000" w:themeColor="text1"/>
          <w:sz w:val="24"/>
          <w:szCs w:val="24"/>
        </w:rPr>
        <w:t>, no kuriem kā nozīmīgāko būt</w:t>
      </w:r>
      <w:r w:rsidR="00EA5C36" w:rsidRPr="00384026">
        <w:rPr>
          <w:rFonts w:ascii="Times New Roman" w:hAnsi="Times New Roman" w:cs="Times New Roman"/>
          <w:color w:val="000000" w:themeColor="text1"/>
          <w:sz w:val="24"/>
          <w:szCs w:val="24"/>
        </w:rPr>
        <w:t>u jāatzīmē 26.</w:t>
      </w:r>
      <w:r w:rsidR="00CD6B08">
        <w:rPr>
          <w:rFonts w:ascii="Times New Roman" w:hAnsi="Times New Roman" w:cs="Times New Roman"/>
          <w:color w:val="000000" w:themeColor="text1"/>
          <w:sz w:val="24"/>
          <w:szCs w:val="24"/>
        </w:rPr>
        <w:t> </w:t>
      </w:r>
      <w:r w:rsidR="00EA5C36" w:rsidRPr="00384026">
        <w:rPr>
          <w:rFonts w:ascii="Times New Roman" w:hAnsi="Times New Roman" w:cs="Times New Roman"/>
          <w:color w:val="000000" w:themeColor="text1"/>
          <w:sz w:val="24"/>
          <w:szCs w:val="24"/>
        </w:rPr>
        <w:t>pasākumu</w:t>
      </w:r>
      <w:r w:rsidR="00644111" w:rsidRPr="00384026">
        <w:rPr>
          <w:rFonts w:ascii="Times New Roman" w:hAnsi="Times New Roman" w:cs="Times New Roman"/>
          <w:color w:val="000000" w:themeColor="text1"/>
          <w:sz w:val="24"/>
          <w:szCs w:val="24"/>
        </w:rPr>
        <w:t>,</w:t>
      </w:r>
      <w:r w:rsidR="00F5339C" w:rsidRPr="00384026">
        <w:rPr>
          <w:rFonts w:ascii="Times New Roman" w:hAnsi="Times New Roman" w:cs="Times New Roman"/>
          <w:color w:val="000000" w:themeColor="text1"/>
          <w:sz w:val="24"/>
          <w:szCs w:val="24"/>
        </w:rPr>
        <w:t xml:space="preserve"> kas paredz</w:t>
      </w:r>
      <w:r w:rsidR="00146509" w:rsidRPr="00384026">
        <w:rPr>
          <w:rFonts w:ascii="Times New Roman" w:hAnsi="Times New Roman" w:cs="Times New Roman"/>
          <w:color w:val="000000" w:themeColor="text1"/>
          <w:sz w:val="24"/>
          <w:szCs w:val="24"/>
        </w:rPr>
        <w:t xml:space="preserve"> v</w:t>
      </w:r>
      <w:r w:rsidR="00644111" w:rsidRPr="00384026">
        <w:rPr>
          <w:rFonts w:ascii="Times New Roman" w:hAnsi="Times New Roman" w:cs="Times New Roman"/>
          <w:color w:val="000000" w:themeColor="text1"/>
          <w:sz w:val="24"/>
          <w:szCs w:val="24"/>
        </w:rPr>
        <w:t xml:space="preserve">eikt grozījumus </w:t>
      </w:r>
      <w:r w:rsidR="00F5339C" w:rsidRPr="00384026">
        <w:rPr>
          <w:rFonts w:ascii="Times New Roman" w:hAnsi="Times New Roman" w:cs="Times New Roman"/>
          <w:color w:val="000000" w:themeColor="text1"/>
          <w:sz w:val="24"/>
          <w:szCs w:val="24"/>
        </w:rPr>
        <w:t>Narkotiku kontroles un narkomānijas ierobežošanas koordinācijas padomes nolikumā</w:t>
      </w:r>
      <w:r w:rsidR="00644111" w:rsidRPr="00384026">
        <w:rPr>
          <w:rFonts w:ascii="Times New Roman" w:hAnsi="Times New Roman" w:cs="Times New Roman"/>
          <w:color w:val="000000" w:themeColor="text1"/>
          <w:sz w:val="24"/>
          <w:szCs w:val="24"/>
        </w:rPr>
        <w:t>, nostiprinot Veselības ministriju kā atbildīgo</w:t>
      </w:r>
      <w:r w:rsidR="00F42DC4" w:rsidRPr="00384026">
        <w:rPr>
          <w:rFonts w:ascii="Times New Roman" w:hAnsi="Times New Roman" w:cs="Times New Roman"/>
          <w:color w:val="000000" w:themeColor="text1"/>
          <w:sz w:val="24"/>
          <w:szCs w:val="24"/>
        </w:rPr>
        <w:t xml:space="preserve"> institūciju</w:t>
      </w:r>
      <w:r w:rsidR="00644111" w:rsidRPr="00384026">
        <w:rPr>
          <w:rFonts w:ascii="Times New Roman" w:hAnsi="Times New Roman" w:cs="Times New Roman"/>
          <w:color w:val="000000" w:themeColor="text1"/>
          <w:sz w:val="24"/>
          <w:szCs w:val="24"/>
        </w:rPr>
        <w:t xml:space="preserve"> par narkotiku lietošanas un izplatības ierobežošanas pol</w:t>
      </w:r>
      <w:r w:rsidR="00F5339C" w:rsidRPr="00384026">
        <w:rPr>
          <w:rFonts w:ascii="Times New Roman" w:hAnsi="Times New Roman" w:cs="Times New Roman"/>
          <w:color w:val="000000" w:themeColor="text1"/>
          <w:sz w:val="24"/>
          <w:szCs w:val="24"/>
        </w:rPr>
        <w:t>itikas izstrādi un koordināciju.</w:t>
      </w:r>
    </w:p>
    <w:p w14:paraId="6708B688" w14:textId="77777777" w:rsidR="0091236C" w:rsidRPr="00384026" w:rsidRDefault="0091236C" w:rsidP="0091236C">
      <w:pPr>
        <w:spacing w:after="0"/>
        <w:ind w:firstLine="720"/>
        <w:jc w:val="both"/>
        <w:rPr>
          <w:rFonts w:ascii="Times New Roman" w:hAnsi="Times New Roman" w:cs="Times New Roman"/>
          <w:color w:val="000000" w:themeColor="text1"/>
          <w:sz w:val="24"/>
          <w:szCs w:val="24"/>
        </w:rPr>
      </w:pPr>
      <w:r w:rsidRPr="00384026">
        <w:rPr>
          <w:rFonts w:ascii="Times New Roman" w:hAnsi="Times New Roman" w:cs="Times New Roman"/>
          <w:color w:val="000000" w:themeColor="text1"/>
          <w:sz w:val="24"/>
          <w:szCs w:val="24"/>
        </w:rPr>
        <w:t>Šāda pieeja kopumā atspoguļo narkotiku politikas paradigmas maiņu no represīvas uz atbalstošu. Cilvēku sodīšana par smagiem vielu lietošanas traucējumiem lielākoties sakņojas pieņēmumā, ka narkotiku lietošana ir morāls pagrimums,</w:t>
      </w:r>
      <w:r w:rsidRPr="00384026">
        <w:rPr>
          <w:rStyle w:val="FootnoteReference"/>
          <w:rFonts w:ascii="Times New Roman" w:hAnsi="Times New Roman" w:cs="Times New Roman"/>
          <w:color w:val="000000" w:themeColor="text1"/>
          <w:sz w:val="24"/>
          <w:szCs w:val="24"/>
        </w:rPr>
        <w:footnoteReference w:id="8"/>
      </w:r>
      <w:r w:rsidRPr="00384026">
        <w:rPr>
          <w:rFonts w:ascii="Times New Roman" w:hAnsi="Times New Roman" w:cs="Times New Roman"/>
          <w:color w:val="000000" w:themeColor="text1"/>
          <w:sz w:val="24"/>
          <w:szCs w:val="24"/>
        </w:rPr>
        <w:t xml:space="preserve"> neņemot vērā, ka smagi lietošanas </w:t>
      </w:r>
      <w:r w:rsidRPr="00384026">
        <w:rPr>
          <w:rFonts w:ascii="Times New Roman" w:hAnsi="Times New Roman" w:cs="Times New Roman"/>
          <w:color w:val="000000" w:themeColor="text1"/>
          <w:sz w:val="24"/>
          <w:szCs w:val="24"/>
        </w:rPr>
        <w:lastRenderedPageBreak/>
        <w:t xml:space="preserve">traucējumi rodas saistībā </w:t>
      </w:r>
      <w:r>
        <w:rPr>
          <w:rFonts w:ascii="Times New Roman" w:hAnsi="Times New Roman" w:cs="Times New Roman"/>
          <w:color w:val="000000" w:themeColor="text1"/>
          <w:sz w:val="24"/>
          <w:szCs w:val="24"/>
        </w:rPr>
        <w:t xml:space="preserve">ar </w:t>
      </w:r>
      <w:r w:rsidRPr="00384026">
        <w:rPr>
          <w:rFonts w:ascii="Times New Roman" w:hAnsi="Times New Roman" w:cs="Times New Roman"/>
          <w:color w:val="000000" w:themeColor="text1"/>
          <w:sz w:val="24"/>
          <w:szCs w:val="24"/>
        </w:rPr>
        <w:t>bioloģiskiem, psiholoģiskiem un sociāliem procesiem. Pieņemot, ka vielu lietošanas traucējumi ir biopsihosociāla slimība, ir iespēja veidot daudz piemērotākus un iedarbīgākus atbalsta pasākumus.</w:t>
      </w:r>
    </w:p>
    <w:p w14:paraId="336193F8" w14:textId="18251040" w:rsidR="0091236C" w:rsidRPr="0091236C" w:rsidRDefault="0091236C" w:rsidP="0091236C">
      <w:pPr>
        <w:spacing w:after="0"/>
        <w:rPr>
          <w:rFonts w:ascii="Times New Roman" w:hAnsi="Times New Roman" w:cs="Times New Roman"/>
          <w:b/>
          <w:bCs/>
          <w:color w:val="000000" w:themeColor="text1"/>
          <w:sz w:val="24"/>
          <w:szCs w:val="24"/>
        </w:rPr>
      </w:pPr>
    </w:p>
    <w:p w14:paraId="6482580D" w14:textId="6D3207C9" w:rsidR="00A15E6F" w:rsidRPr="00384026" w:rsidRDefault="00C427EC" w:rsidP="00A15E6F">
      <w:pPr>
        <w:pStyle w:val="ListParagraph"/>
        <w:spacing w:after="0"/>
        <w:ind w:left="1022"/>
        <w:jc w:val="righ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6</w:t>
      </w:r>
      <w:r w:rsidR="00A15E6F" w:rsidRPr="00384026">
        <w:rPr>
          <w:rFonts w:ascii="Times New Roman" w:hAnsi="Times New Roman" w:cs="Times New Roman"/>
          <w:b/>
          <w:bCs/>
          <w:color w:val="000000" w:themeColor="text1"/>
          <w:sz w:val="24"/>
          <w:szCs w:val="24"/>
        </w:rPr>
        <w:t xml:space="preserve">. attēls. 2. rīcības virzienā iekļauto pasākumu izpildes statuss </w:t>
      </w:r>
    </w:p>
    <w:p w14:paraId="7778C742" w14:textId="77777777" w:rsidR="00A15E6F" w:rsidRPr="00384026" w:rsidRDefault="00A15E6F" w:rsidP="00A15E6F">
      <w:pPr>
        <w:spacing w:after="0"/>
        <w:jc w:val="right"/>
        <w:rPr>
          <w:rFonts w:ascii="Times New Roman" w:hAnsi="Times New Roman" w:cs="Times New Roman"/>
          <w:color w:val="000000" w:themeColor="text1"/>
          <w:sz w:val="24"/>
          <w:szCs w:val="24"/>
        </w:rPr>
      </w:pPr>
      <w:r w:rsidRPr="00384026">
        <w:rPr>
          <w:rFonts w:ascii="Times New Roman" w:hAnsi="Times New Roman" w:cs="Times New Roman"/>
          <w:color w:val="000000" w:themeColor="text1"/>
          <w:sz w:val="24"/>
          <w:szCs w:val="24"/>
        </w:rPr>
        <w:t>(sarkans – neizpildīts; dzeltens – daļēji izpildīts/procesā; zaļš – izpildīts)</w:t>
      </w:r>
    </w:p>
    <w:p w14:paraId="6F811553" w14:textId="77777777" w:rsidR="00387313" w:rsidRPr="00384026" w:rsidRDefault="00A15E6F" w:rsidP="007A2A7A">
      <w:pPr>
        <w:jc w:val="center"/>
        <w:rPr>
          <w:rFonts w:ascii="Times New Roman" w:hAnsi="Times New Roman" w:cs="Times New Roman"/>
          <w:color w:val="000000" w:themeColor="text1"/>
          <w:sz w:val="24"/>
          <w:szCs w:val="24"/>
        </w:rPr>
      </w:pPr>
      <w:r w:rsidRPr="00384026">
        <w:rPr>
          <w:rFonts w:ascii="Times New Roman" w:hAnsi="Times New Roman" w:cs="Times New Roman"/>
          <w:noProof/>
          <w:sz w:val="24"/>
          <w:szCs w:val="24"/>
          <w:lang w:eastAsia="lv-LV"/>
        </w:rPr>
        <w:drawing>
          <wp:inline distT="0" distB="0" distL="0" distR="0" wp14:anchorId="0B98E1E2" wp14:editId="39087D9D">
            <wp:extent cx="6190029" cy="2532184"/>
            <wp:effectExtent l="0" t="0" r="127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26228" t="47244" r="27091" b="18806"/>
                    <a:stretch/>
                  </pic:blipFill>
                  <pic:spPr bwMode="auto">
                    <a:xfrm>
                      <a:off x="0" y="0"/>
                      <a:ext cx="6240716" cy="2552919"/>
                    </a:xfrm>
                    <a:prstGeom prst="rect">
                      <a:avLst/>
                    </a:prstGeom>
                    <a:ln>
                      <a:noFill/>
                    </a:ln>
                    <a:extLst>
                      <a:ext uri="{53640926-AAD7-44D8-BBD7-CCE9431645EC}">
                        <a14:shadowObscured xmlns:a14="http://schemas.microsoft.com/office/drawing/2010/main"/>
                      </a:ext>
                    </a:extLst>
                  </pic:spPr>
                </pic:pic>
              </a:graphicData>
            </a:graphic>
          </wp:inline>
        </w:drawing>
      </w:r>
    </w:p>
    <w:p w14:paraId="3E8A9987" w14:textId="77777777" w:rsidR="00F11235" w:rsidRPr="00384026" w:rsidRDefault="00F11235" w:rsidP="009101FC">
      <w:pPr>
        <w:spacing w:after="0"/>
        <w:ind w:firstLine="720"/>
        <w:jc w:val="both"/>
        <w:rPr>
          <w:rFonts w:ascii="Times New Roman" w:hAnsi="Times New Roman" w:cs="Times New Roman"/>
          <w:color w:val="000000" w:themeColor="text1"/>
          <w:sz w:val="24"/>
          <w:szCs w:val="24"/>
        </w:rPr>
      </w:pPr>
      <w:r w:rsidRPr="00384026">
        <w:rPr>
          <w:rFonts w:ascii="Times New Roman" w:hAnsi="Times New Roman" w:cs="Times New Roman"/>
          <w:color w:val="000000" w:themeColor="text1"/>
          <w:sz w:val="24"/>
          <w:szCs w:val="24"/>
        </w:rPr>
        <w:t xml:space="preserve">Pārskata periodā veiksmīgi nodrošināta arī </w:t>
      </w:r>
      <w:r w:rsidRPr="00384026">
        <w:rPr>
          <w:rFonts w:ascii="Times New Roman" w:hAnsi="Times New Roman" w:cs="Times New Roman"/>
          <w:i/>
          <w:color w:val="000000" w:themeColor="text1"/>
          <w:sz w:val="24"/>
          <w:szCs w:val="24"/>
        </w:rPr>
        <w:t>Reitox</w:t>
      </w:r>
      <w:r w:rsidRPr="00384026">
        <w:rPr>
          <w:rFonts w:ascii="Times New Roman" w:hAnsi="Times New Roman" w:cs="Times New Roman"/>
          <w:color w:val="000000" w:themeColor="text1"/>
          <w:sz w:val="24"/>
          <w:szCs w:val="24"/>
        </w:rPr>
        <w:t xml:space="preserve"> Nacionālā fokālā punkta darbība. Šāda references centra esamība Latvijā nodrošina regulāru datu ievākšanu, tādējādi</w:t>
      </w:r>
      <w:r w:rsidR="00F42DC4" w:rsidRPr="00384026">
        <w:rPr>
          <w:rFonts w:ascii="Times New Roman" w:hAnsi="Times New Roman" w:cs="Times New Roman"/>
          <w:color w:val="000000" w:themeColor="text1"/>
          <w:sz w:val="24"/>
          <w:szCs w:val="24"/>
        </w:rPr>
        <w:t xml:space="preserve"> sniedzot laicīgu informāciju par situāciju un tendencēm</w:t>
      </w:r>
      <w:r w:rsidR="009E32E8" w:rsidRPr="00384026">
        <w:rPr>
          <w:rFonts w:ascii="Times New Roman" w:hAnsi="Times New Roman" w:cs="Times New Roman"/>
          <w:color w:val="000000" w:themeColor="text1"/>
          <w:sz w:val="24"/>
          <w:szCs w:val="24"/>
        </w:rPr>
        <w:t xml:space="preserve">. Salīdzinājumam var </w:t>
      </w:r>
      <w:r w:rsidR="00F42DC4" w:rsidRPr="00384026">
        <w:rPr>
          <w:rFonts w:ascii="Times New Roman" w:hAnsi="Times New Roman" w:cs="Times New Roman"/>
          <w:color w:val="000000" w:themeColor="text1"/>
          <w:sz w:val="24"/>
          <w:szCs w:val="24"/>
        </w:rPr>
        <w:t>minēt</w:t>
      </w:r>
      <w:r w:rsidR="009E32E8" w:rsidRPr="00384026">
        <w:rPr>
          <w:rFonts w:ascii="Times New Roman" w:hAnsi="Times New Roman" w:cs="Times New Roman"/>
          <w:color w:val="000000" w:themeColor="text1"/>
          <w:sz w:val="24"/>
          <w:szCs w:val="24"/>
        </w:rPr>
        <w:t xml:space="preserve">, ka par citu vielu lietošanas vai </w:t>
      </w:r>
      <w:r w:rsidR="00124C7A" w:rsidRPr="00384026">
        <w:rPr>
          <w:rFonts w:ascii="Times New Roman" w:hAnsi="Times New Roman" w:cs="Times New Roman"/>
          <w:color w:val="000000" w:themeColor="text1"/>
          <w:sz w:val="24"/>
          <w:szCs w:val="24"/>
        </w:rPr>
        <w:t xml:space="preserve">procesu </w:t>
      </w:r>
      <w:r w:rsidR="009E32E8" w:rsidRPr="00384026">
        <w:rPr>
          <w:rFonts w:ascii="Times New Roman" w:hAnsi="Times New Roman" w:cs="Times New Roman"/>
          <w:color w:val="000000" w:themeColor="text1"/>
          <w:sz w:val="24"/>
          <w:szCs w:val="24"/>
        </w:rPr>
        <w:t>trau</w:t>
      </w:r>
      <w:r w:rsidR="001513AF" w:rsidRPr="00384026">
        <w:rPr>
          <w:rFonts w:ascii="Times New Roman" w:hAnsi="Times New Roman" w:cs="Times New Roman"/>
          <w:color w:val="000000" w:themeColor="text1"/>
          <w:sz w:val="24"/>
          <w:szCs w:val="24"/>
        </w:rPr>
        <w:t>cējumiem, šādi references centri Latvijā</w:t>
      </w:r>
      <w:r w:rsidR="009E32E8" w:rsidRPr="00384026">
        <w:rPr>
          <w:rFonts w:ascii="Times New Roman" w:hAnsi="Times New Roman" w:cs="Times New Roman"/>
          <w:color w:val="000000" w:themeColor="text1"/>
          <w:sz w:val="24"/>
          <w:szCs w:val="24"/>
        </w:rPr>
        <w:t xml:space="preserve"> nav, līdz ar to arī dati</w:t>
      </w:r>
      <w:r w:rsidR="00124C7A" w:rsidRPr="00384026">
        <w:rPr>
          <w:rFonts w:ascii="Times New Roman" w:hAnsi="Times New Roman" w:cs="Times New Roman"/>
          <w:color w:val="000000" w:themeColor="text1"/>
          <w:sz w:val="24"/>
          <w:szCs w:val="24"/>
        </w:rPr>
        <w:t xml:space="preserve"> politikas plānošanai un lēmumu pieņemšanai ir krietni mazāk.</w:t>
      </w:r>
      <w:r w:rsidR="009E32E8" w:rsidRPr="00384026">
        <w:rPr>
          <w:rFonts w:ascii="Times New Roman" w:hAnsi="Times New Roman" w:cs="Times New Roman"/>
          <w:color w:val="000000" w:themeColor="text1"/>
          <w:sz w:val="24"/>
          <w:szCs w:val="24"/>
        </w:rPr>
        <w:t xml:space="preserve"> </w:t>
      </w:r>
    </w:p>
    <w:p w14:paraId="6630B532" w14:textId="07D1CCEF" w:rsidR="00A01C0C" w:rsidRPr="00384026" w:rsidRDefault="00A01C0C" w:rsidP="0013657B">
      <w:pPr>
        <w:spacing w:after="0"/>
        <w:ind w:firstLine="720"/>
        <w:jc w:val="both"/>
        <w:rPr>
          <w:rFonts w:ascii="Times New Roman" w:hAnsi="Times New Roman" w:cs="Times New Roman"/>
          <w:color w:val="000000" w:themeColor="text1"/>
          <w:sz w:val="24"/>
          <w:szCs w:val="24"/>
        </w:rPr>
      </w:pPr>
      <w:r w:rsidRPr="00384026">
        <w:rPr>
          <w:rFonts w:ascii="Times New Roman" w:hAnsi="Times New Roman" w:cs="Times New Roman"/>
          <w:color w:val="000000" w:themeColor="text1"/>
          <w:sz w:val="24"/>
          <w:szCs w:val="24"/>
        </w:rPr>
        <w:t xml:space="preserve">Kā neizpildīti novērtēti </w:t>
      </w:r>
      <w:r w:rsidR="00653502">
        <w:rPr>
          <w:rFonts w:ascii="Times New Roman" w:hAnsi="Times New Roman" w:cs="Times New Roman"/>
          <w:color w:val="000000" w:themeColor="text1"/>
          <w:sz w:val="24"/>
          <w:szCs w:val="24"/>
        </w:rPr>
        <w:t>pieci</w:t>
      </w:r>
      <w:r w:rsidRPr="00384026">
        <w:rPr>
          <w:rFonts w:ascii="Times New Roman" w:hAnsi="Times New Roman" w:cs="Times New Roman"/>
          <w:color w:val="000000" w:themeColor="text1"/>
          <w:sz w:val="24"/>
          <w:szCs w:val="24"/>
        </w:rPr>
        <w:t xml:space="preserve"> pasākumi, no tiem divu pasākumu izpilde – Plāna uzraudzības sanāksmes un sanāksmes ar nevalstiskajām organizācijām – nav bijusi sekmīga saistībā ar atbildīg</w:t>
      </w:r>
      <w:r w:rsidR="00124C7A" w:rsidRPr="00384026">
        <w:rPr>
          <w:rFonts w:ascii="Times New Roman" w:hAnsi="Times New Roman" w:cs="Times New Roman"/>
          <w:color w:val="000000" w:themeColor="text1"/>
          <w:sz w:val="24"/>
          <w:szCs w:val="24"/>
        </w:rPr>
        <w:t xml:space="preserve">ā darbinieka </w:t>
      </w:r>
      <w:r w:rsidRPr="00384026">
        <w:rPr>
          <w:rFonts w:ascii="Times New Roman" w:hAnsi="Times New Roman" w:cs="Times New Roman"/>
          <w:color w:val="000000" w:themeColor="text1"/>
          <w:sz w:val="24"/>
          <w:szCs w:val="24"/>
        </w:rPr>
        <w:t xml:space="preserve">ilgstošu prombūtni. Savukārt vēl </w:t>
      </w:r>
      <w:r w:rsidR="00653502">
        <w:rPr>
          <w:rFonts w:ascii="Times New Roman" w:hAnsi="Times New Roman" w:cs="Times New Roman"/>
          <w:color w:val="000000" w:themeColor="text1"/>
          <w:sz w:val="24"/>
          <w:szCs w:val="24"/>
        </w:rPr>
        <w:t>trīs</w:t>
      </w:r>
      <w:r w:rsidRPr="00384026">
        <w:rPr>
          <w:rFonts w:ascii="Times New Roman" w:hAnsi="Times New Roman" w:cs="Times New Roman"/>
          <w:color w:val="000000" w:themeColor="text1"/>
          <w:sz w:val="24"/>
          <w:szCs w:val="24"/>
        </w:rPr>
        <w:t xml:space="preserve"> pasākum</w:t>
      </w:r>
      <w:r w:rsidR="00124C7A" w:rsidRPr="00384026">
        <w:rPr>
          <w:rFonts w:ascii="Times New Roman" w:hAnsi="Times New Roman" w:cs="Times New Roman"/>
          <w:color w:val="000000" w:themeColor="text1"/>
          <w:sz w:val="24"/>
          <w:szCs w:val="24"/>
        </w:rPr>
        <w:t xml:space="preserve">u īstenošana nebija iespējama, jo netika piešķirti līdzekļi </w:t>
      </w:r>
      <w:r w:rsidR="009101FC" w:rsidRPr="00384026">
        <w:rPr>
          <w:rFonts w:ascii="Times New Roman" w:hAnsi="Times New Roman" w:cs="Times New Roman"/>
          <w:color w:val="000000" w:themeColor="text1"/>
          <w:sz w:val="24"/>
          <w:szCs w:val="24"/>
        </w:rPr>
        <w:t>VSIA “Rīgas Psih</w:t>
      </w:r>
      <w:r w:rsidR="0091236C">
        <w:rPr>
          <w:rFonts w:ascii="Times New Roman" w:hAnsi="Times New Roman" w:cs="Times New Roman"/>
          <w:color w:val="000000" w:themeColor="text1"/>
          <w:sz w:val="24"/>
          <w:szCs w:val="24"/>
        </w:rPr>
        <w:t>iatrijas un narkoloģijas centra</w:t>
      </w:r>
      <w:r w:rsidR="00EE3A8B">
        <w:rPr>
          <w:rFonts w:ascii="Times New Roman" w:hAnsi="Times New Roman" w:cs="Times New Roman"/>
          <w:color w:val="000000" w:themeColor="text1"/>
          <w:sz w:val="24"/>
          <w:szCs w:val="24"/>
        </w:rPr>
        <w:t>”</w:t>
      </w:r>
      <w:r w:rsidRPr="00384026">
        <w:rPr>
          <w:rFonts w:ascii="Times New Roman" w:hAnsi="Times New Roman" w:cs="Times New Roman"/>
          <w:color w:val="000000" w:themeColor="text1"/>
          <w:sz w:val="24"/>
          <w:szCs w:val="24"/>
        </w:rPr>
        <w:t xml:space="preserve"> un </w:t>
      </w:r>
      <w:r w:rsidR="009101FC" w:rsidRPr="00384026">
        <w:rPr>
          <w:rFonts w:ascii="Times New Roman" w:hAnsi="Times New Roman" w:cs="Times New Roman"/>
          <w:color w:val="000000" w:themeColor="text1"/>
          <w:sz w:val="24"/>
          <w:szCs w:val="24"/>
        </w:rPr>
        <w:t>Val</w:t>
      </w:r>
      <w:r w:rsidR="0091236C">
        <w:rPr>
          <w:rFonts w:ascii="Times New Roman" w:hAnsi="Times New Roman" w:cs="Times New Roman"/>
          <w:color w:val="000000" w:themeColor="text1"/>
          <w:sz w:val="24"/>
          <w:szCs w:val="24"/>
        </w:rPr>
        <w:t>s</w:t>
      </w:r>
      <w:r w:rsidR="009101FC" w:rsidRPr="00384026">
        <w:rPr>
          <w:rFonts w:ascii="Times New Roman" w:hAnsi="Times New Roman" w:cs="Times New Roman"/>
          <w:color w:val="000000" w:themeColor="text1"/>
          <w:sz w:val="24"/>
          <w:szCs w:val="24"/>
        </w:rPr>
        <w:t>ts ti</w:t>
      </w:r>
      <w:r w:rsidR="0091236C">
        <w:rPr>
          <w:rFonts w:ascii="Times New Roman" w:hAnsi="Times New Roman" w:cs="Times New Roman"/>
          <w:color w:val="000000" w:themeColor="text1"/>
          <w:sz w:val="24"/>
          <w:szCs w:val="24"/>
        </w:rPr>
        <w:t>esu medicīnas ekspertīžu centra</w:t>
      </w:r>
      <w:r w:rsidR="009101FC" w:rsidRPr="00384026">
        <w:rPr>
          <w:rFonts w:ascii="Times New Roman" w:hAnsi="Times New Roman" w:cs="Times New Roman"/>
          <w:color w:val="000000" w:themeColor="text1"/>
          <w:sz w:val="24"/>
          <w:szCs w:val="24"/>
        </w:rPr>
        <w:t xml:space="preserve"> </w:t>
      </w:r>
      <w:r w:rsidRPr="00384026">
        <w:rPr>
          <w:rFonts w:ascii="Times New Roman" w:hAnsi="Times New Roman" w:cs="Times New Roman"/>
          <w:color w:val="000000" w:themeColor="text1"/>
          <w:sz w:val="24"/>
          <w:szCs w:val="24"/>
        </w:rPr>
        <w:t>laboratorij</w:t>
      </w:r>
      <w:r w:rsidR="00124C7A" w:rsidRPr="00384026">
        <w:rPr>
          <w:rFonts w:ascii="Times New Roman" w:hAnsi="Times New Roman" w:cs="Times New Roman"/>
          <w:color w:val="000000" w:themeColor="text1"/>
          <w:sz w:val="24"/>
          <w:szCs w:val="24"/>
        </w:rPr>
        <w:t>u aprīkojuma uzlabošanai</w:t>
      </w:r>
      <w:r w:rsidRPr="00384026">
        <w:rPr>
          <w:rFonts w:ascii="Times New Roman" w:hAnsi="Times New Roman" w:cs="Times New Roman"/>
          <w:color w:val="000000" w:themeColor="text1"/>
          <w:sz w:val="24"/>
          <w:szCs w:val="24"/>
        </w:rPr>
        <w:t xml:space="preserve">. </w:t>
      </w:r>
    </w:p>
    <w:p w14:paraId="75A4213E" w14:textId="0AF4FADD" w:rsidR="00A01C0C" w:rsidRPr="00384026" w:rsidRDefault="00A47E92" w:rsidP="0013657B">
      <w:pPr>
        <w:spacing w:after="0"/>
        <w:ind w:firstLine="720"/>
        <w:jc w:val="both"/>
        <w:rPr>
          <w:rFonts w:ascii="Times New Roman" w:hAnsi="Times New Roman" w:cs="Times New Roman"/>
          <w:color w:val="000000" w:themeColor="text1"/>
          <w:sz w:val="24"/>
          <w:szCs w:val="24"/>
        </w:rPr>
      </w:pPr>
      <w:r w:rsidRPr="00384026">
        <w:rPr>
          <w:rFonts w:ascii="Times New Roman" w:hAnsi="Times New Roman" w:cs="Times New Roman"/>
          <w:color w:val="000000" w:themeColor="text1"/>
          <w:sz w:val="24"/>
          <w:szCs w:val="24"/>
        </w:rPr>
        <w:t>Vērtējot šī rīcības virziena īstenošanu, līdzīgi kā citos rīcības virzienos, nozīmīgākais ve</w:t>
      </w:r>
      <w:r w:rsidR="00EE3A8B">
        <w:rPr>
          <w:rFonts w:ascii="Times New Roman" w:hAnsi="Times New Roman" w:cs="Times New Roman"/>
          <w:color w:val="000000" w:themeColor="text1"/>
          <w:sz w:val="24"/>
          <w:szCs w:val="24"/>
        </w:rPr>
        <w:t>i</w:t>
      </w:r>
      <w:r w:rsidRPr="00384026">
        <w:rPr>
          <w:rFonts w:ascii="Times New Roman" w:hAnsi="Times New Roman" w:cs="Times New Roman"/>
          <w:color w:val="000000" w:themeColor="text1"/>
          <w:sz w:val="24"/>
          <w:szCs w:val="24"/>
        </w:rPr>
        <w:t>cinošais apstāklis ir finansējuma pieejamība. Tāpat pas</w:t>
      </w:r>
      <w:r w:rsidR="005A02C2" w:rsidRPr="00384026">
        <w:rPr>
          <w:rFonts w:ascii="Times New Roman" w:hAnsi="Times New Roman" w:cs="Times New Roman"/>
          <w:color w:val="000000" w:themeColor="text1"/>
          <w:sz w:val="24"/>
          <w:szCs w:val="24"/>
        </w:rPr>
        <w:t>ā</w:t>
      </w:r>
      <w:r w:rsidRPr="00384026">
        <w:rPr>
          <w:rFonts w:ascii="Times New Roman" w:hAnsi="Times New Roman" w:cs="Times New Roman"/>
          <w:color w:val="000000" w:themeColor="text1"/>
          <w:sz w:val="24"/>
          <w:szCs w:val="24"/>
        </w:rPr>
        <w:t>kuma īstenošanā nozīme ir cilvēk</w:t>
      </w:r>
      <w:r w:rsidR="009101FC" w:rsidRPr="00384026">
        <w:rPr>
          <w:rFonts w:ascii="Times New Roman" w:hAnsi="Times New Roman" w:cs="Times New Roman"/>
          <w:color w:val="000000" w:themeColor="text1"/>
          <w:sz w:val="24"/>
          <w:szCs w:val="24"/>
        </w:rPr>
        <w:t>u</w:t>
      </w:r>
      <w:r w:rsidRPr="00384026">
        <w:rPr>
          <w:rFonts w:ascii="Times New Roman" w:hAnsi="Times New Roman" w:cs="Times New Roman"/>
          <w:color w:val="000000" w:themeColor="text1"/>
          <w:sz w:val="24"/>
          <w:szCs w:val="24"/>
        </w:rPr>
        <w:t xml:space="preserve"> resursam</w:t>
      </w:r>
      <w:r w:rsidR="009101FC" w:rsidRPr="00384026">
        <w:rPr>
          <w:rFonts w:ascii="Times New Roman" w:hAnsi="Times New Roman" w:cs="Times New Roman"/>
          <w:color w:val="000000" w:themeColor="text1"/>
          <w:sz w:val="24"/>
          <w:szCs w:val="24"/>
        </w:rPr>
        <w:t>.</w:t>
      </w:r>
    </w:p>
    <w:p w14:paraId="349C3ECF" w14:textId="77777777" w:rsidR="003E77A0" w:rsidRPr="00384026" w:rsidRDefault="003E77A0" w:rsidP="0013657B">
      <w:pPr>
        <w:spacing w:after="0"/>
        <w:ind w:firstLine="720"/>
        <w:jc w:val="both"/>
        <w:rPr>
          <w:rFonts w:ascii="Times New Roman" w:hAnsi="Times New Roman" w:cs="Times New Roman"/>
          <w:color w:val="000000" w:themeColor="text1"/>
          <w:sz w:val="24"/>
          <w:szCs w:val="24"/>
        </w:rPr>
        <w:sectPr w:rsidR="003E77A0" w:rsidRPr="00384026" w:rsidSect="00F5339C">
          <w:pgSz w:w="11906" w:h="16838"/>
          <w:pgMar w:top="1021" w:right="1134" w:bottom="1021" w:left="1701" w:header="709" w:footer="709" w:gutter="0"/>
          <w:cols w:space="708"/>
          <w:docGrid w:linePitch="360"/>
        </w:sectPr>
      </w:pPr>
    </w:p>
    <w:p w14:paraId="69226BA1" w14:textId="77777777" w:rsidR="003E77A0" w:rsidRPr="00384026" w:rsidRDefault="003E77A0" w:rsidP="0013657B">
      <w:pPr>
        <w:spacing w:after="0"/>
        <w:ind w:firstLine="720"/>
        <w:jc w:val="both"/>
        <w:rPr>
          <w:rFonts w:ascii="Times New Roman" w:hAnsi="Times New Roman" w:cs="Times New Roman"/>
          <w:color w:val="000000" w:themeColor="text1"/>
          <w:sz w:val="24"/>
          <w:szCs w:val="24"/>
        </w:rPr>
      </w:pPr>
    </w:p>
    <w:p w14:paraId="6887F6EC" w14:textId="77777777" w:rsidR="004948A0" w:rsidRPr="00384026" w:rsidRDefault="00A47E92" w:rsidP="004948A0">
      <w:pPr>
        <w:pStyle w:val="Heading2"/>
        <w:numPr>
          <w:ilvl w:val="0"/>
          <w:numId w:val="6"/>
        </w:numPr>
        <w:rPr>
          <w:rFonts w:ascii="Times New Roman" w:hAnsi="Times New Roman" w:cs="Times New Roman"/>
          <w:b/>
          <w:color w:val="000000" w:themeColor="text1"/>
          <w:sz w:val="28"/>
          <w:szCs w:val="28"/>
        </w:rPr>
      </w:pPr>
      <w:bookmarkStart w:id="8" w:name="_Toc78372611"/>
      <w:r w:rsidRPr="00384026">
        <w:rPr>
          <w:rFonts w:ascii="Times New Roman" w:hAnsi="Times New Roman" w:cs="Times New Roman"/>
          <w:b/>
          <w:color w:val="000000" w:themeColor="text1"/>
          <w:sz w:val="28"/>
          <w:szCs w:val="28"/>
        </w:rPr>
        <w:t>Plāna izpildei piesaistītais finansējums</w:t>
      </w:r>
      <w:bookmarkEnd w:id="8"/>
    </w:p>
    <w:p w14:paraId="4318AA1B" w14:textId="77777777" w:rsidR="003E77A0" w:rsidRPr="00384026" w:rsidRDefault="003E77A0" w:rsidP="0013657B">
      <w:pPr>
        <w:ind w:firstLine="720"/>
        <w:jc w:val="both"/>
        <w:rPr>
          <w:rFonts w:ascii="Times New Roman" w:hAnsi="Times New Roman" w:cs="Times New Roman"/>
          <w:color w:val="000000" w:themeColor="text1"/>
          <w:sz w:val="24"/>
          <w:szCs w:val="24"/>
        </w:rPr>
      </w:pPr>
    </w:p>
    <w:p w14:paraId="244296A4" w14:textId="4823E12E" w:rsidR="00DD41EF" w:rsidRPr="00384026" w:rsidRDefault="00F42DC4" w:rsidP="003E77A0">
      <w:pPr>
        <w:spacing w:line="276" w:lineRule="auto"/>
        <w:ind w:firstLine="720"/>
        <w:jc w:val="both"/>
        <w:rPr>
          <w:rFonts w:ascii="Times New Roman" w:hAnsi="Times New Roman" w:cs="Times New Roman"/>
          <w:color w:val="000000" w:themeColor="text1"/>
          <w:sz w:val="24"/>
          <w:szCs w:val="24"/>
        </w:rPr>
      </w:pPr>
      <w:r w:rsidRPr="00384026">
        <w:rPr>
          <w:rFonts w:ascii="Times New Roman" w:hAnsi="Times New Roman" w:cs="Times New Roman"/>
          <w:color w:val="000000" w:themeColor="text1"/>
          <w:sz w:val="24"/>
          <w:szCs w:val="24"/>
        </w:rPr>
        <w:t>Kopā 9</w:t>
      </w:r>
      <w:r w:rsidR="00DD41EF" w:rsidRPr="00384026">
        <w:rPr>
          <w:rFonts w:ascii="Times New Roman" w:hAnsi="Times New Roman" w:cs="Times New Roman"/>
          <w:color w:val="000000" w:themeColor="text1"/>
          <w:sz w:val="24"/>
          <w:szCs w:val="24"/>
        </w:rPr>
        <w:t xml:space="preserve"> plānoto pasākumu izpildei tika </w:t>
      </w:r>
      <w:r w:rsidR="005A02C2" w:rsidRPr="00384026">
        <w:rPr>
          <w:rFonts w:ascii="Times New Roman" w:hAnsi="Times New Roman" w:cs="Times New Roman"/>
          <w:color w:val="000000" w:themeColor="text1"/>
          <w:sz w:val="24"/>
          <w:szCs w:val="24"/>
        </w:rPr>
        <w:t>aprēķināts nepieciešamais</w:t>
      </w:r>
      <w:r w:rsidR="00DD41EF" w:rsidRPr="00384026">
        <w:rPr>
          <w:rFonts w:ascii="Times New Roman" w:hAnsi="Times New Roman" w:cs="Times New Roman"/>
          <w:color w:val="000000" w:themeColor="text1"/>
          <w:sz w:val="24"/>
          <w:szCs w:val="24"/>
        </w:rPr>
        <w:t xml:space="preserve"> </w:t>
      </w:r>
      <w:r w:rsidR="004948A0" w:rsidRPr="00384026">
        <w:rPr>
          <w:rFonts w:ascii="Times New Roman" w:hAnsi="Times New Roman" w:cs="Times New Roman"/>
          <w:color w:val="000000" w:themeColor="text1"/>
          <w:sz w:val="24"/>
          <w:szCs w:val="24"/>
        </w:rPr>
        <w:t xml:space="preserve">papildu </w:t>
      </w:r>
      <w:r w:rsidR="00DD41EF" w:rsidRPr="00384026">
        <w:rPr>
          <w:rFonts w:ascii="Times New Roman" w:hAnsi="Times New Roman" w:cs="Times New Roman"/>
          <w:color w:val="000000" w:themeColor="text1"/>
          <w:sz w:val="24"/>
          <w:szCs w:val="24"/>
        </w:rPr>
        <w:t>finansējum</w:t>
      </w:r>
      <w:r w:rsidR="00DC0B6E">
        <w:rPr>
          <w:rFonts w:ascii="Times New Roman" w:hAnsi="Times New Roman" w:cs="Times New Roman"/>
          <w:color w:val="000000" w:themeColor="text1"/>
          <w:sz w:val="24"/>
          <w:szCs w:val="24"/>
        </w:rPr>
        <w:t>s</w:t>
      </w:r>
      <w:r w:rsidR="004948A0" w:rsidRPr="00384026">
        <w:rPr>
          <w:rFonts w:ascii="Times New Roman" w:hAnsi="Times New Roman" w:cs="Times New Roman"/>
          <w:color w:val="000000" w:themeColor="text1"/>
          <w:sz w:val="24"/>
          <w:szCs w:val="24"/>
        </w:rPr>
        <w:t xml:space="preserve"> no valsts budžeta līdzekļiem</w:t>
      </w:r>
      <w:r w:rsidR="0013657B" w:rsidRPr="00384026">
        <w:rPr>
          <w:rFonts w:ascii="Times New Roman" w:hAnsi="Times New Roman" w:cs="Times New Roman"/>
          <w:color w:val="000000" w:themeColor="text1"/>
          <w:sz w:val="24"/>
          <w:szCs w:val="24"/>
        </w:rPr>
        <w:t xml:space="preserve"> </w:t>
      </w:r>
      <w:r w:rsidR="00DD41EF" w:rsidRPr="00384026">
        <w:rPr>
          <w:rFonts w:ascii="Times New Roman" w:hAnsi="Times New Roman" w:cs="Times New Roman"/>
          <w:b/>
          <w:bCs/>
          <w:color w:val="000000" w:themeColor="text1"/>
          <w:sz w:val="24"/>
          <w:szCs w:val="24"/>
        </w:rPr>
        <w:t>1 639 237</w:t>
      </w:r>
      <w:r w:rsidR="00DD41EF" w:rsidRPr="00384026">
        <w:rPr>
          <w:rFonts w:ascii="Times New Roman" w:hAnsi="Times New Roman" w:cs="Times New Roman"/>
          <w:color w:val="000000" w:themeColor="text1"/>
          <w:sz w:val="24"/>
          <w:szCs w:val="24"/>
        </w:rPr>
        <w:t> </w:t>
      </w:r>
      <w:r w:rsidR="00DD41EF" w:rsidRPr="00384026">
        <w:rPr>
          <w:rFonts w:ascii="Times New Roman" w:hAnsi="Times New Roman" w:cs="Times New Roman"/>
          <w:i/>
          <w:iCs/>
          <w:color w:val="000000" w:themeColor="text1"/>
          <w:sz w:val="24"/>
          <w:szCs w:val="24"/>
        </w:rPr>
        <w:t>euro</w:t>
      </w:r>
      <w:r w:rsidR="004948A0" w:rsidRPr="00384026">
        <w:rPr>
          <w:rFonts w:ascii="Times New Roman" w:hAnsi="Times New Roman" w:cs="Times New Roman"/>
          <w:i/>
          <w:iCs/>
          <w:color w:val="000000" w:themeColor="text1"/>
          <w:sz w:val="24"/>
          <w:szCs w:val="24"/>
        </w:rPr>
        <w:t xml:space="preserve"> </w:t>
      </w:r>
      <w:r w:rsidR="0013657B" w:rsidRPr="00384026">
        <w:rPr>
          <w:rFonts w:ascii="Times New Roman" w:hAnsi="Times New Roman" w:cs="Times New Roman"/>
          <w:color w:val="000000" w:themeColor="text1"/>
          <w:sz w:val="24"/>
          <w:szCs w:val="24"/>
        </w:rPr>
        <w:t xml:space="preserve">apmērā </w:t>
      </w:r>
      <w:r w:rsidR="00CB2FA2">
        <w:rPr>
          <w:rFonts w:ascii="Times New Roman" w:hAnsi="Times New Roman" w:cs="Times New Roman"/>
          <w:i/>
          <w:iCs/>
          <w:color w:val="000000" w:themeColor="text1"/>
          <w:sz w:val="24"/>
          <w:szCs w:val="24"/>
        </w:rPr>
        <w:t xml:space="preserve">(skat. 1. tabulu), </w:t>
      </w:r>
      <w:r w:rsidR="00CB2FA2" w:rsidRPr="00CB2FA2">
        <w:rPr>
          <w:rFonts w:ascii="Times New Roman" w:hAnsi="Times New Roman" w:cs="Times New Roman"/>
          <w:iCs/>
          <w:color w:val="000000" w:themeColor="text1"/>
          <w:sz w:val="24"/>
          <w:szCs w:val="24"/>
        </w:rPr>
        <w:t>kuri pārskata periodā netika piešķirti</w:t>
      </w:r>
      <w:r w:rsidR="00542851">
        <w:rPr>
          <w:rFonts w:ascii="Times New Roman" w:hAnsi="Times New Roman" w:cs="Times New Roman"/>
          <w:iCs/>
          <w:color w:val="000000" w:themeColor="text1"/>
          <w:sz w:val="24"/>
          <w:szCs w:val="24"/>
        </w:rPr>
        <w:t xml:space="preserve"> nevienam pasākumam.</w:t>
      </w:r>
      <w:r w:rsidR="0013657B" w:rsidRPr="00384026">
        <w:rPr>
          <w:rFonts w:ascii="Times New Roman" w:hAnsi="Times New Roman" w:cs="Times New Roman"/>
          <w:iCs/>
          <w:color w:val="000000" w:themeColor="text1"/>
          <w:sz w:val="24"/>
          <w:szCs w:val="24"/>
        </w:rPr>
        <w:t xml:space="preserve"> </w:t>
      </w:r>
    </w:p>
    <w:p w14:paraId="2999DA56" w14:textId="77777777" w:rsidR="004948A0" w:rsidRPr="00384026" w:rsidRDefault="004948A0" w:rsidP="004948A0">
      <w:pPr>
        <w:pStyle w:val="ListParagraph"/>
        <w:numPr>
          <w:ilvl w:val="0"/>
          <w:numId w:val="13"/>
        </w:numPr>
        <w:jc w:val="right"/>
        <w:rPr>
          <w:rFonts w:ascii="Times New Roman" w:hAnsi="Times New Roman" w:cs="Times New Roman"/>
          <w:b/>
          <w:sz w:val="24"/>
          <w:szCs w:val="24"/>
        </w:rPr>
      </w:pPr>
      <w:r w:rsidRPr="00384026">
        <w:rPr>
          <w:rFonts w:ascii="Times New Roman" w:hAnsi="Times New Roman" w:cs="Times New Roman"/>
          <w:b/>
          <w:sz w:val="24"/>
          <w:szCs w:val="24"/>
        </w:rPr>
        <w:t xml:space="preserve">tabula. </w:t>
      </w:r>
    </w:p>
    <w:p w14:paraId="0E59D708" w14:textId="35D81B11" w:rsidR="00CB0069" w:rsidRPr="00384026" w:rsidRDefault="004948A0" w:rsidP="004948A0">
      <w:pPr>
        <w:pStyle w:val="ListParagraph"/>
        <w:ind w:left="1080"/>
        <w:jc w:val="right"/>
        <w:rPr>
          <w:rFonts w:ascii="Times New Roman" w:hAnsi="Times New Roman" w:cs="Times New Roman"/>
          <w:sz w:val="20"/>
          <w:szCs w:val="20"/>
        </w:rPr>
      </w:pPr>
      <w:r w:rsidRPr="00384026">
        <w:rPr>
          <w:rFonts w:ascii="Times New Roman" w:hAnsi="Times New Roman" w:cs="Times New Roman"/>
          <w:b/>
          <w:sz w:val="24"/>
          <w:szCs w:val="24"/>
        </w:rPr>
        <w:t>Plāna izpildei nepieciešamais papildu finansējums no valsts budžeta līdzekļiem</w:t>
      </w:r>
      <w:r w:rsidR="00CB0069" w:rsidRPr="00384026">
        <w:rPr>
          <w:rFonts w:ascii="Times New Roman" w:hAnsi="Times New Roman" w:cs="Times New Roman"/>
          <w:sz w:val="20"/>
          <w:szCs w:val="20"/>
        </w:rPr>
        <w:fldChar w:fldCharType="begin"/>
      </w:r>
      <w:r w:rsidR="00CB0069" w:rsidRPr="00384026">
        <w:rPr>
          <w:rFonts w:ascii="Times New Roman" w:hAnsi="Times New Roman" w:cs="Times New Roman"/>
          <w:sz w:val="20"/>
          <w:szCs w:val="20"/>
        </w:rPr>
        <w:instrText xml:space="preserve"> LINK </w:instrText>
      </w:r>
      <w:r w:rsidR="00C427EC">
        <w:rPr>
          <w:rFonts w:ascii="Times New Roman" w:hAnsi="Times New Roman" w:cs="Times New Roman"/>
          <w:sz w:val="20"/>
          <w:szCs w:val="20"/>
        </w:rPr>
        <w:instrText xml:space="preserve">Excel.Sheet.12 Book1 Sheet1!R2C2:R16C7 </w:instrText>
      </w:r>
      <w:r w:rsidR="00CB0069" w:rsidRPr="00384026">
        <w:rPr>
          <w:rFonts w:ascii="Times New Roman" w:hAnsi="Times New Roman" w:cs="Times New Roman"/>
          <w:sz w:val="20"/>
          <w:szCs w:val="20"/>
        </w:rPr>
        <w:instrText xml:space="preserve">\a \f 4 \h </w:instrText>
      </w:r>
      <w:r w:rsidRPr="00384026">
        <w:rPr>
          <w:rFonts w:ascii="Times New Roman" w:hAnsi="Times New Roman" w:cs="Times New Roman"/>
          <w:sz w:val="20"/>
          <w:szCs w:val="20"/>
        </w:rPr>
        <w:instrText xml:space="preserve"> \* MERGEFORMAT </w:instrText>
      </w:r>
      <w:r w:rsidR="00CB0069" w:rsidRPr="00384026">
        <w:rPr>
          <w:rFonts w:ascii="Times New Roman" w:hAnsi="Times New Roman" w:cs="Times New Roman"/>
          <w:sz w:val="20"/>
          <w:szCs w:val="20"/>
        </w:rPr>
        <w:fldChar w:fldCharType="separate"/>
      </w:r>
    </w:p>
    <w:tbl>
      <w:tblPr>
        <w:tblW w:w="9351" w:type="dxa"/>
        <w:tblLayout w:type="fixed"/>
        <w:tblLook w:val="04A0" w:firstRow="1" w:lastRow="0" w:firstColumn="1" w:lastColumn="0" w:noHBand="0" w:noVBand="1"/>
      </w:tblPr>
      <w:tblGrid>
        <w:gridCol w:w="3761"/>
        <w:gridCol w:w="770"/>
        <w:gridCol w:w="1276"/>
        <w:gridCol w:w="1134"/>
        <w:gridCol w:w="1134"/>
        <w:gridCol w:w="1276"/>
      </w:tblGrid>
      <w:tr w:rsidR="004948A0" w:rsidRPr="00384026" w14:paraId="3F3DE97B" w14:textId="77777777" w:rsidTr="00F42DC4">
        <w:trPr>
          <w:trHeight w:val="300"/>
        </w:trPr>
        <w:tc>
          <w:tcPr>
            <w:tcW w:w="3761" w:type="dxa"/>
            <w:vMerge w:val="restart"/>
            <w:tcBorders>
              <w:top w:val="single" w:sz="4" w:space="0" w:color="414142"/>
              <w:left w:val="single" w:sz="4" w:space="0" w:color="414142"/>
              <w:bottom w:val="single" w:sz="4" w:space="0" w:color="414142"/>
              <w:right w:val="single" w:sz="4" w:space="0" w:color="414142"/>
            </w:tcBorders>
            <w:shd w:val="clear" w:color="000000" w:fill="DDEBF7"/>
            <w:vAlign w:val="center"/>
            <w:hideMark/>
          </w:tcPr>
          <w:p w14:paraId="279B13D1" w14:textId="77777777" w:rsidR="00CB0069" w:rsidRPr="00384026" w:rsidRDefault="00CB0069" w:rsidP="004948A0">
            <w:pPr>
              <w:spacing w:after="0" w:line="240" w:lineRule="auto"/>
              <w:jc w:val="center"/>
              <w:rPr>
                <w:rFonts w:ascii="Times New Roman" w:eastAsia="Times New Roman" w:hAnsi="Times New Roman" w:cs="Times New Roman"/>
                <w:b/>
                <w:bCs/>
                <w:color w:val="000000" w:themeColor="text1"/>
                <w:sz w:val="20"/>
                <w:szCs w:val="20"/>
                <w:lang w:eastAsia="lv-LV"/>
              </w:rPr>
            </w:pPr>
            <w:r w:rsidRPr="00384026">
              <w:rPr>
                <w:rFonts w:ascii="Times New Roman" w:eastAsia="Times New Roman" w:hAnsi="Times New Roman" w:cs="Times New Roman"/>
                <w:b/>
                <w:bCs/>
                <w:color w:val="000000" w:themeColor="text1"/>
                <w:sz w:val="20"/>
                <w:szCs w:val="20"/>
                <w:lang w:eastAsia="lv-LV"/>
              </w:rPr>
              <w:t>Iestāde</w:t>
            </w:r>
          </w:p>
        </w:tc>
        <w:tc>
          <w:tcPr>
            <w:tcW w:w="770" w:type="dxa"/>
            <w:vMerge w:val="restart"/>
            <w:tcBorders>
              <w:top w:val="single" w:sz="4" w:space="0" w:color="414142"/>
              <w:left w:val="single" w:sz="4" w:space="0" w:color="414142"/>
              <w:bottom w:val="single" w:sz="4" w:space="0" w:color="414142"/>
              <w:right w:val="single" w:sz="4" w:space="0" w:color="414142"/>
            </w:tcBorders>
            <w:shd w:val="clear" w:color="000000" w:fill="DDEBF7"/>
            <w:vAlign w:val="center"/>
            <w:hideMark/>
          </w:tcPr>
          <w:p w14:paraId="0353FE77" w14:textId="77777777" w:rsidR="00CB0069" w:rsidRPr="00384026" w:rsidRDefault="00CB0069" w:rsidP="004948A0">
            <w:pPr>
              <w:spacing w:after="0" w:line="240" w:lineRule="auto"/>
              <w:jc w:val="center"/>
              <w:rPr>
                <w:rFonts w:ascii="Times New Roman" w:eastAsia="Times New Roman" w:hAnsi="Times New Roman" w:cs="Times New Roman"/>
                <w:b/>
                <w:bCs/>
                <w:color w:val="000000" w:themeColor="text1"/>
                <w:sz w:val="20"/>
                <w:szCs w:val="20"/>
                <w:lang w:eastAsia="lv-LV"/>
              </w:rPr>
            </w:pPr>
            <w:r w:rsidRPr="00384026">
              <w:rPr>
                <w:rFonts w:ascii="Times New Roman" w:eastAsia="Times New Roman" w:hAnsi="Times New Roman" w:cs="Times New Roman"/>
                <w:b/>
                <w:bCs/>
                <w:color w:val="000000" w:themeColor="text1"/>
                <w:sz w:val="20"/>
                <w:szCs w:val="20"/>
                <w:lang w:eastAsia="lv-LV"/>
              </w:rPr>
              <w:t>Pasākuma numurs</w:t>
            </w:r>
          </w:p>
        </w:tc>
        <w:tc>
          <w:tcPr>
            <w:tcW w:w="2410" w:type="dxa"/>
            <w:gridSpan w:val="2"/>
            <w:tcBorders>
              <w:top w:val="single" w:sz="4" w:space="0" w:color="414142"/>
              <w:left w:val="nil"/>
              <w:bottom w:val="single" w:sz="4" w:space="0" w:color="414142"/>
              <w:right w:val="single" w:sz="4" w:space="0" w:color="414142"/>
            </w:tcBorders>
            <w:shd w:val="clear" w:color="000000" w:fill="DDEBF7"/>
            <w:vAlign w:val="center"/>
            <w:hideMark/>
          </w:tcPr>
          <w:p w14:paraId="4855BDEC" w14:textId="77777777" w:rsidR="00CB0069" w:rsidRPr="00384026" w:rsidRDefault="00CB0069" w:rsidP="004948A0">
            <w:pPr>
              <w:spacing w:after="0" w:line="240" w:lineRule="auto"/>
              <w:jc w:val="center"/>
              <w:rPr>
                <w:rFonts w:ascii="Times New Roman" w:eastAsia="Times New Roman" w:hAnsi="Times New Roman" w:cs="Times New Roman"/>
                <w:b/>
                <w:bCs/>
                <w:color w:val="000000" w:themeColor="text1"/>
                <w:sz w:val="20"/>
                <w:szCs w:val="20"/>
                <w:lang w:eastAsia="lv-LV"/>
              </w:rPr>
            </w:pPr>
            <w:r w:rsidRPr="00384026">
              <w:rPr>
                <w:rFonts w:ascii="Times New Roman" w:eastAsia="Times New Roman" w:hAnsi="Times New Roman" w:cs="Times New Roman"/>
                <w:b/>
                <w:bCs/>
                <w:color w:val="000000" w:themeColor="text1"/>
                <w:sz w:val="20"/>
                <w:szCs w:val="20"/>
                <w:lang w:eastAsia="lv-LV"/>
              </w:rPr>
              <w:t>Plānotais finansējums, </w:t>
            </w:r>
            <w:r w:rsidRPr="00384026">
              <w:rPr>
                <w:rFonts w:ascii="Times New Roman" w:eastAsia="Times New Roman" w:hAnsi="Times New Roman" w:cs="Times New Roman"/>
                <w:b/>
                <w:bCs/>
                <w:i/>
                <w:iCs/>
                <w:color w:val="000000" w:themeColor="text1"/>
                <w:sz w:val="20"/>
                <w:szCs w:val="20"/>
                <w:lang w:eastAsia="lv-LV"/>
              </w:rPr>
              <w:t>euro</w:t>
            </w:r>
          </w:p>
        </w:tc>
        <w:tc>
          <w:tcPr>
            <w:tcW w:w="2410" w:type="dxa"/>
            <w:gridSpan w:val="2"/>
            <w:tcBorders>
              <w:top w:val="single" w:sz="4" w:space="0" w:color="414142"/>
              <w:left w:val="nil"/>
              <w:bottom w:val="single" w:sz="4" w:space="0" w:color="414142"/>
              <w:right w:val="single" w:sz="4" w:space="0" w:color="414142"/>
            </w:tcBorders>
            <w:shd w:val="clear" w:color="000000" w:fill="DDEBF7"/>
            <w:vAlign w:val="center"/>
            <w:hideMark/>
          </w:tcPr>
          <w:p w14:paraId="1C63E466" w14:textId="77777777" w:rsidR="00CB0069" w:rsidRPr="00384026" w:rsidRDefault="00CB0069" w:rsidP="004948A0">
            <w:pPr>
              <w:spacing w:after="0" w:line="240" w:lineRule="auto"/>
              <w:jc w:val="center"/>
              <w:rPr>
                <w:rFonts w:ascii="Times New Roman" w:eastAsia="Times New Roman" w:hAnsi="Times New Roman" w:cs="Times New Roman"/>
                <w:b/>
                <w:bCs/>
                <w:color w:val="000000" w:themeColor="text1"/>
                <w:sz w:val="20"/>
                <w:szCs w:val="20"/>
                <w:lang w:eastAsia="lv-LV"/>
              </w:rPr>
            </w:pPr>
            <w:r w:rsidRPr="00384026">
              <w:rPr>
                <w:rFonts w:ascii="Times New Roman" w:eastAsia="Times New Roman" w:hAnsi="Times New Roman" w:cs="Times New Roman"/>
                <w:b/>
                <w:bCs/>
                <w:color w:val="000000" w:themeColor="text1"/>
                <w:sz w:val="20"/>
                <w:szCs w:val="20"/>
                <w:lang w:eastAsia="lv-LV"/>
              </w:rPr>
              <w:t>Izlietotais finansējums, </w:t>
            </w:r>
            <w:r w:rsidRPr="00384026">
              <w:rPr>
                <w:rFonts w:ascii="Times New Roman" w:eastAsia="Times New Roman" w:hAnsi="Times New Roman" w:cs="Times New Roman"/>
                <w:b/>
                <w:bCs/>
                <w:i/>
                <w:iCs/>
                <w:color w:val="000000" w:themeColor="text1"/>
                <w:sz w:val="20"/>
                <w:szCs w:val="20"/>
                <w:lang w:eastAsia="lv-LV"/>
              </w:rPr>
              <w:t>euro</w:t>
            </w:r>
          </w:p>
        </w:tc>
      </w:tr>
      <w:tr w:rsidR="004948A0" w:rsidRPr="00384026" w14:paraId="4CC02FF4" w14:textId="77777777" w:rsidTr="00F42DC4">
        <w:trPr>
          <w:trHeight w:val="300"/>
        </w:trPr>
        <w:tc>
          <w:tcPr>
            <w:tcW w:w="3761" w:type="dxa"/>
            <w:vMerge/>
            <w:tcBorders>
              <w:top w:val="single" w:sz="4" w:space="0" w:color="414142"/>
              <w:left w:val="single" w:sz="4" w:space="0" w:color="414142"/>
              <w:bottom w:val="single" w:sz="4" w:space="0" w:color="414142"/>
              <w:right w:val="single" w:sz="4" w:space="0" w:color="414142"/>
            </w:tcBorders>
            <w:vAlign w:val="center"/>
            <w:hideMark/>
          </w:tcPr>
          <w:p w14:paraId="4532F803" w14:textId="77777777" w:rsidR="00CB0069" w:rsidRPr="00384026" w:rsidRDefault="00CB0069" w:rsidP="004948A0">
            <w:pPr>
              <w:spacing w:after="0" w:line="240" w:lineRule="auto"/>
              <w:jc w:val="center"/>
              <w:rPr>
                <w:rFonts w:ascii="Times New Roman" w:eastAsia="Times New Roman" w:hAnsi="Times New Roman" w:cs="Times New Roman"/>
                <w:b/>
                <w:bCs/>
                <w:color w:val="000000" w:themeColor="text1"/>
                <w:sz w:val="20"/>
                <w:szCs w:val="20"/>
                <w:lang w:eastAsia="lv-LV"/>
              </w:rPr>
            </w:pPr>
          </w:p>
        </w:tc>
        <w:tc>
          <w:tcPr>
            <w:tcW w:w="770" w:type="dxa"/>
            <w:vMerge/>
            <w:tcBorders>
              <w:top w:val="single" w:sz="4" w:space="0" w:color="414142"/>
              <w:left w:val="single" w:sz="4" w:space="0" w:color="414142"/>
              <w:bottom w:val="single" w:sz="4" w:space="0" w:color="414142"/>
              <w:right w:val="single" w:sz="4" w:space="0" w:color="414142"/>
            </w:tcBorders>
            <w:vAlign w:val="center"/>
            <w:hideMark/>
          </w:tcPr>
          <w:p w14:paraId="4F616D3F" w14:textId="77777777" w:rsidR="00CB0069" w:rsidRPr="00384026" w:rsidRDefault="00CB0069" w:rsidP="004948A0">
            <w:pPr>
              <w:spacing w:after="0" w:line="240" w:lineRule="auto"/>
              <w:jc w:val="center"/>
              <w:rPr>
                <w:rFonts w:ascii="Times New Roman" w:eastAsia="Times New Roman" w:hAnsi="Times New Roman" w:cs="Times New Roman"/>
                <w:b/>
                <w:bCs/>
                <w:color w:val="000000" w:themeColor="text1"/>
                <w:sz w:val="20"/>
                <w:szCs w:val="20"/>
                <w:lang w:eastAsia="lv-LV"/>
              </w:rPr>
            </w:pPr>
          </w:p>
        </w:tc>
        <w:tc>
          <w:tcPr>
            <w:tcW w:w="1276" w:type="dxa"/>
            <w:tcBorders>
              <w:top w:val="nil"/>
              <w:left w:val="nil"/>
              <w:bottom w:val="single" w:sz="4" w:space="0" w:color="414142"/>
              <w:right w:val="single" w:sz="4" w:space="0" w:color="414142"/>
            </w:tcBorders>
            <w:shd w:val="clear" w:color="000000" w:fill="DDEBF7"/>
            <w:vAlign w:val="center"/>
            <w:hideMark/>
          </w:tcPr>
          <w:p w14:paraId="67A8E1C7" w14:textId="77777777" w:rsidR="00CB0069" w:rsidRPr="00384026" w:rsidRDefault="00CB0069" w:rsidP="004948A0">
            <w:pPr>
              <w:spacing w:after="0" w:line="240" w:lineRule="auto"/>
              <w:jc w:val="center"/>
              <w:rPr>
                <w:rFonts w:ascii="Times New Roman" w:eastAsia="Times New Roman" w:hAnsi="Times New Roman" w:cs="Times New Roman"/>
                <w:b/>
                <w:bCs/>
                <w:color w:val="000000" w:themeColor="text1"/>
                <w:sz w:val="20"/>
                <w:szCs w:val="20"/>
                <w:lang w:eastAsia="lv-LV"/>
              </w:rPr>
            </w:pPr>
            <w:r w:rsidRPr="00384026">
              <w:rPr>
                <w:rFonts w:ascii="Times New Roman" w:eastAsia="Times New Roman" w:hAnsi="Times New Roman" w:cs="Times New Roman"/>
                <w:b/>
                <w:bCs/>
                <w:color w:val="000000" w:themeColor="text1"/>
                <w:sz w:val="20"/>
                <w:szCs w:val="20"/>
                <w:lang w:eastAsia="lv-LV"/>
              </w:rPr>
              <w:t>2019</w:t>
            </w:r>
          </w:p>
        </w:tc>
        <w:tc>
          <w:tcPr>
            <w:tcW w:w="1134" w:type="dxa"/>
            <w:tcBorders>
              <w:top w:val="nil"/>
              <w:left w:val="nil"/>
              <w:bottom w:val="single" w:sz="4" w:space="0" w:color="414142"/>
              <w:right w:val="single" w:sz="4" w:space="0" w:color="414142"/>
            </w:tcBorders>
            <w:shd w:val="clear" w:color="000000" w:fill="DDEBF7"/>
            <w:vAlign w:val="center"/>
            <w:hideMark/>
          </w:tcPr>
          <w:p w14:paraId="54EA6B9B" w14:textId="77777777" w:rsidR="00CB0069" w:rsidRPr="00384026" w:rsidRDefault="00CB0069" w:rsidP="004948A0">
            <w:pPr>
              <w:spacing w:after="0" w:line="240" w:lineRule="auto"/>
              <w:jc w:val="center"/>
              <w:rPr>
                <w:rFonts w:ascii="Times New Roman" w:eastAsia="Times New Roman" w:hAnsi="Times New Roman" w:cs="Times New Roman"/>
                <w:b/>
                <w:bCs/>
                <w:color w:val="000000" w:themeColor="text1"/>
                <w:sz w:val="20"/>
                <w:szCs w:val="20"/>
                <w:lang w:eastAsia="lv-LV"/>
              </w:rPr>
            </w:pPr>
            <w:r w:rsidRPr="00384026">
              <w:rPr>
                <w:rFonts w:ascii="Times New Roman" w:eastAsia="Times New Roman" w:hAnsi="Times New Roman" w:cs="Times New Roman"/>
                <w:b/>
                <w:bCs/>
                <w:color w:val="000000" w:themeColor="text1"/>
                <w:sz w:val="20"/>
                <w:szCs w:val="20"/>
                <w:lang w:eastAsia="lv-LV"/>
              </w:rPr>
              <w:t>2020</w:t>
            </w:r>
          </w:p>
        </w:tc>
        <w:tc>
          <w:tcPr>
            <w:tcW w:w="1134" w:type="dxa"/>
            <w:tcBorders>
              <w:top w:val="nil"/>
              <w:left w:val="nil"/>
              <w:bottom w:val="single" w:sz="4" w:space="0" w:color="414142"/>
              <w:right w:val="single" w:sz="4" w:space="0" w:color="414142"/>
            </w:tcBorders>
            <w:shd w:val="clear" w:color="000000" w:fill="DDEBF7"/>
            <w:vAlign w:val="center"/>
            <w:hideMark/>
          </w:tcPr>
          <w:p w14:paraId="402EEAC2" w14:textId="77777777" w:rsidR="00CB0069" w:rsidRPr="00384026" w:rsidRDefault="00CB0069" w:rsidP="004948A0">
            <w:pPr>
              <w:spacing w:after="0" w:line="240" w:lineRule="auto"/>
              <w:jc w:val="center"/>
              <w:rPr>
                <w:rFonts w:ascii="Times New Roman" w:eastAsia="Times New Roman" w:hAnsi="Times New Roman" w:cs="Times New Roman"/>
                <w:b/>
                <w:bCs/>
                <w:color w:val="000000" w:themeColor="text1"/>
                <w:sz w:val="20"/>
                <w:szCs w:val="20"/>
                <w:lang w:eastAsia="lv-LV"/>
              </w:rPr>
            </w:pPr>
            <w:r w:rsidRPr="00384026">
              <w:rPr>
                <w:rFonts w:ascii="Times New Roman" w:eastAsia="Times New Roman" w:hAnsi="Times New Roman" w:cs="Times New Roman"/>
                <w:b/>
                <w:bCs/>
                <w:color w:val="000000" w:themeColor="text1"/>
                <w:sz w:val="20"/>
                <w:szCs w:val="20"/>
                <w:lang w:eastAsia="lv-LV"/>
              </w:rPr>
              <w:t>2019</w:t>
            </w:r>
          </w:p>
        </w:tc>
        <w:tc>
          <w:tcPr>
            <w:tcW w:w="1276" w:type="dxa"/>
            <w:tcBorders>
              <w:top w:val="nil"/>
              <w:left w:val="nil"/>
              <w:bottom w:val="single" w:sz="4" w:space="0" w:color="414142"/>
              <w:right w:val="single" w:sz="4" w:space="0" w:color="414142"/>
            </w:tcBorders>
            <w:shd w:val="clear" w:color="000000" w:fill="DDEBF7"/>
            <w:vAlign w:val="center"/>
            <w:hideMark/>
          </w:tcPr>
          <w:p w14:paraId="62F0D8F6" w14:textId="77777777" w:rsidR="00CB0069" w:rsidRPr="00384026" w:rsidRDefault="00CB0069" w:rsidP="004948A0">
            <w:pPr>
              <w:spacing w:after="0" w:line="240" w:lineRule="auto"/>
              <w:jc w:val="center"/>
              <w:rPr>
                <w:rFonts w:ascii="Times New Roman" w:eastAsia="Times New Roman" w:hAnsi="Times New Roman" w:cs="Times New Roman"/>
                <w:b/>
                <w:bCs/>
                <w:color w:val="000000" w:themeColor="text1"/>
                <w:sz w:val="20"/>
                <w:szCs w:val="20"/>
                <w:lang w:eastAsia="lv-LV"/>
              </w:rPr>
            </w:pPr>
            <w:r w:rsidRPr="00384026">
              <w:rPr>
                <w:rFonts w:ascii="Times New Roman" w:eastAsia="Times New Roman" w:hAnsi="Times New Roman" w:cs="Times New Roman"/>
                <w:b/>
                <w:bCs/>
                <w:color w:val="000000" w:themeColor="text1"/>
                <w:sz w:val="20"/>
                <w:szCs w:val="20"/>
                <w:lang w:eastAsia="lv-LV"/>
              </w:rPr>
              <w:t>2020</w:t>
            </w:r>
          </w:p>
        </w:tc>
      </w:tr>
      <w:tr w:rsidR="004948A0" w:rsidRPr="00384026" w14:paraId="7C19F532" w14:textId="77777777" w:rsidTr="00F42DC4">
        <w:trPr>
          <w:trHeight w:val="300"/>
        </w:trPr>
        <w:tc>
          <w:tcPr>
            <w:tcW w:w="3761" w:type="dxa"/>
            <w:tcBorders>
              <w:top w:val="nil"/>
              <w:left w:val="single" w:sz="4" w:space="0" w:color="414142"/>
              <w:bottom w:val="single" w:sz="4" w:space="0" w:color="414142"/>
              <w:right w:val="single" w:sz="4" w:space="0" w:color="414142"/>
            </w:tcBorders>
            <w:shd w:val="clear" w:color="000000" w:fill="F2F2F2"/>
            <w:vAlign w:val="center"/>
            <w:hideMark/>
          </w:tcPr>
          <w:p w14:paraId="03FC94A3" w14:textId="77777777" w:rsidR="00CB0069" w:rsidRPr="00384026" w:rsidRDefault="00CB0069" w:rsidP="004948A0">
            <w:pPr>
              <w:spacing w:after="0" w:line="240" w:lineRule="auto"/>
              <w:jc w:val="center"/>
              <w:rPr>
                <w:rFonts w:ascii="Times New Roman" w:eastAsia="Times New Roman" w:hAnsi="Times New Roman" w:cs="Times New Roman"/>
                <w:b/>
                <w:bCs/>
                <w:color w:val="000000" w:themeColor="text1"/>
                <w:sz w:val="20"/>
                <w:szCs w:val="20"/>
                <w:lang w:eastAsia="lv-LV"/>
              </w:rPr>
            </w:pPr>
            <w:r w:rsidRPr="00384026">
              <w:rPr>
                <w:rFonts w:ascii="Times New Roman" w:eastAsia="Times New Roman" w:hAnsi="Times New Roman" w:cs="Times New Roman"/>
                <w:b/>
                <w:bCs/>
                <w:color w:val="000000" w:themeColor="text1"/>
                <w:sz w:val="20"/>
                <w:szCs w:val="20"/>
                <w:lang w:eastAsia="lv-LV"/>
              </w:rPr>
              <w:t>Iekšlietu ministrija</w:t>
            </w:r>
          </w:p>
        </w:tc>
        <w:tc>
          <w:tcPr>
            <w:tcW w:w="770" w:type="dxa"/>
            <w:tcBorders>
              <w:top w:val="nil"/>
              <w:left w:val="nil"/>
              <w:bottom w:val="single" w:sz="4" w:space="0" w:color="414142"/>
              <w:right w:val="single" w:sz="4" w:space="0" w:color="414142"/>
            </w:tcBorders>
            <w:shd w:val="clear" w:color="000000" w:fill="F2F2F2"/>
            <w:vAlign w:val="center"/>
            <w:hideMark/>
          </w:tcPr>
          <w:p w14:paraId="0BDEE166" w14:textId="77777777" w:rsidR="00CB0069" w:rsidRPr="00384026" w:rsidRDefault="00CB0069" w:rsidP="004948A0">
            <w:pPr>
              <w:spacing w:after="0" w:line="240" w:lineRule="auto"/>
              <w:jc w:val="center"/>
              <w:rPr>
                <w:rFonts w:ascii="Times New Roman" w:eastAsia="Times New Roman" w:hAnsi="Times New Roman" w:cs="Times New Roman"/>
                <w:b/>
                <w:bCs/>
                <w:color w:val="000000" w:themeColor="text1"/>
                <w:sz w:val="20"/>
                <w:szCs w:val="20"/>
                <w:lang w:eastAsia="lv-LV"/>
              </w:rPr>
            </w:pPr>
            <w:r w:rsidRPr="00384026">
              <w:rPr>
                <w:rFonts w:ascii="Times New Roman" w:eastAsia="Times New Roman" w:hAnsi="Times New Roman" w:cs="Times New Roman"/>
                <w:b/>
                <w:bCs/>
                <w:color w:val="000000" w:themeColor="text1"/>
                <w:sz w:val="20"/>
                <w:szCs w:val="20"/>
                <w:lang w:eastAsia="lv-LV"/>
              </w:rPr>
              <w:t>kopā</w:t>
            </w:r>
          </w:p>
        </w:tc>
        <w:tc>
          <w:tcPr>
            <w:tcW w:w="1276" w:type="dxa"/>
            <w:tcBorders>
              <w:top w:val="nil"/>
              <w:left w:val="nil"/>
              <w:bottom w:val="single" w:sz="4" w:space="0" w:color="414142"/>
              <w:right w:val="single" w:sz="4" w:space="0" w:color="414142"/>
            </w:tcBorders>
            <w:shd w:val="clear" w:color="000000" w:fill="F2F2F2"/>
            <w:vAlign w:val="center"/>
            <w:hideMark/>
          </w:tcPr>
          <w:p w14:paraId="0079B1AB" w14:textId="77777777" w:rsidR="00CB0069" w:rsidRPr="00384026" w:rsidRDefault="00CB0069" w:rsidP="004948A0">
            <w:pPr>
              <w:spacing w:after="0" w:line="240" w:lineRule="auto"/>
              <w:jc w:val="center"/>
              <w:rPr>
                <w:rFonts w:ascii="Times New Roman" w:eastAsia="Times New Roman" w:hAnsi="Times New Roman" w:cs="Times New Roman"/>
                <w:b/>
                <w:bCs/>
                <w:color w:val="000000" w:themeColor="text1"/>
                <w:sz w:val="20"/>
                <w:szCs w:val="20"/>
                <w:lang w:eastAsia="lv-LV"/>
              </w:rPr>
            </w:pPr>
            <w:r w:rsidRPr="00384026">
              <w:rPr>
                <w:rFonts w:ascii="Times New Roman" w:eastAsia="Times New Roman" w:hAnsi="Times New Roman" w:cs="Times New Roman"/>
                <w:b/>
                <w:bCs/>
                <w:color w:val="000000" w:themeColor="text1"/>
                <w:sz w:val="20"/>
                <w:szCs w:val="20"/>
                <w:lang w:eastAsia="lv-LV"/>
              </w:rPr>
              <w:t>0</w:t>
            </w:r>
          </w:p>
        </w:tc>
        <w:tc>
          <w:tcPr>
            <w:tcW w:w="1134" w:type="dxa"/>
            <w:tcBorders>
              <w:top w:val="nil"/>
              <w:left w:val="nil"/>
              <w:bottom w:val="single" w:sz="4" w:space="0" w:color="414142"/>
              <w:right w:val="single" w:sz="4" w:space="0" w:color="414142"/>
            </w:tcBorders>
            <w:shd w:val="clear" w:color="000000" w:fill="F2F2F2"/>
            <w:vAlign w:val="center"/>
            <w:hideMark/>
          </w:tcPr>
          <w:p w14:paraId="57A195A8" w14:textId="77777777" w:rsidR="00CB0069" w:rsidRPr="00605CE8" w:rsidRDefault="00CB0069" w:rsidP="004948A0">
            <w:pPr>
              <w:spacing w:after="0" w:line="240" w:lineRule="auto"/>
              <w:jc w:val="center"/>
              <w:rPr>
                <w:rFonts w:ascii="Times New Roman" w:eastAsia="Times New Roman" w:hAnsi="Times New Roman" w:cs="Times New Roman"/>
                <w:b/>
                <w:bCs/>
                <w:color w:val="FF0000"/>
                <w:sz w:val="20"/>
                <w:szCs w:val="20"/>
                <w:lang w:eastAsia="lv-LV"/>
              </w:rPr>
            </w:pPr>
            <w:r w:rsidRPr="00605CE8">
              <w:rPr>
                <w:rFonts w:ascii="Times New Roman" w:eastAsia="Times New Roman" w:hAnsi="Times New Roman" w:cs="Times New Roman"/>
                <w:b/>
                <w:bCs/>
                <w:color w:val="FF0000"/>
                <w:sz w:val="20"/>
                <w:szCs w:val="20"/>
                <w:lang w:eastAsia="lv-LV"/>
              </w:rPr>
              <w:t>192 000</w:t>
            </w:r>
          </w:p>
        </w:tc>
        <w:tc>
          <w:tcPr>
            <w:tcW w:w="1134" w:type="dxa"/>
            <w:tcBorders>
              <w:top w:val="nil"/>
              <w:left w:val="nil"/>
              <w:bottom w:val="single" w:sz="4" w:space="0" w:color="414142"/>
              <w:right w:val="single" w:sz="4" w:space="0" w:color="414142"/>
            </w:tcBorders>
            <w:shd w:val="clear" w:color="000000" w:fill="F2F2F2"/>
            <w:vAlign w:val="center"/>
            <w:hideMark/>
          </w:tcPr>
          <w:p w14:paraId="6CF73222" w14:textId="77777777" w:rsidR="00CB0069" w:rsidRPr="00384026" w:rsidRDefault="00CB0069" w:rsidP="004948A0">
            <w:pPr>
              <w:spacing w:after="0" w:line="240" w:lineRule="auto"/>
              <w:jc w:val="center"/>
              <w:rPr>
                <w:rFonts w:ascii="Times New Roman" w:eastAsia="Times New Roman" w:hAnsi="Times New Roman" w:cs="Times New Roman"/>
                <w:b/>
                <w:bCs/>
                <w:color w:val="000000" w:themeColor="text1"/>
                <w:sz w:val="20"/>
                <w:szCs w:val="20"/>
                <w:lang w:eastAsia="lv-LV"/>
              </w:rPr>
            </w:pPr>
            <w:r w:rsidRPr="00384026">
              <w:rPr>
                <w:rFonts w:ascii="Times New Roman" w:eastAsia="Times New Roman" w:hAnsi="Times New Roman" w:cs="Times New Roman"/>
                <w:b/>
                <w:bCs/>
                <w:color w:val="000000" w:themeColor="text1"/>
                <w:sz w:val="20"/>
                <w:szCs w:val="20"/>
                <w:lang w:eastAsia="lv-LV"/>
              </w:rPr>
              <w:t>0</w:t>
            </w:r>
          </w:p>
        </w:tc>
        <w:tc>
          <w:tcPr>
            <w:tcW w:w="1276" w:type="dxa"/>
            <w:tcBorders>
              <w:top w:val="nil"/>
              <w:left w:val="nil"/>
              <w:bottom w:val="single" w:sz="4" w:space="0" w:color="414142"/>
              <w:right w:val="single" w:sz="4" w:space="0" w:color="414142"/>
            </w:tcBorders>
            <w:shd w:val="clear" w:color="000000" w:fill="F2F2F2"/>
            <w:vAlign w:val="center"/>
            <w:hideMark/>
          </w:tcPr>
          <w:p w14:paraId="624B416E" w14:textId="6F0D8BA9" w:rsidR="00CB0069" w:rsidRPr="00384026" w:rsidRDefault="00C427EC" w:rsidP="004948A0">
            <w:pPr>
              <w:spacing w:after="0" w:line="240" w:lineRule="auto"/>
              <w:jc w:val="center"/>
              <w:rPr>
                <w:rFonts w:ascii="Times New Roman" w:eastAsia="Times New Roman" w:hAnsi="Times New Roman" w:cs="Times New Roman"/>
                <w:b/>
                <w:bCs/>
                <w:color w:val="000000" w:themeColor="text1"/>
                <w:sz w:val="20"/>
                <w:szCs w:val="20"/>
                <w:lang w:eastAsia="lv-LV"/>
              </w:rPr>
            </w:pPr>
            <w:r>
              <w:rPr>
                <w:rFonts w:ascii="Times New Roman" w:eastAsia="Times New Roman" w:hAnsi="Times New Roman" w:cs="Times New Roman"/>
                <w:b/>
                <w:bCs/>
                <w:color w:val="000000" w:themeColor="text1"/>
                <w:sz w:val="20"/>
                <w:szCs w:val="20"/>
                <w:lang w:eastAsia="lv-LV"/>
              </w:rPr>
              <w:t>0</w:t>
            </w:r>
          </w:p>
        </w:tc>
      </w:tr>
      <w:tr w:rsidR="004948A0" w:rsidRPr="00384026" w14:paraId="38407EA6" w14:textId="77777777" w:rsidTr="00F42DC4">
        <w:trPr>
          <w:trHeight w:val="422"/>
        </w:trPr>
        <w:tc>
          <w:tcPr>
            <w:tcW w:w="3761" w:type="dxa"/>
            <w:tcBorders>
              <w:top w:val="nil"/>
              <w:left w:val="single" w:sz="4" w:space="0" w:color="414142"/>
              <w:bottom w:val="single" w:sz="4" w:space="0" w:color="414142"/>
              <w:right w:val="single" w:sz="4" w:space="0" w:color="414142"/>
            </w:tcBorders>
            <w:shd w:val="clear" w:color="000000" w:fill="FFFFFF"/>
            <w:vAlign w:val="center"/>
            <w:hideMark/>
          </w:tcPr>
          <w:p w14:paraId="0AE07002" w14:textId="77777777" w:rsidR="00CB0069" w:rsidRPr="00384026" w:rsidRDefault="00795B11" w:rsidP="004948A0">
            <w:pPr>
              <w:spacing w:after="0" w:line="240" w:lineRule="auto"/>
              <w:jc w:val="center"/>
              <w:rPr>
                <w:rFonts w:ascii="Times New Roman" w:eastAsia="Times New Roman" w:hAnsi="Times New Roman" w:cs="Times New Roman"/>
                <w:color w:val="000000" w:themeColor="text1"/>
                <w:sz w:val="20"/>
                <w:szCs w:val="20"/>
                <w:lang w:eastAsia="lv-LV"/>
              </w:rPr>
            </w:pPr>
            <w:r w:rsidRPr="00384026">
              <w:rPr>
                <w:rFonts w:ascii="Times New Roman" w:eastAsia="Times New Roman" w:hAnsi="Times New Roman" w:cs="Times New Roman"/>
                <w:color w:val="000000" w:themeColor="text1"/>
                <w:sz w:val="20"/>
                <w:szCs w:val="20"/>
                <w:lang w:eastAsia="lv-LV"/>
              </w:rPr>
              <w:t>06.01.00 "Valsts policija"</w:t>
            </w:r>
          </w:p>
        </w:tc>
        <w:tc>
          <w:tcPr>
            <w:tcW w:w="770" w:type="dxa"/>
            <w:tcBorders>
              <w:top w:val="nil"/>
              <w:left w:val="nil"/>
              <w:bottom w:val="single" w:sz="4" w:space="0" w:color="414142"/>
              <w:right w:val="single" w:sz="4" w:space="0" w:color="414142"/>
            </w:tcBorders>
            <w:shd w:val="clear" w:color="000000" w:fill="FFFFFF"/>
            <w:vAlign w:val="center"/>
            <w:hideMark/>
          </w:tcPr>
          <w:p w14:paraId="5F35C57B" w14:textId="77777777" w:rsidR="00CB0069" w:rsidRPr="00384026" w:rsidRDefault="00CB0069" w:rsidP="004948A0">
            <w:pPr>
              <w:spacing w:after="0" w:line="240" w:lineRule="auto"/>
              <w:jc w:val="center"/>
              <w:rPr>
                <w:rFonts w:ascii="Times New Roman" w:eastAsia="Times New Roman" w:hAnsi="Times New Roman" w:cs="Times New Roman"/>
                <w:color w:val="000000" w:themeColor="text1"/>
                <w:sz w:val="20"/>
                <w:szCs w:val="20"/>
                <w:lang w:eastAsia="lv-LV"/>
              </w:rPr>
            </w:pPr>
            <w:r w:rsidRPr="00384026">
              <w:rPr>
                <w:rFonts w:ascii="Times New Roman" w:eastAsia="Times New Roman" w:hAnsi="Times New Roman" w:cs="Times New Roman"/>
                <w:color w:val="000000" w:themeColor="text1"/>
                <w:sz w:val="20"/>
                <w:szCs w:val="20"/>
                <w:lang w:eastAsia="lv-LV"/>
              </w:rPr>
              <w:t>22.1.</w:t>
            </w:r>
          </w:p>
        </w:tc>
        <w:tc>
          <w:tcPr>
            <w:tcW w:w="1276" w:type="dxa"/>
            <w:tcBorders>
              <w:top w:val="nil"/>
              <w:left w:val="nil"/>
              <w:bottom w:val="single" w:sz="4" w:space="0" w:color="414142"/>
              <w:right w:val="single" w:sz="4" w:space="0" w:color="414142"/>
            </w:tcBorders>
            <w:shd w:val="clear" w:color="000000" w:fill="FFFFFF"/>
            <w:vAlign w:val="center"/>
            <w:hideMark/>
          </w:tcPr>
          <w:p w14:paraId="2CE5E7D6" w14:textId="77777777" w:rsidR="00CB0069" w:rsidRPr="00384026" w:rsidRDefault="00CB0069" w:rsidP="004948A0">
            <w:pPr>
              <w:spacing w:after="0" w:line="240" w:lineRule="auto"/>
              <w:jc w:val="center"/>
              <w:rPr>
                <w:rFonts w:ascii="Times New Roman" w:eastAsia="Times New Roman" w:hAnsi="Times New Roman" w:cs="Times New Roman"/>
                <w:color w:val="000000" w:themeColor="text1"/>
                <w:sz w:val="20"/>
                <w:szCs w:val="20"/>
                <w:lang w:eastAsia="lv-LV"/>
              </w:rPr>
            </w:pPr>
            <w:r w:rsidRPr="00384026">
              <w:rPr>
                <w:rFonts w:ascii="Times New Roman" w:eastAsia="Times New Roman" w:hAnsi="Times New Roman" w:cs="Times New Roman"/>
                <w:color w:val="000000" w:themeColor="text1"/>
                <w:sz w:val="20"/>
                <w:szCs w:val="20"/>
                <w:lang w:eastAsia="lv-LV"/>
              </w:rPr>
              <w:t>0</w:t>
            </w:r>
          </w:p>
        </w:tc>
        <w:tc>
          <w:tcPr>
            <w:tcW w:w="1134" w:type="dxa"/>
            <w:tcBorders>
              <w:top w:val="nil"/>
              <w:left w:val="nil"/>
              <w:bottom w:val="single" w:sz="4" w:space="0" w:color="414142"/>
              <w:right w:val="single" w:sz="4" w:space="0" w:color="414142"/>
            </w:tcBorders>
            <w:shd w:val="clear" w:color="000000" w:fill="FFFFFF"/>
            <w:vAlign w:val="center"/>
            <w:hideMark/>
          </w:tcPr>
          <w:p w14:paraId="0AFBC2A7" w14:textId="77777777" w:rsidR="00CB0069" w:rsidRPr="00605CE8" w:rsidRDefault="00CB0069" w:rsidP="004948A0">
            <w:pPr>
              <w:spacing w:after="0" w:line="240" w:lineRule="auto"/>
              <w:jc w:val="center"/>
              <w:rPr>
                <w:rFonts w:ascii="Times New Roman" w:eastAsia="Times New Roman" w:hAnsi="Times New Roman" w:cs="Times New Roman"/>
                <w:color w:val="FF0000"/>
                <w:sz w:val="20"/>
                <w:szCs w:val="20"/>
                <w:lang w:eastAsia="lv-LV"/>
              </w:rPr>
            </w:pPr>
            <w:r w:rsidRPr="00605CE8">
              <w:rPr>
                <w:rFonts w:ascii="Times New Roman" w:eastAsia="Times New Roman" w:hAnsi="Times New Roman" w:cs="Times New Roman"/>
                <w:color w:val="FF0000"/>
                <w:sz w:val="20"/>
                <w:szCs w:val="20"/>
                <w:lang w:eastAsia="lv-LV"/>
              </w:rPr>
              <w:t>192 000</w:t>
            </w:r>
          </w:p>
        </w:tc>
        <w:tc>
          <w:tcPr>
            <w:tcW w:w="1134" w:type="dxa"/>
            <w:tcBorders>
              <w:top w:val="nil"/>
              <w:left w:val="nil"/>
              <w:bottom w:val="single" w:sz="4" w:space="0" w:color="414142"/>
              <w:right w:val="single" w:sz="4" w:space="0" w:color="414142"/>
            </w:tcBorders>
            <w:shd w:val="clear" w:color="000000" w:fill="FFFFFF"/>
            <w:vAlign w:val="center"/>
            <w:hideMark/>
          </w:tcPr>
          <w:p w14:paraId="77674633" w14:textId="77777777" w:rsidR="00CB0069" w:rsidRPr="00384026" w:rsidRDefault="00CB0069" w:rsidP="004948A0">
            <w:pPr>
              <w:spacing w:after="0" w:line="240" w:lineRule="auto"/>
              <w:jc w:val="center"/>
              <w:rPr>
                <w:rFonts w:ascii="Times New Roman" w:eastAsia="Times New Roman" w:hAnsi="Times New Roman" w:cs="Times New Roman"/>
                <w:color w:val="000000" w:themeColor="text1"/>
                <w:sz w:val="20"/>
                <w:szCs w:val="20"/>
                <w:lang w:eastAsia="lv-LV"/>
              </w:rPr>
            </w:pPr>
            <w:r w:rsidRPr="00384026">
              <w:rPr>
                <w:rFonts w:ascii="Times New Roman" w:eastAsia="Times New Roman" w:hAnsi="Times New Roman" w:cs="Times New Roman"/>
                <w:color w:val="000000" w:themeColor="text1"/>
                <w:sz w:val="20"/>
                <w:szCs w:val="20"/>
                <w:lang w:eastAsia="lv-LV"/>
              </w:rPr>
              <w:t>0</w:t>
            </w:r>
          </w:p>
        </w:tc>
        <w:tc>
          <w:tcPr>
            <w:tcW w:w="1276" w:type="dxa"/>
            <w:tcBorders>
              <w:top w:val="nil"/>
              <w:left w:val="nil"/>
              <w:bottom w:val="single" w:sz="4" w:space="0" w:color="414142"/>
              <w:right w:val="single" w:sz="4" w:space="0" w:color="414142"/>
            </w:tcBorders>
            <w:shd w:val="clear" w:color="000000" w:fill="FFFFFF"/>
            <w:vAlign w:val="center"/>
            <w:hideMark/>
          </w:tcPr>
          <w:p w14:paraId="4FFD01F2" w14:textId="6A883331" w:rsidR="00CB0069" w:rsidRPr="00384026" w:rsidRDefault="00C427EC" w:rsidP="004948A0">
            <w:pPr>
              <w:spacing w:after="0" w:line="240" w:lineRule="auto"/>
              <w:jc w:val="center"/>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0</w:t>
            </w:r>
          </w:p>
        </w:tc>
      </w:tr>
      <w:tr w:rsidR="004948A0" w:rsidRPr="00384026" w14:paraId="65CAEE50" w14:textId="77777777" w:rsidTr="00F42DC4">
        <w:trPr>
          <w:trHeight w:val="300"/>
        </w:trPr>
        <w:tc>
          <w:tcPr>
            <w:tcW w:w="3761" w:type="dxa"/>
            <w:tcBorders>
              <w:top w:val="nil"/>
              <w:left w:val="single" w:sz="4" w:space="0" w:color="414142"/>
              <w:bottom w:val="single" w:sz="4" w:space="0" w:color="414142"/>
              <w:right w:val="single" w:sz="4" w:space="0" w:color="414142"/>
            </w:tcBorders>
            <w:shd w:val="clear" w:color="000000" w:fill="F2F2F2"/>
            <w:vAlign w:val="center"/>
            <w:hideMark/>
          </w:tcPr>
          <w:p w14:paraId="1D478910" w14:textId="77777777" w:rsidR="00CB0069" w:rsidRPr="00384026" w:rsidRDefault="00CB0069" w:rsidP="004948A0">
            <w:pPr>
              <w:spacing w:after="0" w:line="240" w:lineRule="auto"/>
              <w:jc w:val="center"/>
              <w:rPr>
                <w:rFonts w:ascii="Times New Roman" w:eastAsia="Times New Roman" w:hAnsi="Times New Roman" w:cs="Times New Roman"/>
                <w:b/>
                <w:bCs/>
                <w:color w:val="000000" w:themeColor="text1"/>
                <w:sz w:val="20"/>
                <w:szCs w:val="20"/>
                <w:lang w:eastAsia="lv-LV"/>
              </w:rPr>
            </w:pPr>
            <w:r w:rsidRPr="00384026">
              <w:rPr>
                <w:rFonts w:ascii="Times New Roman" w:eastAsia="Times New Roman" w:hAnsi="Times New Roman" w:cs="Times New Roman"/>
                <w:b/>
                <w:bCs/>
                <w:color w:val="000000" w:themeColor="text1"/>
                <w:sz w:val="20"/>
                <w:szCs w:val="20"/>
                <w:lang w:eastAsia="lv-LV"/>
              </w:rPr>
              <w:t>Finanšu ministrija</w:t>
            </w:r>
          </w:p>
        </w:tc>
        <w:tc>
          <w:tcPr>
            <w:tcW w:w="770" w:type="dxa"/>
            <w:tcBorders>
              <w:top w:val="nil"/>
              <w:left w:val="nil"/>
              <w:bottom w:val="single" w:sz="4" w:space="0" w:color="414142"/>
              <w:right w:val="single" w:sz="4" w:space="0" w:color="414142"/>
            </w:tcBorders>
            <w:shd w:val="clear" w:color="000000" w:fill="F2F2F2"/>
            <w:vAlign w:val="center"/>
            <w:hideMark/>
          </w:tcPr>
          <w:p w14:paraId="5C61EDB9" w14:textId="77777777" w:rsidR="00CB0069" w:rsidRPr="00384026" w:rsidRDefault="00CB0069" w:rsidP="004948A0">
            <w:pPr>
              <w:spacing w:after="0" w:line="240" w:lineRule="auto"/>
              <w:jc w:val="center"/>
              <w:rPr>
                <w:rFonts w:ascii="Times New Roman" w:eastAsia="Times New Roman" w:hAnsi="Times New Roman" w:cs="Times New Roman"/>
                <w:b/>
                <w:bCs/>
                <w:color w:val="000000" w:themeColor="text1"/>
                <w:sz w:val="20"/>
                <w:szCs w:val="20"/>
                <w:lang w:eastAsia="lv-LV"/>
              </w:rPr>
            </w:pPr>
            <w:r w:rsidRPr="00384026">
              <w:rPr>
                <w:rFonts w:ascii="Times New Roman" w:eastAsia="Times New Roman" w:hAnsi="Times New Roman" w:cs="Times New Roman"/>
                <w:b/>
                <w:bCs/>
                <w:color w:val="000000" w:themeColor="text1"/>
                <w:sz w:val="20"/>
                <w:szCs w:val="20"/>
                <w:lang w:eastAsia="lv-LV"/>
              </w:rPr>
              <w:t>kopā</w:t>
            </w:r>
          </w:p>
        </w:tc>
        <w:tc>
          <w:tcPr>
            <w:tcW w:w="1276" w:type="dxa"/>
            <w:tcBorders>
              <w:top w:val="nil"/>
              <w:left w:val="nil"/>
              <w:bottom w:val="single" w:sz="4" w:space="0" w:color="414142"/>
              <w:right w:val="single" w:sz="4" w:space="0" w:color="414142"/>
            </w:tcBorders>
            <w:shd w:val="clear" w:color="000000" w:fill="F2F2F2"/>
            <w:vAlign w:val="center"/>
            <w:hideMark/>
          </w:tcPr>
          <w:p w14:paraId="33E9B3EA" w14:textId="77777777" w:rsidR="00CB0069" w:rsidRPr="00384026" w:rsidRDefault="00CB0069" w:rsidP="004948A0">
            <w:pPr>
              <w:spacing w:after="0" w:line="240" w:lineRule="auto"/>
              <w:jc w:val="center"/>
              <w:rPr>
                <w:rFonts w:ascii="Times New Roman" w:eastAsia="Times New Roman" w:hAnsi="Times New Roman" w:cs="Times New Roman"/>
                <w:b/>
                <w:bCs/>
                <w:color w:val="000000" w:themeColor="text1"/>
                <w:sz w:val="20"/>
                <w:szCs w:val="20"/>
                <w:lang w:eastAsia="lv-LV"/>
              </w:rPr>
            </w:pPr>
            <w:r w:rsidRPr="00384026">
              <w:rPr>
                <w:rFonts w:ascii="Times New Roman" w:eastAsia="Times New Roman" w:hAnsi="Times New Roman" w:cs="Times New Roman"/>
                <w:b/>
                <w:bCs/>
                <w:color w:val="000000" w:themeColor="text1"/>
                <w:sz w:val="20"/>
                <w:szCs w:val="20"/>
                <w:lang w:eastAsia="lv-LV"/>
              </w:rPr>
              <w:t>0</w:t>
            </w:r>
          </w:p>
        </w:tc>
        <w:tc>
          <w:tcPr>
            <w:tcW w:w="1134" w:type="dxa"/>
            <w:tcBorders>
              <w:top w:val="nil"/>
              <w:left w:val="nil"/>
              <w:bottom w:val="single" w:sz="4" w:space="0" w:color="414142"/>
              <w:right w:val="single" w:sz="4" w:space="0" w:color="414142"/>
            </w:tcBorders>
            <w:shd w:val="clear" w:color="000000" w:fill="F2F2F2"/>
            <w:vAlign w:val="center"/>
            <w:hideMark/>
          </w:tcPr>
          <w:p w14:paraId="27A7EC74" w14:textId="77777777" w:rsidR="00CB0069" w:rsidRPr="00605CE8" w:rsidRDefault="00CB0069" w:rsidP="004948A0">
            <w:pPr>
              <w:spacing w:after="0" w:line="240" w:lineRule="auto"/>
              <w:jc w:val="center"/>
              <w:rPr>
                <w:rFonts w:ascii="Times New Roman" w:eastAsia="Times New Roman" w:hAnsi="Times New Roman" w:cs="Times New Roman"/>
                <w:b/>
                <w:bCs/>
                <w:color w:val="FF0000"/>
                <w:sz w:val="20"/>
                <w:szCs w:val="20"/>
                <w:lang w:eastAsia="lv-LV"/>
              </w:rPr>
            </w:pPr>
            <w:r w:rsidRPr="00605CE8">
              <w:rPr>
                <w:rFonts w:ascii="Times New Roman" w:eastAsia="Times New Roman" w:hAnsi="Times New Roman" w:cs="Times New Roman"/>
                <w:b/>
                <w:bCs/>
                <w:color w:val="FF0000"/>
                <w:sz w:val="20"/>
                <w:szCs w:val="20"/>
                <w:lang w:eastAsia="lv-LV"/>
              </w:rPr>
              <w:t>81 000</w:t>
            </w:r>
          </w:p>
        </w:tc>
        <w:tc>
          <w:tcPr>
            <w:tcW w:w="1134" w:type="dxa"/>
            <w:tcBorders>
              <w:top w:val="nil"/>
              <w:left w:val="nil"/>
              <w:bottom w:val="single" w:sz="4" w:space="0" w:color="414142"/>
              <w:right w:val="single" w:sz="4" w:space="0" w:color="414142"/>
            </w:tcBorders>
            <w:shd w:val="clear" w:color="000000" w:fill="F2F2F2"/>
            <w:vAlign w:val="center"/>
            <w:hideMark/>
          </w:tcPr>
          <w:p w14:paraId="7026ECD0" w14:textId="77777777" w:rsidR="00CB0069" w:rsidRPr="00384026" w:rsidRDefault="00CB0069" w:rsidP="004948A0">
            <w:pPr>
              <w:spacing w:after="0" w:line="240" w:lineRule="auto"/>
              <w:jc w:val="center"/>
              <w:rPr>
                <w:rFonts w:ascii="Times New Roman" w:eastAsia="Times New Roman" w:hAnsi="Times New Roman" w:cs="Times New Roman"/>
                <w:b/>
                <w:bCs/>
                <w:color w:val="000000" w:themeColor="text1"/>
                <w:sz w:val="20"/>
                <w:szCs w:val="20"/>
                <w:lang w:eastAsia="lv-LV"/>
              </w:rPr>
            </w:pPr>
            <w:r w:rsidRPr="00384026">
              <w:rPr>
                <w:rFonts w:ascii="Times New Roman" w:eastAsia="Times New Roman" w:hAnsi="Times New Roman" w:cs="Times New Roman"/>
                <w:b/>
                <w:bCs/>
                <w:color w:val="000000" w:themeColor="text1"/>
                <w:sz w:val="20"/>
                <w:szCs w:val="20"/>
                <w:lang w:eastAsia="lv-LV"/>
              </w:rPr>
              <w:t>0</w:t>
            </w:r>
          </w:p>
        </w:tc>
        <w:tc>
          <w:tcPr>
            <w:tcW w:w="1276" w:type="dxa"/>
            <w:tcBorders>
              <w:top w:val="nil"/>
              <w:left w:val="nil"/>
              <w:bottom w:val="single" w:sz="4" w:space="0" w:color="414142"/>
              <w:right w:val="single" w:sz="4" w:space="0" w:color="414142"/>
            </w:tcBorders>
            <w:shd w:val="clear" w:color="000000" w:fill="F2F2F2"/>
            <w:vAlign w:val="center"/>
            <w:hideMark/>
          </w:tcPr>
          <w:p w14:paraId="2057DD21" w14:textId="77777777" w:rsidR="00CB0069" w:rsidRPr="00384026" w:rsidRDefault="00CB0069" w:rsidP="004948A0">
            <w:pPr>
              <w:spacing w:after="0" w:line="240" w:lineRule="auto"/>
              <w:jc w:val="center"/>
              <w:rPr>
                <w:rFonts w:ascii="Times New Roman" w:eastAsia="Times New Roman" w:hAnsi="Times New Roman" w:cs="Times New Roman"/>
                <w:b/>
                <w:bCs/>
                <w:color w:val="000000" w:themeColor="text1"/>
                <w:sz w:val="20"/>
                <w:szCs w:val="20"/>
                <w:lang w:eastAsia="lv-LV"/>
              </w:rPr>
            </w:pPr>
            <w:r w:rsidRPr="00384026">
              <w:rPr>
                <w:rFonts w:ascii="Times New Roman" w:eastAsia="Times New Roman" w:hAnsi="Times New Roman" w:cs="Times New Roman"/>
                <w:b/>
                <w:bCs/>
                <w:color w:val="000000" w:themeColor="text1"/>
                <w:sz w:val="20"/>
                <w:szCs w:val="20"/>
                <w:lang w:eastAsia="lv-LV"/>
              </w:rPr>
              <w:t>0</w:t>
            </w:r>
          </w:p>
        </w:tc>
      </w:tr>
      <w:tr w:rsidR="004948A0" w:rsidRPr="00384026" w14:paraId="7C6C269D" w14:textId="77777777" w:rsidTr="00F42DC4">
        <w:trPr>
          <w:trHeight w:val="300"/>
        </w:trPr>
        <w:tc>
          <w:tcPr>
            <w:tcW w:w="3761" w:type="dxa"/>
            <w:tcBorders>
              <w:top w:val="nil"/>
              <w:left w:val="single" w:sz="4" w:space="0" w:color="414142"/>
              <w:bottom w:val="single" w:sz="4" w:space="0" w:color="414142"/>
              <w:right w:val="single" w:sz="4" w:space="0" w:color="414142"/>
            </w:tcBorders>
            <w:shd w:val="clear" w:color="000000" w:fill="FFFFFF"/>
            <w:vAlign w:val="center"/>
            <w:hideMark/>
          </w:tcPr>
          <w:p w14:paraId="35255D29" w14:textId="77777777" w:rsidR="00CB0069" w:rsidRPr="00384026" w:rsidRDefault="00795B11" w:rsidP="004948A0">
            <w:pPr>
              <w:spacing w:after="0" w:line="240" w:lineRule="auto"/>
              <w:jc w:val="center"/>
              <w:rPr>
                <w:rFonts w:ascii="Times New Roman" w:eastAsia="Times New Roman" w:hAnsi="Times New Roman" w:cs="Times New Roman"/>
                <w:color w:val="000000" w:themeColor="text1"/>
                <w:sz w:val="20"/>
                <w:szCs w:val="20"/>
                <w:lang w:eastAsia="lv-LV"/>
              </w:rPr>
            </w:pPr>
            <w:r w:rsidRPr="00384026">
              <w:rPr>
                <w:rFonts w:ascii="Times New Roman" w:eastAsia="Times New Roman" w:hAnsi="Times New Roman" w:cs="Times New Roman"/>
                <w:color w:val="000000" w:themeColor="text1"/>
                <w:sz w:val="20"/>
                <w:szCs w:val="20"/>
                <w:lang w:eastAsia="lv-LV"/>
              </w:rPr>
              <w:t>33.00.00 "Valsts ieņēmumu un muitas politikas nodrošināšana"</w:t>
            </w:r>
          </w:p>
        </w:tc>
        <w:tc>
          <w:tcPr>
            <w:tcW w:w="770" w:type="dxa"/>
            <w:tcBorders>
              <w:top w:val="nil"/>
              <w:left w:val="nil"/>
              <w:bottom w:val="single" w:sz="4" w:space="0" w:color="414142"/>
              <w:right w:val="single" w:sz="4" w:space="0" w:color="414142"/>
            </w:tcBorders>
            <w:shd w:val="clear" w:color="000000" w:fill="FFFFFF"/>
            <w:vAlign w:val="center"/>
            <w:hideMark/>
          </w:tcPr>
          <w:p w14:paraId="7573CF86" w14:textId="77777777" w:rsidR="00CB0069" w:rsidRPr="00384026" w:rsidRDefault="00CB0069" w:rsidP="004948A0">
            <w:pPr>
              <w:spacing w:after="0" w:line="240" w:lineRule="auto"/>
              <w:jc w:val="center"/>
              <w:rPr>
                <w:rFonts w:ascii="Times New Roman" w:eastAsia="Times New Roman" w:hAnsi="Times New Roman" w:cs="Times New Roman"/>
                <w:color w:val="000000" w:themeColor="text1"/>
                <w:sz w:val="20"/>
                <w:szCs w:val="20"/>
                <w:lang w:eastAsia="lv-LV"/>
              </w:rPr>
            </w:pPr>
            <w:r w:rsidRPr="00384026">
              <w:rPr>
                <w:rFonts w:ascii="Times New Roman" w:eastAsia="Times New Roman" w:hAnsi="Times New Roman" w:cs="Times New Roman"/>
                <w:color w:val="000000" w:themeColor="text1"/>
                <w:sz w:val="20"/>
                <w:szCs w:val="20"/>
                <w:lang w:eastAsia="lv-LV"/>
              </w:rPr>
              <w:t>22.2.</w:t>
            </w:r>
          </w:p>
        </w:tc>
        <w:tc>
          <w:tcPr>
            <w:tcW w:w="1276" w:type="dxa"/>
            <w:tcBorders>
              <w:top w:val="nil"/>
              <w:left w:val="nil"/>
              <w:bottom w:val="single" w:sz="4" w:space="0" w:color="414142"/>
              <w:right w:val="single" w:sz="4" w:space="0" w:color="414142"/>
            </w:tcBorders>
            <w:shd w:val="clear" w:color="000000" w:fill="FFFFFF"/>
            <w:vAlign w:val="center"/>
            <w:hideMark/>
          </w:tcPr>
          <w:p w14:paraId="76ED3B84" w14:textId="77777777" w:rsidR="00CB0069" w:rsidRPr="00384026" w:rsidRDefault="00CB0069" w:rsidP="004948A0">
            <w:pPr>
              <w:spacing w:after="0" w:line="240" w:lineRule="auto"/>
              <w:jc w:val="center"/>
              <w:rPr>
                <w:rFonts w:ascii="Times New Roman" w:eastAsia="Times New Roman" w:hAnsi="Times New Roman" w:cs="Times New Roman"/>
                <w:color w:val="000000" w:themeColor="text1"/>
                <w:sz w:val="20"/>
                <w:szCs w:val="20"/>
                <w:lang w:eastAsia="lv-LV"/>
              </w:rPr>
            </w:pPr>
            <w:r w:rsidRPr="00384026">
              <w:rPr>
                <w:rFonts w:ascii="Times New Roman" w:eastAsia="Times New Roman" w:hAnsi="Times New Roman" w:cs="Times New Roman"/>
                <w:color w:val="000000" w:themeColor="text1"/>
                <w:sz w:val="20"/>
                <w:szCs w:val="20"/>
                <w:lang w:eastAsia="lv-LV"/>
              </w:rPr>
              <w:t>0</w:t>
            </w:r>
          </w:p>
        </w:tc>
        <w:tc>
          <w:tcPr>
            <w:tcW w:w="1134" w:type="dxa"/>
            <w:tcBorders>
              <w:top w:val="nil"/>
              <w:left w:val="nil"/>
              <w:bottom w:val="single" w:sz="4" w:space="0" w:color="414142"/>
              <w:right w:val="single" w:sz="4" w:space="0" w:color="414142"/>
            </w:tcBorders>
            <w:shd w:val="clear" w:color="000000" w:fill="FFFFFF"/>
            <w:vAlign w:val="center"/>
            <w:hideMark/>
          </w:tcPr>
          <w:p w14:paraId="06113044" w14:textId="77777777" w:rsidR="00CB0069" w:rsidRPr="00605CE8" w:rsidRDefault="00CB0069" w:rsidP="004948A0">
            <w:pPr>
              <w:spacing w:after="0" w:line="240" w:lineRule="auto"/>
              <w:jc w:val="center"/>
              <w:rPr>
                <w:rFonts w:ascii="Times New Roman" w:eastAsia="Times New Roman" w:hAnsi="Times New Roman" w:cs="Times New Roman"/>
                <w:b/>
                <w:color w:val="FF0000"/>
                <w:sz w:val="20"/>
                <w:szCs w:val="20"/>
                <w:lang w:eastAsia="lv-LV"/>
              </w:rPr>
            </w:pPr>
            <w:r w:rsidRPr="00605CE8">
              <w:rPr>
                <w:rFonts w:ascii="Times New Roman" w:eastAsia="Times New Roman" w:hAnsi="Times New Roman" w:cs="Times New Roman"/>
                <w:b/>
                <w:color w:val="FF0000"/>
                <w:sz w:val="20"/>
                <w:szCs w:val="20"/>
                <w:lang w:eastAsia="lv-LV"/>
              </w:rPr>
              <w:t>81 000</w:t>
            </w:r>
          </w:p>
        </w:tc>
        <w:tc>
          <w:tcPr>
            <w:tcW w:w="1134" w:type="dxa"/>
            <w:tcBorders>
              <w:top w:val="nil"/>
              <w:left w:val="nil"/>
              <w:bottom w:val="single" w:sz="4" w:space="0" w:color="414142"/>
              <w:right w:val="single" w:sz="4" w:space="0" w:color="414142"/>
            </w:tcBorders>
            <w:shd w:val="clear" w:color="000000" w:fill="FFFFFF"/>
            <w:vAlign w:val="center"/>
            <w:hideMark/>
          </w:tcPr>
          <w:p w14:paraId="5C75572D" w14:textId="77777777" w:rsidR="00CB0069" w:rsidRPr="00384026" w:rsidRDefault="00CB0069" w:rsidP="004948A0">
            <w:pPr>
              <w:spacing w:after="0" w:line="240" w:lineRule="auto"/>
              <w:jc w:val="center"/>
              <w:rPr>
                <w:rFonts w:ascii="Times New Roman" w:eastAsia="Times New Roman" w:hAnsi="Times New Roman" w:cs="Times New Roman"/>
                <w:color w:val="000000" w:themeColor="text1"/>
                <w:sz w:val="20"/>
                <w:szCs w:val="20"/>
                <w:lang w:eastAsia="lv-LV"/>
              </w:rPr>
            </w:pPr>
            <w:r w:rsidRPr="00384026">
              <w:rPr>
                <w:rFonts w:ascii="Times New Roman" w:eastAsia="Times New Roman" w:hAnsi="Times New Roman" w:cs="Times New Roman"/>
                <w:color w:val="000000" w:themeColor="text1"/>
                <w:sz w:val="20"/>
                <w:szCs w:val="20"/>
                <w:lang w:eastAsia="lv-LV"/>
              </w:rPr>
              <w:t>0</w:t>
            </w:r>
          </w:p>
        </w:tc>
        <w:tc>
          <w:tcPr>
            <w:tcW w:w="1276" w:type="dxa"/>
            <w:tcBorders>
              <w:top w:val="nil"/>
              <w:left w:val="nil"/>
              <w:bottom w:val="single" w:sz="4" w:space="0" w:color="414142"/>
              <w:right w:val="single" w:sz="4" w:space="0" w:color="414142"/>
            </w:tcBorders>
            <w:shd w:val="clear" w:color="000000" w:fill="FFFFFF"/>
            <w:vAlign w:val="center"/>
            <w:hideMark/>
          </w:tcPr>
          <w:p w14:paraId="1C9E3536" w14:textId="77777777" w:rsidR="00CB0069" w:rsidRPr="00384026" w:rsidRDefault="00CB0069" w:rsidP="004948A0">
            <w:pPr>
              <w:spacing w:after="0" w:line="240" w:lineRule="auto"/>
              <w:jc w:val="center"/>
              <w:rPr>
                <w:rFonts w:ascii="Times New Roman" w:eastAsia="Times New Roman" w:hAnsi="Times New Roman" w:cs="Times New Roman"/>
                <w:color w:val="000000" w:themeColor="text1"/>
                <w:sz w:val="20"/>
                <w:szCs w:val="20"/>
                <w:lang w:eastAsia="lv-LV"/>
              </w:rPr>
            </w:pPr>
            <w:r w:rsidRPr="00384026">
              <w:rPr>
                <w:rFonts w:ascii="Times New Roman" w:eastAsia="Times New Roman" w:hAnsi="Times New Roman" w:cs="Times New Roman"/>
                <w:color w:val="000000" w:themeColor="text1"/>
                <w:sz w:val="20"/>
                <w:szCs w:val="20"/>
                <w:lang w:eastAsia="lv-LV"/>
              </w:rPr>
              <w:t>0</w:t>
            </w:r>
          </w:p>
        </w:tc>
      </w:tr>
      <w:tr w:rsidR="004948A0" w:rsidRPr="00384026" w14:paraId="1635B228" w14:textId="77777777" w:rsidTr="00F42DC4">
        <w:trPr>
          <w:trHeight w:val="510"/>
        </w:trPr>
        <w:tc>
          <w:tcPr>
            <w:tcW w:w="3761" w:type="dxa"/>
            <w:tcBorders>
              <w:top w:val="nil"/>
              <w:left w:val="single" w:sz="4" w:space="0" w:color="414142"/>
              <w:bottom w:val="single" w:sz="4" w:space="0" w:color="414142"/>
              <w:right w:val="single" w:sz="4" w:space="0" w:color="414142"/>
            </w:tcBorders>
            <w:shd w:val="clear" w:color="000000" w:fill="F2F2F2"/>
            <w:vAlign w:val="center"/>
            <w:hideMark/>
          </w:tcPr>
          <w:p w14:paraId="5C12589C" w14:textId="77777777" w:rsidR="00CB0069" w:rsidRPr="00384026" w:rsidRDefault="00CB0069" w:rsidP="004948A0">
            <w:pPr>
              <w:spacing w:after="0" w:line="240" w:lineRule="auto"/>
              <w:jc w:val="center"/>
              <w:rPr>
                <w:rFonts w:ascii="Times New Roman" w:eastAsia="Times New Roman" w:hAnsi="Times New Roman" w:cs="Times New Roman"/>
                <w:b/>
                <w:bCs/>
                <w:sz w:val="20"/>
                <w:szCs w:val="20"/>
                <w:lang w:eastAsia="lv-LV"/>
              </w:rPr>
            </w:pPr>
            <w:r w:rsidRPr="00384026">
              <w:rPr>
                <w:rFonts w:ascii="Times New Roman" w:eastAsia="Times New Roman" w:hAnsi="Times New Roman" w:cs="Times New Roman"/>
                <w:b/>
                <w:bCs/>
                <w:sz w:val="20"/>
                <w:szCs w:val="20"/>
                <w:lang w:eastAsia="lv-LV"/>
              </w:rPr>
              <w:t>Veselības ministrija</w:t>
            </w:r>
          </w:p>
        </w:tc>
        <w:tc>
          <w:tcPr>
            <w:tcW w:w="770" w:type="dxa"/>
            <w:tcBorders>
              <w:top w:val="nil"/>
              <w:left w:val="nil"/>
              <w:bottom w:val="single" w:sz="4" w:space="0" w:color="414142"/>
              <w:right w:val="single" w:sz="4" w:space="0" w:color="414142"/>
            </w:tcBorders>
            <w:shd w:val="clear" w:color="000000" w:fill="F2F2F2"/>
            <w:vAlign w:val="center"/>
            <w:hideMark/>
          </w:tcPr>
          <w:p w14:paraId="46DE3103" w14:textId="77777777" w:rsidR="00CB0069" w:rsidRPr="00384026" w:rsidRDefault="00CB0069" w:rsidP="004948A0">
            <w:pPr>
              <w:spacing w:after="0" w:line="240" w:lineRule="auto"/>
              <w:jc w:val="center"/>
              <w:rPr>
                <w:rFonts w:ascii="Times New Roman" w:eastAsia="Times New Roman" w:hAnsi="Times New Roman" w:cs="Times New Roman"/>
                <w:b/>
                <w:bCs/>
                <w:color w:val="000000" w:themeColor="text1"/>
                <w:sz w:val="20"/>
                <w:szCs w:val="20"/>
                <w:lang w:eastAsia="lv-LV"/>
              </w:rPr>
            </w:pPr>
            <w:r w:rsidRPr="00384026">
              <w:rPr>
                <w:rFonts w:ascii="Times New Roman" w:eastAsia="Times New Roman" w:hAnsi="Times New Roman" w:cs="Times New Roman"/>
                <w:b/>
                <w:bCs/>
                <w:color w:val="000000" w:themeColor="text1"/>
                <w:sz w:val="20"/>
                <w:szCs w:val="20"/>
                <w:lang w:eastAsia="lv-LV"/>
              </w:rPr>
              <w:t>kopā</w:t>
            </w:r>
          </w:p>
        </w:tc>
        <w:tc>
          <w:tcPr>
            <w:tcW w:w="1276" w:type="dxa"/>
            <w:tcBorders>
              <w:top w:val="nil"/>
              <w:left w:val="nil"/>
              <w:bottom w:val="single" w:sz="4" w:space="0" w:color="414142"/>
              <w:right w:val="single" w:sz="4" w:space="0" w:color="414142"/>
            </w:tcBorders>
            <w:shd w:val="clear" w:color="000000" w:fill="F2F2F2"/>
            <w:vAlign w:val="center"/>
            <w:hideMark/>
          </w:tcPr>
          <w:p w14:paraId="550B1FD9" w14:textId="77777777" w:rsidR="00CB0069" w:rsidRPr="00384026" w:rsidRDefault="004948A0" w:rsidP="004948A0">
            <w:pPr>
              <w:spacing w:after="0" w:line="240" w:lineRule="auto"/>
              <w:jc w:val="center"/>
              <w:rPr>
                <w:rFonts w:ascii="Times New Roman" w:eastAsia="Times New Roman" w:hAnsi="Times New Roman" w:cs="Times New Roman"/>
                <w:b/>
                <w:color w:val="000000" w:themeColor="text1"/>
                <w:sz w:val="20"/>
                <w:szCs w:val="20"/>
                <w:lang w:eastAsia="lv-LV"/>
              </w:rPr>
            </w:pPr>
            <w:r w:rsidRPr="00384026">
              <w:rPr>
                <w:rFonts w:ascii="Times New Roman" w:eastAsia="Times New Roman" w:hAnsi="Times New Roman" w:cs="Times New Roman"/>
                <w:b/>
                <w:color w:val="000000" w:themeColor="text1"/>
                <w:sz w:val="20"/>
                <w:szCs w:val="20"/>
                <w:lang w:eastAsia="lv-LV"/>
              </w:rPr>
              <w:t>0</w:t>
            </w:r>
          </w:p>
        </w:tc>
        <w:tc>
          <w:tcPr>
            <w:tcW w:w="1134" w:type="dxa"/>
            <w:tcBorders>
              <w:top w:val="nil"/>
              <w:left w:val="nil"/>
              <w:bottom w:val="single" w:sz="4" w:space="0" w:color="414142"/>
              <w:right w:val="single" w:sz="4" w:space="0" w:color="414142"/>
            </w:tcBorders>
            <w:shd w:val="clear" w:color="000000" w:fill="F2F2F2"/>
            <w:vAlign w:val="center"/>
            <w:hideMark/>
          </w:tcPr>
          <w:p w14:paraId="26D1A6EB" w14:textId="77777777" w:rsidR="00CB0069" w:rsidRPr="00605CE8" w:rsidRDefault="00CB0069" w:rsidP="004948A0">
            <w:pPr>
              <w:spacing w:after="0" w:line="240" w:lineRule="auto"/>
              <w:jc w:val="center"/>
              <w:rPr>
                <w:rFonts w:ascii="Times New Roman" w:eastAsia="Times New Roman" w:hAnsi="Times New Roman" w:cs="Times New Roman"/>
                <w:b/>
                <w:bCs/>
                <w:color w:val="FF0000"/>
                <w:sz w:val="20"/>
                <w:szCs w:val="20"/>
                <w:lang w:eastAsia="lv-LV"/>
              </w:rPr>
            </w:pPr>
            <w:r w:rsidRPr="00605CE8">
              <w:rPr>
                <w:rFonts w:ascii="Times New Roman" w:eastAsia="Times New Roman" w:hAnsi="Times New Roman" w:cs="Times New Roman"/>
                <w:b/>
                <w:bCs/>
                <w:color w:val="FF0000"/>
                <w:sz w:val="20"/>
                <w:szCs w:val="20"/>
                <w:lang w:eastAsia="lv-LV"/>
              </w:rPr>
              <w:t>1 366 237</w:t>
            </w:r>
          </w:p>
        </w:tc>
        <w:tc>
          <w:tcPr>
            <w:tcW w:w="1134" w:type="dxa"/>
            <w:tcBorders>
              <w:top w:val="nil"/>
              <w:left w:val="nil"/>
              <w:bottom w:val="single" w:sz="4" w:space="0" w:color="414142"/>
              <w:right w:val="single" w:sz="4" w:space="0" w:color="414142"/>
            </w:tcBorders>
            <w:shd w:val="clear" w:color="000000" w:fill="F2F2F2"/>
            <w:vAlign w:val="center"/>
            <w:hideMark/>
          </w:tcPr>
          <w:p w14:paraId="53FD4C1A" w14:textId="77777777" w:rsidR="00CB0069" w:rsidRPr="00384026" w:rsidRDefault="004948A0" w:rsidP="004948A0">
            <w:pPr>
              <w:spacing w:after="0" w:line="240" w:lineRule="auto"/>
              <w:jc w:val="center"/>
              <w:rPr>
                <w:rFonts w:ascii="Times New Roman" w:eastAsia="Times New Roman" w:hAnsi="Times New Roman" w:cs="Times New Roman"/>
                <w:b/>
                <w:color w:val="000000" w:themeColor="text1"/>
                <w:sz w:val="20"/>
                <w:szCs w:val="20"/>
                <w:lang w:eastAsia="lv-LV"/>
              </w:rPr>
            </w:pPr>
            <w:r w:rsidRPr="00384026">
              <w:rPr>
                <w:rFonts w:ascii="Times New Roman" w:eastAsia="Times New Roman" w:hAnsi="Times New Roman" w:cs="Times New Roman"/>
                <w:b/>
                <w:color w:val="000000" w:themeColor="text1"/>
                <w:sz w:val="20"/>
                <w:szCs w:val="20"/>
                <w:lang w:eastAsia="lv-LV"/>
              </w:rPr>
              <w:t>0</w:t>
            </w:r>
          </w:p>
        </w:tc>
        <w:tc>
          <w:tcPr>
            <w:tcW w:w="1276" w:type="dxa"/>
            <w:tcBorders>
              <w:top w:val="nil"/>
              <w:left w:val="nil"/>
              <w:bottom w:val="single" w:sz="4" w:space="0" w:color="414142"/>
              <w:right w:val="single" w:sz="4" w:space="0" w:color="414142"/>
            </w:tcBorders>
            <w:shd w:val="clear" w:color="000000" w:fill="F2F2F2"/>
            <w:vAlign w:val="center"/>
            <w:hideMark/>
          </w:tcPr>
          <w:p w14:paraId="375D6D45" w14:textId="77777777" w:rsidR="00CB0069" w:rsidRPr="00384026" w:rsidRDefault="004948A0" w:rsidP="004948A0">
            <w:pPr>
              <w:spacing w:after="0" w:line="240" w:lineRule="auto"/>
              <w:jc w:val="center"/>
              <w:rPr>
                <w:rFonts w:ascii="Times New Roman" w:eastAsia="Times New Roman" w:hAnsi="Times New Roman" w:cs="Times New Roman"/>
                <w:b/>
                <w:bCs/>
                <w:color w:val="000000" w:themeColor="text1"/>
                <w:sz w:val="20"/>
                <w:szCs w:val="20"/>
                <w:lang w:eastAsia="lv-LV"/>
              </w:rPr>
            </w:pPr>
            <w:r w:rsidRPr="00384026">
              <w:rPr>
                <w:rFonts w:ascii="Times New Roman" w:eastAsia="Times New Roman" w:hAnsi="Times New Roman" w:cs="Times New Roman"/>
                <w:b/>
                <w:bCs/>
                <w:color w:val="000000" w:themeColor="text1"/>
                <w:sz w:val="20"/>
                <w:szCs w:val="20"/>
                <w:lang w:eastAsia="lv-LV"/>
              </w:rPr>
              <w:t>0</w:t>
            </w:r>
          </w:p>
        </w:tc>
      </w:tr>
      <w:tr w:rsidR="004948A0" w:rsidRPr="00384026" w14:paraId="5F5126FD" w14:textId="77777777" w:rsidTr="00F42DC4">
        <w:trPr>
          <w:trHeight w:val="300"/>
        </w:trPr>
        <w:tc>
          <w:tcPr>
            <w:tcW w:w="3761" w:type="dxa"/>
            <w:tcBorders>
              <w:top w:val="nil"/>
              <w:left w:val="single" w:sz="4" w:space="0" w:color="414142"/>
              <w:bottom w:val="single" w:sz="4" w:space="0" w:color="414142"/>
              <w:right w:val="single" w:sz="4" w:space="0" w:color="414142"/>
            </w:tcBorders>
            <w:shd w:val="clear" w:color="000000" w:fill="FFFFFF"/>
            <w:vAlign w:val="center"/>
            <w:hideMark/>
          </w:tcPr>
          <w:p w14:paraId="250063F4" w14:textId="77777777" w:rsidR="00795B11" w:rsidRPr="00384026" w:rsidRDefault="00795B11" w:rsidP="007A2A7A">
            <w:pPr>
              <w:pStyle w:val="ListParagraph"/>
              <w:numPr>
                <w:ilvl w:val="0"/>
                <w:numId w:val="14"/>
              </w:numPr>
              <w:spacing w:after="0"/>
              <w:jc w:val="both"/>
              <w:rPr>
                <w:rFonts w:ascii="Times New Roman" w:eastAsia="Times New Roman" w:hAnsi="Times New Roman" w:cs="Times New Roman"/>
                <w:sz w:val="20"/>
                <w:szCs w:val="20"/>
                <w:lang w:eastAsia="lv-LV"/>
              </w:rPr>
            </w:pPr>
            <w:r w:rsidRPr="00384026">
              <w:rPr>
                <w:rFonts w:ascii="Times New Roman" w:eastAsia="Times New Roman" w:hAnsi="Times New Roman" w:cs="Times New Roman"/>
                <w:sz w:val="20"/>
                <w:szCs w:val="20"/>
                <w:lang w:eastAsia="lv-LV"/>
              </w:rPr>
              <w:t>33.16.00 "Pārējo ambulatoro veselības aprūpes pakalpojumu nodrošināšana"</w:t>
            </w:r>
          </w:p>
          <w:p w14:paraId="1B073CB1" w14:textId="77777777" w:rsidR="00795B11" w:rsidRPr="00384026" w:rsidRDefault="00795B11" w:rsidP="007A2A7A">
            <w:pPr>
              <w:pStyle w:val="ListParagraph"/>
              <w:numPr>
                <w:ilvl w:val="0"/>
                <w:numId w:val="14"/>
              </w:numPr>
              <w:spacing w:after="0"/>
              <w:jc w:val="both"/>
              <w:rPr>
                <w:rFonts w:ascii="Times New Roman" w:eastAsia="Times New Roman" w:hAnsi="Times New Roman" w:cs="Times New Roman"/>
                <w:sz w:val="20"/>
                <w:szCs w:val="20"/>
                <w:lang w:eastAsia="lv-LV"/>
              </w:rPr>
            </w:pPr>
            <w:r w:rsidRPr="00384026">
              <w:rPr>
                <w:rFonts w:ascii="Times New Roman" w:eastAsia="Times New Roman" w:hAnsi="Times New Roman" w:cs="Times New Roman"/>
                <w:sz w:val="20"/>
                <w:szCs w:val="20"/>
                <w:lang w:eastAsia="lv-LV"/>
              </w:rPr>
              <w:t>33.17.00 "Neatliekamās medicīniskās palīdzības nodrošināšana stacionārās ārstniecības iestādēs"</w:t>
            </w:r>
          </w:p>
          <w:p w14:paraId="7FB01CDA" w14:textId="77777777" w:rsidR="00CB0069" w:rsidRPr="00384026" w:rsidRDefault="00795B11" w:rsidP="007A2A7A">
            <w:pPr>
              <w:pStyle w:val="ListParagraph"/>
              <w:numPr>
                <w:ilvl w:val="0"/>
                <w:numId w:val="14"/>
              </w:numPr>
              <w:spacing w:after="0"/>
              <w:jc w:val="both"/>
              <w:rPr>
                <w:rFonts w:ascii="Times New Roman" w:hAnsi="Times New Roman" w:cs="Times New Roman"/>
                <w:sz w:val="20"/>
                <w:szCs w:val="20"/>
                <w:shd w:val="clear" w:color="auto" w:fill="FFFFFF"/>
              </w:rPr>
            </w:pPr>
            <w:r w:rsidRPr="00384026">
              <w:rPr>
                <w:rFonts w:ascii="Times New Roman" w:eastAsia="Times New Roman" w:hAnsi="Times New Roman" w:cs="Times New Roman"/>
                <w:sz w:val="20"/>
                <w:szCs w:val="20"/>
                <w:lang w:eastAsia="lv-LV"/>
              </w:rPr>
              <w:t>33.18.00 "Plānveida stacionāro veselības aprūpes pakalpojumu nodrošināšana"</w:t>
            </w:r>
          </w:p>
        </w:tc>
        <w:tc>
          <w:tcPr>
            <w:tcW w:w="770" w:type="dxa"/>
            <w:tcBorders>
              <w:top w:val="nil"/>
              <w:left w:val="nil"/>
              <w:bottom w:val="single" w:sz="4" w:space="0" w:color="414142"/>
              <w:right w:val="single" w:sz="4" w:space="0" w:color="414142"/>
            </w:tcBorders>
            <w:shd w:val="clear" w:color="000000" w:fill="FFFFFF"/>
            <w:vAlign w:val="center"/>
            <w:hideMark/>
          </w:tcPr>
          <w:p w14:paraId="224FCD22" w14:textId="77777777" w:rsidR="00CB0069" w:rsidRPr="00384026" w:rsidRDefault="00CB0069" w:rsidP="004948A0">
            <w:pPr>
              <w:spacing w:after="0" w:line="240" w:lineRule="auto"/>
              <w:jc w:val="center"/>
              <w:rPr>
                <w:rFonts w:ascii="Times New Roman" w:eastAsia="Times New Roman" w:hAnsi="Times New Roman" w:cs="Times New Roman"/>
                <w:color w:val="000000" w:themeColor="text1"/>
                <w:sz w:val="20"/>
                <w:szCs w:val="20"/>
                <w:lang w:eastAsia="lv-LV"/>
              </w:rPr>
            </w:pPr>
            <w:r w:rsidRPr="00384026">
              <w:rPr>
                <w:rFonts w:ascii="Times New Roman" w:eastAsia="Times New Roman" w:hAnsi="Times New Roman" w:cs="Times New Roman"/>
                <w:color w:val="000000" w:themeColor="text1"/>
                <w:sz w:val="20"/>
                <w:szCs w:val="20"/>
                <w:lang w:eastAsia="lv-LV"/>
              </w:rPr>
              <w:t>10.</w:t>
            </w:r>
          </w:p>
        </w:tc>
        <w:tc>
          <w:tcPr>
            <w:tcW w:w="1276" w:type="dxa"/>
            <w:tcBorders>
              <w:top w:val="nil"/>
              <w:left w:val="nil"/>
              <w:bottom w:val="single" w:sz="4" w:space="0" w:color="414142"/>
              <w:right w:val="single" w:sz="4" w:space="0" w:color="414142"/>
            </w:tcBorders>
            <w:shd w:val="clear" w:color="000000" w:fill="FFFFFF"/>
            <w:vAlign w:val="center"/>
            <w:hideMark/>
          </w:tcPr>
          <w:p w14:paraId="6A7D6797" w14:textId="77777777" w:rsidR="00CB0069" w:rsidRPr="00384026" w:rsidRDefault="004948A0" w:rsidP="004948A0">
            <w:pPr>
              <w:spacing w:after="0" w:line="240" w:lineRule="auto"/>
              <w:jc w:val="center"/>
              <w:rPr>
                <w:rFonts w:ascii="Times New Roman" w:eastAsia="Times New Roman" w:hAnsi="Times New Roman" w:cs="Times New Roman"/>
                <w:color w:val="000000" w:themeColor="text1"/>
                <w:sz w:val="20"/>
                <w:szCs w:val="20"/>
                <w:lang w:eastAsia="lv-LV"/>
              </w:rPr>
            </w:pPr>
            <w:r w:rsidRPr="00384026">
              <w:rPr>
                <w:rFonts w:ascii="Times New Roman" w:eastAsia="Times New Roman" w:hAnsi="Times New Roman" w:cs="Times New Roman"/>
                <w:color w:val="000000" w:themeColor="text1"/>
                <w:sz w:val="20"/>
                <w:szCs w:val="20"/>
                <w:lang w:eastAsia="lv-LV"/>
              </w:rPr>
              <w:t>0</w:t>
            </w:r>
          </w:p>
        </w:tc>
        <w:tc>
          <w:tcPr>
            <w:tcW w:w="1134" w:type="dxa"/>
            <w:tcBorders>
              <w:top w:val="nil"/>
              <w:left w:val="nil"/>
              <w:bottom w:val="single" w:sz="4" w:space="0" w:color="414142"/>
              <w:right w:val="single" w:sz="4" w:space="0" w:color="414142"/>
            </w:tcBorders>
            <w:shd w:val="clear" w:color="000000" w:fill="FFFFFF"/>
            <w:vAlign w:val="center"/>
            <w:hideMark/>
          </w:tcPr>
          <w:p w14:paraId="67FC0EAE" w14:textId="77777777" w:rsidR="00CB0069" w:rsidRPr="00384026" w:rsidRDefault="00CB0069" w:rsidP="004948A0">
            <w:pPr>
              <w:spacing w:after="0" w:line="240" w:lineRule="auto"/>
              <w:jc w:val="center"/>
              <w:rPr>
                <w:rFonts w:ascii="Times New Roman" w:eastAsia="Times New Roman" w:hAnsi="Times New Roman" w:cs="Times New Roman"/>
                <w:b/>
                <w:color w:val="FF0000"/>
                <w:sz w:val="20"/>
                <w:szCs w:val="20"/>
                <w:lang w:eastAsia="lv-LV"/>
              </w:rPr>
            </w:pPr>
            <w:r w:rsidRPr="00384026">
              <w:rPr>
                <w:rFonts w:ascii="Times New Roman" w:eastAsia="Times New Roman" w:hAnsi="Times New Roman" w:cs="Times New Roman"/>
                <w:b/>
                <w:color w:val="FF0000"/>
                <w:sz w:val="20"/>
                <w:szCs w:val="20"/>
                <w:lang w:eastAsia="lv-LV"/>
              </w:rPr>
              <w:t>373 464</w:t>
            </w:r>
          </w:p>
        </w:tc>
        <w:tc>
          <w:tcPr>
            <w:tcW w:w="1134" w:type="dxa"/>
            <w:tcBorders>
              <w:top w:val="nil"/>
              <w:left w:val="nil"/>
              <w:bottom w:val="single" w:sz="4" w:space="0" w:color="414142"/>
              <w:right w:val="single" w:sz="4" w:space="0" w:color="414142"/>
            </w:tcBorders>
            <w:shd w:val="clear" w:color="000000" w:fill="FFFFFF"/>
            <w:vAlign w:val="center"/>
            <w:hideMark/>
          </w:tcPr>
          <w:p w14:paraId="4BCC0898" w14:textId="77777777" w:rsidR="00CB0069" w:rsidRPr="00384026" w:rsidRDefault="004948A0" w:rsidP="004948A0">
            <w:pPr>
              <w:spacing w:after="0" w:line="240" w:lineRule="auto"/>
              <w:jc w:val="center"/>
              <w:rPr>
                <w:rFonts w:ascii="Times New Roman" w:eastAsia="Times New Roman" w:hAnsi="Times New Roman" w:cs="Times New Roman"/>
                <w:color w:val="000000" w:themeColor="text1"/>
                <w:sz w:val="20"/>
                <w:szCs w:val="20"/>
                <w:lang w:eastAsia="lv-LV"/>
              </w:rPr>
            </w:pPr>
            <w:r w:rsidRPr="00384026">
              <w:rPr>
                <w:rFonts w:ascii="Times New Roman" w:eastAsia="Times New Roman" w:hAnsi="Times New Roman" w:cs="Times New Roman"/>
                <w:color w:val="000000" w:themeColor="text1"/>
                <w:sz w:val="20"/>
                <w:szCs w:val="20"/>
                <w:lang w:eastAsia="lv-LV"/>
              </w:rPr>
              <w:t>0</w:t>
            </w:r>
          </w:p>
        </w:tc>
        <w:tc>
          <w:tcPr>
            <w:tcW w:w="1276" w:type="dxa"/>
            <w:tcBorders>
              <w:top w:val="nil"/>
              <w:left w:val="nil"/>
              <w:bottom w:val="single" w:sz="4" w:space="0" w:color="414142"/>
              <w:right w:val="single" w:sz="4" w:space="0" w:color="414142"/>
            </w:tcBorders>
            <w:shd w:val="clear" w:color="000000" w:fill="FFFFFF"/>
            <w:vAlign w:val="center"/>
            <w:hideMark/>
          </w:tcPr>
          <w:p w14:paraId="6D7291D2" w14:textId="77777777" w:rsidR="00CB0069" w:rsidRPr="00384026" w:rsidRDefault="00CB0069" w:rsidP="004948A0">
            <w:pPr>
              <w:spacing w:after="0" w:line="240" w:lineRule="auto"/>
              <w:jc w:val="center"/>
              <w:rPr>
                <w:rFonts w:ascii="Times New Roman" w:eastAsia="Times New Roman" w:hAnsi="Times New Roman" w:cs="Times New Roman"/>
                <w:color w:val="000000" w:themeColor="text1"/>
                <w:sz w:val="20"/>
                <w:szCs w:val="20"/>
                <w:lang w:eastAsia="lv-LV"/>
              </w:rPr>
            </w:pPr>
            <w:r w:rsidRPr="00384026">
              <w:rPr>
                <w:rFonts w:ascii="Times New Roman" w:eastAsia="Times New Roman" w:hAnsi="Times New Roman" w:cs="Times New Roman"/>
                <w:color w:val="000000" w:themeColor="text1"/>
                <w:sz w:val="20"/>
                <w:szCs w:val="20"/>
                <w:lang w:eastAsia="lv-LV"/>
              </w:rPr>
              <w:t>0</w:t>
            </w:r>
          </w:p>
        </w:tc>
      </w:tr>
      <w:tr w:rsidR="004948A0" w:rsidRPr="00384026" w14:paraId="7B78655B" w14:textId="77777777" w:rsidTr="00F42DC4">
        <w:trPr>
          <w:trHeight w:val="300"/>
        </w:trPr>
        <w:tc>
          <w:tcPr>
            <w:tcW w:w="3761" w:type="dxa"/>
            <w:tcBorders>
              <w:top w:val="nil"/>
              <w:left w:val="single" w:sz="4" w:space="0" w:color="414142"/>
              <w:bottom w:val="single" w:sz="4" w:space="0" w:color="414142"/>
              <w:right w:val="single" w:sz="4" w:space="0" w:color="414142"/>
            </w:tcBorders>
            <w:shd w:val="clear" w:color="000000" w:fill="FFFFFF"/>
            <w:vAlign w:val="center"/>
            <w:hideMark/>
          </w:tcPr>
          <w:p w14:paraId="4751A1EF" w14:textId="77777777" w:rsidR="00CB0069" w:rsidRPr="00384026" w:rsidRDefault="00795B11" w:rsidP="003E77A0">
            <w:pPr>
              <w:spacing w:after="0" w:line="240" w:lineRule="auto"/>
              <w:rPr>
                <w:rFonts w:ascii="Times New Roman" w:eastAsia="Times New Roman" w:hAnsi="Times New Roman" w:cs="Times New Roman"/>
                <w:color w:val="000000" w:themeColor="text1"/>
                <w:sz w:val="20"/>
                <w:szCs w:val="20"/>
                <w:lang w:eastAsia="lv-LV"/>
              </w:rPr>
            </w:pPr>
            <w:r w:rsidRPr="00384026">
              <w:rPr>
                <w:rFonts w:ascii="Times New Roman" w:eastAsia="Times New Roman" w:hAnsi="Times New Roman" w:cs="Times New Roman"/>
                <w:color w:val="000000" w:themeColor="text1"/>
                <w:sz w:val="20"/>
                <w:szCs w:val="20"/>
                <w:lang w:eastAsia="lv-LV"/>
              </w:rPr>
              <w:t>33.16.00 "Pārējo ambulatoro veselības aprūpes pakalpojumu nodrošināšana"</w:t>
            </w:r>
          </w:p>
        </w:tc>
        <w:tc>
          <w:tcPr>
            <w:tcW w:w="770" w:type="dxa"/>
            <w:tcBorders>
              <w:top w:val="nil"/>
              <w:left w:val="nil"/>
              <w:bottom w:val="single" w:sz="4" w:space="0" w:color="414142"/>
              <w:right w:val="single" w:sz="4" w:space="0" w:color="414142"/>
            </w:tcBorders>
            <w:shd w:val="clear" w:color="000000" w:fill="FFFFFF"/>
            <w:vAlign w:val="center"/>
            <w:hideMark/>
          </w:tcPr>
          <w:p w14:paraId="21BE287D" w14:textId="77777777" w:rsidR="00CB0069" w:rsidRPr="00384026" w:rsidRDefault="00CB0069" w:rsidP="004948A0">
            <w:pPr>
              <w:spacing w:after="0" w:line="240" w:lineRule="auto"/>
              <w:jc w:val="center"/>
              <w:rPr>
                <w:rFonts w:ascii="Times New Roman" w:eastAsia="Times New Roman" w:hAnsi="Times New Roman" w:cs="Times New Roman"/>
                <w:color w:val="000000" w:themeColor="text1"/>
                <w:sz w:val="20"/>
                <w:szCs w:val="20"/>
                <w:lang w:eastAsia="lv-LV"/>
              </w:rPr>
            </w:pPr>
            <w:r w:rsidRPr="00384026">
              <w:rPr>
                <w:rFonts w:ascii="Times New Roman" w:eastAsia="Times New Roman" w:hAnsi="Times New Roman" w:cs="Times New Roman"/>
                <w:color w:val="000000" w:themeColor="text1"/>
                <w:sz w:val="20"/>
                <w:szCs w:val="20"/>
                <w:lang w:eastAsia="lv-LV"/>
              </w:rPr>
              <w:t>11.</w:t>
            </w:r>
          </w:p>
        </w:tc>
        <w:tc>
          <w:tcPr>
            <w:tcW w:w="1276" w:type="dxa"/>
            <w:tcBorders>
              <w:top w:val="nil"/>
              <w:left w:val="nil"/>
              <w:bottom w:val="single" w:sz="4" w:space="0" w:color="414142"/>
              <w:right w:val="single" w:sz="4" w:space="0" w:color="414142"/>
            </w:tcBorders>
            <w:shd w:val="clear" w:color="000000" w:fill="FFFFFF"/>
            <w:vAlign w:val="center"/>
            <w:hideMark/>
          </w:tcPr>
          <w:p w14:paraId="17241503" w14:textId="77777777" w:rsidR="00CB0069" w:rsidRPr="00384026" w:rsidRDefault="004948A0" w:rsidP="004948A0">
            <w:pPr>
              <w:spacing w:after="0" w:line="240" w:lineRule="auto"/>
              <w:jc w:val="center"/>
              <w:rPr>
                <w:rFonts w:ascii="Times New Roman" w:eastAsia="Times New Roman" w:hAnsi="Times New Roman" w:cs="Times New Roman"/>
                <w:color w:val="000000" w:themeColor="text1"/>
                <w:sz w:val="20"/>
                <w:szCs w:val="20"/>
                <w:lang w:eastAsia="lv-LV"/>
              </w:rPr>
            </w:pPr>
            <w:r w:rsidRPr="00384026">
              <w:rPr>
                <w:rFonts w:ascii="Times New Roman" w:eastAsia="Times New Roman" w:hAnsi="Times New Roman" w:cs="Times New Roman"/>
                <w:color w:val="000000" w:themeColor="text1"/>
                <w:sz w:val="20"/>
                <w:szCs w:val="20"/>
                <w:lang w:eastAsia="lv-LV"/>
              </w:rPr>
              <w:t>0</w:t>
            </w:r>
          </w:p>
        </w:tc>
        <w:tc>
          <w:tcPr>
            <w:tcW w:w="1134" w:type="dxa"/>
            <w:tcBorders>
              <w:top w:val="nil"/>
              <w:left w:val="nil"/>
              <w:bottom w:val="single" w:sz="4" w:space="0" w:color="414142"/>
              <w:right w:val="single" w:sz="4" w:space="0" w:color="414142"/>
            </w:tcBorders>
            <w:shd w:val="clear" w:color="000000" w:fill="FFFFFF"/>
            <w:vAlign w:val="center"/>
            <w:hideMark/>
          </w:tcPr>
          <w:p w14:paraId="5E46C025" w14:textId="77777777" w:rsidR="00CB0069" w:rsidRPr="00384026" w:rsidRDefault="00CB0069" w:rsidP="004948A0">
            <w:pPr>
              <w:spacing w:after="0" w:line="240" w:lineRule="auto"/>
              <w:jc w:val="center"/>
              <w:rPr>
                <w:rFonts w:ascii="Times New Roman" w:eastAsia="Times New Roman" w:hAnsi="Times New Roman" w:cs="Times New Roman"/>
                <w:b/>
                <w:color w:val="FF0000"/>
                <w:sz w:val="20"/>
                <w:szCs w:val="20"/>
                <w:lang w:eastAsia="lv-LV"/>
              </w:rPr>
            </w:pPr>
            <w:r w:rsidRPr="00384026">
              <w:rPr>
                <w:rFonts w:ascii="Times New Roman" w:eastAsia="Times New Roman" w:hAnsi="Times New Roman" w:cs="Times New Roman"/>
                <w:b/>
                <w:color w:val="FF0000"/>
                <w:sz w:val="20"/>
                <w:szCs w:val="20"/>
                <w:lang w:eastAsia="lv-LV"/>
              </w:rPr>
              <w:t>12 916</w:t>
            </w:r>
          </w:p>
        </w:tc>
        <w:tc>
          <w:tcPr>
            <w:tcW w:w="1134" w:type="dxa"/>
            <w:tcBorders>
              <w:top w:val="nil"/>
              <w:left w:val="nil"/>
              <w:bottom w:val="single" w:sz="4" w:space="0" w:color="414142"/>
              <w:right w:val="single" w:sz="4" w:space="0" w:color="414142"/>
            </w:tcBorders>
            <w:shd w:val="clear" w:color="000000" w:fill="FFFFFF"/>
            <w:vAlign w:val="center"/>
            <w:hideMark/>
          </w:tcPr>
          <w:p w14:paraId="5B464426" w14:textId="77777777" w:rsidR="00CB0069" w:rsidRPr="00384026" w:rsidRDefault="004948A0" w:rsidP="004948A0">
            <w:pPr>
              <w:spacing w:after="0" w:line="240" w:lineRule="auto"/>
              <w:jc w:val="center"/>
              <w:rPr>
                <w:rFonts w:ascii="Times New Roman" w:eastAsia="Times New Roman" w:hAnsi="Times New Roman" w:cs="Times New Roman"/>
                <w:color w:val="000000" w:themeColor="text1"/>
                <w:sz w:val="20"/>
                <w:szCs w:val="20"/>
                <w:lang w:eastAsia="lv-LV"/>
              </w:rPr>
            </w:pPr>
            <w:r w:rsidRPr="00384026">
              <w:rPr>
                <w:rFonts w:ascii="Times New Roman" w:eastAsia="Times New Roman" w:hAnsi="Times New Roman" w:cs="Times New Roman"/>
                <w:color w:val="000000" w:themeColor="text1"/>
                <w:sz w:val="20"/>
                <w:szCs w:val="20"/>
                <w:lang w:eastAsia="lv-LV"/>
              </w:rPr>
              <w:t>0</w:t>
            </w:r>
          </w:p>
        </w:tc>
        <w:tc>
          <w:tcPr>
            <w:tcW w:w="1276" w:type="dxa"/>
            <w:tcBorders>
              <w:top w:val="nil"/>
              <w:left w:val="nil"/>
              <w:bottom w:val="single" w:sz="4" w:space="0" w:color="414142"/>
              <w:right w:val="single" w:sz="4" w:space="0" w:color="414142"/>
            </w:tcBorders>
            <w:shd w:val="clear" w:color="000000" w:fill="FFFFFF"/>
            <w:vAlign w:val="center"/>
            <w:hideMark/>
          </w:tcPr>
          <w:p w14:paraId="31B1578C" w14:textId="77777777" w:rsidR="00CB0069" w:rsidRPr="00384026" w:rsidRDefault="00CB0069" w:rsidP="004948A0">
            <w:pPr>
              <w:spacing w:after="0" w:line="240" w:lineRule="auto"/>
              <w:jc w:val="center"/>
              <w:rPr>
                <w:rFonts w:ascii="Times New Roman" w:eastAsia="Times New Roman" w:hAnsi="Times New Roman" w:cs="Times New Roman"/>
                <w:color w:val="000000" w:themeColor="text1"/>
                <w:sz w:val="20"/>
                <w:szCs w:val="20"/>
                <w:lang w:eastAsia="lv-LV"/>
              </w:rPr>
            </w:pPr>
            <w:r w:rsidRPr="00384026">
              <w:rPr>
                <w:rFonts w:ascii="Times New Roman" w:eastAsia="Times New Roman" w:hAnsi="Times New Roman" w:cs="Times New Roman"/>
                <w:color w:val="000000" w:themeColor="text1"/>
                <w:sz w:val="20"/>
                <w:szCs w:val="20"/>
                <w:lang w:eastAsia="lv-LV"/>
              </w:rPr>
              <w:t>0</w:t>
            </w:r>
          </w:p>
        </w:tc>
      </w:tr>
      <w:tr w:rsidR="004948A0" w:rsidRPr="00384026" w14:paraId="33565CC7" w14:textId="77777777" w:rsidTr="00F42DC4">
        <w:trPr>
          <w:trHeight w:val="300"/>
        </w:trPr>
        <w:tc>
          <w:tcPr>
            <w:tcW w:w="3761" w:type="dxa"/>
            <w:tcBorders>
              <w:top w:val="nil"/>
              <w:left w:val="single" w:sz="4" w:space="0" w:color="414142"/>
              <w:bottom w:val="single" w:sz="4" w:space="0" w:color="414142"/>
              <w:right w:val="single" w:sz="4" w:space="0" w:color="414142"/>
            </w:tcBorders>
            <w:shd w:val="clear" w:color="000000" w:fill="FFFFFF"/>
            <w:vAlign w:val="center"/>
            <w:hideMark/>
          </w:tcPr>
          <w:p w14:paraId="54D5498C" w14:textId="77777777" w:rsidR="00CB0069" w:rsidRPr="00384026" w:rsidRDefault="00795B11" w:rsidP="003E77A0">
            <w:pPr>
              <w:spacing w:after="0" w:line="240" w:lineRule="auto"/>
              <w:rPr>
                <w:rFonts w:ascii="Times New Roman" w:eastAsia="Times New Roman" w:hAnsi="Times New Roman" w:cs="Times New Roman"/>
                <w:color w:val="000000" w:themeColor="text1"/>
                <w:sz w:val="20"/>
                <w:szCs w:val="20"/>
                <w:lang w:eastAsia="lv-LV"/>
              </w:rPr>
            </w:pPr>
            <w:r w:rsidRPr="00384026">
              <w:rPr>
                <w:rFonts w:ascii="Times New Roman" w:eastAsia="Times New Roman" w:hAnsi="Times New Roman" w:cs="Times New Roman"/>
                <w:color w:val="000000" w:themeColor="text1"/>
                <w:sz w:val="20"/>
                <w:szCs w:val="20"/>
                <w:lang w:eastAsia="lv-LV"/>
              </w:rPr>
              <w:t>33.16.00 "Pārējo ambulatoro veselības aprūpes pakalpojumu nodrošināšana"</w:t>
            </w:r>
          </w:p>
        </w:tc>
        <w:tc>
          <w:tcPr>
            <w:tcW w:w="770" w:type="dxa"/>
            <w:tcBorders>
              <w:top w:val="nil"/>
              <w:left w:val="nil"/>
              <w:bottom w:val="single" w:sz="4" w:space="0" w:color="414142"/>
              <w:right w:val="single" w:sz="4" w:space="0" w:color="414142"/>
            </w:tcBorders>
            <w:shd w:val="clear" w:color="000000" w:fill="FFFFFF"/>
            <w:vAlign w:val="center"/>
            <w:hideMark/>
          </w:tcPr>
          <w:p w14:paraId="15735282" w14:textId="77777777" w:rsidR="00CB0069" w:rsidRPr="00384026" w:rsidRDefault="00CB0069" w:rsidP="004948A0">
            <w:pPr>
              <w:spacing w:after="0" w:line="240" w:lineRule="auto"/>
              <w:jc w:val="center"/>
              <w:rPr>
                <w:rFonts w:ascii="Times New Roman" w:eastAsia="Times New Roman" w:hAnsi="Times New Roman" w:cs="Times New Roman"/>
                <w:color w:val="000000" w:themeColor="text1"/>
                <w:sz w:val="20"/>
                <w:szCs w:val="20"/>
                <w:lang w:eastAsia="lv-LV"/>
              </w:rPr>
            </w:pPr>
            <w:r w:rsidRPr="00384026">
              <w:rPr>
                <w:rFonts w:ascii="Times New Roman" w:eastAsia="Times New Roman" w:hAnsi="Times New Roman" w:cs="Times New Roman"/>
                <w:color w:val="000000" w:themeColor="text1"/>
                <w:sz w:val="20"/>
                <w:szCs w:val="20"/>
                <w:lang w:eastAsia="lv-LV"/>
              </w:rPr>
              <w:t>12.1.</w:t>
            </w:r>
          </w:p>
        </w:tc>
        <w:tc>
          <w:tcPr>
            <w:tcW w:w="1276" w:type="dxa"/>
            <w:tcBorders>
              <w:top w:val="nil"/>
              <w:left w:val="nil"/>
              <w:bottom w:val="single" w:sz="4" w:space="0" w:color="414142"/>
              <w:right w:val="single" w:sz="4" w:space="0" w:color="414142"/>
            </w:tcBorders>
            <w:shd w:val="clear" w:color="000000" w:fill="FFFFFF"/>
            <w:vAlign w:val="center"/>
            <w:hideMark/>
          </w:tcPr>
          <w:p w14:paraId="0431061E" w14:textId="77777777" w:rsidR="00CB0069" w:rsidRPr="00384026" w:rsidRDefault="004948A0" w:rsidP="004948A0">
            <w:pPr>
              <w:spacing w:after="0" w:line="240" w:lineRule="auto"/>
              <w:jc w:val="center"/>
              <w:rPr>
                <w:rFonts w:ascii="Times New Roman" w:eastAsia="Times New Roman" w:hAnsi="Times New Roman" w:cs="Times New Roman"/>
                <w:color w:val="000000" w:themeColor="text1"/>
                <w:sz w:val="20"/>
                <w:szCs w:val="20"/>
                <w:lang w:eastAsia="lv-LV"/>
              </w:rPr>
            </w:pPr>
            <w:r w:rsidRPr="00384026">
              <w:rPr>
                <w:rFonts w:ascii="Times New Roman" w:eastAsia="Times New Roman" w:hAnsi="Times New Roman" w:cs="Times New Roman"/>
                <w:color w:val="000000" w:themeColor="text1"/>
                <w:sz w:val="20"/>
                <w:szCs w:val="20"/>
                <w:lang w:eastAsia="lv-LV"/>
              </w:rPr>
              <w:t>0</w:t>
            </w:r>
          </w:p>
        </w:tc>
        <w:tc>
          <w:tcPr>
            <w:tcW w:w="1134" w:type="dxa"/>
            <w:tcBorders>
              <w:top w:val="nil"/>
              <w:left w:val="nil"/>
              <w:bottom w:val="single" w:sz="4" w:space="0" w:color="414142"/>
              <w:right w:val="single" w:sz="4" w:space="0" w:color="414142"/>
            </w:tcBorders>
            <w:shd w:val="clear" w:color="000000" w:fill="FFFFFF"/>
            <w:vAlign w:val="center"/>
            <w:hideMark/>
          </w:tcPr>
          <w:p w14:paraId="67C46BE9" w14:textId="77777777" w:rsidR="00CB0069" w:rsidRPr="00384026" w:rsidRDefault="00CB0069" w:rsidP="004948A0">
            <w:pPr>
              <w:spacing w:after="0" w:line="240" w:lineRule="auto"/>
              <w:jc w:val="center"/>
              <w:rPr>
                <w:rFonts w:ascii="Times New Roman" w:eastAsia="Times New Roman" w:hAnsi="Times New Roman" w:cs="Times New Roman"/>
                <w:b/>
                <w:color w:val="FF0000"/>
                <w:sz w:val="20"/>
                <w:szCs w:val="20"/>
                <w:lang w:eastAsia="lv-LV"/>
              </w:rPr>
            </w:pPr>
            <w:r w:rsidRPr="00384026">
              <w:rPr>
                <w:rFonts w:ascii="Times New Roman" w:eastAsia="Times New Roman" w:hAnsi="Times New Roman" w:cs="Times New Roman"/>
                <w:b/>
                <w:color w:val="FF0000"/>
                <w:sz w:val="20"/>
                <w:szCs w:val="20"/>
                <w:lang w:eastAsia="lv-LV"/>
              </w:rPr>
              <w:t>35 852</w:t>
            </w:r>
          </w:p>
        </w:tc>
        <w:tc>
          <w:tcPr>
            <w:tcW w:w="1134" w:type="dxa"/>
            <w:tcBorders>
              <w:top w:val="nil"/>
              <w:left w:val="nil"/>
              <w:bottom w:val="single" w:sz="4" w:space="0" w:color="414142"/>
              <w:right w:val="single" w:sz="4" w:space="0" w:color="414142"/>
            </w:tcBorders>
            <w:shd w:val="clear" w:color="000000" w:fill="FFFFFF"/>
            <w:vAlign w:val="center"/>
            <w:hideMark/>
          </w:tcPr>
          <w:p w14:paraId="756CC0A1" w14:textId="77777777" w:rsidR="00CB0069" w:rsidRPr="00384026" w:rsidRDefault="004948A0" w:rsidP="004948A0">
            <w:pPr>
              <w:spacing w:after="0" w:line="240" w:lineRule="auto"/>
              <w:jc w:val="center"/>
              <w:rPr>
                <w:rFonts w:ascii="Times New Roman" w:eastAsia="Times New Roman" w:hAnsi="Times New Roman" w:cs="Times New Roman"/>
                <w:color w:val="000000" w:themeColor="text1"/>
                <w:sz w:val="20"/>
                <w:szCs w:val="20"/>
                <w:lang w:eastAsia="lv-LV"/>
              </w:rPr>
            </w:pPr>
            <w:r w:rsidRPr="00384026">
              <w:rPr>
                <w:rFonts w:ascii="Times New Roman" w:eastAsia="Times New Roman" w:hAnsi="Times New Roman" w:cs="Times New Roman"/>
                <w:color w:val="000000" w:themeColor="text1"/>
                <w:sz w:val="20"/>
                <w:szCs w:val="20"/>
                <w:lang w:eastAsia="lv-LV"/>
              </w:rPr>
              <w:t>0</w:t>
            </w:r>
          </w:p>
        </w:tc>
        <w:tc>
          <w:tcPr>
            <w:tcW w:w="1276" w:type="dxa"/>
            <w:tcBorders>
              <w:top w:val="nil"/>
              <w:left w:val="nil"/>
              <w:bottom w:val="single" w:sz="4" w:space="0" w:color="414142"/>
              <w:right w:val="single" w:sz="4" w:space="0" w:color="414142"/>
            </w:tcBorders>
            <w:shd w:val="clear" w:color="000000" w:fill="FFFFFF"/>
            <w:vAlign w:val="center"/>
            <w:hideMark/>
          </w:tcPr>
          <w:p w14:paraId="6826CB69" w14:textId="77777777" w:rsidR="00CB0069" w:rsidRPr="00384026" w:rsidRDefault="00CB0069" w:rsidP="004948A0">
            <w:pPr>
              <w:spacing w:after="0" w:line="240" w:lineRule="auto"/>
              <w:jc w:val="center"/>
              <w:rPr>
                <w:rFonts w:ascii="Times New Roman" w:eastAsia="Times New Roman" w:hAnsi="Times New Roman" w:cs="Times New Roman"/>
                <w:color w:val="000000" w:themeColor="text1"/>
                <w:sz w:val="20"/>
                <w:szCs w:val="20"/>
                <w:lang w:eastAsia="lv-LV"/>
              </w:rPr>
            </w:pPr>
            <w:r w:rsidRPr="00384026">
              <w:rPr>
                <w:rFonts w:ascii="Times New Roman" w:eastAsia="Times New Roman" w:hAnsi="Times New Roman" w:cs="Times New Roman"/>
                <w:color w:val="000000" w:themeColor="text1"/>
                <w:sz w:val="20"/>
                <w:szCs w:val="20"/>
                <w:lang w:eastAsia="lv-LV"/>
              </w:rPr>
              <w:t>0</w:t>
            </w:r>
          </w:p>
        </w:tc>
      </w:tr>
      <w:tr w:rsidR="004948A0" w:rsidRPr="00384026" w14:paraId="78E86021" w14:textId="77777777" w:rsidTr="00F42DC4">
        <w:trPr>
          <w:trHeight w:val="300"/>
        </w:trPr>
        <w:tc>
          <w:tcPr>
            <w:tcW w:w="3761" w:type="dxa"/>
            <w:tcBorders>
              <w:top w:val="nil"/>
              <w:left w:val="single" w:sz="4" w:space="0" w:color="414142"/>
              <w:bottom w:val="single" w:sz="4" w:space="0" w:color="414142"/>
              <w:right w:val="single" w:sz="4" w:space="0" w:color="414142"/>
            </w:tcBorders>
            <w:shd w:val="clear" w:color="000000" w:fill="FFFFFF"/>
            <w:vAlign w:val="center"/>
            <w:hideMark/>
          </w:tcPr>
          <w:p w14:paraId="13320BC6" w14:textId="77777777" w:rsidR="00CB0069" w:rsidRPr="00384026" w:rsidRDefault="00795B11" w:rsidP="003E77A0">
            <w:pPr>
              <w:spacing w:after="0" w:line="240" w:lineRule="auto"/>
              <w:rPr>
                <w:rFonts w:ascii="Times New Roman" w:eastAsia="Times New Roman" w:hAnsi="Times New Roman" w:cs="Times New Roman"/>
                <w:color w:val="000000" w:themeColor="text1"/>
                <w:sz w:val="20"/>
                <w:szCs w:val="20"/>
                <w:lang w:eastAsia="lv-LV"/>
              </w:rPr>
            </w:pPr>
            <w:r w:rsidRPr="00384026">
              <w:rPr>
                <w:rFonts w:ascii="Times New Roman" w:eastAsia="Times New Roman" w:hAnsi="Times New Roman" w:cs="Times New Roman"/>
                <w:color w:val="000000" w:themeColor="text1"/>
                <w:sz w:val="20"/>
                <w:szCs w:val="20"/>
                <w:lang w:eastAsia="lv-LV"/>
              </w:rPr>
              <w:t>33.16.00 "Pārējo ambulatoro veselības aprūpes pakalpojumu nodrošināšana"</w:t>
            </w:r>
          </w:p>
        </w:tc>
        <w:tc>
          <w:tcPr>
            <w:tcW w:w="770" w:type="dxa"/>
            <w:tcBorders>
              <w:top w:val="nil"/>
              <w:left w:val="nil"/>
              <w:bottom w:val="single" w:sz="4" w:space="0" w:color="414142"/>
              <w:right w:val="single" w:sz="4" w:space="0" w:color="414142"/>
            </w:tcBorders>
            <w:shd w:val="clear" w:color="000000" w:fill="FFFFFF"/>
            <w:vAlign w:val="center"/>
            <w:hideMark/>
          </w:tcPr>
          <w:p w14:paraId="01FA575E" w14:textId="77777777" w:rsidR="00CB0069" w:rsidRPr="00384026" w:rsidRDefault="00CB0069" w:rsidP="004948A0">
            <w:pPr>
              <w:spacing w:after="0" w:line="240" w:lineRule="auto"/>
              <w:jc w:val="center"/>
              <w:rPr>
                <w:rFonts w:ascii="Times New Roman" w:eastAsia="Times New Roman" w:hAnsi="Times New Roman" w:cs="Times New Roman"/>
                <w:color w:val="000000" w:themeColor="text1"/>
                <w:sz w:val="20"/>
                <w:szCs w:val="20"/>
                <w:lang w:eastAsia="lv-LV"/>
              </w:rPr>
            </w:pPr>
            <w:r w:rsidRPr="00384026">
              <w:rPr>
                <w:rFonts w:ascii="Times New Roman" w:eastAsia="Times New Roman" w:hAnsi="Times New Roman" w:cs="Times New Roman"/>
                <w:color w:val="000000" w:themeColor="text1"/>
                <w:sz w:val="20"/>
                <w:szCs w:val="20"/>
                <w:lang w:eastAsia="lv-LV"/>
              </w:rPr>
              <w:t>12.2.</w:t>
            </w:r>
          </w:p>
        </w:tc>
        <w:tc>
          <w:tcPr>
            <w:tcW w:w="1276" w:type="dxa"/>
            <w:tcBorders>
              <w:top w:val="nil"/>
              <w:left w:val="nil"/>
              <w:bottom w:val="single" w:sz="4" w:space="0" w:color="414142"/>
              <w:right w:val="single" w:sz="4" w:space="0" w:color="414142"/>
            </w:tcBorders>
            <w:shd w:val="clear" w:color="000000" w:fill="FFFFFF"/>
            <w:vAlign w:val="center"/>
            <w:hideMark/>
          </w:tcPr>
          <w:p w14:paraId="7BF6599B" w14:textId="77777777" w:rsidR="00CB0069" w:rsidRPr="00384026" w:rsidRDefault="004948A0" w:rsidP="004948A0">
            <w:pPr>
              <w:spacing w:after="0" w:line="240" w:lineRule="auto"/>
              <w:jc w:val="center"/>
              <w:rPr>
                <w:rFonts w:ascii="Times New Roman" w:eastAsia="Times New Roman" w:hAnsi="Times New Roman" w:cs="Times New Roman"/>
                <w:color w:val="000000" w:themeColor="text1"/>
                <w:sz w:val="20"/>
                <w:szCs w:val="20"/>
                <w:lang w:eastAsia="lv-LV"/>
              </w:rPr>
            </w:pPr>
            <w:r w:rsidRPr="00384026">
              <w:rPr>
                <w:rFonts w:ascii="Times New Roman" w:eastAsia="Times New Roman" w:hAnsi="Times New Roman" w:cs="Times New Roman"/>
                <w:color w:val="000000" w:themeColor="text1"/>
                <w:sz w:val="20"/>
                <w:szCs w:val="20"/>
                <w:lang w:eastAsia="lv-LV"/>
              </w:rPr>
              <w:t>0</w:t>
            </w:r>
          </w:p>
        </w:tc>
        <w:tc>
          <w:tcPr>
            <w:tcW w:w="1134" w:type="dxa"/>
            <w:tcBorders>
              <w:top w:val="nil"/>
              <w:left w:val="nil"/>
              <w:bottom w:val="single" w:sz="4" w:space="0" w:color="414142"/>
              <w:right w:val="single" w:sz="4" w:space="0" w:color="414142"/>
            </w:tcBorders>
            <w:shd w:val="clear" w:color="000000" w:fill="FFFFFF"/>
            <w:vAlign w:val="center"/>
            <w:hideMark/>
          </w:tcPr>
          <w:p w14:paraId="34D892D0" w14:textId="77777777" w:rsidR="00795B11" w:rsidRPr="00384026" w:rsidRDefault="00CB0069" w:rsidP="004948A0">
            <w:pPr>
              <w:spacing w:after="0" w:line="240" w:lineRule="auto"/>
              <w:jc w:val="center"/>
              <w:rPr>
                <w:rFonts w:ascii="Times New Roman" w:eastAsia="Times New Roman" w:hAnsi="Times New Roman" w:cs="Times New Roman"/>
                <w:b/>
                <w:color w:val="FF0000"/>
                <w:sz w:val="20"/>
                <w:szCs w:val="20"/>
                <w:lang w:eastAsia="lv-LV"/>
              </w:rPr>
            </w:pPr>
            <w:r w:rsidRPr="00384026">
              <w:rPr>
                <w:rFonts w:ascii="Times New Roman" w:eastAsia="Times New Roman" w:hAnsi="Times New Roman" w:cs="Times New Roman"/>
                <w:b/>
                <w:color w:val="FF0000"/>
                <w:sz w:val="20"/>
                <w:szCs w:val="20"/>
                <w:lang w:eastAsia="lv-LV"/>
              </w:rPr>
              <w:t>19 005</w:t>
            </w:r>
          </w:p>
          <w:p w14:paraId="7384F792" w14:textId="77777777" w:rsidR="00CB0069" w:rsidRPr="00384026" w:rsidRDefault="00CB0069" w:rsidP="00795B11">
            <w:pPr>
              <w:rPr>
                <w:rFonts w:ascii="Times New Roman" w:eastAsia="Times New Roman" w:hAnsi="Times New Roman" w:cs="Times New Roman"/>
                <w:b/>
                <w:color w:val="FF0000"/>
                <w:sz w:val="20"/>
                <w:szCs w:val="20"/>
                <w:lang w:eastAsia="lv-LV"/>
              </w:rPr>
            </w:pPr>
          </w:p>
        </w:tc>
        <w:tc>
          <w:tcPr>
            <w:tcW w:w="1134" w:type="dxa"/>
            <w:tcBorders>
              <w:top w:val="nil"/>
              <w:left w:val="nil"/>
              <w:bottom w:val="single" w:sz="4" w:space="0" w:color="414142"/>
              <w:right w:val="single" w:sz="4" w:space="0" w:color="414142"/>
            </w:tcBorders>
            <w:shd w:val="clear" w:color="000000" w:fill="FFFFFF"/>
            <w:vAlign w:val="center"/>
            <w:hideMark/>
          </w:tcPr>
          <w:p w14:paraId="4F1A9D37" w14:textId="77777777" w:rsidR="00CB0069" w:rsidRPr="00384026" w:rsidRDefault="004948A0" w:rsidP="004948A0">
            <w:pPr>
              <w:spacing w:after="0" w:line="240" w:lineRule="auto"/>
              <w:jc w:val="center"/>
              <w:rPr>
                <w:rFonts w:ascii="Times New Roman" w:eastAsia="Times New Roman" w:hAnsi="Times New Roman" w:cs="Times New Roman"/>
                <w:color w:val="000000" w:themeColor="text1"/>
                <w:sz w:val="20"/>
                <w:szCs w:val="20"/>
                <w:lang w:eastAsia="lv-LV"/>
              </w:rPr>
            </w:pPr>
            <w:r w:rsidRPr="00384026">
              <w:rPr>
                <w:rFonts w:ascii="Times New Roman" w:eastAsia="Times New Roman" w:hAnsi="Times New Roman" w:cs="Times New Roman"/>
                <w:color w:val="000000" w:themeColor="text1"/>
                <w:sz w:val="20"/>
                <w:szCs w:val="20"/>
                <w:lang w:eastAsia="lv-LV"/>
              </w:rPr>
              <w:t>0</w:t>
            </w:r>
          </w:p>
        </w:tc>
        <w:tc>
          <w:tcPr>
            <w:tcW w:w="1276" w:type="dxa"/>
            <w:tcBorders>
              <w:top w:val="nil"/>
              <w:left w:val="nil"/>
              <w:bottom w:val="single" w:sz="4" w:space="0" w:color="414142"/>
              <w:right w:val="single" w:sz="4" w:space="0" w:color="414142"/>
            </w:tcBorders>
            <w:shd w:val="clear" w:color="000000" w:fill="FFFFFF"/>
            <w:vAlign w:val="center"/>
            <w:hideMark/>
          </w:tcPr>
          <w:p w14:paraId="4B0E2684" w14:textId="77777777" w:rsidR="00CB0069" w:rsidRPr="00384026" w:rsidRDefault="00CB0069" w:rsidP="004948A0">
            <w:pPr>
              <w:spacing w:after="0" w:line="240" w:lineRule="auto"/>
              <w:jc w:val="center"/>
              <w:rPr>
                <w:rFonts w:ascii="Times New Roman" w:eastAsia="Times New Roman" w:hAnsi="Times New Roman" w:cs="Times New Roman"/>
                <w:color w:val="000000" w:themeColor="text1"/>
                <w:sz w:val="20"/>
                <w:szCs w:val="20"/>
                <w:lang w:eastAsia="lv-LV"/>
              </w:rPr>
            </w:pPr>
            <w:r w:rsidRPr="00384026">
              <w:rPr>
                <w:rFonts w:ascii="Times New Roman" w:eastAsia="Times New Roman" w:hAnsi="Times New Roman" w:cs="Times New Roman"/>
                <w:color w:val="000000" w:themeColor="text1"/>
                <w:sz w:val="20"/>
                <w:szCs w:val="20"/>
                <w:lang w:eastAsia="lv-LV"/>
              </w:rPr>
              <w:t>0</w:t>
            </w:r>
          </w:p>
        </w:tc>
      </w:tr>
      <w:tr w:rsidR="004948A0" w:rsidRPr="00384026" w14:paraId="689B141C" w14:textId="77777777" w:rsidTr="00F42DC4">
        <w:trPr>
          <w:trHeight w:val="300"/>
        </w:trPr>
        <w:tc>
          <w:tcPr>
            <w:tcW w:w="3761" w:type="dxa"/>
            <w:tcBorders>
              <w:top w:val="nil"/>
              <w:left w:val="single" w:sz="4" w:space="0" w:color="414142"/>
              <w:bottom w:val="single" w:sz="4" w:space="0" w:color="414142"/>
              <w:right w:val="single" w:sz="4" w:space="0" w:color="414142"/>
            </w:tcBorders>
            <w:shd w:val="clear" w:color="000000" w:fill="FFFFFF"/>
            <w:vAlign w:val="center"/>
            <w:hideMark/>
          </w:tcPr>
          <w:p w14:paraId="05BCCB73" w14:textId="77777777" w:rsidR="00CB0069" w:rsidRPr="00384026" w:rsidRDefault="00795B11" w:rsidP="003E77A0">
            <w:pPr>
              <w:spacing w:after="0" w:line="240" w:lineRule="auto"/>
              <w:rPr>
                <w:rFonts w:ascii="Times New Roman" w:eastAsia="Times New Roman" w:hAnsi="Times New Roman" w:cs="Times New Roman"/>
                <w:color w:val="000000" w:themeColor="text1"/>
                <w:sz w:val="20"/>
                <w:szCs w:val="20"/>
                <w:lang w:eastAsia="lv-LV"/>
              </w:rPr>
            </w:pPr>
            <w:r w:rsidRPr="00384026">
              <w:rPr>
                <w:rFonts w:ascii="Times New Roman" w:eastAsia="Times New Roman" w:hAnsi="Times New Roman" w:cs="Times New Roman"/>
                <w:color w:val="000000" w:themeColor="text1"/>
                <w:sz w:val="20"/>
                <w:szCs w:val="20"/>
                <w:lang w:eastAsia="lv-LV"/>
              </w:rPr>
              <w:t>33.15.00 "Laboratorisko izmeklējumu nodrošināšana ambulatorajā aprūpē"</w:t>
            </w:r>
          </w:p>
        </w:tc>
        <w:tc>
          <w:tcPr>
            <w:tcW w:w="770" w:type="dxa"/>
            <w:tcBorders>
              <w:top w:val="nil"/>
              <w:left w:val="nil"/>
              <w:bottom w:val="single" w:sz="4" w:space="0" w:color="414142"/>
              <w:right w:val="single" w:sz="4" w:space="0" w:color="414142"/>
            </w:tcBorders>
            <w:shd w:val="clear" w:color="000000" w:fill="FFFFFF"/>
            <w:vAlign w:val="center"/>
            <w:hideMark/>
          </w:tcPr>
          <w:p w14:paraId="36D5BF30" w14:textId="77777777" w:rsidR="00CB0069" w:rsidRPr="00384026" w:rsidRDefault="00CB0069" w:rsidP="004948A0">
            <w:pPr>
              <w:spacing w:after="0" w:line="240" w:lineRule="auto"/>
              <w:jc w:val="center"/>
              <w:rPr>
                <w:rFonts w:ascii="Times New Roman" w:eastAsia="Times New Roman" w:hAnsi="Times New Roman" w:cs="Times New Roman"/>
                <w:color w:val="000000" w:themeColor="text1"/>
                <w:sz w:val="20"/>
                <w:szCs w:val="20"/>
                <w:lang w:eastAsia="lv-LV"/>
              </w:rPr>
            </w:pPr>
            <w:r w:rsidRPr="00384026">
              <w:rPr>
                <w:rFonts w:ascii="Times New Roman" w:eastAsia="Times New Roman" w:hAnsi="Times New Roman" w:cs="Times New Roman"/>
                <w:color w:val="000000" w:themeColor="text1"/>
                <w:sz w:val="20"/>
                <w:szCs w:val="20"/>
                <w:lang w:eastAsia="lv-LV"/>
              </w:rPr>
              <w:t>28.1.</w:t>
            </w:r>
          </w:p>
        </w:tc>
        <w:tc>
          <w:tcPr>
            <w:tcW w:w="1276" w:type="dxa"/>
            <w:tcBorders>
              <w:top w:val="nil"/>
              <w:left w:val="nil"/>
              <w:bottom w:val="single" w:sz="4" w:space="0" w:color="414142"/>
              <w:right w:val="single" w:sz="4" w:space="0" w:color="414142"/>
            </w:tcBorders>
            <w:shd w:val="clear" w:color="000000" w:fill="FFFFFF"/>
            <w:vAlign w:val="center"/>
            <w:hideMark/>
          </w:tcPr>
          <w:p w14:paraId="4114680F" w14:textId="77777777" w:rsidR="00CB0069" w:rsidRPr="00384026" w:rsidRDefault="004948A0" w:rsidP="004948A0">
            <w:pPr>
              <w:spacing w:after="0" w:line="240" w:lineRule="auto"/>
              <w:jc w:val="center"/>
              <w:rPr>
                <w:rFonts w:ascii="Times New Roman" w:eastAsia="Times New Roman" w:hAnsi="Times New Roman" w:cs="Times New Roman"/>
                <w:color w:val="000000" w:themeColor="text1"/>
                <w:sz w:val="20"/>
                <w:szCs w:val="20"/>
                <w:lang w:eastAsia="lv-LV"/>
              </w:rPr>
            </w:pPr>
            <w:r w:rsidRPr="00384026">
              <w:rPr>
                <w:rFonts w:ascii="Times New Roman" w:eastAsia="Times New Roman" w:hAnsi="Times New Roman" w:cs="Times New Roman"/>
                <w:color w:val="000000" w:themeColor="text1"/>
                <w:sz w:val="20"/>
                <w:szCs w:val="20"/>
                <w:lang w:eastAsia="lv-LV"/>
              </w:rPr>
              <w:t>0</w:t>
            </w:r>
          </w:p>
        </w:tc>
        <w:tc>
          <w:tcPr>
            <w:tcW w:w="1134" w:type="dxa"/>
            <w:tcBorders>
              <w:top w:val="nil"/>
              <w:left w:val="nil"/>
              <w:bottom w:val="single" w:sz="4" w:space="0" w:color="414142"/>
              <w:right w:val="single" w:sz="4" w:space="0" w:color="414142"/>
            </w:tcBorders>
            <w:shd w:val="clear" w:color="000000" w:fill="FFFFFF"/>
            <w:vAlign w:val="center"/>
            <w:hideMark/>
          </w:tcPr>
          <w:p w14:paraId="46E8D633" w14:textId="77777777" w:rsidR="00CB0069" w:rsidRPr="00384026" w:rsidRDefault="00CB0069" w:rsidP="004948A0">
            <w:pPr>
              <w:spacing w:after="0" w:line="240" w:lineRule="auto"/>
              <w:jc w:val="center"/>
              <w:rPr>
                <w:rFonts w:ascii="Times New Roman" w:eastAsia="Times New Roman" w:hAnsi="Times New Roman" w:cs="Times New Roman"/>
                <w:b/>
                <w:color w:val="FF0000"/>
                <w:sz w:val="20"/>
                <w:szCs w:val="20"/>
                <w:lang w:eastAsia="lv-LV"/>
              </w:rPr>
            </w:pPr>
            <w:r w:rsidRPr="00384026">
              <w:rPr>
                <w:rFonts w:ascii="Times New Roman" w:eastAsia="Times New Roman" w:hAnsi="Times New Roman" w:cs="Times New Roman"/>
                <w:b/>
                <w:color w:val="FF0000"/>
                <w:sz w:val="20"/>
                <w:szCs w:val="20"/>
                <w:lang w:eastAsia="lv-LV"/>
              </w:rPr>
              <w:t>500 000</w:t>
            </w:r>
          </w:p>
        </w:tc>
        <w:tc>
          <w:tcPr>
            <w:tcW w:w="1134" w:type="dxa"/>
            <w:tcBorders>
              <w:top w:val="nil"/>
              <w:left w:val="nil"/>
              <w:bottom w:val="single" w:sz="4" w:space="0" w:color="414142"/>
              <w:right w:val="single" w:sz="4" w:space="0" w:color="414142"/>
            </w:tcBorders>
            <w:shd w:val="clear" w:color="000000" w:fill="FFFFFF"/>
            <w:vAlign w:val="center"/>
            <w:hideMark/>
          </w:tcPr>
          <w:p w14:paraId="6D6E38B1" w14:textId="77777777" w:rsidR="00CB0069" w:rsidRPr="00384026" w:rsidRDefault="004948A0" w:rsidP="004948A0">
            <w:pPr>
              <w:spacing w:after="0" w:line="240" w:lineRule="auto"/>
              <w:jc w:val="center"/>
              <w:rPr>
                <w:rFonts w:ascii="Times New Roman" w:eastAsia="Times New Roman" w:hAnsi="Times New Roman" w:cs="Times New Roman"/>
                <w:color w:val="000000" w:themeColor="text1"/>
                <w:sz w:val="20"/>
                <w:szCs w:val="20"/>
                <w:lang w:eastAsia="lv-LV"/>
              </w:rPr>
            </w:pPr>
            <w:r w:rsidRPr="00384026">
              <w:rPr>
                <w:rFonts w:ascii="Times New Roman" w:eastAsia="Times New Roman" w:hAnsi="Times New Roman" w:cs="Times New Roman"/>
                <w:color w:val="000000" w:themeColor="text1"/>
                <w:sz w:val="20"/>
                <w:szCs w:val="20"/>
                <w:lang w:eastAsia="lv-LV"/>
              </w:rPr>
              <w:t>0</w:t>
            </w:r>
          </w:p>
        </w:tc>
        <w:tc>
          <w:tcPr>
            <w:tcW w:w="1276" w:type="dxa"/>
            <w:tcBorders>
              <w:top w:val="nil"/>
              <w:left w:val="nil"/>
              <w:bottom w:val="single" w:sz="4" w:space="0" w:color="414142"/>
              <w:right w:val="single" w:sz="4" w:space="0" w:color="414142"/>
            </w:tcBorders>
            <w:shd w:val="clear" w:color="000000" w:fill="FFFFFF"/>
            <w:vAlign w:val="center"/>
            <w:hideMark/>
          </w:tcPr>
          <w:p w14:paraId="3881DA28" w14:textId="77777777" w:rsidR="00CB0069" w:rsidRPr="00384026" w:rsidRDefault="00CB0069" w:rsidP="004948A0">
            <w:pPr>
              <w:spacing w:after="0" w:line="240" w:lineRule="auto"/>
              <w:jc w:val="center"/>
              <w:rPr>
                <w:rFonts w:ascii="Times New Roman" w:eastAsia="Times New Roman" w:hAnsi="Times New Roman" w:cs="Times New Roman"/>
                <w:color w:val="000000" w:themeColor="text1"/>
                <w:sz w:val="20"/>
                <w:szCs w:val="20"/>
                <w:lang w:eastAsia="lv-LV"/>
              </w:rPr>
            </w:pPr>
            <w:r w:rsidRPr="00384026">
              <w:rPr>
                <w:rFonts w:ascii="Times New Roman" w:eastAsia="Times New Roman" w:hAnsi="Times New Roman" w:cs="Times New Roman"/>
                <w:color w:val="000000" w:themeColor="text1"/>
                <w:sz w:val="20"/>
                <w:szCs w:val="20"/>
                <w:lang w:eastAsia="lv-LV"/>
              </w:rPr>
              <w:t>0</w:t>
            </w:r>
          </w:p>
        </w:tc>
      </w:tr>
      <w:tr w:rsidR="004948A0" w:rsidRPr="00384026" w14:paraId="4B512834" w14:textId="77777777" w:rsidTr="00F42DC4">
        <w:trPr>
          <w:trHeight w:val="300"/>
        </w:trPr>
        <w:tc>
          <w:tcPr>
            <w:tcW w:w="3761" w:type="dxa"/>
            <w:tcBorders>
              <w:top w:val="nil"/>
              <w:left w:val="single" w:sz="4" w:space="0" w:color="414142"/>
              <w:bottom w:val="single" w:sz="4" w:space="0" w:color="414142"/>
              <w:right w:val="single" w:sz="4" w:space="0" w:color="414142"/>
            </w:tcBorders>
            <w:shd w:val="clear" w:color="000000" w:fill="FFFFFF"/>
            <w:vAlign w:val="center"/>
            <w:hideMark/>
          </w:tcPr>
          <w:p w14:paraId="205F5F60" w14:textId="77777777" w:rsidR="00CB0069" w:rsidRPr="00384026" w:rsidRDefault="00795B11" w:rsidP="003E77A0">
            <w:pPr>
              <w:spacing w:after="0" w:line="240" w:lineRule="auto"/>
              <w:rPr>
                <w:rFonts w:ascii="Times New Roman" w:eastAsia="Times New Roman" w:hAnsi="Times New Roman" w:cs="Times New Roman"/>
                <w:color w:val="000000" w:themeColor="text1"/>
                <w:sz w:val="20"/>
                <w:szCs w:val="20"/>
                <w:lang w:eastAsia="lv-LV"/>
              </w:rPr>
            </w:pPr>
            <w:r w:rsidRPr="00384026">
              <w:rPr>
                <w:rFonts w:ascii="Times New Roman" w:eastAsia="Times New Roman" w:hAnsi="Times New Roman" w:cs="Times New Roman"/>
                <w:color w:val="000000" w:themeColor="text1"/>
                <w:sz w:val="20"/>
                <w:szCs w:val="20"/>
                <w:lang w:eastAsia="lv-LV"/>
              </w:rPr>
              <w:t>39.06.00 "Tiesu medicīniskā ekspertīze"</w:t>
            </w:r>
          </w:p>
        </w:tc>
        <w:tc>
          <w:tcPr>
            <w:tcW w:w="770" w:type="dxa"/>
            <w:tcBorders>
              <w:top w:val="nil"/>
              <w:left w:val="nil"/>
              <w:bottom w:val="single" w:sz="4" w:space="0" w:color="414142"/>
              <w:right w:val="single" w:sz="4" w:space="0" w:color="414142"/>
            </w:tcBorders>
            <w:shd w:val="clear" w:color="000000" w:fill="FFFFFF"/>
            <w:vAlign w:val="center"/>
            <w:hideMark/>
          </w:tcPr>
          <w:p w14:paraId="05DA9A41" w14:textId="77777777" w:rsidR="00CB0069" w:rsidRPr="00384026" w:rsidRDefault="00CB0069" w:rsidP="004948A0">
            <w:pPr>
              <w:spacing w:after="0" w:line="240" w:lineRule="auto"/>
              <w:jc w:val="center"/>
              <w:rPr>
                <w:rFonts w:ascii="Times New Roman" w:eastAsia="Times New Roman" w:hAnsi="Times New Roman" w:cs="Times New Roman"/>
                <w:color w:val="000000" w:themeColor="text1"/>
                <w:sz w:val="20"/>
                <w:szCs w:val="20"/>
                <w:lang w:eastAsia="lv-LV"/>
              </w:rPr>
            </w:pPr>
            <w:r w:rsidRPr="00384026">
              <w:rPr>
                <w:rFonts w:ascii="Times New Roman" w:eastAsia="Times New Roman" w:hAnsi="Times New Roman" w:cs="Times New Roman"/>
                <w:color w:val="000000" w:themeColor="text1"/>
                <w:sz w:val="20"/>
                <w:szCs w:val="20"/>
                <w:lang w:eastAsia="lv-LV"/>
              </w:rPr>
              <w:t>28.2.</w:t>
            </w:r>
          </w:p>
        </w:tc>
        <w:tc>
          <w:tcPr>
            <w:tcW w:w="1276" w:type="dxa"/>
            <w:tcBorders>
              <w:top w:val="nil"/>
              <w:left w:val="nil"/>
              <w:bottom w:val="single" w:sz="4" w:space="0" w:color="414142"/>
              <w:right w:val="single" w:sz="4" w:space="0" w:color="414142"/>
            </w:tcBorders>
            <w:shd w:val="clear" w:color="000000" w:fill="FFFFFF"/>
            <w:vAlign w:val="center"/>
            <w:hideMark/>
          </w:tcPr>
          <w:p w14:paraId="2E5C61D1" w14:textId="77777777" w:rsidR="00CB0069" w:rsidRPr="00384026" w:rsidRDefault="004948A0" w:rsidP="004948A0">
            <w:pPr>
              <w:spacing w:after="0" w:line="240" w:lineRule="auto"/>
              <w:jc w:val="center"/>
              <w:rPr>
                <w:rFonts w:ascii="Times New Roman" w:eastAsia="Times New Roman" w:hAnsi="Times New Roman" w:cs="Times New Roman"/>
                <w:color w:val="000000" w:themeColor="text1"/>
                <w:sz w:val="20"/>
                <w:szCs w:val="20"/>
                <w:lang w:eastAsia="lv-LV"/>
              </w:rPr>
            </w:pPr>
            <w:r w:rsidRPr="00384026">
              <w:rPr>
                <w:rFonts w:ascii="Times New Roman" w:eastAsia="Times New Roman" w:hAnsi="Times New Roman" w:cs="Times New Roman"/>
                <w:color w:val="000000" w:themeColor="text1"/>
                <w:sz w:val="20"/>
                <w:szCs w:val="20"/>
                <w:lang w:eastAsia="lv-LV"/>
              </w:rPr>
              <w:t>0</w:t>
            </w:r>
          </w:p>
        </w:tc>
        <w:tc>
          <w:tcPr>
            <w:tcW w:w="1134" w:type="dxa"/>
            <w:tcBorders>
              <w:top w:val="nil"/>
              <w:left w:val="nil"/>
              <w:bottom w:val="single" w:sz="4" w:space="0" w:color="414142"/>
              <w:right w:val="single" w:sz="4" w:space="0" w:color="414142"/>
            </w:tcBorders>
            <w:shd w:val="clear" w:color="000000" w:fill="FFFFFF"/>
            <w:vAlign w:val="center"/>
            <w:hideMark/>
          </w:tcPr>
          <w:p w14:paraId="29215D3A" w14:textId="77777777" w:rsidR="00CB0069" w:rsidRPr="00384026" w:rsidRDefault="00CB0069" w:rsidP="004948A0">
            <w:pPr>
              <w:spacing w:after="0" w:line="240" w:lineRule="auto"/>
              <w:jc w:val="center"/>
              <w:rPr>
                <w:rFonts w:ascii="Times New Roman" w:eastAsia="Times New Roman" w:hAnsi="Times New Roman" w:cs="Times New Roman"/>
                <w:b/>
                <w:color w:val="FF0000"/>
                <w:sz w:val="20"/>
                <w:szCs w:val="20"/>
                <w:lang w:eastAsia="lv-LV"/>
              </w:rPr>
            </w:pPr>
            <w:r w:rsidRPr="00384026">
              <w:rPr>
                <w:rFonts w:ascii="Times New Roman" w:eastAsia="Times New Roman" w:hAnsi="Times New Roman" w:cs="Times New Roman"/>
                <w:b/>
                <w:color w:val="FF0000"/>
                <w:sz w:val="20"/>
                <w:szCs w:val="20"/>
                <w:lang w:eastAsia="lv-LV"/>
              </w:rPr>
              <w:t>62 000</w:t>
            </w:r>
          </w:p>
        </w:tc>
        <w:tc>
          <w:tcPr>
            <w:tcW w:w="1134" w:type="dxa"/>
            <w:tcBorders>
              <w:top w:val="nil"/>
              <w:left w:val="nil"/>
              <w:bottom w:val="single" w:sz="4" w:space="0" w:color="414142"/>
              <w:right w:val="single" w:sz="4" w:space="0" w:color="414142"/>
            </w:tcBorders>
            <w:shd w:val="clear" w:color="000000" w:fill="FFFFFF"/>
            <w:vAlign w:val="center"/>
            <w:hideMark/>
          </w:tcPr>
          <w:p w14:paraId="00024CCC" w14:textId="77777777" w:rsidR="00CB0069" w:rsidRPr="00384026" w:rsidRDefault="004948A0" w:rsidP="004948A0">
            <w:pPr>
              <w:spacing w:after="0" w:line="240" w:lineRule="auto"/>
              <w:jc w:val="center"/>
              <w:rPr>
                <w:rFonts w:ascii="Times New Roman" w:eastAsia="Times New Roman" w:hAnsi="Times New Roman" w:cs="Times New Roman"/>
                <w:color w:val="000000" w:themeColor="text1"/>
                <w:sz w:val="20"/>
                <w:szCs w:val="20"/>
                <w:lang w:eastAsia="lv-LV"/>
              </w:rPr>
            </w:pPr>
            <w:r w:rsidRPr="00384026">
              <w:rPr>
                <w:rFonts w:ascii="Times New Roman" w:eastAsia="Times New Roman" w:hAnsi="Times New Roman" w:cs="Times New Roman"/>
                <w:color w:val="000000" w:themeColor="text1"/>
                <w:sz w:val="20"/>
                <w:szCs w:val="20"/>
                <w:lang w:eastAsia="lv-LV"/>
              </w:rPr>
              <w:t>0</w:t>
            </w:r>
          </w:p>
        </w:tc>
        <w:tc>
          <w:tcPr>
            <w:tcW w:w="1276" w:type="dxa"/>
            <w:tcBorders>
              <w:top w:val="nil"/>
              <w:left w:val="nil"/>
              <w:bottom w:val="single" w:sz="4" w:space="0" w:color="414142"/>
              <w:right w:val="single" w:sz="4" w:space="0" w:color="414142"/>
            </w:tcBorders>
            <w:shd w:val="clear" w:color="000000" w:fill="FFFFFF"/>
            <w:vAlign w:val="center"/>
            <w:hideMark/>
          </w:tcPr>
          <w:p w14:paraId="7348CF99" w14:textId="77777777" w:rsidR="00CB0069" w:rsidRPr="00384026" w:rsidRDefault="00CB0069" w:rsidP="004948A0">
            <w:pPr>
              <w:spacing w:after="0" w:line="240" w:lineRule="auto"/>
              <w:jc w:val="center"/>
              <w:rPr>
                <w:rFonts w:ascii="Times New Roman" w:eastAsia="Times New Roman" w:hAnsi="Times New Roman" w:cs="Times New Roman"/>
                <w:color w:val="000000" w:themeColor="text1"/>
                <w:sz w:val="20"/>
                <w:szCs w:val="20"/>
                <w:lang w:eastAsia="lv-LV"/>
              </w:rPr>
            </w:pPr>
            <w:r w:rsidRPr="00384026">
              <w:rPr>
                <w:rFonts w:ascii="Times New Roman" w:eastAsia="Times New Roman" w:hAnsi="Times New Roman" w:cs="Times New Roman"/>
                <w:color w:val="000000" w:themeColor="text1"/>
                <w:sz w:val="20"/>
                <w:szCs w:val="20"/>
                <w:lang w:eastAsia="lv-LV"/>
              </w:rPr>
              <w:t>0</w:t>
            </w:r>
          </w:p>
        </w:tc>
      </w:tr>
      <w:tr w:rsidR="004948A0" w:rsidRPr="00384026" w14:paraId="1A596103" w14:textId="77777777" w:rsidTr="00F42DC4">
        <w:trPr>
          <w:trHeight w:val="300"/>
        </w:trPr>
        <w:tc>
          <w:tcPr>
            <w:tcW w:w="3761" w:type="dxa"/>
            <w:tcBorders>
              <w:top w:val="nil"/>
              <w:left w:val="single" w:sz="4" w:space="0" w:color="414142"/>
              <w:bottom w:val="single" w:sz="4" w:space="0" w:color="414142"/>
              <w:right w:val="single" w:sz="4" w:space="0" w:color="414142"/>
            </w:tcBorders>
            <w:shd w:val="clear" w:color="000000" w:fill="FFFFFF"/>
            <w:vAlign w:val="center"/>
            <w:hideMark/>
          </w:tcPr>
          <w:p w14:paraId="038031D4" w14:textId="77777777" w:rsidR="00CB0069" w:rsidRPr="00384026" w:rsidRDefault="00795B11" w:rsidP="003E77A0">
            <w:pPr>
              <w:spacing w:after="0" w:line="240" w:lineRule="auto"/>
              <w:rPr>
                <w:rFonts w:ascii="Times New Roman" w:eastAsia="Times New Roman" w:hAnsi="Times New Roman" w:cs="Times New Roman"/>
                <w:color w:val="000000" w:themeColor="text1"/>
                <w:sz w:val="20"/>
                <w:szCs w:val="20"/>
                <w:lang w:eastAsia="lv-LV"/>
              </w:rPr>
            </w:pPr>
            <w:r w:rsidRPr="00384026">
              <w:rPr>
                <w:rFonts w:ascii="Times New Roman" w:eastAsia="Times New Roman" w:hAnsi="Times New Roman" w:cs="Times New Roman"/>
                <w:color w:val="000000" w:themeColor="text1"/>
                <w:sz w:val="20"/>
                <w:szCs w:val="20"/>
                <w:lang w:eastAsia="lv-LV"/>
              </w:rPr>
              <w:t>39.06.00 "Tiesu medicīniskā ekspertīze"</w:t>
            </w:r>
          </w:p>
        </w:tc>
        <w:tc>
          <w:tcPr>
            <w:tcW w:w="770" w:type="dxa"/>
            <w:tcBorders>
              <w:top w:val="nil"/>
              <w:left w:val="nil"/>
              <w:bottom w:val="single" w:sz="4" w:space="0" w:color="414142"/>
              <w:right w:val="single" w:sz="4" w:space="0" w:color="414142"/>
            </w:tcBorders>
            <w:shd w:val="clear" w:color="000000" w:fill="FFFFFF"/>
            <w:vAlign w:val="center"/>
            <w:hideMark/>
          </w:tcPr>
          <w:p w14:paraId="68044ACF" w14:textId="77777777" w:rsidR="00CB0069" w:rsidRPr="00384026" w:rsidRDefault="00CB0069" w:rsidP="004948A0">
            <w:pPr>
              <w:spacing w:after="0" w:line="240" w:lineRule="auto"/>
              <w:jc w:val="center"/>
              <w:rPr>
                <w:rFonts w:ascii="Times New Roman" w:eastAsia="Times New Roman" w:hAnsi="Times New Roman" w:cs="Times New Roman"/>
                <w:color w:val="000000" w:themeColor="text1"/>
                <w:sz w:val="20"/>
                <w:szCs w:val="20"/>
                <w:lang w:eastAsia="lv-LV"/>
              </w:rPr>
            </w:pPr>
            <w:r w:rsidRPr="00384026">
              <w:rPr>
                <w:rFonts w:ascii="Times New Roman" w:eastAsia="Times New Roman" w:hAnsi="Times New Roman" w:cs="Times New Roman"/>
                <w:color w:val="000000" w:themeColor="text1"/>
                <w:sz w:val="20"/>
                <w:szCs w:val="20"/>
                <w:lang w:eastAsia="lv-LV"/>
              </w:rPr>
              <w:t>28.3.</w:t>
            </w:r>
          </w:p>
        </w:tc>
        <w:tc>
          <w:tcPr>
            <w:tcW w:w="1276" w:type="dxa"/>
            <w:tcBorders>
              <w:top w:val="nil"/>
              <w:left w:val="nil"/>
              <w:bottom w:val="single" w:sz="4" w:space="0" w:color="414142"/>
              <w:right w:val="single" w:sz="4" w:space="0" w:color="414142"/>
            </w:tcBorders>
            <w:shd w:val="clear" w:color="000000" w:fill="FFFFFF"/>
            <w:vAlign w:val="center"/>
            <w:hideMark/>
          </w:tcPr>
          <w:p w14:paraId="07B6DB44" w14:textId="77777777" w:rsidR="00CB0069" w:rsidRPr="00384026" w:rsidRDefault="004948A0" w:rsidP="004948A0">
            <w:pPr>
              <w:spacing w:after="0" w:line="240" w:lineRule="auto"/>
              <w:jc w:val="center"/>
              <w:rPr>
                <w:rFonts w:ascii="Times New Roman" w:eastAsia="Times New Roman" w:hAnsi="Times New Roman" w:cs="Times New Roman"/>
                <w:color w:val="000000" w:themeColor="text1"/>
                <w:sz w:val="20"/>
                <w:szCs w:val="20"/>
                <w:lang w:eastAsia="lv-LV"/>
              </w:rPr>
            </w:pPr>
            <w:r w:rsidRPr="00384026">
              <w:rPr>
                <w:rFonts w:ascii="Times New Roman" w:eastAsia="Times New Roman" w:hAnsi="Times New Roman" w:cs="Times New Roman"/>
                <w:color w:val="000000" w:themeColor="text1"/>
                <w:sz w:val="20"/>
                <w:szCs w:val="20"/>
                <w:lang w:eastAsia="lv-LV"/>
              </w:rPr>
              <w:t>0</w:t>
            </w:r>
          </w:p>
        </w:tc>
        <w:tc>
          <w:tcPr>
            <w:tcW w:w="1134" w:type="dxa"/>
            <w:tcBorders>
              <w:top w:val="nil"/>
              <w:left w:val="nil"/>
              <w:bottom w:val="single" w:sz="4" w:space="0" w:color="414142"/>
              <w:right w:val="single" w:sz="4" w:space="0" w:color="414142"/>
            </w:tcBorders>
            <w:shd w:val="clear" w:color="000000" w:fill="FFFFFF"/>
            <w:vAlign w:val="center"/>
            <w:hideMark/>
          </w:tcPr>
          <w:p w14:paraId="0D06810B" w14:textId="77777777" w:rsidR="00CB0069" w:rsidRPr="00384026" w:rsidRDefault="00CB0069" w:rsidP="004948A0">
            <w:pPr>
              <w:spacing w:after="0" w:line="240" w:lineRule="auto"/>
              <w:jc w:val="center"/>
              <w:rPr>
                <w:rFonts w:ascii="Times New Roman" w:eastAsia="Times New Roman" w:hAnsi="Times New Roman" w:cs="Times New Roman"/>
                <w:b/>
                <w:color w:val="FF0000"/>
                <w:sz w:val="20"/>
                <w:szCs w:val="20"/>
                <w:lang w:eastAsia="lv-LV"/>
              </w:rPr>
            </w:pPr>
            <w:r w:rsidRPr="00384026">
              <w:rPr>
                <w:rFonts w:ascii="Times New Roman" w:eastAsia="Times New Roman" w:hAnsi="Times New Roman" w:cs="Times New Roman"/>
                <w:b/>
                <w:color w:val="FF0000"/>
                <w:sz w:val="20"/>
                <w:szCs w:val="20"/>
                <w:lang w:eastAsia="lv-LV"/>
              </w:rPr>
              <w:t>363 000</w:t>
            </w:r>
          </w:p>
        </w:tc>
        <w:tc>
          <w:tcPr>
            <w:tcW w:w="1134" w:type="dxa"/>
            <w:tcBorders>
              <w:top w:val="nil"/>
              <w:left w:val="nil"/>
              <w:bottom w:val="single" w:sz="4" w:space="0" w:color="414142"/>
              <w:right w:val="single" w:sz="4" w:space="0" w:color="414142"/>
            </w:tcBorders>
            <w:shd w:val="clear" w:color="000000" w:fill="FFFFFF"/>
            <w:vAlign w:val="center"/>
            <w:hideMark/>
          </w:tcPr>
          <w:p w14:paraId="4D914575" w14:textId="77777777" w:rsidR="00CB0069" w:rsidRPr="00384026" w:rsidRDefault="004948A0" w:rsidP="004948A0">
            <w:pPr>
              <w:spacing w:after="0" w:line="240" w:lineRule="auto"/>
              <w:jc w:val="center"/>
              <w:rPr>
                <w:rFonts w:ascii="Times New Roman" w:eastAsia="Times New Roman" w:hAnsi="Times New Roman" w:cs="Times New Roman"/>
                <w:color w:val="000000" w:themeColor="text1"/>
                <w:sz w:val="20"/>
                <w:szCs w:val="20"/>
                <w:lang w:eastAsia="lv-LV"/>
              </w:rPr>
            </w:pPr>
            <w:r w:rsidRPr="00384026">
              <w:rPr>
                <w:rFonts w:ascii="Times New Roman" w:eastAsia="Times New Roman" w:hAnsi="Times New Roman" w:cs="Times New Roman"/>
                <w:color w:val="000000" w:themeColor="text1"/>
                <w:sz w:val="20"/>
                <w:szCs w:val="20"/>
                <w:lang w:eastAsia="lv-LV"/>
              </w:rPr>
              <w:t>0</w:t>
            </w:r>
          </w:p>
        </w:tc>
        <w:tc>
          <w:tcPr>
            <w:tcW w:w="1276" w:type="dxa"/>
            <w:tcBorders>
              <w:top w:val="nil"/>
              <w:left w:val="nil"/>
              <w:bottom w:val="single" w:sz="4" w:space="0" w:color="414142"/>
              <w:right w:val="single" w:sz="4" w:space="0" w:color="414142"/>
            </w:tcBorders>
            <w:shd w:val="clear" w:color="000000" w:fill="FFFFFF"/>
            <w:vAlign w:val="center"/>
            <w:hideMark/>
          </w:tcPr>
          <w:p w14:paraId="592277C3" w14:textId="77777777" w:rsidR="00CB0069" w:rsidRPr="00384026" w:rsidRDefault="00CB0069" w:rsidP="004948A0">
            <w:pPr>
              <w:spacing w:after="0" w:line="240" w:lineRule="auto"/>
              <w:jc w:val="center"/>
              <w:rPr>
                <w:rFonts w:ascii="Times New Roman" w:eastAsia="Times New Roman" w:hAnsi="Times New Roman" w:cs="Times New Roman"/>
                <w:color w:val="000000" w:themeColor="text1"/>
                <w:sz w:val="20"/>
                <w:szCs w:val="20"/>
                <w:lang w:eastAsia="lv-LV"/>
              </w:rPr>
            </w:pPr>
            <w:r w:rsidRPr="00384026">
              <w:rPr>
                <w:rFonts w:ascii="Times New Roman" w:eastAsia="Times New Roman" w:hAnsi="Times New Roman" w:cs="Times New Roman"/>
                <w:color w:val="000000" w:themeColor="text1"/>
                <w:sz w:val="20"/>
                <w:szCs w:val="20"/>
                <w:lang w:eastAsia="lv-LV"/>
              </w:rPr>
              <w:t>0</w:t>
            </w:r>
          </w:p>
        </w:tc>
      </w:tr>
      <w:tr w:rsidR="004948A0" w:rsidRPr="00384026" w14:paraId="76F5AC69" w14:textId="77777777" w:rsidTr="00F42DC4">
        <w:trPr>
          <w:trHeight w:val="300"/>
        </w:trPr>
        <w:tc>
          <w:tcPr>
            <w:tcW w:w="3761" w:type="dxa"/>
            <w:tcBorders>
              <w:top w:val="nil"/>
              <w:left w:val="single" w:sz="4" w:space="0" w:color="414142"/>
              <w:bottom w:val="single" w:sz="4" w:space="0" w:color="414142"/>
              <w:right w:val="single" w:sz="4" w:space="0" w:color="414142"/>
            </w:tcBorders>
            <w:shd w:val="clear" w:color="000000" w:fill="D9D9D9"/>
            <w:vAlign w:val="center"/>
            <w:hideMark/>
          </w:tcPr>
          <w:p w14:paraId="71EB7C84" w14:textId="77777777" w:rsidR="00CB0069" w:rsidRPr="00384026" w:rsidRDefault="00CB0069" w:rsidP="004948A0">
            <w:pPr>
              <w:spacing w:after="0" w:line="240" w:lineRule="auto"/>
              <w:jc w:val="center"/>
              <w:rPr>
                <w:rFonts w:ascii="Times New Roman" w:eastAsia="Times New Roman" w:hAnsi="Times New Roman" w:cs="Times New Roman"/>
                <w:b/>
                <w:bCs/>
                <w:color w:val="000000" w:themeColor="text1"/>
                <w:sz w:val="20"/>
                <w:szCs w:val="20"/>
                <w:lang w:eastAsia="lv-LV"/>
              </w:rPr>
            </w:pPr>
            <w:r w:rsidRPr="00384026">
              <w:rPr>
                <w:rFonts w:ascii="Times New Roman" w:eastAsia="Times New Roman" w:hAnsi="Times New Roman" w:cs="Times New Roman"/>
                <w:b/>
                <w:bCs/>
                <w:color w:val="000000" w:themeColor="text1"/>
                <w:sz w:val="20"/>
                <w:szCs w:val="20"/>
                <w:lang w:eastAsia="lv-LV"/>
              </w:rPr>
              <w:t>PAVISAM:</w:t>
            </w:r>
          </w:p>
        </w:tc>
        <w:tc>
          <w:tcPr>
            <w:tcW w:w="770" w:type="dxa"/>
            <w:tcBorders>
              <w:top w:val="nil"/>
              <w:left w:val="nil"/>
              <w:bottom w:val="single" w:sz="4" w:space="0" w:color="414142"/>
              <w:right w:val="single" w:sz="4" w:space="0" w:color="414142"/>
            </w:tcBorders>
            <w:shd w:val="clear" w:color="000000" w:fill="D9D9D9"/>
            <w:vAlign w:val="center"/>
            <w:hideMark/>
          </w:tcPr>
          <w:p w14:paraId="7214B848" w14:textId="77777777" w:rsidR="00CB0069" w:rsidRPr="00384026" w:rsidRDefault="00CB0069" w:rsidP="004948A0">
            <w:pPr>
              <w:spacing w:after="0" w:line="240" w:lineRule="auto"/>
              <w:jc w:val="center"/>
              <w:rPr>
                <w:rFonts w:ascii="Times New Roman" w:eastAsia="Times New Roman" w:hAnsi="Times New Roman" w:cs="Times New Roman"/>
                <w:b/>
                <w:bCs/>
                <w:color w:val="000000" w:themeColor="text1"/>
                <w:sz w:val="20"/>
                <w:szCs w:val="20"/>
                <w:lang w:eastAsia="lv-LV"/>
              </w:rPr>
            </w:pPr>
          </w:p>
        </w:tc>
        <w:tc>
          <w:tcPr>
            <w:tcW w:w="1276" w:type="dxa"/>
            <w:tcBorders>
              <w:top w:val="nil"/>
              <w:left w:val="nil"/>
              <w:bottom w:val="single" w:sz="4" w:space="0" w:color="414142"/>
              <w:right w:val="single" w:sz="4" w:space="0" w:color="414142"/>
            </w:tcBorders>
            <w:shd w:val="clear" w:color="000000" w:fill="D9D9D9"/>
            <w:vAlign w:val="center"/>
            <w:hideMark/>
          </w:tcPr>
          <w:p w14:paraId="1FEE8464" w14:textId="77777777" w:rsidR="00CB0069" w:rsidRPr="00384026" w:rsidRDefault="00CB0069" w:rsidP="004948A0">
            <w:pPr>
              <w:spacing w:after="0" w:line="240" w:lineRule="auto"/>
              <w:jc w:val="center"/>
              <w:rPr>
                <w:rFonts w:ascii="Times New Roman" w:eastAsia="Times New Roman" w:hAnsi="Times New Roman" w:cs="Times New Roman"/>
                <w:b/>
                <w:bCs/>
                <w:color w:val="000000" w:themeColor="text1"/>
                <w:sz w:val="20"/>
                <w:szCs w:val="20"/>
                <w:lang w:eastAsia="lv-LV"/>
              </w:rPr>
            </w:pPr>
            <w:r w:rsidRPr="00384026">
              <w:rPr>
                <w:rFonts w:ascii="Times New Roman" w:eastAsia="Times New Roman" w:hAnsi="Times New Roman" w:cs="Times New Roman"/>
                <w:b/>
                <w:bCs/>
                <w:color w:val="000000" w:themeColor="text1"/>
                <w:sz w:val="20"/>
                <w:szCs w:val="20"/>
                <w:lang w:eastAsia="lv-LV"/>
              </w:rPr>
              <w:t>0</w:t>
            </w:r>
          </w:p>
        </w:tc>
        <w:tc>
          <w:tcPr>
            <w:tcW w:w="1134" w:type="dxa"/>
            <w:tcBorders>
              <w:top w:val="nil"/>
              <w:left w:val="nil"/>
              <w:bottom w:val="single" w:sz="4" w:space="0" w:color="414142"/>
              <w:right w:val="single" w:sz="4" w:space="0" w:color="414142"/>
            </w:tcBorders>
            <w:shd w:val="clear" w:color="000000" w:fill="D9D9D9"/>
            <w:vAlign w:val="center"/>
            <w:hideMark/>
          </w:tcPr>
          <w:p w14:paraId="1C59A8E7" w14:textId="77777777" w:rsidR="00CB0069" w:rsidRPr="00384026" w:rsidRDefault="00CB0069" w:rsidP="004948A0">
            <w:pPr>
              <w:spacing w:after="0" w:line="240" w:lineRule="auto"/>
              <w:jc w:val="center"/>
              <w:rPr>
                <w:rFonts w:ascii="Times New Roman" w:eastAsia="Times New Roman" w:hAnsi="Times New Roman" w:cs="Times New Roman"/>
                <w:b/>
                <w:bCs/>
                <w:color w:val="000000" w:themeColor="text1"/>
                <w:sz w:val="20"/>
                <w:szCs w:val="20"/>
                <w:lang w:eastAsia="lv-LV"/>
              </w:rPr>
            </w:pPr>
            <w:r w:rsidRPr="00384026">
              <w:rPr>
                <w:rFonts w:ascii="Times New Roman" w:eastAsia="Times New Roman" w:hAnsi="Times New Roman" w:cs="Times New Roman"/>
                <w:b/>
                <w:bCs/>
                <w:color w:val="000000" w:themeColor="text1"/>
                <w:sz w:val="20"/>
                <w:szCs w:val="20"/>
                <w:lang w:eastAsia="lv-LV"/>
              </w:rPr>
              <w:t>1 639 237</w:t>
            </w:r>
          </w:p>
        </w:tc>
        <w:tc>
          <w:tcPr>
            <w:tcW w:w="1134" w:type="dxa"/>
            <w:tcBorders>
              <w:top w:val="nil"/>
              <w:left w:val="nil"/>
              <w:bottom w:val="single" w:sz="4" w:space="0" w:color="414142"/>
              <w:right w:val="single" w:sz="4" w:space="0" w:color="414142"/>
            </w:tcBorders>
            <w:shd w:val="clear" w:color="000000" w:fill="D9D9D9"/>
            <w:vAlign w:val="center"/>
            <w:hideMark/>
          </w:tcPr>
          <w:p w14:paraId="36B15EB7" w14:textId="77777777" w:rsidR="00CB0069" w:rsidRPr="00384026" w:rsidRDefault="00CB0069" w:rsidP="004948A0">
            <w:pPr>
              <w:spacing w:after="0" w:line="240" w:lineRule="auto"/>
              <w:jc w:val="center"/>
              <w:rPr>
                <w:rFonts w:ascii="Times New Roman" w:eastAsia="Times New Roman" w:hAnsi="Times New Roman" w:cs="Times New Roman"/>
                <w:b/>
                <w:bCs/>
                <w:color w:val="000000" w:themeColor="text1"/>
                <w:sz w:val="20"/>
                <w:szCs w:val="20"/>
                <w:lang w:eastAsia="lv-LV"/>
              </w:rPr>
            </w:pPr>
            <w:r w:rsidRPr="00384026">
              <w:rPr>
                <w:rFonts w:ascii="Times New Roman" w:eastAsia="Times New Roman" w:hAnsi="Times New Roman" w:cs="Times New Roman"/>
                <w:b/>
                <w:bCs/>
                <w:color w:val="000000" w:themeColor="text1"/>
                <w:sz w:val="20"/>
                <w:szCs w:val="20"/>
                <w:lang w:eastAsia="lv-LV"/>
              </w:rPr>
              <w:t>0</w:t>
            </w:r>
          </w:p>
        </w:tc>
        <w:tc>
          <w:tcPr>
            <w:tcW w:w="1276" w:type="dxa"/>
            <w:tcBorders>
              <w:top w:val="nil"/>
              <w:left w:val="nil"/>
              <w:bottom w:val="single" w:sz="4" w:space="0" w:color="414142"/>
              <w:right w:val="single" w:sz="4" w:space="0" w:color="414142"/>
            </w:tcBorders>
            <w:shd w:val="clear" w:color="000000" w:fill="D9D9D9"/>
            <w:vAlign w:val="center"/>
            <w:hideMark/>
          </w:tcPr>
          <w:p w14:paraId="4D8B602E" w14:textId="197110A7" w:rsidR="00CB0069" w:rsidRPr="00384026" w:rsidRDefault="00BA3D68" w:rsidP="004948A0">
            <w:pPr>
              <w:spacing w:after="0" w:line="240" w:lineRule="auto"/>
              <w:jc w:val="center"/>
              <w:rPr>
                <w:rFonts w:ascii="Times New Roman" w:eastAsia="Times New Roman" w:hAnsi="Times New Roman" w:cs="Times New Roman"/>
                <w:b/>
                <w:bCs/>
                <w:color w:val="000000" w:themeColor="text1"/>
                <w:sz w:val="20"/>
                <w:szCs w:val="20"/>
                <w:lang w:eastAsia="lv-LV"/>
              </w:rPr>
            </w:pPr>
            <w:r>
              <w:rPr>
                <w:rFonts w:ascii="Times New Roman" w:eastAsia="Times New Roman" w:hAnsi="Times New Roman" w:cs="Times New Roman"/>
                <w:b/>
                <w:bCs/>
                <w:color w:val="000000" w:themeColor="text1"/>
                <w:sz w:val="20"/>
                <w:szCs w:val="20"/>
                <w:lang w:eastAsia="lv-LV"/>
              </w:rPr>
              <w:t>0</w:t>
            </w:r>
          </w:p>
        </w:tc>
      </w:tr>
    </w:tbl>
    <w:p w14:paraId="49E420F8" w14:textId="77777777" w:rsidR="00CB0069" w:rsidRPr="00384026" w:rsidRDefault="00CB0069" w:rsidP="00402782">
      <w:pPr>
        <w:jc w:val="both"/>
        <w:rPr>
          <w:rFonts w:ascii="Times New Roman" w:hAnsi="Times New Roman" w:cs="Times New Roman"/>
          <w:color w:val="000000" w:themeColor="text1"/>
        </w:rPr>
      </w:pPr>
      <w:r w:rsidRPr="00384026">
        <w:rPr>
          <w:rFonts w:ascii="Times New Roman" w:hAnsi="Times New Roman" w:cs="Times New Roman"/>
          <w:color w:val="000000" w:themeColor="text1"/>
          <w:sz w:val="20"/>
          <w:szCs w:val="20"/>
        </w:rPr>
        <w:fldChar w:fldCharType="end"/>
      </w:r>
    </w:p>
    <w:p w14:paraId="4FD1A86E" w14:textId="0C4DA529" w:rsidR="006E5732" w:rsidRPr="00384026" w:rsidRDefault="0013657B" w:rsidP="006E5732">
      <w:pPr>
        <w:spacing w:after="0" w:line="276" w:lineRule="auto"/>
        <w:ind w:firstLine="720"/>
        <w:jc w:val="both"/>
        <w:rPr>
          <w:rFonts w:ascii="Times New Roman" w:hAnsi="Times New Roman" w:cs="Times New Roman"/>
          <w:color w:val="000000" w:themeColor="text1"/>
          <w:sz w:val="24"/>
          <w:szCs w:val="24"/>
        </w:rPr>
      </w:pPr>
      <w:r w:rsidRPr="00384026">
        <w:rPr>
          <w:rFonts w:ascii="Times New Roman" w:hAnsi="Times New Roman" w:cs="Times New Roman"/>
          <w:color w:val="000000" w:themeColor="text1"/>
          <w:sz w:val="24"/>
          <w:szCs w:val="24"/>
        </w:rPr>
        <w:t>Tātad li</w:t>
      </w:r>
      <w:r w:rsidR="009101FC" w:rsidRPr="00384026">
        <w:rPr>
          <w:rFonts w:ascii="Times New Roman" w:hAnsi="Times New Roman" w:cs="Times New Roman"/>
          <w:color w:val="000000" w:themeColor="text1"/>
          <w:sz w:val="24"/>
          <w:szCs w:val="24"/>
        </w:rPr>
        <w:t xml:space="preserve">ela daļa </w:t>
      </w:r>
      <w:r w:rsidR="00D06B27">
        <w:rPr>
          <w:rFonts w:ascii="Times New Roman" w:hAnsi="Times New Roman" w:cs="Times New Roman"/>
          <w:color w:val="000000" w:themeColor="text1"/>
          <w:sz w:val="24"/>
          <w:szCs w:val="24"/>
        </w:rPr>
        <w:t xml:space="preserve">Plāna </w:t>
      </w:r>
      <w:r w:rsidR="009101FC" w:rsidRPr="00384026">
        <w:rPr>
          <w:rFonts w:ascii="Times New Roman" w:hAnsi="Times New Roman" w:cs="Times New Roman"/>
          <w:color w:val="000000" w:themeColor="text1"/>
          <w:sz w:val="24"/>
          <w:szCs w:val="24"/>
        </w:rPr>
        <w:t>pasākumu netika izpildīti</w:t>
      </w:r>
      <w:r w:rsidRPr="00384026">
        <w:rPr>
          <w:rFonts w:ascii="Times New Roman" w:hAnsi="Times New Roman" w:cs="Times New Roman"/>
          <w:color w:val="000000" w:themeColor="text1"/>
          <w:sz w:val="24"/>
          <w:szCs w:val="24"/>
        </w:rPr>
        <w:t xml:space="preserve">, jo netika piešķirts papildu </w:t>
      </w:r>
      <w:r w:rsidR="009101FC" w:rsidRPr="00384026">
        <w:rPr>
          <w:rFonts w:ascii="Times New Roman" w:hAnsi="Times New Roman" w:cs="Times New Roman"/>
          <w:color w:val="000000" w:themeColor="text1"/>
          <w:sz w:val="24"/>
          <w:szCs w:val="24"/>
        </w:rPr>
        <w:t xml:space="preserve">budžeta </w:t>
      </w:r>
      <w:r w:rsidRPr="00384026">
        <w:rPr>
          <w:rFonts w:ascii="Times New Roman" w:hAnsi="Times New Roman" w:cs="Times New Roman"/>
          <w:color w:val="000000" w:themeColor="text1"/>
          <w:sz w:val="24"/>
          <w:szCs w:val="24"/>
        </w:rPr>
        <w:t>finansējums</w:t>
      </w:r>
      <w:r w:rsidR="009101FC" w:rsidRPr="00384026">
        <w:rPr>
          <w:rFonts w:ascii="Times New Roman" w:hAnsi="Times New Roman" w:cs="Times New Roman"/>
          <w:color w:val="000000" w:themeColor="text1"/>
          <w:sz w:val="24"/>
          <w:szCs w:val="24"/>
        </w:rPr>
        <w:t>, it īpaši</w:t>
      </w:r>
      <w:r w:rsidR="00E067F2" w:rsidRPr="00384026">
        <w:rPr>
          <w:rFonts w:ascii="Times New Roman" w:hAnsi="Times New Roman" w:cs="Times New Roman"/>
          <w:color w:val="000000" w:themeColor="text1"/>
          <w:sz w:val="24"/>
          <w:szCs w:val="24"/>
        </w:rPr>
        <w:t xml:space="preserve"> attiecībā uz </w:t>
      </w:r>
      <w:r w:rsidR="00DC0B6E">
        <w:rPr>
          <w:rFonts w:ascii="Times New Roman" w:hAnsi="Times New Roman" w:cs="Times New Roman"/>
          <w:color w:val="000000" w:themeColor="text1"/>
          <w:sz w:val="24"/>
          <w:szCs w:val="24"/>
        </w:rPr>
        <w:t xml:space="preserve">narkoloģiskās </w:t>
      </w:r>
      <w:r w:rsidR="00E067F2" w:rsidRPr="00384026">
        <w:rPr>
          <w:rFonts w:ascii="Times New Roman" w:hAnsi="Times New Roman" w:cs="Times New Roman"/>
          <w:color w:val="000000" w:themeColor="text1"/>
          <w:sz w:val="24"/>
          <w:szCs w:val="24"/>
        </w:rPr>
        <w:t>ārstniecības pakalpojum</w:t>
      </w:r>
      <w:r w:rsidR="00DC0B6E">
        <w:rPr>
          <w:rFonts w:ascii="Times New Roman" w:hAnsi="Times New Roman" w:cs="Times New Roman"/>
          <w:color w:val="000000" w:themeColor="text1"/>
          <w:sz w:val="24"/>
          <w:szCs w:val="24"/>
        </w:rPr>
        <w:t>u</w:t>
      </w:r>
      <w:r w:rsidR="00E067F2" w:rsidRPr="00384026">
        <w:rPr>
          <w:rFonts w:ascii="Times New Roman" w:hAnsi="Times New Roman" w:cs="Times New Roman"/>
          <w:color w:val="000000" w:themeColor="text1"/>
          <w:sz w:val="24"/>
          <w:szCs w:val="24"/>
        </w:rPr>
        <w:t xml:space="preserve"> paplašināšan</w:t>
      </w:r>
      <w:r w:rsidR="00DC0B6E">
        <w:rPr>
          <w:rFonts w:ascii="Times New Roman" w:hAnsi="Times New Roman" w:cs="Times New Roman"/>
          <w:color w:val="000000" w:themeColor="text1"/>
          <w:sz w:val="24"/>
          <w:szCs w:val="24"/>
        </w:rPr>
        <w:t>u</w:t>
      </w:r>
      <w:r w:rsidR="00E067F2" w:rsidRPr="00384026">
        <w:rPr>
          <w:rFonts w:ascii="Times New Roman" w:hAnsi="Times New Roman" w:cs="Times New Roman"/>
          <w:color w:val="000000" w:themeColor="text1"/>
          <w:sz w:val="24"/>
          <w:szCs w:val="24"/>
        </w:rPr>
        <w:t xml:space="preserve"> un pieejamības uzlabošan</w:t>
      </w:r>
      <w:r w:rsidR="00DC0B6E">
        <w:rPr>
          <w:rFonts w:ascii="Times New Roman" w:hAnsi="Times New Roman" w:cs="Times New Roman"/>
          <w:color w:val="000000" w:themeColor="text1"/>
          <w:sz w:val="24"/>
          <w:szCs w:val="24"/>
        </w:rPr>
        <w:t>u</w:t>
      </w:r>
      <w:r w:rsidR="009101FC" w:rsidRPr="00384026">
        <w:rPr>
          <w:rFonts w:ascii="Times New Roman" w:hAnsi="Times New Roman" w:cs="Times New Roman"/>
          <w:color w:val="000000" w:themeColor="text1"/>
          <w:sz w:val="24"/>
          <w:szCs w:val="24"/>
        </w:rPr>
        <w:t>, kā arī lab</w:t>
      </w:r>
      <w:r w:rsidR="00F42DC4" w:rsidRPr="00384026">
        <w:rPr>
          <w:rFonts w:ascii="Times New Roman" w:hAnsi="Times New Roman" w:cs="Times New Roman"/>
          <w:color w:val="000000" w:themeColor="text1"/>
          <w:sz w:val="24"/>
          <w:szCs w:val="24"/>
        </w:rPr>
        <w:t>oratoriju aprīkojum</w:t>
      </w:r>
      <w:r w:rsidR="00DC0B6E">
        <w:rPr>
          <w:rFonts w:ascii="Times New Roman" w:hAnsi="Times New Roman" w:cs="Times New Roman"/>
          <w:color w:val="000000" w:themeColor="text1"/>
          <w:sz w:val="24"/>
          <w:szCs w:val="24"/>
        </w:rPr>
        <w:t>a</w:t>
      </w:r>
      <w:r w:rsidR="00F42DC4" w:rsidRPr="00384026">
        <w:rPr>
          <w:rFonts w:ascii="Times New Roman" w:hAnsi="Times New Roman" w:cs="Times New Roman"/>
          <w:color w:val="000000" w:themeColor="text1"/>
          <w:sz w:val="24"/>
          <w:szCs w:val="24"/>
        </w:rPr>
        <w:t xml:space="preserve"> pilnveidošanu</w:t>
      </w:r>
      <w:r w:rsidR="003E77A0" w:rsidRPr="00384026">
        <w:rPr>
          <w:rFonts w:ascii="Times New Roman" w:hAnsi="Times New Roman" w:cs="Times New Roman"/>
          <w:color w:val="000000" w:themeColor="text1"/>
          <w:sz w:val="24"/>
          <w:szCs w:val="24"/>
        </w:rPr>
        <w:t>. At</w:t>
      </w:r>
      <w:r w:rsidR="009101FC" w:rsidRPr="00384026">
        <w:rPr>
          <w:rFonts w:ascii="Times New Roman" w:hAnsi="Times New Roman" w:cs="Times New Roman"/>
          <w:color w:val="000000" w:themeColor="text1"/>
          <w:sz w:val="24"/>
          <w:szCs w:val="24"/>
        </w:rPr>
        <w:t>bilstoša aprīkojuma un standart</w:t>
      </w:r>
      <w:r w:rsidR="003E77A0" w:rsidRPr="00384026">
        <w:rPr>
          <w:rFonts w:ascii="Times New Roman" w:hAnsi="Times New Roman" w:cs="Times New Roman"/>
          <w:color w:val="000000" w:themeColor="text1"/>
          <w:sz w:val="24"/>
          <w:szCs w:val="24"/>
        </w:rPr>
        <w:t xml:space="preserve">vielu pieejamība </w:t>
      </w:r>
      <w:r w:rsidR="00F42DC4" w:rsidRPr="00384026">
        <w:rPr>
          <w:rFonts w:ascii="Times New Roman" w:hAnsi="Times New Roman" w:cs="Times New Roman"/>
          <w:color w:val="000000" w:themeColor="text1"/>
          <w:sz w:val="24"/>
          <w:szCs w:val="24"/>
        </w:rPr>
        <w:t>ļauj ātri noteikt vielas, nesūtot paraugus uz ārzemju laboratorijā</w:t>
      </w:r>
      <w:r w:rsidR="005A02C2" w:rsidRPr="00384026">
        <w:rPr>
          <w:rFonts w:ascii="Times New Roman" w:hAnsi="Times New Roman" w:cs="Times New Roman"/>
          <w:color w:val="000000" w:themeColor="text1"/>
          <w:sz w:val="24"/>
          <w:szCs w:val="24"/>
        </w:rPr>
        <w:t>m</w:t>
      </w:r>
      <w:r w:rsidR="00F42DC4" w:rsidRPr="00384026">
        <w:rPr>
          <w:rFonts w:ascii="Times New Roman" w:hAnsi="Times New Roman" w:cs="Times New Roman"/>
          <w:color w:val="000000" w:themeColor="text1"/>
          <w:sz w:val="24"/>
          <w:szCs w:val="24"/>
        </w:rPr>
        <w:t>. Tāpat vielu noteikšana bioloģiskos paraugos ļauj</w:t>
      </w:r>
      <w:r w:rsidR="003E77A0" w:rsidRPr="00384026">
        <w:rPr>
          <w:rFonts w:ascii="Times New Roman" w:hAnsi="Times New Roman" w:cs="Times New Roman"/>
          <w:color w:val="000000" w:themeColor="text1"/>
          <w:sz w:val="24"/>
          <w:szCs w:val="24"/>
        </w:rPr>
        <w:t xml:space="preserve"> ātri noteikt piemērotāko ārstēšanas veidu vai konstatēt vielas miruša cilvēka asinīs, kas, savukārt, </w:t>
      </w:r>
      <w:r w:rsidR="00F42DC4" w:rsidRPr="00384026">
        <w:rPr>
          <w:rFonts w:ascii="Times New Roman" w:hAnsi="Times New Roman" w:cs="Times New Roman"/>
          <w:color w:val="000000" w:themeColor="text1"/>
          <w:sz w:val="24"/>
          <w:szCs w:val="24"/>
        </w:rPr>
        <w:t>sniedz</w:t>
      </w:r>
      <w:r w:rsidR="003E77A0" w:rsidRPr="00384026">
        <w:rPr>
          <w:rFonts w:ascii="Times New Roman" w:hAnsi="Times New Roman" w:cs="Times New Roman"/>
          <w:color w:val="000000" w:themeColor="text1"/>
          <w:sz w:val="24"/>
          <w:szCs w:val="24"/>
        </w:rPr>
        <w:t xml:space="preserve"> informāciju par vielu </w:t>
      </w:r>
      <w:r w:rsidR="006E5732" w:rsidRPr="00384026">
        <w:rPr>
          <w:rFonts w:ascii="Times New Roman" w:hAnsi="Times New Roman" w:cs="Times New Roman"/>
          <w:color w:val="000000" w:themeColor="text1"/>
          <w:sz w:val="24"/>
          <w:szCs w:val="24"/>
        </w:rPr>
        <w:t>bīstamību.</w:t>
      </w:r>
      <w:r w:rsidRPr="00384026">
        <w:rPr>
          <w:rFonts w:ascii="Times New Roman" w:hAnsi="Times New Roman" w:cs="Times New Roman"/>
          <w:color w:val="000000" w:themeColor="text1"/>
          <w:sz w:val="24"/>
          <w:szCs w:val="24"/>
        </w:rPr>
        <w:t xml:space="preserve"> </w:t>
      </w:r>
    </w:p>
    <w:p w14:paraId="6A234CA5" w14:textId="6EC614D6" w:rsidR="0040408F" w:rsidRDefault="00605CE8" w:rsidP="0040408F">
      <w:pPr>
        <w:spacing w:after="0" w:line="276"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Vienlaikus pasākumu izpildei tika piesaistīts finansējums no citiem avotiem. Piemēram, Valsts policijas Kriminālistikas p</w:t>
      </w:r>
      <w:r w:rsidR="00EB62B9">
        <w:rPr>
          <w:rFonts w:ascii="Times New Roman" w:hAnsi="Times New Roman" w:cs="Times New Roman"/>
          <w:color w:val="000000" w:themeColor="text1"/>
          <w:sz w:val="24"/>
          <w:szCs w:val="24"/>
        </w:rPr>
        <w:t>ārvalde</w:t>
      </w:r>
      <w:r>
        <w:rPr>
          <w:rFonts w:ascii="Times New Roman" w:hAnsi="Times New Roman" w:cs="Times New Roman"/>
          <w:color w:val="000000" w:themeColor="text1"/>
          <w:sz w:val="24"/>
          <w:szCs w:val="24"/>
        </w:rPr>
        <w:t xml:space="preserve"> apr</w:t>
      </w:r>
      <w:r w:rsidR="00EB62B9">
        <w:rPr>
          <w:rFonts w:ascii="Times New Roman" w:hAnsi="Times New Roman" w:cs="Times New Roman"/>
          <w:color w:val="000000" w:themeColor="text1"/>
          <w:sz w:val="24"/>
          <w:szCs w:val="24"/>
        </w:rPr>
        <w:t>īkoju</w:t>
      </w:r>
      <w:r>
        <w:rPr>
          <w:rFonts w:ascii="Times New Roman" w:hAnsi="Times New Roman" w:cs="Times New Roman"/>
          <w:color w:val="000000" w:themeColor="text1"/>
          <w:sz w:val="24"/>
          <w:szCs w:val="24"/>
        </w:rPr>
        <w:t>ma uzlabošanai piesaist</w:t>
      </w:r>
      <w:r w:rsidR="00EB62B9">
        <w:rPr>
          <w:rFonts w:ascii="Times New Roman" w:hAnsi="Times New Roman" w:cs="Times New Roman"/>
          <w:color w:val="000000" w:themeColor="text1"/>
          <w:sz w:val="24"/>
          <w:szCs w:val="24"/>
        </w:rPr>
        <w:t>īja</w:t>
      </w:r>
      <w:r>
        <w:rPr>
          <w:rFonts w:ascii="Times New Roman" w:hAnsi="Times New Roman" w:cs="Times New Roman"/>
          <w:color w:val="000000" w:themeColor="text1"/>
          <w:sz w:val="24"/>
          <w:szCs w:val="24"/>
        </w:rPr>
        <w:t xml:space="preserve"> finansējumu no </w:t>
      </w:r>
      <w:r w:rsidRPr="00605CE8">
        <w:rPr>
          <w:rFonts w:ascii="Times New Roman" w:hAnsi="Times New Roman" w:cs="Times New Roman"/>
          <w:color w:val="000000" w:themeColor="text1"/>
          <w:sz w:val="24"/>
          <w:szCs w:val="24"/>
        </w:rPr>
        <w:t>Noziedzīgi iegūtu līdzekļu konfiskācijas fonda</w:t>
      </w:r>
      <w:r>
        <w:rPr>
          <w:rFonts w:ascii="Times New Roman" w:hAnsi="Times New Roman" w:cs="Times New Roman"/>
          <w:color w:val="000000" w:themeColor="text1"/>
          <w:sz w:val="24"/>
          <w:szCs w:val="24"/>
        </w:rPr>
        <w:t xml:space="preserve"> kopā 237 878,64 </w:t>
      </w:r>
      <w:r w:rsidRPr="0040408F">
        <w:rPr>
          <w:rFonts w:ascii="Times New Roman" w:hAnsi="Times New Roman" w:cs="Times New Roman"/>
          <w:i/>
          <w:color w:val="000000" w:themeColor="text1"/>
          <w:sz w:val="24"/>
          <w:szCs w:val="24"/>
        </w:rPr>
        <w:t>euro</w:t>
      </w:r>
      <w:r>
        <w:rPr>
          <w:rFonts w:ascii="Times New Roman" w:hAnsi="Times New Roman" w:cs="Times New Roman"/>
          <w:color w:val="000000" w:themeColor="text1"/>
          <w:sz w:val="24"/>
          <w:szCs w:val="24"/>
        </w:rPr>
        <w:t xml:space="preserve"> apmērā. Tāpat vēl 12 221, 00 </w:t>
      </w:r>
      <w:r w:rsidRPr="0040408F">
        <w:rPr>
          <w:rFonts w:ascii="Times New Roman" w:hAnsi="Times New Roman" w:cs="Times New Roman"/>
          <w:i/>
          <w:color w:val="000000" w:themeColor="text1"/>
          <w:sz w:val="24"/>
          <w:szCs w:val="24"/>
        </w:rPr>
        <w:t>euro</w:t>
      </w:r>
      <w:r w:rsidR="0040408F">
        <w:rPr>
          <w:rFonts w:ascii="Times New Roman" w:hAnsi="Times New Roman" w:cs="Times New Roman"/>
          <w:color w:val="000000" w:themeColor="text1"/>
          <w:sz w:val="24"/>
          <w:szCs w:val="24"/>
        </w:rPr>
        <w:t xml:space="preserve"> aprīkojuma iegādei</w:t>
      </w:r>
      <w:r>
        <w:rPr>
          <w:rFonts w:ascii="Times New Roman" w:hAnsi="Times New Roman" w:cs="Times New Roman"/>
          <w:color w:val="000000" w:themeColor="text1"/>
          <w:sz w:val="24"/>
          <w:szCs w:val="24"/>
        </w:rPr>
        <w:t xml:space="preserve"> tika iegūti budžeta pārdales rezultātā. </w:t>
      </w:r>
    </w:p>
    <w:p w14:paraId="393751BD" w14:textId="00B80BB1" w:rsidR="003E77A0" w:rsidRDefault="006E5732" w:rsidP="009101FC">
      <w:pPr>
        <w:spacing w:after="0" w:line="276" w:lineRule="auto"/>
        <w:ind w:firstLine="720"/>
        <w:jc w:val="both"/>
        <w:rPr>
          <w:rFonts w:ascii="Times New Roman" w:hAnsi="Times New Roman" w:cs="Times New Roman"/>
          <w:color w:val="000000" w:themeColor="text1"/>
          <w:sz w:val="24"/>
          <w:szCs w:val="24"/>
        </w:rPr>
      </w:pPr>
      <w:r w:rsidRPr="00384026">
        <w:rPr>
          <w:rFonts w:ascii="Times New Roman" w:hAnsi="Times New Roman" w:cs="Times New Roman"/>
          <w:color w:val="000000" w:themeColor="text1"/>
          <w:sz w:val="24"/>
          <w:szCs w:val="24"/>
        </w:rPr>
        <w:t>S</w:t>
      </w:r>
      <w:r w:rsidR="0013657B" w:rsidRPr="00384026">
        <w:rPr>
          <w:rFonts w:ascii="Times New Roman" w:hAnsi="Times New Roman" w:cs="Times New Roman"/>
          <w:color w:val="000000" w:themeColor="text1"/>
          <w:sz w:val="24"/>
          <w:szCs w:val="24"/>
        </w:rPr>
        <w:t>ituāciju nedaudz glābj ārvalstu finanšu instrumentu pieejamība</w:t>
      </w:r>
      <w:r w:rsidR="00E067F2" w:rsidRPr="00384026">
        <w:rPr>
          <w:rFonts w:ascii="Times New Roman" w:hAnsi="Times New Roman" w:cs="Times New Roman"/>
          <w:color w:val="000000" w:themeColor="text1"/>
          <w:sz w:val="24"/>
          <w:szCs w:val="24"/>
        </w:rPr>
        <w:t>, jo kop</w:t>
      </w:r>
      <w:r w:rsidR="00D06B27">
        <w:rPr>
          <w:rFonts w:ascii="Times New Roman" w:hAnsi="Times New Roman" w:cs="Times New Roman"/>
          <w:color w:val="000000" w:themeColor="text1"/>
          <w:sz w:val="24"/>
          <w:szCs w:val="24"/>
        </w:rPr>
        <w:t>um</w:t>
      </w:r>
      <w:r w:rsidR="00EB62B9">
        <w:rPr>
          <w:rFonts w:ascii="Times New Roman" w:hAnsi="Times New Roman" w:cs="Times New Roman"/>
          <w:color w:val="000000" w:themeColor="text1"/>
          <w:sz w:val="24"/>
          <w:szCs w:val="24"/>
        </w:rPr>
        <w:t>ā 4</w:t>
      </w:r>
      <w:r w:rsidR="00E067F2" w:rsidRPr="00384026">
        <w:rPr>
          <w:rFonts w:ascii="Times New Roman" w:hAnsi="Times New Roman" w:cs="Times New Roman"/>
          <w:color w:val="000000" w:themeColor="text1"/>
          <w:sz w:val="24"/>
          <w:szCs w:val="24"/>
        </w:rPr>
        <w:t xml:space="preserve"> pasākumi </w:t>
      </w:r>
      <w:r w:rsidR="00EB62B9">
        <w:rPr>
          <w:rFonts w:ascii="Times New Roman" w:hAnsi="Times New Roman" w:cs="Times New Roman"/>
          <w:color w:val="000000" w:themeColor="text1"/>
          <w:sz w:val="24"/>
          <w:szCs w:val="24"/>
        </w:rPr>
        <w:t xml:space="preserve">(Nr. 5, 6, 7, 15) </w:t>
      </w:r>
      <w:r w:rsidR="00E067F2" w:rsidRPr="00384026">
        <w:rPr>
          <w:rFonts w:ascii="Times New Roman" w:hAnsi="Times New Roman" w:cs="Times New Roman"/>
          <w:color w:val="000000" w:themeColor="text1"/>
          <w:sz w:val="24"/>
          <w:szCs w:val="24"/>
        </w:rPr>
        <w:t>tika īstenoti ar ESF atbalstu un vēl trīs</w:t>
      </w:r>
      <w:r w:rsidR="00EB62B9">
        <w:rPr>
          <w:rFonts w:ascii="Times New Roman" w:hAnsi="Times New Roman" w:cs="Times New Roman"/>
          <w:color w:val="000000" w:themeColor="text1"/>
          <w:sz w:val="24"/>
          <w:szCs w:val="24"/>
        </w:rPr>
        <w:t xml:space="preserve"> (Nr. 1, 21, 27)</w:t>
      </w:r>
      <w:r w:rsidR="00542851">
        <w:rPr>
          <w:rFonts w:ascii="Times New Roman" w:hAnsi="Times New Roman" w:cs="Times New Roman"/>
          <w:color w:val="000000" w:themeColor="text1"/>
          <w:sz w:val="24"/>
          <w:szCs w:val="24"/>
        </w:rPr>
        <w:t xml:space="preserve"> ar finansējumu granta līguma starp EMCDDA un Slimību profilakses un kontroles centru ietvaros</w:t>
      </w:r>
      <w:r w:rsidR="00E067F2" w:rsidRPr="00384026">
        <w:rPr>
          <w:rFonts w:ascii="Times New Roman" w:hAnsi="Times New Roman" w:cs="Times New Roman"/>
          <w:color w:val="000000" w:themeColor="text1"/>
          <w:sz w:val="24"/>
          <w:szCs w:val="24"/>
        </w:rPr>
        <w:t>.</w:t>
      </w:r>
      <w:r w:rsidR="00F42DC4" w:rsidRPr="00384026">
        <w:rPr>
          <w:rFonts w:ascii="Times New Roman" w:hAnsi="Times New Roman" w:cs="Times New Roman"/>
          <w:color w:val="000000" w:themeColor="text1"/>
          <w:sz w:val="24"/>
          <w:szCs w:val="24"/>
        </w:rPr>
        <w:t xml:space="preserve"> Piemēram, ar ESF atbalstu īstenoti semināri un lekcijas dažādām mērķa grupām, bet ar </w:t>
      </w:r>
      <w:r w:rsidR="00F92006" w:rsidRPr="00384026">
        <w:rPr>
          <w:rFonts w:ascii="Times New Roman" w:hAnsi="Times New Roman" w:cs="Times New Roman"/>
          <w:color w:val="000000" w:themeColor="text1"/>
          <w:sz w:val="24"/>
          <w:szCs w:val="24"/>
        </w:rPr>
        <w:t>ikgadējo EMCDDA grantu nodrošināta pētījumu veikšana, Agrīnās brīdināšanas sistēmas par jaunām psihoaktīvajām vielām darbība, materiālu tulkošana un adaptācija, kā arī daudzi citi pasākumi.</w:t>
      </w:r>
    </w:p>
    <w:p w14:paraId="2AD72008" w14:textId="075E5392" w:rsidR="008827C8" w:rsidRDefault="00BA3D68" w:rsidP="00EB62B9">
      <w:pPr>
        <w:spacing w:after="0" w:line="276"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Konkrēts</w:t>
      </w:r>
      <w:r w:rsidR="00460726">
        <w:rPr>
          <w:rFonts w:ascii="Times New Roman" w:hAnsi="Times New Roman" w:cs="Times New Roman"/>
          <w:color w:val="000000" w:themeColor="text1"/>
          <w:sz w:val="24"/>
          <w:szCs w:val="24"/>
        </w:rPr>
        <w:t xml:space="preserve"> ESF</w:t>
      </w:r>
      <w:r>
        <w:rPr>
          <w:rFonts w:ascii="Times New Roman" w:hAnsi="Times New Roman" w:cs="Times New Roman"/>
          <w:color w:val="000000" w:themeColor="text1"/>
          <w:sz w:val="24"/>
          <w:szCs w:val="24"/>
        </w:rPr>
        <w:t xml:space="preserve"> izlietotais finansējums 2019. un 2020. gadā nav noteikts, jo finansējums norādīts par visu projektu vai pasākumu, kas īstenots ne tikai 2019. gadā, bet arī </w:t>
      </w:r>
      <w:r w:rsidR="00542851">
        <w:rPr>
          <w:rFonts w:ascii="Times New Roman" w:hAnsi="Times New Roman" w:cs="Times New Roman"/>
          <w:color w:val="000000" w:themeColor="text1"/>
          <w:sz w:val="24"/>
          <w:szCs w:val="24"/>
        </w:rPr>
        <w:t>agrākos gados</w:t>
      </w:r>
      <w:r>
        <w:rPr>
          <w:rFonts w:ascii="Times New Roman" w:hAnsi="Times New Roman" w:cs="Times New Roman"/>
          <w:color w:val="000000" w:themeColor="text1"/>
          <w:sz w:val="24"/>
          <w:szCs w:val="24"/>
        </w:rPr>
        <w:t xml:space="preserve">. Piemēram, 5. pasākuma izpildei kopā </w:t>
      </w:r>
      <w:r w:rsidR="00EB62B9">
        <w:rPr>
          <w:rFonts w:ascii="Times New Roman" w:hAnsi="Times New Roman" w:cs="Times New Roman"/>
          <w:color w:val="000000" w:themeColor="text1"/>
          <w:sz w:val="24"/>
          <w:szCs w:val="24"/>
        </w:rPr>
        <w:t>laika posmā</w:t>
      </w:r>
      <w:r>
        <w:rPr>
          <w:rFonts w:ascii="Times New Roman" w:hAnsi="Times New Roman" w:cs="Times New Roman"/>
          <w:color w:val="000000" w:themeColor="text1"/>
          <w:sz w:val="24"/>
          <w:szCs w:val="24"/>
        </w:rPr>
        <w:t xml:space="preserve"> no 2017. līdz </w:t>
      </w:r>
      <w:r w:rsidRPr="00D200A3">
        <w:rPr>
          <w:rFonts w:ascii="Times New Roman" w:hAnsi="Times New Roman" w:cs="Times New Roman"/>
          <w:sz w:val="24"/>
          <w:szCs w:val="24"/>
        </w:rPr>
        <w:t xml:space="preserve">2019. gadam izlietoti </w:t>
      </w:r>
      <w:r w:rsidRPr="00D200A3">
        <w:rPr>
          <w:rFonts w:ascii="Times New Roman" w:hAnsi="Times New Roman" w:cs="Times New Roman"/>
          <w:sz w:val="24"/>
          <w:szCs w:val="24"/>
          <w:bdr w:val="none" w:sz="0" w:space="0" w:color="auto" w:frame="1"/>
          <w:shd w:val="clear" w:color="auto" w:fill="FFFFFF"/>
        </w:rPr>
        <w:t xml:space="preserve">41391,15 </w:t>
      </w:r>
      <w:r w:rsidRPr="00D200A3">
        <w:rPr>
          <w:rFonts w:ascii="Times New Roman" w:hAnsi="Times New Roman" w:cs="Times New Roman"/>
          <w:i/>
          <w:sz w:val="24"/>
          <w:szCs w:val="24"/>
          <w:bdr w:val="none" w:sz="0" w:space="0" w:color="auto" w:frame="1"/>
          <w:shd w:val="clear" w:color="auto" w:fill="FFFFFF"/>
        </w:rPr>
        <w:t>euro</w:t>
      </w:r>
      <w:r w:rsidRPr="00D200A3">
        <w:rPr>
          <w:rFonts w:ascii="Times New Roman" w:hAnsi="Times New Roman" w:cs="Times New Roman"/>
          <w:sz w:val="24"/>
          <w:szCs w:val="24"/>
          <w:bdr w:val="none" w:sz="0" w:space="0" w:color="auto" w:frame="1"/>
          <w:shd w:val="clear" w:color="auto" w:fill="FFFFFF"/>
        </w:rPr>
        <w:t xml:space="preserve"> ar PVN </w:t>
      </w:r>
      <w:r w:rsidR="00D200A3" w:rsidRPr="00D200A3">
        <w:rPr>
          <w:rFonts w:ascii="Times New Roman" w:hAnsi="Times New Roman" w:cs="Times New Roman"/>
          <w:sz w:val="24"/>
          <w:szCs w:val="24"/>
          <w:bdr w:val="none" w:sz="0" w:space="0" w:color="auto" w:frame="1"/>
          <w:shd w:val="clear" w:color="auto" w:fill="FFFFFF"/>
        </w:rPr>
        <w:t xml:space="preserve">no </w:t>
      </w:r>
      <w:r w:rsidRPr="00D200A3">
        <w:rPr>
          <w:rFonts w:ascii="Times New Roman" w:eastAsia="Times New Roman" w:hAnsi="Times New Roman" w:cs="Times New Roman"/>
          <w:sz w:val="24"/>
          <w:szCs w:val="24"/>
          <w:lang w:eastAsia="lv-LV"/>
        </w:rPr>
        <w:t xml:space="preserve">ESF projekta </w:t>
      </w:r>
      <w:r w:rsidRPr="00D200A3">
        <w:rPr>
          <w:rStyle w:val="Strong"/>
          <w:rFonts w:ascii="Times New Roman" w:hAnsi="Times New Roman" w:cs="Times New Roman"/>
          <w:b w:val="0"/>
          <w:bCs w:val="0"/>
          <w:sz w:val="24"/>
          <w:szCs w:val="24"/>
          <w:bdr w:val="none" w:sz="0" w:space="0" w:color="auto" w:frame="1"/>
          <w:shd w:val="clear" w:color="auto" w:fill="FFFFFF"/>
        </w:rPr>
        <w:t>„Slimību profilakses un kontroles centra organizēti vietēja mēroga pasākumi sabiedrības veselības veicināšanai un slimību profilaksei pašvaldībās” (</w:t>
      </w:r>
      <w:r w:rsidRPr="00D200A3">
        <w:rPr>
          <w:rStyle w:val="Strong"/>
          <w:rFonts w:ascii="Times New Roman" w:hAnsi="Times New Roman" w:cs="Times New Roman"/>
          <w:b w:val="0"/>
          <w:bCs w:val="0"/>
          <w:sz w:val="24"/>
          <w:szCs w:val="24"/>
          <w:bdr w:val="none" w:sz="0" w:space="0" w:color="auto" w:frame="1"/>
        </w:rPr>
        <w:t>Identifikācijas Nr.</w:t>
      </w:r>
      <w:r w:rsidRPr="00D200A3">
        <w:rPr>
          <w:rStyle w:val="Strong"/>
          <w:rFonts w:ascii="Times New Roman" w:hAnsi="Times New Roman" w:cs="Times New Roman"/>
          <w:b w:val="0"/>
          <w:bCs w:val="0"/>
          <w:sz w:val="24"/>
          <w:szCs w:val="24"/>
          <w:bdr w:val="none" w:sz="0" w:space="0" w:color="auto" w:frame="1"/>
          <w:shd w:val="clear" w:color="auto" w:fill="FFFFFF"/>
        </w:rPr>
        <w:t xml:space="preserve"> 9.2.4.2/16/I/106) </w:t>
      </w:r>
      <w:r w:rsidRPr="00D200A3">
        <w:rPr>
          <w:rFonts w:ascii="Times New Roman" w:hAnsi="Times New Roman" w:cs="Times New Roman"/>
          <w:sz w:val="24"/>
          <w:szCs w:val="24"/>
          <w:shd w:val="clear" w:color="auto" w:fill="FFFFFF"/>
        </w:rPr>
        <w:t>9.2.4. specifiskā atbalsta mērķa „Uzlabot pieejamību veselības veicināšanas un slimību profilakses pakalpojumiem, jo īpaši, nabadzības un sociālās atstumtības riskam pakļautajiem iedzīvotājiem” 9.2.4.2. pasākuma „Pasākumi vietējās sabiedrības veselības veicināšanai un slimību profilaksei”. Šīs pašas programmas ievaros 6. pasākuma izpildei 2018. un 2019</w:t>
      </w:r>
      <w:r w:rsidRPr="00EB62B9">
        <w:rPr>
          <w:rFonts w:ascii="Times New Roman" w:hAnsi="Times New Roman" w:cs="Times New Roman"/>
          <w:color w:val="212529"/>
          <w:sz w:val="24"/>
          <w:szCs w:val="24"/>
          <w:shd w:val="clear" w:color="auto" w:fill="FFFFFF"/>
        </w:rPr>
        <w:t xml:space="preserve">. gadā izlietoti </w:t>
      </w:r>
      <w:r w:rsidRPr="00EB62B9">
        <w:rPr>
          <w:rFonts w:ascii="Times New Roman" w:eastAsia="Times New Roman" w:hAnsi="Times New Roman" w:cs="Times New Roman"/>
          <w:bCs/>
          <w:sz w:val="24"/>
          <w:szCs w:val="24"/>
          <w:lang w:eastAsia="lv-LV"/>
        </w:rPr>
        <w:t xml:space="preserve">47 146,44 </w:t>
      </w:r>
      <w:r w:rsidRPr="00EB62B9">
        <w:rPr>
          <w:rFonts w:ascii="Times New Roman" w:eastAsia="Times New Roman" w:hAnsi="Times New Roman" w:cs="Times New Roman"/>
          <w:bCs/>
          <w:i/>
          <w:sz w:val="24"/>
          <w:szCs w:val="24"/>
          <w:lang w:eastAsia="lv-LV"/>
        </w:rPr>
        <w:t>euro</w:t>
      </w:r>
      <w:r w:rsidRPr="00EB62B9">
        <w:rPr>
          <w:rFonts w:ascii="Times New Roman" w:eastAsia="Times New Roman" w:hAnsi="Times New Roman" w:cs="Times New Roman"/>
          <w:bCs/>
          <w:sz w:val="24"/>
          <w:szCs w:val="24"/>
          <w:lang w:eastAsia="lv-LV"/>
        </w:rPr>
        <w:t xml:space="preserve"> ar PVN.</w:t>
      </w:r>
      <w:r w:rsidR="00EB62B9" w:rsidRPr="00EB62B9">
        <w:rPr>
          <w:rFonts w:ascii="Times New Roman" w:eastAsia="Times New Roman" w:hAnsi="Times New Roman" w:cs="Times New Roman"/>
          <w:bCs/>
          <w:sz w:val="24"/>
          <w:szCs w:val="24"/>
          <w:lang w:eastAsia="lv-LV"/>
        </w:rPr>
        <w:t xml:space="preserve"> </w:t>
      </w:r>
      <w:r w:rsidR="00EB62B9" w:rsidRPr="00EB62B9">
        <w:rPr>
          <w:rFonts w:ascii="Times New Roman" w:hAnsi="Times New Roman" w:cs="Times New Roman"/>
          <w:color w:val="000000" w:themeColor="text1"/>
          <w:sz w:val="24"/>
          <w:szCs w:val="24"/>
          <w:shd w:val="clear" w:color="auto" w:fill="FFFFFF"/>
        </w:rPr>
        <w:t xml:space="preserve">ESF pasākuma 9.2.6.0. </w:t>
      </w:r>
    </w:p>
    <w:p w14:paraId="7C293593" w14:textId="6A5F39ED" w:rsidR="00DD41EF" w:rsidRPr="00EB62B9" w:rsidRDefault="00D200A3" w:rsidP="00EB62B9">
      <w:pPr>
        <w:spacing w:after="0" w:line="276" w:lineRule="auto"/>
        <w:ind w:firstLine="720"/>
        <w:jc w:val="both"/>
        <w:rPr>
          <w:rFonts w:ascii="Times New Roman" w:eastAsia="Times New Roman" w:hAnsi="Times New Roman" w:cs="Times New Roman"/>
          <w:bCs/>
          <w:sz w:val="24"/>
          <w:szCs w:val="24"/>
          <w:lang w:eastAsia="lv-LV"/>
        </w:rPr>
      </w:pPr>
      <w:r>
        <w:rPr>
          <w:rFonts w:ascii="Times New Roman" w:hAnsi="Times New Roman" w:cs="Times New Roman"/>
          <w:color w:val="000000" w:themeColor="text1"/>
          <w:sz w:val="24"/>
          <w:szCs w:val="24"/>
          <w:shd w:val="clear" w:color="auto" w:fill="FFFFFF"/>
        </w:rPr>
        <w:t xml:space="preserve">Projekta </w:t>
      </w:r>
      <w:r w:rsidR="00EB62B9" w:rsidRPr="00EB62B9">
        <w:rPr>
          <w:rFonts w:ascii="Times New Roman" w:hAnsi="Times New Roman" w:cs="Times New Roman"/>
          <w:color w:val="000000" w:themeColor="text1"/>
          <w:sz w:val="24"/>
          <w:szCs w:val="24"/>
          <w:shd w:val="clear" w:color="auto" w:fill="FFFFFF"/>
        </w:rPr>
        <w:t xml:space="preserve">“Ārstniecības un ārstniecības atbalsta personāla kvalifikācijas uzlabošana” (Identifikācijas Nr. 9.2.6.0/17/I/001) ietvaros </w:t>
      </w:r>
      <w:r w:rsidR="008827C8">
        <w:rPr>
          <w:rFonts w:ascii="Times New Roman" w:hAnsi="Times New Roman" w:cs="Times New Roman"/>
          <w:color w:val="000000" w:themeColor="text1"/>
          <w:sz w:val="24"/>
          <w:szCs w:val="24"/>
          <w:shd w:val="clear" w:color="auto" w:fill="FFFFFF"/>
        </w:rPr>
        <w:t xml:space="preserve">Plāna </w:t>
      </w:r>
      <w:r w:rsidR="00EB62B9" w:rsidRPr="00EB62B9">
        <w:rPr>
          <w:rFonts w:ascii="Times New Roman" w:eastAsia="Times New Roman" w:hAnsi="Times New Roman" w:cs="Times New Roman"/>
          <w:bCs/>
          <w:sz w:val="24"/>
          <w:szCs w:val="24"/>
          <w:lang w:eastAsia="lv-LV"/>
        </w:rPr>
        <w:t xml:space="preserve">7. pasākuma izpildei 2019. gadā izlietoti 31 145,40 </w:t>
      </w:r>
      <w:r w:rsidR="00EB62B9" w:rsidRPr="00EB62B9">
        <w:rPr>
          <w:rFonts w:ascii="Times New Roman" w:eastAsia="Times New Roman" w:hAnsi="Times New Roman" w:cs="Times New Roman"/>
          <w:bCs/>
          <w:i/>
          <w:sz w:val="24"/>
          <w:szCs w:val="24"/>
          <w:lang w:eastAsia="lv-LV"/>
        </w:rPr>
        <w:t>euro</w:t>
      </w:r>
      <w:r w:rsidR="00EB62B9" w:rsidRPr="00EB62B9">
        <w:rPr>
          <w:rFonts w:ascii="Times New Roman" w:eastAsia="Times New Roman" w:hAnsi="Times New Roman" w:cs="Times New Roman"/>
          <w:bCs/>
          <w:sz w:val="24"/>
          <w:szCs w:val="24"/>
          <w:lang w:eastAsia="lv-LV"/>
        </w:rPr>
        <w:t xml:space="preserve"> ar PVN, bet 15. pasākuma izpildei no </w:t>
      </w:r>
      <w:r w:rsidR="00EB62B9" w:rsidRPr="00EB62B9">
        <w:rPr>
          <w:rFonts w:ascii="Times New Roman" w:eastAsia="Times New Roman" w:hAnsi="Times New Roman" w:cs="Times New Roman"/>
          <w:sz w:val="24"/>
          <w:szCs w:val="24"/>
          <w:lang w:eastAsia="lv-LV"/>
        </w:rPr>
        <w:t>ESF projekta „Kompleksi veselības veicināšanas un slimību profilakses pasākumi” (Identifikācijas Nr.9.2.4.1/16/I/001)</w:t>
      </w:r>
      <w:r w:rsidR="00EB62B9" w:rsidRPr="00EB62B9">
        <w:rPr>
          <w:rFonts w:ascii="Times New Roman" w:eastAsia="Times New Roman" w:hAnsi="Times New Roman" w:cs="Times New Roman"/>
          <w:bCs/>
          <w:sz w:val="24"/>
          <w:szCs w:val="24"/>
          <w:lang w:eastAsia="lv-LV"/>
        </w:rPr>
        <w:t xml:space="preserve"> 2019. un 2020. gadā izlietoti 19605,63 </w:t>
      </w:r>
      <w:r w:rsidR="00EB62B9" w:rsidRPr="00EB62B9">
        <w:rPr>
          <w:rFonts w:ascii="Times New Roman" w:eastAsia="Times New Roman" w:hAnsi="Times New Roman" w:cs="Times New Roman"/>
          <w:bCs/>
          <w:i/>
          <w:sz w:val="24"/>
          <w:szCs w:val="24"/>
          <w:lang w:eastAsia="lv-LV"/>
        </w:rPr>
        <w:t>euro</w:t>
      </w:r>
      <w:r w:rsidR="00EB62B9" w:rsidRPr="00EB62B9">
        <w:rPr>
          <w:rFonts w:ascii="Times New Roman" w:eastAsia="Times New Roman" w:hAnsi="Times New Roman" w:cs="Times New Roman"/>
          <w:bCs/>
          <w:sz w:val="24"/>
          <w:szCs w:val="24"/>
          <w:lang w:eastAsia="lv-LV"/>
        </w:rPr>
        <w:t xml:space="preserve"> ar PVN.</w:t>
      </w:r>
      <w:r w:rsidR="00EB62B9" w:rsidRPr="00EB62B9">
        <w:rPr>
          <w:rStyle w:val="FootnoteReference"/>
          <w:rFonts w:ascii="Times New Roman" w:eastAsia="Times New Roman" w:hAnsi="Times New Roman" w:cs="Times New Roman"/>
          <w:bCs/>
          <w:sz w:val="24"/>
          <w:szCs w:val="24"/>
          <w:lang w:eastAsia="lv-LV"/>
        </w:rPr>
        <w:footnoteReference w:id="9"/>
      </w:r>
      <w:r w:rsidR="00EB62B9" w:rsidRPr="00EB62B9">
        <w:rPr>
          <w:rFonts w:ascii="Times New Roman" w:eastAsia="Times New Roman" w:hAnsi="Times New Roman" w:cs="Times New Roman"/>
          <w:bCs/>
          <w:sz w:val="24"/>
          <w:szCs w:val="24"/>
          <w:lang w:eastAsia="lv-LV"/>
        </w:rPr>
        <w:t xml:space="preserve"> </w:t>
      </w:r>
    </w:p>
    <w:p w14:paraId="1B5DCB56" w14:textId="3898B00E" w:rsidR="003E77A0" w:rsidRPr="00384026" w:rsidRDefault="002564AF" w:rsidP="00EB62B9">
      <w:pPr>
        <w:spacing w:after="0"/>
        <w:ind w:firstLine="720"/>
        <w:jc w:val="both"/>
        <w:rPr>
          <w:rFonts w:ascii="Times New Roman" w:hAnsi="Times New Roman" w:cs="Times New Roman"/>
          <w:color w:val="000000" w:themeColor="text1"/>
          <w:sz w:val="24"/>
          <w:szCs w:val="24"/>
        </w:rPr>
      </w:pPr>
      <w:r w:rsidRPr="000918E1">
        <w:rPr>
          <w:rFonts w:ascii="Times New Roman" w:hAnsi="Times New Roman" w:cs="Times New Roman"/>
          <w:color w:val="000000" w:themeColor="text1"/>
          <w:sz w:val="24"/>
          <w:szCs w:val="24"/>
        </w:rPr>
        <w:t>Papildus šim jānorāda, ka ir vēl divi</w:t>
      </w:r>
      <w:r w:rsidR="00427E12">
        <w:rPr>
          <w:rFonts w:ascii="Times New Roman" w:hAnsi="Times New Roman" w:cs="Times New Roman"/>
          <w:color w:val="000000" w:themeColor="text1"/>
          <w:sz w:val="24"/>
          <w:szCs w:val="24"/>
        </w:rPr>
        <w:t xml:space="preserve"> pasākumi (Nr. 2 un 4), par kuru īstenošanu līgums</w:t>
      </w:r>
      <w:r w:rsidR="00867AD6" w:rsidRPr="000918E1">
        <w:rPr>
          <w:rFonts w:ascii="Times New Roman" w:hAnsi="Times New Roman" w:cs="Times New Roman"/>
          <w:color w:val="000000" w:themeColor="text1"/>
          <w:sz w:val="24"/>
          <w:szCs w:val="24"/>
        </w:rPr>
        <w:t xml:space="preserve"> tika noslēgts 2021. gadā, nevis pārskata periodā. Proti, 2021. gada 9. martā noslēgts līgums 19 800 </w:t>
      </w:r>
      <w:r w:rsidR="00D06B27" w:rsidRPr="000918E1">
        <w:rPr>
          <w:rFonts w:ascii="Times New Roman" w:hAnsi="Times New Roman" w:cs="Times New Roman"/>
          <w:i/>
          <w:color w:val="000000" w:themeColor="text1"/>
          <w:sz w:val="24"/>
          <w:szCs w:val="24"/>
        </w:rPr>
        <w:t>euro</w:t>
      </w:r>
      <w:r w:rsidR="00D06B27" w:rsidRPr="000918E1">
        <w:rPr>
          <w:rFonts w:ascii="Times New Roman" w:hAnsi="Times New Roman" w:cs="Times New Roman"/>
          <w:color w:val="000000" w:themeColor="text1"/>
          <w:sz w:val="24"/>
          <w:szCs w:val="24"/>
        </w:rPr>
        <w:t xml:space="preserve"> </w:t>
      </w:r>
      <w:r w:rsidR="00867AD6" w:rsidRPr="000918E1">
        <w:rPr>
          <w:rFonts w:ascii="Times New Roman" w:hAnsi="Times New Roman" w:cs="Times New Roman"/>
          <w:color w:val="000000" w:themeColor="text1"/>
          <w:sz w:val="24"/>
          <w:szCs w:val="24"/>
        </w:rPr>
        <w:t xml:space="preserve">apmērā </w:t>
      </w:r>
      <w:r w:rsidR="00055DDF" w:rsidRPr="000918E1">
        <w:rPr>
          <w:rFonts w:ascii="Times New Roman" w:hAnsi="Times New Roman" w:cs="Times New Roman"/>
          <w:color w:val="000000" w:themeColor="text1"/>
          <w:sz w:val="24"/>
          <w:szCs w:val="24"/>
        </w:rPr>
        <w:t>par metodiskā materiāla izstrādi</w:t>
      </w:r>
      <w:r w:rsidR="008827C8">
        <w:rPr>
          <w:rFonts w:ascii="Times New Roman" w:hAnsi="Times New Roman" w:cs="Times New Roman"/>
          <w:color w:val="000000" w:themeColor="text1"/>
          <w:sz w:val="24"/>
          <w:szCs w:val="24"/>
        </w:rPr>
        <w:t xml:space="preserve"> izglītības iestādēm</w:t>
      </w:r>
      <w:r w:rsidR="00055DDF" w:rsidRPr="000918E1">
        <w:rPr>
          <w:rFonts w:ascii="Times New Roman" w:hAnsi="Times New Roman" w:cs="Times New Roman"/>
          <w:color w:val="000000" w:themeColor="text1"/>
          <w:sz w:val="24"/>
          <w:szCs w:val="24"/>
        </w:rPr>
        <w:t xml:space="preserve"> </w:t>
      </w:r>
      <w:r w:rsidR="00867AD6" w:rsidRPr="000918E1">
        <w:rPr>
          <w:rFonts w:ascii="Times New Roman" w:hAnsi="Times New Roman" w:cs="Times New Roman"/>
          <w:color w:val="000000" w:themeColor="text1"/>
          <w:sz w:val="24"/>
          <w:szCs w:val="24"/>
        </w:rPr>
        <w:t>un 2</w:t>
      </w:r>
      <w:r w:rsidR="00AD635F" w:rsidRPr="000918E1">
        <w:rPr>
          <w:rFonts w:ascii="Times New Roman" w:hAnsi="Times New Roman" w:cs="Times New Roman"/>
          <w:color w:val="000000" w:themeColor="text1"/>
          <w:sz w:val="24"/>
          <w:szCs w:val="24"/>
        </w:rPr>
        <w:t>021. </w:t>
      </w:r>
      <w:r w:rsidR="00867AD6" w:rsidRPr="000918E1">
        <w:rPr>
          <w:rFonts w:ascii="Times New Roman" w:hAnsi="Times New Roman" w:cs="Times New Roman"/>
          <w:color w:val="000000" w:themeColor="text1"/>
          <w:sz w:val="24"/>
          <w:szCs w:val="24"/>
        </w:rPr>
        <w:t xml:space="preserve">gada </w:t>
      </w:r>
      <w:r w:rsidR="00055DDF" w:rsidRPr="000918E1">
        <w:rPr>
          <w:rFonts w:ascii="Times New Roman" w:hAnsi="Times New Roman" w:cs="Times New Roman"/>
          <w:color w:val="000000" w:themeColor="text1"/>
          <w:sz w:val="24"/>
          <w:szCs w:val="24"/>
        </w:rPr>
        <w:t>2</w:t>
      </w:r>
      <w:r w:rsidR="00517D5E" w:rsidRPr="000918E1">
        <w:rPr>
          <w:rFonts w:ascii="Times New Roman" w:hAnsi="Times New Roman" w:cs="Times New Roman"/>
          <w:color w:val="000000" w:themeColor="text1"/>
          <w:sz w:val="24"/>
          <w:szCs w:val="24"/>
        </w:rPr>
        <w:t>3.</w:t>
      </w:r>
      <w:r w:rsidR="00427E12">
        <w:rPr>
          <w:rFonts w:ascii="Times New Roman" w:hAnsi="Times New Roman" w:cs="Times New Roman"/>
          <w:color w:val="000000" w:themeColor="text1"/>
          <w:sz w:val="24"/>
          <w:szCs w:val="24"/>
        </w:rPr>
        <w:t> </w:t>
      </w:r>
      <w:r w:rsidR="00517D5E" w:rsidRPr="000918E1">
        <w:rPr>
          <w:rFonts w:ascii="Times New Roman" w:hAnsi="Times New Roman" w:cs="Times New Roman"/>
          <w:color w:val="000000" w:themeColor="text1"/>
          <w:sz w:val="24"/>
          <w:szCs w:val="24"/>
        </w:rPr>
        <w:t>martā</w:t>
      </w:r>
      <w:r w:rsidR="00055DDF" w:rsidRPr="000918E1">
        <w:rPr>
          <w:rFonts w:ascii="Times New Roman" w:hAnsi="Times New Roman" w:cs="Times New Roman"/>
          <w:color w:val="000000" w:themeColor="text1"/>
          <w:sz w:val="24"/>
          <w:szCs w:val="24"/>
        </w:rPr>
        <w:t xml:space="preserve"> </w:t>
      </w:r>
      <w:r w:rsidR="00AD635F" w:rsidRPr="000918E1">
        <w:rPr>
          <w:rFonts w:ascii="Times New Roman" w:hAnsi="Times New Roman" w:cs="Times New Roman"/>
          <w:color w:val="000000" w:themeColor="text1"/>
          <w:sz w:val="24"/>
          <w:szCs w:val="24"/>
        </w:rPr>
        <w:t xml:space="preserve"> </w:t>
      </w:r>
      <w:r w:rsidR="00867AD6" w:rsidRPr="000918E1">
        <w:rPr>
          <w:rFonts w:ascii="Times New Roman" w:hAnsi="Times New Roman" w:cs="Times New Roman"/>
          <w:color w:val="000000" w:themeColor="text1"/>
          <w:sz w:val="24"/>
          <w:szCs w:val="24"/>
        </w:rPr>
        <w:t xml:space="preserve">noslēgts līgums par </w:t>
      </w:r>
      <w:r w:rsidR="00867AD6" w:rsidRPr="000918E1">
        <w:rPr>
          <w:rFonts w:ascii="Times New Roman" w:hAnsi="Times New Roman" w:cs="Times New Roman"/>
          <w:i/>
          <w:iCs/>
          <w:color w:val="000000" w:themeColor="text1"/>
          <w:sz w:val="24"/>
          <w:szCs w:val="24"/>
        </w:rPr>
        <w:t>Unplugged</w:t>
      </w:r>
      <w:r w:rsidR="00867AD6" w:rsidRPr="000918E1">
        <w:rPr>
          <w:rFonts w:ascii="Times New Roman" w:hAnsi="Times New Roman" w:cs="Times New Roman"/>
          <w:color w:val="000000" w:themeColor="text1"/>
          <w:sz w:val="24"/>
          <w:szCs w:val="24"/>
        </w:rPr>
        <w:t xml:space="preserve"> ieviešanu 72 720</w:t>
      </w:r>
      <w:r w:rsidR="00D06B27" w:rsidRPr="000918E1">
        <w:rPr>
          <w:rFonts w:ascii="Times New Roman" w:hAnsi="Times New Roman" w:cs="Times New Roman"/>
          <w:color w:val="000000" w:themeColor="text1"/>
          <w:sz w:val="24"/>
          <w:szCs w:val="24"/>
        </w:rPr>
        <w:t xml:space="preserve"> </w:t>
      </w:r>
      <w:r w:rsidR="00D06B27" w:rsidRPr="000918E1">
        <w:rPr>
          <w:rFonts w:ascii="Times New Roman" w:hAnsi="Times New Roman" w:cs="Times New Roman"/>
          <w:i/>
          <w:color w:val="000000" w:themeColor="text1"/>
          <w:sz w:val="24"/>
          <w:szCs w:val="24"/>
        </w:rPr>
        <w:t>euro</w:t>
      </w:r>
      <w:r w:rsidR="00867AD6" w:rsidRPr="000918E1">
        <w:rPr>
          <w:rFonts w:ascii="Times New Roman" w:hAnsi="Times New Roman" w:cs="Times New Roman"/>
          <w:color w:val="000000" w:themeColor="text1"/>
          <w:sz w:val="24"/>
          <w:szCs w:val="24"/>
        </w:rPr>
        <w:t xml:space="preserve"> apmērā</w:t>
      </w:r>
      <w:r w:rsidR="00D200A3">
        <w:rPr>
          <w:rFonts w:ascii="Times New Roman" w:hAnsi="Times New Roman" w:cs="Times New Roman"/>
          <w:color w:val="000000" w:themeColor="text1"/>
          <w:sz w:val="24"/>
          <w:szCs w:val="24"/>
        </w:rPr>
        <w:t xml:space="preserve"> no </w:t>
      </w:r>
      <w:r w:rsidR="00D200A3" w:rsidRPr="004A3CAD">
        <w:rPr>
          <w:rFonts w:ascii="Times New Roman" w:eastAsia="Times New Roman" w:hAnsi="Times New Roman" w:cs="Times New Roman"/>
          <w:lang w:eastAsia="lv-LV"/>
        </w:rPr>
        <w:t>ESF projekta „Kompleksi veselības veicināšanas un slimību profilakses pasākumi” (Ident</w:t>
      </w:r>
      <w:r w:rsidR="00D200A3">
        <w:rPr>
          <w:rFonts w:ascii="Times New Roman" w:eastAsia="Times New Roman" w:hAnsi="Times New Roman" w:cs="Times New Roman"/>
          <w:lang w:eastAsia="lv-LV"/>
        </w:rPr>
        <w:t>ifikācijas Nr.9.2.4.1/16/I/001).</w:t>
      </w:r>
    </w:p>
    <w:p w14:paraId="784E691F" w14:textId="38F3B4D8" w:rsidR="003E77A0" w:rsidRPr="00384026" w:rsidRDefault="006E5732" w:rsidP="003E77A0">
      <w:pPr>
        <w:spacing w:after="0"/>
        <w:ind w:firstLine="720"/>
        <w:jc w:val="both"/>
        <w:rPr>
          <w:rFonts w:ascii="Times New Roman" w:hAnsi="Times New Roman" w:cs="Times New Roman"/>
          <w:color w:val="000000" w:themeColor="text1"/>
          <w:sz w:val="24"/>
          <w:szCs w:val="24"/>
        </w:rPr>
      </w:pPr>
      <w:r w:rsidRPr="00384026">
        <w:rPr>
          <w:rFonts w:ascii="Times New Roman" w:hAnsi="Times New Roman" w:cs="Times New Roman"/>
          <w:color w:val="000000" w:themeColor="text1"/>
          <w:sz w:val="24"/>
          <w:szCs w:val="24"/>
        </w:rPr>
        <w:t>Tātad kopumā, v</w:t>
      </w:r>
      <w:r w:rsidR="003E77A0" w:rsidRPr="00384026">
        <w:rPr>
          <w:rFonts w:ascii="Times New Roman" w:hAnsi="Times New Roman" w:cs="Times New Roman"/>
          <w:color w:val="000000" w:themeColor="text1"/>
          <w:sz w:val="24"/>
          <w:szCs w:val="24"/>
        </w:rPr>
        <w:t>eicot katra pasākuma izpild</w:t>
      </w:r>
      <w:r w:rsidR="005A02C2" w:rsidRPr="00384026">
        <w:rPr>
          <w:rFonts w:ascii="Times New Roman" w:hAnsi="Times New Roman" w:cs="Times New Roman"/>
          <w:color w:val="000000" w:themeColor="text1"/>
          <w:sz w:val="24"/>
          <w:szCs w:val="24"/>
        </w:rPr>
        <w:t xml:space="preserve">es detalizētu analīzi (skat. </w:t>
      </w:r>
      <w:r w:rsidR="003E77A0" w:rsidRPr="00384026">
        <w:rPr>
          <w:rFonts w:ascii="Times New Roman" w:hAnsi="Times New Roman" w:cs="Times New Roman"/>
          <w:color w:val="000000" w:themeColor="text1"/>
          <w:sz w:val="24"/>
          <w:szCs w:val="24"/>
        </w:rPr>
        <w:t xml:space="preserve">pielikumu), </w:t>
      </w:r>
      <w:r w:rsidRPr="00384026">
        <w:rPr>
          <w:rFonts w:ascii="Times New Roman" w:hAnsi="Times New Roman" w:cs="Times New Roman"/>
          <w:color w:val="000000" w:themeColor="text1"/>
          <w:sz w:val="24"/>
          <w:szCs w:val="24"/>
        </w:rPr>
        <w:t>varam secināt</w:t>
      </w:r>
      <w:r w:rsidR="003E77A0" w:rsidRPr="00384026">
        <w:rPr>
          <w:rFonts w:ascii="Times New Roman" w:hAnsi="Times New Roman" w:cs="Times New Roman"/>
          <w:color w:val="000000" w:themeColor="text1"/>
          <w:sz w:val="24"/>
          <w:szCs w:val="24"/>
        </w:rPr>
        <w:t>,</w:t>
      </w:r>
      <w:r w:rsidRPr="00384026">
        <w:rPr>
          <w:rFonts w:ascii="Times New Roman" w:hAnsi="Times New Roman" w:cs="Times New Roman"/>
          <w:color w:val="000000" w:themeColor="text1"/>
          <w:sz w:val="24"/>
          <w:szCs w:val="24"/>
        </w:rPr>
        <w:t xml:space="preserve"> ka</w:t>
      </w:r>
      <w:r w:rsidR="003E77A0" w:rsidRPr="00384026">
        <w:rPr>
          <w:rFonts w:ascii="Times New Roman" w:hAnsi="Times New Roman" w:cs="Times New Roman"/>
          <w:color w:val="000000" w:themeColor="text1"/>
          <w:sz w:val="24"/>
          <w:szCs w:val="24"/>
        </w:rPr>
        <w:t xml:space="preserve"> finansējuma pieejamība ir būtiskākais faktors pasākumu izpildē, jo lielākā daļa pasākumu, kur finansē</w:t>
      </w:r>
      <w:r w:rsidR="003D11EF">
        <w:rPr>
          <w:rFonts w:ascii="Times New Roman" w:hAnsi="Times New Roman" w:cs="Times New Roman"/>
          <w:color w:val="000000" w:themeColor="text1"/>
          <w:sz w:val="24"/>
          <w:szCs w:val="24"/>
        </w:rPr>
        <w:t>jums ir pieejams, izpilde noritēja</w:t>
      </w:r>
      <w:r w:rsidR="003E77A0" w:rsidRPr="00384026">
        <w:rPr>
          <w:rFonts w:ascii="Times New Roman" w:hAnsi="Times New Roman" w:cs="Times New Roman"/>
          <w:color w:val="000000" w:themeColor="text1"/>
          <w:sz w:val="24"/>
          <w:szCs w:val="24"/>
        </w:rPr>
        <w:t xml:space="preserve"> sekmīgi</w:t>
      </w:r>
      <w:r w:rsidR="00E05535">
        <w:rPr>
          <w:rFonts w:ascii="Times New Roman" w:hAnsi="Times New Roman" w:cs="Times New Roman"/>
          <w:color w:val="000000" w:themeColor="text1"/>
          <w:sz w:val="24"/>
          <w:szCs w:val="24"/>
        </w:rPr>
        <w:t>.</w:t>
      </w:r>
    </w:p>
    <w:p w14:paraId="7323C404" w14:textId="77777777" w:rsidR="00A47E92" w:rsidRPr="00384026" w:rsidRDefault="00A47E92" w:rsidP="00402782">
      <w:pPr>
        <w:jc w:val="both"/>
        <w:rPr>
          <w:rFonts w:ascii="Times New Roman" w:hAnsi="Times New Roman" w:cs="Times New Roman"/>
          <w:color w:val="000000" w:themeColor="text1"/>
          <w:sz w:val="24"/>
          <w:szCs w:val="24"/>
        </w:rPr>
      </w:pPr>
    </w:p>
    <w:p w14:paraId="3E23D41A" w14:textId="77777777" w:rsidR="00A47E92" w:rsidRPr="00384026" w:rsidRDefault="00A47E92" w:rsidP="00402782">
      <w:pPr>
        <w:jc w:val="both"/>
        <w:rPr>
          <w:rFonts w:ascii="Times New Roman" w:hAnsi="Times New Roman" w:cs="Times New Roman"/>
          <w:color w:val="000000" w:themeColor="text1"/>
          <w:sz w:val="24"/>
          <w:szCs w:val="24"/>
        </w:rPr>
      </w:pPr>
    </w:p>
    <w:p w14:paraId="7F8CACA7" w14:textId="77777777" w:rsidR="006E5732" w:rsidRPr="00384026" w:rsidRDefault="006E5732" w:rsidP="00402782">
      <w:pPr>
        <w:jc w:val="both"/>
        <w:rPr>
          <w:rFonts w:ascii="Times New Roman" w:hAnsi="Times New Roman" w:cs="Times New Roman"/>
          <w:color w:val="000000" w:themeColor="text1"/>
          <w:sz w:val="24"/>
          <w:szCs w:val="24"/>
        </w:rPr>
        <w:sectPr w:rsidR="006E5732" w:rsidRPr="00384026" w:rsidSect="001422EB">
          <w:pgSz w:w="11906" w:h="16838"/>
          <w:pgMar w:top="1134" w:right="1134" w:bottom="1134" w:left="1701" w:header="709" w:footer="709" w:gutter="0"/>
          <w:cols w:space="708"/>
          <w:docGrid w:linePitch="360"/>
        </w:sectPr>
      </w:pPr>
    </w:p>
    <w:p w14:paraId="52C8803F" w14:textId="77777777" w:rsidR="006E5732" w:rsidRPr="00384026" w:rsidRDefault="006E5732" w:rsidP="00402782">
      <w:pPr>
        <w:jc w:val="both"/>
        <w:rPr>
          <w:rFonts w:ascii="Times New Roman" w:hAnsi="Times New Roman" w:cs="Times New Roman"/>
          <w:color w:val="000000" w:themeColor="text1"/>
          <w:sz w:val="24"/>
          <w:szCs w:val="24"/>
        </w:rPr>
      </w:pPr>
    </w:p>
    <w:p w14:paraId="70ECDB35" w14:textId="77777777" w:rsidR="004964A3" w:rsidRDefault="00F91B11" w:rsidP="00D04A63">
      <w:pPr>
        <w:pStyle w:val="Heading2"/>
        <w:jc w:val="center"/>
        <w:rPr>
          <w:rFonts w:ascii="Times New Roman" w:hAnsi="Times New Roman" w:cs="Times New Roman"/>
          <w:b/>
          <w:color w:val="auto"/>
        </w:rPr>
      </w:pPr>
      <w:bookmarkStart w:id="9" w:name="_Toc78372612"/>
      <w:r w:rsidRPr="00D04A63">
        <w:rPr>
          <w:rFonts w:ascii="Times New Roman" w:hAnsi="Times New Roman" w:cs="Times New Roman"/>
          <w:b/>
          <w:color w:val="auto"/>
        </w:rPr>
        <w:t>Secinājumi</w:t>
      </w:r>
      <w:bookmarkEnd w:id="9"/>
    </w:p>
    <w:p w14:paraId="49A276CA" w14:textId="77777777" w:rsidR="00D04A63" w:rsidRPr="00D04A63" w:rsidRDefault="00D04A63" w:rsidP="00D04A63"/>
    <w:p w14:paraId="78B40B01" w14:textId="5BA7F8B1" w:rsidR="008E7FFD" w:rsidRPr="00384026" w:rsidRDefault="00EA5C36" w:rsidP="006026AA">
      <w:pPr>
        <w:spacing w:after="0"/>
        <w:ind w:firstLine="720"/>
        <w:jc w:val="both"/>
        <w:rPr>
          <w:rFonts w:ascii="Times New Roman" w:hAnsi="Times New Roman" w:cs="Times New Roman"/>
          <w:color w:val="000000" w:themeColor="text1"/>
          <w:sz w:val="24"/>
          <w:szCs w:val="24"/>
        </w:rPr>
      </w:pPr>
      <w:r w:rsidRPr="00E05535">
        <w:rPr>
          <w:rFonts w:ascii="Times New Roman" w:hAnsi="Times New Roman" w:cs="Times New Roman"/>
          <w:color w:val="000000" w:themeColor="text1"/>
          <w:sz w:val="24"/>
          <w:szCs w:val="24"/>
        </w:rPr>
        <w:t>Lai gan no Plāna iekļautajiem 3</w:t>
      </w:r>
      <w:r w:rsidR="00E05535" w:rsidRPr="00E05535">
        <w:rPr>
          <w:rFonts w:ascii="Times New Roman" w:hAnsi="Times New Roman" w:cs="Times New Roman"/>
          <w:color w:val="000000" w:themeColor="text1"/>
          <w:sz w:val="24"/>
          <w:szCs w:val="24"/>
        </w:rPr>
        <w:t>3</w:t>
      </w:r>
      <w:r w:rsidR="008E7FFD" w:rsidRPr="00E05535">
        <w:rPr>
          <w:rFonts w:ascii="Times New Roman" w:hAnsi="Times New Roman" w:cs="Times New Roman"/>
          <w:color w:val="000000" w:themeColor="text1"/>
          <w:sz w:val="24"/>
          <w:szCs w:val="24"/>
        </w:rPr>
        <w:t xml:space="preserve"> pasākumiem un apakšpasākumiem trešā daļa jeb 11 pasākumi netika izpildīti, šajā pārskata periodā tika īstenoti vairāki, var</w:t>
      </w:r>
      <w:r w:rsidR="00F91B11" w:rsidRPr="00E05535">
        <w:rPr>
          <w:rFonts w:ascii="Times New Roman" w:hAnsi="Times New Roman" w:cs="Times New Roman"/>
          <w:color w:val="000000" w:themeColor="text1"/>
          <w:sz w:val="24"/>
          <w:szCs w:val="24"/>
        </w:rPr>
        <w:t xml:space="preserve">ētu pat teikt vēsturiski uzdevumi, </w:t>
      </w:r>
      <w:r w:rsidR="001513AF" w:rsidRPr="00E05535">
        <w:rPr>
          <w:rFonts w:ascii="Times New Roman" w:hAnsi="Times New Roman" w:cs="Times New Roman"/>
          <w:color w:val="000000" w:themeColor="text1"/>
          <w:sz w:val="24"/>
          <w:szCs w:val="24"/>
        </w:rPr>
        <w:t xml:space="preserve">kas </w:t>
      </w:r>
      <w:r w:rsidR="00F91B11" w:rsidRPr="00E05535">
        <w:rPr>
          <w:rFonts w:ascii="Times New Roman" w:hAnsi="Times New Roman" w:cs="Times New Roman"/>
          <w:color w:val="000000" w:themeColor="text1"/>
          <w:sz w:val="24"/>
          <w:szCs w:val="24"/>
        </w:rPr>
        <w:t>dos ilgtermiņ</w:t>
      </w:r>
      <w:r w:rsidR="00B25C7E">
        <w:rPr>
          <w:rFonts w:ascii="Times New Roman" w:hAnsi="Times New Roman" w:cs="Times New Roman"/>
          <w:color w:val="000000" w:themeColor="text1"/>
          <w:sz w:val="24"/>
          <w:szCs w:val="24"/>
        </w:rPr>
        <w:t>a</w:t>
      </w:r>
      <w:r w:rsidR="00F91B11" w:rsidRPr="00E05535">
        <w:rPr>
          <w:rFonts w:ascii="Times New Roman" w:hAnsi="Times New Roman" w:cs="Times New Roman"/>
          <w:color w:val="000000" w:themeColor="text1"/>
          <w:sz w:val="24"/>
          <w:szCs w:val="24"/>
        </w:rPr>
        <w:t xml:space="preserve"> rezultātus narkotiku politikā. Kā viens no svarīgākajiem pasākumiem ir jāmin narkotiku politikas koordinācijas un plānošanas nodošana Veselības ministrijai, tādējādi veicinot, ka narkotiku lietošanas traucējumi tiek skatīti no sabiedrības veselības viedokļa kā biopsihosociāla </w:t>
      </w:r>
      <w:r w:rsidR="006026AA" w:rsidRPr="00E05535">
        <w:rPr>
          <w:rFonts w:ascii="Times New Roman" w:hAnsi="Times New Roman" w:cs="Times New Roman"/>
          <w:color w:val="000000" w:themeColor="text1"/>
          <w:sz w:val="24"/>
          <w:szCs w:val="24"/>
        </w:rPr>
        <w:t>slimība</w:t>
      </w:r>
      <w:r w:rsidR="00F91B11" w:rsidRPr="00E05535">
        <w:rPr>
          <w:rFonts w:ascii="Times New Roman" w:hAnsi="Times New Roman" w:cs="Times New Roman"/>
          <w:color w:val="000000" w:themeColor="text1"/>
          <w:sz w:val="24"/>
          <w:szCs w:val="24"/>
        </w:rPr>
        <w:t xml:space="preserve">. Tas ļauj </w:t>
      </w:r>
      <w:r w:rsidR="00501403">
        <w:rPr>
          <w:rFonts w:ascii="Times New Roman" w:hAnsi="Times New Roman" w:cs="Times New Roman"/>
          <w:color w:val="000000" w:themeColor="text1"/>
          <w:sz w:val="24"/>
          <w:szCs w:val="24"/>
        </w:rPr>
        <w:t>apzināt</w:t>
      </w:r>
      <w:r w:rsidR="00F91B11" w:rsidRPr="00E05535">
        <w:rPr>
          <w:rFonts w:ascii="Times New Roman" w:hAnsi="Times New Roman" w:cs="Times New Roman"/>
          <w:color w:val="000000" w:themeColor="text1"/>
          <w:sz w:val="24"/>
          <w:szCs w:val="24"/>
        </w:rPr>
        <w:t xml:space="preserve"> un plānot daudz piemērotākus pasākumus, kur soda vietā tiek sniegta pa</w:t>
      </w:r>
      <w:r w:rsidR="001513AF" w:rsidRPr="00E05535">
        <w:rPr>
          <w:rFonts w:ascii="Times New Roman" w:hAnsi="Times New Roman" w:cs="Times New Roman"/>
          <w:color w:val="000000" w:themeColor="text1"/>
          <w:sz w:val="24"/>
          <w:szCs w:val="24"/>
        </w:rPr>
        <w:t>līdzība, it īpaši gadījumos, kad</w:t>
      </w:r>
      <w:r w:rsidR="00F91B11" w:rsidRPr="00E05535">
        <w:rPr>
          <w:rFonts w:ascii="Times New Roman" w:hAnsi="Times New Roman" w:cs="Times New Roman"/>
          <w:color w:val="000000" w:themeColor="text1"/>
          <w:sz w:val="24"/>
          <w:szCs w:val="24"/>
        </w:rPr>
        <w:t xml:space="preserve"> cilvēks cieš no smagiem vielu lietošanas traucējumiem.</w:t>
      </w:r>
      <w:r w:rsidR="00F91B11" w:rsidRPr="00384026">
        <w:rPr>
          <w:rFonts w:ascii="Times New Roman" w:hAnsi="Times New Roman" w:cs="Times New Roman"/>
          <w:color w:val="000000" w:themeColor="text1"/>
          <w:sz w:val="24"/>
          <w:szCs w:val="24"/>
        </w:rPr>
        <w:t xml:space="preserve"> </w:t>
      </w:r>
    </w:p>
    <w:p w14:paraId="2E172D96" w14:textId="7EF92AF3" w:rsidR="00F91B11" w:rsidRPr="00384026" w:rsidRDefault="001513AF" w:rsidP="006026AA">
      <w:pPr>
        <w:spacing w:after="0"/>
        <w:ind w:firstLine="720"/>
        <w:jc w:val="both"/>
        <w:rPr>
          <w:rFonts w:ascii="Times New Roman" w:hAnsi="Times New Roman" w:cs="Times New Roman"/>
          <w:color w:val="000000" w:themeColor="text1"/>
          <w:sz w:val="24"/>
          <w:szCs w:val="24"/>
        </w:rPr>
      </w:pPr>
      <w:r w:rsidRPr="00384026">
        <w:rPr>
          <w:rFonts w:ascii="Times New Roman" w:hAnsi="Times New Roman" w:cs="Times New Roman"/>
          <w:color w:val="000000" w:themeColor="text1"/>
          <w:sz w:val="24"/>
          <w:szCs w:val="24"/>
        </w:rPr>
        <w:t>Tāpat šajā periodā tika uzsākt</w:t>
      </w:r>
      <w:r w:rsidR="00F91B11" w:rsidRPr="00384026">
        <w:rPr>
          <w:rFonts w:ascii="Times New Roman" w:hAnsi="Times New Roman" w:cs="Times New Roman"/>
          <w:color w:val="000000" w:themeColor="text1"/>
          <w:sz w:val="24"/>
          <w:szCs w:val="24"/>
        </w:rPr>
        <w:t>s darbs pie divu standartizētu programmu ieviešanas Latvijā. Šajā gadījumā svarīgais ir nevis kādas konkrētas programmas ieviešana, bet gan profilakses pieejas maiņas</w:t>
      </w:r>
      <w:r w:rsidR="00501403">
        <w:rPr>
          <w:rFonts w:ascii="Times New Roman" w:hAnsi="Times New Roman" w:cs="Times New Roman"/>
          <w:color w:val="000000" w:themeColor="text1"/>
          <w:sz w:val="24"/>
          <w:szCs w:val="24"/>
        </w:rPr>
        <w:t>, paredzot, ka p</w:t>
      </w:r>
      <w:r w:rsidR="0094543E" w:rsidRPr="00384026">
        <w:rPr>
          <w:rFonts w:ascii="Times New Roman" w:hAnsi="Times New Roman" w:cs="Times New Roman"/>
          <w:color w:val="000000" w:themeColor="text1"/>
          <w:sz w:val="24"/>
          <w:szCs w:val="24"/>
        </w:rPr>
        <w:t xml:space="preserve">rofilakse nav vienreizēja lekcija skolā, bet gan pārdomāta un strukturēta </w:t>
      </w:r>
      <w:r w:rsidRPr="00384026">
        <w:rPr>
          <w:rFonts w:ascii="Times New Roman" w:hAnsi="Times New Roman" w:cs="Times New Roman"/>
          <w:color w:val="000000" w:themeColor="text1"/>
          <w:sz w:val="24"/>
          <w:szCs w:val="24"/>
        </w:rPr>
        <w:t xml:space="preserve">sociālās ietekmes </w:t>
      </w:r>
      <w:r w:rsidR="0094543E" w:rsidRPr="00384026">
        <w:rPr>
          <w:rFonts w:ascii="Times New Roman" w:hAnsi="Times New Roman" w:cs="Times New Roman"/>
          <w:color w:val="000000" w:themeColor="text1"/>
          <w:sz w:val="24"/>
          <w:szCs w:val="24"/>
        </w:rPr>
        <w:t>programma, kurā ņemt</w:t>
      </w:r>
      <w:r w:rsidR="00B25C7E">
        <w:rPr>
          <w:rFonts w:ascii="Times New Roman" w:hAnsi="Times New Roman" w:cs="Times New Roman"/>
          <w:color w:val="000000" w:themeColor="text1"/>
          <w:sz w:val="24"/>
          <w:szCs w:val="24"/>
        </w:rPr>
        <w:t>a</w:t>
      </w:r>
      <w:r w:rsidR="0094543E" w:rsidRPr="00384026">
        <w:rPr>
          <w:rFonts w:ascii="Times New Roman" w:hAnsi="Times New Roman" w:cs="Times New Roman"/>
          <w:color w:val="000000" w:themeColor="text1"/>
          <w:sz w:val="24"/>
          <w:szCs w:val="24"/>
        </w:rPr>
        <w:t xml:space="preserve">s vērā konkrētās mērķa grupas vajadzības un riska faktori, kurā intervence izstrādāta ilgtermiņā, pamatojoties uz zinātniskiem pierādījumiem par intervences rezultātiem. Un vissvarīgākais tiek nodrošināta arī programmas uzraudzība un </w:t>
      </w:r>
      <w:r w:rsidRPr="00384026">
        <w:rPr>
          <w:rFonts w:ascii="Times New Roman" w:hAnsi="Times New Roman" w:cs="Times New Roman"/>
          <w:color w:val="000000" w:themeColor="text1"/>
          <w:sz w:val="24"/>
          <w:szCs w:val="24"/>
        </w:rPr>
        <w:t xml:space="preserve">zinātnisks ietekmes </w:t>
      </w:r>
      <w:r w:rsidR="0094543E" w:rsidRPr="00384026">
        <w:rPr>
          <w:rFonts w:ascii="Times New Roman" w:hAnsi="Times New Roman" w:cs="Times New Roman"/>
          <w:color w:val="000000" w:themeColor="text1"/>
          <w:sz w:val="24"/>
          <w:szCs w:val="24"/>
        </w:rPr>
        <w:t xml:space="preserve">izvērtējums. Jāatzīmē, ka arī Pārresoru koordinācijas centrs plāno ieviest vairākas programmas (piem., </w:t>
      </w:r>
      <w:r w:rsidR="0094543E" w:rsidRPr="00384026">
        <w:rPr>
          <w:rFonts w:ascii="Times New Roman" w:hAnsi="Times New Roman" w:cs="Times New Roman"/>
          <w:i/>
          <w:color w:val="000000" w:themeColor="text1"/>
          <w:sz w:val="24"/>
          <w:szCs w:val="24"/>
        </w:rPr>
        <w:t>Incredible Years, Nurse-Family Partnership, Kiva</w:t>
      </w:r>
      <w:r w:rsidR="0094543E" w:rsidRPr="00384026">
        <w:rPr>
          <w:rFonts w:ascii="Times New Roman" w:hAnsi="Times New Roman" w:cs="Times New Roman"/>
          <w:color w:val="000000" w:themeColor="text1"/>
          <w:sz w:val="24"/>
          <w:szCs w:val="24"/>
        </w:rPr>
        <w:t xml:space="preserve">), kas tiek uzskatītas par vielu lietošanas profilakses programmām, jo tās mazina lietošanas riska faktorus. </w:t>
      </w:r>
      <w:r w:rsidR="0010256B" w:rsidRPr="00384026">
        <w:rPr>
          <w:rFonts w:ascii="Times New Roman" w:hAnsi="Times New Roman" w:cs="Times New Roman"/>
          <w:color w:val="000000" w:themeColor="text1"/>
          <w:sz w:val="24"/>
          <w:szCs w:val="24"/>
        </w:rPr>
        <w:t xml:space="preserve">Attiecīgi, ja visas </w:t>
      </w:r>
      <w:r w:rsidR="006026AA" w:rsidRPr="00384026">
        <w:rPr>
          <w:rFonts w:ascii="Times New Roman" w:hAnsi="Times New Roman" w:cs="Times New Roman"/>
          <w:color w:val="000000" w:themeColor="text1"/>
          <w:sz w:val="24"/>
          <w:szCs w:val="24"/>
        </w:rPr>
        <w:t>minētās programmas tiek veiksmīg</w:t>
      </w:r>
      <w:r w:rsidR="0010256B" w:rsidRPr="00384026">
        <w:rPr>
          <w:rFonts w:ascii="Times New Roman" w:hAnsi="Times New Roman" w:cs="Times New Roman"/>
          <w:color w:val="000000" w:themeColor="text1"/>
          <w:sz w:val="24"/>
          <w:szCs w:val="24"/>
        </w:rPr>
        <w:t xml:space="preserve">i īstenotas un izvērtētas, 10 gadu laikā tiktu ievērojami uzlabota kapacitāte un ekspertīze pierādījumos balstītu profilakses programmu īstenošanā, ne tikai narkotiku lietošanas jomā, bet vispārējās iedzīvotāju labbūtības jomās.  </w:t>
      </w:r>
    </w:p>
    <w:p w14:paraId="4A3C8FA9" w14:textId="77777777" w:rsidR="00BE4B28" w:rsidRPr="00384026" w:rsidRDefault="002E6C82" w:rsidP="006026AA">
      <w:pPr>
        <w:spacing w:after="0"/>
        <w:ind w:firstLine="720"/>
        <w:jc w:val="both"/>
        <w:rPr>
          <w:rFonts w:ascii="Times New Roman" w:hAnsi="Times New Roman" w:cs="Times New Roman"/>
          <w:color w:val="000000" w:themeColor="text1"/>
          <w:sz w:val="24"/>
          <w:szCs w:val="24"/>
        </w:rPr>
      </w:pPr>
      <w:r w:rsidRPr="00384026">
        <w:rPr>
          <w:rFonts w:ascii="Times New Roman" w:hAnsi="Times New Roman" w:cs="Times New Roman"/>
          <w:color w:val="000000" w:themeColor="text1"/>
          <w:sz w:val="24"/>
          <w:szCs w:val="24"/>
        </w:rPr>
        <w:t xml:space="preserve">Jautājumā par izpildi kavējošiem un veicinošiem apstākļiem, galvenokārt tika apzināts finansējuma pieejamības jautājums. </w:t>
      </w:r>
      <w:r w:rsidR="00BE4B28" w:rsidRPr="00384026">
        <w:rPr>
          <w:rFonts w:ascii="Times New Roman" w:hAnsi="Times New Roman" w:cs="Times New Roman"/>
          <w:color w:val="000000" w:themeColor="text1"/>
          <w:sz w:val="24"/>
          <w:szCs w:val="24"/>
        </w:rPr>
        <w:t xml:space="preserve">Līdzīgi, kā daudzās </w:t>
      </w:r>
      <w:r w:rsidR="001513AF" w:rsidRPr="00384026">
        <w:rPr>
          <w:rFonts w:ascii="Times New Roman" w:hAnsi="Times New Roman" w:cs="Times New Roman"/>
          <w:color w:val="000000" w:themeColor="text1"/>
          <w:sz w:val="24"/>
          <w:szCs w:val="24"/>
        </w:rPr>
        <w:t xml:space="preserve">citās </w:t>
      </w:r>
      <w:r w:rsidR="00BE4B28" w:rsidRPr="00384026">
        <w:rPr>
          <w:rFonts w:ascii="Times New Roman" w:hAnsi="Times New Roman" w:cs="Times New Roman"/>
          <w:color w:val="000000" w:themeColor="text1"/>
          <w:sz w:val="24"/>
          <w:szCs w:val="24"/>
        </w:rPr>
        <w:t xml:space="preserve">politikas jomās, arī šajā izvērtējumā redzam, ka izpildi lielā mērā kavē nepietiekami finanšu līdzekļi. </w:t>
      </w:r>
      <w:r w:rsidR="001513AF" w:rsidRPr="00384026">
        <w:rPr>
          <w:rFonts w:ascii="Times New Roman" w:hAnsi="Times New Roman" w:cs="Times New Roman"/>
          <w:color w:val="000000" w:themeColor="text1"/>
          <w:sz w:val="24"/>
          <w:szCs w:val="24"/>
        </w:rPr>
        <w:t>To pierāda arī tas, ka</w:t>
      </w:r>
      <w:r w:rsidR="00BE4B28" w:rsidRPr="00384026">
        <w:rPr>
          <w:rFonts w:ascii="Times New Roman" w:hAnsi="Times New Roman" w:cs="Times New Roman"/>
          <w:color w:val="000000" w:themeColor="text1"/>
          <w:sz w:val="24"/>
          <w:szCs w:val="24"/>
        </w:rPr>
        <w:t xml:space="preserve"> pasākumi, kuru izpildei piesaistīts ESF finansējums, kā arī citi ārvalstu finanšu līdzekļi, tiek īstenoti veiksmīgi. Šajā kontekstā gan svarīgi atzīmēt, ka ar ārvalstu finansējumu nav iespējams nosegt visu, jo ir pasākumi, kuri neatbilst finansējuma saņemšanas prasībām, piemēram, narkoloģijas pacientu atbrīvošana no līdzmaksājumiem vai laboratoriju aprīkojuma iegāde. Vienlaikus šie pasākumi ir akūti nepieciešami, lai uzlabotu pakalpojuma pieejamību un spēju ātri reaģēt uz jaunām tendencēm. </w:t>
      </w:r>
    </w:p>
    <w:p w14:paraId="10601AC4" w14:textId="548CF060" w:rsidR="00574DE1" w:rsidRPr="00384026" w:rsidRDefault="00B75C95" w:rsidP="006026AA">
      <w:pPr>
        <w:spacing w:after="0"/>
        <w:ind w:firstLine="720"/>
        <w:jc w:val="both"/>
        <w:rPr>
          <w:rFonts w:ascii="Times New Roman" w:hAnsi="Times New Roman" w:cs="Times New Roman"/>
          <w:sz w:val="24"/>
          <w:szCs w:val="24"/>
        </w:rPr>
      </w:pPr>
      <w:r w:rsidRPr="00384026">
        <w:rPr>
          <w:rFonts w:ascii="Times New Roman" w:hAnsi="Times New Roman" w:cs="Times New Roman"/>
          <w:color w:val="000000" w:themeColor="text1"/>
          <w:sz w:val="24"/>
          <w:szCs w:val="24"/>
        </w:rPr>
        <w:t>Veicot iz</w:t>
      </w:r>
      <w:r w:rsidR="001769FA" w:rsidRPr="00384026">
        <w:rPr>
          <w:rFonts w:ascii="Times New Roman" w:hAnsi="Times New Roman" w:cs="Times New Roman"/>
          <w:color w:val="000000" w:themeColor="text1"/>
          <w:sz w:val="24"/>
          <w:szCs w:val="24"/>
        </w:rPr>
        <w:t>vērtējumu, tika ievērots atšķirīgs</w:t>
      </w:r>
      <w:r w:rsidRPr="00384026">
        <w:rPr>
          <w:rFonts w:ascii="Times New Roman" w:hAnsi="Times New Roman" w:cs="Times New Roman"/>
          <w:color w:val="000000" w:themeColor="text1"/>
          <w:sz w:val="24"/>
          <w:szCs w:val="24"/>
        </w:rPr>
        <w:t xml:space="preserve"> terminoloģijas lietojums, t</w:t>
      </w:r>
      <w:r w:rsidR="001B354B" w:rsidRPr="00384026">
        <w:rPr>
          <w:rFonts w:ascii="Times New Roman" w:hAnsi="Times New Roman" w:cs="Times New Roman"/>
          <w:color w:val="000000" w:themeColor="text1"/>
          <w:sz w:val="24"/>
          <w:szCs w:val="24"/>
        </w:rPr>
        <w:t xml:space="preserve">ādēļ </w:t>
      </w:r>
      <w:r w:rsidR="00E64C99" w:rsidRPr="00384026">
        <w:rPr>
          <w:rFonts w:ascii="Times New Roman" w:hAnsi="Times New Roman" w:cs="Times New Roman"/>
          <w:color w:val="000000" w:themeColor="text1"/>
          <w:sz w:val="24"/>
          <w:szCs w:val="24"/>
        </w:rPr>
        <w:t>svarīgi norādīt</w:t>
      </w:r>
      <w:r w:rsidR="007D4E0C" w:rsidRPr="00384026">
        <w:rPr>
          <w:rFonts w:ascii="Times New Roman" w:hAnsi="Times New Roman" w:cs="Times New Roman"/>
          <w:sz w:val="24"/>
          <w:szCs w:val="24"/>
        </w:rPr>
        <w:t xml:space="preserve">, ka </w:t>
      </w:r>
      <w:r w:rsidR="002B64FE" w:rsidRPr="00384026">
        <w:rPr>
          <w:rFonts w:ascii="Times New Roman" w:hAnsi="Times New Roman" w:cs="Times New Roman"/>
          <w:sz w:val="24"/>
          <w:szCs w:val="24"/>
        </w:rPr>
        <w:t>20</w:t>
      </w:r>
      <w:r w:rsidR="007D4E0C" w:rsidRPr="00384026">
        <w:rPr>
          <w:rFonts w:ascii="Times New Roman" w:hAnsi="Times New Roman" w:cs="Times New Roman"/>
          <w:sz w:val="24"/>
          <w:szCs w:val="24"/>
        </w:rPr>
        <w:t>16.</w:t>
      </w:r>
      <w:r w:rsidR="00334B46" w:rsidRPr="00384026">
        <w:rPr>
          <w:rFonts w:ascii="Times New Roman" w:hAnsi="Times New Roman" w:cs="Times New Roman"/>
          <w:sz w:val="24"/>
          <w:szCs w:val="24"/>
        </w:rPr>
        <w:t> </w:t>
      </w:r>
      <w:r w:rsidR="007D4E0C" w:rsidRPr="00384026">
        <w:rPr>
          <w:rFonts w:ascii="Times New Roman" w:hAnsi="Times New Roman" w:cs="Times New Roman"/>
          <w:sz w:val="24"/>
          <w:szCs w:val="24"/>
        </w:rPr>
        <w:t>gadā apstiprināt</w:t>
      </w:r>
      <w:r w:rsidR="00E64C99" w:rsidRPr="00384026">
        <w:rPr>
          <w:rFonts w:ascii="Times New Roman" w:hAnsi="Times New Roman" w:cs="Times New Roman"/>
          <w:sz w:val="24"/>
          <w:szCs w:val="24"/>
        </w:rPr>
        <w:t>ajā</w:t>
      </w:r>
      <w:r w:rsidR="007D4E0C" w:rsidRPr="00384026">
        <w:rPr>
          <w:rFonts w:ascii="Times New Roman" w:hAnsi="Times New Roman" w:cs="Times New Roman"/>
          <w:sz w:val="24"/>
          <w:szCs w:val="24"/>
        </w:rPr>
        <w:t xml:space="preserve"> </w:t>
      </w:r>
      <w:r w:rsidR="00877761" w:rsidRPr="00384026">
        <w:rPr>
          <w:rFonts w:ascii="Times New Roman" w:hAnsi="Times New Roman" w:cs="Times New Roman"/>
          <w:sz w:val="24"/>
          <w:szCs w:val="24"/>
        </w:rPr>
        <w:t>Amerikas Psihiatru asociācijas klasifikācijas sistēma</w:t>
      </w:r>
      <w:r w:rsidR="00E64C99" w:rsidRPr="00384026">
        <w:rPr>
          <w:rFonts w:ascii="Times New Roman" w:hAnsi="Times New Roman" w:cs="Times New Roman"/>
          <w:sz w:val="24"/>
          <w:szCs w:val="24"/>
        </w:rPr>
        <w:t>s</w:t>
      </w:r>
      <w:r w:rsidR="002B64FE" w:rsidRPr="00384026">
        <w:rPr>
          <w:rFonts w:ascii="Times New Roman" w:hAnsi="Times New Roman" w:cs="Times New Roman"/>
          <w:sz w:val="24"/>
          <w:szCs w:val="24"/>
        </w:rPr>
        <w:t xml:space="preserve"> </w:t>
      </w:r>
      <w:r w:rsidR="002146D4" w:rsidRPr="00384026">
        <w:rPr>
          <w:rFonts w:ascii="Times New Roman" w:hAnsi="Times New Roman" w:cs="Times New Roman"/>
          <w:sz w:val="24"/>
          <w:szCs w:val="24"/>
        </w:rPr>
        <w:t>5. </w:t>
      </w:r>
      <w:r w:rsidR="008443D4" w:rsidRPr="00384026">
        <w:rPr>
          <w:rFonts w:ascii="Times New Roman" w:hAnsi="Times New Roman" w:cs="Times New Roman"/>
          <w:sz w:val="24"/>
          <w:szCs w:val="24"/>
        </w:rPr>
        <w:t>redakcij</w:t>
      </w:r>
      <w:r w:rsidR="00E64C99" w:rsidRPr="00384026">
        <w:rPr>
          <w:rFonts w:ascii="Times New Roman" w:hAnsi="Times New Roman" w:cs="Times New Roman"/>
          <w:sz w:val="24"/>
          <w:szCs w:val="24"/>
        </w:rPr>
        <w:t xml:space="preserve">ā (DSM-V) ir izslēgts </w:t>
      </w:r>
      <w:r w:rsidR="007D4E0C" w:rsidRPr="00384026">
        <w:rPr>
          <w:rFonts w:ascii="Times New Roman" w:hAnsi="Times New Roman" w:cs="Times New Roman"/>
          <w:sz w:val="24"/>
          <w:szCs w:val="24"/>
        </w:rPr>
        <w:t>vārd</w:t>
      </w:r>
      <w:r w:rsidR="00E64C99" w:rsidRPr="00384026">
        <w:rPr>
          <w:rFonts w:ascii="Times New Roman" w:hAnsi="Times New Roman" w:cs="Times New Roman"/>
          <w:sz w:val="24"/>
          <w:szCs w:val="24"/>
        </w:rPr>
        <w:t>s</w:t>
      </w:r>
      <w:r w:rsidR="004964A3" w:rsidRPr="00384026">
        <w:rPr>
          <w:rFonts w:ascii="Times New Roman" w:hAnsi="Times New Roman" w:cs="Times New Roman"/>
          <w:sz w:val="24"/>
          <w:szCs w:val="24"/>
        </w:rPr>
        <w:t xml:space="preserve"> </w:t>
      </w:r>
      <w:r w:rsidR="004964A3" w:rsidRPr="00384026">
        <w:rPr>
          <w:rFonts w:ascii="Times New Roman" w:hAnsi="Times New Roman" w:cs="Times New Roman"/>
          <w:i/>
          <w:sz w:val="24"/>
          <w:szCs w:val="24"/>
        </w:rPr>
        <w:t>atkarība</w:t>
      </w:r>
      <w:r w:rsidR="00427E12">
        <w:rPr>
          <w:rFonts w:ascii="Times New Roman" w:hAnsi="Times New Roman" w:cs="Times New Roman"/>
          <w:i/>
          <w:sz w:val="24"/>
          <w:szCs w:val="24"/>
        </w:rPr>
        <w:t xml:space="preserve"> (addiction)</w:t>
      </w:r>
      <w:r w:rsidR="00501403">
        <w:rPr>
          <w:rFonts w:ascii="Times New Roman" w:hAnsi="Times New Roman" w:cs="Times New Roman"/>
          <w:sz w:val="24"/>
          <w:szCs w:val="24"/>
        </w:rPr>
        <w:t xml:space="preserve">, aizvietojot to ar </w:t>
      </w:r>
      <w:r w:rsidR="007D4E0C" w:rsidRPr="00501403">
        <w:rPr>
          <w:rFonts w:ascii="Times New Roman" w:hAnsi="Times New Roman" w:cs="Times New Roman"/>
          <w:i/>
          <w:sz w:val="24"/>
          <w:szCs w:val="24"/>
        </w:rPr>
        <w:t>vielu lietošanas traucējum</w:t>
      </w:r>
      <w:r w:rsidR="00E05535" w:rsidRPr="00501403">
        <w:rPr>
          <w:rFonts w:ascii="Times New Roman" w:hAnsi="Times New Roman" w:cs="Times New Roman"/>
          <w:i/>
          <w:sz w:val="24"/>
          <w:szCs w:val="24"/>
        </w:rPr>
        <w:t>iem</w:t>
      </w:r>
      <w:r w:rsidR="007D4E0C" w:rsidRPr="00384026">
        <w:rPr>
          <w:rFonts w:ascii="Times New Roman" w:hAnsi="Times New Roman" w:cs="Times New Roman"/>
          <w:sz w:val="24"/>
          <w:szCs w:val="24"/>
        </w:rPr>
        <w:t xml:space="preserve"> (</w:t>
      </w:r>
      <w:r w:rsidR="007D4E0C" w:rsidRPr="00384026">
        <w:rPr>
          <w:rFonts w:ascii="Times New Roman" w:hAnsi="Times New Roman" w:cs="Times New Roman"/>
          <w:i/>
          <w:sz w:val="24"/>
          <w:szCs w:val="24"/>
        </w:rPr>
        <w:t>substance use disorders - SUD</w:t>
      </w:r>
      <w:r w:rsidR="00427E12">
        <w:rPr>
          <w:rFonts w:ascii="Times New Roman" w:hAnsi="Times New Roman" w:cs="Times New Roman"/>
          <w:sz w:val="24"/>
          <w:szCs w:val="24"/>
        </w:rPr>
        <w:t xml:space="preserve">) un </w:t>
      </w:r>
      <w:r w:rsidR="007D4E0C" w:rsidRPr="00384026">
        <w:rPr>
          <w:rFonts w:ascii="Times New Roman" w:hAnsi="Times New Roman" w:cs="Times New Roman"/>
          <w:i/>
          <w:sz w:val="24"/>
          <w:szCs w:val="24"/>
        </w:rPr>
        <w:t>addict</w:t>
      </w:r>
      <w:r w:rsidR="00642667" w:rsidRPr="00384026">
        <w:rPr>
          <w:rFonts w:ascii="Times New Roman" w:hAnsi="Times New Roman" w:cs="Times New Roman"/>
          <w:i/>
          <w:sz w:val="24"/>
          <w:szCs w:val="24"/>
        </w:rPr>
        <w:t>i</w:t>
      </w:r>
      <w:r w:rsidR="007D4E0C" w:rsidRPr="00384026">
        <w:rPr>
          <w:rFonts w:ascii="Times New Roman" w:hAnsi="Times New Roman" w:cs="Times New Roman"/>
          <w:i/>
          <w:sz w:val="24"/>
          <w:szCs w:val="24"/>
        </w:rPr>
        <w:t>ve behaviours</w:t>
      </w:r>
      <w:r w:rsidR="007D4E0C" w:rsidRPr="00384026">
        <w:rPr>
          <w:rFonts w:ascii="Times New Roman" w:hAnsi="Times New Roman" w:cs="Times New Roman"/>
          <w:sz w:val="24"/>
          <w:szCs w:val="24"/>
        </w:rPr>
        <w:t xml:space="preserve"> procesu atkarības kontekstā.</w:t>
      </w:r>
      <w:r w:rsidR="00642667" w:rsidRPr="00384026">
        <w:rPr>
          <w:rStyle w:val="FootnoteReference"/>
          <w:rFonts w:ascii="Times New Roman" w:hAnsi="Times New Roman" w:cs="Times New Roman"/>
          <w:sz w:val="24"/>
          <w:szCs w:val="24"/>
        </w:rPr>
        <w:footnoteReference w:id="10"/>
      </w:r>
      <w:r w:rsidR="007D4E0C" w:rsidRPr="00384026">
        <w:rPr>
          <w:rFonts w:ascii="Times New Roman" w:hAnsi="Times New Roman" w:cs="Times New Roman"/>
          <w:sz w:val="24"/>
          <w:szCs w:val="24"/>
        </w:rPr>
        <w:t xml:space="preserve"> </w:t>
      </w:r>
      <w:r w:rsidRPr="00384026">
        <w:rPr>
          <w:rFonts w:ascii="Times New Roman" w:hAnsi="Times New Roman" w:cs="Times New Roman"/>
          <w:sz w:val="24"/>
          <w:szCs w:val="24"/>
        </w:rPr>
        <w:t>Vārd</w:t>
      </w:r>
      <w:r w:rsidR="00E64C99" w:rsidRPr="00384026">
        <w:rPr>
          <w:rFonts w:ascii="Times New Roman" w:hAnsi="Times New Roman" w:cs="Times New Roman"/>
          <w:sz w:val="24"/>
          <w:szCs w:val="24"/>
        </w:rPr>
        <w:t>s</w:t>
      </w:r>
      <w:r w:rsidR="001769FA" w:rsidRPr="00384026">
        <w:rPr>
          <w:rFonts w:ascii="Times New Roman" w:hAnsi="Times New Roman" w:cs="Times New Roman"/>
          <w:sz w:val="24"/>
          <w:szCs w:val="24"/>
        </w:rPr>
        <w:t xml:space="preserve"> </w:t>
      </w:r>
      <w:r w:rsidR="001769FA" w:rsidRPr="00384026">
        <w:rPr>
          <w:rFonts w:ascii="Times New Roman" w:hAnsi="Times New Roman" w:cs="Times New Roman"/>
          <w:i/>
          <w:sz w:val="24"/>
          <w:szCs w:val="24"/>
        </w:rPr>
        <w:t>atkarība</w:t>
      </w:r>
      <w:r w:rsidRPr="00384026">
        <w:rPr>
          <w:rFonts w:ascii="Times New Roman" w:hAnsi="Times New Roman" w:cs="Times New Roman"/>
          <w:sz w:val="24"/>
          <w:szCs w:val="24"/>
        </w:rPr>
        <w:t xml:space="preserve"> izslēg</w:t>
      </w:r>
      <w:r w:rsidR="00E64C99" w:rsidRPr="00384026">
        <w:rPr>
          <w:rFonts w:ascii="Times New Roman" w:hAnsi="Times New Roman" w:cs="Times New Roman"/>
          <w:sz w:val="24"/>
          <w:szCs w:val="24"/>
        </w:rPr>
        <w:t xml:space="preserve">ts, jo tas </w:t>
      </w:r>
      <w:r w:rsidR="00427E12">
        <w:rPr>
          <w:rFonts w:ascii="Times New Roman" w:hAnsi="Times New Roman" w:cs="Times New Roman"/>
          <w:sz w:val="24"/>
          <w:szCs w:val="24"/>
        </w:rPr>
        <w:t xml:space="preserve">var radīt </w:t>
      </w:r>
      <w:r w:rsidRPr="00384026">
        <w:rPr>
          <w:rFonts w:ascii="Times New Roman" w:hAnsi="Times New Roman" w:cs="Times New Roman"/>
          <w:sz w:val="24"/>
          <w:szCs w:val="24"/>
        </w:rPr>
        <w:t>negatīv</w:t>
      </w:r>
      <w:r w:rsidR="00E64C99" w:rsidRPr="00384026">
        <w:rPr>
          <w:rFonts w:ascii="Times New Roman" w:hAnsi="Times New Roman" w:cs="Times New Roman"/>
          <w:sz w:val="24"/>
          <w:szCs w:val="24"/>
        </w:rPr>
        <w:t>u</w:t>
      </w:r>
      <w:r w:rsidR="00334B46" w:rsidRPr="00384026">
        <w:rPr>
          <w:rFonts w:ascii="Times New Roman" w:hAnsi="Times New Roman" w:cs="Times New Roman"/>
          <w:sz w:val="24"/>
          <w:szCs w:val="24"/>
        </w:rPr>
        <w:t xml:space="preserve"> </w:t>
      </w:r>
      <w:r w:rsidRPr="00384026">
        <w:rPr>
          <w:rFonts w:ascii="Times New Roman" w:hAnsi="Times New Roman" w:cs="Times New Roman"/>
          <w:sz w:val="24"/>
          <w:szCs w:val="24"/>
        </w:rPr>
        <w:t>konotāci</w:t>
      </w:r>
      <w:r w:rsidR="00E64C99" w:rsidRPr="00384026">
        <w:rPr>
          <w:rFonts w:ascii="Times New Roman" w:hAnsi="Times New Roman" w:cs="Times New Roman"/>
          <w:sz w:val="24"/>
          <w:szCs w:val="24"/>
        </w:rPr>
        <w:t>ju</w:t>
      </w:r>
      <w:r w:rsidR="00427E12">
        <w:rPr>
          <w:rFonts w:ascii="Times New Roman" w:hAnsi="Times New Roman" w:cs="Times New Roman"/>
          <w:sz w:val="24"/>
          <w:szCs w:val="24"/>
        </w:rPr>
        <w:t xml:space="preserve"> un</w:t>
      </w:r>
      <w:r w:rsidR="00E64C99" w:rsidRPr="00384026">
        <w:rPr>
          <w:rFonts w:ascii="Times New Roman" w:hAnsi="Times New Roman" w:cs="Times New Roman"/>
          <w:sz w:val="24"/>
          <w:szCs w:val="24"/>
        </w:rPr>
        <w:t xml:space="preserve"> </w:t>
      </w:r>
      <w:r w:rsidRPr="00384026">
        <w:rPr>
          <w:rFonts w:ascii="Times New Roman" w:hAnsi="Times New Roman" w:cs="Times New Roman"/>
          <w:sz w:val="24"/>
          <w:szCs w:val="24"/>
        </w:rPr>
        <w:t>grūtīb</w:t>
      </w:r>
      <w:r w:rsidR="00E64C99" w:rsidRPr="00384026">
        <w:rPr>
          <w:rFonts w:ascii="Times New Roman" w:hAnsi="Times New Roman" w:cs="Times New Roman"/>
          <w:sz w:val="24"/>
          <w:szCs w:val="24"/>
        </w:rPr>
        <w:t>as</w:t>
      </w:r>
      <w:r w:rsidRPr="00384026">
        <w:rPr>
          <w:rFonts w:ascii="Times New Roman" w:hAnsi="Times New Roman" w:cs="Times New Roman"/>
          <w:sz w:val="24"/>
          <w:szCs w:val="24"/>
        </w:rPr>
        <w:t xml:space="preserve"> piemērot konkrētas definīcijas robežas</w:t>
      </w:r>
      <w:r w:rsidR="00DC7E23">
        <w:rPr>
          <w:rFonts w:ascii="Times New Roman" w:hAnsi="Times New Roman" w:cs="Times New Roman"/>
          <w:sz w:val="24"/>
          <w:szCs w:val="24"/>
        </w:rPr>
        <w:t>, piemēram, pašreiz tiek</w:t>
      </w:r>
      <w:r w:rsidR="007E2EB6" w:rsidRPr="00384026">
        <w:rPr>
          <w:rFonts w:ascii="Times New Roman" w:hAnsi="Times New Roman" w:cs="Times New Roman"/>
          <w:sz w:val="24"/>
          <w:szCs w:val="24"/>
        </w:rPr>
        <w:t xml:space="preserve"> piedāvāta 11 elementu skala, kurā noteikts punktu skaits norāda par </w:t>
      </w:r>
      <w:r w:rsidR="001769FA" w:rsidRPr="00384026">
        <w:rPr>
          <w:rFonts w:ascii="Times New Roman" w:hAnsi="Times New Roman" w:cs="Times New Roman"/>
          <w:sz w:val="24"/>
          <w:szCs w:val="24"/>
        </w:rPr>
        <w:t>vielu lietošanas traucējumu smagumu</w:t>
      </w:r>
      <w:r w:rsidRPr="00384026">
        <w:rPr>
          <w:rFonts w:ascii="Times New Roman" w:hAnsi="Times New Roman" w:cs="Times New Roman"/>
          <w:sz w:val="24"/>
          <w:szCs w:val="24"/>
        </w:rPr>
        <w:t xml:space="preserve">. </w:t>
      </w:r>
      <w:r w:rsidR="008443D4" w:rsidRPr="00384026">
        <w:rPr>
          <w:rFonts w:ascii="Times New Roman" w:hAnsi="Times New Roman" w:cs="Times New Roman"/>
          <w:sz w:val="24"/>
          <w:szCs w:val="24"/>
        </w:rPr>
        <w:t xml:space="preserve">Protams, </w:t>
      </w:r>
      <w:r w:rsidR="00501403" w:rsidRPr="00501403">
        <w:rPr>
          <w:rFonts w:ascii="Times New Roman" w:hAnsi="Times New Roman" w:cs="Times New Roman"/>
          <w:i/>
          <w:sz w:val="24"/>
          <w:szCs w:val="24"/>
        </w:rPr>
        <w:t>atkarības</w:t>
      </w:r>
      <w:r w:rsidR="00501403">
        <w:rPr>
          <w:rFonts w:ascii="Times New Roman" w:hAnsi="Times New Roman" w:cs="Times New Roman"/>
          <w:sz w:val="24"/>
          <w:szCs w:val="24"/>
        </w:rPr>
        <w:t xml:space="preserve"> </w:t>
      </w:r>
      <w:r w:rsidR="004964A3" w:rsidRPr="00384026">
        <w:rPr>
          <w:rFonts w:ascii="Times New Roman" w:hAnsi="Times New Roman" w:cs="Times New Roman"/>
          <w:sz w:val="24"/>
          <w:szCs w:val="24"/>
        </w:rPr>
        <w:t>jēdziens</w:t>
      </w:r>
      <w:r w:rsidR="008443D4" w:rsidRPr="00384026">
        <w:rPr>
          <w:rFonts w:ascii="Times New Roman" w:hAnsi="Times New Roman" w:cs="Times New Roman"/>
          <w:sz w:val="24"/>
          <w:szCs w:val="24"/>
        </w:rPr>
        <w:t xml:space="preserve"> ir iesakņojies terminoloģijā, normatīvajā regulējumā, </w:t>
      </w:r>
      <w:r w:rsidR="00427E12">
        <w:rPr>
          <w:rFonts w:ascii="Times New Roman" w:hAnsi="Times New Roman" w:cs="Times New Roman"/>
          <w:sz w:val="24"/>
          <w:szCs w:val="24"/>
        </w:rPr>
        <w:t>arī iestāžu nosaukumos, tādēļ</w:t>
      </w:r>
      <w:r w:rsidR="008443D4" w:rsidRPr="00384026">
        <w:rPr>
          <w:rFonts w:ascii="Times New Roman" w:hAnsi="Times New Roman" w:cs="Times New Roman"/>
          <w:sz w:val="24"/>
          <w:szCs w:val="24"/>
        </w:rPr>
        <w:t xml:space="preserve"> </w:t>
      </w:r>
      <w:r w:rsidR="004964A3" w:rsidRPr="00384026">
        <w:rPr>
          <w:rFonts w:ascii="Times New Roman" w:hAnsi="Times New Roman" w:cs="Times New Roman"/>
          <w:sz w:val="24"/>
          <w:szCs w:val="24"/>
        </w:rPr>
        <w:t>jēdziena</w:t>
      </w:r>
      <w:r w:rsidR="008443D4" w:rsidRPr="00384026">
        <w:rPr>
          <w:rFonts w:ascii="Times New Roman" w:hAnsi="Times New Roman" w:cs="Times New Roman"/>
          <w:sz w:val="24"/>
          <w:szCs w:val="24"/>
        </w:rPr>
        <w:t xml:space="preserve">  </w:t>
      </w:r>
      <w:r w:rsidR="00B25C7E">
        <w:rPr>
          <w:rFonts w:ascii="Times New Roman" w:hAnsi="Times New Roman" w:cs="Times New Roman"/>
          <w:sz w:val="24"/>
          <w:szCs w:val="24"/>
        </w:rPr>
        <w:t xml:space="preserve">aizvietošana </w:t>
      </w:r>
      <w:r w:rsidR="008443D4" w:rsidRPr="00384026">
        <w:rPr>
          <w:rFonts w:ascii="Times New Roman" w:hAnsi="Times New Roman" w:cs="Times New Roman"/>
          <w:sz w:val="24"/>
          <w:szCs w:val="24"/>
        </w:rPr>
        <w:t>nav tik vienkārša. Tomēr</w:t>
      </w:r>
      <w:r w:rsidRPr="00384026">
        <w:rPr>
          <w:rFonts w:ascii="Times New Roman" w:hAnsi="Times New Roman" w:cs="Times New Roman"/>
          <w:sz w:val="24"/>
          <w:szCs w:val="24"/>
        </w:rPr>
        <w:t xml:space="preserve">, ņemot vērā, ka vadošās starptautiskās organizācijas </w:t>
      </w:r>
      <w:r w:rsidR="006026AA" w:rsidRPr="00384026">
        <w:rPr>
          <w:rFonts w:ascii="Times New Roman" w:hAnsi="Times New Roman" w:cs="Times New Roman"/>
          <w:sz w:val="24"/>
          <w:szCs w:val="24"/>
        </w:rPr>
        <w:t xml:space="preserve">kā </w:t>
      </w:r>
      <w:r w:rsidR="006026AA" w:rsidRPr="00384026">
        <w:rPr>
          <w:rFonts w:ascii="Times New Roman" w:hAnsi="Times New Roman" w:cs="Times New Roman"/>
          <w:sz w:val="24"/>
          <w:szCs w:val="24"/>
        </w:rPr>
        <w:lastRenderedPageBreak/>
        <w:t xml:space="preserve">EMCDDA un UNODC ir atteikušās no </w:t>
      </w:r>
      <w:r w:rsidR="006026AA" w:rsidRPr="00384026">
        <w:rPr>
          <w:rFonts w:ascii="Times New Roman" w:hAnsi="Times New Roman" w:cs="Times New Roman"/>
          <w:i/>
          <w:sz w:val="24"/>
          <w:szCs w:val="24"/>
        </w:rPr>
        <w:t>atkarīb</w:t>
      </w:r>
      <w:r w:rsidR="004964A3" w:rsidRPr="00384026">
        <w:rPr>
          <w:rFonts w:ascii="Times New Roman" w:hAnsi="Times New Roman" w:cs="Times New Roman"/>
          <w:i/>
          <w:sz w:val="24"/>
          <w:szCs w:val="24"/>
        </w:rPr>
        <w:t>a</w:t>
      </w:r>
      <w:r w:rsidR="006026AA" w:rsidRPr="00384026">
        <w:rPr>
          <w:rFonts w:ascii="Times New Roman" w:hAnsi="Times New Roman" w:cs="Times New Roman"/>
          <w:i/>
          <w:sz w:val="24"/>
          <w:szCs w:val="24"/>
        </w:rPr>
        <w:t>s</w:t>
      </w:r>
      <w:r w:rsidR="006026AA" w:rsidRPr="00384026">
        <w:rPr>
          <w:rFonts w:ascii="Times New Roman" w:hAnsi="Times New Roman" w:cs="Times New Roman"/>
          <w:sz w:val="24"/>
          <w:szCs w:val="24"/>
        </w:rPr>
        <w:t xml:space="preserve"> jēdziena lietošanas</w:t>
      </w:r>
      <w:r w:rsidRPr="00384026">
        <w:rPr>
          <w:rFonts w:ascii="Times New Roman" w:hAnsi="Times New Roman" w:cs="Times New Roman"/>
          <w:sz w:val="24"/>
          <w:szCs w:val="24"/>
        </w:rPr>
        <w:t xml:space="preserve">, </w:t>
      </w:r>
      <w:r w:rsidR="00AD635F" w:rsidRPr="00384026">
        <w:rPr>
          <w:rFonts w:ascii="Times New Roman" w:hAnsi="Times New Roman" w:cs="Times New Roman"/>
          <w:sz w:val="24"/>
          <w:szCs w:val="24"/>
        </w:rPr>
        <w:t xml:space="preserve">sagaidāms, ka pakāpeniski </w:t>
      </w:r>
      <w:r w:rsidR="002146D4" w:rsidRPr="00384026">
        <w:rPr>
          <w:rFonts w:ascii="Times New Roman" w:hAnsi="Times New Roman" w:cs="Times New Roman"/>
          <w:sz w:val="24"/>
          <w:szCs w:val="24"/>
        </w:rPr>
        <w:t>šis process norisināsies arī Latvijā</w:t>
      </w:r>
      <w:r w:rsidRPr="00384026">
        <w:rPr>
          <w:rFonts w:ascii="Times New Roman" w:hAnsi="Times New Roman" w:cs="Times New Roman"/>
          <w:sz w:val="24"/>
          <w:szCs w:val="24"/>
        </w:rPr>
        <w:t>.</w:t>
      </w:r>
      <w:r w:rsidR="001B354B" w:rsidRPr="00384026">
        <w:rPr>
          <w:rFonts w:ascii="Times New Roman" w:hAnsi="Times New Roman" w:cs="Times New Roman"/>
          <w:sz w:val="24"/>
          <w:szCs w:val="24"/>
        </w:rPr>
        <w:t xml:space="preserve"> </w:t>
      </w:r>
    </w:p>
    <w:p w14:paraId="51EF98E9" w14:textId="2C6AB375" w:rsidR="002146D4" w:rsidRPr="00384026" w:rsidRDefault="001B354B" w:rsidP="006026AA">
      <w:pPr>
        <w:spacing w:after="0"/>
        <w:ind w:firstLine="720"/>
        <w:jc w:val="both"/>
        <w:rPr>
          <w:rFonts w:ascii="Times New Roman" w:hAnsi="Times New Roman" w:cs="Times New Roman"/>
          <w:color w:val="000000" w:themeColor="text1"/>
          <w:sz w:val="24"/>
          <w:szCs w:val="24"/>
        </w:rPr>
      </w:pPr>
      <w:r w:rsidRPr="00384026">
        <w:rPr>
          <w:rFonts w:ascii="Times New Roman" w:hAnsi="Times New Roman" w:cs="Times New Roman"/>
          <w:color w:val="000000" w:themeColor="text1"/>
          <w:sz w:val="24"/>
          <w:szCs w:val="24"/>
        </w:rPr>
        <w:t xml:space="preserve">Noslēgumā, domājot par turpmākās politikas izstrādi, ir svarīgi pieminēt ES politikas izstrādāto ietvaru. </w:t>
      </w:r>
      <w:r w:rsidR="002146D4" w:rsidRPr="00384026">
        <w:rPr>
          <w:rFonts w:ascii="Times New Roman" w:hAnsi="Times New Roman" w:cs="Times New Roman"/>
          <w:color w:val="000000" w:themeColor="text1"/>
          <w:sz w:val="24"/>
          <w:szCs w:val="24"/>
        </w:rPr>
        <w:t>Lai gan ES</w:t>
      </w:r>
      <w:r w:rsidR="00B45A16" w:rsidRPr="00384026">
        <w:rPr>
          <w:rFonts w:ascii="Times New Roman" w:hAnsi="Times New Roman" w:cs="Times New Roman"/>
          <w:color w:val="000000" w:themeColor="text1"/>
          <w:sz w:val="24"/>
          <w:szCs w:val="24"/>
        </w:rPr>
        <w:t xml:space="preserve"> N</w:t>
      </w:r>
      <w:r w:rsidR="001769FA" w:rsidRPr="00384026">
        <w:rPr>
          <w:rFonts w:ascii="Times New Roman" w:hAnsi="Times New Roman" w:cs="Times New Roman"/>
          <w:color w:val="000000" w:themeColor="text1"/>
          <w:sz w:val="24"/>
          <w:szCs w:val="24"/>
        </w:rPr>
        <w:t>arkotiku</w:t>
      </w:r>
      <w:r w:rsidR="002146D4" w:rsidRPr="00384026">
        <w:rPr>
          <w:rFonts w:ascii="Times New Roman" w:hAnsi="Times New Roman" w:cs="Times New Roman"/>
          <w:color w:val="000000" w:themeColor="text1"/>
          <w:sz w:val="24"/>
          <w:szCs w:val="24"/>
        </w:rPr>
        <w:t xml:space="preserve"> stratēģija 2021.</w:t>
      </w:r>
      <w:r w:rsidR="002E4CFA">
        <w:rPr>
          <w:rFonts w:ascii="Times New Roman" w:hAnsi="Times New Roman" w:cs="Times New Roman"/>
          <w:color w:val="000000" w:themeColor="text1"/>
          <w:sz w:val="24"/>
          <w:szCs w:val="24"/>
        </w:rPr>
        <w:t xml:space="preserve"> </w:t>
      </w:r>
      <w:r w:rsidR="00D06B27">
        <w:rPr>
          <w:rFonts w:ascii="Times New Roman" w:hAnsi="Times New Roman" w:cs="Times New Roman"/>
          <w:color w:val="000000" w:themeColor="text1"/>
          <w:sz w:val="24"/>
          <w:szCs w:val="24"/>
        </w:rPr>
        <w:t>-</w:t>
      </w:r>
      <w:r w:rsidR="002E4CFA">
        <w:rPr>
          <w:rFonts w:ascii="Times New Roman" w:hAnsi="Times New Roman" w:cs="Times New Roman"/>
          <w:color w:val="000000" w:themeColor="text1"/>
          <w:sz w:val="24"/>
          <w:szCs w:val="24"/>
        </w:rPr>
        <w:t xml:space="preserve"> </w:t>
      </w:r>
      <w:r w:rsidR="002146D4" w:rsidRPr="00384026">
        <w:rPr>
          <w:rFonts w:ascii="Times New Roman" w:hAnsi="Times New Roman" w:cs="Times New Roman"/>
          <w:color w:val="000000" w:themeColor="text1"/>
          <w:sz w:val="24"/>
          <w:szCs w:val="24"/>
        </w:rPr>
        <w:t>2025. gadam</w:t>
      </w:r>
      <w:r w:rsidR="006C5EE1" w:rsidRPr="00384026">
        <w:rPr>
          <w:rFonts w:ascii="Times New Roman" w:hAnsi="Times New Roman" w:cs="Times New Roman"/>
          <w:color w:val="000000" w:themeColor="text1"/>
          <w:sz w:val="24"/>
          <w:szCs w:val="24"/>
        </w:rPr>
        <w:t xml:space="preserve"> (turpm</w:t>
      </w:r>
      <w:r w:rsidR="006026AA" w:rsidRPr="00384026">
        <w:rPr>
          <w:rFonts w:ascii="Times New Roman" w:hAnsi="Times New Roman" w:cs="Times New Roman"/>
          <w:color w:val="000000" w:themeColor="text1"/>
          <w:sz w:val="24"/>
          <w:szCs w:val="24"/>
        </w:rPr>
        <w:t xml:space="preserve">āk </w:t>
      </w:r>
      <w:r w:rsidR="00D06B27">
        <w:rPr>
          <w:rFonts w:ascii="Times New Roman" w:hAnsi="Times New Roman" w:cs="Times New Roman"/>
          <w:color w:val="000000" w:themeColor="text1"/>
          <w:sz w:val="24"/>
          <w:szCs w:val="24"/>
        </w:rPr>
        <w:t>–</w:t>
      </w:r>
      <w:r w:rsidR="006026AA" w:rsidRPr="00384026">
        <w:rPr>
          <w:rFonts w:ascii="Times New Roman" w:hAnsi="Times New Roman" w:cs="Times New Roman"/>
          <w:color w:val="000000" w:themeColor="text1"/>
          <w:sz w:val="24"/>
          <w:szCs w:val="24"/>
        </w:rPr>
        <w:t xml:space="preserve"> S</w:t>
      </w:r>
      <w:r w:rsidR="006C5EE1" w:rsidRPr="00384026">
        <w:rPr>
          <w:rFonts w:ascii="Times New Roman" w:hAnsi="Times New Roman" w:cs="Times New Roman"/>
          <w:color w:val="000000" w:themeColor="text1"/>
          <w:sz w:val="24"/>
          <w:szCs w:val="24"/>
        </w:rPr>
        <w:t>tratēģija)</w:t>
      </w:r>
      <w:r w:rsidR="00574DE1" w:rsidRPr="00384026">
        <w:rPr>
          <w:rStyle w:val="FootnoteReference"/>
          <w:rFonts w:ascii="Times New Roman" w:hAnsi="Times New Roman" w:cs="Times New Roman"/>
          <w:color w:val="000000" w:themeColor="text1"/>
          <w:sz w:val="24"/>
          <w:szCs w:val="24"/>
        </w:rPr>
        <w:footnoteReference w:id="11"/>
      </w:r>
      <w:r w:rsidR="00B45A16" w:rsidRPr="00384026">
        <w:rPr>
          <w:rFonts w:ascii="Times New Roman" w:hAnsi="Times New Roman" w:cs="Times New Roman"/>
          <w:color w:val="000000" w:themeColor="text1"/>
          <w:sz w:val="24"/>
          <w:szCs w:val="24"/>
        </w:rPr>
        <w:t xml:space="preserve"> nav</w:t>
      </w:r>
      <w:r w:rsidR="002146D4" w:rsidRPr="00384026">
        <w:rPr>
          <w:rFonts w:ascii="Times New Roman" w:hAnsi="Times New Roman" w:cs="Times New Roman"/>
          <w:color w:val="000000" w:themeColor="text1"/>
          <w:sz w:val="24"/>
          <w:szCs w:val="24"/>
        </w:rPr>
        <w:t xml:space="preserve"> </w:t>
      </w:r>
      <w:r w:rsidR="00B45A16" w:rsidRPr="00384026">
        <w:rPr>
          <w:rFonts w:ascii="Times New Roman" w:hAnsi="Times New Roman" w:cs="Times New Roman"/>
          <w:color w:val="000000" w:themeColor="text1"/>
          <w:sz w:val="24"/>
          <w:szCs w:val="24"/>
        </w:rPr>
        <w:t>juridiski</w:t>
      </w:r>
      <w:r w:rsidR="002146D4" w:rsidRPr="00384026">
        <w:rPr>
          <w:rFonts w:ascii="Times New Roman" w:hAnsi="Times New Roman" w:cs="Times New Roman"/>
          <w:color w:val="000000" w:themeColor="text1"/>
          <w:sz w:val="24"/>
          <w:szCs w:val="24"/>
        </w:rPr>
        <w:t xml:space="preserve"> saistošs dokuments, tā ir politiska apņemšanās īstenot šajā stratēģijā izvirzītos mērķus un uzdevumus. </w:t>
      </w:r>
      <w:r w:rsidR="006C5EE1" w:rsidRPr="002E4CFA">
        <w:rPr>
          <w:rFonts w:ascii="Times New Roman" w:hAnsi="Times New Roman" w:cs="Times New Roman"/>
          <w:i/>
          <w:color w:val="000000" w:themeColor="text1"/>
          <w:sz w:val="24"/>
          <w:szCs w:val="24"/>
        </w:rPr>
        <w:t xml:space="preserve">Stratēģijas </w:t>
      </w:r>
      <w:r w:rsidR="002E4CFA" w:rsidRPr="002E4CFA">
        <w:rPr>
          <w:rFonts w:ascii="Times New Roman" w:hAnsi="Times New Roman" w:cs="Times New Roman"/>
          <w:i/>
          <w:sz w:val="24"/>
          <w:szCs w:val="24"/>
        </w:rPr>
        <w:t>mērķis ir aizsargāt un uzlabot sabiedrības un katra indivīda labklājību, aizsargāt un veicināt sabiedrības veselību, nodrošināt plašas sabiedrības augsta līmeņa drošību un labjutību un palielināt veselībpratību</w:t>
      </w:r>
      <w:r w:rsidR="002E4CFA">
        <w:rPr>
          <w:rFonts w:ascii="Times New Roman" w:hAnsi="Times New Roman" w:cs="Times New Roman"/>
          <w:color w:val="000000" w:themeColor="text1"/>
          <w:sz w:val="24"/>
          <w:szCs w:val="24"/>
        </w:rPr>
        <w:t>.</w:t>
      </w:r>
      <w:r w:rsidR="002E4CFA">
        <w:rPr>
          <w:rStyle w:val="FootnoteReference"/>
          <w:rFonts w:ascii="Times New Roman" w:hAnsi="Times New Roman" w:cs="Times New Roman"/>
          <w:color w:val="000000" w:themeColor="text1"/>
          <w:sz w:val="24"/>
          <w:szCs w:val="24"/>
        </w:rPr>
        <w:footnoteReference w:id="12"/>
      </w:r>
      <w:r w:rsidR="002E4CFA">
        <w:rPr>
          <w:rFonts w:ascii="Times New Roman" w:hAnsi="Times New Roman" w:cs="Times New Roman"/>
          <w:color w:val="000000" w:themeColor="text1"/>
          <w:sz w:val="24"/>
          <w:szCs w:val="24"/>
        </w:rPr>
        <w:t xml:space="preserve"> </w:t>
      </w:r>
      <w:r w:rsidR="006C5EE1" w:rsidRPr="00384026">
        <w:rPr>
          <w:rFonts w:ascii="Times New Roman" w:hAnsi="Times New Roman" w:cs="Times New Roman"/>
          <w:color w:val="000000" w:themeColor="text1"/>
          <w:sz w:val="24"/>
          <w:szCs w:val="24"/>
        </w:rPr>
        <w:t xml:space="preserve">Stratēģijā </w:t>
      </w:r>
      <w:r w:rsidR="00D06B27">
        <w:rPr>
          <w:rFonts w:ascii="Times New Roman" w:hAnsi="Times New Roman" w:cs="Times New Roman"/>
          <w:color w:val="000000" w:themeColor="text1"/>
          <w:sz w:val="24"/>
          <w:szCs w:val="24"/>
        </w:rPr>
        <w:t xml:space="preserve">ietverti </w:t>
      </w:r>
      <w:r w:rsidR="006C5EE1" w:rsidRPr="00384026">
        <w:rPr>
          <w:rFonts w:ascii="Times New Roman" w:hAnsi="Times New Roman" w:cs="Times New Roman"/>
          <w:color w:val="000000" w:themeColor="text1"/>
          <w:sz w:val="24"/>
          <w:szCs w:val="24"/>
        </w:rPr>
        <w:t xml:space="preserve">trīs </w:t>
      </w:r>
      <w:r w:rsidR="00D06B27">
        <w:rPr>
          <w:rFonts w:ascii="Times New Roman" w:hAnsi="Times New Roman" w:cs="Times New Roman"/>
          <w:color w:val="000000" w:themeColor="text1"/>
          <w:sz w:val="24"/>
          <w:szCs w:val="24"/>
        </w:rPr>
        <w:t xml:space="preserve">pamata </w:t>
      </w:r>
      <w:r w:rsidR="006C5EE1" w:rsidRPr="00384026">
        <w:rPr>
          <w:rFonts w:ascii="Times New Roman" w:hAnsi="Times New Roman" w:cs="Times New Roman"/>
          <w:color w:val="000000" w:themeColor="text1"/>
          <w:sz w:val="24"/>
          <w:szCs w:val="24"/>
        </w:rPr>
        <w:t xml:space="preserve">rīcības virzieni: narkotiku piedāvājuma samazināšanas; narkotiku pieprasījuma samazināšana; kaitējuma samazināšana. </w:t>
      </w:r>
      <w:r w:rsidR="00DC7E23">
        <w:rPr>
          <w:rFonts w:ascii="Times New Roman" w:hAnsi="Times New Roman" w:cs="Times New Roman"/>
          <w:color w:val="000000" w:themeColor="text1"/>
          <w:sz w:val="24"/>
          <w:szCs w:val="24"/>
        </w:rPr>
        <w:t>T</w:t>
      </w:r>
      <w:r w:rsidR="00D06B27">
        <w:rPr>
          <w:rFonts w:ascii="Times New Roman" w:hAnsi="Times New Roman" w:cs="Times New Roman"/>
          <w:color w:val="000000" w:themeColor="text1"/>
          <w:sz w:val="24"/>
          <w:szCs w:val="24"/>
        </w:rPr>
        <w:t>āpat Stratēģija paredz</w:t>
      </w:r>
      <w:r w:rsidR="00D06B27" w:rsidRPr="00384026">
        <w:rPr>
          <w:rFonts w:ascii="Times New Roman" w:hAnsi="Times New Roman" w:cs="Times New Roman"/>
          <w:color w:val="000000" w:themeColor="text1"/>
          <w:sz w:val="24"/>
          <w:szCs w:val="24"/>
        </w:rPr>
        <w:t xml:space="preserve"> </w:t>
      </w:r>
      <w:r w:rsidR="006C5EE1" w:rsidRPr="00384026">
        <w:rPr>
          <w:rFonts w:ascii="Times New Roman" w:hAnsi="Times New Roman" w:cs="Times New Roman"/>
          <w:color w:val="000000" w:themeColor="text1"/>
          <w:sz w:val="24"/>
          <w:szCs w:val="24"/>
        </w:rPr>
        <w:t xml:space="preserve">trīs horizontālos virzienus: </w:t>
      </w:r>
      <w:r w:rsidR="00DC7E23">
        <w:rPr>
          <w:rFonts w:ascii="Times New Roman" w:hAnsi="Times New Roman" w:cs="Times New Roman"/>
          <w:color w:val="000000" w:themeColor="text1"/>
          <w:sz w:val="24"/>
          <w:szCs w:val="24"/>
        </w:rPr>
        <w:t xml:space="preserve">1) </w:t>
      </w:r>
      <w:r w:rsidR="006C5EE1" w:rsidRPr="00384026">
        <w:rPr>
          <w:rFonts w:ascii="Times New Roman" w:hAnsi="Times New Roman" w:cs="Times New Roman"/>
          <w:color w:val="000000" w:themeColor="text1"/>
          <w:sz w:val="24"/>
          <w:szCs w:val="24"/>
        </w:rPr>
        <w:t xml:space="preserve">starptautiskā sadarbība; </w:t>
      </w:r>
      <w:r w:rsidR="00DC7E23">
        <w:rPr>
          <w:rFonts w:ascii="Times New Roman" w:hAnsi="Times New Roman" w:cs="Times New Roman"/>
          <w:color w:val="000000" w:themeColor="text1"/>
          <w:sz w:val="24"/>
          <w:szCs w:val="24"/>
        </w:rPr>
        <w:t xml:space="preserve">2) </w:t>
      </w:r>
      <w:r w:rsidR="006C5EE1" w:rsidRPr="00384026">
        <w:rPr>
          <w:rFonts w:ascii="Times New Roman" w:hAnsi="Times New Roman" w:cs="Times New Roman"/>
          <w:color w:val="000000" w:themeColor="text1"/>
          <w:sz w:val="24"/>
          <w:szCs w:val="24"/>
        </w:rPr>
        <w:t>izpēt</w:t>
      </w:r>
      <w:r w:rsidR="00D06B27">
        <w:rPr>
          <w:rFonts w:ascii="Times New Roman" w:hAnsi="Times New Roman" w:cs="Times New Roman"/>
          <w:color w:val="000000" w:themeColor="text1"/>
          <w:sz w:val="24"/>
          <w:szCs w:val="24"/>
        </w:rPr>
        <w:t>e</w:t>
      </w:r>
      <w:r w:rsidR="006C5EE1" w:rsidRPr="00384026">
        <w:rPr>
          <w:rFonts w:ascii="Times New Roman" w:hAnsi="Times New Roman" w:cs="Times New Roman"/>
          <w:color w:val="000000" w:themeColor="text1"/>
          <w:sz w:val="24"/>
          <w:szCs w:val="24"/>
        </w:rPr>
        <w:t xml:space="preserve">, inovācija, prognozēšana; </w:t>
      </w:r>
      <w:r w:rsidR="00DC7E23">
        <w:rPr>
          <w:rFonts w:ascii="Times New Roman" w:hAnsi="Times New Roman" w:cs="Times New Roman"/>
          <w:color w:val="000000" w:themeColor="text1"/>
          <w:sz w:val="24"/>
          <w:szCs w:val="24"/>
        </w:rPr>
        <w:t xml:space="preserve">3) </w:t>
      </w:r>
      <w:r w:rsidR="006C5EE1" w:rsidRPr="00384026">
        <w:rPr>
          <w:rFonts w:ascii="Times New Roman" w:hAnsi="Times New Roman" w:cs="Times New Roman"/>
          <w:color w:val="000000" w:themeColor="text1"/>
          <w:sz w:val="24"/>
          <w:szCs w:val="24"/>
        </w:rPr>
        <w:t>koordinācija un īstenošana. Ņemot vērā, ka Latv</w:t>
      </w:r>
      <w:r w:rsidR="00BB01FE">
        <w:rPr>
          <w:rFonts w:ascii="Times New Roman" w:hAnsi="Times New Roman" w:cs="Times New Roman"/>
          <w:color w:val="000000" w:themeColor="text1"/>
          <w:sz w:val="24"/>
          <w:szCs w:val="24"/>
        </w:rPr>
        <w:t>ijai kā ES dalībvalstij ir jāsniedz</w:t>
      </w:r>
      <w:r w:rsidR="006C5EE1" w:rsidRPr="00384026">
        <w:rPr>
          <w:rFonts w:ascii="Times New Roman" w:hAnsi="Times New Roman" w:cs="Times New Roman"/>
          <w:color w:val="000000" w:themeColor="text1"/>
          <w:sz w:val="24"/>
          <w:szCs w:val="24"/>
        </w:rPr>
        <w:t xml:space="preserve"> savs ieguldījums </w:t>
      </w:r>
      <w:r w:rsidR="006026AA" w:rsidRPr="00384026">
        <w:rPr>
          <w:rFonts w:ascii="Times New Roman" w:hAnsi="Times New Roman" w:cs="Times New Roman"/>
          <w:color w:val="000000" w:themeColor="text1"/>
          <w:sz w:val="24"/>
          <w:szCs w:val="24"/>
        </w:rPr>
        <w:t>S</w:t>
      </w:r>
      <w:r w:rsidR="006C5EE1" w:rsidRPr="00384026">
        <w:rPr>
          <w:rFonts w:ascii="Times New Roman" w:hAnsi="Times New Roman" w:cs="Times New Roman"/>
          <w:color w:val="000000" w:themeColor="text1"/>
          <w:sz w:val="24"/>
          <w:szCs w:val="24"/>
        </w:rPr>
        <w:t>tratēģijā noteikto mērķu sasniegšanai, ir svarīgi, ka narkotiku polit</w:t>
      </w:r>
      <w:r w:rsidR="006026AA" w:rsidRPr="00384026">
        <w:rPr>
          <w:rFonts w:ascii="Times New Roman" w:hAnsi="Times New Roman" w:cs="Times New Roman"/>
          <w:color w:val="000000" w:themeColor="text1"/>
          <w:sz w:val="24"/>
          <w:szCs w:val="24"/>
        </w:rPr>
        <w:t xml:space="preserve">ika </w:t>
      </w:r>
      <w:r w:rsidR="001769FA" w:rsidRPr="00384026">
        <w:rPr>
          <w:rFonts w:ascii="Times New Roman" w:hAnsi="Times New Roman" w:cs="Times New Roman"/>
          <w:color w:val="000000" w:themeColor="text1"/>
          <w:sz w:val="24"/>
          <w:szCs w:val="24"/>
        </w:rPr>
        <w:t xml:space="preserve">tiek </w:t>
      </w:r>
      <w:r w:rsidR="006026AA" w:rsidRPr="00384026">
        <w:rPr>
          <w:rFonts w:ascii="Times New Roman" w:hAnsi="Times New Roman" w:cs="Times New Roman"/>
          <w:color w:val="000000" w:themeColor="text1"/>
          <w:sz w:val="24"/>
          <w:szCs w:val="24"/>
        </w:rPr>
        <w:t>izstrādāta saskaņoti ar ES S</w:t>
      </w:r>
      <w:r w:rsidR="006C5EE1" w:rsidRPr="00384026">
        <w:rPr>
          <w:rFonts w:ascii="Times New Roman" w:hAnsi="Times New Roman" w:cs="Times New Roman"/>
          <w:color w:val="000000" w:themeColor="text1"/>
          <w:sz w:val="24"/>
          <w:szCs w:val="24"/>
        </w:rPr>
        <w:t>tratēģiju</w:t>
      </w:r>
      <w:r w:rsidRPr="00384026">
        <w:rPr>
          <w:rFonts w:ascii="Times New Roman" w:hAnsi="Times New Roman" w:cs="Times New Roman"/>
          <w:color w:val="000000" w:themeColor="text1"/>
          <w:sz w:val="24"/>
          <w:szCs w:val="24"/>
        </w:rPr>
        <w:t xml:space="preserve"> </w:t>
      </w:r>
      <w:r w:rsidR="00055DDF">
        <w:rPr>
          <w:rFonts w:ascii="Times New Roman" w:hAnsi="Times New Roman" w:cs="Times New Roman"/>
          <w:color w:val="000000" w:themeColor="text1"/>
          <w:sz w:val="24"/>
          <w:szCs w:val="24"/>
        </w:rPr>
        <w:t xml:space="preserve">un </w:t>
      </w:r>
      <w:r w:rsidR="00D04A63">
        <w:rPr>
          <w:rFonts w:ascii="Times New Roman" w:hAnsi="Times New Roman" w:cs="Times New Roman"/>
          <w:color w:val="000000" w:themeColor="text1"/>
          <w:sz w:val="24"/>
          <w:szCs w:val="24"/>
        </w:rPr>
        <w:t>tai pakārtoto ES Narkotiku r</w:t>
      </w:r>
      <w:r w:rsidRPr="00384026">
        <w:rPr>
          <w:rFonts w:ascii="Times New Roman" w:hAnsi="Times New Roman" w:cs="Times New Roman"/>
          <w:color w:val="000000" w:themeColor="text1"/>
          <w:sz w:val="24"/>
          <w:szCs w:val="24"/>
        </w:rPr>
        <w:t>īcības plānu</w:t>
      </w:r>
      <w:r w:rsidR="006026AA" w:rsidRPr="00384026">
        <w:rPr>
          <w:rFonts w:ascii="Times New Roman" w:hAnsi="Times New Roman" w:cs="Times New Roman"/>
          <w:color w:val="000000" w:themeColor="text1"/>
          <w:sz w:val="24"/>
          <w:szCs w:val="24"/>
        </w:rPr>
        <w:t xml:space="preserve"> 2021. – 2025. gadam</w:t>
      </w:r>
      <w:r w:rsidR="006026AA" w:rsidRPr="00384026">
        <w:rPr>
          <w:rStyle w:val="FootnoteReference"/>
          <w:rFonts w:ascii="Times New Roman" w:hAnsi="Times New Roman" w:cs="Times New Roman"/>
          <w:color w:val="000000" w:themeColor="text1"/>
          <w:sz w:val="24"/>
          <w:szCs w:val="24"/>
        </w:rPr>
        <w:footnoteReference w:id="13"/>
      </w:r>
      <w:r w:rsidR="006C5EE1" w:rsidRPr="00384026">
        <w:rPr>
          <w:rFonts w:ascii="Times New Roman" w:hAnsi="Times New Roman" w:cs="Times New Roman"/>
          <w:color w:val="000000" w:themeColor="text1"/>
          <w:sz w:val="24"/>
          <w:szCs w:val="24"/>
        </w:rPr>
        <w:t xml:space="preserve">. </w:t>
      </w:r>
    </w:p>
    <w:p w14:paraId="6FC9F5F6" w14:textId="77777777" w:rsidR="006C5EE1" w:rsidRPr="00384026" w:rsidRDefault="006C5EE1" w:rsidP="00402782">
      <w:pPr>
        <w:jc w:val="both"/>
        <w:rPr>
          <w:rFonts w:ascii="Times New Roman" w:hAnsi="Times New Roman" w:cs="Times New Roman"/>
          <w:color w:val="000000" w:themeColor="text1"/>
          <w:sz w:val="24"/>
          <w:szCs w:val="24"/>
        </w:rPr>
      </w:pPr>
    </w:p>
    <w:p w14:paraId="31EDDDF9" w14:textId="7D6F618F" w:rsidR="00402782" w:rsidRDefault="00402782" w:rsidP="00402782">
      <w:pPr>
        <w:jc w:val="both"/>
        <w:rPr>
          <w:rFonts w:ascii="Times New Roman" w:hAnsi="Times New Roman" w:cs="Times New Roman"/>
          <w:color w:val="000000" w:themeColor="text1"/>
        </w:rPr>
      </w:pPr>
    </w:p>
    <w:p w14:paraId="34FE94C0" w14:textId="259D4F83" w:rsidR="00BC5F08" w:rsidRDefault="00BC5F08" w:rsidP="00402782">
      <w:pPr>
        <w:jc w:val="both"/>
        <w:rPr>
          <w:rFonts w:ascii="Times New Roman" w:hAnsi="Times New Roman" w:cs="Times New Roman"/>
          <w:color w:val="000000" w:themeColor="text1"/>
        </w:rPr>
      </w:pPr>
      <w:bookmarkStart w:id="10" w:name="_Hlk78464009"/>
    </w:p>
    <w:p w14:paraId="55DB5EB4" w14:textId="1B05A725" w:rsidR="00BC5F08" w:rsidRDefault="00BC5F08" w:rsidP="00BC5F08">
      <w:pPr>
        <w:spacing w:after="0" w:line="240" w:lineRule="auto"/>
        <w:ind w:firstLine="709"/>
        <w:jc w:val="both"/>
        <w:rPr>
          <w:rFonts w:ascii="Times New Roman" w:hAnsi="Times New Roman"/>
          <w:sz w:val="24"/>
          <w:szCs w:val="24"/>
        </w:rPr>
      </w:pPr>
      <w:r>
        <w:rPr>
          <w:rFonts w:ascii="Times New Roman" w:hAnsi="Times New Roman"/>
          <w:sz w:val="24"/>
          <w:szCs w:val="24"/>
        </w:rPr>
        <w:t>Iesniedz:</w:t>
      </w:r>
    </w:p>
    <w:p w14:paraId="5BCCF2DC" w14:textId="77777777" w:rsidR="00BC5F08" w:rsidRDefault="00BC5F08" w:rsidP="00BC5F08">
      <w:pPr>
        <w:spacing w:after="0" w:line="240" w:lineRule="auto"/>
        <w:ind w:firstLine="709"/>
        <w:jc w:val="both"/>
        <w:rPr>
          <w:rFonts w:ascii="Times New Roman" w:hAnsi="Times New Roman"/>
          <w:sz w:val="24"/>
          <w:szCs w:val="24"/>
        </w:rPr>
      </w:pPr>
      <w:r>
        <w:rPr>
          <w:rFonts w:ascii="Times New Roman" w:hAnsi="Times New Roman"/>
          <w:sz w:val="24"/>
          <w:szCs w:val="24"/>
        </w:rPr>
        <w:t>Iekšlietu ministre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 Golubeva   </w:t>
      </w:r>
    </w:p>
    <w:p w14:paraId="608DC919" w14:textId="77777777" w:rsidR="00BC5F08" w:rsidRDefault="00BC5F08" w:rsidP="00BC5F08">
      <w:pPr>
        <w:spacing w:after="0" w:line="240" w:lineRule="auto"/>
        <w:ind w:firstLine="709"/>
        <w:jc w:val="both"/>
        <w:rPr>
          <w:rFonts w:ascii="Times New Roman" w:hAnsi="Times New Roman"/>
          <w:sz w:val="24"/>
          <w:szCs w:val="24"/>
        </w:rPr>
      </w:pPr>
    </w:p>
    <w:p w14:paraId="3A68A27E" w14:textId="77777777" w:rsidR="00BC5F08" w:rsidRDefault="00BC5F08" w:rsidP="00BC5F08">
      <w:pPr>
        <w:spacing w:after="0" w:line="240" w:lineRule="auto"/>
        <w:ind w:firstLine="709"/>
        <w:jc w:val="both"/>
        <w:rPr>
          <w:rFonts w:ascii="Times New Roman" w:hAnsi="Times New Roman"/>
          <w:sz w:val="24"/>
          <w:szCs w:val="24"/>
        </w:rPr>
      </w:pPr>
    </w:p>
    <w:p w14:paraId="5B2E9084" w14:textId="77777777" w:rsidR="00BC5F08" w:rsidRDefault="00BC5F08" w:rsidP="00BC5F08">
      <w:pPr>
        <w:spacing w:after="0" w:line="240" w:lineRule="auto"/>
        <w:ind w:firstLine="709"/>
        <w:jc w:val="both"/>
        <w:rPr>
          <w:rFonts w:ascii="Times New Roman" w:hAnsi="Times New Roman"/>
          <w:sz w:val="24"/>
          <w:szCs w:val="24"/>
        </w:rPr>
      </w:pPr>
      <w:r>
        <w:rPr>
          <w:rFonts w:ascii="Times New Roman" w:hAnsi="Times New Roman"/>
          <w:sz w:val="24"/>
          <w:szCs w:val="24"/>
        </w:rPr>
        <w:t>Vīza:</w:t>
      </w:r>
    </w:p>
    <w:p w14:paraId="246B0281" w14:textId="77777777" w:rsidR="00BC5F08" w:rsidRDefault="00BC5F08" w:rsidP="00BC5F08">
      <w:pPr>
        <w:spacing w:after="0" w:line="240" w:lineRule="auto"/>
        <w:ind w:firstLine="709"/>
        <w:jc w:val="both"/>
        <w:rPr>
          <w:rFonts w:ascii="Times New Roman" w:hAnsi="Times New Roman"/>
          <w:sz w:val="24"/>
          <w:szCs w:val="24"/>
        </w:rPr>
      </w:pPr>
      <w:r>
        <w:rPr>
          <w:rFonts w:ascii="Times New Roman" w:hAnsi="Times New Roman"/>
          <w:sz w:val="24"/>
          <w:szCs w:val="24"/>
        </w:rPr>
        <w:t xml:space="preserve">Valsts sekretārs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 Trofimovs</w:t>
      </w:r>
    </w:p>
    <w:p w14:paraId="1F000C30" w14:textId="29844406" w:rsidR="00BC5F08" w:rsidRDefault="00BC5F08" w:rsidP="00402782">
      <w:pPr>
        <w:jc w:val="both"/>
        <w:rPr>
          <w:rFonts w:ascii="Times New Roman" w:hAnsi="Times New Roman" w:cs="Times New Roman"/>
          <w:color w:val="000000" w:themeColor="text1"/>
        </w:rPr>
      </w:pPr>
    </w:p>
    <w:p w14:paraId="523273F1" w14:textId="7496D59D" w:rsidR="00653502" w:rsidRDefault="00653502" w:rsidP="00402782">
      <w:pPr>
        <w:jc w:val="both"/>
        <w:rPr>
          <w:rFonts w:ascii="Times New Roman" w:hAnsi="Times New Roman" w:cs="Times New Roman"/>
          <w:color w:val="000000" w:themeColor="text1"/>
        </w:rPr>
      </w:pPr>
    </w:p>
    <w:p w14:paraId="598DEBE8" w14:textId="34A0177F" w:rsidR="00653502" w:rsidRDefault="00653502" w:rsidP="00402782">
      <w:pPr>
        <w:jc w:val="both"/>
        <w:rPr>
          <w:rFonts w:ascii="Times New Roman" w:hAnsi="Times New Roman" w:cs="Times New Roman"/>
          <w:color w:val="000000" w:themeColor="text1"/>
        </w:rPr>
      </w:pPr>
    </w:p>
    <w:p w14:paraId="7CB23268" w14:textId="5B44C6BA" w:rsidR="00653502" w:rsidRDefault="00653502" w:rsidP="00402782">
      <w:pPr>
        <w:jc w:val="both"/>
        <w:rPr>
          <w:rFonts w:ascii="Times New Roman" w:hAnsi="Times New Roman" w:cs="Times New Roman"/>
          <w:color w:val="000000" w:themeColor="text1"/>
        </w:rPr>
      </w:pPr>
    </w:p>
    <w:p w14:paraId="7888ACA7" w14:textId="2E546FC4" w:rsidR="00653502" w:rsidRDefault="00653502" w:rsidP="00402782">
      <w:pPr>
        <w:jc w:val="both"/>
        <w:rPr>
          <w:rFonts w:ascii="Times New Roman" w:hAnsi="Times New Roman" w:cs="Times New Roman"/>
          <w:color w:val="000000" w:themeColor="text1"/>
        </w:rPr>
      </w:pPr>
    </w:p>
    <w:p w14:paraId="15303BF2" w14:textId="0AD2D04D" w:rsidR="00653502" w:rsidRDefault="00653502" w:rsidP="00653502">
      <w:pPr>
        <w:spacing w:after="0" w:line="240" w:lineRule="auto"/>
        <w:jc w:val="both"/>
        <w:rPr>
          <w:rFonts w:ascii="Times New Roman" w:eastAsia="Times New Roman" w:hAnsi="Times New Roman" w:cs="Times New Roman"/>
          <w:sz w:val="18"/>
          <w:szCs w:val="18"/>
          <w:lang w:bidi="en-US"/>
        </w:rPr>
      </w:pPr>
      <w:r>
        <w:rPr>
          <w:rFonts w:ascii="Times New Roman" w:eastAsia="Times New Roman" w:hAnsi="Times New Roman" w:cs="Times New Roman"/>
          <w:sz w:val="18"/>
          <w:szCs w:val="18"/>
          <w:lang w:bidi="en-US"/>
        </w:rPr>
        <w:t>A</w:t>
      </w:r>
      <w:r w:rsidR="007531A4">
        <w:rPr>
          <w:rFonts w:ascii="Times New Roman" w:eastAsia="Times New Roman" w:hAnsi="Times New Roman" w:cs="Times New Roman"/>
          <w:sz w:val="18"/>
          <w:szCs w:val="18"/>
          <w:lang w:bidi="en-US"/>
        </w:rPr>
        <w:t xml:space="preserve">gnese </w:t>
      </w:r>
      <w:r>
        <w:rPr>
          <w:rFonts w:ascii="Times New Roman" w:eastAsia="Times New Roman" w:hAnsi="Times New Roman" w:cs="Times New Roman"/>
          <w:sz w:val="18"/>
          <w:szCs w:val="18"/>
          <w:lang w:bidi="en-US"/>
        </w:rPr>
        <w:t>Zīle-Veisberga, 67219592</w:t>
      </w:r>
    </w:p>
    <w:p w14:paraId="767881D0" w14:textId="77777777" w:rsidR="00653502" w:rsidRDefault="00FA6DB3" w:rsidP="00653502">
      <w:pPr>
        <w:spacing w:after="0" w:line="240" w:lineRule="auto"/>
        <w:rPr>
          <w:rFonts w:ascii="Times New Roman" w:eastAsia="Times New Roman" w:hAnsi="Times New Roman" w:cs="Times New Roman"/>
          <w:sz w:val="18"/>
          <w:szCs w:val="18"/>
          <w:lang w:bidi="en-US"/>
        </w:rPr>
      </w:pPr>
      <w:hyperlink r:id="rId26" w:history="1">
        <w:r w:rsidR="00653502">
          <w:rPr>
            <w:rStyle w:val="Hyperlink"/>
            <w:rFonts w:ascii="Times New Roman" w:eastAsia="Times New Roman" w:hAnsi="Times New Roman" w:cs="Times New Roman"/>
            <w:sz w:val="18"/>
            <w:szCs w:val="18"/>
            <w:lang w:bidi="en-US"/>
          </w:rPr>
          <w:t>Agnese.veisberga@iem.gov.lv</w:t>
        </w:r>
      </w:hyperlink>
      <w:r w:rsidR="00653502">
        <w:rPr>
          <w:rFonts w:ascii="Times New Roman" w:eastAsia="Times New Roman" w:hAnsi="Times New Roman" w:cs="Times New Roman"/>
          <w:sz w:val="18"/>
          <w:szCs w:val="18"/>
          <w:lang w:bidi="en-US"/>
        </w:rPr>
        <w:t xml:space="preserve"> </w:t>
      </w:r>
    </w:p>
    <w:bookmarkEnd w:id="10"/>
    <w:p w14:paraId="785077A9" w14:textId="5539604D" w:rsidR="00653502" w:rsidRPr="00384026" w:rsidRDefault="00653502" w:rsidP="00653502">
      <w:pPr>
        <w:jc w:val="both"/>
        <w:rPr>
          <w:rFonts w:ascii="Times New Roman" w:hAnsi="Times New Roman" w:cs="Times New Roman"/>
          <w:color w:val="000000" w:themeColor="text1"/>
        </w:rPr>
      </w:pPr>
    </w:p>
    <w:sectPr w:rsidR="00653502" w:rsidRPr="00384026" w:rsidSect="001422E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B3479" w14:textId="77777777" w:rsidR="00771CB4" w:rsidRDefault="00771CB4" w:rsidP="006E6DCA">
      <w:pPr>
        <w:spacing w:after="0" w:line="240" w:lineRule="auto"/>
      </w:pPr>
      <w:r>
        <w:separator/>
      </w:r>
    </w:p>
  </w:endnote>
  <w:endnote w:type="continuationSeparator" w:id="0">
    <w:p w14:paraId="49984BC5" w14:textId="77777777" w:rsidR="00771CB4" w:rsidRDefault="00771CB4" w:rsidP="006E6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97AB2" w14:textId="77777777" w:rsidR="00FA6DB3" w:rsidRDefault="00FA6DB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655501958"/>
      <w:docPartObj>
        <w:docPartGallery w:val="Page Numbers (Bottom of Page)"/>
        <w:docPartUnique/>
      </w:docPartObj>
    </w:sdtPr>
    <w:sdtEndPr>
      <w:rPr>
        <w:noProof/>
      </w:rPr>
    </w:sdtEndPr>
    <w:sdtContent>
      <w:p w14:paraId="0BE322AB" w14:textId="1E98A058" w:rsidR="00EB62B9" w:rsidRPr="00A21E41" w:rsidRDefault="00FA6DB3" w:rsidP="00A21E41">
        <w:pPr>
          <w:pStyle w:val="Footer"/>
          <w:rPr>
            <w:rFonts w:ascii="Times New Roman" w:hAnsi="Times New Roman" w:cs="Times New Roman"/>
            <w:sz w:val="18"/>
            <w:szCs w:val="18"/>
          </w:rPr>
        </w:pPr>
        <w:r>
          <w:rPr>
            <w:rFonts w:ascii="Times New Roman" w:hAnsi="Times New Roman" w:cs="Times New Roman"/>
            <w:sz w:val="18"/>
            <w:szCs w:val="18"/>
          </w:rPr>
          <w:t>IeMZin_nark_051021</w:t>
        </w:r>
        <w:bookmarkStart w:id="0" w:name="_GoBack"/>
        <w:bookmarkEnd w:id="0"/>
        <w:r w:rsidR="00EB62B9" w:rsidRPr="00A21E41">
          <w:rPr>
            <w:rFonts w:ascii="Times New Roman" w:hAnsi="Times New Roman" w:cs="Times New Roman"/>
            <w:sz w:val="18"/>
            <w:szCs w:val="18"/>
          </w:rPr>
          <w:t>. Informatīvais ziņojums “Par Narkotiku lietošanas un izplatības ierobežošanas plāna 2019. – 2020. gadam izpildi”</w:t>
        </w:r>
      </w:p>
      <w:p w14:paraId="23B5C0EE" w14:textId="5AEF7071" w:rsidR="00EB62B9" w:rsidRPr="00A21E41" w:rsidRDefault="00EB62B9">
        <w:pPr>
          <w:pStyle w:val="Footer"/>
          <w:jc w:val="center"/>
          <w:rPr>
            <w:rFonts w:ascii="Times New Roman" w:hAnsi="Times New Roman" w:cs="Times New Roman"/>
            <w:sz w:val="18"/>
            <w:szCs w:val="18"/>
          </w:rPr>
        </w:pPr>
        <w:r w:rsidRPr="00A21E41">
          <w:rPr>
            <w:rFonts w:ascii="Times New Roman" w:hAnsi="Times New Roman" w:cs="Times New Roman"/>
            <w:sz w:val="18"/>
            <w:szCs w:val="18"/>
          </w:rPr>
          <w:fldChar w:fldCharType="begin"/>
        </w:r>
        <w:r w:rsidRPr="00A21E41">
          <w:rPr>
            <w:rFonts w:ascii="Times New Roman" w:hAnsi="Times New Roman" w:cs="Times New Roman"/>
            <w:sz w:val="18"/>
            <w:szCs w:val="18"/>
          </w:rPr>
          <w:instrText xml:space="preserve"> PAGE   \* MERGEFORMAT </w:instrText>
        </w:r>
        <w:r w:rsidRPr="00A21E41">
          <w:rPr>
            <w:rFonts w:ascii="Times New Roman" w:hAnsi="Times New Roman" w:cs="Times New Roman"/>
            <w:sz w:val="18"/>
            <w:szCs w:val="18"/>
          </w:rPr>
          <w:fldChar w:fldCharType="separate"/>
        </w:r>
        <w:r w:rsidR="00FA6DB3">
          <w:rPr>
            <w:rFonts w:ascii="Times New Roman" w:hAnsi="Times New Roman" w:cs="Times New Roman"/>
            <w:noProof/>
            <w:sz w:val="18"/>
            <w:szCs w:val="18"/>
          </w:rPr>
          <w:t>2</w:t>
        </w:r>
        <w:r w:rsidRPr="00A21E41">
          <w:rPr>
            <w:rFonts w:ascii="Times New Roman" w:hAnsi="Times New Roman" w:cs="Times New Roman"/>
            <w:noProof/>
            <w:sz w:val="18"/>
            <w:szCs w:val="18"/>
          </w:rPr>
          <w:fldChar w:fldCharType="end"/>
        </w:r>
      </w:p>
    </w:sdtContent>
  </w:sdt>
  <w:p w14:paraId="0EB736E4" w14:textId="77777777" w:rsidR="00EB62B9" w:rsidRPr="00A21E41" w:rsidRDefault="00EB62B9">
    <w:pPr>
      <w:pStyle w:val="Footer"/>
      <w:rPr>
        <w:rFonts w:ascii="Times New Roman" w:hAnsi="Times New Roman" w:cs="Times New Roman"/>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E59A9" w14:textId="77777777" w:rsidR="00FA6DB3" w:rsidRDefault="00FA6D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47961" w14:textId="77777777" w:rsidR="00771CB4" w:rsidRDefault="00771CB4" w:rsidP="006E6DCA">
      <w:pPr>
        <w:spacing w:after="0" w:line="240" w:lineRule="auto"/>
      </w:pPr>
      <w:r>
        <w:separator/>
      </w:r>
    </w:p>
  </w:footnote>
  <w:footnote w:type="continuationSeparator" w:id="0">
    <w:p w14:paraId="20DEDFD0" w14:textId="77777777" w:rsidR="00771CB4" w:rsidRDefault="00771CB4" w:rsidP="006E6DCA">
      <w:pPr>
        <w:spacing w:after="0" w:line="240" w:lineRule="auto"/>
      </w:pPr>
      <w:r>
        <w:continuationSeparator/>
      </w:r>
    </w:p>
  </w:footnote>
  <w:footnote w:id="1">
    <w:p w14:paraId="33FC0718" w14:textId="0393C79D" w:rsidR="00EB62B9" w:rsidRPr="00427E12" w:rsidRDefault="00EB62B9" w:rsidP="002B7AFF">
      <w:pPr>
        <w:pStyle w:val="FootnoteText"/>
        <w:rPr>
          <w:rFonts w:ascii="Times New Roman" w:hAnsi="Times New Roman" w:cs="Times New Roman"/>
        </w:rPr>
      </w:pPr>
      <w:r w:rsidRPr="00427E12">
        <w:rPr>
          <w:rStyle w:val="FootnoteReference"/>
          <w:rFonts w:ascii="Times New Roman" w:hAnsi="Times New Roman" w:cs="Times New Roman"/>
        </w:rPr>
        <w:footnoteRef/>
      </w:r>
      <w:r w:rsidRPr="00427E12">
        <w:rPr>
          <w:rFonts w:ascii="Times New Roman" w:hAnsi="Times New Roman" w:cs="Times New Roman"/>
        </w:rPr>
        <w:t xml:space="preserve"> Grozījumi Ministru kabineta 2004. gada 20. janvāra noteikumos Nr. 46 "Narkotiku kontroles un narkomānijas ierobežošanas koordinācijas padomes nolikums". Ministru kabineta 17.12.2020. noteikumi Nr. 760/LV, 247, 22.12.2020./Stājas spēkā 01.01.2021.</w:t>
      </w:r>
    </w:p>
  </w:footnote>
  <w:footnote w:id="2">
    <w:p w14:paraId="6638A4CF" w14:textId="54F2A71B" w:rsidR="00EB62B9" w:rsidRPr="00427E12" w:rsidRDefault="00EB62B9">
      <w:pPr>
        <w:pStyle w:val="FootnoteText"/>
        <w:rPr>
          <w:rFonts w:ascii="Times New Roman" w:hAnsi="Times New Roman" w:cs="Times New Roman"/>
        </w:rPr>
      </w:pPr>
      <w:r w:rsidRPr="00427E12">
        <w:rPr>
          <w:rStyle w:val="FootnoteReference"/>
          <w:rFonts w:ascii="Times New Roman" w:hAnsi="Times New Roman" w:cs="Times New Roman"/>
        </w:rPr>
        <w:footnoteRef/>
      </w:r>
      <w:r w:rsidRPr="00427E12">
        <w:rPr>
          <w:rFonts w:ascii="Times New Roman" w:hAnsi="Times New Roman" w:cs="Times New Roman"/>
        </w:rPr>
        <w:t xml:space="preserve"> Mērķi skatīti Sabiedrības veselības pamatnostādņu 2021. – 2027. gadam projektā // </w:t>
      </w:r>
      <w:hyperlink r:id="rId1" w:history="1">
        <w:r w:rsidRPr="00427E12">
          <w:rPr>
            <w:rStyle w:val="Hyperlink"/>
            <w:rFonts w:ascii="Times New Roman" w:hAnsi="Times New Roman" w:cs="Times New Roman"/>
          </w:rPr>
          <w:t>http://tap.mk.gov.lv/lv/mk/tap/?pid=40498718</w:t>
        </w:r>
      </w:hyperlink>
      <w:r w:rsidRPr="00427E12">
        <w:rPr>
          <w:rFonts w:ascii="Times New Roman" w:hAnsi="Times New Roman" w:cs="Times New Roman"/>
        </w:rPr>
        <w:t xml:space="preserve"> </w:t>
      </w:r>
    </w:p>
  </w:footnote>
  <w:footnote w:id="3">
    <w:p w14:paraId="26177583" w14:textId="77777777" w:rsidR="00EB62B9" w:rsidRPr="00427E12" w:rsidRDefault="00EB62B9">
      <w:pPr>
        <w:pStyle w:val="FootnoteText"/>
        <w:rPr>
          <w:rFonts w:ascii="Times New Roman" w:hAnsi="Times New Roman" w:cs="Times New Roman"/>
        </w:rPr>
      </w:pPr>
      <w:r w:rsidRPr="00427E12">
        <w:rPr>
          <w:rStyle w:val="FootnoteReference"/>
          <w:rFonts w:ascii="Times New Roman" w:hAnsi="Times New Roman" w:cs="Times New Roman"/>
        </w:rPr>
        <w:footnoteRef/>
      </w:r>
      <w:r w:rsidRPr="00427E12">
        <w:rPr>
          <w:rFonts w:ascii="Times New Roman" w:hAnsi="Times New Roman" w:cs="Times New Roman"/>
        </w:rPr>
        <w:t xml:space="preserve"> Loģiskais modelis pārņemts no Evaluating drug policy: a seven-step guide to support the commissioning and managing of evaluations // </w:t>
      </w:r>
      <w:hyperlink r:id="rId2" w:history="1">
        <w:r w:rsidRPr="00427E12">
          <w:rPr>
            <w:rStyle w:val="Hyperlink"/>
            <w:rFonts w:ascii="Times New Roman" w:hAnsi="Times New Roman" w:cs="Times New Roman"/>
          </w:rPr>
          <w:t>https://www.emcdda.europa.eu/publications/manuals/evaluating-drug-policy_en</w:t>
        </w:r>
      </w:hyperlink>
      <w:r w:rsidRPr="00427E12">
        <w:rPr>
          <w:rFonts w:ascii="Times New Roman" w:hAnsi="Times New Roman" w:cs="Times New Roman"/>
        </w:rPr>
        <w:t xml:space="preserve"> </w:t>
      </w:r>
    </w:p>
  </w:footnote>
  <w:footnote w:id="4">
    <w:p w14:paraId="6D03F409" w14:textId="77777777" w:rsidR="00EB62B9" w:rsidRPr="00427E12" w:rsidRDefault="00EB62B9" w:rsidP="00EC56FD">
      <w:pPr>
        <w:pStyle w:val="Heading1"/>
        <w:spacing w:before="0" w:beforeAutospacing="0" w:after="0" w:afterAutospacing="0"/>
        <w:textAlignment w:val="baseline"/>
        <w:rPr>
          <w:b w:val="0"/>
          <w:bCs w:val="0"/>
          <w:color w:val="000000"/>
          <w:spacing w:val="30"/>
          <w:sz w:val="20"/>
          <w:szCs w:val="20"/>
        </w:rPr>
      </w:pPr>
      <w:r w:rsidRPr="00427E12">
        <w:rPr>
          <w:rStyle w:val="FootnoteReference"/>
          <w:b w:val="0"/>
          <w:bCs w:val="0"/>
          <w:sz w:val="20"/>
          <w:szCs w:val="20"/>
        </w:rPr>
        <w:footnoteRef/>
      </w:r>
      <w:r w:rsidRPr="00427E12">
        <w:rPr>
          <w:b w:val="0"/>
          <w:bCs w:val="0"/>
          <w:sz w:val="20"/>
          <w:szCs w:val="20"/>
        </w:rPr>
        <w:t xml:space="preserve"> </w:t>
      </w:r>
      <w:r w:rsidRPr="00427E12">
        <w:rPr>
          <w:b w:val="0"/>
          <w:bCs w:val="0"/>
          <w:color w:val="000000"/>
          <w:spacing w:val="30"/>
          <w:sz w:val="20"/>
          <w:szCs w:val="20"/>
        </w:rPr>
        <w:t xml:space="preserve">Traffic Light Assessment </w:t>
      </w:r>
      <w:hyperlink r:id="rId3" w:history="1">
        <w:r w:rsidRPr="00427E12">
          <w:rPr>
            <w:rStyle w:val="Hyperlink"/>
            <w:b w:val="0"/>
            <w:bCs w:val="0"/>
            <w:sz w:val="20"/>
            <w:szCs w:val="20"/>
          </w:rPr>
          <w:t>https://citoolkit.com/articles/traffic-light-assessment/</w:t>
        </w:r>
      </w:hyperlink>
      <w:r w:rsidRPr="00427E12">
        <w:rPr>
          <w:b w:val="0"/>
          <w:bCs w:val="0"/>
          <w:sz w:val="20"/>
          <w:szCs w:val="20"/>
        </w:rPr>
        <w:t xml:space="preserve"> </w:t>
      </w:r>
    </w:p>
  </w:footnote>
  <w:footnote w:id="5">
    <w:p w14:paraId="4BB5E81E" w14:textId="77777777" w:rsidR="00EB62B9" w:rsidRPr="00427E12" w:rsidRDefault="00EB62B9">
      <w:pPr>
        <w:pStyle w:val="FootnoteText"/>
        <w:rPr>
          <w:rFonts w:ascii="Times New Roman" w:hAnsi="Times New Roman" w:cs="Times New Roman"/>
        </w:rPr>
      </w:pPr>
      <w:r w:rsidRPr="00427E12">
        <w:rPr>
          <w:rStyle w:val="FootnoteReference"/>
          <w:rFonts w:ascii="Times New Roman" w:hAnsi="Times New Roman" w:cs="Times New Roman"/>
        </w:rPr>
        <w:footnoteRef/>
      </w:r>
      <w:r w:rsidRPr="00427E12">
        <w:rPr>
          <w:rFonts w:ascii="Times New Roman" w:hAnsi="Times New Roman" w:cs="Times New Roman"/>
        </w:rPr>
        <w:t xml:space="preserve"> Bryman, A. (2016). Social Research methods. Oxford: 5th edition. Oxford University Press</w:t>
      </w:r>
    </w:p>
  </w:footnote>
  <w:footnote w:id="6">
    <w:p w14:paraId="1C96A1A4" w14:textId="77777777" w:rsidR="00EB62B9" w:rsidRPr="00427E12" w:rsidRDefault="00EB62B9">
      <w:pPr>
        <w:pStyle w:val="FootnoteText"/>
        <w:rPr>
          <w:rFonts w:ascii="Times New Roman" w:hAnsi="Times New Roman" w:cs="Times New Roman"/>
        </w:rPr>
      </w:pPr>
      <w:r w:rsidRPr="00427E12">
        <w:rPr>
          <w:rStyle w:val="FootnoteReference"/>
          <w:rFonts w:ascii="Times New Roman" w:hAnsi="Times New Roman" w:cs="Times New Roman"/>
        </w:rPr>
        <w:footnoteRef/>
      </w:r>
      <w:r w:rsidRPr="00427E12">
        <w:rPr>
          <w:rFonts w:ascii="Times New Roman" w:hAnsi="Times New Roman" w:cs="Times New Roman"/>
        </w:rPr>
        <w:t xml:space="preserve"> Līdz ar ES Narkotiku stratēģijas 2021. – 2025. gadam apstiprināšanu 2020. gada decembrī kaitējuma mazināšana ir izņemta no pieprasījuma samazināšanas pīlāra un iekļauts kā atsevišķs narkotiku politikas pīlārs.</w:t>
      </w:r>
    </w:p>
  </w:footnote>
  <w:footnote w:id="7">
    <w:p w14:paraId="59C3C2C7" w14:textId="77777777" w:rsidR="00EB62B9" w:rsidRPr="00427E12" w:rsidRDefault="00EB62B9">
      <w:pPr>
        <w:pStyle w:val="FootnoteText"/>
        <w:rPr>
          <w:rFonts w:ascii="Times New Roman" w:hAnsi="Times New Roman" w:cs="Times New Roman"/>
        </w:rPr>
      </w:pPr>
      <w:r w:rsidRPr="00427E12">
        <w:rPr>
          <w:rStyle w:val="FootnoteReference"/>
          <w:rFonts w:ascii="Times New Roman" w:hAnsi="Times New Roman" w:cs="Times New Roman"/>
        </w:rPr>
        <w:footnoteRef/>
      </w:r>
      <w:r w:rsidRPr="00427E12">
        <w:rPr>
          <w:rFonts w:ascii="Times New Roman" w:hAnsi="Times New Roman" w:cs="Times New Roman"/>
        </w:rPr>
        <w:t xml:space="preserve"> Frühintervention bei erstauffälligen Drogenkonsumenten // </w:t>
      </w:r>
      <w:hyperlink r:id="rId4" w:history="1">
        <w:r w:rsidRPr="00427E12">
          <w:rPr>
            <w:rStyle w:val="Hyperlink"/>
            <w:rFonts w:ascii="Times New Roman" w:hAnsi="Times New Roman" w:cs="Times New Roman"/>
          </w:rPr>
          <w:t>https://www.lwl-fred.de/de/</w:t>
        </w:r>
      </w:hyperlink>
      <w:r w:rsidRPr="00427E12">
        <w:rPr>
          <w:rFonts w:ascii="Times New Roman" w:hAnsi="Times New Roman" w:cs="Times New Roman"/>
        </w:rPr>
        <w:t xml:space="preserve"> </w:t>
      </w:r>
    </w:p>
  </w:footnote>
  <w:footnote w:id="8">
    <w:p w14:paraId="544F763E" w14:textId="77777777" w:rsidR="0091236C" w:rsidRPr="00427E12" w:rsidRDefault="0091236C" w:rsidP="0091236C">
      <w:pPr>
        <w:pStyle w:val="FootnoteText"/>
        <w:rPr>
          <w:rFonts w:ascii="Times New Roman" w:hAnsi="Times New Roman" w:cs="Times New Roman"/>
        </w:rPr>
      </w:pPr>
      <w:r w:rsidRPr="00427E12">
        <w:rPr>
          <w:rStyle w:val="FootnoteReference"/>
          <w:rFonts w:ascii="Times New Roman" w:hAnsi="Times New Roman" w:cs="Times New Roman"/>
        </w:rPr>
        <w:footnoteRef/>
      </w:r>
      <w:r w:rsidRPr="00427E12">
        <w:rPr>
          <w:rFonts w:ascii="Times New Roman" w:hAnsi="Times New Roman" w:cs="Times New Roman"/>
        </w:rPr>
        <w:t xml:space="preserve"> Dažādi paradigmas no: Crocq, M. (2007). Historical and cultural aspects of man’s relationship with addictive drugs. Dialogues in Clinical Neuroscience, 9, 355–361. </w:t>
      </w:r>
      <w:hyperlink r:id="rId5" w:history="1">
        <w:r w:rsidRPr="00427E12">
          <w:rPr>
            <w:rStyle w:val="Hyperlink"/>
            <w:rFonts w:ascii="Times New Roman" w:hAnsi="Times New Roman" w:cs="Times New Roman"/>
          </w:rPr>
          <w:t>https://www.ncbi.nlm.nih.gov/pmc/articles/PMC3202501/</w:t>
        </w:r>
      </w:hyperlink>
      <w:r w:rsidRPr="00427E12">
        <w:rPr>
          <w:rFonts w:ascii="Times New Roman" w:hAnsi="Times New Roman" w:cs="Times New Roman"/>
        </w:rPr>
        <w:t xml:space="preserve">; Room, R. The cultural framing of addiction. </w:t>
      </w:r>
      <w:hyperlink r:id="rId6" w:history="1">
        <w:r w:rsidRPr="00427E12">
          <w:rPr>
            <w:rStyle w:val="Hyperlink"/>
            <w:rFonts w:ascii="Times New Roman" w:hAnsi="Times New Roman" w:cs="Times New Roman"/>
          </w:rPr>
          <w:t>https://www.divaportal.org/smash/get/diva2:415265/FULLTEXT02</w:t>
        </w:r>
      </w:hyperlink>
      <w:r w:rsidRPr="00427E12">
        <w:rPr>
          <w:rFonts w:ascii="Times New Roman" w:hAnsi="Times New Roman" w:cs="Times New Roman"/>
        </w:rPr>
        <w:t xml:space="preserve">; Volkow, N. D., Koob, G. F., &amp; McLellan, A. T. (2016). Neurobiologic advances from the brain disease model of addiction. New England Journal of Medicine, 374(4), 363-371.; Wiens, T.K., &amp; Walker, L.J. (2015) .The chronic disease concept of addiction: Helpful or harmful?, Addiction Research &amp; Theory, 23:4, 309-21, DOI:3109/16066359.2014.987760   </w:t>
      </w:r>
    </w:p>
  </w:footnote>
  <w:footnote w:id="9">
    <w:p w14:paraId="3C2D0785" w14:textId="1FC909FD" w:rsidR="00EB62B9" w:rsidRPr="00427E12" w:rsidRDefault="00EB62B9">
      <w:pPr>
        <w:pStyle w:val="FootnoteText"/>
        <w:rPr>
          <w:rFonts w:ascii="Times New Roman" w:hAnsi="Times New Roman" w:cs="Times New Roman"/>
        </w:rPr>
      </w:pPr>
      <w:r w:rsidRPr="00427E12">
        <w:rPr>
          <w:rStyle w:val="FootnoteReference"/>
          <w:rFonts w:ascii="Times New Roman" w:hAnsi="Times New Roman" w:cs="Times New Roman"/>
        </w:rPr>
        <w:footnoteRef/>
      </w:r>
      <w:r w:rsidRPr="00427E12">
        <w:rPr>
          <w:rFonts w:ascii="Times New Roman" w:hAnsi="Times New Roman" w:cs="Times New Roman"/>
        </w:rPr>
        <w:t xml:space="preserve"> Detalizētāk skat. pielikumā</w:t>
      </w:r>
    </w:p>
  </w:footnote>
  <w:footnote w:id="10">
    <w:p w14:paraId="3C4C4C8E" w14:textId="77777777" w:rsidR="00EB62B9" w:rsidRPr="00427E12" w:rsidRDefault="00EB62B9" w:rsidP="008443D4">
      <w:pPr>
        <w:pStyle w:val="Heading1"/>
        <w:shd w:val="clear" w:color="auto" w:fill="FFFFFF"/>
        <w:spacing w:before="0" w:beforeAutospacing="0" w:after="0" w:afterAutospacing="0"/>
        <w:rPr>
          <w:b w:val="0"/>
          <w:bCs w:val="0"/>
          <w:color w:val="111111"/>
          <w:sz w:val="20"/>
          <w:szCs w:val="20"/>
        </w:rPr>
      </w:pPr>
      <w:r w:rsidRPr="00427E12">
        <w:rPr>
          <w:rStyle w:val="FootnoteReference"/>
          <w:sz w:val="20"/>
          <w:szCs w:val="20"/>
        </w:rPr>
        <w:footnoteRef/>
      </w:r>
      <w:r w:rsidRPr="00427E12">
        <w:rPr>
          <w:sz w:val="20"/>
          <w:szCs w:val="20"/>
        </w:rPr>
        <w:t xml:space="preserve"> </w:t>
      </w:r>
      <w:r w:rsidRPr="00427E12">
        <w:rPr>
          <w:b w:val="0"/>
          <w:bCs w:val="0"/>
          <w:color w:val="2D3B45"/>
          <w:sz w:val="20"/>
          <w:szCs w:val="20"/>
        </w:rPr>
        <w:t xml:space="preserve">Nathan, P.E., Conrad, M., &amp; Skinstad, A.H. (2016). History of the Concept of the Addiction. </w:t>
      </w:r>
      <w:r w:rsidRPr="00427E12">
        <w:rPr>
          <w:b w:val="0"/>
          <w:bCs w:val="0"/>
          <w:i/>
          <w:iCs/>
          <w:color w:val="2D3B45"/>
          <w:sz w:val="20"/>
          <w:szCs w:val="20"/>
        </w:rPr>
        <w:t>Annual Review of Clinical Psychology</w:t>
      </w:r>
      <w:r w:rsidRPr="00427E12">
        <w:rPr>
          <w:b w:val="0"/>
          <w:bCs w:val="0"/>
          <w:color w:val="2D3B45"/>
          <w:sz w:val="20"/>
          <w:szCs w:val="20"/>
        </w:rPr>
        <w:t>, </w:t>
      </w:r>
      <w:r w:rsidRPr="00427E12">
        <w:rPr>
          <w:b w:val="0"/>
          <w:bCs w:val="0"/>
          <w:i/>
          <w:iCs/>
          <w:color w:val="2D3B45"/>
          <w:sz w:val="20"/>
          <w:szCs w:val="20"/>
        </w:rPr>
        <w:t>12:1,</w:t>
      </w:r>
      <w:r w:rsidRPr="00427E12">
        <w:rPr>
          <w:b w:val="0"/>
          <w:bCs w:val="0"/>
          <w:color w:val="2D3B45"/>
          <w:sz w:val="20"/>
          <w:szCs w:val="20"/>
        </w:rPr>
        <w:t> 29-51 un</w:t>
      </w:r>
      <w:r w:rsidRPr="00427E12">
        <w:rPr>
          <w:color w:val="2D3B45"/>
          <w:sz w:val="20"/>
          <w:szCs w:val="20"/>
        </w:rPr>
        <w:t xml:space="preserve"> </w:t>
      </w:r>
      <w:r w:rsidRPr="00427E12">
        <w:rPr>
          <w:rStyle w:val="Emphasis"/>
          <w:b w:val="0"/>
          <w:bCs w:val="0"/>
          <w:color w:val="111111"/>
          <w:sz w:val="20"/>
          <w:szCs w:val="20"/>
        </w:rPr>
        <w:t>Diagnostic and Statistical Manual of Mental Disorders</w:t>
      </w:r>
      <w:r w:rsidRPr="00427E12">
        <w:rPr>
          <w:b w:val="0"/>
          <w:bCs w:val="0"/>
          <w:color w:val="111111"/>
          <w:sz w:val="20"/>
          <w:szCs w:val="20"/>
        </w:rPr>
        <w:t> (</w:t>
      </w:r>
      <w:r w:rsidRPr="00427E12">
        <w:rPr>
          <w:rStyle w:val="Emphasis"/>
          <w:b w:val="0"/>
          <w:bCs w:val="0"/>
          <w:color w:val="111111"/>
          <w:sz w:val="20"/>
          <w:szCs w:val="20"/>
        </w:rPr>
        <w:t>DSM–5</w:t>
      </w:r>
      <w:r w:rsidRPr="00427E12">
        <w:rPr>
          <w:b w:val="0"/>
          <w:bCs w:val="0"/>
          <w:color w:val="111111"/>
          <w:sz w:val="20"/>
          <w:szCs w:val="20"/>
        </w:rPr>
        <w:t xml:space="preserve">): </w:t>
      </w:r>
      <w:hyperlink r:id="rId7" w:history="1">
        <w:r w:rsidRPr="00427E12">
          <w:rPr>
            <w:rStyle w:val="Hyperlink"/>
            <w:b w:val="0"/>
            <w:bCs w:val="0"/>
            <w:sz w:val="20"/>
            <w:szCs w:val="20"/>
          </w:rPr>
          <w:t>https://www.psychiatry.org/psychiatrists/practice/dsm</w:t>
        </w:r>
      </w:hyperlink>
      <w:r w:rsidRPr="00427E12">
        <w:rPr>
          <w:b w:val="0"/>
          <w:bCs w:val="0"/>
          <w:color w:val="111111"/>
          <w:sz w:val="20"/>
          <w:szCs w:val="20"/>
        </w:rPr>
        <w:t xml:space="preserve"> </w:t>
      </w:r>
    </w:p>
  </w:footnote>
  <w:footnote w:id="11">
    <w:p w14:paraId="697518DC" w14:textId="77777777" w:rsidR="00EB62B9" w:rsidRPr="00427E12" w:rsidRDefault="00EB62B9">
      <w:pPr>
        <w:pStyle w:val="FootnoteText"/>
        <w:rPr>
          <w:rFonts w:ascii="Times New Roman" w:hAnsi="Times New Roman" w:cs="Times New Roman"/>
        </w:rPr>
      </w:pPr>
      <w:r w:rsidRPr="00427E12">
        <w:rPr>
          <w:rStyle w:val="FootnoteReference"/>
          <w:rFonts w:ascii="Times New Roman" w:hAnsi="Times New Roman" w:cs="Times New Roman"/>
        </w:rPr>
        <w:footnoteRef/>
      </w:r>
      <w:r w:rsidRPr="00427E12">
        <w:rPr>
          <w:rFonts w:ascii="Times New Roman" w:hAnsi="Times New Roman" w:cs="Times New Roman"/>
        </w:rPr>
        <w:t xml:space="preserve"> ES Narkotiku stratēģija 2021. – 2025. gadam: </w:t>
      </w:r>
      <w:hyperlink r:id="rId8" w:history="1">
        <w:r w:rsidRPr="00427E12">
          <w:rPr>
            <w:rStyle w:val="Hyperlink"/>
            <w:rFonts w:ascii="Times New Roman" w:hAnsi="Times New Roman" w:cs="Times New Roman"/>
          </w:rPr>
          <w:t>https://eur-lex.europa.eu/legal-content/LV/TXT/?uri=LEGISSUM%3A231001_1</w:t>
        </w:r>
      </w:hyperlink>
      <w:r w:rsidRPr="00427E12">
        <w:rPr>
          <w:rFonts w:ascii="Times New Roman" w:hAnsi="Times New Roman" w:cs="Times New Roman"/>
        </w:rPr>
        <w:t xml:space="preserve">  </w:t>
      </w:r>
    </w:p>
  </w:footnote>
  <w:footnote w:id="12">
    <w:p w14:paraId="7C820A7D" w14:textId="32C1A925" w:rsidR="002E4CFA" w:rsidRDefault="002E4CFA">
      <w:pPr>
        <w:pStyle w:val="FootnoteText"/>
      </w:pPr>
      <w:r>
        <w:rPr>
          <w:rStyle w:val="FootnoteReference"/>
        </w:rPr>
        <w:footnoteRef/>
      </w:r>
      <w:r>
        <w:t xml:space="preserve"> Turpat. </w:t>
      </w:r>
    </w:p>
  </w:footnote>
  <w:footnote w:id="13">
    <w:p w14:paraId="4C479EAA" w14:textId="77777777" w:rsidR="00EB62B9" w:rsidRPr="00427E12" w:rsidRDefault="00EB62B9">
      <w:pPr>
        <w:pStyle w:val="FootnoteText"/>
        <w:rPr>
          <w:rFonts w:ascii="Times New Roman" w:hAnsi="Times New Roman" w:cs="Times New Roman"/>
        </w:rPr>
      </w:pPr>
      <w:r w:rsidRPr="00427E12">
        <w:rPr>
          <w:rStyle w:val="FootnoteReference"/>
          <w:rFonts w:ascii="Times New Roman" w:hAnsi="Times New Roman" w:cs="Times New Roman"/>
        </w:rPr>
        <w:footnoteRef/>
      </w:r>
      <w:r w:rsidRPr="00427E12">
        <w:rPr>
          <w:rFonts w:ascii="Times New Roman" w:hAnsi="Times New Roman" w:cs="Times New Roman"/>
        </w:rPr>
        <w:t xml:space="preserve"> Council approves EU Drugs Action Plan 2021–2025 // </w:t>
      </w:r>
      <w:hyperlink r:id="rId9" w:history="1">
        <w:r w:rsidRPr="00427E12">
          <w:rPr>
            <w:rStyle w:val="Hyperlink"/>
            <w:rFonts w:ascii="Times New Roman" w:hAnsi="Times New Roman" w:cs="Times New Roman"/>
          </w:rPr>
          <w:t>https://www.emcdda.europa.eu/news/2021/council-approves-eu-drugs-action-plan-2021-2025_en</w:t>
        </w:r>
      </w:hyperlink>
      <w:r w:rsidRPr="00427E12">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8A928" w14:textId="77777777" w:rsidR="00FA6DB3" w:rsidRDefault="00FA6DB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E7EAF" w14:textId="77777777" w:rsidR="00FA6DB3" w:rsidRDefault="00FA6DB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6161" w14:textId="77777777" w:rsidR="00FA6DB3" w:rsidRDefault="00FA6D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6F61"/>
    <w:multiLevelType w:val="hybridMultilevel"/>
    <w:tmpl w:val="144E53A8"/>
    <w:lvl w:ilvl="0" w:tplc="2158AF8C">
      <w:start w:val="1"/>
      <w:numFmt w:val="decimal"/>
      <w:lvlText w:val="%1."/>
      <w:lvlJc w:val="left"/>
      <w:pPr>
        <w:ind w:left="720" w:hanging="360"/>
      </w:pPr>
      <w:rPr>
        <w:rFonts w:ascii="Times New Roman" w:hAnsi="Times New Roman" w:cs="Times New Roman"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0435FC"/>
    <w:multiLevelType w:val="hybridMultilevel"/>
    <w:tmpl w:val="4D0AE2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DA0093"/>
    <w:multiLevelType w:val="hybridMultilevel"/>
    <w:tmpl w:val="F2F66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90519"/>
    <w:multiLevelType w:val="multilevel"/>
    <w:tmpl w:val="89B8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87DFD"/>
    <w:multiLevelType w:val="hybridMultilevel"/>
    <w:tmpl w:val="3EC8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F3E07"/>
    <w:multiLevelType w:val="hybridMultilevel"/>
    <w:tmpl w:val="BA92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D1C5B"/>
    <w:multiLevelType w:val="multilevel"/>
    <w:tmpl w:val="5F244A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8E90475"/>
    <w:multiLevelType w:val="hybridMultilevel"/>
    <w:tmpl w:val="7D88474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3A830476"/>
    <w:multiLevelType w:val="hybridMultilevel"/>
    <w:tmpl w:val="C65C6DDC"/>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9" w15:restartNumberingAfterBreak="0">
    <w:nsid w:val="3D1D4DCC"/>
    <w:multiLevelType w:val="hybridMultilevel"/>
    <w:tmpl w:val="B2586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D10764"/>
    <w:multiLevelType w:val="hybridMultilevel"/>
    <w:tmpl w:val="7C8A423E"/>
    <w:lvl w:ilvl="0" w:tplc="D3B8E000">
      <w:start w:val="1"/>
      <w:numFmt w:val="bullet"/>
      <w:lvlText w:val="•"/>
      <w:lvlJc w:val="left"/>
      <w:pPr>
        <w:tabs>
          <w:tab w:val="num" w:pos="720"/>
        </w:tabs>
        <w:ind w:left="720" w:hanging="360"/>
      </w:pPr>
      <w:rPr>
        <w:rFonts w:ascii="Times New Roman" w:hAnsi="Times New Roman" w:hint="default"/>
      </w:rPr>
    </w:lvl>
    <w:lvl w:ilvl="1" w:tplc="10329A8C" w:tentative="1">
      <w:start w:val="1"/>
      <w:numFmt w:val="bullet"/>
      <w:lvlText w:val="•"/>
      <w:lvlJc w:val="left"/>
      <w:pPr>
        <w:tabs>
          <w:tab w:val="num" w:pos="1440"/>
        </w:tabs>
        <w:ind w:left="1440" w:hanging="360"/>
      </w:pPr>
      <w:rPr>
        <w:rFonts w:ascii="Times New Roman" w:hAnsi="Times New Roman" w:hint="default"/>
      </w:rPr>
    </w:lvl>
    <w:lvl w:ilvl="2" w:tplc="5D0AB9A0" w:tentative="1">
      <w:start w:val="1"/>
      <w:numFmt w:val="bullet"/>
      <w:lvlText w:val="•"/>
      <w:lvlJc w:val="left"/>
      <w:pPr>
        <w:tabs>
          <w:tab w:val="num" w:pos="2160"/>
        </w:tabs>
        <w:ind w:left="2160" w:hanging="360"/>
      </w:pPr>
      <w:rPr>
        <w:rFonts w:ascii="Times New Roman" w:hAnsi="Times New Roman" w:hint="default"/>
      </w:rPr>
    </w:lvl>
    <w:lvl w:ilvl="3" w:tplc="A77E2818" w:tentative="1">
      <w:start w:val="1"/>
      <w:numFmt w:val="bullet"/>
      <w:lvlText w:val="•"/>
      <w:lvlJc w:val="left"/>
      <w:pPr>
        <w:tabs>
          <w:tab w:val="num" w:pos="2880"/>
        </w:tabs>
        <w:ind w:left="2880" w:hanging="360"/>
      </w:pPr>
      <w:rPr>
        <w:rFonts w:ascii="Times New Roman" w:hAnsi="Times New Roman" w:hint="default"/>
      </w:rPr>
    </w:lvl>
    <w:lvl w:ilvl="4" w:tplc="959E3A92" w:tentative="1">
      <w:start w:val="1"/>
      <w:numFmt w:val="bullet"/>
      <w:lvlText w:val="•"/>
      <w:lvlJc w:val="left"/>
      <w:pPr>
        <w:tabs>
          <w:tab w:val="num" w:pos="3600"/>
        </w:tabs>
        <w:ind w:left="3600" w:hanging="360"/>
      </w:pPr>
      <w:rPr>
        <w:rFonts w:ascii="Times New Roman" w:hAnsi="Times New Roman" w:hint="default"/>
      </w:rPr>
    </w:lvl>
    <w:lvl w:ilvl="5" w:tplc="73A4BCA8" w:tentative="1">
      <w:start w:val="1"/>
      <w:numFmt w:val="bullet"/>
      <w:lvlText w:val="•"/>
      <w:lvlJc w:val="left"/>
      <w:pPr>
        <w:tabs>
          <w:tab w:val="num" w:pos="4320"/>
        </w:tabs>
        <w:ind w:left="4320" w:hanging="360"/>
      </w:pPr>
      <w:rPr>
        <w:rFonts w:ascii="Times New Roman" w:hAnsi="Times New Roman" w:hint="default"/>
      </w:rPr>
    </w:lvl>
    <w:lvl w:ilvl="6" w:tplc="1B167BCC" w:tentative="1">
      <w:start w:val="1"/>
      <w:numFmt w:val="bullet"/>
      <w:lvlText w:val="•"/>
      <w:lvlJc w:val="left"/>
      <w:pPr>
        <w:tabs>
          <w:tab w:val="num" w:pos="5040"/>
        </w:tabs>
        <w:ind w:left="5040" w:hanging="360"/>
      </w:pPr>
      <w:rPr>
        <w:rFonts w:ascii="Times New Roman" w:hAnsi="Times New Roman" w:hint="default"/>
      </w:rPr>
    </w:lvl>
    <w:lvl w:ilvl="7" w:tplc="E84670D4" w:tentative="1">
      <w:start w:val="1"/>
      <w:numFmt w:val="bullet"/>
      <w:lvlText w:val="•"/>
      <w:lvlJc w:val="left"/>
      <w:pPr>
        <w:tabs>
          <w:tab w:val="num" w:pos="5760"/>
        </w:tabs>
        <w:ind w:left="5760" w:hanging="360"/>
      </w:pPr>
      <w:rPr>
        <w:rFonts w:ascii="Times New Roman" w:hAnsi="Times New Roman" w:hint="default"/>
      </w:rPr>
    </w:lvl>
    <w:lvl w:ilvl="8" w:tplc="E442731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11963B8"/>
    <w:multiLevelType w:val="hybridMultilevel"/>
    <w:tmpl w:val="0F70C2BC"/>
    <w:lvl w:ilvl="0" w:tplc="80AE0C16">
      <w:start w:val="1"/>
      <w:numFmt w:val="decimal"/>
      <w:lvlText w:val="%1."/>
      <w:lvlJc w:val="left"/>
      <w:pPr>
        <w:ind w:left="1022" w:hanging="36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12" w15:restartNumberingAfterBreak="0">
    <w:nsid w:val="52FB309E"/>
    <w:multiLevelType w:val="hybridMultilevel"/>
    <w:tmpl w:val="C560896A"/>
    <w:lvl w:ilvl="0" w:tplc="042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B452C2"/>
    <w:multiLevelType w:val="hybridMultilevel"/>
    <w:tmpl w:val="0414D250"/>
    <w:lvl w:ilvl="0" w:tplc="78E695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7A60949"/>
    <w:multiLevelType w:val="multilevel"/>
    <w:tmpl w:val="B0485D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FCA55F1"/>
    <w:multiLevelType w:val="hybridMultilevel"/>
    <w:tmpl w:val="23C82FA6"/>
    <w:lvl w:ilvl="0" w:tplc="80AE0C16">
      <w:start w:val="1"/>
      <w:numFmt w:val="decimal"/>
      <w:lvlText w:val="%1."/>
      <w:lvlJc w:val="left"/>
      <w:pPr>
        <w:ind w:left="1022" w:hanging="36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16" w15:restartNumberingAfterBreak="0">
    <w:nsid w:val="744C65F4"/>
    <w:multiLevelType w:val="hybridMultilevel"/>
    <w:tmpl w:val="AEF0C670"/>
    <w:lvl w:ilvl="0" w:tplc="E716B802">
      <w:start w:val="1"/>
      <w:numFmt w:val="decimal"/>
      <w:lvlText w:val="%1."/>
      <w:lvlJc w:val="left"/>
      <w:pPr>
        <w:ind w:left="6314" w:hanging="360"/>
      </w:pPr>
      <w:rPr>
        <w:rFonts w:hint="default"/>
      </w:rPr>
    </w:lvl>
    <w:lvl w:ilvl="1" w:tplc="04260019" w:tentative="1">
      <w:start w:val="1"/>
      <w:numFmt w:val="lowerLetter"/>
      <w:lvlText w:val="%2."/>
      <w:lvlJc w:val="left"/>
      <w:pPr>
        <w:ind w:left="7034" w:hanging="360"/>
      </w:pPr>
    </w:lvl>
    <w:lvl w:ilvl="2" w:tplc="0426001B" w:tentative="1">
      <w:start w:val="1"/>
      <w:numFmt w:val="lowerRoman"/>
      <w:lvlText w:val="%3."/>
      <w:lvlJc w:val="right"/>
      <w:pPr>
        <w:ind w:left="7754" w:hanging="180"/>
      </w:pPr>
    </w:lvl>
    <w:lvl w:ilvl="3" w:tplc="0426000F" w:tentative="1">
      <w:start w:val="1"/>
      <w:numFmt w:val="decimal"/>
      <w:lvlText w:val="%4."/>
      <w:lvlJc w:val="left"/>
      <w:pPr>
        <w:ind w:left="8474" w:hanging="360"/>
      </w:pPr>
    </w:lvl>
    <w:lvl w:ilvl="4" w:tplc="04260019" w:tentative="1">
      <w:start w:val="1"/>
      <w:numFmt w:val="lowerLetter"/>
      <w:lvlText w:val="%5."/>
      <w:lvlJc w:val="left"/>
      <w:pPr>
        <w:ind w:left="9194" w:hanging="360"/>
      </w:pPr>
    </w:lvl>
    <w:lvl w:ilvl="5" w:tplc="0426001B" w:tentative="1">
      <w:start w:val="1"/>
      <w:numFmt w:val="lowerRoman"/>
      <w:lvlText w:val="%6."/>
      <w:lvlJc w:val="right"/>
      <w:pPr>
        <w:ind w:left="9914" w:hanging="180"/>
      </w:pPr>
    </w:lvl>
    <w:lvl w:ilvl="6" w:tplc="0426000F" w:tentative="1">
      <w:start w:val="1"/>
      <w:numFmt w:val="decimal"/>
      <w:lvlText w:val="%7."/>
      <w:lvlJc w:val="left"/>
      <w:pPr>
        <w:ind w:left="10634" w:hanging="360"/>
      </w:pPr>
    </w:lvl>
    <w:lvl w:ilvl="7" w:tplc="04260019" w:tentative="1">
      <w:start w:val="1"/>
      <w:numFmt w:val="lowerLetter"/>
      <w:lvlText w:val="%8."/>
      <w:lvlJc w:val="left"/>
      <w:pPr>
        <w:ind w:left="11354" w:hanging="360"/>
      </w:pPr>
    </w:lvl>
    <w:lvl w:ilvl="8" w:tplc="0426001B" w:tentative="1">
      <w:start w:val="1"/>
      <w:numFmt w:val="lowerRoman"/>
      <w:lvlText w:val="%9."/>
      <w:lvlJc w:val="right"/>
      <w:pPr>
        <w:ind w:left="12074" w:hanging="180"/>
      </w:pPr>
    </w:lvl>
  </w:abstractNum>
  <w:abstractNum w:abstractNumId="17" w15:restartNumberingAfterBreak="0">
    <w:nsid w:val="7D8D5A75"/>
    <w:multiLevelType w:val="hybridMultilevel"/>
    <w:tmpl w:val="23C82FA6"/>
    <w:lvl w:ilvl="0" w:tplc="80AE0C16">
      <w:start w:val="1"/>
      <w:numFmt w:val="decimal"/>
      <w:lvlText w:val="%1."/>
      <w:lvlJc w:val="left"/>
      <w:pPr>
        <w:ind w:left="1022" w:hanging="36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18" w15:restartNumberingAfterBreak="0">
    <w:nsid w:val="7F0A6A63"/>
    <w:multiLevelType w:val="hybridMultilevel"/>
    <w:tmpl w:val="2B84C42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9"/>
  </w:num>
  <w:num w:numId="4">
    <w:abstractNumId w:val="2"/>
  </w:num>
  <w:num w:numId="5">
    <w:abstractNumId w:val="10"/>
  </w:num>
  <w:num w:numId="6">
    <w:abstractNumId w:val="6"/>
  </w:num>
  <w:num w:numId="7">
    <w:abstractNumId w:val="11"/>
  </w:num>
  <w:num w:numId="8">
    <w:abstractNumId w:val="15"/>
  </w:num>
  <w:num w:numId="9">
    <w:abstractNumId w:val="7"/>
  </w:num>
  <w:num w:numId="10">
    <w:abstractNumId w:val="17"/>
  </w:num>
  <w:num w:numId="11">
    <w:abstractNumId w:val="1"/>
  </w:num>
  <w:num w:numId="12">
    <w:abstractNumId w:val="0"/>
  </w:num>
  <w:num w:numId="13">
    <w:abstractNumId w:val="16"/>
  </w:num>
  <w:num w:numId="14">
    <w:abstractNumId w:val="18"/>
  </w:num>
  <w:num w:numId="15">
    <w:abstractNumId w:val="4"/>
  </w:num>
  <w:num w:numId="16">
    <w:abstractNumId w:val="3"/>
  </w:num>
  <w:num w:numId="17">
    <w:abstractNumId w:val="8"/>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23"/>
    <w:rsid w:val="000253F0"/>
    <w:rsid w:val="00036C9F"/>
    <w:rsid w:val="000404F3"/>
    <w:rsid w:val="000510D7"/>
    <w:rsid w:val="00051FFF"/>
    <w:rsid w:val="00055DDF"/>
    <w:rsid w:val="000605EC"/>
    <w:rsid w:val="00084A5D"/>
    <w:rsid w:val="000918E1"/>
    <w:rsid w:val="000A12E6"/>
    <w:rsid w:val="000B0C50"/>
    <w:rsid w:val="000B31AB"/>
    <w:rsid w:val="000B6BD2"/>
    <w:rsid w:val="000C032C"/>
    <w:rsid w:val="000C072C"/>
    <w:rsid w:val="000C5878"/>
    <w:rsid w:val="000C73E3"/>
    <w:rsid w:val="00101B46"/>
    <w:rsid w:val="0010256B"/>
    <w:rsid w:val="0010604A"/>
    <w:rsid w:val="00123578"/>
    <w:rsid w:val="00124C7A"/>
    <w:rsid w:val="00130D48"/>
    <w:rsid w:val="0013657B"/>
    <w:rsid w:val="001422EB"/>
    <w:rsid w:val="00146509"/>
    <w:rsid w:val="001513AF"/>
    <w:rsid w:val="001769FA"/>
    <w:rsid w:val="00183CD8"/>
    <w:rsid w:val="0018783C"/>
    <w:rsid w:val="001A07B4"/>
    <w:rsid w:val="001A2584"/>
    <w:rsid w:val="001B354B"/>
    <w:rsid w:val="001C3A8D"/>
    <w:rsid w:val="001F5171"/>
    <w:rsid w:val="00206EAA"/>
    <w:rsid w:val="002146D4"/>
    <w:rsid w:val="002342D0"/>
    <w:rsid w:val="00246349"/>
    <w:rsid w:val="002564AF"/>
    <w:rsid w:val="00292E47"/>
    <w:rsid w:val="002B3D6C"/>
    <w:rsid w:val="002B5D44"/>
    <w:rsid w:val="002B64FE"/>
    <w:rsid w:val="002B7847"/>
    <w:rsid w:val="002B7AFF"/>
    <w:rsid w:val="002E4CFA"/>
    <w:rsid w:val="002E6C82"/>
    <w:rsid w:val="002F19AF"/>
    <w:rsid w:val="00306BBB"/>
    <w:rsid w:val="0032103A"/>
    <w:rsid w:val="00334B46"/>
    <w:rsid w:val="0036437E"/>
    <w:rsid w:val="00373345"/>
    <w:rsid w:val="00380DAD"/>
    <w:rsid w:val="00384026"/>
    <w:rsid w:val="00386216"/>
    <w:rsid w:val="00387313"/>
    <w:rsid w:val="003968EB"/>
    <w:rsid w:val="003B0906"/>
    <w:rsid w:val="003D11EF"/>
    <w:rsid w:val="003D3C04"/>
    <w:rsid w:val="003E77A0"/>
    <w:rsid w:val="003E7EB6"/>
    <w:rsid w:val="003F32BC"/>
    <w:rsid w:val="00402782"/>
    <w:rsid w:val="0040408F"/>
    <w:rsid w:val="00416152"/>
    <w:rsid w:val="00427CC3"/>
    <w:rsid w:val="00427E12"/>
    <w:rsid w:val="0044035E"/>
    <w:rsid w:val="004519BE"/>
    <w:rsid w:val="00460726"/>
    <w:rsid w:val="0046264C"/>
    <w:rsid w:val="00465F85"/>
    <w:rsid w:val="00467265"/>
    <w:rsid w:val="00470654"/>
    <w:rsid w:val="00474111"/>
    <w:rsid w:val="004775EA"/>
    <w:rsid w:val="0048696D"/>
    <w:rsid w:val="004948A0"/>
    <w:rsid w:val="004964A3"/>
    <w:rsid w:val="004B517D"/>
    <w:rsid w:val="004D0629"/>
    <w:rsid w:val="00501403"/>
    <w:rsid w:val="00517D5E"/>
    <w:rsid w:val="0052255B"/>
    <w:rsid w:val="00527DB4"/>
    <w:rsid w:val="005316A5"/>
    <w:rsid w:val="005344AD"/>
    <w:rsid w:val="00542851"/>
    <w:rsid w:val="00574DE1"/>
    <w:rsid w:val="00587141"/>
    <w:rsid w:val="00587F3D"/>
    <w:rsid w:val="00597B70"/>
    <w:rsid w:val="005A02C2"/>
    <w:rsid w:val="005B3E06"/>
    <w:rsid w:val="005B60BD"/>
    <w:rsid w:val="005F2321"/>
    <w:rsid w:val="005F598E"/>
    <w:rsid w:val="005F7A30"/>
    <w:rsid w:val="006026AA"/>
    <w:rsid w:val="00605CE8"/>
    <w:rsid w:val="00617DB6"/>
    <w:rsid w:val="00636FBC"/>
    <w:rsid w:val="00642667"/>
    <w:rsid w:val="00644111"/>
    <w:rsid w:val="00653502"/>
    <w:rsid w:val="00695315"/>
    <w:rsid w:val="006C5EE1"/>
    <w:rsid w:val="006D0E76"/>
    <w:rsid w:val="006E5732"/>
    <w:rsid w:val="006E6DCA"/>
    <w:rsid w:val="00733586"/>
    <w:rsid w:val="0073506B"/>
    <w:rsid w:val="00735F01"/>
    <w:rsid w:val="00751223"/>
    <w:rsid w:val="007531A4"/>
    <w:rsid w:val="00771CB4"/>
    <w:rsid w:val="007734D7"/>
    <w:rsid w:val="00795B11"/>
    <w:rsid w:val="0079701C"/>
    <w:rsid w:val="007A2A7A"/>
    <w:rsid w:val="007B6ECE"/>
    <w:rsid w:val="007C5216"/>
    <w:rsid w:val="007D4E0C"/>
    <w:rsid w:val="007E2EB6"/>
    <w:rsid w:val="007F52FA"/>
    <w:rsid w:val="008311CE"/>
    <w:rsid w:val="00837E47"/>
    <w:rsid w:val="008443D4"/>
    <w:rsid w:val="00851883"/>
    <w:rsid w:val="00867AD6"/>
    <w:rsid w:val="0087052D"/>
    <w:rsid w:val="008757A6"/>
    <w:rsid w:val="00877761"/>
    <w:rsid w:val="008827C8"/>
    <w:rsid w:val="0088487E"/>
    <w:rsid w:val="008C17EF"/>
    <w:rsid w:val="008C27D4"/>
    <w:rsid w:val="008D22AC"/>
    <w:rsid w:val="008D5011"/>
    <w:rsid w:val="008E7FFD"/>
    <w:rsid w:val="009011C9"/>
    <w:rsid w:val="009101FC"/>
    <w:rsid w:val="0091236C"/>
    <w:rsid w:val="009132FF"/>
    <w:rsid w:val="00922E35"/>
    <w:rsid w:val="00940037"/>
    <w:rsid w:val="0094543E"/>
    <w:rsid w:val="00955C09"/>
    <w:rsid w:val="00955F6A"/>
    <w:rsid w:val="009A2D3E"/>
    <w:rsid w:val="009B0210"/>
    <w:rsid w:val="009E32E8"/>
    <w:rsid w:val="009F1601"/>
    <w:rsid w:val="00A01C0C"/>
    <w:rsid w:val="00A151A6"/>
    <w:rsid w:val="00A15E6F"/>
    <w:rsid w:val="00A21E41"/>
    <w:rsid w:val="00A47E92"/>
    <w:rsid w:val="00A50511"/>
    <w:rsid w:val="00A6062C"/>
    <w:rsid w:val="00A96FE1"/>
    <w:rsid w:val="00AD635F"/>
    <w:rsid w:val="00AE3AE0"/>
    <w:rsid w:val="00B05016"/>
    <w:rsid w:val="00B166C2"/>
    <w:rsid w:val="00B25C7E"/>
    <w:rsid w:val="00B458A5"/>
    <w:rsid w:val="00B45A16"/>
    <w:rsid w:val="00B609B6"/>
    <w:rsid w:val="00B72924"/>
    <w:rsid w:val="00B75C95"/>
    <w:rsid w:val="00B83BD1"/>
    <w:rsid w:val="00BA1C33"/>
    <w:rsid w:val="00BA3D68"/>
    <w:rsid w:val="00BA7064"/>
    <w:rsid w:val="00BB01FE"/>
    <w:rsid w:val="00BB7284"/>
    <w:rsid w:val="00BC5F08"/>
    <w:rsid w:val="00BC6ACA"/>
    <w:rsid w:val="00BE4B28"/>
    <w:rsid w:val="00BE649C"/>
    <w:rsid w:val="00C028E7"/>
    <w:rsid w:val="00C427EC"/>
    <w:rsid w:val="00C42D5F"/>
    <w:rsid w:val="00C73525"/>
    <w:rsid w:val="00CA0C46"/>
    <w:rsid w:val="00CA4DF6"/>
    <w:rsid w:val="00CB0069"/>
    <w:rsid w:val="00CB2FA2"/>
    <w:rsid w:val="00CB4E4C"/>
    <w:rsid w:val="00CD4F0C"/>
    <w:rsid w:val="00CD6B08"/>
    <w:rsid w:val="00D041FB"/>
    <w:rsid w:val="00D04851"/>
    <w:rsid w:val="00D04A63"/>
    <w:rsid w:val="00D06B27"/>
    <w:rsid w:val="00D15DD2"/>
    <w:rsid w:val="00D200A3"/>
    <w:rsid w:val="00D259DA"/>
    <w:rsid w:val="00D37EC0"/>
    <w:rsid w:val="00D41D69"/>
    <w:rsid w:val="00D600CD"/>
    <w:rsid w:val="00D65547"/>
    <w:rsid w:val="00D72DF9"/>
    <w:rsid w:val="00D81AEA"/>
    <w:rsid w:val="00DB058D"/>
    <w:rsid w:val="00DC0B6E"/>
    <w:rsid w:val="00DC7411"/>
    <w:rsid w:val="00DC7793"/>
    <w:rsid w:val="00DC7E23"/>
    <w:rsid w:val="00DD41EF"/>
    <w:rsid w:val="00DF318F"/>
    <w:rsid w:val="00E0289C"/>
    <w:rsid w:val="00E0357B"/>
    <w:rsid w:val="00E05535"/>
    <w:rsid w:val="00E067F2"/>
    <w:rsid w:val="00E209F3"/>
    <w:rsid w:val="00E217B6"/>
    <w:rsid w:val="00E5765F"/>
    <w:rsid w:val="00E62854"/>
    <w:rsid w:val="00E64C99"/>
    <w:rsid w:val="00E83F0A"/>
    <w:rsid w:val="00E97573"/>
    <w:rsid w:val="00EA24E4"/>
    <w:rsid w:val="00EA373E"/>
    <w:rsid w:val="00EA5C36"/>
    <w:rsid w:val="00EB62B9"/>
    <w:rsid w:val="00EC56FD"/>
    <w:rsid w:val="00EE3A8B"/>
    <w:rsid w:val="00EF014D"/>
    <w:rsid w:val="00F00D30"/>
    <w:rsid w:val="00F11235"/>
    <w:rsid w:val="00F11A18"/>
    <w:rsid w:val="00F2501A"/>
    <w:rsid w:val="00F42DC4"/>
    <w:rsid w:val="00F5339C"/>
    <w:rsid w:val="00F62F9A"/>
    <w:rsid w:val="00F67C1E"/>
    <w:rsid w:val="00F82F3D"/>
    <w:rsid w:val="00F8760E"/>
    <w:rsid w:val="00F91B11"/>
    <w:rsid w:val="00F92006"/>
    <w:rsid w:val="00FA6DB3"/>
    <w:rsid w:val="00FB585A"/>
    <w:rsid w:val="00FC4A58"/>
    <w:rsid w:val="00FE7C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C2BE1"/>
  <w15:docId w15:val="{144692AE-90C7-46DE-A135-F4CC399A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E6F"/>
  </w:style>
  <w:style w:type="paragraph" w:styleId="Heading1">
    <w:name w:val="heading 1"/>
    <w:basedOn w:val="Normal"/>
    <w:link w:val="Heading1Char"/>
    <w:uiPriority w:val="9"/>
    <w:qFormat/>
    <w:rsid w:val="00EC56F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E209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A4D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6D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DCA"/>
    <w:rPr>
      <w:sz w:val="20"/>
      <w:szCs w:val="20"/>
    </w:rPr>
  </w:style>
  <w:style w:type="character" w:styleId="FootnoteReference">
    <w:name w:val="footnote reference"/>
    <w:basedOn w:val="DefaultParagraphFont"/>
    <w:uiPriority w:val="99"/>
    <w:semiHidden/>
    <w:unhideWhenUsed/>
    <w:rsid w:val="006E6DCA"/>
    <w:rPr>
      <w:vertAlign w:val="superscript"/>
    </w:rPr>
  </w:style>
  <w:style w:type="character" w:styleId="Hyperlink">
    <w:name w:val="Hyperlink"/>
    <w:basedOn w:val="DefaultParagraphFont"/>
    <w:uiPriority w:val="99"/>
    <w:unhideWhenUsed/>
    <w:rsid w:val="00851883"/>
    <w:rPr>
      <w:color w:val="0000FF"/>
      <w:u w:val="single"/>
    </w:rPr>
  </w:style>
  <w:style w:type="paragraph" w:styleId="ListParagraph">
    <w:name w:val="List Paragraph"/>
    <w:basedOn w:val="Normal"/>
    <w:uiPriority w:val="34"/>
    <w:qFormat/>
    <w:rsid w:val="000510D7"/>
    <w:pPr>
      <w:ind w:left="720"/>
      <w:contextualSpacing/>
    </w:pPr>
  </w:style>
  <w:style w:type="character" w:customStyle="1" w:styleId="UnresolvedMention1">
    <w:name w:val="Unresolved Mention1"/>
    <w:basedOn w:val="DefaultParagraphFont"/>
    <w:uiPriority w:val="99"/>
    <w:semiHidden/>
    <w:unhideWhenUsed/>
    <w:rsid w:val="000C73E3"/>
    <w:rPr>
      <w:color w:val="605E5C"/>
      <w:shd w:val="clear" w:color="auto" w:fill="E1DFDD"/>
    </w:rPr>
  </w:style>
  <w:style w:type="character" w:customStyle="1" w:styleId="Heading1Char">
    <w:name w:val="Heading 1 Char"/>
    <w:basedOn w:val="DefaultParagraphFont"/>
    <w:link w:val="Heading1"/>
    <w:uiPriority w:val="9"/>
    <w:rsid w:val="00EC56FD"/>
    <w:rPr>
      <w:rFonts w:ascii="Times New Roman" w:eastAsia="Times New Roman" w:hAnsi="Times New Roman" w:cs="Times New Roman"/>
      <w:b/>
      <w:bCs/>
      <w:kern w:val="36"/>
      <w:sz w:val="48"/>
      <w:szCs w:val="48"/>
      <w:lang w:val="en-US"/>
    </w:rPr>
  </w:style>
  <w:style w:type="paragraph" w:styleId="NormalWeb">
    <w:name w:val="Normal (Web)"/>
    <w:basedOn w:val="Normal"/>
    <w:uiPriority w:val="99"/>
    <w:unhideWhenUsed/>
    <w:rsid w:val="007C52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E209F3"/>
    <w:rPr>
      <w:i/>
      <w:iCs/>
    </w:rPr>
  </w:style>
  <w:style w:type="character" w:customStyle="1" w:styleId="Heading2Char">
    <w:name w:val="Heading 2 Char"/>
    <w:basedOn w:val="DefaultParagraphFont"/>
    <w:link w:val="Heading2"/>
    <w:uiPriority w:val="9"/>
    <w:rsid w:val="00E209F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40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35E"/>
  </w:style>
  <w:style w:type="paragraph" w:styleId="Footer">
    <w:name w:val="footer"/>
    <w:basedOn w:val="Normal"/>
    <w:link w:val="FooterChar"/>
    <w:uiPriority w:val="99"/>
    <w:unhideWhenUsed/>
    <w:rsid w:val="00440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35E"/>
  </w:style>
  <w:style w:type="character" w:customStyle="1" w:styleId="Heading3Char">
    <w:name w:val="Heading 3 Char"/>
    <w:basedOn w:val="DefaultParagraphFont"/>
    <w:link w:val="Heading3"/>
    <w:uiPriority w:val="9"/>
    <w:rsid w:val="00CA4DF6"/>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DD4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15E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3E77A0"/>
    <w:rPr>
      <w:sz w:val="16"/>
      <w:szCs w:val="16"/>
    </w:rPr>
  </w:style>
  <w:style w:type="paragraph" w:styleId="CommentText">
    <w:name w:val="annotation text"/>
    <w:basedOn w:val="Normal"/>
    <w:link w:val="CommentTextChar"/>
    <w:uiPriority w:val="99"/>
    <w:unhideWhenUsed/>
    <w:rsid w:val="003E77A0"/>
    <w:pPr>
      <w:spacing w:line="240" w:lineRule="auto"/>
    </w:pPr>
    <w:rPr>
      <w:sz w:val="20"/>
      <w:szCs w:val="20"/>
    </w:rPr>
  </w:style>
  <w:style w:type="character" w:customStyle="1" w:styleId="CommentTextChar">
    <w:name w:val="Comment Text Char"/>
    <w:basedOn w:val="DefaultParagraphFont"/>
    <w:link w:val="CommentText"/>
    <w:uiPriority w:val="99"/>
    <w:rsid w:val="003E77A0"/>
    <w:rPr>
      <w:sz w:val="20"/>
      <w:szCs w:val="20"/>
    </w:rPr>
  </w:style>
  <w:style w:type="paragraph" w:styleId="CommentSubject">
    <w:name w:val="annotation subject"/>
    <w:basedOn w:val="CommentText"/>
    <w:next w:val="CommentText"/>
    <w:link w:val="CommentSubjectChar"/>
    <w:uiPriority w:val="99"/>
    <w:semiHidden/>
    <w:unhideWhenUsed/>
    <w:rsid w:val="003E77A0"/>
    <w:rPr>
      <w:b/>
      <w:bCs/>
    </w:rPr>
  </w:style>
  <w:style w:type="character" w:customStyle="1" w:styleId="CommentSubjectChar">
    <w:name w:val="Comment Subject Char"/>
    <w:basedOn w:val="CommentTextChar"/>
    <w:link w:val="CommentSubject"/>
    <w:uiPriority w:val="99"/>
    <w:semiHidden/>
    <w:rsid w:val="003E77A0"/>
    <w:rPr>
      <w:b/>
      <w:bCs/>
      <w:sz w:val="20"/>
      <w:szCs w:val="20"/>
    </w:rPr>
  </w:style>
  <w:style w:type="character" w:customStyle="1" w:styleId="UnresolvedMention2">
    <w:name w:val="Unresolved Mention2"/>
    <w:basedOn w:val="DefaultParagraphFont"/>
    <w:uiPriority w:val="99"/>
    <w:semiHidden/>
    <w:unhideWhenUsed/>
    <w:rsid w:val="00642667"/>
    <w:rPr>
      <w:color w:val="605E5C"/>
      <w:shd w:val="clear" w:color="auto" w:fill="E1DFDD"/>
    </w:rPr>
  </w:style>
  <w:style w:type="paragraph" w:styleId="BalloonText">
    <w:name w:val="Balloon Text"/>
    <w:basedOn w:val="Normal"/>
    <w:link w:val="BalloonTextChar"/>
    <w:uiPriority w:val="99"/>
    <w:semiHidden/>
    <w:unhideWhenUsed/>
    <w:rsid w:val="00142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2EB"/>
    <w:rPr>
      <w:rFonts w:ascii="Segoe UI" w:hAnsi="Segoe UI" w:cs="Segoe UI"/>
      <w:sz w:val="18"/>
      <w:szCs w:val="18"/>
    </w:rPr>
  </w:style>
  <w:style w:type="paragraph" w:styleId="TOCHeading">
    <w:name w:val="TOC Heading"/>
    <w:basedOn w:val="Heading1"/>
    <w:next w:val="Normal"/>
    <w:uiPriority w:val="39"/>
    <w:unhideWhenUsed/>
    <w:qFormat/>
    <w:rsid w:val="00C7352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D04A63"/>
    <w:pPr>
      <w:tabs>
        <w:tab w:val="left" w:pos="660"/>
        <w:tab w:val="right" w:leader="dot" w:pos="9061"/>
      </w:tabs>
      <w:spacing w:after="100"/>
      <w:ind w:left="220"/>
    </w:pPr>
    <w:rPr>
      <w:rFonts w:ascii="Times New Roman" w:hAnsi="Times New Roman" w:cs="Times New Roman"/>
      <w:b/>
      <w:noProof/>
    </w:rPr>
  </w:style>
  <w:style w:type="paragraph" w:styleId="TOC3">
    <w:name w:val="toc 3"/>
    <w:basedOn w:val="Normal"/>
    <w:next w:val="Normal"/>
    <w:autoRedefine/>
    <w:uiPriority w:val="39"/>
    <w:unhideWhenUsed/>
    <w:rsid w:val="00C73525"/>
    <w:pPr>
      <w:spacing w:after="100"/>
      <w:ind w:left="440"/>
    </w:pPr>
  </w:style>
  <w:style w:type="paragraph" w:customStyle="1" w:styleId="xmsonormal">
    <w:name w:val="x_msonormal"/>
    <w:basedOn w:val="Normal"/>
    <w:rsid w:val="00183CD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BA3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11322">
      <w:bodyDiv w:val="1"/>
      <w:marLeft w:val="0"/>
      <w:marRight w:val="0"/>
      <w:marTop w:val="0"/>
      <w:marBottom w:val="0"/>
      <w:divBdr>
        <w:top w:val="none" w:sz="0" w:space="0" w:color="auto"/>
        <w:left w:val="none" w:sz="0" w:space="0" w:color="auto"/>
        <w:bottom w:val="none" w:sz="0" w:space="0" w:color="auto"/>
        <w:right w:val="none" w:sz="0" w:space="0" w:color="auto"/>
      </w:divBdr>
    </w:div>
    <w:div w:id="402610191">
      <w:bodyDiv w:val="1"/>
      <w:marLeft w:val="0"/>
      <w:marRight w:val="0"/>
      <w:marTop w:val="0"/>
      <w:marBottom w:val="0"/>
      <w:divBdr>
        <w:top w:val="none" w:sz="0" w:space="0" w:color="auto"/>
        <w:left w:val="none" w:sz="0" w:space="0" w:color="auto"/>
        <w:bottom w:val="none" w:sz="0" w:space="0" w:color="auto"/>
        <w:right w:val="none" w:sz="0" w:space="0" w:color="auto"/>
      </w:divBdr>
    </w:div>
    <w:div w:id="518128072">
      <w:bodyDiv w:val="1"/>
      <w:marLeft w:val="0"/>
      <w:marRight w:val="0"/>
      <w:marTop w:val="0"/>
      <w:marBottom w:val="0"/>
      <w:divBdr>
        <w:top w:val="none" w:sz="0" w:space="0" w:color="auto"/>
        <w:left w:val="none" w:sz="0" w:space="0" w:color="auto"/>
        <w:bottom w:val="none" w:sz="0" w:space="0" w:color="auto"/>
        <w:right w:val="none" w:sz="0" w:space="0" w:color="auto"/>
      </w:divBdr>
    </w:div>
    <w:div w:id="583805631">
      <w:bodyDiv w:val="1"/>
      <w:marLeft w:val="0"/>
      <w:marRight w:val="0"/>
      <w:marTop w:val="0"/>
      <w:marBottom w:val="0"/>
      <w:divBdr>
        <w:top w:val="none" w:sz="0" w:space="0" w:color="auto"/>
        <w:left w:val="none" w:sz="0" w:space="0" w:color="auto"/>
        <w:bottom w:val="none" w:sz="0" w:space="0" w:color="auto"/>
        <w:right w:val="none" w:sz="0" w:space="0" w:color="auto"/>
      </w:divBdr>
    </w:div>
    <w:div w:id="689991595">
      <w:bodyDiv w:val="1"/>
      <w:marLeft w:val="0"/>
      <w:marRight w:val="0"/>
      <w:marTop w:val="0"/>
      <w:marBottom w:val="0"/>
      <w:divBdr>
        <w:top w:val="none" w:sz="0" w:space="0" w:color="auto"/>
        <w:left w:val="none" w:sz="0" w:space="0" w:color="auto"/>
        <w:bottom w:val="none" w:sz="0" w:space="0" w:color="auto"/>
        <w:right w:val="none" w:sz="0" w:space="0" w:color="auto"/>
      </w:divBdr>
      <w:divsChild>
        <w:div w:id="1782650589">
          <w:marLeft w:val="547"/>
          <w:marRight w:val="0"/>
          <w:marTop w:val="0"/>
          <w:marBottom w:val="0"/>
          <w:divBdr>
            <w:top w:val="none" w:sz="0" w:space="0" w:color="auto"/>
            <w:left w:val="none" w:sz="0" w:space="0" w:color="auto"/>
            <w:bottom w:val="none" w:sz="0" w:space="0" w:color="auto"/>
            <w:right w:val="none" w:sz="0" w:space="0" w:color="auto"/>
          </w:divBdr>
        </w:div>
      </w:divsChild>
    </w:div>
    <w:div w:id="937062738">
      <w:bodyDiv w:val="1"/>
      <w:marLeft w:val="0"/>
      <w:marRight w:val="0"/>
      <w:marTop w:val="0"/>
      <w:marBottom w:val="0"/>
      <w:divBdr>
        <w:top w:val="none" w:sz="0" w:space="0" w:color="auto"/>
        <w:left w:val="none" w:sz="0" w:space="0" w:color="auto"/>
        <w:bottom w:val="none" w:sz="0" w:space="0" w:color="auto"/>
        <w:right w:val="none" w:sz="0" w:space="0" w:color="auto"/>
      </w:divBdr>
    </w:div>
    <w:div w:id="974990788">
      <w:bodyDiv w:val="1"/>
      <w:marLeft w:val="0"/>
      <w:marRight w:val="0"/>
      <w:marTop w:val="0"/>
      <w:marBottom w:val="0"/>
      <w:divBdr>
        <w:top w:val="none" w:sz="0" w:space="0" w:color="auto"/>
        <w:left w:val="none" w:sz="0" w:space="0" w:color="auto"/>
        <w:bottom w:val="none" w:sz="0" w:space="0" w:color="auto"/>
        <w:right w:val="none" w:sz="0" w:space="0" w:color="auto"/>
      </w:divBdr>
    </w:div>
    <w:div w:id="1059864932">
      <w:bodyDiv w:val="1"/>
      <w:marLeft w:val="0"/>
      <w:marRight w:val="0"/>
      <w:marTop w:val="0"/>
      <w:marBottom w:val="0"/>
      <w:divBdr>
        <w:top w:val="none" w:sz="0" w:space="0" w:color="auto"/>
        <w:left w:val="none" w:sz="0" w:space="0" w:color="auto"/>
        <w:bottom w:val="none" w:sz="0" w:space="0" w:color="auto"/>
        <w:right w:val="none" w:sz="0" w:space="0" w:color="auto"/>
      </w:divBdr>
      <w:divsChild>
        <w:div w:id="457066603">
          <w:marLeft w:val="0"/>
          <w:marRight w:val="0"/>
          <w:marTop w:val="0"/>
          <w:marBottom w:val="0"/>
          <w:divBdr>
            <w:top w:val="none" w:sz="0" w:space="0" w:color="auto"/>
            <w:left w:val="none" w:sz="0" w:space="0" w:color="auto"/>
            <w:bottom w:val="none" w:sz="0" w:space="0" w:color="auto"/>
            <w:right w:val="none" w:sz="0" w:space="0" w:color="auto"/>
          </w:divBdr>
        </w:div>
        <w:div w:id="550269624">
          <w:marLeft w:val="0"/>
          <w:marRight w:val="0"/>
          <w:marTop w:val="0"/>
          <w:marBottom w:val="0"/>
          <w:divBdr>
            <w:top w:val="none" w:sz="0" w:space="0" w:color="auto"/>
            <w:left w:val="none" w:sz="0" w:space="0" w:color="auto"/>
            <w:bottom w:val="none" w:sz="0" w:space="0" w:color="auto"/>
            <w:right w:val="none" w:sz="0" w:space="0" w:color="auto"/>
          </w:divBdr>
        </w:div>
      </w:divsChild>
    </w:div>
    <w:div w:id="1152404309">
      <w:bodyDiv w:val="1"/>
      <w:marLeft w:val="0"/>
      <w:marRight w:val="0"/>
      <w:marTop w:val="0"/>
      <w:marBottom w:val="0"/>
      <w:divBdr>
        <w:top w:val="none" w:sz="0" w:space="0" w:color="auto"/>
        <w:left w:val="none" w:sz="0" w:space="0" w:color="auto"/>
        <w:bottom w:val="none" w:sz="0" w:space="0" w:color="auto"/>
        <w:right w:val="none" w:sz="0" w:space="0" w:color="auto"/>
      </w:divBdr>
    </w:div>
    <w:div w:id="1214537049">
      <w:bodyDiv w:val="1"/>
      <w:marLeft w:val="0"/>
      <w:marRight w:val="0"/>
      <w:marTop w:val="0"/>
      <w:marBottom w:val="0"/>
      <w:divBdr>
        <w:top w:val="none" w:sz="0" w:space="0" w:color="auto"/>
        <w:left w:val="none" w:sz="0" w:space="0" w:color="auto"/>
        <w:bottom w:val="none" w:sz="0" w:space="0" w:color="auto"/>
        <w:right w:val="none" w:sz="0" w:space="0" w:color="auto"/>
      </w:divBdr>
    </w:div>
    <w:div w:id="1399941654">
      <w:bodyDiv w:val="1"/>
      <w:marLeft w:val="0"/>
      <w:marRight w:val="0"/>
      <w:marTop w:val="0"/>
      <w:marBottom w:val="0"/>
      <w:divBdr>
        <w:top w:val="none" w:sz="0" w:space="0" w:color="auto"/>
        <w:left w:val="none" w:sz="0" w:space="0" w:color="auto"/>
        <w:bottom w:val="none" w:sz="0" w:space="0" w:color="auto"/>
        <w:right w:val="none" w:sz="0" w:space="0" w:color="auto"/>
      </w:divBdr>
    </w:div>
    <w:div w:id="1638412688">
      <w:bodyDiv w:val="1"/>
      <w:marLeft w:val="0"/>
      <w:marRight w:val="0"/>
      <w:marTop w:val="0"/>
      <w:marBottom w:val="0"/>
      <w:divBdr>
        <w:top w:val="none" w:sz="0" w:space="0" w:color="auto"/>
        <w:left w:val="none" w:sz="0" w:space="0" w:color="auto"/>
        <w:bottom w:val="none" w:sz="0" w:space="0" w:color="auto"/>
        <w:right w:val="none" w:sz="0" w:space="0" w:color="auto"/>
      </w:divBdr>
    </w:div>
    <w:div w:id="1713536904">
      <w:bodyDiv w:val="1"/>
      <w:marLeft w:val="0"/>
      <w:marRight w:val="0"/>
      <w:marTop w:val="0"/>
      <w:marBottom w:val="0"/>
      <w:divBdr>
        <w:top w:val="none" w:sz="0" w:space="0" w:color="auto"/>
        <w:left w:val="none" w:sz="0" w:space="0" w:color="auto"/>
        <w:bottom w:val="none" w:sz="0" w:space="0" w:color="auto"/>
        <w:right w:val="none" w:sz="0" w:space="0" w:color="auto"/>
      </w:divBdr>
    </w:div>
    <w:div w:id="1894581697">
      <w:bodyDiv w:val="1"/>
      <w:marLeft w:val="0"/>
      <w:marRight w:val="0"/>
      <w:marTop w:val="0"/>
      <w:marBottom w:val="0"/>
      <w:divBdr>
        <w:top w:val="none" w:sz="0" w:space="0" w:color="auto"/>
        <w:left w:val="none" w:sz="0" w:space="0" w:color="auto"/>
        <w:bottom w:val="none" w:sz="0" w:space="0" w:color="auto"/>
        <w:right w:val="none" w:sz="0" w:space="0" w:color="auto"/>
      </w:divBdr>
    </w:div>
    <w:div w:id="1917399996">
      <w:bodyDiv w:val="1"/>
      <w:marLeft w:val="0"/>
      <w:marRight w:val="0"/>
      <w:marTop w:val="0"/>
      <w:marBottom w:val="0"/>
      <w:divBdr>
        <w:top w:val="none" w:sz="0" w:space="0" w:color="auto"/>
        <w:left w:val="none" w:sz="0" w:space="0" w:color="auto"/>
        <w:bottom w:val="none" w:sz="0" w:space="0" w:color="auto"/>
        <w:right w:val="none" w:sz="0" w:space="0" w:color="auto"/>
      </w:divBdr>
      <w:divsChild>
        <w:div w:id="1450857851">
          <w:marLeft w:val="547"/>
          <w:marRight w:val="0"/>
          <w:marTop w:val="0"/>
          <w:marBottom w:val="0"/>
          <w:divBdr>
            <w:top w:val="none" w:sz="0" w:space="0" w:color="auto"/>
            <w:left w:val="none" w:sz="0" w:space="0" w:color="auto"/>
            <w:bottom w:val="none" w:sz="0" w:space="0" w:color="auto"/>
            <w:right w:val="none" w:sz="0" w:space="0" w:color="auto"/>
          </w:divBdr>
        </w:div>
        <w:div w:id="2043481066">
          <w:marLeft w:val="547"/>
          <w:marRight w:val="0"/>
          <w:marTop w:val="0"/>
          <w:marBottom w:val="0"/>
          <w:divBdr>
            <w:top w:val="none" w:sz="0" w:space="0" w:color="auto"/>
            <w:left w:val="none" w:sz="0" w:space="0" w:color="auto"/>
            <w:bottom w:val="none" w:sz="0" w:space="0" w:color="auto"/>
            <w:right w:val="none" w:sz="0" w:space="0" w:color="auto"/>
          </w:divBdr>
        </w:div>
      </w:divsChild>
    </w:div>
    <w:div w:id="2038961857">
      <w:bodyDiv w:val="1"/>
      <w:marLeft w:val="0"/>
      <w:marRight w:val="0"/>
      <w:marTop w:val="0"/>
      <w:marBottom w:val="0"/>
      <w:divBdr>
        <w:top w:val="none" w:sz="0" w:space="0" w:color="auto"/>
        <w:left w:val="none" w:sz="0" w:space="0" w:color="auto"/>
        <w:bottom w:val="none" w:sz="0" w:space="0" w:color="auto"/>
        <w:right w:val="none" w:sz="0" w:space="0" w:color="auto"/>
      </w:divBdr>
    </w:div>
    <w:div w:id="2048675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diagramLayout" Target="diagrams/layout1.xml"/><Relationship Id="rId26" Type="http://schemas.openxmlformats.org/officeDocument/2006/relationships/hyperlink" Target="mailto:Agnese.veisberga@iem.gov.lv" TargetMode="Externa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Data" Target="diagrams/data1.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likumi.lv/ta/id/270934-attistibas-planosanas-dokumentu-izstrades-un-ietekmes-izvertesanas-noteikumi"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ikumi.lv/ta/id/270934-attistibas-planosanas-dokumentu-izstrades-un-ietekmes-izvertesanas-noteikumi" TargetMode="External"/><Relationship Id="rId22" Type="http://schemas.openxmlformats.org/officeDocument/2006/relationships/chart" Target="charts/chart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LV/TXT/?uri=LEGISSUM%3A231001_1" TargetMode="External"/><Relationship Id="rId3" Type="http://schemas.openxmlformats.org/officeDocument/2006/relationships/hyperlink" Target="https://citoolkit.com/articles/traffic-light-assessment/" TargetMode="External"/><Relationship Id="rId7" Type="http://schemas.openxmlformats.org/officeDocument/2006/relationships/hyperlink" Target="https://www.psychiatry.org/psychiatrists/practice/dsm" TargetMode="External"/><Relationship Id="rId2" Type="http://schemas.openxmlformats.org/officeDocument/2006/relationships/hyperlink" Target="https://www.emcdda.europa.eu/publications/manuals/evaluating-drug-policy_en" TargetMode="External"/><Relationship Id="rId1" Type="http://schemas.openxmlformats.org/officeDocument/2006/relationships/hyperlink" Target="http://tap.mk.gov.lv/lv/mk/tap/?pid=40498718" TargetMode="External"/><Relationship Id="rId6" Type="http://schemas.openxmlformats.org/officeDocument/2006/relationships/hyperlink" Target="https://www.divaportal.org/smash/get/diva2:415265/FULLTEXT02" TargetMode="External"/><Relationship Id="rId5" Type="http://schemas.openxmlformats.org/officeDocument/2006/relationships/hyperlink" Target="https://www.ncbi.nlm.nih.gov/pmc/articles/PMC3202501/" TargetMode="External"/><Relationship Id="rId4" Type="http://schemas.openxmlformats.org/officeDocument/2006/relationships/hyperlink" Target="https://www.lwl-fred.de/de/" TargetMode="External"/><Relationship Id="rId9" Type="http://schemas.openxmlformats.org/officeDocument/2006/relationships/hyperlink" Target="https://www.emcdda.europa.eu/news/2021/council-approves-eu-drugs-action-plan-2021-2025_en"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Sheet1!$C$2</c:f>
              <c:strCache>
                <c:ptCount val="1"/>
                <c:pt idx="0">
                  <c:v>Izpildīts</c:v>
                </c:pt>
              </c:strCache>
            </c:strRef>
          </c:tx>
          <c:spPr>
            <a:solidFill>
              <a:srgbClr val="00B050"/>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Sheet1!$B$3:$B$5</c:f>
              <c:strCache>
                <c:ptCount val="3"/>
                <c:pt idx="0">
                  <c:v>3. Politikas koordinācija, informācija, pētniecība, uzraudzība un izvērtēšana</c:v>
                </c:pt>
                <c:pt idx="1">
                  <c:v>2. Piedāvājuma un pieejamības samazināšana</c:v>
                </c:pt>
                <c:pt idx="2">
                  <c:v>1. Pieprasījuma samazināšana</c:v>
                </c:pt>
              </c:strCache>
            </c:strRef>
          </c:cat>
          <c:val>
            <c:numRef>
              <c:f>Sheet1!$C$3:$C$5</c:f>
              <c:numCache>
                <c:formatCode>General</c:formatCode>
                <c:ptCount val="3"/>
                <c:pt idx="0">
                  <c:v>3</c:v>
                </c:pt>
                <c:pt idx="1">
                  <c:v>6</c:v>
                </c:pt>
                <c:pt idx="2">
                  <c:v>8</c:v>
                </c:pt>
              </c:numCache>
            </c:numRef>
          </c:val>
          <c:extLst>
            <c:ext xmlns:c16="http://schemas.microsoft.com/office/drawing/2014/chart" uri="{C3380CC4-5D6E-409C-BE32-E72D297353CC}">
              <c16:uniqueId val="{00000000-7965-470B-8F30-33F534FC1834}"/>
            </c:ext>
          </c:extLst>
        </c:ser>
        <c:ser>
          <c:idx val="1"/>
          <c:order val="1"/>
          <c:tx>
            <c:strRef>
              <c:f>Sheet1!$D$2</c:f>
              <c:strCache>
                <c:ptCount val="1"/>
                <c:pt idx="0">
                  <c:v>Procesā/ daļēji izpildīts</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Sheet1!$B$3:$B$5</c:f>
              <c:strCache>
                <c:ptCount val="3"/>
                <c:pt idx="0">
                  <c:v>3. Politikas koordinācija, informācija, pētniecība, uzraudzība un izvērtēšana</c:v>
                </c:pt>
                <c:pt idx="1">
                  <c:v>2. Piedāvājuma un pieejamības samazināšana</c:v>
                </c:pt>
                <c:pt idx="2">
                  <c:v>1. Pieprasījuma samazināšana</c:v>
                </c:pt>
              </c:strCache>
            </c:strRef>
          </c:cat>
          <c:val>
            <c:numRef>
              <c:f>Sheet1!$D$3:$D$5</c:f>
              <c:numCache>
                <c:formatCode>General</c:formatCode>
                <c:ptCount val="3"/>
                <c:pt idx="1">
                  <c:v>1</c:v>
                </c:pt>
                <c:pt idx="2">
                  <c:v>4</c:v>
                </c:pt>
              </c:numCache>
            </c:numRef>
          </c:val>
          <c:extLst>
            <c:ext xmlns:c16="http://schemas.microsoft.com/office/drawing/2014/chart" uri="{C3380CC4-5D6E-409C-BE32-E72D297353CC}">
              <c16:uniqueId val="{00000001-7965-470B-8F30-33F534FC1834}"/>
            </c:ext>
          </c:extLst>
        </c:ser>
        <c:ser>
          <c:idx val="2"/>
          <c:order val="2"/>
          <c:tx>
            <c:strRef>
              <c:f>Sheet1!$E$2</c:f>
              <c:strCache>
                <c:ptCount val="1"/>
                <c:pt idx="0">
                  <c:v>Nav izpildīts</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Sheet1!$B$3:$B$5</c:f>
              <c:strCache>
                <c:ptCount val="3"/>
                <c:pt idx="0">
                  <c:v>3. Politikas koordinācija, informācija, pētniecība, uzraudzība un izvērtēšana</c:v>
                </c:pt>
                <c:pt idx="1">
                  <c:v>2. Piedāvājuma un pieejamības samazināšana</c:v>
                </c:pt>
                <c:pt idx="2">
                  <c:v>1. Pieprasījuma samazināšana</c:v>
                </c:pt>
              </c:strCache>
            </c:strRef>
          </c:cat>
          <c:val>
            <c:numRef>
              <c:f>Sheet1!$E$3:$E$5</c:f>
              <c:numCache>
                <c:formatCode>General</c:formatCode>
                <c:ptCount val="3"/>
                <c:pt idx="0">
                  <c:v>5</c:v>
                </c:pt>
                <c:pt idx="1">
                  <c:v>2</c:v>
                </c:pt>
                <c:pt idx="2">
                  <c:v>4</c:v>
                </c:pt>
              </c:numCache>
            </c:numRef>
          </c:val>
          <c:extLst>
            <c:ext xmlns:c16="http://schemas.microsoft.com/office/drawing/2014/chart" uri="{C3380CC4-5D6E-409C-BE32-E72D297353CC}">
              <c16:uniqueId val="{00000002-7965-470B-8F30-33F534FC1834}"/>
            </c:ext>
          </c:extLst>
        </c:ser>
        <c:dLbls>
          <c:showLegendKey val="0"/>
          <c:showVal val="0"/>
          <c:showCatName val="0"/>
          <c:showSerName val="0"/>
          <c:showPercent val="0"/>
          <c:showBubbleSize val="0"/>
        </c:dLbls>
        <c:gapWidth val="150"/>
        <c:overlap val="100"/>
        <c:axId val="773656704"/>
        <c:axId val="773657536"/>
      </c:barChart>
      <c:catAx>
        <c:axId val="773656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73657536"/>
        <c:crosses val="autoZero"/>
        <c:auto val="1"/>
        <c:lblAlgn val="ctr"/>
        <c:lblOffset val="100"/>
        <c:noMultiLvlLbl val="0"/>
      </c:catAx>
      <c:valAx>
        <c:axId val="7736575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736567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0FCB9C-AEBD-4544-86AC-A79E9DBA0632}" type="doc">
      <dgm:prSet loTypeId="urn:microsoft.com/office/officeart/2005/8/layout/hierarchy5" loCatId="hierarchy" qsTypeId="urn:microsoft.com/office/officeart/2005/8/quickstyle/simple1" qsCatId="simple" csTypeId="urn:microsoft.com/office/officeart/2005/8/colors/accent1_2" csCatId="accent1" phldr="1"/>
      <dgm:spPr/>
      <dgm:t>
        <a:bodyPr/>
        <a:lstStyle/>
        <a:p>
          <a:endParaRPr lang="en-US"/>
        </a:p>
      </dgm:t>
    </dgm:pt>
    <dgm:pt modelId="{C2A8DAF8-428E-4A9D-875E-99B42A2D6DF7}">
      <dgm:prSet phldrT="[Text]" custT="1">
        <dgm:style>
          <a:lnRef idx="2">
            <a:schemeClr val="accent3"/>
          </a:lnRef>
          <a:fillRef idx="1">
            <a:schemeClr val="lt1"/>
          </a:fillRef>
          <a:effectRef idx="0">
            <a:schemeClr val="accent3"/>
          </a:effectRef>
          <a:fontRef idx="minor">
            <a:schemeClr val="dk1"/>
          </a:fontRef>
        </dgm:style>
      </dgm:prSet>
      <dgm:spPr/>
      <dgm:t>
        <a:bodyPr/>
        <a:lstStyle/>
        <a:p>
          <a:r>
            <a:rPr lang="lv-LV" sz="800" b="1"/>
            <a:t>Narkotiku lietošanas un izplatības ierobežošanas plāns</a:t>
          </a:r>
          <a:endParaRPr lang="en-US" sz="800" b="1"/>
        </a:p>
      </dgm:t>
    </dgm:pt>
    <dgm:pt modelId="{0E952DBA-E7FF-4DAB-BE96-0B662C1AA145}" type="parTrans" cxnId="{D9639649-4F0C-4FF2-9F93-07834053B429}">
      <dgm:prSet/>
      <dgm:spPr/>
      <dgm:t>
        <a:bodyPr/>
        <a:lstStyle/>
        <a:p>
          <a:endParaRPr lang="en-US"/>
        </a:p>
      </dgm:t>
    </dgm:pt>
    <dgm:pt modelId="{62CCC250-EFAF-4B1F-BD26-72E4804CDCEF}" type="sibTrans" cxnId="{D9639649-4F0C-4FF2-9F93-07834053B429}">
      <dgm:prSet/>
      <dgm:spPr/>
      <dgm:t>
        <a:bodyPr/>
        <a:lstStyle/>
        <a:p>
          <a:endParaRPr lang="en-US"/>
        </a:p>
      </dgm:t>
    </dgm:pt>
    <dgm:pt modelId="{EA5FC22D-EB79-4E11-BF3A-D4912A3067CE}">
      <dgm:prSet phldrT="[Text]" custT="1">
        <dgm:style>
          <a:lnRef idx="2">
            <a:schemeClr val="accent3"/>
          </a:lnRef>
          <a:fillRef idx="1">
            <a:schemeClr val="lt1"/>
          </a:fillRef>
          <a:effectRef idx="0">
            <a:schemeClr val="accent3"/>
          </a:effectRef>
          <a:fontRef idx="minor">
            <a:schemeClr val="dk1"/>
          </a:fontRef>
        </dgm:style>
      </dgm:prSet>
      <dgm:spPr/>
      <dgm:t>
        <a:bodyPr/>
        <a:lstStyle/>
        <a:p>
          <a:r>
            <a:rPr lang="lv-LV" sz="800" b="1"/>
            <a:t>1. rīcības virziens</a:t>
          </a:r>
        </a:p>
        <a:p>
          <a:r>
            <a:rPr lang="lv-LV" sz="800"/>
            <a:t>Veicināt narkotiku pieprasījuma intervenču (profilakses, ārstniecības un kaitējuma mazināšanas) pieejamību un kvalitāti</a:t>
          </a:r>
          <a:endParaRPr lang="en-US" sz="800"/>
        </a:p>
      </dgm:t>
    </dgm:pt>
    <dgm:pt modelId="{33832593-D38A-46E4-8A19-A624CCC6BD70}" type="parTrans" cxnId="{FD0D5B0A-6582-490E-94B0-A8F0F2380F1B}">
      <dgm:prSet custT="1">
        <dgm:style>
          <a:lnRef idx="2">
            <a:schemeClr val="accent3"/>
          </a:lnRef>
          <a:fillRef idx="1">
            <a:schemeClr val="lt1"/>
          </a:fillRef>
          <a:effectRef idx="0">
            <a:schemeClr val="accent3"/>
          </a:effectRef>
          <a:fontRef idx="minor">
            <a:schemeClr val="dk1"/>
          </a:fontRef>
        </dgm:style>
      </dgm:prSet>
      <dgm:spPr/>
      <dgm:t>
        <a:bodyPr/>
        <a:lstStyle/>
        <a:p>
          <a:endParaRPr lang="en-US" sz="800"/>
        </a:p>
      </dgm:t>
    </dgm:pt>
    <dgm:pt modelId="{4F962427-5EF7-41F2-8245-BCD1F4CA0F3D}" type="sibTrans" cxnId="{FD0D5B0A-6582-490E-94B0-A8F0F2380F1B}">
      <dgm:prSet/>
      <dgm:spPr/>
      <dgm:t>
        <a:bodyPr/>
        <a:lstStyle/>
        <a:p>
          <a:endParaRPr lang="en-US"/>
        </a:p>
      </dgm:t>
    </dgm:pt>
    <dgm:pt modelId="{13747F59-6D65-44EA-A11C-59365ED046E3}">
      <dgm:prSet phldrT="[Text]" custT="1">
        <dgm:style>
          <a:lnRef idx="2">
            <a:schemeClr val="accent3"/>
          </a:lnRef>
          <a:fillRef idx="1">
            <a:schemeClr val="lt1"/>
          </a:fillRef>
          <a:effectRef idx="0">
            <a:schemeClr val="accent3"/>
          </a:effectRef>
          <a:fontRef idx="minor">
            <a:schemeClr val="dk1"/>
          </a:fontRef>
        </dgm:style>
      </dgm:prSet>
      <dgm:spPr/>
      <dgm:t>
        <a:bodyPr/>
        <a:lstStyle/>
        <a:p>
          <a:r>
            <a:rPr lang="lv-LV" sz="800" b="1"/>
            <a:t>2. rīcības virziens</a:t>
          </a:r>
        </a:p>
        <a:p>
          <a:r>
            <a:rPr lang="lv-LV" sz="800"/>
            <a:t>Samazināt narkotiku piedāvājumu un pieejamību;</a:t>
          </a:r>
          <a:endParaRPr lang="en-US" sz="800"/>
        </a:p>
      </dgm:t>
    </dgm:pt>
    <dgm:pt modelId="{0CCB0351-BF4B-4F8C-841A-69C99749E78F}" type="parTrans" cxnId="{F86E7FE7-A187-4EF8-8832-5948F14CB332}">
      <dgm:prSet custT="1">
        <dgm:style>
          <a:lnRef idx="2">
            <a:schemeClr val="accent3"/>
          </a:lnRef>
          <a:fillRef idx="1">
            <a:schemeClr val="lt1"/>
          </a:fillRef>
          <a:effectRef idx="0">
            <a:schemeClr val="accent3"/>
          </a:effectRef>
          <a:fontRef idx="minor">
            <a:schemeClr val="dk1"/>
          </a:fontRef>
        </dgm:style>
      </dgm:prSet>
      <dgm:spPr/>
      <dgm:t>
        <a:bodyPr/>
        <a:lstStyle/>
        <a:p>
          <a:endParaRPr lang="en-US" sz="800"/>
        </a:p>
      </dgm:t>
    </dgm:pt>
    <dgm:pt modelId="{A27C2916-37E7-44F5-B2C5-2CDAEA9EEEA9}" type="sibTrans" cxnId="{F86E7FE7-A187-4EF8-8832-5948F14CB332}">
      <dgm:prSet/>
      <dgm:spPr/>
      <dgm:t>
        <a:bodyPr/>
        <a:lstStyle/>
        <a:p>
          <a:endParaRPr lang="en-US"/>
        </a:p>
      </dgm:t>
    </dgm:pt>
    <dgm:pt modelId="{6D3BBB0A-34D7-44DF-8193-18E8E65DB205}">
      <dgm:prSet phldrT="[Text]" custT="1">
        <dgm:style>
          <a:lnRef idx="2">
            <a:schemeClr val="accent3"/>
          </a:lnRef>
          <a:fillRef idx="1">
            <a:schemeClr val="lt1"/>
          </a:fillRef>
          <a:effectRef idx="0">
            <a:schemeClr val="accent3"/>
          </a:effectRef>
          <a:fontRef idx="minor">
            <a:schemeClr val="dk1"/>
          </a:fontRef>
        </dgm:style>
      </dgm:prSet>
      <dgm:spPr/>
      <dgm:t>
        <a:bodyPr/>
        <a:lstStyle/>
        <a:p>
          <a:r>
            <a:rPr lang="lv-LV" sz="800" b="1"/>
            <a:t>3. rīcības virziens</a:t>
          </a:r>
        </a:p>
        <a:p>
          <a:r>
            <a:rPr lang="lv-LV" sz="800"/>
            <a:t>Veicināt efektīvu politikas koordināciju un veicināt labāku politikas pārraudzību, nepieciešamo datu iegūšanu, pētniecību, izvērtēšanu.</a:t>
          </a:r>
          <a:endParaRPr lang="en-US" sz="800"/>
        </a:p>
      </dgm:t>
    </dgm:pt>
    <dgm:pt modelId="{8F3DDE98-1158-4182-A7E3-47F2CB632900}" type="parTrans" cxnId="{E1875025-5D9D-4B2A-9FEC-0B755250F960}">
      <dgm:prSet custT="1">
        <dgm:style>
          <a:lnRef idx="2">
            <a:schemeClr val="accent3"/>
          </a:lnRef>
          <a:fillRef idx="1">
            <a:schemeClr val="lt1"/>
          </a:fillRef>
          <a:effectRef idx="0">
            <a:schemeClr val="accent3"/>
          </a:effectRef>
          <a:fontRef idx="minor">
            <a:schemeClr val="dk1"/>
          </a:fontRef>
        </dgm:style>
      </dgm:prSet>
      <dgm:spPr/>
      <dgm:t>
        <a:bodyPr/>
        <a:lstStyle/>
        <a:p>
          <a:endParaRPr lang="en-US" sz="800"/>
        </a:p>
      </dgm:t>
    </dgm:pt>
    <dgm:pt modelId="{1583DB51-F630-495D-A04F-2BDBAF50DB11}" type="sibTrans" cxnId="{E1875025-5D9D-4B2A-9FEC-0B755250F960}">
      <dgm:prSet/>
      <dgm:spPr/>
      <dgm:t>
        <a:bodyPr/>
        <a:lstStyle/>
        <a:p>
          <a:endParaRPr lang="en-US"/>
        </a:p>
      </dgm:t>
    </dgm:pt>
    <dgm:pt modelId="{7646EB93-6D9B-495C-8950-E2CE8763E744}">
      <dgm:prSet custT="1">
        <dgm:style>
          <a:lnRef idx="2">
            <a:schemeClr val="accent3"/>
          </a:lnRef>
          <a:fillRef idx="1">
            <a:schemeClr val="lt1"/>
          </a:fillRef>
          <a:effectRef idx="0">
            <a:schemeClr val="accent3"/>
          </a:effectRef>
          <a:fontRef idx="minor">
            <a:schemeClr val="dk1"/>
          </a:fontRef>
        </dgm:style>
      </dgm:prSet>
      <dgm:spPr/>
      <dgm:t>
        <a:bodyPr/>
        <a:lstStyle/>
        <a:p>
          <a:r>
            <a:rPr lang="lv-LV" sz="800" b="1"/>
            <a:t>16 pasākumi</a:t>
          </a:r>
          <a:r>
            <a:rPr lang="lv-LV" sz="800"/>
            <a:t>, ieskaitot apakšpasākumus</a:t>
          </a:r>
          <a:endParaRPr lang="en-US" sz="800"/>
        </a:p>
      </dgm:t>
    </dgm:pt>
    <dgm:pt modelId="{DD7B192A-3B25-4C2C-913E-BC63352BA9D5}" type="parTrans" cxnId="{2E104F09-D1F4-4FC3-8428-0F14BD38A061}">
      <dgm:prSet custT="1">
        <dgm:style>
          <a:lnRef idx="2">
            <a:schemeClr val="accent3"/>
          </a:lnRef>
          <a:fillRef idx="1">
            <a:schemeClr val="lt1"/>
          </a:fillRef>
          <a:effectRef idx="0">
            <a:schemeClr val="accent3"/>
          </a:effectRef>
          <a:fontRef idx="minor">
            <a:schemeClr val="dk1"/>
          </a:fontRef>
        </dgm:style>
      </dgm:prSet>
      <dgm:spPr/>
      <dgm:t>
        <a:bodyPr/>
        <a:lstStyle/>
        <a:p>
          <a:endParaRPr lang="en-US" sz="800"/>
        </a:p>
      </dgm:t>
    </dgm:pt>
    <dgm:pt modelId="{836E01A8-375C-463C-8CEB-F08926BC19FB}" type="sibTrans" cxnId="{2E104F09-D1F4-4FC3-8428-0F14BD38A061}">
      <dgm:prSet/>
      <dgm:spPr/>
      <dgm:t>
        <a:bodyPr/>
        <a:lstStyle/>
        <a:p>
          <a:endParaRPr lang="en-US"/>
        </a:p>
      </dgm:t>
    </dgm:pt>
    <dgm:pt modelId="{E9BDCC95-1074-4E41-ABC3-5FCC0651E221}">
      <dgm:prSet custT="1">
        <dgm:style>
          <a:lnRef idx="2">
            <a:schemeClr val="accent3"/>
          </a:lnRef>
          <a:fillRef idx="1">
            <a:schemeClr val="lt1"/>
          </a:fillRef>
          <a:effectRef idx="0">
            <a:schemeClr val="accent3"/>
          </a:effectRef>
          <a:fontRef idx="minor">
            <a:schemeClr val="dk1"/>
          </a:fontRef>
        </dgm:style>
      </dgm:prSet>
      <dgm:spPr/>
      <dgm:t>
        <a:bodyPr/>
        <a:lstStyle/>
        <a:p>
          <a:r>
            <a:rPr lang="lv-LV" sz="800" b="1"/>
            <a:t>9 pasākumi</a:t>
          </a:r>
          <a:r>
            <a:rPr lang="lv-LV" sz="800"/>
            <a:t>, ieskaitot apakšpasākumus</a:t>
          </a:r>
          <a:endParaRPr lang="en-US" sz="800"/>
        </a:p>
      </dgm:t>
    </dgm:pt>
    <dgm:pt modelId="{99E88EC7-A022-4F27-AF3B-4844B23B12E5}" type="parTrans" cxnId="{8507E868-0905-47C5-BAD0-EFA0150FCADB}">
      <dgm:prSet custT="1">
        <dgm:style>
          <a:lnRef idx="2">
            <a:schemeClr val="accent3"/>
          </a:lnRef>
          <a:fillRef idx="1">
            <a:schemeClr val="lt1"/>
          </a:fillRef>
          <a:effectRef idx="0">
            <a:schemeClr val="accent3"/>
          </a:effectRef>
          <a:fontRef idx="minor">
            <a:schemeClr val="dk1"/>
          </a:fontRef>
        </dgm:style>
      </dgm:prSet>
      <dgm:spPr/>
      <dgm:t>
        <a:bodyPr/>
        <a:lstStyle/>
        <a:p>
          <a:endParaRPr lang="en-US" sz="800"/>
        </a:p>
      </dgm:t>
    </dgm:pt>
    <dgm:pt modelId="{22BA9E86-4E1A-436E-897E-9D43FF385642}" type="sibTrans" cxnId="{8507E868-0905-47C5-BAD0-EFA0150FCADB}">
      <dgm:prSet/>
      <dgm:spPr/>
      <dgm:t>
        <a:bodyPr/>
        <a:lstStyle/>
        <a:p>
          <a:endParaRPr lang="en-US"/>
        </a:p>
      </dgm:t>
    </dgm:pt>
    <dgm:pt modelId="{C9114321-39AA-4B86-9E2F-D7710B82413C}">
      <dgm:prSet custT="1">
        <dgm:style>
          <a:lnRef idx="2">
            <a:schemeClr val="accent3"/>
          </a:lnRef>
          <a:fillRef idx="1">
            <a:schemeClr val="lt1"/>
          </a:fillRef>
          <a:effectRef idx="0">
            <a:schemeClr val="accent3"/>
          </a:effectRef>
          <a:fontRef idx="minor">
            <a:schemeClr val="dk1"/>
          </a:fontRef>
        </dgm:style>
      </dgm:prSet>
      <dgm:spPr/>
      <dgm:t>
        <a:bodyPr/>
        <a:lstStyle/>
        <a:p>
          <a:r>
            <a:rPr lang="lv-LV" sz="800" b="1"/>
            <a:t> 8 pasākumi</a:t>
          </a:r>
          <a:r>
            <a:rPr lang="lv-LV" sz="800"/>
            <a:t>, ieskaitot apakšpasākumus</a:t>
          </a:r>
          <a:endParaRPr lang="en-US" sz="800"/>
        </a:p>
      </dgm:t>
    </dgm:pt>
    <dgm:pt modelId="{D345C8BA-05CD-4710-B5AD-30B49BDB0BDD}" type="parTrans" cxnId="{0BD9DD4F-434B-457A-A131-D609E4A8A4CD}">
      <dgm:prSet custT="1">
        <dgm:style>
          <a:lnRef idx="2">
            <a:schemeClr val="accent3"/>
          </a:lnRef>
          <a:fillRef idx="1">
            <a:schemeClr val="lt1"/>
          </a:fillRef>
          <a:effectRef idx="0">
            <a:schemeClr val="accent3"/>
          </a:effectRef>
          <a:fontRef idx="minor">
            <a:schemeClr val="dk1"/>
          </a:fontRef>
        </dgm:style>
      </dgm:prSet>
      <dgm:spPr/>
      <dgm:t>
        <a:bodyPr/>
        <a:lstStyle/>
        <a:p>
          <a:endParaRPr lang="en-US" sz="800"/>
        </a:p>
      </dgm:t>
    </dgm:pt>
    <dgm:pt modelId="{80AD10D5-9C76-49FC-9C56-707F16C8CCFC}" type="sibTrans" cxnId="{0BD9DD4F-434B-457A-A131-D609E4A8A4CD}">
      <dgm:prSet/>
      <dgm:spPr/>
      <dgm:t>
        <a:bodyPr/>
        <a:lstStyle/>
        <a:p>
          <a:endParaRPr lang="en-US"/>
        </a:p>
      </dgm:t>
    </dgm:pt>
    <dgm:pt modelId="{A61BF5C8-74C2-43CE-A7CA-CDAFE8A9CA62}" type="pres">
      <dgm:prSet presAssocID="{310FCB9C-AEBD-4544-86AC-A79E9DBA0632}" presName="mainComposite" presStyleCnt="0">
        <dgm:presLayoutVars>
          <dgm:chPref val="1"/>
          <dgm:dir/>
          <dgm:animOne val="branch"/>
          <dgm:animLvl val="lvl"/>
          <dgm:resizeHandles val="exact"/>
        </dgm:presLayoutVars>
      </dgm:prSet>
      <dgm:spPr/>
      <dgm:t>
        <a:bodyPr/>
        <a:lstStyle/>
        <a:p>
          <a:endParaRPr lang="en-US"/>
        </a:p>
      </dgm:t>
    </dgm:pt>
    <dgm:pt modelId="{E4A821DA-A19E-4556-BF0C-473EA22EE274}" type="pres">
      <dgm:prSet presAssocID="{310FCB9C-AEBD-4544-86AC-A79E9DBA0632}" presName="hierFlow" presStyleCnt="0"/>
      <dgm:spPr/>
    </dgm:pt>
    <dgm:pt modelId="{10778ACD-DF51-44B0-A464-338777653522}" type="pres">
      <dgm:prSet presAssocID="{310FCB9C-AEBD-4544-86AC-A79E9DBA0632}" presName="hierChild1" presStyleCnt="0">
        <dgm:presLayoutVars>
          <dgm:chPref val="1"/>
          <dgm:animOne val="branch"/>
          <dgm:animLvl val="lvl"/>
        </dgm:presLayoutVars>
      </dgm:prSet>
      <dgm:spPr/>
    </dgm:pt>
    <dgm:pt modelId="{8E2BBD5F-F26E-4DFB-AEFC-AB793A380C33}" type="pres">
      <dgm:prSet presAssocID="{C2A8DAF8-428E-4A9D-875E-99B42A2D6DF7}" presName="Name17" presStyleCnt="0"/>
      <dgm:spPr/>
    </dgm:pt>
    <dgm:pt modelId="{F6ECFF46-388C-497D-8FDF-31082EC4AA27}" type="pres">
      <dgm:prSet presAssocID="{C2A8DAF8-428E-4A9D-875E-99B42A2D6DF7}" presName="level1Shape" presStyleLbl="node0" presStyleIdx="0" presStyleCnt="1">
        <dgm:presLayoutVars>
          <dgm:chPref val="3"/>
        </dgm:presLayoutVars>
      </dgm:prSet>
      <dgm:spPr/>
      <dgm:t>
        <a:bodyPr/>
        <a:lstStyle/>
        <a:p>
          <a:endParaRPr lang="en-US"/>
        </a:p>
      </dgm:t>
    </dgm:pt>
    <dgm:pt modelId="{B544AB96-8CC5-4852-A274-696EE6F7BB75}" type="pres">
      <dgm:prSet presAssocID="{C2A8DAF8-428E-4A9D-875E-99B42A2D6DF7}" presName="hierChild2" presStyleCnt="0"/>
      <dgm:spPr/>
    </dgm:pt>
    <dgm:pt modelId="{9433FE64-1416-4F47-88A4-BAED25E42075}" type="pres">
      <dgm:prSet presAssocID="{33832593-D38A-46E4-8A19-A624CCC6BD70}" presName="Name25" presStyleLbl="parChTrans1D2" presStyleIdx="0" presStyleCnt="3"/>
      <dgm:spPr/>
      <dgm:t>
        <a:bodyPr/>
        <a:lstStyle/>
        <a:p>
          <a:endParaRPr lang="en-US"/>
        </a:p>
      </dgm:t>
    </dgm:pt>
    <dgm:pt modelId="{93AD838A-04BF-4640-BA2A-BF2D65357A82}" type="pres">
      <dgm:prSet presAssocID="{33832593-D38A-46E4-8A19-A624CCC6BD70}" presName="connTx" presStyleLbl="parChTrans1D2" presStyleIdx="0" presStyleCnt="3"/>
      <dgm:spPr/>
      <dgm:t>
        <a:bodyPr/>
        <a:lstStyle/>
        <a:p>
          <a:endParaRPr lang="en-US"/>
        </a:p>
      </dgm:t>
    </dgm:pt>
    <dgm:pt modelId="{EEA7F0F6-395D-4850-818C-459EDB987FBF}" type="pres">
      <dgm:prSet presAssocID="{EA5FC22D-EB79-4E11-BF3A-D4912A3067CE}" presName="Name30" presStyleCnt="0"/>
      <dgm:spPr/>
    </dgm:pt>
    <dgm:pt modelId="{2F01EA47-BE03-407F-BD15-3E23A7CCDEE5}" type="pres">
      <dgm:prSet presAssocID="{EA5FC22D-EB79-4E11-BF3A-D4912A3067CE}" presName="level2Shape" presStyleLbl="node2" presStyleIdx="0" presStyleCnt="3" custScaleX="134844"/>
      <dgm:spPr/>
      <dgm:t>
        <a:bodyPr/>
        <a:lstStyle/>
        <a:p>
          <a:endParaRPr lang="en-US"/>
        </a:p>
      </dgm:t>
    </dgm:pt>
    <dgm:pt modelId="{F627D49B-B11B-4877-958B-63F007789B8E}" type="pres">
      <dgm:prSet presAssocID="{EA5FC22D-EB79-4E11-BF3A-D4912A3067CE}" presName="hierChild3" presStyleCnt="0"/>
      <dgm:spPr/>
    </dgm:pt>
    <dgm:pt modelId="{84C5B55A-1FCA-4DB0-B2D8-CBB2D62CE18A}" type="pres">
      <dgm:prSet presAssocID="{DD7B192A-3B25-4C2C-913E-BC63352BA9D5}" presName="Name25" presStyleLbl="parChTrans1D3" presStyleIdx="0" presStyleCnt="3"/>
      <dgm:spPr/>
      <dgm:t>
        <a:bodyPr/>
        <a:lstStyle/>
        <a:p>
          <a:endParaRPr lang="en-US"/>
        </a:p>
      </dgm:t>
    </dgm:pt>
    <dgm:pt modelId="{C05E6D7D-E0AD-480E-9098-2D58262ED49D}" type="pres">
      <dgm:prSet presAssocID="{DD7B192A-3B25-4C2C-913E-BC63352BA9D5}" presName="connTx" presStyleLbl="parChTrans1D3" presStyleIdx="0" presStyleCnt="3"/>
      <dgm:spPr/>
      <dgm:t>
        <a:bodyPr/>
        <a:lstStyle/>
        <a:p>
          <a:endParaRPr lang="en-US"/>
        </a:p>
      </dgm:t>
    </dgm:pt>
    <dgm:pt modelId="{8664BA03-5B6C-4BAF-9AA9-38EDF21ACF80}" type="pres">
      <dgm:prSet presAssocID="{7646EB93-6D9B-495C-8950-E2CE8763E744}" presName="Name30" presStyleCnt="0"/>
      <dgm:spPr/>
    </dgm:pt>
    <dgm:pt modelId="{A7D1841B-CAE3-46B7-B15D-47B6191A0E3B}" type="pres">
      <dgm:prSet presAssocID="{7646EB93-6D9B-495C-8950-E2CE8763E744}" presName="level2Shape" presStyleLbl="node3" presStyleIdx="0" presStyleCnt="3"/>
      <dgm:spPr/>
      <dgm:t>
        <a:bodyPr/>
        <a:lstStyle/>
        <a:p>
          <a:endParaRPr lang="en-US"/>
        </a:p>
      </dgm:t>
    </dgm:pt>
    <dgm:pt modelId="{7C6BB27F-2818-4712-8EDE-2C92EF9AC31C}" type="pres">
      <dgm:prSet presAssocID="{7646EB93-6D9B-495C-8950-E2CE8763E744}" presName="hierChild3" presStyleCnt="0"/>
      <dgm:spPr/>
    </dgm:pt>
    <dgm:pt modelId="{F44458AC-266B-42B3-95DA-A449BA562CB1}" type="pres">
      <dgm:prSet presAssocID="{0CCB0351-BF4B-4F8C-841A-69C99749E78F}" presName="Name25" presStyleLbl="parChTrans1D2" presStyleIdx="1" presStyleCnt="3"/>
      <dgm:spPr/>
      <dgm:t>
        <a:bodyPr/>
        <a:lstStyle/>
        <a:p>
          <a:endParaRPr lang="en-US"/>
        </a:p>
      </dgm:t>
    </dgm:pt>
    <dgm:pt modelId="{F8686CDE-0FD1-4DEE-93EF-E37398397206}" type="pres">
      <dgm:prSet presAssocID="{0CCB0351-BF4B-4F8C-841A-69C99749E78F}" presName="connTx" presStyleLbl="parChTrans1D2" presStyleIdx="1" presStyleCnt="3"/>
      <dgm:spPr/>
      <dgm:t>
        <a:bodyPr/>
        <a:lstStyle/>
        <a:p>
          <a:endParaRPr lang="en-US"/>
        </a:p>
      </dgm:t>
    </dgm:pt>
    <dgm:pt modelId="{D95BAEE4-A4F7-49F9-9560-F345837073E8}" type="pres">
      <dgm:prSet presAssocID="{13747F59-6D65-44EA-A11C-59365ED046E3}" presName="Name30" presStyleCnt="0"/>
      <dgm:spPr/>
    </dgm:pt>
    <dgm:pt modelId="{FA5790A9-9F27-4AA8-9FBC-D75061B6320A}" type="pres">
      <dgm:prSet presAssocID="{13747F59-6D65-44EA-A11C-59365ED046E3}" presName="level2Shape" presStyleLbl="node2" presStyleIdx="1" presStyleCnt="3" custScaleX="135819"/>
      <dgm:spPr/>
      <dgm:t>
        <a:bodyPr/>
        <a:lstStyle/>
        <a:p>
          <a:endParaRPr lang="en-US"/>
        </a:p>
      </dgm:t>
    </dgm:pt>
    <dgm:pt modelId="{C2E8E2F6-FF78-449D-90BA-73A2283976A3}" type="pres">
      <dgm:prSet presAssocID="{13747F59-6D65-44EA-A11C-59365ED046E3}" presName="hierChild3" presStyleCnt="0"/>
      <dgm:spPr/>
    </dgm:pt>
    <dgm:pt modelId="{CC54A44C-8DF7-49E7-9661-F1075ECD1333}" type="pres">
      <dgm:prSet presAssocID="{99E88EC7-A022-4F27-AF3B-4844B23B12E5}" presName="Name25" presStyleLbl="parChTrans1D3" presStyleIdx="1" presStyleCnt="3"/>
      <dgm:spPr/>
      <dgm:t>
        <a:bodyPr/>
        <a:lstStyle/>
        <a:p>
          <a:endParaRPr lang="en-US"/>
        </a:p>
      </dgm:t>
    </dgm:pt>
    <dgm:pt modelId="{D49F8BFF-4E50-47E5-A9CC-407CF70AE406}" type="pres">
      <dgm:prSet presAssocID="{99E88EC7-A022-4F27-AF3B-4844B23B12E5}" presName="connTx" presStyleLbl="parChTrans1D3" presStyleIdx="1" presStyleCnt="3"/>
      <dgm:spPr/>
      <dgm:t>
        <a:bodyPr/>
        <a:lstStyle/>
        <a:p>
          <a:endParaRPr lang="en-US"/>
        </a:p>
      </dgm:t>
    </dgm:pt>
    <dgm:pt modelId="{D42CF881-4BF1-4575-9D90-64E1E9ADC908}" type="pres">
      <dgm:prSet presAssocID="{E9BDCC95-1074-4E41-ABC3-5FCC0651E221}" presName="Name30" presStyleCnt="0"/>
      <dgm:spPr/>
    </dgm:pt>
    <dgm:pt modelId="{1003F8EC-5984-4AB3-991D-7A6DC19A8FBD}" type="pres">
      <dgm:prSet presAssocID="{E9BDCC95-1074-4E41-ABC3-5FCC0651E221}" presName="level2Shape" presStyleLbl="node3" presStyleIdx="1" presStyleCnt="3"/>
      <dgm:spPr/>
      <dgm:t>
        <a:bodyPr/>
        <a:lstStyle/>
        <a:p>
          <a:endParaRPr lang="en-US"/>
        </a:p>
      </dgm:t>
    </dgm:pt>
    <dgm:pt modelId="{B3264AB8-09CF-45BD-A591-BA6E54EA6C6C}" type="pres">
      <dgm:prSet presAssocID="{E9BDCC95-1074-4E41-ABC3-5FCC0651E221}" presName="hierChild3" presStyleCnt="0"/>
      <dgm:spPr/>
    </dgm:pt>
    <dgm:pt modelId="{75CA0D1E-D99D-4043-BEAC-2565448DA367}" type="pres">
      <dgm:prSet presAssocID="{8F3DDE98-1158-4182-A7E3-47F2CB632900}" presName="Name25" presStyleLbl="parChTrans1D2" presStyleIdx="2" presStyleCnt="3"/>
      <dgm:spPr/>
      <dgm:t>
        <a:bodyPr/>
        <a:lstStyle/>
        <a:p>
          <a:endParaRPr lang="en-US"/>
        </a:p>
      </dgm:t>
    </dgm:pt>
    <dgm:pt modelId="{8F277E33-8EC1-42A0-9863-40E2969A70CA}" type="pres">
      <dgm:prSet presAssocID="{8F3DDE98-1158-4182-A7E3-47F2CB632900}" presName="connTx" presStyleLbl="parChTrans1D2" presStyleIdx="2" presStyleCnt="3"/>
      <dgm:spPr/>
      <dgm:t>
        <a:bodyPr/>
        <a:lstStyle/>
        <a:p>
          <a:endParaRPr lang="en-US"/>
        </a:p>
      </dgm:t>
    </dgm:pt>
    <dgm:pt modelId="{E6A3C0A9-F9F0-43C8-A806-99EB3451816B}" type="pres">
      <dgm:prSet presAssocID="{6D3BBB0A-34D7-44DF-8193-18E8E65DB205}" presName="Name30" presStyleCnt="0"/>
      <dgm:spPr/>
    </dgm:pt>
    <dgm:pt modelId="{F2486124-76E8-40C0-AFD6-5017B01F1051}" type="pres">
      <dgm:prSet presAssocID="{6D3BBB0A-34D7-44DF-8193-18E8E65DB205}" presName="level2Shape" presStyleLbl="node2" presStyleIdx="2" presStyleCnt="3" custScaleX="137237"/>
      <dgm:spPr/>
      <dgm:t>
        <a:bodyPr/>
        <a:lstStyle/>
        <a:p>
          <a:endParaRPr lang="en-US"/>
        </a:p>
      </dgm:t>
    </dgm:pt>
    <dgm:pt modelId="{9849568B-5640-4A53-A734-210944FF4110}" type="pres">
      <dgm:prSet presAssocID="{6D3BBB0A-34D7-44DF-8193-18E8E65DB205}" presName="hierChild3" presStyleCnt="0"/>
      <dgm:spPr/>
    </dgm:pt>
    <dgm:pt modelId="{2F98862F-5347-4397-88B1-510D6499BB85}" type="pres">
      <dgm:prSet presAssocID="{D345C8BA-05CD-4710-B5AD-30B49BDB0BDD}" presName="Name25" presStyleLbl="parChTrans1D3" presStyleIdx="2" presStyleCnt="3"/>
      <dgm:spPr/>
      <dgm:t>
        <a:bodyPr/>
        <a:lstStyle/>
        <a:p>
          <a:endParaRPr lang="en-US"/>
        </a:p>
      </dgm:t>
    </dgm:pt>
    <dgm:pt modelId="{B3FAB22D-C03F-4052-856D-9521FDDBC3B5}" type="pres">
      <dgm:prSet presAssocID="{D345C8BA-05CD-4710-B5AD-30B49BDB0BDD}" presName="connTx" presStyleLbl="parChTrans1D3" presStyleIdx="2" presStyleCnt="3"/>
      <dgm:spPr/>
      <dgm:t>
        <a:bodyPr/>
        <a:lstStyle/>
        <a:p>
          <a:endParaRPr lang="en-US"/>
        </a:p>
      </dgm:t>
    </dgm:pt>
    <dgm:pt modelId="{D383421B-4E33-4F0F-A5C4-AE4055DDB67E}" type="pres">
      <dgm:prSet presAssocID="{C9114321-39AA-4B86-9E2F-D7710B82413C}" presName="Name30" presStyleCnt="0"/>
      <dgm:spPr/>
    </dgm:pt>
    <dgm:pt modelId="{E4789360-8E84-41A2-B3B3-6AE971469F11}" type="pres">
      <dgm:prSet presAssocID="{C9114321-39AA-4B86-9E2F-D7710B82413C}" presName="level2Shape" presStyleLbl="node3" presStyleIdx="2" presStyleCnt="3"/>
      <dgm:spPr/>
      <dgm:t>
        <a:bodyPr/>
        <a:lstStyle/>
        <a:p>
          <a:endParaRPr lang="en-US"/>
        </a:p>
      </dgm:t>
    </dgm:pt>
    <dgm:pt modelId="{FA898059-5F12-42A9-8495-D72CA83C4BC5}" type="pres">
      <dgm:prSet presAssocID="{C9114321-39AA-4B86-9E2F-D7710B82413C}" presName="hierChild3" presStyleCnt="0"/>
      <dgm:spPr/>
    </dgm:pt>
    <dgm:pt modelId="{A7BFDFC5-6923-422B-8912-A1AE9A59ED51}" type="pres">
      <dgm:prSet presAssocID="{310FCB9C-AEBD-4544-86AC-A79E9DBA0632}" presName="bgShapesFlow" presStyleCnt="0"/>
      <dgm:spPr/>
    </dgm:pt>
  </dgm:ptLst>
  <dgm:cxnLst>
    <dgm:cxn modelId="{0BD9DD4F-434B-457A-A131-D609E4A8A4CD}" srcId="{6D3BBB0A-34D7-44DF-8193-18E8E65DB205}" destId="{C9114321-39AA-4B86-9E2F-D7710B82413C}" srcOrd="0" destOrd="0" parTransId="{D345C8BA-05CD-4710-B5AD-30B49BDB0BDD}" sibTransId="{80AD10D5-9C76-49FC-9C56-707F16C8CCFC}"/>
    <dgm:cxn modelId="{7C675EFF-8D15-43D9-820B-7A73D663A62F}" type="presOf" srcId="{0CCB0351-BF4B-4F8C-841A-69C99749E78F}" destId="{F8686CDE-0FD1-4DEE-93EF-E37398397206}" srcOrd="1" destOrd="0" presId="urn:microsoft.com/office/officeart/2005/8/layout/hierarchy5"/>
    <dgm:cxn modelId="{F83B9392-5A6F-469A-9BAF-9773D20A3C3D}" type="presOf" srcId="{8F3DDE98-1158-4182-A7E3-47F2CB632900}" destId="{75CA0D1E-D99D-4043-BEAC-2565448DA367}" srcOrd="0" destOrd="0" presId="urn:microsoft.com/office/officeart/2005/8/layout/hierarchy5"/>
    <dgm:cxn modelId="{C571B53C-BC8A-488B-B888-69B0A455B6E0}" type="presOf" srcId="{99E88EC7-A022-4F27-AF3B-4844B23B12E5}" destId="{CC54A44C-8DF7-49E7-9661-F1075ECD1333}" srcOrd="0" destOrd="0" presId="urn:microsoft.com/office/officeart/2005/8/layout/hierarchy5"/>
    <dgm:cxn modelId="{2E104F09-D1F4-4FC3-8428-0F14BD38A061}" srcId="{EA5FC22D-EB79-4E11-BF3A-D4912A3067CE}" destId="{7646EB93-6D9B-495C-8950-E2CE8763E744}" srcOrd="0" destOrd="0" parTransId="{DD7B192A-3B25-4C2C-913E-BC63352BA9D5}" sibTransId="{836E01A8-375C-463C-8CEB-F08926BC19FB}"/>
    <dgm:cxn modelId="{F4CEBAB6-FC31-4B30-9B84-7A36F69C09ED}" type="presOf" srcId="{8F3DDE98-1158-4182-A7E3-47F2CB632900}" destId="{8F277E33-8EC1-42A0-9863-40E2969A70CA}" srcOrd="1" destOrd="0" presId="urn:microsoft.com/office/officeart/2005/8/layout/hierarchy5"/>
    <dgm:cxn modelId="{CF0C3953-BBF1-420C-98F7-1D6C7D4D8CC4}" type="presOf" srcId="{6D3BBB0A-34D7-44DF-8193-18E8E65DB205}" destId="{F2486124-76E8-40C0-AFD6-5017B01F1051}" srcOrd="0" destOrd="0" presId="urn:microsoft.com/office/officeart/2005/8/layout/hierarchy5"/>
    <dgm:cxn modelId="{D9639649-4F0C-4FF2-9F93-07834053B429}" srcId="{310FCB9C-AEBD-4544-86AC-A79E9DBA0632}" destId="{C2A8DAF8-428E-4A9D-875E-99B42A2D6DF7}" srcOrd="0" destOrd="0" parTransId="{0E952DBA-E7FF-4DAB-BE96-0B662C1AA145}" sibTransId="{62CCC250-EFAF-4B1F-BD26-72E4804CDCEF}"/>
    <dgm:cxn modelId="{6CA1EF27-6E0C-46F8-B541-BEC8D8CD45B1}" type="presOf" srcId="{33832593-D38A-46E4-8A19-A624CCC6BD70}" destId="{93AD838A-04BF-4640-BA2A-BF2D65357A82}" srcOrd="1" destOrd="0" presId="urn:microsoft.com/office/officeart/2005/8/layout/hierarchy5"/>
    <dgm:cxn modelId="{23B767BD-CA1E-40BA-AED1-140EDFF89164}" type="presOf" srcId="{DD7B192A-3B25-4C2C-913E-BC63352BA9D5}" destId="{84C5B55A-1FCA-4DB0-B2D8-CBB2D62CE18A}" srcOrd="0" destOrd="0" presId="urn:microsoft.com/office/officeart/2005/8/layout/hierarchy5"/>
    <dgm:cxn modelId="{F86E7FE7-A187-4EF8-8832-5948F14CB332}" srcId="{C2A8DAF8-428E-4A9D-875E-99B42A2D6DF7}" destId="{13747F59-6D65-44EA-A11C-59365ED046E3}" srcOrd="1" destOrd="0" parTransId="{0CCB0351-BF4B-4F8C-841A-69C99749E78F}" sibTransId="{A27C2916-37E7-44F5-B2C5-2CDAEA9EEEA9}"/>
    <dgm:cxn modelId="{FD0D5B0A-6582-490E-94B0-A8F0F2380F1B}" srcId="{C2A8DAF8-428E-4A9D-875E-99B42A2D6DF7}" destId="{EA5FC22D-EB79-4E11-BF3A-D4912A3067CE}" srcOrd="0" destOrd="0" parTransId="{33832593-D38A-46E4-8A19-A624CCC6BD70}" sibTransId="{4F962427-5EF7-41F2-8245-BCD1F4CA0F3D}"/>
    <dgm:cxn modelId="{E1875025-5D9D-4B2A-9FEC-0B755250F960}" srcId="{C2A8DAF8-428E-4A9D-875E-99B42A2D6DF7}" destId="{6D3BBB0A-34D7-44DF-8193-18E8E65DB205}" srcOrd="2" destOrd="0" parTransId="{8F3DDE98-1158-4182-A7E3-47F2CB632900}" sibTransId="{1583DB51-F630-495D-A04F-2BDBAF50DB11}"/>
    <dgm:cxn modelId="{B15631B8-5686-4101-9120-FEA8B6A49C8F}" type="presOf" srcId="{EA5FC22D-EB79-4E11-BF3A-D4912A3067CE}" destId="{2F01EA47-BE03-407F-BD15-3E23A7CCDEE5}" srcOrd="0" destOrd="0" presId="urn:microsoft.com/office/officeart/2005/8/layout/hierarchy5"/>
    <dgm:cxn modelId="{59549A45-6638-43B4-8324-D4609F020744}" type="presOf" srcId="{D345C8BA-05CD-4710-B5AD-30B49BDB0BDD}" destId="{2F98862F-5347-4397-88B1-510D6499BB85}" srcOrd="0" destOrd="0" presId="urn:microsoft.com/office/officeart/2005/8/layout/hierarchy5"/>
    <dgm:cxn modelId="{C4B7C9D4-9F7D-408E-8C36-31921BCD3DF3}" type="presOf" srcId="{7646EB93-6D9B-495C-8950-E2CE8763E744}" destId="{A7D1841B-CAE3-46B7-B15D-47B6191A0E3B}" srcOrd="0" destOrd="0" presId="urn:microsoft.com/office/officeart/2005/8/layout/hierarchy5"/>
    <dgm:cxn modelId="{049157B0-F3BD-4BEA-AA87-E33A855583FD}" type="presOf" srcId="{99E88EC7-A022-4F27-AF3B-4844B23B12E5}" destId="{D49F8BFF-4E50-47E5-A9CC-407CF70AE406}" srcOrd="1" destOrd="0" presId="urn:microsoft.com/office/officeart/2005/8/layout/hierarchy5"/>
    <dgm:cxn modelId="{B787296E-B58B-4D74-B60F-7B8543CBF2E9}" type="presOf" srcId="{310FCB9C-AEBD-4544-86AC-A79E9DBA0632}" destId="{A61BF5C8-74C2-43CE-A7CA-CDAFE8A9CA62}" srcOrd="0" destOrd="0" presId="urn:microsoft.com/office/officeart/2005/8/layout/hierarchy5"/>
    <dgm:cxn modelId="{93CCD730-4FC3-45F7-B35B-8187B15E3BCE}" type="presOf" srcId="{D345C8BA-05CD-4710-B5AD-30B49BDB0BDD}" destId="{B3FAB22D-C03F-4052-856D-9521FDDBC3B5}" srcOrd="1" destOrd="0" presId="urn:microsoft.com/office/officeart/2005/8/layout/hierarchy5"/>
    <dgm:cxn modelId="{9A2526E7-AF8C-4515-B185-7E45606BD9D1}" type="presOf" srcId="{E9BDCC95-1074-4E41-ABC3-5FCC0651E221}" destId="{1003F8EC-5984-4AB3-991D-7A6DC19A8FBD}" srcOrd="0" destOrd="0" presId="urn:microsoft.com/office/officeart/2005/8/layout/hierarchy5"/>
    <dgm:cxn modelId="{384B52DB-D8D7-4F30-9D27-E0066FE7A3D8}" type="presOf" srcId="{33832593-D38A-46E4-8A19-A624CCC6BD70}" destId="{9433FE64-1416-4F47-88A4-BAED25E42075}" srcOrd="0" destOrd="0" presId="urn:microsoft.com/office/officeart/2005/8/layout/hierarchy5"/>
    <dgm:cxn modelId="{986024C8-41A6-4ACC-9B6B-59EE6643CA64}" type="presOf" srcId="{DD7B192A-3B25-4C2C-913E-BC63352BA9D5}" destId="{C05E6D7D-E0AD-480E-9098-2D58262ED49D}" srcOrd="1" destOrd="0" presId="urn:microsoft.com/office/officeart/2005/8/layout/hierarchy5"/>
    <dgm:cxn modelId="{5C77BA49-F91D-444F-9683-14D41ACBF37A}" type="presOf" srcId="{0CCB0351-BF4B-4F8C-841A-69C99749E78F}" destId="{F44458AC-266B-42B3-95DA-A449BA562CB1}" srcOrd="0" destOrd="0" presId="urn:microsoft.com/office/officeart/2005/8/layout/hierarchy5"/>
    <dgm:cxn modelId="{45AA47A5-974B-4C4B-AE22-A7CFD5FD50A6}" type="presOf" srcId="{C9114321-39AA-4B86-9E2F-D7710B82413C}" destId="{E4789360-8E84-41A2-B3B3-6AE971469F11}" srcOrd="0" destOrd="0" presId="urn:microsoft.com/office/officeart/2005/8/layout/hierarchy5"/>
    <dgm:cxn modelId="{8507E868-0905-47C5-BAD0-EFA0150FCADB}" srcId="{13747F59-6D65-44EA-A11C-59365ED046E3}" destId="{E9BDCC95-1074-4E41-ABC3-5FCC0651E221}" srcOrd="0" destOrd="0" parTransId="{99E88EC7-A022-4F27-AF3B-4844B23B12E5}" sibTransId="{22BA9E86-4E1A-436E-897E-9D43FF385642}"/>
    <dgm:cxn modelId="{AA94C06E-E8B2-45E1-81D6-3F89A54C5F53}" type="presOf" srcId="{C2A8DAF8-428E-4A9D-875E-99B42A2D6DF7}" destId="{F6ECFF46-388C-497D-8FDF-31082EC4AA27}" srcOrd="0" destOrd="0" presId="urn:microsoft.com/office/officeart/2005/8/layout/hierarchy5"/>
    <dgm:cxn modelId="{9C14BB67-DD42-4D45-A165-2EF131372F2F}" type="presOf" srcId="{13747F59-6D65-44EA-A11C-59365ED046E3}" destId="{FA5790A9-9F27-4AA8-9FBC-D75061B6320A}" srcOrd="0" destOrd="0" presId="urn:microsoft.com/office/officeart/2005/8/layout/hierarchy5"/>
    <dgm:cxn modelId="{11614F6F-90E3-433A-8B8A-4A078DBE4A02}" type="presParOf" srcId="{A61BF5C8-74C2-43CE-A7CA-CDAFE8A9CA62}" destId="{E4A821DA-A19E-4556-BF0C-473EA22EE274}" srcOrd="0" destOrd="0" presId="urn:microsoft.com/office/officeart/2005/8/layout/hierarchy5"/>
    <dgm:cxn modelId="{072DC27E-A6D3-4E25-953A-C1474F7E3634}" type="presParOf" srcId="{E4A821DA-A19E-4556-BF0C-473EA22EE274}" destId="{10778ACD-DF51-44B0-A464-338777653522}" srcOrd="0" destOrd="0" presId="urn:microsoft.com/office/officeart/2005/8/layout/hierarchy5"/>
    <dgm:cxn modelId="{4C072519-654E-42E0-BF74-D2A4ED377A40}" type="presParOf" srcId="{10778ACD-DF51-44B0-A464-338777653522}" destId="{8E2BBD5F-F26E-4DFB-AEFC-AB793A380C33}" srcOrd="0" destOrd="0" presId="urn:microsoft.com/office/officeart/2005/8/layout/hierarchy5"/>
    <dgm:cxn modelId="{F4A05BA5-DB15-405B-A5E5-E4D7E87F1050}" type="presParOf" srcId="{8E2BBD5F-F26E-4DFB-AEFC-AB793A380C33}" destId="{F6ECFF46-388C-497D-8FDF-31082EC4AA27}" srcOrd="0" destOrd="0" presId="urn:microsoft.com/office/officeart/2005/8/layout/hierarchy5"/>
    <dgm:cxn modelId="{58D6647B-4072-4707-B131-F64EFE60B19A}" type="presParOf" srcId="{8E2BBD5F-F26E-4DFB-AEFC-AB793A380C33}" destId="{B544AB96-8CC5-4852-A274-696EE6F7BB75}" srcOrd="1" destOrd="0" presId="urn:microsoft.com/office/officeart/2005/8/layout/hierarchy5"/>
    <dgm:cxn modelId="{0D2DE282-8C6F-4FFF-8AA8-EEA6127A765C}" type="presParOf" srcId="{B544AB96-8CC5-4852-A274-696EE6F7BB75}" destId="{9433FE64-1416-4F47-88A4-BAED25E42075}" srcOrd="0" destOrd="0" presId="urn:microsoft.com/office/officeart/2005/8/layout/hierarchy5"/>
    <dgm:cxn modelId="{46B93CD3-25E3-4B22-BDB2-CF362D944D2B}" type="presParOf" srcId="{9433FE64-1416-4F47-88A4-BAED25E42075}" destId="{93AD838A-04BF-4640-BA2A-BF2D65357A82}" srcOrd="0" destOrd="0" presId="urn:microsoft.com/office/officeart/2005/8/layout/hierarchy5"/>
    <dgm:cxn modelId="{3459FC0B-4DC4-4315-95D1-A5CE804A4E3B}" type="presParOf" srcId="{B544AB96-8CC5-4852-A274-696EE6F7BB75}" destId="{EEA7F0F6-395D-4850-818C-459EDB987FBF}" srcOrd="1" destOrd="0" presId="urn:microsoft.com/office/officeart/2005/8/layout/hierarchy5"/>
    <dgm:cxn modelId="{4A74CA5C-3464-43F1-AEE0-CCD05264B3EA}" type="presParOf" srcId="{EEA7F0F6-395D-4850-818C-459EDB987FBF}" destId="{2F01EA47-BE03-407F-BD15-3E23A7CCDEE5}" srcOrd="0" destOrd="0" presId="urn:microsoft.com/office/officeart/2005/8/layout/hierarchy5"/>
    <dgm:cxn modelId="{8575516D-2C90-41B1-AAE5-3447DE7585D4}" type="presParOf" srcId="{EEA7F0F6-395D-4850-818C-459EDB987FBF}" destId="{F627D49B-B11B-4877-958B-63F007789B8E}" srcOrd="1" destOrd="0" presId="urn:microsoft.com/office/officeart/2005/8/layout/hierarchy5"/>
    <dgm:cxn modelId="{981B9E1B-0ABB-4EAA-9304-04A08E5D6721}" type="presParOf" srcId="{F627D49B-B11B-4877-958B-63F007789B8E}" destId="{84C5B55A-1FCA-4DB0-B2D8-CBB2D62CE18A}" srcOrd="0" destOrd="0" presId="urn:microsoft.com/office/officeart/2005/8/layout/hierarchy5"/>
    <dgm:cxn modelId="{D04C47DD-683C-4D1D-BBC6-8994B20DBC8C}" type="presParOf" srcId="{84C5B55A-1FCA-4DB0-B2D8-CBB2D62CE18A}" destId="{C05E6D7D-E0AD-480E-9098-2D58262ED49D}" srcOrd="0" destOrd="0" presId="urn:microsoft.com/office/officeart/2005/8/layout/hierarchy5"/>
    <dgm:cxn modelId="{D249E095-4AB5-403A-BB9C-5A1E9C5B838A}" type="presParOf" srcId="{F627D49B-B11B-4877-958B-63F007789B8E}" destId="{8664BA03-5B6C-4BAF-9AA9-38EDF21ACF80}" srcOrd="1" destOrd="0" presId="urn:microsoft.com/office/officeart/2005/8/layout/hierarchy5"/>
    <dgm:cxn modelId="{97BB6D1B-6FB5-4955-8188-84310240324D}" type="presParOf" srcId="{8664BA03-5B6C-4BAF-9AA9-38EDF21ACF80}" destId="{A7D1841B-CAE3-46B7-B15D-47B6191A0E3B}" srcOrd="0" destOrd="0" presId="urn:microsoft.com/office/officeart/2005/8/layout/hierarchy5"/>
    <dgm:cxn modelId="{ABE63214-9787-444C-94FE-720B6DBECFFB}" type="presParOf" srcId="{8664BA03-5B6C-4BAF-9AA9-38EDF21ACF80}" destId="{7C6BB27F-2818-4712-8EDE-2C92EF9AC31C}" srcOrd="1" destOrd="0" presId="urn:microsoft.com/office/officeart/2005/8/layout/hierarchy5"/>
    <dgm:cxn modelId="{202990B6-641B-45A4-A08A-D69C817AC533}" type="presParOf" srcId="{B544AB96-8CC5-4852-A274-696EE6F7BB75}" destId="{F44458AC-266B-42B3-95DA-A449BA562CB1}" srcOrd="2" destOrd="0" presId="urn:microsoft.com/office/officeart/2005/8/layout/hierarchy5"/>
    <dgm:cxn modelId="{C26B1575-3D2C-4E8E-AAAB-130A411E5BE1}" type="presParOf" srcId="{F44458AC-266B-42B3-95DA-A449BA562CB1}" destId="{F8686CDE-0FD1-4DEE-93EF-E37398397206}" srcOrd="0" destOrd="0" presId="urn:microsoft.com/office/officeart/2005/8/layout/hierarchy5"/>
    <dgm:cxn modelId="{2CE7F162-0C88-4501-9A0C-9C2616E9FA77}" type="presParOf" srcId="{B544AB96-8CC5-4852-A274-696EE6F7BB75}" destId="{D95BAEE4-A4F7-49F9-9560-F345837073E8}" srcOrd="3" destOrd="0" presId="urn:microsoft.com/office/officeart/2005/8/layout/hierarchy5"/>
    <dgm:cxn modelId="{697FEB5A-D49F-4F73-BD66-273D15EC1D82}" type="presParOf" srcId="{D95BAEE4-A4F7-49F9-9560-F345837073E8}" destId="{FA5790A9-9F27-4AA8-9FBC-D75061B6320A}" srcOrd="0" destOrd="0" presId="urn:microsoft.com/office/officeart/2005/8/layout/hierarchy5"/>
    <dgm:cxn modelId="{65FF0F68-519A-4AB3-8E58-EAAE99EFA0C5}" type="presParOf" srcId="{D95BAEE4-A4F7-49F9-9560-F345837073E8}" destId="{C2E8E2F6-FF78-449D-90BA-73A2283976A3}" srcOrd="1" destOrd="0" presId="urn:microsoft.com/office/officeart/2005/8/layout/hierarchy5"/>
    <dgm:cxn modelId="{2D747F28-9D1B-467A-B4B4-8C43D03C219B}" type="presParOf" srcId="{C2E8E2F6-FF78-449D-90BA-73A2283976A3}" destId="{CC54A44C-8DF7-49E7-9661-F1075ECD1333}" srcOrd="0" destOrd="0" presId="urn:microsoft.com/office/officeart/2005/8/layout/hierarchy5"/>
    <dgm:cxn modelId="{FF8174E4-FA2D-4B7D-83F6-EB0B9D9F7E1F}" type="presParOf" srcId="{CC54A44C-8DF7-49E7-9661-F1075ECD1333}" destId="{D49F8BFF-4E50-47E5-A9CC-407CF70AE406}" srcOrd="0" destOrd="0" presId="urn:microsoft.com/office/officeart/2005/8/layout/hierarchy5"/>
    <dgm:cxn modelId="{225465D1-E494-426E-A77E-F3C37D389E00}" type="presParOf" srcId="{C2E8E2F6-FF78-449D-90BA-73A2283976A3}" destId="{D42CF881-4BF1-4575-9D90-64E1E9ADC908}" srcOrd="1" destOrd="0" presId="urn:microsoft.com/office/officeart/2005/8/layout/hierarchy5"/>
    <dgm:cxn modelId="{CA4865E1-701A-48FD-B096-91A6611A2823}" type="presParOf" srcId="{D42CF881-4BF1-4575-9D90-64E1E9ADC908}" destId="{1003F8EC-5984-4AB3-991D-7A6DC19A8FBD}" srcOrd="0" destOrd="0" presId="urn:microsoft.com/office/officeart/2005/8/layout/hierarchy5"/>
    <dgm:cxn modelId="{E88D5FDD-9B5C-44F1-990E-22E32B1A05D7}" type="presParOf" srcId="{D42CF881-4BF1-4575-9D90-64E1E9ADC908}" destId="{B3264AB8-09CF-45BD-A591-BA6E54EA6C6C}" srcOrd="1" destOrd="0" presId="urn:microsoft.com/office/officeart/2005/8/layout/hierarchy5"/>
    <dgm:cxn modelId="{CB8FA9E5-9854-4452-8650-964CC8DD6F07}" type="presParOf" srcId="{B544AB96-8CC5-4852-A274-696EE6F7BB75}" destId="{75CA0D1E-D99D-4043-BEAC-2565448DA367}" srcOrd="4" destOrd="0" presId="urn:microsoft.com/office/officeart/2005/8/layout/hierarchy5"/>
    <dgm:cxn modelId="{D07D16BA-4544-461C-9C93-6939F6C76530}" type="presParOf" srcId="{75CA0D1E-D99D-4043-BEAC-2565448DA367}" destId="{8F277E33-8EC1-42A0-9863-40E2969A70CA}" srcOrd="0" destOrd="0" presId="urn:microsoft.com/office/officeart/2005/8/layout/hierarchy5"/>
    <dgm:cxn modelId="{A85B8450-1B7E-4C39-9100-65D169728D05}" type="presParOf" srcId="{B544AB96-8CC5-4852-A274-696EE6F7BB75}" destId="{E6A3C0A9-F9F0-43C8-A806-99EB3451816B}" srcOrd="5" destOrd="0" presId="urn:microsoft.com/office/officeart/2005/8/layout/hierarchy5"/>
    <dgm:cxn modelId="{F303AF73-FFD8-4C3E-B8C3-E3AC777C4A17}" type="presParOf" srcId="{E6A3C0A9-F9F0-43C8-A806-99EB3451816B}" destId="{F2486124-76E8-40C0-AFD6-5017B01F1051}" srcOrd="0" destOrd="0" presId="urn:microsoft.com/office/officeart/2005/8/layout/hierarchy5"/>
    <dgm:cxn modelId="{F1712A88-5574-4826-A855-FBAA8B2DCEB6}" type="presParOf" srcId="{E6A3C0A9-F9F0-43C8-A806-99EB3451816B}" destId="{9849568B-5640-4A53-A734-210944FF4110}" srcOrd="1" destOrd="0" presId="urn:microsoft.com/office/officeart/2005/8/layout/hierarchy5"/>
    <dgm:cxn modelId="{9258DDC6-C77B-4FE7-ABA5-EB00CE02B560}" type="presParOf" srcId="{9849568B-5640-4A53-A734-210944FF4110}" destId="{2F98862F-5347-4397-88B1-510D6499BB85}" srcOrd="0" destOrd="0" presId="urn:microsoft.com/office/officeart/2005/8/layout/hierarchy5"/>
    <dgm:cxn modelId="{002BE861-F894-4408-9E4C-68A4937C121F}" type="presParOf" srcId="{2F98862F-5347-4397-88B1-510D6499BB85}" destId="{B3FAB22D-C03F-4052-856D-9521FDDBC3B5}" srcOrd="0" destOrd="0" presId="urn:microsoft.com/office/officeart/2005/8/layout/hierarchy5"/>
    <dgm:cxn modelId="{5D7305CE-533A-4F7A-AF77-6A0678FE01A6}" type="presParOf" srcId="{9849568B-5640-4A53-A734-210944FF4110}" destId="{D383421B-4E33-4F0F-A5C4-AE4055DDB67E}" srcOrd="1" destOrd="0" presId="urn:microsoft.com/office/officeart/2005/8/layout/hierarchy5"/>
    <dgm:cxn modelId="{64BE205D-98D7-476B-957C-543D99985541}" type="presParOf" srcId="{D383421B-4E33-4F0F-A5C4-AE4055DDB67E}" destId="{E4789360-8E84-41A2-B3B3-6AE971469F11}" srcOrd="0" destOrd="0" presId="urn:microsoft.com/office/officeart/2005/8/layout/hierarchy5"/>
    <dgm:cxn modelId="{8A192994-AAB2-4B02-9844-FA0BB11849E9}" type="presParOf" srcId="{D383421B-4E33-4F0F-A5C4-AE4055DDB67E}" destId="{FA898059-5F12-42A9-8495-D72CA83C4BC5}" srcOrd="1" destOrd="0" presId="urn:microsoft.com/office/officeart/2005/8/layout/hierarchy5"/>
    <dgm:cxn modelId="{B0E73474-47BE-454F-B4C0-63E2BCE8F9A8}" type="presParOf" srcId="{A61BF5C8-74C2-43CE-A7CA-CDAFE8A9CA62}" destId="{A7BFDFC5-6923-422B-8912-A1AE9A59ED51}" srcOrd="1" destOrd="0" presId="urn:microsoft.com/office/officeart/2005/8/layout/hierarchy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ECFF46-388C-497D-8FDF-31082EC4AA27}">
      <dsp:nvSpPr>
        <dsp:cNvPr id="0" name=""/>
        <dsp:cNvSpPr/>
      </dsp:nvSpPr>
      <dsp:spPr>
        <a:xfrm>
          <a:off x="1513" y="1222442"/>
          <a:ext cx="1263378" cy="631689"/>
        </a:xfrm>
        <a:prstGeom prst="roundRect">
          <a:avLst>
            <a:gd name="adj" fmla="val 10000"/>
          </a:avLst>
        </a:prstGeom>
        <a:solidFill>
          <a:schemeClr val="lt1"/>
        </a:solid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b="1" kern="1200"/>
            <a:t>Narkotiku lietošanas un izplatības ierobežošanas plāns</a:t>
          </a:r>
          <a:endParaRPr lang="en-US" sz="800" b="1" kern="1200"/>
        </a:p>
      </dsp:txBody>
      <dsp:txXfrm>
        <a:off x="20015" y="1240944"/>
        <a:ext cx="1226374" cy="594685"/>
      </dsp:txXfrm>
    </dsp:sp>
    <dsp:sp modelId="{9433FE64-1416-4F47-88A4-BAED25E42075}">
      <dsp:nvSpPr>
        <dsp:cNvPr id="0" name=""/>
        <dsp:cNvSpPr/>
      </dsp:nvSpPr>
      <dsp:spPr>
        <a:xfrm rot="18289469">
          <a:off x="1075103" y="1156587"/>
          <a:ext cx="884928" cy="36958"/>
        </a:xfrm>
        <a:custGeom>
          <a:avLst/>
          <a:gdLst/>
          <a:ahLst/>
          <a:cxnLst/>
          <a:rect l="0" t="0" r="0" b="0"/>
          <a:pathLst>
            <a:path>
              <a:moveTo>
                <a:pt x="0" y="18479"/>
              </a:moveTo>
              <a:lnTo>
                <a:pt x="884928" y="18479"/>
              </a:lnTo>
            </a:path>
          </a:pathLst>
        </a:custGeom>
        <a:no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1495444" y="1152942"/>
        <a:ext cx="44246" cy="44246"/>
      </dsp:txXfrm>
    </dsp:sp>
    <dsp:sp modelId="{2F01EA47-BE03-407F-BD15-3E23A7CCDEE5}">
      <dsp:nvSpPr>
        <dsp:cNvPr id="0" name=""/>
        <dsp:cNvSpPr/>
      </dsp:nvSpPr>
      <dsp:spPr>
        <a:xfrm>
          <a:off x="1770243" y="496000"/>
          <a:ext cx="1703590" cy="631689"/>
        </a:xfrm>
        <a:prstGeom prst="roundRect">
          <a:avLst>
            <a:gd name="adj" fmla="val 10000"/>
          </a:avLst>
        </a:prstGeom>
        <a:solidFill>
          <a:schemeClr val="lt1"/>
        </a:solid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b="1" kern="1200"/>
            <a:t>1. rīcības virziens</a:t>
          </a:r>
        </a:p>
        <a:p>
          <a:pPr lvl="0" algn="ctr" defTabSz="355600">
            <a:lnSpc>
              <a:spcPct val="90000"/>
            </a:lnSpc>
            <a:spcBef>
              <a:spcPct val="0"/>
            </a:spcBef>
            <a:spcAft>
              <a:spcPct val="35000"/>
            </a:spcAft>
          </a:pPr>
          <a:r>
            <a:rPr lang="lv-LV" sz="800" kern="1200"/>
            <a:t>Veicināt narkotiku pieprasījuma intervenču (profilakses, ārstniecības un kaitējuma mazināšanas) pieejamību un kvalitāti</a:t>
          </a:r>
          <a:endParaRPr lang="en-US" sz="800" kern="1200"/>
        </a:p>
      </dsp:txBody>
      <dsp:txXfrm>
        <a:off x="1788745" y="514502"/>
        <a:ext cx="1666586" cy="594685"/>
      </dsp:txXfrm>
    </dsp:sp>
    <dsp:sp modelId="{84C5B55A-1FCA-4DB0-B2D8-CBB2D62CE18A}">
      <dsp:nvSpPr>
        <dsp:cNvPr id="0" name=""/>
        <dsp:cNvSpPr/>
      </dsp:nvSpPr>
      <dsp:spPr>
        <a:xfrm>
          <a:off x="3473833" y="793365"/>
          <a:ext cx="505351" cy="36958"/>
        </a:xfrm>
        <a:custGeom>
          <a:avLst/>
          <a:gdLst/>
          <a:ahLst/>
          <a:cxnLst/>
          <a:rect l="0" t="0" r="0" b="0"/>
          <a:pathLst>
            <a:path>
              <a:moveTo>
                <a:pt x="0" y="18479"/>
              </a:moveTo>
              <a:lnTo>
                <a:pt x="505351" y="18479"/>
              </a:lnTo>
            </a:path>
          </a:pathLst>
        </a:custGeom>
        <a:no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3713875" y="799210"/>
        <a:ext cx="25267" cy="25267"/>
      </dsp:txXfrm>
    </dsp:sp>
    <dsp:sp modelId="{A7D1841B-CAE3-46B7-B15D-47B6191A0E3B}">
      <dsp:nvSpPr>
        <dsp:cNvPr id="0" name=""/>
        <dsp:cNvSpPr/>
      </dsp:nvSpPr>
      <dsp:spPr>
        <a:xfrm>
          <a:off x="3979185" y="496000"/>
          <a:ext cx="1263378" cy="631689"/>
        </a:xfrm>
        <a:prstGeom prst="roundRect">
          <a:avLst>
            <a:gd name="adj" fmla="val 10000"/>
          </a:avLst>
        </a:prstGeom>
        <a:solidFill>
          <a:schemeClr val="lt1"/>
        </a:solid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b="1" kern="1200"/>
            <a:t>16 pasākumi</a:t>
          </a:r>
          <a:r>
            <a:rPr lang="lv-LV" sz="800" kern="1200"/>
            <a:t>, ieskaitot apakšpasākumus</a:t>
          </a:r>
          <a:endParaRPr lang="en-US" sz="800" kern="1200"/>
        </a:p>
      </dsp:txBody>
      <dsp:txXfrm>
        <a:off x="3997687" y="514502"/>
        <a:ext cx="1226374" cy="594685"/>
      </dsp:txXfrm>
    </dsp:sp>
    <dsp:sp modelId="{F44458AC-266B-42B3-95DA-A449BA562CB1}">
      <dsp:nvSpPr>
        <dsp:cNvPr id="0" name=""/>
        <dsp:cNvSpPr/>
      </dsp:nvSpPr>
      <dsp:spPr>
        <a:xfrm>
          <a:off x="1264892" y="1519808"/>
          <a:ext cx="505351" cy="36958"/>
        </a:xfrm>
        <a:custGeom>
          <a:avLst/>
          <a:gdLst/>
          <a:ahLst/>
          <a:cxnLst/>
          <a:rect l="0" t="0" r="0" b="0"/>
          <a:pathLst>
            <a:path>
              <a:moveTo>
                <a:pt x="0" y="18479"/>
              </a:moveTo>
              <a:lnTo>
                <a:pt x="505351" y="18479"/>
              </a:lnTo>
            </a:path>
          </a:pathLst>
        </a:custGeom>
        <a:no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1504933" y="1525653"/>
        <a:ext cx="25267" cy="25267"/>
      </dsp:txXfrm>
    </dsp:sp>
    <dsp:sp modelId="{FA5790A9-9F27-4AA8-9FBC-D75061B6320A}">
      <dsp:nvSpPr>
        <dsp:cNvPr id="0" name=""/>
        <dsp:cNvSpPr/>
      </dsp:nvSpPr>
      <dsp:spPr>
        <a:xfrm>
          <a:off x="1770243" y="1222442"/>
          <a:ext cx="1715908" cy="631689"/>
        </a:xfrm>
        <a:prstGeom prst="roundRect">
          <a:avLst>
            <a:gd name="adj" fmla="val 10000"/>
          </a:avLst>
        </a:prstGeom>
        <a:solidFill>
          <a:schemeClr val="lt1"/>
        </a:solid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b="1" kern="1200"/>
            <a:t>2. rīcības virziens</a:t>
          </a:r>
        </a:p>
        <a:p>
          <a:pPr lvl="0" algn="ctr" defTabSz="355600">
            <a:lnSpc>
              <a:spcPct val="90000"/>
            </a:lnSpc>
            <a:spcBef>
              <a:spcPct val="0"/>
            </a:spcBef>
            <a:spcAft>
              <a:spcPct val="35000"/>
            </a:spcAft>
          </a:pPr>
          <a:r>
            <a:rPr lang="lv-LV" sz="800" kern="1200"/>
            <a:t>Samazināt narkotiku piedāvājumu un pieejamību;</a:t>
          </a:r>
          <a:endParaRPr lang="en-US" sz="800" kern="1200"/>
        </a:p>
      </dsp:txBody>
      <dsp:txXfrm>
        <a:off x="1788745" y="1240944"/>
        <a:ext cx="1678904" cy="594685"/>
      </dsp:txXfrm>
    </dsp:sp>
    <dsp:sp modelId="{CC54A44C-8DF7-49E7-9661-F1075ECD1333}">
      <dsp:nvSpPr>
        <dsp:cNvPr id="0" name=""/>
        <dsp:cNvSpPr/>
      </dsp:nvSpPr>
      <dsp:spPr>
        <a:xfrm>
          <a:off x="3486151" y="1519808"/>
          <a:ext cx="505351" cy="36958"/>
        </a:xfrm>
        <a:custGeom>
          <a:avLst/>
          <a:gdLst/>
          <a:ahLst/>
          <a:cxnLst/>
          <a:rect l="0" t="0" r="0" b="0"/>
          <a:pathLst>
            <a:path>
              <a:moveTo>
                <a:pt x="0" y="18479"/>
              </a:moveTo>
              <a:lnTo>
                <a:pt x="505351" y="18479"/>
              </a:lnTo>
            </a:path>
          </a:pathLst>
        </a:custGeom>
        <a:no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3726193" y="1525653"/>
        <a:ext cx="25267" cy="25267"/>
      </dsp:txXfrm>
    </dsp:sp>
    <dsp:sp modelId="{1003F8EC-5984-4AB3-991D-7A6DC19A8FBD}">
      <dsp:nvSpPr>
        <dsp:cNvPr id="0" name=""/>
        <dsp:cNvSpPr/>
      </dsp:nvSpPr>
      <dsp:spPr>
        <a:xfrm>
          <a:off x="3991503" y="1222442"/>
          <a:ext cx="1263378" cy="631689"/>
        </a:xfrm>
        <a:prstGeom prst="roundRect">
          <a:avLst>
            <a:gd name="adj" fmla="val 10000"/>
          </a:avLst>
        </a:prstGeom>
        <a:solidFill>
          <a:schemeClr val="lt1"/>
        </a:solid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b="1" kern="1200"/>
            <a:t>9 pasākumi</a:t>
          </a:r>
          <a:r>
            <a:rPr lang="lv-LV" sz="800" kern="1200"/>
            <a:t>, ieskaitot apakšpasākumus</a:t>
          </a:r>
          <a:endParaRPr lang="en-US" sz="800" kern="1200"/>
        </a:p>
      </dsp:txBody>
      <dsp:txXfrm>
        <a:off x="4010005" y="1240944"/>
        <a:ext cx="1226374" cy="594685"/>
      </dsp:txXfrm>
    </dsp:sp>
    <dsp:sp modelId="{75CA0D1E-D99D-4043-BEAC-2565448DA367}">
      <dsp:nvSpPr>
        <dsp:cNvPr id="0" name=""/>
        <dsp:cNvSpPr/>
      </dsp:nvSpPr>
      <dsp:spPr>
        <a:xfrm rot="3310531">
          <a:off x="1075103" y="1883029"/>
          <a:ext cx="884928" cy="36958"/>
        </a:xfrm>
        <a:custGeom>
          <a:avLst/>
          <a:gdLst/>
          <a:ahLst/>
          <a:cxnLst/>
          <a:rect l="0" t="0" r="0" b="0"/>
          <a:pathLst>
            <a:path>
              <a:moveTo>
                <a:pt x="0" y="18479"/>
              </a:moveTo>
              <a:lnTo>
                <a:pt x="884928" y="18479"/>
              </a:lnTo>
            </a:path>
          </a:pathLst>
        </a:custGeom>
        <a:no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1495444" y="1879385"/>
        <a:ext cx="44246" cy="44246"/>
      </dsp:txXfrm>
    </dsp:sp>
    <dsp:sp modelId="{F2486124-76E8-40C0-AFD6-5017B01F1051}">
      <dsp:nvSpPr>
        <dsp:cNvPr id="0" name=""/>
        <dsp:cNvSpPr/>
      </dsp:nvSpPr>
      <dsp:spPr>
        <a:xfrm>
          <a:off x="1770243" y="1948885"/>
          <a:ext cx="1733823" cy="631689"/>
        </a:xfrm>
        <a:prstGeom prst="roundRect">
          <a:avLst>
            <a:gd name="adj" fmla="val 10000"/>
          </a:avLst>
        </a:prstGeom>
        <a:solidFill>
          <a:schemeClr val="lt1"/>
        </a:solid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b="1" kern="1200"/>
            <a:t>3. rīcības virziens</a:t>
          </a:r>
        </a:p>
        <a:p>
          <a:pPr lvl="0" algn="ctr" defTabSz="355600">
            <a:lnSpc>
              <a:spcPct val="90000"/>
            </a:lnSpc>
            <a:spcBef>
              <a:spcPct val="0"/>
            </a:spcBef>
            <a:spcAft>
              <a:spcPct val="35000"/>
            </a:spcAft>
          </a:pPr>
          <a:r>
            <a:rPr lang="lv-LV" sz="800" kern="1200"/>
            <a:t>Veicināt efektīvu politikas koordināciju un veicināt labāku politikas pārraudzību, nepieciešamo datu iegūšanu, pētniecību, izvērtēšanu.</a:t>
          </a:r>
          <a:endParaRPr lang="en-US" sz="800" kern="1200"/>
        </a:p>
      </dsp:txBody>
      <dsp:txXfrm>
        <a:off x="1788745" y="1967387"/>
        <a:ext cx="1696819" cy="594685"/>
      </dsp:txXfrm>
    </dsp:sp>
    <dsp:sp modelId="{2F98862F-5347-4397-88B1-510D6499BB85}">
      <dsp:nvSpPr>
        <dsp:cNvPr id="0" name=""/>
        <dsp:cNvSpPr/>
      </dsp:nvSpPr>
      <dsp:spPr>
        <a:xfrm>
          <a:off x="3504066" y="2246251"/>
          <a:ext cx="505351" cy="36958"/>
        </a:xfrm>
        <a:custGeom>
          <a:avLst/>
          <a:gdLst/>
          <a:ahLst/>
          <a:cxnLst/>
          <a:rect l="0" t="0" r="0" b="0"/>
          <a:pathLst>
            <a:path>
              <a:moveTo>
                <a:pt x="0" y="18479"/>
              </a:moveTo>
              <a:lnTo>
                <a:pt x="505351" y="18479"/>
              </a:lnTo>
            </a:path>
          </a:pathLst>
        </a:custGeom>
        <a:no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3744108" y="2252096"/>
        <a:ext cx="25267" cy="25267"/>
      </dsp:txXfrm>
    </dsp:sp>
    <dsp:sp modelId="{E4789360-8E84-41A2-B3B3-6AE971469F11}">
      <dsp:nvSpPr>
        <dsp:cNvPr id="0" name=""/>
        <dsp:cNvSpPr/>
      </dsp:nvSpPr>
      <dsp:spPr>
        <a:xfrm>
          <a:off x="4009417" y="1948885"/>
          <a:ext cx="1263378" cy="631689"/>
        </a:xfrm>
        <a:prstGeom prst="roundRect">
          <a:avLst>
            <a:gd name="adj" fmla="val 10000"/>
          </a:avLst>
        </a:prstGeom>
        <a:solidFill>
          <a:schemeClr val="lt1"/>
        </a:solid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b="1" kern="1200"/>
            <a:t> 8 pasākumi</a:t>
          </a:r>
          <a:r>
            <a:rPr lang="lv-LV" sz="800" kern="1200"/>
            <a:t>, ieskaitot apakšpasākumus</a:t>
          </a:r>
          <a:endParaRPr lang="en-US" sz="800" kern="1200"/>
        </a:p>
      </dsp:txBody>
      <dsp:txXfrm>
        <a:off x="4027919" y="1967387"/>
        <a:ext cx="1226374" cy="59468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D62D6-F503-437F-80DA-89004A6C0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20461</Words>
  <Characters>11664</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Zīle-Veisberga</dc:creator>
  <cp:keywords/>
  <dc:description/>
  <cp:lastModifiedBy>Agnese Zīle-Veisberga</cp:lastModifiedBy>
  <cp:revision>2</cp:revision>
  <cp:lastPrinted>2021-07-28T09:42:00Z</cp:lastPrinted>
  <dcterms:created xsi:type="dcterms:W3CDTF">2021-10-05T14:10:00Z</dcterms:created>
  <dcterms:modified xsi:type="dcterms:W3CDTF">2021-10-05T14:10:00Z</dcterms:modified>
</cp:coreProperties>
</file>