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4.xml" ContentType="application/vnd.openxmlformats-officedocument.themeOverride+xml"/>
  <Override PartName="/word/drawings/drawing1.xml" ContentType="application/vnd.openxmlformats-officedocument.drawingml.chartshapes+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8.xml" ContentType="application/vnd.openxmlformats-officedocument.themeOverride+xml"/>
  <Override PartName="/word/drawings/drawing2.xml" ContentType="application/vnd.openxmlformats-officedocument.drawingml.chartshapes+xml"/>
  <Override PartName="/word/charts/chart9.xml" ContentType="application/vnd.openxmlformats-officedocument.drawingml.chart+xml"/>
  <Override PartName="/word/theme/themeOverride9.xml" ContentType="application/vnd.openxmlformats-officedocument.themeOverride+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0.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10.xml" ContentType="application/vnd.openxmlformats-officedocument.themeOverride+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highlight w:val="yellow"/>
        </w:rPr>
        <w:id w:val="1462616115"/>
        <w:docPartObj>
          <w:docPartGallery w:val="Cover Pages"/>
          <w:docPartUnique/>
        </w:docPartObj>
      </w:sdtPr>
      <w:sdtEndPr>
        <w:rPr>
          <w:rFonts w:cs="Times New Roman"/>
          <w:b/>
          <w:bCs/>
          <w:smallCaps/>
        </w:rPr>
      </w:sdtEndPr>
      <w:sdtContent>
        <w:p w14:paraId="3D40F56C" w14:textId="0CABA1DC" w:rsidR="00BF4753" w:rsidRPr="00D22811" w:rsidRDefault="001C45A3" w:rsidP="00D22811">
          <w:pPr>
            <w:ind w:right="1134" w:firstLine="0"/>
            <w:rPr>
              <w:highlight w:val="yellow"/>
            </w:rPr>
          </w:pPr>
          <w:r>
            <w:rPr>
              <w:noProof/>
              <w:lang w:eastAsia="lv-LV"/>
            </w:rPr>
            <mc:AlternateContent>
              <mc:Choice Requires="wpg">
                <w:drawing>
                  <wp:anchor distT="0" distB="0" distL="114300" distR="114300" simplePos="0" relativeHeight="251662336" behindDoc="0" locked="0" layoutInCell="1" allowOverlap="1" wp14:anchorId="2F6D34CD" wp14:editId="2574DC55">
                    <wp:simplePos x="0" y="0"/>
                    <wp:positionH relativeFrom="column">
                      <wp:posOffset>-448764</wp:posOffset>
                    </wp:positionH>
                    <wp:positionV relativeFrom="paragraph">
                      <wp:posOffset>-854529</wp:posOffset>
                    </wp:positionV>
                    <wp:extent cx="6645910" cy="9180649"/>
                    <wp:effectExtent l="0" t="0" r="2540" b="1905"/>
                    <wp:wrapNone/>
                    <wp:docPr id="5" name="Group 5"/>
                    <wp:cNvGraphicFramePr/>
                    <a:graphic xmlns:a="http://schemas.openxmlformats.org/drawingml/2006/main">
                      <a:graphicData uri="http://schemas.microsoft.com/office/word/2010/wordprocessingGroup">
                        <wpg:wgp>
                          <wpg:cNvGrpSpPr/>
                          <wpg:grpSpPr>
                            <a:xfrm>
                              <a:off x="0" y="0"/>
                              <a:ext cx="6645910" cy="9180649"/>
                              <a:chOff x="0" y="0"/>
                              <a:chExt cx="6645910" cy="9180649"/>
                            </a:xfrm>
                          </wpg:grpSpPr>
                          <wpg:grpSp>
                            <wpg:cNvPr id="125" name="Group 125"/>
                            <wpg:cNvGrpSpPr>
                              <a:grpSpLocks noChangeAspect="1"/>
                            </wpg:cNvGrpSpPr>
                            <wpg:grpSpPr>
                              <a:xfrm>
                                <a:off x="0" y="228600"/>
                                <a:ext cx="6645910" cy="7163435"/>
                                <a:chOff x="0" y="0"/>
                                <a:chExt cx="5561330" cy="5404485"/>
                              </a:xfrm>
                            </wpg:grpSpPr>
                            <wps:wsp>
                              <wps:cNvPr id="126" name="Freeform 10"/>
                              <wps:cNvSpPr>
                                <a:spLocks/>
                              </wps:cNvSpPr>
                              <wps:spPr bwMode="auto">
                                <a:xfrm>
                                  <a:off x="0" y="0"/>
                                  <a:ext cx="5557520"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ln>
                                  <a:noFill/>
                                </a:ln>
                              </wps:spPr>
                              <wps:style>
                                <a:lnRef idx="0">
                                  <a:scrgbClr r="0" g="0" b="0"/>
                                </a:lnRef>
                                <a:fillRef idx="1003">
                                  <a:schemeClr val="dk2"/>
                                </a:fillRef>
                                <a:effectRef idx="0">
                                  <a:scrgbClr r="0" g="0" b="0"/>
                                </a:effectRef>
                                <a:fontRef idx="major"/>
                              </wps:style>
                              <wps:txbx>
                                <w:txbxContent>
                                  <w:p w14:paraId="13C8326C" w14:textId="05E1C209" w:rsidR="00B84344" w:rsidRPr="00D551C4" w:rsidRDefault="0040680D" w:rsidP="00BF4753">
                                    <w:pPr>
                                      <w:ind w:firstLine="0"/>
                                      <w:jc w:val="left"/>
                                      <w:rPr>
                                        <w:rFonts w:cs="Times New Roman"/>
                                        <w:color w:val="FFFFFF" w:themeColor="background1"/>
                                        <w:sz w:val="56"/>
                                        <w:szCs w:val="56"/>
                                      </w:rPr>
                                    </w:pPr>
                                    <w:sdt>
                                      <w:sdtPr>
                                        <w:rPr>
                                          <w:rFonts w:cs="Times New Roman"/>
                                          <w:color w:val="FFFFFF" w:themeColor="background1"/>
                                          <w:sz w:val="56"/>
                                          <w:szCs w:val="56"/>
                                        </w:rPr>
                                        <w:alias w:val="Title"/>
                                        <w:tag w:val=""/>
                                        <w:id w:val="363876279"/>
                                        <w:dataBinding w:prefixMappings="xmlns:ns0='http://purl.org/dc/elements/1.1/' xmlns:ns1='http://schemas.openxmlformats.org/package/2006/metadata/core-properties' " w:xpath="/ns1:coreProperties[1]/ns0:title[1]" w:storeItemID="{6C3C8BC8-F283-45AE-878A-BAB7291924A1}"/>
                                        <w:text/>
                                      </w:sdtPr>
                                      <w:sdtEndPr/>
                                      <w:sdtContent>
                                        <w:r w:rsidR="00B84344">
                                          <w:rPr>
                                            <w:rFonts w:cs="Times New Roman"/>
                                            <w:color w:val="FFFFFF" w:themeColor="background1"/>
                                            <w:sz w:val="56"/>
                                            <w:szCs w:val="56"/>
                                          </w:rPr>
                                          <w:t>Latvijas Stabilitātes programma 202</w:t>
                                        </w:r>
                                        <w:r w:rsidR="001E2F98">
                                          <w:rPr>
                                            <w:rFonts w:cs="Times New Roman"/>
                                            <w:color w:val="FFFFFF" w:themeColor="background1"/>
                                            <w:sz w:val="56"/>
                                            <w:szCs w:val="56"/>
                                          </w:rPr>
                                          <w:t>3</w:t>
                                        </w:r>
                                        <w:r w:rsidR="00B84344">
                                          <w:rPr>
                                            <w:rFonts w:cs="Times New Roman"/>
                                            <w:color w:val="FFFFFF" w:themeColor="background1"/>
                                            <w:sz w:val="56"/>
                                            <w:szCs w:val="56"/>
                                          </w:rPr>
                                          <w:t>.-202</w:t>
                                        </w:r>
                                        <w:r w:rsidR="001E2F98">
                                          <w:rPr>
                                            <w:rFonts w:cs="Times New Roman"/>
                                            <w:color w:val="FFFFFF" w:themeColor="background1"/>
                                            <w:sz w:val="56"/>
                                            <w:szCs w:val="56"/>
                                          </w:rPr>
                                          <w:t>6</w:t>
                                        </w:r>
                                        <w:r w:rsidR="00B84344">
                                          <w:rPr>
                                            <w:rFonts w:cs="Times New Roman"/>
                                            <w:color w:val="FFFFFF" w:themeColor="background1"/>
                                            <w:sz w:val="56"/>
                                            <w:szCs w:val="56"/>
                                          </w:rPr>
                                          <w:t>. gadam</w:t>
                                        </w:r>
                                      </w:sdtContent>
                                    </w:sdt>
                                  </w:p>
                                </w:txbxContent>
                              </wps:txbx>
                              <wps:bodyPr rot="0" vert="horz" wrap="square" lIns="914400" tIns="1097280" rIns="1097280" bIns="1097280" anchor="b" anchorCtr="0" upright="1">
                                <a:noAutofit/>
                              </wps:bodyPr>
                            </wps:wsp>
                            <wps:wsp>
                              <wps:cNvPr id="127" name="Freeform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grpSp>
                          <wps:wsp>
                            <wps:cNvPr id="130" name="Rectangle 130"/>
                            <wps:cNvSpPr>
                              <a:spLocks noChangeAspect="1"/>
                            </wps:cNvSpPr>
                            <wps:spPr>
                              <a:xfrm>
                                <a:off x="5638800" y="0"/>
                                <a:ext cx="574675" cy="104775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Times New Roman" w:hAnsi="Times New Roman" w:cs="Times New Roman"/>
                                      <w:color w:val="FFFFFF" w:themeColor="background1"/>
                                      <w:sz w:val="24"/>
                                      <w:szCs w:val="24"/>
                                    </w:rPr>
                                    <w:alias w:val="Year"/>
                                    <w:tag w:val=""/>
                                    <w:id w:val="-571654576"/>
                                    <w:dataBinding w:prefixMappings="xmlns:ns0='http://schemas.microsoft.com/office/2006/coverPageProps' " w:xpath="/ns0:CoverPageProperties[1]/ns0:PublishDate[1]" w:storeItemID="{55AF091B-3C7A-41E3-B477-F2FDAA23CFDA}"/>
                                    <w:date w:fullDate="2023-01-01T00:00:00Z">
                                      <w:dateFormat w:val="yyyy"/>
                                      <w:lid w:val="en-US"/>
                                      <w:storeMappedDataAs w:val="dateTime"/>
                                      <w:calendar w:val="gregorian"/>
                                    </w:date>
                                  </w:sdtPr>
                                  <w:sdtEndPr/>
                                  <w:sdtContent>
                                    <w:p w14:paraId="63BE1798" w14:textId="645E8EAD" w:rsidR="00B84344" w:rsidRDefault="00B84344" w:rsidP="00BF4753">
                                      <w:pPr>
                                        <w:pStyle w:val="NoSpacing"/>
                                        <w:jc w:val="right"/>
                                        <w:rPr>
                                          <w:color w:val="FFFFFF" w:themeColor="background1"/>
                                          <w:sz w:val="24"/>
                                          <w:szCs w:val="24"/>
                                        </w:rPr>
                                      </w:pPr>
                                      <w:r>
                                        <w:rPr>
                                          <w:rFonts w:ascii="Times New Roman" w:hAnsi="Times New Roman" w:cs="Times New Roman"/>
                                          <w:color w:val="FFFFFF" w:themeColor="background1"/>
                                          <w:sz w:val="24"/>
                                          <w:szCs w:val="24"/>
                                          <w:lang w:val="en-US"/>
                                        </w:rPr>
                                        <w:t>202</w:t>
                                      </w:r>
                                      <w:r w:rsidR="001E2F98">
                                        <w:rPr>
                                          <w:rFonts w:ascii="Times New Roman" w:hAnsi="Times New Roman" w:cs="Times New Roman"/>
                                          <w:color w:val="FFFFFF" w:themeColor="background1"/>
                                          <w:sz w:val="24"/>
                                          <w:szCs w:val="24"/>
                                          <w:lang w:val="en-US"/>
                                        </w:rPr>
                                        <w:t>3</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pic:pic xmlns:pic="http://schemas.openxmlformats.org/drawingml/2006/picture">
                            <pic:nvPicPr>
                              <pic:cNvPr id="2" name="Picture 2" descr="V:\FM logo\22_horizontala_vienkarss_LV\22_vienkarss_bezlaukuma_rgb_h_LV.jp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953000" y="8207829"/>
                                <a:ext cx="883285" cy="972820"/>
                              </a:xfrm>
                              <a:prstGeom prst="rect">
                                <a:avLst/>
                              </a:prstGeom>
                              <a:noFill/>
                              <a:ln>
                                <a:noFill/>
                              </a:ln>
                            </pic:spPr>
                          </pic:pic>
                        </wpg:wgp>
                      </a:graphicData>
                    </a:graphic>
                  </wp:anchor>
                </w:drawing>
              </mc:Choice>
              <mc:Fallback>
                <w:pict>
                  <v:group w14:anchorId="2F6D34CD" id="Group 5" o:spid="_x0000_s1026" style="position:absolute;left:0;text-align:left;margin-left:-35.35pt;margin-top:-67.3pt;width:523.3pt;height:722.9pt;z-index:251662336" coordsize="66459,918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">
                    <v:group id="Group 125" o:spid="_x0000_s1027" style="position:absolute;top:2286;width:66459;height:71634" coordsize="55613,54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">
                      <o:lock v:ext="edit" aspectratio="t"/>
                      <v:shape id="Freeform 10" o:spid="_x0000_s1028" style="position:absolute;width:55575;height:54044;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" adj="-11796480,,5400" path="m,c,644,,644,,644v23,6,62,14,113,21c250,685,476,700,720,644v,-27,,-27,,-27c720,,720,,720,,,,,,,e" fillcolor="#4d5f78 [2994]" stroked="f">
                        <v:fill color2="#2a3442 [2018]" rotate="t" colors="0 #5d6d85;.5 #485972;1 #334258" focus="100%" type="gradient">
                          <o:fill v:ext="view" type="gradientUnscaled"/>
                        </v:fill>
                        <v:stroke joinstyle="miter"/>
                        <v:formulas/>
                        <v:path arrowok="t" o:connecttype="custom" o:connectlocs="0,0;0,4972126;872222,5134261;5557520,4972126;5557520,4763667;5557520,0;0,0" o:connectangles="0,0,0,0,0,0,0" textboxrect="0,0,720,700"/>
                        <v:textbox inset="1in,86.4pt,86.4pt,86.4pt">
                          <w:txbxContent>
                            <w:p w14:paraId="13C8326C" w14:textId="05E1C209" w:rsidR="00B84344" w:rsidRPr="00D551C4" w:rsidRDefault="0040680D" w:rsidP="00BF4753">
                              <w:pPr>
                                <w:ind w:firstLine="0"/>
                                <w:jc w:val="left"/>
                                <w:rPr>
                                  <w:rFonts w:cs="Times New Roman"/>
                                  <w:color w:val="FFFFFF" w:themeColor="background1"/>
                                  <w:sz w:val="56"/>
                                  <w:szCs w:val="56"/>
                                </w:rPr>
                              </w:pPr>
                              <w:sdt>
                                <w:sdtPr>
                                  <w:rPr>
                                    <w:rFonts w:cs="Times New Roman"/>
                                    <w:color w:val="FFFFFF" w:themeColor="background1"/>
                                    <w:sz w:val="56"/>
                                    <w:szCs w:val="56"/>
                                  </w:rPr>
                                  <w:alias w:val="Title"/>
                                  <w:tag w:val=""/>
                                  <w:id w:val="363876279"/>
                                  <w:dataBinding w:prefixMappings="xmlns:ns0='http://purl.org/dc/elements/1.1/' xmlns:ns1='http://schemas.openxmlformats.org/package/2006/metadata/core-properties' " w:xpath="/ns1:coreProperties[1]/ns0:title[1]" w:storeItemID="{6C3C8BC8-F283-45AE-878A-BAB7291924A1}"/>
                                  <w:text/>
                                </w:sdtPr>
                                <w:sdtEndPr/>
                                <w:sdtContent>
                                  <w:r w:rsidR="00B84344">
                                    <w:rPr>
                                      <w:rFonts w:cs="Times New Roman"/>
                                      <w:color w:val="FFFFFF" w:themeColor="background1"/>
                                      <w:sz w:val="56"/>
                                      <w:szCs w:val="56"/>
                                    </w:rPr>
                                    <w:t>Latvijas Stabilitātes programma 202</w:t>
                                  </w:r>
                                  <w:r w:rsidR="001E2F98">
                                    <w:rPr>
                                      <w:rFonts w:cs="Times New Roman"/>
                                      <w:color w:val="FFFFFF" w:themeColor="background1"/>
                                      <w:sz w:val="56"/>
                                      <w:szCs w:val="56"/>
                                    </w:rPr>
                                    <w:t>3</w:t>
                                  </w:r>
                                  <w:r w:rsidR="00B84344">
                                    <w:rPr>
                                      <w:rFonts w:cs="Times New Roman"/>
                                      <w:color w:val="FFFFFF" w:themeColor="background1"/>
                                      <w:sz w:val="56"/>
                                      <w:szCs w:val="56"/>
                                    </w:rPr>
                                    <w:t>.-202</w:t>
                                  </w:r>
                                  <w:r w:rsidR="001E2F98">
                                    <w:rPr>
                                      <w:rFonts w:cs="Times New Roman"/>
                                      <w:color w:val="FFFFFF" w:themeColor="background1"/>
                                      <w:sz w:val="56"/>
                                      <w:szCs w:val="56"/>
                                    </w:rPr>
                                    <w:t>6</w:t>
                                  </w:r>
                                  <w:r w:rsidR="00B84344">
                                    <w:rPr>
                                      <w:rFonts w:cs="Times New Roman"/>
                                      <w:color w:val="FFFFFF" w:themeColor="background1"/>
                                      <w:sz w:val="56"/>
                                      <w:szCs w:val="56"/>
                                    </w:rPr>
                                    <w:t>. gadam</w:t>
                                  </w:r>
                                </w:sdtContent>
                              </w:sdt>
                            </w:p>
                          </w:txbxContent>
                        </v:textbox>
                      </v:shape>
                      <v:shape id="Freeform 11" o:spid="_x0000_s1029" style="position:absolute;left:8763;top:47697;width:46850;height:5099;visibility:visible;mso-wrap-style:square;v-text-anchor:bottom" coordsize="6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" path="m607,c450,44,300,57,176,57,109,57,49,53,,48,66,58,152,66,251,66,358,66,480,56,607,27,607,,607,,607,e" fillcolor="white [3212]" stroked="f">
                        <v:fill opacity="19789f"/>
                        <v:path arrowok="t" o:connecttype="custom" o:connectlocs="4685030,0;1358427,440373;0,370840;1937302,509905;4685030,208598;4685030,0" o:connectangles="0,0,0,0,0,0"/>
                      </v:shape>
                    </v:group>
                    <v:rect id="Rectangle 130" o:spid="_x0000_s1030" style="position:absolute;left:56388;width:5746;height:1047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" fillcolor="#5b9bd5 [3204]" stroked="f" strokeweight="1pt">
                      <o:lock v:ext="edit" aspectratio="t"/>
                      <v:textbox inset="3.6pt,,3.6pt">
                        <w:txbxContent>
                          <w:sdt>
                            <w:sdtPr>
                              <w:rPr>
                                <w:rFonts w:ascii="Times New Roman" w:hAnsi="Times New Roman" w:cs="Times New Roman"/>
                                <w:color w:val="FFFFFF" w:themeColor="background1"/>
                                <w:sz w:val="24"/>
                                <w:szCs w:val="24"/>
                              </w:rPr>
                              <w:alias w:val="Year"/>
                              <w:tag w:val=""/>
                              <w:id w:val="-571654576"/>
                              <w:dataBinding w:prefixMappings="xmlns:ns0='http://schemas.microsoft.com/office/2006/coverPageProps' " w:xpath="/ns0:CoverPageProperties[1]/ns0:PublishDate[1]" w:storeItemID="{55AF091B-3C7A-41E3-B477-F2FDAA23CFDA}"/>
                              <w:date w:fullDate="2023-01-01T00:00:00Z">
                                <w:dateFormat w:val="yyyy"/>
                                <w:lid w:val="en-US"/>
                                <w:storeMappedDataAs w:val="dateTime"/>
                                <w:calendar w:val="gregorian"/>
                              </w:date>
                            </w:sdtPr>
                            <w:sdtEndPr/>
                            <w:sdtContent>
                              <w:p w14:paraId="63BE1798" w14:textId="645E8EAD" w:rsidR="00B84344" w:rsidRDefault="00B84344" w:rsidP="00BF4753">
                                <w:pPr>
                                  <w:pStyle w:val="NoSpacing"/>
                                  <w:jc w:val="right"/>
                                  <w:rPr>
                                    <w:color w:val="FFFFFF" w:themeColor="background1"/>
                                    <w:sz w:val="24"/>
                                    <w:szCs w:val="24"/>
                                  </w:rPr>
                                </w:pPr>
                                <w:r>
                                  <w:rPr>
                                    <w:rFonts w:ascii="Times New Roman" w:hAnsi="Times New Roman" w:cs="Times New Roman"/>
                                    <w:color w:val="FFFFFF" w:themeColor="background1"/>
                                    <w:sz w:val="24"/>
                                    <w:szCs w:val="24"/>
                                    <w:lang w:val="en-US"/>
                                  </w:rPr>
                                  <w:t>202</w:t>
                                </w:r>
                                <w:r w:rsidR="001E2F98">
                                  <w:rPr>
                                    <w:rFonts w:ascii="Times New Roman" w:hAnsi="Times New Roman" w:cs="Times New Roman"/>
                                    <w:color w:val="FFFFFF" w:themeColor="background1"/>
                                    <w:sz w:val="24"/>
                                    <w:szCs w:val="24"/>
                                    <w:lang w:val="en-US"/>
                                  </w:rPr>
                                  <w:t>3</w:t>
                                </w:r>
                              </w:p>
                            </w:sdtContent>
                          </w:sdt>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31" type="#_x0000_t75" style="position:absolute;left:49530;top:82078;width:8832;height:97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">
                      <v:imagedata r:id="rId10" o:title="22_vienkarss_bezlaukuma_rgb_h_LV"/>
                    </v:shape>
                  </v:group>
                </w:pict>
              </mc:Fallback>
            </mc:AlternateContent>
          </w:r>
          <w:r w:rsidR="00375884" w:rsidRPr="00D551C4">
            <w:rPr>
              <w:noProof/>
              <w:highlight w:val="yellow"/>
              <w:lang w:eastAsia="lv-LV"/>
            </w:rPr>
            <mc:AlternateContent>
              <mc:Choice Requires="wps">
                <w:drawing>
                  <wp:anchor distT="0" distB="0" distL="114300" distR="114300" simplePos="0" relativeHeight="251660288" behindDoc="0" locked="0" layoutInCell="1" allowOverlap="1" wp14:anchorId="13EE82D6" wp14:editId="55371F45">
                    <wp:simplePos x="0" y="0"/>
                    <wp:positionH relativeFrom="page">
                      <wp:posOffset>556885</wp:posOffset>
                    </wp:positionH>
                    <wp:positionV relativeFrom="margin">
                      <wp:posOffset>8817885</wp:posOffset>
                    </wp:positionV>
                    <wp:extent cx="6646545" cy="497840"/>
                    <wp:effectExtent l="0" t="0" r="0" b="10160"/>
                    <wp:wrapSquare wrapText="bothSides"/>
                    <wp:docPr id="12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6545" cy="497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imes New Roman" w:hAnsi="Times New Roman" w:cs="Times New Roman"/>
                                    <w:caps/>
                                    <w:sz w:val="28"/>
                                    <w:szCs w:val="28"/>
                                  </w:rPr>
                                  <w:alias w:val="Subtitle"/>
                                  <w:tag w:val=""/>
                                  <w:id w:val="2123952161"/>
                                  <w:dataBinding w:prefixMappings="xmlns:ns0='http://purl.org/dc/elements/1.1/' xmlns:ns1='http://schemas.openxmlformats.org/package/2006/metadata/core-properties' " w:xpath="/ns1:coreProperties[1]/ns0:subject[1]" w:storeItemID="{6C3C8BC8-F283-45AE-878A-BAB7291924A1}"/>
                                  <w:text/>
                                </w:sdtPr>
                                <w:sdtEndPr/>
                                <w:sdtContent>
                                  <w:p w14:paraId="0046674D" w14:textId="78A1D2B8" w:rsidR="00B84344" w:rsidRPr="00D22811" w:rsidRDefault="00375884" w:rsidP="00D22811">
                                    <w:pPr>
                                      <w:pStyle w:val="NoSpacing"/>
                                      <w:spacing w:before="40" w:after="40"/>
                                      <w:jc w:val="center"/>
                                      <w:rPr>
                                        <w:rFonts w:ascii="Times New Roman" w:hAnsi="Times New Roman" w:cs="Times New Roman"/>
                                        <w:caps/>
                                        <w:sz w:val="28"/>
                                        <w:szCs w:val="28"/>
                                      </w:rPr>
                                    </w:pPr>
                                    <w:r w:rsidRPr="00D22811">
                                      <w:rPr>
                                        <w:rFonts w:ascii="Times New Roman" w:hAnsi="Times New Roman" w:cs="Times New Roman"/>
                                        <w:caps/>
                                        <w:sz w:val="28"/>
                                        <w:szCs w:val="28"/>
                                      </w:rPr>
                                      <w:t>Rīga</w:t>
                                    </w:r>
                                  </w:p>
                                </w:sdtContent>
                              </w:sdt>
                            </w:txbxContent>
                          </wps:txbx>
                          <wps:bodyPr rot="0" spcFirstLastPara="0" vertOverflow="overflow" horzOverflow="overflow" vert="horz" wrap="square" lIns="914400" tIns="0" rIns="1097280" bIns="0" numCol="1" spcCol="0" rtlCol="0" fromWordArt="0" anchor="t"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type w14:anchorId="13EE82D6" id="_x0000_t202" coordsize="21600,21600" o:spt="202" path="m,l,21600r21600,l21600,xe">
                    <v:stroke joinstyle="miter"/>
                    <v:path gradientshapeok="t" o:connecttype="rect"/>
                  </v:shapetype>
                  <v:shape id="Text Box 129" o:spid="_x0000_s1032" type="#_x0000_t202" style="position:absolute;left:0;text-align:left;margin-left:43.85pt;margin-top:694.3pt;width:523.35pt;height:39.2pt;z-index:251660288;visibility:visible;mso-wrap-style:square;mso-width-percent:1154;mso-height-percent:0;mso-wrap-distance-left:9pt;mso-wrap-distance-top:0;mso-wrap-distance-right:9pt;mso-wrap-distance-bottom:0;mso-position-horizontal:absolute;mso-position-horizontal-relative:page;mso-position-vertical:absolute;mso-position-vertical-relative:margin;mso-width-percent:1154;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" filled="f" stroked="f" strokeweight=".5pt">
                    <v:textbox style="mso-fit-shape-to-text:t" inset="1in,0,86.4pt,0">
                      <w:txbxContent>
                        <w:sdt>
                          <w:sdtPr>
                            <w:rPr>
                              <w:rFonts w:ascii="Times New Roman" w:hAnsi="Times New Roman" w:cs="Times New Roman"/>
                              <w:caps/>
                              <w:sz w:val="28"/>
                              <w:szCs w:val="28"/>
                            </w:rPr>
                            <w:alias w:val="Subtitle"/>
                            <w:tag w:val=""/>
                            <w:id w:val="2123952161"/>
                            <w:dataBinding w:prefixMappings="xmlns:ns0='http://purl.org/dc/elements/1.1/' xmlns:ns1='http://schemas.openxmlformats.org/package/2006/metadata/core-properties' " w:xpath="/ns1:coreProperties[1]/ns0:subject[1]" w:storeItemID="{6C3C8BC8-F283-45AE-878A-BAB7291924A1}"/>
                            <w:text/>
                          </w:sdtPr>
                          <w:sdtEndPr/>
                          <w:sdtContent>
                            <w:p w14:paraId="0046674D" w14:textId="78A1D2B8" w:rsidR="00B84344" w:rsidRPr="00D22811" w:rsidRDefault="00375884" w:rsidP="00D22811">
                              <w:pPr>
                                <w:pStyle w:val="NoSpacing"/>
                                <w:spacing w:before="40" w:after="40"/>
                                <w:jc w:val="center"/>
                                <w:rPr>
                                  <w:rFonts w:ascii="Times New Roman" w:hAnsi="Times New Roman" w:cs="Times New Roman"/>
                                  <w:caps/>
                                  <w:sz w:val="28"/>
                                  <w:szCs w:val="28"/>
                                </w:rPr>
                              </w:pPr>
                              <w:r w:rsidRPr="00D22811">
                                <w:rPr>
                                  <w:rFonts w:ascii="Times New Roman" w:hAnsi="Times New Roman" w:cs="Times New Roman"/>
                                  <w:caps/>
                                  <w:sz w:val="28"/>
                                  <w:szCs w:val="28"/>
                                </w:rPr>
                                <w:t>Rīga</w:t>
                              </w:r>
                            </w:p>
                          </w:sdtContent>
                        </w:sdt>
                      </w:txbxContent>
                    </v:textbox>
                    <w10:wrap type="square" anchorx="page" anchory="margin"/>
                  </v:shape>
                </w:pict>
              </mc:Fallback>
            </mc:AlternateContent>
          </w:r>
          <w:r w:rsidR="00BF4753" w:rsidRPr="00D551C4">
            <w:rPr>
              <w:rFonts w:cs="Times New Roman"/>
              <w:b/>
              <w:bCs/>
              <w:smallCaps/>
              <w:highlight w:val="yellow"/>
            </w:rPr>
            <w:br w:type="page"/>
          </w:r>
        </w:p>
      </w:sdtContent>
    </w:sdt>
    <w:sdt>
      <w:sdtPr>
        <w:rPr>
          <w:rFonts w:asciiTheme="minorHAnsi" w:eastAsiaTheme="minorEastAsia" w:hAnsiTheme="minorHAnsi" w:cstheme="minorBidi"/>
          <w:b w:val="0"/>
          <w:bCs w:val="0"/>
          <w:smallCaps w:val="0"/>
          <w:color w:val="auto"/>
          <w:sz w:val="22"/>
          <w:szCs w:val="22"/>
          <w:highlight w:val="yellow"/>
          <w:lang w:eastAsia="en-US"/>
          <w14:textOutline w14:w="0" w14:cap="rnd" w14:cmpd="sng" w14:algn="ctr">
            <w14:noFill/>
            <w14:prstDash w14:val="solid"/>
            <w14:bevel/>
          </w14:textOutline>
        </w:rPr>
        <w:id w:val="423391642"/>
        <w:docPartObj>
          <w:docPartGallery w:val="Table of Contents"/>
          <w:docPartUnique/>
        </w:docPartObj>
      </w:sdtPr>
      <w:sdtEndPr>
        <w:rPr>
          <w:rFonts w:ascii="Times New Roman" w:hAnsi="Times New Roman" w:cs="Times New Roman"/>
          <w:noProof/>
          <w:spacing w:val="-4"/>
          <w:sz w:val="24"/>
          <w:szCs w:val="24"/>
        </w:rPr>
      </w:sdtEndPr>
      <w:sdtContent>
        <w:p w14:paraId="0014049C" w14:textId="77777777" w:rsidR="00BF4753" w:rsidRPr="006373AD" w:rsidRDefault="00BF4753" w:rsidP="00CE7515">
          <w:pPr>
            <w:pStyle w:val="TOCHeading"/>
            <w:ind w:left="431"/>
            <w:rPr>
              <w:b w:val="0"/>
              <w:bCs w:val="0"/>
              <w:sz w:val="24"/>
              <w:szCs w:val="24"/>
            </w:rPr>
          </w:pPr>
          <w:r w:rsidRPr="006373AD">
            <w:rPr>
              <w:b w:val="0"/>
              <w:bCs w:val="0"/>
              <w:sz w:val="24"/>
              <w:szCs w:val="24"/>
            </w:rPr>
            <w:t>SATURS</w:t>
          </w:r>
        </w:p>
        <w:p w14:paraId="1B017604" w14:textId="77777777" w:rsidR="00BF4753" w:rsidRPr="006373AD" w:rsidRDefault="00BF4753" w:rsidP="00BF4753">
          <w:pPr>
            <w:pStyle w:val="TOC1"/>
            <w:rPr>
              <w:szCs w:val="24"/>
            </w:rPr>
          </w:pPr>
        </w:p>
        <w:p w14:paraId="347030D6" w14:textId="20035A0B" w:rsidR="006373AD" w:rsidRPr="006373AD" w:rsidRDefault="00BF4753">
          <w:pPr>
            <w:pStyle w:val="TOC1"/>
            <w:rPr>
              <w:rFonts w:eastAsiaTheme="minorEastAsia"/>
              <w:noProof/>
              <w:szCs w:val="24"/>
              <w:lang w:eastAsia="lv-LV"/>
            </w:rPr>
          </w:pPr>
          <w:r w:rsidRPr="006373AD">
            <w:rPr>
              <w:spacing w:val="-4"/>
              <w:szCs w:val="24"/>
            </w:rPr>
            <w:fldChar w:fldCharType="begin"/>
          </w:r>
          <w:r w:rsidRPr="006373AD">
            <w:rPr>
              <w:spacing w:val="-4"/>
              <w:szCs w:val="24"/>
            </w:rPr>
            <w:instrText xml:space="preserve"> TOC \o "1-3" \h \z \u </w:instrText>
          </w:r>
          <w:r w:rsidRPr="006373AD">
            <w:rPr>
              <w:spacing w:val="-4"/>
              <w:szCs w:val="24"/>
            </w:rPr>
            <w:fldChar w:fldCharType="separate"/>
          </w:r>
          <w:hyperlink w:anchor="_Toc131331228" w:history="1">
            <w:r w:rsidR="006373AD" w:rsidRPr="006373AD">
              <w:rPr>
                <w:rStyle w:val="Hyperlink"/>
                <w:noProof/>
                <w:szCs w:val="24"/>
              </w:rPr>
              <w:t>1.</w:t>
            </w:r>
            <w:r w:rsidR="006373AD" w:rsidRPr="006373AD">
              <w:rPr>
                <w:rFonts w:eastAsiaTheme="minorEastAsia"/>
                <w:noProof/>
                <w:szCs w:val="24"/>
                <w:lang w:eastAsia="lv-LV"/>
              </w:rPr>
              <w:tab/>
            </w:r>
            <w:r w:rsidR="006373AD" w:rsidRPr="006373AD">
              <w:rPr>
                <w:rStyle w:val="Hyperlink"/>
                <w:noProof/>
                <w:szCs w:val="24"/>
              </w:rPr>
              <w:t>Vispārējās ekonomiskās politikas vadlīnijas un mērķi</w:t>
            </w:r>
            <w:r w:rsidR="006373AD" w:rsidRPr="006373AD">
              <w:rPr>
                <w:noProof/>
                <w:webHidden/>
                <w:szCs w:val="24"/>
              </w:rPr>
              <w:tab/>
            </w:r>
            <w:r w:rsidR="006373AD" w:rsidRPr="006373AD">
              <w:rPr>
                <w:noProof/>
                <w:webHidden/>
                <w:szCs w:val="24"/>
              </w:rPr>
              <w:fldChar w:fldCharType="begin"/>
            </w:r>
            <w:r w:rsidR="006373AD" w:rsidRPr="006373AD">
              <w:rPr>
                <w:noProof/>
                <w:webHidden/>
                <w:szCs w:val="24"/>
              </w:rPr>
              <w:instrText xml:space="preserve"> PAGEREF _Toc131331228 \h </w:instrText>
            </w:r>
            <w:r w:rsidR="006373AD" w:rsidRPr="006373AD">
              <w:rPr>
                <w:noProof/>
                <w:webHidden/>
                <w:szCs w:val="24"/>
              </w:rPr>
            </w:r>
            <w:r w:rsidR="006373AD" w:rsidRPr="006373AD">
              <w:rPr>
                <w:noProof/>
                <w:webHidden/>
                <w:szCs w:val="24"/>
              </w:rPr>
              <w:fldChar w:fldCharType="separate"/>
            </w:r>
            <w:r w:rsidR="006373AD" w:rsidRPr="006373AD">
              <w:rPr>
                <w:noProof/>
                <w:webHidden/>
                <w:szCs w:val="24"/>
              </w:rPr>
              <w:t>4</w:t>
            </w:r>
            <w:r w:rsidR="006373AD" w:rsidRPr="006373AD">
              <w:rPr>
                <w:noProof/>
                <w:webHidden/>
                <w:szCs w:val="24"/>
              </w:rPr>
              <w:fldChar w:fldCharType="end"/>
            </w:r>
          </w:hyperlink>
        </w:p>
        <w:p w14:paraId="4F0E63BF" w14:textId="267FBD68" w:rsidR="006373AD" w:rsidRPr="006373AD" w:rsidRDefault="006373AD">
          <w:pPr>
            <w:pStyle w:val="TOC1"/>
            <w:rPr>
              <w:rFonts w:eastAsiaTheme="minorEastAsia"/>
              <w:noProof/>
              <w:szCs w:val="24"/>
              <w:lang w:eastAsia="lv-LV"/>
            </w:rPr>
          </w:pPr>
          <w:hyperlink w:anchor="_Toc131331229" w:history="1">
            <w:r w:rsidRPr="006373AD">
              <w:rPr>
                <w:rStyle w:val="Hyperlink"/>
                <w:noProof/>
                <w:szCs w:val="24"/>
              </w:rPr>
              <w:t>2.</w:t>
            </w:r>
            <w:r w:rsidRPr="006373AD">
              <w:rPr>
                <w:rFonts w:eastAsiaTheme="minorEastAsia"/>
                <w:noProof/>
                <w:szCs w:val="24"/>
                <w:lang w:eastAsia="lv-LV"/>
              </w:rPr>
              <w:tab/>
            </w:r>
            <w:r w:rsidRPr="006373AD">
              <w:rPr>
                <w:rStyle w:val="Hyperlink"/>
                <w:noProof/>
                <w:szCs w:val="24"/>
              </w:rPr>
              <w:t>Ekonomiskā situācija</w:t>
            </w:r>
            <w:r w:rsidRPr="006373AD">
              <w:rPr>
                <w:noProof/>
                <w:webHidden/>
                <w:szCs w:val="24"/>
              </w:rPr>
              <w:tab/>
            </w:r>
            <w:r w:rsidRPr="006373AD">
              <w:rPr>
                <w:noProof/>
                <w:webHidden/>
                <w:szCs w:val="24"/>
              </w:rPr>
              <w:fldChar w:fldCharType="begin"/>
            </w:r>
            <w:r w:rsidRPr="006373AD">
              <w:rPr>
                <w:noProof/>
                <w:webHidden/>
                <w:szCs w:val="24"/>
              </w:rPr>
              <w:instrText xml:space="preserve"> PAGEREF _Toc131331229 \h </w:instrText>
            </w:r>
            <w:r w:rsidRPr="006373AD">
              <w:rPr>
                <w:noProof/>
                <w:webHidden/>
                <w:szCs w:val="24"/>
              </w:rPr>
            </w:r>
            <w:r w:rsidRPr="006373AD">
              <w:rPr>
                <w:noProof/>
                <w:webHidden/>
                <w:szCs w:val="24"/>
              </w:rPr>
              <w:fldChar w:fldCharType="separate"/>
            </w:r>
            <w:r w:rsidRPr="006373AD">
              <w:rPr>
                <w:noProof/>
                <w:webHidden/>
                <w:szCs w:val="24"/>
              </w:rPr>
              <w:t>5</w:t>
            </w:r>
            <w:r w:rsidRPr="006373AD">
              <w:rPr>
                <w:noProof/>
                <w:webHidden/>
                <w:szCs w:val="24"/>
              </w:rPr>
              <w:fldChar w:fldCharType="end"/>
            </w:r>
          </w:hyperlink>
        </w:p>
        <w:p w14:paraId="761586B4" w14:textId="16AF0F3D" w:rsidR="006373AD" w:rsidRPr="006373AD" w:rsidRDefault="006373AD">
          <w:pPr>
            <w:pStyle w:val="TOC2"/>
            <w:rPr>
              <w:rFonts w:eastAsiaTheme="minorEastAsia"/>
              <w:noProof/>
              <w:szCs w:val="24"/>
              <w:lang w:eastAsia="lv-LV"/>
            </w:rPr>
          </w:pPr>
          <w:hyperlink w:anchor="_Toc131331230" w:history="1">
            <w:r w:rsidRPr="006373AD">
              <w:rPr>
                <w:rStyle w:val="Hyperlink"/>
                <w:noProof/>
                <w:szCs w:val="24"/>
                <w:lang w:eastAsia="lv-LV"/>
              </w:rPr>
              <w:t>2.1. Ārējā ekonomiskā vide</w:t>
            </w:r>
            <w:r w:rsidRPr="006373AD">
              <w:rPr>
                <w:noProof/>
                <w:webHidden/>
                <w:szCs w:val="24"/>
              </w:rPr>
              <w:tab/>
            </w:r>
            <w:r w:rsidRPr="006373AD">
              <w:rPr>
                <w:noProof/>
                <w:webHidden/>
                <w:szCs w:val="24"/>
              </w:rPr>
              <w:fldChar w:fldCharType="begin"/>
            </w:r>
            <w:r w:rsidRPr="006373AD">
              <w:rPr>
                <w:noProof/>
                <w:webHidden/>
                <w:szCs w:val="24"/>
              </w:rPr>
              <w:instrText xml:space="preserve"> PAGEREF _Toc131331230 \h </w:instrText>
            </w:r>
            <w:r w:rsidRPr="006373AD">
              <w:rPr>
                <w:noProof/>
                <w:webHidden/>
                <w:szCs w:val="24"/>
              </w:rPr>
            </w:r>
            <w:r w:rsidRPr="006373AD">
              <w:rPr>
                <w:noProof/>
                <w:webHidden/>
                <w:szCs w:val="24"/>
              </w:rPr>
              <w:fldChar w:fldCharType="separate"/>
            </w:r>
            <w:r w:rsidRPr="006373AD">
              <w:rPr>
                <w:noProof/>
                <w:webHidden/>
                <w:szCs w:val="24"/>
              </w:rPr>
              <w:t>5</w:t>
            </w:r>
            <w:r w:rsidRPr="006373AD">
              <w:rPr>
                <w:noProof/>
                <w:webHidden/>
                <w:szCs w:val="24"/>
              </w:rPr>
              <w:fldChar w:fldCharType="end"/>
            </w:r>
          </w:hyperlink>
        </w:p>
        <w:p w14:paraId="32DD8BF2" w14:textId="1079AD7B" w:rsidR="006373AD" w:rsidRPr="006373AD" w:rsidRDefault="006373AD">
          <w:pPr>
            <w:pStyle w:val="TOC2"/>
            <w:rPr>
              <w:rFonts w:eastAsiaTheme="minorEastAsia"/>
              <w:noProof/>
              <w:szCs w:val="24"/>
              <w:lang w:eastAsia="lv-LV"/>
            </w:rPr>
          </w:pPr>
          <w:hyperlink w:anchor="_Toc131331231" w:history="1">
            <w:r w:rsidRPr="006373AD">
              <w:rPr>
                <w:rStyle w:val="Hyperlink"/>
                <w:noProof/>
                <w:szCs w:val="24"/>
              </w:rPr>
              <w:t>2.2. Pašreizējā ekonomiskā attīstība</w:t>
            </w:r>
            <w:r w:rsidRPr="006373AD">
              <w:rPr>
                <w:noProof/>
                <w:webHidden/>
                <w:szCs w:val="24"/>
              </w:rPr>
              <w:tab/>
            </w:r>
            <w:r w:rsidRPr="006373AD">
              <w:rPr>
                <w:noProof/>
                <w:webHidden/>
                <w:szCs w:val="24"/>
              </w:rPr>
              <w:fldChar w:fldCharType="begin"/>
            </w:r>
            <w:r w:rsidRPr="006373AD">
              <w:rPr>
                <w:noProof/>
                <w:webHidden/>
                <w:szCs w:val="24"/>
              </w:rPr>
              <w:instrText xml:space="preserve"> PAGEREF _Toc131331231 \h </w:instrText>
            </w:r>
            <w:r w:rsidRPr="006373AD">
              <w:rPr>
                <w:noProof/>
                <w:webHidden/>
                <w:szCs w:val="24"/>
              </w:rPr>
            </w:r>
            <w:r w:rsidRPr="006373AD">
              <w:rPr>
                <w:noProof/>
                <w:webHidden/>
                <w:szCs w:val="24"/>
              </w:rPr>
              <w:fldChar w:fldCharType="separate"/>
            </w:r>
            <w:r w:rsidRPr="006373AD">
              <w:rPr>
                <w:noProof/>
                <w:webHidden/>
                <w:szCs w:val="24"/>
              </w:rPr>
              <w:t>6</w:t>
            </w:r>
            <w:r w:rsidRPr="006373AD">
              <w:rPr>
                <w:noProof/>
                <w:webHidden/>
                <w:szCs w:val="24"/>
              </w:rPr>
              <w:fldChar w:fldCharType="end"/>
            </w:r>
          </w:hyperlink>
        </w:p>
        <w:p w14:paraId="784E93C2" w14:textId="71387E11" w:rsidR="006373AD" w:rsidRPr="006373AD" w:rsidRDefault="006373AD">
          <w:pPr>
            <w:pStyle w:val="TOC2"/>
            <w:rPr>
              <w:rFonts w:eastAsiaTheme="minorEastAsia"/>
              <w:noProof/>
              <w:szCs w:val="24"/>
              <w:lang w:eastAsia="lv-LV"/>
            </w:rPr>
          </w:pPr>
          <w:hyperlink w:anchor="_Toc131331232" w:history="1">
            <w:r w:rsidRPr="006373AD">
              <w:rPr>
                <w:rStyle w:val="Hyperlink"/>
                <w:noProof/>
                <w:szCs w:val="24"/>
              </w:rPr>
              <w:t>2.3.</w:t>
            </w:r>
            <w:r w:rsidRPr="006373AD">
              <w:rPr>
                <w:rFonts w:eastAsiaTheme="minorEastAsia"/>
                <w:noProof/>
                <w:szCs w:val="24"/>
                <w:lang w:eastAsia="lv-LV"/>
              </w:rPr>
              <w:tab/>
            </w:r>
            <w:r w:rsidRPr="006373AD">
              <w:rPr>
                <w:rStyle w:val="Hyperlink"/>
                <w:noProof/>
                <w:szCs w:val="24"/>
              </w:rPr>
              <w:t>Makroekonomiskās attīstības scenārijs</w:t>
            </w:r>
            <w:r w:rsidRPr="006373AD">
              <w:rPr>
                <w:noProof/>
                <w:webHidden/>
                <w:szCs w:val="24"/>
              </w:rPr>
              <w:tab/>
            </w:r>
            <w:r w:rsidRPr="006373AD">
              <w:rPr>
                <w:noProof/>
                <w:webHidden/>
                <w:szCs w:val="24"/>
              </w:rPr>
              <w:fldChar w:fldCharType="begin"/>
            </w:r>
            <w:r w:rsidRPr="006373AD">
              <w:rPr>
                <w:noProof/>
                <w:webHidden/>
                <w:szCs w:val="24"/>
              </w:rPr>
              <w:instrText xml:space="preserve"> PAGEREF _Toc131331232 \h </w:instrText>
            </w:r>
            <w:r w:rsidRPr="006373AD">
              <w:rPr>
                <w:noProof/>
                <w:webHidden/>
                <w:szCs w:val="24"/>
              </w:rPr>
            </w:r>
            <w:r w:rsidRPr="006373AD">
              <w:rPr>
                <w:noProof/>
                <w:webHidden/>
                <w:szCs w:val="24"/>
              </w:rPr>
              <w:fldChar w:fldCharType="separate"/>
            </w:r>
            <w:r w:rsidRPr="006373AD">
              <w:rPr>
                <w:noProof/>
                <w:webHidden/>
                <w:szCs w:val="24"/>
              </w:rPr>
              <w:t>21</w:t>
            </w:r>
            <w:r w:rsidRPr="006373AD">
              <w:rPr>
                <w:noProof/>
                <w:webHidden/>
                <w:szCs w:val="24"/>
              </w:rPr>
              <w:fldChar w:fldCharType="end"/>
            </w:r>
          </w:hyperlink>
        </w:p>
        <w:p w14:paraId="7987794D" w14:textId="586E99BC" w:rsidR="006373AD" w:rsidRPr="006373AD" w:rsidRDefault="006373AD">
          <w:pPr>
            <w:pStyle w:val="TOC1"/>
            <w:rPr>
              <w:rFonts w:eastAsiaTheme="minorEastAsia"/>
              <w:noProof/>
              <w:szCs w:val="24"/>
              <w:lang w:eastAsia="lv-LV"/>
            </w:rPr>
          </w:pPr>
          <w:hyperlink w:anchor="_Toc131331233" w:history="1">
            <w:r w:rsidRPr="006373AD">
              <w:rPr>
                <w:rStyle w:val="Hyperlink"/>
                <w:noProof/>
                <w:szCs w:val="24"/>
              </w:rPr>
              <w:t>3. Vispārējās valdības budžeta bilance un parāds</w:t>
            </w:r>
            <w:r w:rsidRPr="006373AD">
              <w:rPr>
                <w:noProof/>
                <w:webHidden/>
                <w:szCs w:val="24"/>
              </w:rPr>
              <w:tab/>
            </w:r>
            <w:r w:rsidRPr="006373AD">
              <w:rPr>
                <w:noProof/>
                <w:webHidden/>
                <w:szCs w:val="24"/>
              </w:rPr>
              <w:fldChar w:fldCharType="begin"/>
            </w:r>
            <w:r w:rsidRPr="006373AD">
              <w:rPr>
                <w:noProof/>
                <w:webHidden/>
                <w:szCs w:val="24"/>
              </w:rPr>
              <w:instrText xml:space="preserve"> PAGEREF _Toc131331233 \h </w:instrText>
            </w:r>
            <w:r w:rsidRPr="006373AD">
              <w:rPr>
                <w:noProof/>
                <w:webHidden/>
                <w:szCs w:val="24"/>
              </w:rPr>
            </w:r>
            <w:r w:rsidRPr="006373AD">
              <w:rPr>
                <w:noProof/>
                <w:webHidden/>
                <w:szCs w:val="24"/>
              </w:rPr>
              <w:fldChar w:fldCharType="separate"/>
            </w:r>
            <w:r w:rsidRPr="006373AD">
              <w:rPr>
                <w:noProof/>
                <w:webHidden/>
                <w:szCs w:val="24"/>
              </w:rPr>
              <w:t>24</w:t>
            </w:r>
            <w:r w:rsidRPr="006373AD">
              <w:rPr>
                <w:noProof/>
                <w:webHidden/>
                <w:szCs w:val="24"/>
              </w:rPr>
              <w:fldChar w:fldCharType="end"/>
            </w:r>
          </w:hyperlink>
        </w:p>
        <w:p w14:paraId="5D457AAE" w14:textId="7814DE8B" w:rsidR="006373AD" w:rsidRPr="006373AD" w:rsidRDefault="006373AD">
          <w:pPr>
            <w:pStyle w:val="TOC2"/>
            <w:rPr>
              <w:rFonts w:eastAsiaTheme="minorEastAsia"/>
              <w:noProof/>
              <w:szCs w:val="24"/>
              <w:lang w:eastAsia="lv-LV"/>
            </w:rPr>
          </w:pPr>
          <w:hyperlink w:anchor="_Toc131331234" w:history="1">
            <w:r w:rsidRPr="006373AD">
              <w:rPr>
                <w:rStyle w:val="Hyperlink"/>
                <w:noProof/>
                <w:szCs w:val="24"/>
              </w:rPr>
              <w:t>3.1. Fiskālās politikas stratēģija un vidēja termiņa mērķi</w:t>
            </w:r>
            <w:r w:rsidRPr="006373AD">
              <w:rPr>
                <w:noProof/>
                <w:webHidden/>
                <w:szCs w:val="24"/>
              </w:rPr>
              <w:tab/>
            </w:r>
            <w:r w:rsidRPr="006373AD">
              <w:rPr>
                <w:noProof/>
                <w:webHidden/>
                <w:szCs w:val="24"/>
              </w:rPr>
              <w:fldChar w:fldCharType="begin"/>
            </w:r>
            <w:r w:rsidRPr="006373AD">
              <w:rPr>
                <w:noProof/>
                <w:webHidden/>
                <w:szCs w:val="24"/>
              </w:rPr>
              <w:instrText xml:space="preserve"> PAGEREF _Toc131331234 \h </w:instrText>
            </w:r>
            <w:r w:rsidRPr="006373AD">
              <w:rPr>
                <w:noProof/>
                <w:webHidden/>
                <w:szCs w:val="24"/>
              </w:rPr>
            </w:r>
            <w:r w:rsidRPr="006373AD">
              <w:rPr>
                <w:noProof/>
                <w:webHidden/>
                <w:szCs w:val="24"/>
              </w:rPr>
              <w:fldChar w:fldCharType="separate"/>
            </w:r>
            <w:r w:rsidRPr="006373AD">
              <w:rPr>
                <w:noProof/>
                <w:webHidden/>
                <w:szCs w:val="24"/>
              </w:rPr>
              <w:t>24</w:t>
            </w:r>
            <w:r w:rsidRPr="006373AD">
              <w:rPr>
                <w:noProof/>
                <w:webHidden/>
                <w:szCs w:val="24"/>
              </w:rPr>
              <w:fldChar w:fldCharType="end"/>
            </w:r>
          </w:hyperlink>
        </w:p>
        <w:p w14:paraId="4D803ADA" w14:textId="2759ADE0" w:rsidR="006373AD" w:rsidRPr="006373AD" w:rsidRDefault="006373AD">
          <w:pPr>
            <w:pStyle w:val="TOC3"/>
            <w:rPr>
              <w:rFonts w:eastAsiaTheme="minorEastAsia"/>
              <w:noProof/>
              <w:szCs w:val="24"/>
              <w:lang w:eastAsia="lv-LV"/>
            </w:rPr>
          </w:pPr>
          <w:hyperlink w:anchor="_Toc131331235" w:history="1">
            <w:r w:rsidRPr="006373AD">
              <w:rPr>
                <w:rStyle w:val="Hyperlink"/>
                <w:noProof/>
                <w:szCs w:val="24"/>
              </w:rPr>
              <w:t>3.1.1</w:t>
            </w:r>
            <w:r w:rsidRPr="006373AD">
              <w:rPr>
                <w:rFonts w:eastAsiaTheme="minorEastAsia"/>
                <w:noProof/>
                <w:szCs w:val="24"/>
                <w:lang w:eastAsia="lv-LV"/>
              </w:rPr>
              <w:t xml:space="preserve">. </w:t>
            </w:r>
            <w:r w:rsidRPr="006373AD">
              <w:rPr>
                <w:rStyle w:val="Hyperlink"/>
                <w:noProof/>
                <w:szCs w:val="24"/>
              </w:rPr>
              <w:t>Fiskālās politikas stratēģija</w:t>
            </w:r>
            <w:r w:rsidRPr="006373AD">
              <w:rPr>
                <w:noProof/>
                <w:webHidden/>
                <w:szCs w:val="24"/>
              </w:rPr>
              <w:tab/>
            </w:r>
            <w:r w:rsidRPr="006373AD">
              <w:rPr>
                <w:noProof/>
                <w:webHidden/>
                <w:szCs w:val="24"/>
              </w:rPr>
              <w:fldChar w:fldCharType="begin"/>
            </w:r>
            <w:r w:rsidRPr="006373AD">
              <w:rPr>
                <w:noProof/>
                <w:webHidden/>
                <w:szCs w:val="24"/>
              </w:rPr>
              <w:instrText xml:space="preserve"> PAGEREF _Toc131331235 \h </w:instrText>
            </w:r>
            <w:r w:rsidRPr="006373AD">
              <w:rPr>
                <w:noProof/>
                <w:webHidden/>
                <w:szCs w:val="24"/>
              </w:rPr>
            </w:r>
            <w:r w:rsidRPr="006373AD">
              <w:rPr>
                <w:noProof/>
                <w:webHidden/>
                <w:szCs w:val="24"/>
              </w:rPr>
              <w:fldChar w:fldCharType="separate"/>
            </w:r>
            <w:r w:rsidRPr="006373AD">
              <w:rPr>
                <w:noProof/>
                <w:webHidden/>
                <w:szCs w:val="24"/>
              </w:rPr>
              <w:t>24</w:t>
            </w:r>
            <w:r w:rsidRPr="006373AD">
              <w:rPr>
                <w:noProof/>
                <w:webHidden/>
                <w:szCs w:val="24"/>
              </w:rPr>
              <w:fldChar w:fldCharType="end"/>
            </w:r>
          </w:hyperlink>
        </w:p>
        <w:p w14:paraId="4B5EAEA3" w14:textId="12111D7E" w:rsidR="006373AD" w:rsidRPr="006373AD" w:rsidRDefault="006373AD">
          <w:pPr>
            <w:pStyle w:val="TOC3"/>
            <w:rPr>
              <w:rFonts w:eastAsiaTheme="minorEastAsia"/>
              <w:noProof/>
              <w:szCs w:val="24"/>
              <w:lang w:eastAsia="lv-LV"/>
            </w:rPr>
          </w:pPr>
          <w:hyperlink w:anchor="_Toc131331236" w:history="1">
            <w:r w:rsidRPr="006373AD">
              <w:rPr>
                <w:rStyle w:val="Hyperlink"/>
                <w:noProof/>
                <w:szCs w:val="24"/>
              </w:rPr>
              <w:t>3.1.2</w:t>
            </w:r>
            <w:r w:rsidRPr="006373AD">
              <w:rPr>
                <w:rFonts w:eastAsiaTheme="minorEastAsia"/>
                <w:noProof/>
                <w:szCs w:val="24"/>
                <w:lang w:eastAsia="lv-LV"/>
              </w:rPr>
              <w:t xml:space="preserve">. </w:t>
            </w:r>
            <w:r w:rsidRPr="006373AD">
              <w:rPr>
                <w:rStyle w:val="Hyperlink"/>
                <w:noProof/>
                <w:szCs w:val="24"/>
              </w:rPr>
              <w:t>Fiskālo nosacījumu ievērošana vidēja termiņa fiskālās politikas plānošanā</w:t>
            </w:r>
            <w:r w:rsidRPr="006373AD">
              <w:rPr>
                <w:noProof/>
                <w:webHidden/>
                <w:szCs w:val="24"/>
              </w:rPr>
              <w:tab/>
            </w:r>
            <w:r w:rsidRPr="006373AD">
              <w:rPr>
                <w:noProof/>
                <w:webHidden/>
                <w:szCs w:val="24"/>
              </w:rPr>
              <w:fldChar w:fldCharType="begin"/>
            </w:r>
            <w:r w:rsidRPr="006373AD">
              <w:rPr>
                <w:noProof/>
                <w:webHidden/>
                <w:szCs w:val="24"/>
              </w:rPr>
              <w:instrText xml:space="preserve"> PAGEREF _Toc131331236 \h </w:instrText>
            </w:r>
            <w:r w:rsidRPr="006373AD">
              <w:rPr>
                <w:noProof/>
                <w:webHidden/>
                <w:szCs w:val="24"/>
              </w:rPr>
            </w:r>
            <w:r w:rsidRPr="006373AD">
              <w:rPr>
                <w:noProof/>
                <w:webHidden/>
                <w:szCs w:val="24"/>
              </w:rPr>
              <w:fldChar w:fldCharType="separate"/>
            </w:r>
            <w:r w:rsidRPr="006373AD">
              <w:rPr>
                <w:noProof/>
                <w:webHidden/>
                <w:szCs w:val="24"/>
              </w:rPr>
              <w:t>27</w:t>
            </w:r>
            <w:r w:rsidRPr="006373AD">
              <w:rPr>
                <w:noProof/>
                <w:webHidden/>
                <w:szCs w:val="24"/>
              </w:rPr>
              <w:fldChar w:fldCharType="end"/>
            </w:r>
          </w:hyperlink>
        </w:p>
        <w:p w14:paraId="0A5E7D35" w14:textId="1CDF13E5" w:rsidR="006373AD" w:rsidRPr="006373AD" w:rsidRDefault="006373AD">
          <w:pPr>
            <w:pStyle w:val="TOC3"/>
            <w:rPr>
              <w:rFonts w:eastAsiaTheme="minorEastAsia"/>
              <w:noProof/>
              <w:szCs w:val="24"/>
              <w:lang w:eastAsia="lv-LV"/>
            </w:rPr>
          </w:pPr>
          <w:hyperlink w:anchor="_Toc131331237" w:history="1">
            <w:r w:rsidRPr="006373AD">
              <w:rPr>
                <w:rStyle w:val="Hyperlink"/>
                <w:noProof/>
                <w:szCs w:val="24"/>
              </w:rPr>
              <w:t>3.1.3.</w:t>
            </w:r>
            <w:r w:rsidRPr="006373AD">
              <w:rPr>
                <w:rFonts w:eastAsiaTheme="minorEastAsia"/>
                <w:noProof/>
                <w:szCs w:val="24"/>
                <w:lang w:eastAsia="lv-LV"/>
              </w:rPr>
              <w:t xml:space="preserve"> </w:t>
            </w:r>
            <w:r w:rsidRPr="006373AD">
              <w:rPr>
                <w:rStyle w:val="Hyperlink"/>
                <w:noProof/>
                <w:szCs w:val="24"/>
              </w:rPr>
              <w:t>2024., 2025. un 2026. gada vispārējās valdības budžeta strukturālās bilances mērķi un Stabilitātes programmas fiskālā trajektorija</w:t>
            </w:r>
            <w:r w:rsidRPr="006373AD">
              <w:rPr>
                <w:noProof/>
                <w:webHidden/>
                <w:szCs w:val="24"/>
              </w:rPr>
              <w:tab/>
            </w:r>
            <w:r w:rsidRPr="006373AD">
              <w:rPr>
                <w:noProof/>
                <w:webHidden/>
                <w:szCs w:val="24"/>
              </w:rPr>
              <w:fldChar w:fldCharType="begin"/>
            </w:r>
            <w:r w:rsidRPr="006373AD">
              <w:rPr>
                <w:noProof/>
                <w:webHidden/>
                <w:szCs w:val="24"/>
              </w:rPr>
              <w:instrText xml:space="preserve"> PAGEREF _Toc131331237 \h </w:instrText>
            </w:r>
            <w:r w:rsidRPr="006373AD">
              <w:rPr>
                <w:noProof/>
                <w:webHidden/>
                <w:szCs w:val="24"/>
              </w:rPr>
            </w:r>
            <w:r w:rsidRPr="006373AD">
              <w:rPr>
                <w:noProof/>
                <w:webHidden/>
                <w:szCs w:val="24"/>
              </w:rPr>
              <w:fldChar w:fldCharType="separate"/>
            </w:r>
            <w:r w:rsidRPr="006373AD">
              <w:rPr>
                <w:noProof/>
                <w:webHidden/>
                <w:szCs w:val="24"/>
              </w:rPr>
              <w:t>28</w:t>
            </w:r>
            <w:r w:rsidRPr="006373AD">
              <w:rPr>
                <w:noProof/>
                <w:webHidden/>
                <w:szCs w:val="24"/>
              </w:rPr>
              <w:fldChar w:fldCharType="end"/>
            </w:r>
          </w:hyperlink>
        </w:p>
        <w:p w14:paraId="65F6137F" w14:textId="02164D3C" w:rsidR="006373AD" w:rsidRPr="006373AD" w:rsidRDefault="006373AD">
          <w:pPr>
            <w:pStyle w:val="TOC3"/>
            <w:rPr>
              <w:rFonts w:eastAsiaTheme="minorEastAsia"/>
              <w:noProof/>
              <w:szCs w:val="24"/>
              <w:lang w:eastAsia="lv-LV"/>
            </w:rPr>
          </w:pPr>
          <w:hyperlink w:anchor="_Toc131331238" w:history="1">
            <w:r w:rsidRPr="006373AD">
              <w:rPr>
                <w:rStyle w:val="Hyperlink"/>
                <w:noProof/>
                <w:szCs w:val="24"/>
              </w:rPr>
              <w:t>3.1.4.</w:t>
            </w:r>
            <w:r w:rsidRPr="006373AD">
              <w:rPr>
                <w:rFonts w:eastAsiaTheme="minorEastAsia"/>
                <w:noProof/>
                <w:szCs w:val="24"/>
                <w:lang w:eastAsia="lv-LV"/>
              </w:rPr>
              <w:t xml:space="preserve"> </w:t>
            </w:r>
            <w:r w:rsidRPr="006373AD">
              <w:rPr>
                <w:rStyle w:val="Hyperlink"/>
                <w:noProof/>
                <w:szCs w:val="24"/>
              </w:rPr>
              <w:t>Diskrecionārie pasākumi</w:t>
            </w:r>
            <w:r w:rsidRPr="006373AD">
              <w:rPr>
                <w:noProof/>
                <w:webHidden/>
                <w:szCs w:val="24"/>
              </w:rPr>
              <w:tab/>
            </w:r>
            <w:r w:rsidRPr="006373AD">
              <w:rPr>
                <w:noProof/>
                <w:webHidden/>
                <w:szCs w:val="24"/>
              </w:rPr>
              <w:fldChar w:fldCharType="begin"/>
            </w:r>
            <w:r w:rsidRPr="006373AD">
              <w:rPr>
                <w:noProof/>
                <w:webHidden/>
                <w:szCs w:val="24"/>
              </w:rPr>
              <w:instrText xml:space="preserve"> PAGEREF _Toc131331238 \h </w:instrText>
            </w:r>
            <w:r w:rsidRPr="006373AD">
              <w:rPr>
                <w:noProof/>
                <w:webHidden/>
                <w:szCs w:val="24"/>
              </w:rPr>
            </w:r>
            <w:r w:rsidRPr="006373AD">
              <w:rPr>
                <w:noProof/>
                <w:webHidden/>
                <w:szCs w:val="24"/>
              </w:rPr>
              <w:fldChar w:fldCharType="separate"/>
            </w:r>
            <w:r w:rsidRPr="006373AD">
              <w:rPr>
                <w:noProof/>
                <w:webHidden/>
                <w:szCs w:val="24"/>
              </w:rPr>
              <w:t>29</w:t>
            </w:r>
            <w:r w:rsidRPr="006373AD">
              <w:rPr>
                <w:noProof/>
                <w:webHidden/>
                <w:szCs w:val="24"/>
              </w:rPr>
              <w:fldChar w:fldCharType="end"/>
            </w:r>
          </w:hyperlink>
        </w:p>
        <w:p w14:paraId="2C56E6A6" w14:textId="4B234080" w:rsidR="006373AD" w:rsidRPr="006373AD" w:rsidRDefault="006373AD">
          <w:pPr>
            <w:pStyle w:val="TOC2"/>
            <w:rPr>
              <w:rFonts w:eastAsiaTheme="minorEastAsia"/>
              <w:noProof/>
              <w:szCs w:val="24"/>
              <w:lang w:eastAsia="lv-LV"/>
            </w:rPr>
          </w:pPr>
          <w:hyperlink w:anchor="_Toc131331239" w:history="1">
            <w:r w:rsidRPr="006373AD">
              <w:rPr>
                <w:rStyle w:val="Hyperlink"/>
                <w:rFonts w:eastAsia="Calibri"/>
                <w:noProof/>
                <w:szCs w:val="24"/>
              </w:rPr>
              <w:t>3.2. Pašreizējā fiskālā situācija</w:t>
            </w:r>
            <w:r w:rsidRPr="006373AD">
              <w:rPr>
                <w:noProof/>
                <w:webHidden/>
                <w:szCs w:val="24"/>
              </w:rPr>
              <w:tab/>
            </w:r>
            <w:r w:rsidRPr="006373AD">
              <w:rPr>
                <w:noProof/>
                <w:webHidden/>
                <w:szCs w:val="24"/>
              </w:rPr>
              <w:fldChar w:fldCharType="begin"/>
            </w:r>
            <w:r w:rsidRPr="006373AD">
              <w:rPr>
                <w:noProof/>
                <w:webHidden/>
                <w:szCs w:val="24"/>
              </w:rPr>
              <w:instrText xml:space="preserve"> PAGEREF _Toc131331239 \h </w:instrText>
            </w:r>
            <w:r w:rsidRPr="006373AD">
              <w:rPr>
                <w:noProof/>
                <w:webHidden/>
                <w:szCs w:val="24"/>
              </w:rPr>
            </w:r>
            <w:r w:rsidRPr="006373AD">
              <w:rPr>
                <w:noProof/>
                <w:webHidden/>
                <w:szCs w:val="24"/>
              </w:rPr>
              <w:fldChar w:fldCharType="separate"/>
            </w:r>
            <w:r w:rsidRPr="006373AD">
              <w:rPr>
                <w:noProof/>
                <w:webHidden/>
                <w:szCs w:val="24"/>
              </w:rPr>
              <w:t>30</w:t>
            </w:r>
            <w:r w:rsidRPr="006373AD">
              <w:rPr>
                <w:noProof/>
                <w:webHidden/>
                <w:szCs w:val="24"/>
              </w:rPr>
              <w:fldChar w:fldCharType="end"/>
            </w:r>
          </w:hyperlink>
        </w:p>
        <w:p w14:paraId="1CDB3D48" w14:textId="4C56818F" w:rsidR="006373AD" w:rsidRPr="006373AD" w:rsidRDefault="006373AD">
          <w:pPr>
            <w:pStyle w:val="TOC2"/>
            <w:rPr>
              <w:rFonts w:eastAsiaTheme="minorEastAsia"/>
              <w:noProof/>
              <w:szCs w:val="24"/>
              <w:lang w:eastAsia="lv-LV"/>
            </w:rPr>
          </w:pPr>
          <w:hyperlink w:anchor="_Toc131331240" w:history="1">
            <w:r w:rsidRPr="006373AD">
              <w:rPr>
                <w:rStyle w:val="Hyperlink"/>
                <w:noProof/>
                <w:szCs w:val="24"/>
              </w:rPr>
              <w:t>3.3. Atbalsta pasākumi krīžu seku mazināšanai</w:t>
            </w:r>
            <w:r w:rsidRPr="006373AD">
              <w:rPr>
                <w:noProof/>
                <w:webHidden/>
                <w:szCs w:val="24"/>
              </w:rPr>
              <w:tab/>
            </w:r>
            <w:r w:rsidRPr="006373AD">
              <w:rPr>
                <w:noProof/>
                <w:webHidden/>
                <w:szCs w:val="24"/>
              </w:rPr>
              <w:fldChar w:fldCharType="begin"/>
            </w:r>
            <w:r w:rsidRPr="006373AD">
              <w:rPr>
                <w:noProof/>
                <w:webHidden/>
                <w:szCs w:val="24"/>
              </w:rPr>
              <w:instrText xml:space="preserve"> PAGEREF _Toc131331240 \h </w:instrText>
            </w:r>
            <w:r w:rsidRPr="006373AD">
              <w:rPr>
                <w:noProof/>
                <w:webHidden/>
                <w:szCs w:val="24"/>
              </w:rPr>
            </w:r>
            <w:r w:rsidRPr="006373AD">
              <w:rPr>
                <w:noProof/>
                <w:webHidden/>
                <w:szCs w:val="24"/>
              </w:rPr>
              <w:fldChar w:fldCharType="separate"/>
            </w:r>
            <w:r w:rsidRPr="006373AD">
              <w:rPr>
                <w:noProof/>
                <w:webHidden/>
                <w:szCs w:val="24"/>
              </w:rPr>
              <w:t>33</w:t>
            </w:r>
            <w:r w:rsidRPr="006373AD">
              <w:rPr>
                <w:noProof/>
                <w:webHidden/>
                <w:szCs w:val="24"/>
              </w:rPr>
              <w:fldChar w:fldCharType="end"/>
            </w:r>
          </w:hyperlink>
        </w:p>
        <w:p w14:paraId="21CAB7DE" w14:textId="34938132" w:rsidR="006373AD" w:rsidRPr="006373AD" w:rsidRDefault="006373AD">
          <w:pPr>
            <w:pStyle w:val="TOC2"/>
            <w:rPr>
              <w:rFonts w:eastAsiaTheme="minorEastAsia"/>
              <w:noProof/>
              <w:szCs w:val="24"/>
              <w:lang w:eastAsia="lv-LV"/>
            </w:rPr>
          </w:pPr>
          <w:hyperlink w:anchor="_Toc131331241" w:history="1">
            <w:r w:rsidRPr="006373AD">
              <w:rPr>
                <w:rStyle w:val="Hyperlink"/>
                <w:noProof/>
                <w:szCs w:val="24"/>
              </w:rPr>
              <w:t>3.4.</w:t>
            </w:r>
            <w:r w:rsidRPr="006373AD">
              <w:rPr>
                <w:rFonts w:eastAsiaTheme="minorEastAsia"/>
                <w:noProof/>
                <w:szCs w:val="24"/>
                <w:lang w:eastAsia="lv-LV"/>
              </w:rPr>
              <w:tab/>
            </w:r>
            <w:r w:rsidRPr="006373AD">
              <w:rPr>
                <w:rStyle w:val="Hyperlink"/>
                <w:noProof/>
                <w:szCs w:val="24"/>
              </w:rPr>
              <w:t>Fiskālās attīstības scenārijs</w:t>
            </w:r>
            <w:r w:rsidRPr="006373AD">
              <w:rPr>
                <w:noProof/>
                <w:webHidden/>
                <w:szCs w:val="24"/>
              </w:rPr>
              <w:tab/>
            </w:r>
            <w:r w:rsidRPr="006373AD">
              <w:rPr>
                <w:noProof/>
                <w:webHidden/>
                <w:szCs w:val="24"/>
              </w:rPr>
              <w:fldChar w:fldCharType="begin"/>
            </w:r>
            <w:r w:rsidRPr="006373AD">
              <w:rPr>
                <w:noProof/>
                <w:webHidden/>
                <w:szCs w:val="24"/>
              </w:rPr>
              <w:instrText xml:space="preserve"> PAGEREF _Toc131331241 \h </w:instrText>
            </w:r>
            <w:r w:rsidRPr="006373AD">
              <w:rPr>
                <w:noProof/>
                <w:webHidden/>
                <w:szCs w:val="24"/>
              </w:rPr>
            </w:r>
            <w:r w:rsidRPr="006373AD">
              <w:rPr>
                <w:noProof/>
                <w:webHidden/>
                <w:szCs w:val="24"/>
              </w:rPr>
              <w:fldChar w:fldCharType="separate"/>
            </w:r>
            <w:r w:rsidRPr="006373AD">
              <w:rPr>
                <w:noProof/>
                <w:webHidden/>
                <w:szCs w:val="24"/>
              </w:rPr>
              <w:t>37</w:t>
            </w:r>
            <w:r w:rsidRPr="006373AD">
              <w:rPr>
                <w:noProof/>
                <w:webHidden/>
                <w:szCs w:val="24"/>
              </w:rPr>
              <w:fldChar w:fldCharType="end"/>
            </w:r>
          </w:hyperlink>
        </w:p>
        <w:p w14:paraId="78FC88C6" w14:textId="411C4B5C" w:rsidR="006373AD" w:rsidRPr="00B6580D" w:rsidRDefault="00B6580D" w:rsidP="00B6580D">
          <w:pPr>
            <w:pStyle w:val="TOC2"/>
            <w:ind w:left="0" w:firstLine="0"/>
            <w:rPr>
              <w:rFonts w:eastAsiaTheme="minorEastAsia"/>
              <w:noProof/>
              <w:szCs w:val="24"/>
              <w:lang w:eastAsia="lv-LV"/>
            </w:rPr>
          </w:pPr>
          <w:r w:rsidRPr="00B6580D">
            <w:rPr>
              <w:rStyle w:val="Hyperlink"/>
              <w:noProof/>
              <w:color w:val="auto"/>
              <w:szCs w:val="24"/>
              <w:u w:val="none"/>
            </w:rPr>
            <w:t xml:space="preserve">            </w:t>
          </w:r>
          <w:hyperlink w:anchor="_Toc131331242" w:history="1">
            <w:r w:rsidR="006373AD" w:rsidRPr="00B6580D">
              <w:rPr>
                <w:rStyle w:val="Hyperlink"/>
                <w:noProof/>
                <w:color w:val="auto"/>
                <w:szCs w:val="24"/>
                <w:u w:val="none"/>
              </w:rPr>
              <w:t>3.4.1.</w:t>
            </w:r>
            <w:r w:rsidR="006373AD" w:rsidRPr="00B6580D">
              <w:rPr>
                <w:rFonts w:eastAsiaTheme="minorEastAsia"/>
                <w:noProof/>
                <w:szCs w:val="24"/>
                <w:lang w:eastAsia="lv-LV"/>
              </w:rPr>
              <w:t xml:space="preserve"> </w:t>
            </w:r>
            <w:r w:rsidR="006373AD" w:rsidRPr="00B6580D">
              <w:rPr>
                <w:rStyle w:val="Hyperlink"/>
                <w:noProof/>
                <w:color w:val="auto"/>
                <w:szCs w:val="24"/>
                <w:u w:val="none"/>
              </w:rPr>
              <w:t>Fiskālās attīstības scenārijs pie nemainīgas politikas</w:t>
            </w:r>
            <w:r w:rsidR="006373AD" w:rsidRPr="00B6580D">
              <w:rPr>
                <w:noProof/>
                <w:webHidden/>
                <w:szCs w:val="24"/>
              </w:rPr>
              <w:tab/>
            </w:r>
            <w:r w:rsidR="006373AD" w:rsidRPr="00B6580D">
              <w:rPr>
                <w:noProof/>
                <w:webHidden/>
                <w:szCs w:val="24"/>
              </w:rPr>
              <w:fldChar w:fldCharType="begin"/>
            </w:r>
            <w:r w:rsidR="006373AD" w:rsidRPr="00B6580D">
              <w:rPr>
                <w:noProof/>
                <w:webHidden/>
                <w:szCs w:val="24"/>
              </w:rPr>
              <w:instrText xml:space="preserve"> PAGEREF _Toc131331242 \h </w:instrText>
            </w:r>
            <w:r w:rsidR="006373AD" w:rsidRPr="00B6580D">
              <w:rPr>
                <w:noProof/>
                <w:webHidden/>
                <w:szCs w:val="24"/>
              </w:rPr>
            </w:r>
            <w:r w:rsidR="006373AD" w:rsidRPr="00B6580D">
              <w:rPr>
                <w:noProof/>
                <w:webHidden/>
                <w:szCs w:val="24"/>
              </w:rPr>
              <w:fldChar w:fldCharType="separate"/>
            </w:r>
            <w:r w:rsidR="006373AD" w:rsidRPr="00B6580D">
              <w:rPr>
                <w:noProof/>
                <w:webHidden/>
                <w:szCs w:val="24"/>
              </w:rPr>
              <w:t>37</w:t>
            </w:r>
            <w:r w:rsidR="006373AD" w:rsidRPr="00B6580D">
              <w:rPr>
                <w:noProof/>
                <w:webHidden/>
                <w:szCs w:val="24"/>
              </w:rPr>
              <w:fldChar w:fldCharType="end"/>
            </w:r>
          </w:hyperlink>
        </w:p>
        <w:p w14:paraId="0B181EED" w14:textId="7DC227F1" w:rsidR="006373AD" w:rsidRPr="00B6580D" w:rsidRDefault="006373AD">
          <w:pPr>
            <w:pStyle w:val="TOC2"/>
            <w:rPr>
              <w:rFonts w:eastAsiaTheme="minorEastAsia"/>
              <w:noProof/>
              <w:szCs w:val="24"/>
              <w:lang w:eastAsia="lv-LV"/>
            </w:rPr>
          </w:pPr>
          <w:r w:rsidRPr="00B6580D">
            <w:rPr>
              <w:rStyle w:val="Hyperlink"/>
              <w:noProof/>
              <w:color w:val="auto"/>
              <w:szCs w:val="24"/>
              <w:u w:val="none"/>
            </w:rPr>
            <w:t xml:space="preserve">     </w:t>
          </w:r>
          <w:hyperlink w:anchor="_Toc131331243" w:history="1">
            <w:r w:rsidRPr="00B6580D">
              <w:rPr>
                <w:rStyle w:val="Hyperlink"/>
                <w:noProof/>
                <w:szCs w:val="24"/>
              </w:rPr>
              <w:t>3.4.2.</w:t>
            </w:r>
            <w:r w:rsidRPr="00B6580D">
              <w:rPr>
                <w:rFonts w:eastAsiaTheme="minorEastAsia"/>
                <w:noProof/>
                <w:szCs w:val="24"/>
                <w:lang w:eastAsia="lv-LV"/>
              </w:rPr>
              <w:t xml:space="preserve"> </w:t>
            </w:r>
            <w:r w:rsidRPr="00B6580D">
              <w:rPr>
                <w:rStyle w:val="Hyperlink"/>
                <w:noProof/>
                <w:szCs w:val="24"/>
              </w:rPr>
              <w:t>No fiskālās stratēģijas izrietošie fiskālie rādītāji un fiskālā telpa</w:t>
            </w:r>
            <w:r w:rsidRPr="00B6580D">
              <w:rPr>
                <w:noProof/>
                <w:webHidden/>
                <w:szCs w:val="24"/>
              </w:rPr>
              <w:tab/>
            </w:r>
            <w:r w:rsidRPr="00B6580D">
              <w:rPr>
                <w:noProof/>
                <w:webHidden/>
                <w:szCs w:val="24"/>
              </w:rPr>
              <w:fldChar w:fldCharType="begin"/>
            </w:r>
            <w:r w:rsidRPr="00B6580D">
              <w:rPr>
                <w:noProof/>
                <w:webHidden/>
                <w:szCs w:val="24"/>
              </w:rPr>
              <w:instrText xml:space="preserve"> PAGEREF _Toc131331243 \h </w:instrText>
            </w:r>
            <w:r w:rsidRPr="00B6580D">
              <w:rPr>
                <w:noProof/>
                <w:webHidden/>
                <w:szCs w:val="24"/>
              </w:rPr>
            </w:r>
            <w:r w:rsidRPr="00B6580D">
              <w:rPr>
                <w:noProof/>
                <w:webHidden/>
                <w:szCs w:val="24"/>
              </w:rPr>
              <w:fldChar w:fldCharType="separate"/>
            </w:r>
            <w:r w:rsidRPr="00B6580D">
              <w:rPr>
                <w:noProof/>
                <w:webHidden/>
                <w:szCs w:val="24"/>
              </w:rPr>
              <w:t>41</w:t>
            </w:r>
            <w:r w:rsidRPr="00B6580D">
              <w:rPr>
                <w:noProof/>
                <w:webHidden/>
                <w:szCs w:val="24"/>
              </w:rPr>
              <w:fldChar w:fldCharType="end"/>
            </w:r>
          </w:hyperlink>
        </w:p>
        <w:p w14:paraId="37671B7A" w14:textId="751E35D5" w:rsidR="006373AD" w:rsidRPr="006373AD" w:rsidRDefault="006373AD">
          <w:pPr>
            <w:pStyle w:val="TOC2"/>
            <w:rPr>
              <w:rFonts w:eastAsiaTheme="minorEastAsia"/>
              <w:noProof/>
              <w:szCs w:val="24"/>
              <w:lang w:eastAsia="lv-LV"/>
            </w:rPr>
          </w:pPr>
          <w:hyperlink w:anchor="_Toc131331244" w:history="1">
            <w:r w:rsidRPr="00B6580D">
              <w:rPr>
                <w:rStyle w:val="Hyperlink"/>
                <w:rFonts w:eastAsia="Calibri"/>
                <w:noProof/>
                <w:szCs w:val="24"/>
              </w:rPr>
              <w:t>3.5.</w:t>
            </w:r>
            <w:r w:rsidRPr="00B6580D">
              <w:rPr>
                <w:rFonts w:eastAsiaTheme="minorEastAsia"/>
                <w:noProof/>
                <w:szCs w:val="24"/>
                <w:lang w:eastAsia="lv-LV"/>
              </w:rPr>
              <w:tab/>
            </w:r>
            <w:r w:rsidRPr="00B6580D">
              <w:rPr>
                <w:rStyle w:val="Hyperlink"/>
                <w:rFonts w:eastAsia="Calibri"/>
                <w:noProof/>
                <w:szCs w:val="24"/>
              </w:rPr>
              <w:t>Valdības parāda vidējā termiņa attīstības tendences</w:t>
            </w:r>
            <w:r w:rsidRPr="00B6580D">
              <w:rPr>
                <w:noProof/>
                <w:webHidden/>
                <w:szCs w:val="24"/>
              </w:rPr>
              <w:tab/>
            </w:r>
            <w:r w:rsidRPr="00B6580D">
              <w:rPr>
                <w:noProof/>
                <w:webHidden/>
                <w:szCs w:val="24"/>
              </w:rPr>
              <w:fldChar w:fldCharType="begin"/>
            </w:r>
            <w:r w:rsidRPr="00B6580D">
              <w:rPr>
                <w:noProof/>
                <w:webHidden/>
                <w:szCs w:val="24"/>
              </w:rPr>
              <w:instrText xml:space="preserve"> PAGEREF _Toc131331244 \h </w:instrText>
            </w:r>
            <w:r w:rsidRPr="00B6580D">
              <w:rPr>
                <w:noProof/>
                <w:webHidden/>
                <w:szCs w:val="24"/>
              </w:rPr>
            </w:r>
            <w:r w:rsidRPr="00B6580D">
              <w:rPr>
                <w:noProof/>
                <w:webHidden/>
                <w:szCs w:val="24"/>
              </w:rPr>
              <w:fldChar w:fldCharType="separate"/>
            </w:r>
            <w:r w:rsidRPr="00B6580D">
              <w:rPr>
                <w:noProof/>
                <w:webHidden/>
                <w:szCs w:val="24"/>
              </w:rPr>
              <w:t>42</w:t>
            </w:r>
            <w:r w:rsidRPr="00B6580D">
              <w:rPr>
                <w:noProof/>
                <w:webHidden/>
                <w:szCs w:val="24"/>
              </w:rPr>
              <w:fldChar w:fldCharType="end"/>
            </w:r>
          </w:hyperlink>
        </w:p>
        <w:p w14:paraId="0995E5B3" w14:textId="09EC1355" w:rsidR="006373AD" w:rsidRPr="006373AD" w:rsidRDefault="006373AD">
          <w:pPr>
            <w:pStyle w:val="TOC1"/>
            <w:rPr>
              <w:rFonts w:eastAsiaTheme="minorEastAsia"/>
              <w:noProof/>
              <w:szCs w:val="24"/>
              <w:lang w:eastAsia="lv-LV"/>
            </w:rPr>
          </w:pPr>
          <w:hyperlink w:anchor="_Toc131331245" w:history="1">
            <w:r w:rsidRPr="006373AD">
              <w:rPr>
                <w:rStyle w:val="Hyperlink"/>
                <w:noProof/>
                <w:szCs w:val="24"/>
              </w:rPr>
              <w:t>4. Jutīguma analīze un salīdzinājums</w:t>
            </w:r>
            <w:r w:rsidRPr="006373AD">
              <w:rPr>
                <w:noProof/>
                <w:webHidden/>
                <w:szCs w:val="24"/>
              </w:rPr>
              <w:tab/>
            </w:r>
            <w:r w:rsidRPr="006373AD">
              <w:rPr>
                <w:noProof/>
                <w:webHidden/>
                <w:szCs w:val="24"/>
              </w:rPr>
              <w:fldChar w:fldCharType="begin"/>
            </w:r>
            <w:r w:rsidRPr="006373AD">
              <w:rPr>
                <w:noProof/>
                <w:webHidden/>
                <w:szCs w:val="24"/>
              </w:rPr>
              <w:instrText xml:space="preserve"> PAGEREF _Toc131331245 \h </w:instrText>
            </w:r>
            <w:r w:rsidRPr="006373AD">
              <w:rPr>
                <w:noProof/>
                <w:webHidden/>
                <w:szCs w:val="24"/>
              </w:rPr>
            </w:r>
            <w:r w:rsidRPr="006373AD">
              <w:rPr>
                <w:noProof/>
                <w:webHidden/>
                <w:szCs w:val="24"/>
              </w:rPr>
              <w:fldChar w:fldCharType="separate"/>
            </w:r>
            <w:r w:rsidRPr="006373AD">
              <w:rPr>
                <w:noProof/>
                <w:webHidden/>
                <w:szCs w:val="24"/>
              </w:rPr>
              <w:t>45</w:t>
            </w:r>
            <w:r w:rsidRPr="006373AD">
              <w:rPr>
                <w:noProof/>
                <w:webHidden/>
                <w:szCs w:val="24"/>
              </w:rPr>
              <w:fldChar w:fldCharType="end"/>
            </w:r>
          </w:hyperlink>
        </w:p>
        <w:p w14:paraId="5699B75A" w14:textId="6CCBB8C1" w:rsidR="006373AD" w:rsidRPr="006373AD" w:rsidRDefault="006373AD">
          <w:pPr>
            <w:pStyle w:val="TOC2"/>
            <w:rPr>
              <w:rFonts w:eastAsiaTheme="minorEastAsia"/>
              <w:noProof/>
              <w:szCs w:val="24"/>
              <w:lang w:eastAsia="lv-LV"/>
            </w:rPr>
          </w:pPr>
          <w:hyperlink w:anchor="_Toc131331246" w:history="1">
            <w:r w:rsidRPr="006373AD">
              <w:rPr>
                <w:rStyle w:val="Hyperlink"/>
                <w:noProof/>
                <w:szCs w:val="24"/>
                <w:lang w:eastAsia="lv-LV"/>
              </w:rPr>
              <w:t>4.1. Makroekonomiskā scenārija riski</w:t>
            </w:r>
            <w:r w:rsidRPr="006373AD">
              <w:rPr>
                <w:noProof/>
                <w:webHidden/>
                <w:szCs w:val="24"/>
              </w:rPr>
              <w:tab/>
            </w:r>
            <w:r w:rsidRPr="006373AD">
              <w:rPr>
                <w:noProof/>
                <w:webHidden/>
                <w:szCs w:val="24"/>
              </w:rPr>
              <w:fldChar w:fldCharType="begin"/>
            </w:r>
            <w:r w:rsidRPr="006373AD">
              <w:rPr>
                <w:noProof/>
                <w:webHidden/>
                <w:szCs w:val="24"/>
              </w:rPr>
              <w:instrText xml:space="preserve"> PAGEREF _Toc131331246 \h </w:instrText>
            </w:r>
            <w:r w:rsidRPr="006373AD">
              <w:rPr>
                <w:noProof/>
                <w:webHidden/>
                <w:szCs w:val="24"/>
              </w:rPr>
            </w:r>
            <w:r w:rsidRPr="006373AD">
              <w:rPr>
                <w:noProof/>
                <w:webHidden/>
                <w:szCs w:val="24"/>
              </w:rPr>
              <w:fldChar w:fldCharType="separate"/>
            </w:r>
            <w:r w:rsidRPr="006373AD">
              <w:rPr>
                <w:noProof/>
                <w:webHidden/>
                <w:szCs w:val="24"/>
              </w:rPr>
              <w:t>45</w:t>
            </w:r>
            <w:r w:rsidRPr="006373AD">
              <w:rPr>
                <w:noProof/>
                <w:webHidden/>
                <w:szCs w:val="24"/>
              </w:rPr>
              <w:fldChar w:fldCharType="end"/>
            </w:r>
          </w:hyperlink>
        </w:p>
        <w:p w14:paraId="621BE1CB" w14:textId="5B52725C" w:rsidR="006373AD" w:rsidRPr="006373AD" w:rsidRDefault="006373AD">
          <w:pPr>
            <w:pStyle w:val="TOC2"/>
            <w:rPr>
              <w:rFonts w:eastAsiaTheme="minorEastAsia"/>
              <w:noProof/>
              <w:szCs w:val="24"/>
              <w:lang w:eastAsia="lv-LV"/>
            </w:rPr>
          </w:pPr>
          <w:hyperlink w:anchor="_Toc131331247" w:history="1">
            <w:r w:rsidRPr="006373AD">
              <w:rPr>
                <w:rStyle w:val="Hyperlink"/>
                <w:noProof/>
                <w:szCs w:val="24"/>
                <w:lang w:eastAsia="lv-LV"/>
              </w:rPr>
              <w:t>4.2. Jutīguma analīze – pesimistiskais scenārijs</w:t>
            </w:r>
            <w:r w:rsidRPr="006373AD">
              <w:rPr>
                <w:noProof/>
                <w:webHidden/>
                <w:szCs w:val="24"/>
              </w:rPr>
              <w:tab/>
            </w:r>
            <w:r w:rsidRPr="006373AD">
              <w:rPr>
                <w:noProof/>
                <w:webHidden/>
                <w:szCs w:val="24"/>
              </w:rPr>
              <w:fldChar w:fldCharType="begin"/>
            </w:r>
            <w:r w:rsidRPr="006373AD">
              <w:rPr>
                <w:noProof/>
                <w:webHidden/>
                <w:szCs w:val="24"/>
              </w:rPr>
              <w:instrText xml:space="preserve"> PAGEREF _Toc131331247 \h </w:instrText>
            </w:r>
            <w:r w:rsidRPr="006373AD">
              <w:rPr>
                <w:noProof/>
                <w:webHidden/>
                <w:szCs w:val="24"/>
              </w:rPr>
            </w:r>
            <w:r w:rsidRPr="006373AD">
              <w:rPr>
                <w:noProof/>
                <w:webHidden/>
                <w:szCs w:val="24"/>
              </w:rPr>
              <w:fldChar w:fldCharType="separate"/>
            </w:r>
            <w:r w:rsidRPr="006373AD">
              <w:rPr>
                <w:noProof/>
                <w:webHidden/>
                <w:szCs w:val="24"/>
              </w:rPr>
              <w:t>45</w:t>
            </w:r>
            <w:r w:rsidRPr="006373AD">
              <w:rPr>
                <w:noProof/>
                <w:webHidden/>
                <w:szCs w:val="24"/>
              </w:rPr>
              <w:fldChar w:fldCharType="end"/>
            </w:r>
          </w:hyperlink>
        </w:p>
        <w:p w14:paraId="62B20A60" w14:textId="5828199E" w:rsidR="006373AD" w:rsidRPr="006373AD" w:rsidRDefault="006373AD">
          <w:pPr>
            <w:pStyle w:val="TOC2"/>
            <w:rPr>
              <w:rFonts w:eastAsiaTheme="minorEastAsia"/>
              <w:noProof/>
              <w:szCs w:val="24"/>
              <w:lang w:eastAsia="lv-LV"/>
            </w:rPr>
          </w:pPr>
          <w:hyperlink w:anchor="_Toc131331248" w:history="1">
            <w:r w:rsidRPr="006373AD">
              <w:rPr>
                <w:rStyle w:val="Hyperlink"/>
                <w:noProof/>
                <w:szCs w:val="24"/>
                <w:lang w:eastAsia="lv-LV"/>
              </w:rPr>
              <w:t>4.3. Jutīguma analīze – optimistiskais scenārijs</w:t>
            </w:r>
            <w:r w:rsidRPr="006373AD">
              <w:rPr>
                <w:noProof/>
                <w:webHidden/>
                <w:szCs w:val="24"/>
              </w:rPr>
              <w:tab/>
            </w:r>
            <w:r w:rsidRPr="006373AD">
              <w:rPr>
                <w:noProof/>
                <w:webHidden/>
                <w:szCs w:val="24"/>
              </w:rPr>
              <w:fldChar w:fldCharType="begin"/>
            </w:r>
            <w:r w:rsidRPr="006373AD">
              <w:rPr>
                <w:noProof/>
                <w:webHidden/>
                <w:szCs w:val="24"/>
              </w:rPr>
              <w:instrText xml:space="preserve"> PAGEREF _Toc131331248 \h </w:instrText>
            </w:r>
            <w:r w:rsidRPr="006373AD">
              <w:rPr>
                <w:noProof/>
                <w:webHidden/>
                <w:szCs w:val="24"/>
              </w:rPr>
            </w:r>
            <w:r w:rsidRPr="006373AD">
              <w:rPr>
                <w:noProof/>
                <w:webHidden/>
                <w:szCs w:val="24"/>
              </w:rPr>
              <w:fldChar w:fldCharType="separate"/>
            </w:r>
            <w:r w:rsidRPr="006373AD">
              <w:rPr>
                <w:noProof/>
                <w:webHidden/>
                <w:szCs w:val="24"/>
              </w:rPr>
              <w:t>47</w:t>
            </w:r>
            <w:r w:rsidRPr="006373AD">
              <w:rPr>
                <w:noProof/>
                <w:webHidden/>
                <w:szCs w:val="24"/>
              </w:rPr>
              <w:fldChar w:fldCharType="end"/>
            </w:r>
          </w:hyperlink>
        </w:p>
        <w:p w14:paraId="6344F8B6" w14:textId="64272958" w:rsidR="006373AD" w:rsidRPr="006373AD" w:rsidRDefault="006373AD">
          <w:pPr>
            <w:pStyle w:val="TOC2"/>
            <w:rPr>
              <w:rFonts w:eastAsiaTheme="minorEastAsia"/>
              <w:noProof/>
              <w:szCs w:val="24"/>
              <w:lang w:eastAsia="lv-LV"/>
            </w:rPr>
          </w:pPr>
          <w:hyperlink w:anchor="_Toc131331249" w:history="1">
            <w:r w:rsidRPr="006373AD">
              <w:rPr>
                <w:rStyle w:val="Hyperlink"/>
                <w:noProof/>
                <w:szCs w:val="24"/>
                <w:lang w:eastAsia="lv-LV"/>
              </w:rPr>
              <w:t>4.4. Vispārējās valdības budžeta bilances un parāda prognožu salīdzinājums ar Latvijas Stabilitātes programmu 2022.-2025. gadam</w:t>
            </w:r>
            <w:r w:rsidRPr="006373AD">
              <w:rPr>
                <w:noProof/>
                <w:webHidden/>
                <w:szCs w:val="24"/>
              </w:rPr>
              <w:tab/>
            </w:r>
            <w:r w:rsidRPr="006373AD">
              <w:rPr>
                <w:noProof/>
                <w:webHidden/>
                <w:szCs w:val="24"/>
              </w:rPr>
              <w:fldChar w:fldCharType="begin"/>
            </w:r>
            <w:r w:rsidRPr="006373AD">
              <w:rPr>
                <w:noProof/>
                <w:webHidden/>
                <w:szCs w:val="24"/>
              </w:rPr>
              <w:instrText xml:space="preserve"> PAGEREF _Toc131331249 \h </w:instrText>
            </w:r>
            <w:r w:rsidRPr="006373AD">
              <w:rPr>
                <w:noProof/>
                <w:webHidden/>
                <w:szCs w:val="24"/>
              </w:rPr>
            </w:r>
            <w:r w:rsidRPr="006373AD">
              <w:rPr>
                <w:noProof/>
                <w:webHidden/>
                <w:szCs w:val="24"/>
              </w:rPr>
              <w:fldChar w:fldCharType="separate"/>
            </w:r>
            <w:r w:rsidRPr="006373AD">
              <w:rPr>
                <w:noProof/>
                <w:webHidden/>
                <w:szCs w:val="24"/>
              </w:rPr>
              <w:t>49</w:t>
            </w:r>
            <w:r w:rsidRPr="006373AD">
              <w:rPr>
                <w:noProof/>
                <w:webHidden/>
                <w:szCs w:val="24"/>
              </w:rPr>
              <w:fldChar w:fldCharType="end"/>
            </w:r>
          </w:hyperlink>
        </w:p>
        <w:p w14:paraId="68065746" w14:textId="7ACF113F" w:rsidR="006373AD" w:rsidRPr="006373AD" w:rsidRDefault="006373AD">
          <w:pPr>
            <w:pStyle w:val="TOC1"/>
            <w:rPr>
              <w:rFonts w:eastAsiaTheme="minorEastAsia"/>
              <w:noProof/>
              <w:szCs w:val="24"/>
              <w:lang w:eastAsia="lv-LV"/>
            </w:rPr>
          </w:pPr>
          <w:hyperlink w:anchor="_Toc131331250" w:history="1">
            <w:r w:rsidRPr="006373AD">
              <w:rPr>
                <w:rStyle w:val="Hyperlink"/>
                <w:noProof/>
                <w:szCs w:val="24"/>
              </w:rPr>
              <w:t>5. Valsts finanšu kvalitāte</w:t>
            </w:r>
            <w:r w:rsidRPr="006373AD">
              <w:rPr>
                <w:noProof/>
                <w:webHidden/>
                <w:szCs w:val="24"/>
              </w:rPr>
              <w:tab/>
            </w:r>
            <w:r w:rsidRPr="006373AD">
              <w:rPr>
                <w:noProof/>
                <w:webHidden/>
                <w:szCs w:val="24"/>
              </w:rPr>
              <w:fldChar w:fldCharType="begin"/>
            </w:r>
            <w:r w:rsidRPr="006373AD">
              <w:rPr>
                <w:noProof/>
                <w:webHidden/>
                <w:szCs w:val="24"/>
              </w:rPr>
              <w:instrText xml:space="preserve"> PAGEREF _Toc131331250 \h </w:instrText>
            </w:r>
            <w:r w:rsidRPr="006373AD">
              <w:rPr>
                <w:noProof/>
                <w:webHidden/>
                <w:szCs w:val="24"/>
              </w:rPr>
            </w:r>
            <w:r w:rsidRPr="006373AD">
              <w:rPr>
                <w:noProof/>
                <w:webHidden/>
                <w:szCs w:val="24"/>
              </w:rPr>
              <w:fldChar w:fldCharType="separate"/>
            </w:r>
            <w:r w:rsidRPr="006373AD">
              <w:rPr>
                <w:noProof/>
                <w:webHidden/>
                <w:szCs w:val="24"/>
              </w:rPr>
              <w:t>51</w:t>
            </w:r>
            <w:r w:rsidRPr="006373AD">
              <w:rPr>
                <w:noProof/>
                <w:webHidden/>
                <w:szCs w:val="24"/>
              </w:rPr>
              <w:fldChar w:fldCharType="end"/>
            </w:r>
          </w:hyperlink>
        </w:p>
        <w:p w14:paraId="564F0D9E" w14:textId="7A8800EE" w:rsidR="006373AD" w:rsidRPr="006373AD" w:rsidRDefault="006373AD">
          <w:pPr>
            <w:pStyle w:val="TOC2"/>
            <w:rPr>
              <w:rFonts w:eastAsiaTheme="minorEastAsia"/>
              <w:noProof/>
              <w:szCs w:val="24"/>
              <w:lang w:eastAsia="lv-LV"/>
            </w:rPr>
          </w:pPr>
          <w:hyperlink w:anchor="_Toc131331251" w:history="1">
            <w:r w:rsidRPr="006373AD">
              <w:rPr>
                <w:rStyle w:val="Hyperlink"/>
                <w:noProof/>
                <w:szCs w:val="24"/>
              </w:rPr>
              <w:t>5.1. Valsts budžeta līdzekļu efektivitāte un izlietojuma kontrole</w:t>
            </w:r>
            <w:r w:rsidRPr="006373AD">
              <w:rPr>
                <w:noProof/>
                <w:webHidden/>
                <w:szCs w:val="24"/>
              </w:rPr>
              <w:tab/>
            </w:r>
            <w:r w:rsidRPr="006373AD">
              <w:rPr>
                <w:noProof/>
                <w:webHidden/>
                <w:szCs w:val="24"/>
              </w:rPr>
              <w:fldChar w:fldCharType="begin"/>
            </w:r>
            <w:r w:rsidRPr="006373AD">
              <w:rPr>
                <w:noProof/>
                <w:webHidden/>
                <w:szCs w:val="24"/>
              </w:rPr>
              <w:instrText xml:space="preserve"> PAGEREF _Toc131331251 \h </w:instrText>
            </w:r>
            <w:r w:rsidRPr="006373AD">
              <w:rPr>
                <w:noProof/>
                <w:webHidden/>
                <w:szCs w:val="24"/>
              </w:rPr>
            </w:r>
            <w:r w:rsidRPr="006373AD">
              <w:rPr>
                <w:noProof/>
                <w:webHidden/>
                <w:szCs w:val="24"/>
              </w:rPr>
              <w:fldChar w:fldCharType="separate"/>
            </w:r>
            <w:r w:rsidRPr="006373AD">
              <w:rPr>
                <w:noProof/>
                <w:webHidden/>
                <w:szCs w:val="24"/>
              </w:rPr>
              <w:t>51</w:t>
            </w:r>
            <w:r w:rsidRPr="006373AD">
              <w:rPr>
                <w:noProof/>
                <w:webHidden/>
                <w:szCs w:val="24"/>
              </w:rPr>
              <w:fldChar w:fldCharType="end"/>
            </w:r>
          </w:hyperlink>
        </w:p>
        <w:p w14:paraId="31CA4389" w14:textId="1D7C5635" w:rsidR="006373AD" w:rsidRPr="006373AD" w:rsidRDefault="006373AD">
          <w:pPr>
            <w:pStyle w:val="TOC2"/>
            <w:rPr>
              <w:rFonts w:eastAsiaTheme="minorEastAsia"/>
              <w:noProof/>
              <w:szCs w:val="24"/>
              <w:lang w:eastAsia="lv-LV"/>
            </w:rPr>
          </w:pPr>
          <w:hyperlink w:anchor="_Toc131331252" w:history="1">
            <w:r w:rsidRPr="006373AD">
              <w:rPr>
                <w:rStyle w:val="Hyperlink"/>
                <w:noProof/>
                <w:szCs w:val="24"/>
              </w:rPr>
              <w:t>5.2. Ieņēmumu struktūras un sistēmas efektivitāte</w:t>
            </w:r>
            <w:r w:rsidRPr="006373AD">
              <w:rPr>
                <w:noProof/>
                <w:webHidden/>
                <w:szCs w:val="24"/>
              </w:rPr>
              <w:tab/>
            </w:r>
            <w:r w:rsidRPr="006373AD">
              <w:rPr>
                <w:noProof/>
                <w:webHidden/>
                <w:szCs w:val="24"/>
              </w:rPr>
              <w:fldChar w:fldCharType="begin"/>
            </w:r>
            <w:r w:rsidRPr="006373AD">
              <w:rPr>
                <w:noProof/>
                <w:webHidden/>
                <w:szCs w:val="24"/>
              </w:rPr>
              <w:instrText xml:space="preserve"> PAGEREF _Toc131331252 \h </w:instrText>
            </w:r>
            <w:r w:rsidRPr="006373AD">
              <w:rPr>
                <w:noProof/>
                <w:webHidden/>
                <w:szCs w:val="24"/>
              </w:rPr>
            </w:r>
            <w:r w:rsidRPr="006373AD">
              <w:rPr>
                <w:noProof/>
                <w:webHidden/>
                <w:szCs w:val="24"/>
              </w:rPr>
              <w:fldChar w:fldCharType="separate"/>
            </w:r>
            <w:r w:rsidRPr="006373AD">
              <w:rPr>
                <w:noProof/>
                <w:webHidden/>
                <w:szCs w:val="24"/>
              </w:rPr>
              <w:t>54</w:t>
            </w:r>
            <w:r w:rsidRPr="006373AD">
              <w:rPr>
                <w:noProof/>
                <w:webHidden/>
                <w:szCs w:val="24"/>
              </w:rPr>
              <w:fldChar w:fldCharType="end"/>
            </w:r>
          </w:hyperlink>
        </w:p>
        <w:p w14:paraId="378DB024" w14:textId="3C1BA16D" w:rsidR="006373AD" w:rsidRPr="006373AD" w:rsidRDefault="006373AD">
          <w:pPr>
            <w:pStyle w:val="TOC2"/>
            <w:rPr>
              <w:rFonts w:eastAsiaTheme="minorEastAsia"/>
              <w:noProof/>
              <w:szCs w:val="24"/>
              <w:lang w:eastAsia="lv-LV"/>
            </w:rPr>
          </w:pPr>
          <w:hyperlink w:anchor="_Toc131331253" w:history="1">
            <w:r w:rsidRPr="006373AD">
              <w:rPr>
                <w:rStyle w:val="Hyperlink"/>
                <w:rFonts w:eastAsiaTheme="majorEastAsia"/>
                <w:noProof/>
                <w:szCs w:val="24"/>
              </w:rPr>
              <w:t>5.2.1.</w:t>
            </w:r>
            <w:r w:rsidRPr="006373AD">
              <w:rPr>
                <w:rFonts w:eastAsiaTheme="minorEastAsia"/>
                <w:noProof/>
                <w:szCs w:val="24"/>
                <w:lang w:eastAsia="lv-LV"/>
              </w:rPr>
              <w:t xml:space="preserve"> </w:t>
            </w:r>
            <w:r w:rsidRPr="006373AD">
              <w:rPr>
                <w:rStyle w:val="Hyperlink"/>
                <w:rFonts w:eastAsiaTheme="majorEastAsia"/>
                <w:noProof/>
                <w:szCs w:val="24"/>
              </w:rPr>
              <w:t>Stabilitātes programmas bāzes scenārija nodokļu ieņēmumu prognozes</w:t>
            </w:r>
            <w:r w:rsidRPr="006373AD">
              <w:rPr>
                <w:noProof/>
                <w:webHidden/>
                <w:szCs w:val="24"/>
              </w:rPr>
              <w:tab/>
            </w:r>
            <w:r w:rsidRPr="006373AD">
              <w:rPr>
                <w:noProof/>
                <w:webHidden/>
                <w:szCs w:val="24"/>
              </w:rPr>
              <w:fldChar w:fldCharType="begin"/>
            </w:r>
            <w:r w:rsidRPr="006373AD">
              <w:rPr>
                <w:noProof/>
                <w:webHidden/>
                <w:szCs w:val="24"/>
              </w:rPr>
              <w:instrText xml:space="preserve"> PAGEREF _Toc131331253 \h </w:instrText>
            </w:r>
            <w:r w:rsidRPr="006373AD">
              <w:rPr>
                <w:noProof/>
                <w:webHidden/>
                <w:szCs w:val="24"/>
              </w:rPr>
            </w:r>
            <w:r w:rsidRPr="006373AD">
              <w:rPr>
                <w:noProof/>
                <w:webHidden/>
                <w:szCs w:val="24"/>
              </w:rPr>
              <w:fldChar w:fldCharType="separate"/>
            </w:r>
            <w:r w:rsidRPr="006373AD">
              <w:rPr>
                <w:noProof/>
                <w:webHidden/>
                <w:szCs w:val="24"/>
              </w:rPr>
              <w:t>54</w:t>
            </w:r>
            <w:r w:rsidRPr="006373AD">
              <w:rPr>
                <w:noProof/>
                <w:webHidden/>
                <w:szCs w:val="24"/>
              </w:rPr>
              <w:fldChar w:fldCharType="end"/>
            </w:r>
          </w:hyperlink>
        </w:p>
        <w:p w14:paraId="51AB38F5" w14:textId="435CE382" w:rsidR="006373AD" w:rsidRPr="006373AD" w:rsidRDefault="006373AD">
          <w:pPr>
            <w:pStyle w:val="TOC1"/>
            <w:rPr>
              <w:rFonts w:eastAsiaTheme="minorEastAsia"/>
              <w:noProof/>
              <w:szCs w:val="24"/>
              <w:lang w:eastAsia="lv-LV"/>
            </w:rPr>
          </w:pPr>
          <w:hyperlink w:anchor="_Toc131331254" w:history="1">
            <w:r w:rsidRPr="006373AD">
              <w:rPr>
                <w:rStyle w:val="Hyperlink"/>
                <w:noProof/>
                <w:szCs w:val="24"/>
              </w:rPr>
              <w:t>6. Publisko finanšu ilgtspēja</w:t>
            </w:r>
            <w:r w:rsidRPr="006373AD">
              <w:rPr>
                <w:noProof/>
                <w:webHidden/>
                <w:szCs w:val="24"/>
              </w:rPr>
              <w:tab/>
            </w:r>
            <w:r w:rsidRPr="006373AD">
              <w:rPr>
                <w:noProof/>
                <w:webHidden/>
                <w:szCs w:val="24"/>
              </w:rPr>
              <w:fldChar w:fldCharType="begin"/>
            </w:r>
            <w:r w:rsidRPr="006373AD">
              <w:rPr>
                <w:noProof/>
                <w:webHidden/>
                <w:szCs w:val="24"/>
              </w:rPr>
              <w:instrText xml:space="preserve"> PAGEREF _Toc131331254 \h </w:instrText>
            </w:r>
            <w:r w:rsidRPr="006373AD">
              <w:rPr>
                <w:noProof/>
                <w:webHidden/>
                <w:szCs w:val="24"/>
              </w:rPr>
            </w:r>
            <w:r w:rsidRPr="006373AD">
              <w:rPr>
                <w:noProof/>
                <w:webHidden/>
                <w:szCs w:val="24"/>
              </w:rPr>
              <w:fldChar w:fldCharType="separate"/>
            </w:r>
            <w:r w:rsidRPr="006373AD">
              <w:rPr>
                <w:noProof/>
                <w:webHidden/>
                <w:szCs w:val="24"/>
              </w:rPr>
              <w:t>56</w:t>
            </w:r>
            <w:r w:rsidRPr="006373AD">
              <w:rPr>
                <w:noProof/>
                <w:webHidden/>
                <w:szCs w:val="24"/>
              </w:rPr>
              <w:fldChar w:fldCharType="end"/>
            </w:r>
          </w:hyperlink>
        </w:p>
        <w:p w14:paraId="30B4EDB7" w14:textId="6C114539" w:rsidR="006373AD" w:rsidRPr="006373AD" w:rsidRDefault="006373AD">
          <w:pPr>
            <w:pStyle w:val="TOC2"/>
            <w:rPr>
              <w:rFonts w:eastAsiaTheme="minorEastAsia"/>
              <w:noProof/>
              <w:szCs w:val="24"/>
              <w:lang w:eastAsia="lv-LV"/>
            </w:rPr>
          </w:pPr>
          <w:hyperlink w:anchor="_Toc131331255" w:history="1">
            <w:r w:rsidRPr="006373AD">
              <w:rPr>
                <w:rStyle w:val="Hyperlink"/>
                <w:noProof/>
                <w:szCs w:val="24"/>
                <w:lang w:eastAsia="lv-LV"/>
              </w:rPr>
              <w:t>6.1. Publisko finanšu ilgtermiņa attīstības scenārijs</w:t>
            </w:r>
            <w:r w:rsidRPr="006373AD">
              <w:rPr>
                <w:noProof/>
                <w:webHidden/>
                <w:szCs w:val="24"/>
              </w:rPr>
              <w:tab/>
            </w:r>
            <w:r w:rsidRPr="006373AD">
              <w:rPr>
                <w:noProof/>
                <w:webHidden/>
                <w:szCs w:val="24"/>
              </w:rPr>
              <w:fldChar w:fldCharType="begin"/>
            </w:r>
            <w:r w:rsidRPr="006373AD">
              <w:rPr>
                <w:noProof/>
                <w:webHidden/>
                <w:szCs w:val="24"/>
              </w:rPr>
              <w:instrText xml:space="preserve"> PAGEREF _Toc131331255 \h </w:instrText>
            </w:r>
            <w:r w:rsidRPr="006373AD">
              <w:rPr>
                <w:noProof/>
                <w:webHidden/>
                <w:szCs w:val="24"/>
              </w:rPr>
            </w:r>
            <w:r w:rsidRPr="006373AD">
              <w:rPr>
                <w:noProof/>
                <w:webHidden/>
                <w:szCs w:val="24"/>
              </w:rPr>
              <w:fldChar w:fldCharType="separate"/>
            </w:r>
            <w:r w:rsidRPr="006373AD">
              <w:rPr>
                <w:noProof/>
                <w:webHidden/>
                <w:szCs w:val="24"/>
              </w:rPr>
              <w:t>56</w:t>
            </w:r>
            <w:r w:rsidRPr="006373AD">
              <w:rPr>
                <w:noProof/>
                <w:webHidden/>
                <w:szCs w:val="24"/>
              </w:rPr>
              <w:fldChar w:fldCharType="end"/>
            </w:r>
          </w:hyperlink>
        </w:p>
        <w:p w14:paraId="28104FBC" w14:textId="09F4D0D9" w:rsidR="006373AD" w:rsidRPr="006373AD" w:rsidRDefault="006373AD">
          <w:pPr>
            <w:pStyle w:val="TOC2"/>
            <w:rPr>
              <w:rFonts w:eastAsiaTheme="minorEastAsia"/>
              <w:noProof/>
              <w:szCs w:val="24"/>
              <w:lang w:eastAsia="lv-LV"/>
            </w:rPr>
          </w:pPr>
          <w:hyperlink w:anchor="_Toc131331256" w:history="1">
            <w:r w:rsidRPr="006373AD">
              <w:rPr>
                <w:rStyle w:val="Hyperlink"/>
                <w:noProof/>
                <w:szCs w:val="24"/>
                <w:lang w:eastAsia="lv-LV"/>
              </w:rPr>
              <w:t>6.2. Valsts sniegtie galvojumi</w:t>
            </w:r>
            <w:r w:rsidRPr="006373AD">
              <w:rPr>
                <w:noProof/>
                <w:webHidden/>
                <w:szCs w:val="24"/>
              </w:rPr>
              <w:tab/>
            </w:r>
            <w:r w:rsidRPr="006373AD">
              <w:rPr>
                <w:noProof/>
                <w:webHidden/>
                <w:szCs w:val="24"/>
              </w:rPr>
              <w:fldChar w:fldCharType="begin"/>
            </w:r>
            <w:r w:rsidRPr="006373AD">
              <w:rPr>
                <w:noProof/>
                <w:webHidden/>
                <w:szCs w:val="24"/>
              </w:rPr>
              <w:instrText xml:space="preserve"> PAGEREF _Toc131331256 \h </w:instrText>
            </w:r>
            <w:r w:rsidRPr="006373AD">
              <w:rPr>
                <w:noProof/>
                <w:webHidden/>
                <w:szCs w:val="24"/>
              </w:rPr>
            </w:r>
            <w:r w:rsidRPr="006373AD">
              <w:rPr>
                <w:noProof/>
                <w:webHidden/>
                <w:szCs w:val="24"/>
              </w:rPr>
              <w:fldChar w:fldCharType="separate"/>
            </w:r>
            <w:r w:rsidRPr="006373AD">
              <w:rPr>
                <w:noProof/>
                <w:webHidden/>
                <w:szCs w:val="24"/>
              </w:rPr>
              <w:t>59</w:t>
            </w:r>
            <w:r w:rsidRPr="006373AD">
              <w:rPr>
                <w:noProof/>
                <w:webHidden/>
                <w:szCs w:val="24"/>
              </w:rPr>
              <w:fldChar w:fldCharType="end"/>
            </w:r>
          </w:hyperlink>
        </w:p>
        <w:p w14:paraId="14CFB95D" w14:textId="24F1A971" w:rsidR="006373AD" w:rsidRPr="006373AD" w:rsidRDefault="006373AD">
          <w:pPr>
            <w:pStyle w:val="TOC1"/>
            <w:rPr>
              <w:rFonts w:eastAsiaTheme="minorEastAsia"/>
              <w:noProof/>
              <w:szCs w:val="24"/>
              <w:lang w:eastAsia="lv-LV"/>
            </w:rPr>
          </w:pPr>
          <w:hyperlink w:anchor="_Toc131331257" w:history="1">
            <w:r w:rsidRPr="006373AD">
              <w:rPr>
                <w:rStyle w:val="Hyperlink"/>
                <w:noProof/>
                <w:szCs w:val="24"/>
              </w:rPr>
              <w:t>7. Valsts finanšu institucionālās iezīmes</w:t>
            </w:r>
            <w:r w:rsidRPr="006373AD">
              <w:rPr>
                <w:noProof/>
                <w:webHidden/>
                <w:szCs w:val="24"/>
              </w:rPr>
              <w:tab/>
            </w:r>
            <w:r w:rsidRPr="006373AD">
              <w:rPr>
                <w:noProof/>
                <w:webHidden/>
                <w:szCs w:val="24"/>
              </w:rPr>
              <w:fldChar w:fldCharType="begin"/>
            </w:r>
            <w:r w:rsidRPr="006373AD">
              <w:rPr>
                <w:noProof/>
                <w:webHidden/>
                <w:szCs w:val="24"/>
              </w:rPr>
              <w:instrText xml:space="preserve"> PAGEREF _Toc131331257 \h </w:instrText>
            </w:r>
            <w:r w:rsidRPr="006373AD">
              <w:rPr>
                <w:noProof/>
                <w:webHidden/>
                <w:szCs w:val="24"/>
              </w:rPr>
            </w:r>
            <w:r w:rsidRPr="006373AD">
              <w:rPr>
                <w:noProof/>
                <w:webHidden/>
                <w:szCs w:val="24"/>
              </w:rPr>
              <w:fldChar w:fldCharType="separate"/>
            </w:r>
            <w:r w:rsidRPr="006373AD">
              <w:rPr>
                <w:noProof/>
                <w:webHidden/>
                <w:szCs w:val="24"/>
              </w:rPr>
              <w:t>61</w:t>
            </w:r>
            <w:r w:rsidRPr="006373AD">
              <w:rPr>
                <w:noProof/>
                <w:webHidden/>
                <w:szCs w:val="24"/>
              </w:rPr>
              <w:fldChar w:fldCharType="end"/>
            </w:r>
          </w:hyperlink>
        </w:p>
        <w:p w14:paraId="0006E501" w14:textId="4B7BED92" w:rsidR="006373AD" w:rsidRPr="006373AD" w:rsidRDefault="006373AD">
          <w:pPr>
            <w:pStyle w:val="TOC2"/>
            <w:rPr>
              <w:rFonts w:eastAsiaTheme="minorEastAsia"/>
              <w:noProof/>
              <w:szCs w:val="24"/>
              <w:lang w:eastAsia="lv-LV"/>
            </w:rPr>
          </w:pPr>
          <w:hyperlink w:anchor="_Toc131331258" w:history="1">
            <w:r w:rsidRPr="006373AD">
              <w:rPr>
                <w:rStyle w:val="Hyperlink"/>
                <w:noProof/>
                <w:szCs w:val="24"/>
                <w:lang w:eastAsia="lv-LV"/>
              </w:rPr>
              <w:t>7.1. Vidējā termiņa budžeta plānošana</w:t>
            </w:r>
            <w:r w:rsidRPr="006373AD">
              <w:rPr>
                <w:noProof/>
                <w:webHidden/>
                <w:szCs w:val="24"/>
              </w:rPr>
              <w:tab/>
            </w:r>
            <w:r w:rsidRPr="006373AD">
              <w:rPr>
                <w:noProof/>
                <w:webHidden/>
                <w:szCs w:val="24"/>
              </w:rPr>
              <w:fldChar w:fldCharType="begin"/>
            </w:r>
            <w:r w:rsidRPr="006373AD">
              <w:rPr>
                <w:noProof/>
                <w:webHidden/>
                <w:szCs w:val="24"/>
              </w:rPr>
              <w:instrText xml:space="preserve"> PAGEREF _Toc131331258 \h </w:instrText>
            </w:r>
            <w:r w:rsidRPr="006373AD">
              <w:rPr>
                <w:noProof/>
                <w:webHidden/>
                <w:szCs w:val="24"/>
              </w:rPr>
            </w:r>
            <w:r w:rsidRPr="006373AD">
              <w:rPr>
                <w:noProof/>
                <w:webHidden/>
                <w:szCs w:val="24"/>
              </w:rPr>
              <w:fldChar w:fldCharType="separate"/>
            </w:r>
            <w:r w:rsidRPr="006373AD">
              <w:rPr>
                <w:noProof/>
                <w:webHidden/>
                <w:szCs w:val="24"/>
              </w:rPr>
              <w:t>61</w:t>
            </w:r>
            <w:r w:rsidRPr="006373AD">
              <w:rPr>
                <w:noProof/>
                <w:webHidden/>
                <w:szCs w:val="24"/>
              </w:rPr>
              <w:fldChar w:fldCharType="end"/>
            </w:r>
          </w:hyperlink>
        </w:p>
        <w:p w14:paraId="238BFE07" w14:textId="3A019003" w:rsidR="006373AD" w:rsidRPr="006373AD" w:rsidRDefault="006373AD">
          <w:pPr>
            <w:pStyle w:val="TOC2"/>
            <w:rPr>
              <w:rFonts w:eastAsiaTheme="minorEastAsia"/>
              <w:noProof/>
              <w:szCs w:val="24"/>
              <w:lang w:eastAsia="lv-LV"/>
            </w:rPr>
          </w:pPr>
          <w:hyperlink w:anchor="_Toc131331259" w:history="1">
            <w:r w:rsidRPr="006373AD">
              <w:rPr>
                <w:rStyle w:val="Hyperlink"/>
                <w:noProof/>
                <w:szCs w:val="24"/>
                <w:lang w:eastAsia="lv-LV"/>
              </w:rPr>
              <w:t>7.2.</w:t>
            </w:r>
            <w:r w:rsidRPr="006373AD">
              <w:rPr>
                <w:rFonts w:eastAsiaTheme="minorEastAsia"/>
                <w:noProof/>
                <w:szCs w:val="24"/>
                <w:lang w:eastAsia="lv-LV"/>
              </w:rPr>
              <w:tab/>
            </w:r>
            <w:r w:rsidRPr="006373AD">
              <w:rPr>
                <w:rStyle w:val="Hyperlink"/>
                <w:noProof/>
                <w:szCs w:val="24"/>
                <w:lang w:eastAsia="lv-LV"/>
              </w:rPr>
              <w:t>Budžeta procedūras, t.sk. valsts finanšu statistikas pārvalde</w:t>
            </w:r>
            <w:r w:rsidRPr="006373AD">
              <w:rPr>
                <w:noProof/>
                <w:webHidden/>
                <w:szCs w:val="24"/>
              </w:rPr>
              <w:tab/>
            </w:r>
            <w:r w:rsidRPr="006373AD">
              <w:rPr>
                <w:noProof/>
                <w:webHidden/>
                <w:szCs w:val="24"/>
              </w:rPr>
              <w:fldChar w:fldCharType="begin"/>
            </w:r>
            <w:r w:rsidRPr="006373AD">
              <w:rPr>
                <w:noProof/>
                <w:webHidden/>
                <w:szCs w:val="24"/>
              </w:rPr>
              <w:instrText xml:space="preserve"> PAGEREF _Toc131331259 \h </w:instrText>
            </w:r>
            <w:r w:rsidRPr="006373AD">
              <w:rPr>
                <w:noProof/>
                <w:webHidden/>
                <w:szCs w:val="24"/>
              </w:rPr>
            </w:r>
            <w:r w:rsidRPr="006373AD">
              <w:rPr>
                <w:noProof/>
                <w:webHidden/>
                <w:szCs w:val="24"/>
              </w:rPr>
              <w:fldChar w:fldCharType="separate"/>
            </w:r>
            <w:r w:rsidRPr="006373AD">
              <w:rPr>
                <w:noProof/>
                <w:webHidden/>
                <w:szCs w:val="24"/>
              </w:rPr>
              <w:t>62</w:t>
            </w:r>
            <w:r w:rsidRPr="006373AD">
              <w:rPr>
                <w:noProof/>
                <w:webHidden/>
                <w:szCs w:val="24"/>
              </w:rPr>
              <w:fldChar w:fldCharType="end"/>
            </w:r>
          </w:hyperlink>
        </w:p>
        <w:p w14:paraId="4C9D21E5" w14:textId="7E2C6549" w:rsidR="006373AD" w:rsidRPr="006373AD" w:rsidRDefault="006373AD">
          <w:pPr>
            <w:pStyle w:val="TOC3"/>
            <w:rPr>
              <w:rFonts w:eastAsiaTheme="minorEastAsia"/>
              <w:noProof/>
              <w:szCs w:val="24"/>
              <w:lang w:eastAsia="lv-LV"/>
            </w:rPr>
          </w:pPr>
          <w:hyperlink w:anchor="_Toc131331260" w:history="1">
            <w:r w:rsidRPr="006373AD">
              <w:rPr>
                <w:rStyle w:val="Hyperlink"/>
                <w:noProof/>
                <w:szCs w:val="24"/>
                <w:lang w:eastAsia="lv-LV"/>
              </w:rPr>
              <w:t>7.2.1.</w:t>
            </w:r>
            <w:r w:rsidRPr="006373AD">
              <w:rPr>
                <w:rFonts w:eastAsiaTheme="minorEastAsia"/>
                <w:noProof/>
                <w:szCs w:val="24"/>
                <w:lang w:eastAsia="lv-LV"/>
              </w:rPr>
              <w:t xml:space="preserve"> </w:t>
            </w:r>
            <w:r w:rsidRPr="006373AD">
              <w:rPr>
                <w:rStyle w:val="Hyperlink"/>
                <w:noProof/>
                <w:szCs w:val="24"/>
              </w:rPr>
              <w:t>Budžeta</w:t>
            </w:r>
            <w:r w:rsidRPr="006373AD">
              <w:rPr>
                <w:rStyle w:val="Hyperlink"/>
                <w:noProof/>
                <w:szCs w:val="24"/>
                <w:lang w:eastAsia="lv-LV"/>
              </w:rPr>
              <w:t xml:space="preserve"> procedūras</w:t>
            </w:r>
            <w:r w:rsidRPr="006373AD">
              <w:rPr>
                <w:noProof/>
                <w:webHidden/>
                <w:szCs w:val="24"/>
              </w:rPr>
              <w:tab/>
            </w:r>
            <w:r w:rsidRPr="006373AD">
              <w:rPr>
                <w:noProof/>
                <w:webHidden/>
                <w:szCs w:val="24"/>
              </w:rPr>
              <w:fldChar w:fldCharType="begin"/>
            </w:r>
            <w:r w:rsidRPr="006373AD">
              <w:rPr>
                <w:noProof/>
                <w:webHidden/>
                <w:szCs w:val="24"/>
              </w:rPr>
              <w:instrText xml:space="preserve"> PAGEREF _Toc131331260 \h </w:instrText>
            </w:r>
            <w:r w:rsidRPr="006373AD">
              <w:rPr>
                <w:noProof/>
                <w:webHidden/>
                <w:szCs w:val="24"/>
              </w:rPr>
            </w:r>
            <w:r w:rsidRPr="006373AD">
              <w:rPr>
                <w:noProof/>
                <w:webHidden/>
                <w:szCs w:val="24"/>
              </w:rPr>
              <w:fldChar w:fldCharType="separate"/>
            </w:r>
            <w:r w:rsidRPr="006373AD">
              <w:rPr>
                <w:noProof/>
                <w:webHidden/>
                <w:szCs w:val="24"/>
              </w:rPr>
              <w:t>62</w:t>
            </w:r>
            <w:r w:rsidRPr="006373AD">
              <w:rPr>
                <w:noProof/>
                <w:webHidden/>
                <w:szCs w:val="24"/>
              </w:rPr>
              <w:fldChar w:fldCharType="end"/>
            </w:r>
          </w:hyperlink>
        </w:p>
        <w:p w14:paraId="432A1D04" w14:textId="30BF20C9" w:rsidR="006373AD" w:rsidRPr="006373AD" w:rsidRDefault="006373AD">
          <w:pPr>
            <w:pStyle w:val="TOC3"/>
            <w:rPr>
              <w:rFonts w:eastAsiaTheme="minorEastAsia"/>
              <w:noProof/>
              <w:szCs w:val="24"/>
              <w:lang w:eastAsia="lv-LV"/>
            </w:rPr>
          </w:pPr>
          <w:hyperlink w:anchor="_Toc131331261" w:history="1">
            <w:r w:rsidRPr="006373AD">
              <w:rPr>
                <w:rStyle w:val="Hyperlink"/>
                <w:noProof/>
                <w:szCs w:val="24"/>
                <w:lang w:eastAsia="lv-LV"/>
              </w:rPr>
              <w:t>7.2.2.</w:t>
            </w:r>
            <w:r w:rsidRPr="006373AD">
              <w:rPr>
                <w:rFonts w:eastAsiaTheme="minorEastAsia"/>
                <w:noProof/>
                <w:szCs w:val="24"/>
                <w:lang w:eastAsia="lv-LV"/>
              </w:rPr>
              <w:t xml:space="preserve"> </w:t>
            </w:r>
            <w:r w:rsidRPr="006373AD">
              <w:rPr>
                <w:rStyle w:val="Hyperlink"/>
                <w:noProof/>
                <w:szCs w:val="24"/>
                <w:lang w:eastAsia="lv-LV"/>
              </w:rPr>
              <w:t>Valsts finanšu statistikas pārvaldība</w:t>
            </w:r>
            <w:r w:rsidRPr="006373AD">
              <w:rPr>
                <w:noProof/>
                <w:webHidden/>
                <w:szCs w:val="24"/>
              </w:rPr>
              <w:tab/>
            </w:r>
            <w:r w:rsidRPr="006373AD">
              <w:rPr>
                <w:noProof/>
                <w:webHidden/>
                <w:szCs w:val="24"/>
              </w:rPr>
              <w:fldChar w:fldCharType="begin"/>
            </w:r>
            <w:r w:rsidRPr="006373AD">
              <w:rPr>
                <w:noProof/>
                <w:webHidden/>
                <w:szCs w:val="24"/>
              </w:rPr>
              <w:instrText xml:space="preserve"> PAGEREF _Toc131331261 \h </w:instrText>
            </w:r>
            <w:r w:rsidRPr="006373AD">
              <w:rPr>
                <w:noProof/>
                <w:webHidden/>
                <w:szCs w:val="24"/>
              </w:rPr>
            </w:r>
            <w:r w:rsidRPr="006373AD">
              <w:rPr>
                <w:noProof/>
                <w:webHidden/>
                <w:szCs w:val="24"/>
              </w:rPr>
              <w:fldChar w:fldCharType="separate"/>
            </w:r>
            <w:r w:rsidRPr="006373AD">
              <w:rPr>
                <w:noProof/>
                <w:webHidden/>
                <w:szCs w:val="24"/>
              </w:rPr>
              <w:t>64</w:t>
            </w:r>
            <w:r w:rsidRPr="006373AD">
              <w:rPr>
                <w:noProof/>
                <w:webHidden/>
                <w:szCs w:val="24"/>
              </w:rPr>
              <w:fldChar w:fldCharType="end"/>
            </w:r>
          </w:hyperlink>
        </w:p>
        <w:p w14:paraId="41A7FF97" w14:textId="1BCCEF1D" w:rsidR="006373AD" w:rsidRPr="006373AD" w:rsidRDefault="006373AD">
          <w:pPr>
            <w:pStyle w:val="TOC1"/>
            <w:rPr>
              <w:rFonts w:eastAsiaTheme="minorEastAsia"/>
              <w:noProof/>
              <w:szCs w:val="24"/>
              <w:lang w:eastAsia="lv-LV"/>
            </w:rPr>
          </w:pPr>
          <w:hyperlink w:anchor="_Toc131331262" w:history="1">
            <w:r w:rsidRPr="006373AD">
              <w:rPr>
                <w:rStyle w:val="Hyperlink"/>
                <w:noProof/>
                <w:szCs w:val="24"/>
              </w:rPr>
              <w:t>Pielikumi</w:t>
            </w:r>
            <w:r w:rsidRPr="006373AD">
              <w:rPr>
                <w:noProof/>
                <w:webHidden/>
                <w:szCs w:val="24"/>
              </w:rPr>
              <w:tab/>
            </w:r>
            <w:r w:rsidRPr="006373AD">
              <w:rPr>
                <w:noProof/>
                <w:webHidden/>
                <w:szCs w:val="24"/>
              </w:rPr>
              <w:fldChar w:fldCharType="begin"/>
            </w:r>
            <w:r w:rsidRPr="006373AD">
              <w:rPr>
                <w:noProof/>
                <w:webHidden/>
                <w:szCs w:val="24"/>
              </w:rPr>
              <w:instrText xml:space="preserve"> PAGEREF _Toc131331262 \h </w:instrText>
            </w:r>
            <w:r w:rsidRPr="006373AD">
              <w:rPr>
                <w:noProof/>
                <w:webHidden/>
                <w:szCs w:val="24"/>
              </w:rPr>
            </w:r>
            <w:r w:rsidRPr="006373AD">
              <w:rPr>
                <w:noProof/>
                <w:webHidden/>
                <w:szCs w:val="24"/>
              </w:rPr>
              <w:fldChar w:fldCharType="separate"/>
            </w:r>
            <w:r w:rsidRPr="006373AD">
              <w:rPr>
                <w:noProof/>
                <w:webHidden/>
                <w:szCs w:val="24"/>
              </w:rPr>
              <w:t>66</w:t>
            </w:r>
            <w:r w:rsidRPr="006373AD">
              <w:rPr>
                <w:noProof/>
                <w:webHidden/>
                <w:szCs w:val="24"/>
              </w:rPr>
              <w:fldChar w:fldCharType="end"/>
            </w:r>
          </w:hyperlink>
        </w:p>
        <w:p w14:paraId="34578FFC" w14:textId="6505153A" w:rsidR="00CE7515" w:rsidRPr="006373AD" w:rsidRDefault="00BF4753" w:rsidP="00427004">
          <w:pPr>
            <w:rPr>
              <w:rFonts w:cs="Times New Roman"/>
              <w:noProof/>
              <w:spacing w:val="-4"/>
              <w:sz w:val="24"/>
              <w:szCs w:val="24"/>
              <w:highlight w:val="yellow"/>
            </w:rPr>
          </w:pPr>
          <w:r w:rsidRPr="006373AD">
            <w:rPr>
              <w:rFonts w:cs="Times New Roman"/>
              <w:noProof/>
              <w:spacing w:val="-4"/>
              <w:sz w:val="24"/>
              <w:szCs w:val="24"/>
            </w:rPr>
            <w:fldChar w:fldCharType="end"/>
          </w:r>
        </w:p>
      </w:sdtContent>
    </w:sdt>
    <w:p w14:paraId="3FA9FDAE" w14:textId="2616F1B9" w:rsidR="00CE7515" w:rsidRPr="00CE7515" w:rsidRDefault="00427004" w:rsidP="00D22811">
      <w:pPr>
        <w:spacing w:after="160" w:line="259" w:lineRule="auto"/>
        <w:ind w:firstLine="0"/>
        <w:jc w:val="center"/>
        <w:rPr>
          <w:rFonts w:eastAsia="Times New Roman" w:cs="Times New Roman"/>
          <w:b/>
          <w:szCs w:val="20"/>
        </w:rPr>
      </w:pPr>
      <w:r>
        <w:rPr>
          <w:rFonts w:eastAsia="Times New Roman" w:cs="Times New Roman"/>
          <w:b/>
          <w:szCs w:val="20"/>
        </w:rPr>
        <w:br w:type="page"/>
      </w:r>
      <w:r w:rsidR="00CE7515" w:rsidRPr="00CE7515">
        <w:rPr>
          <w:rFonts w:eastAsia="Times New Roman" w:cs="Times New Roman"/>
          <w:b/>
          <w:szCs w:val="20"/>
        </w:rPr>
        <w:lastRenderedPageBreak/>
        <w:t>VISBIEŽĀK LIETOTIE SA</w:t>
      </w:r>
      <w:r w:rsidR="00CE7515" w:rsidRPr="00CE7515">
        <w:rPr>
          <w:rFonts w:eastAsia="Times New Roman" w:cs="Times New Roman" w:hint="eastAsia"/>
          <w:b/>
          <w:szCs w:val="20"/>
        </w:rPr>
        <w:t>Ī</w:t>
      </w:r>
      <w:r w:rsidR="00CE7515" w:rsidRPr="00CE7515">
        <w:rPr>
          <w:rFonts w:eastAsia="Times New Roman" w:cs="Times New Roman"/>
          <w:b/>
          <w:szCs w:val="20"/>
        </w:rPr>
        <w:t>SIN</w:t>
      </w:r>
      <w:r w:rsidR="00CE7515" w:rsidRPr="00CE7515">
        <w:rPr>
          <w:rFonts w:eastAsia="Times New Roman" w:cs="Times New Roman" w:hint="eastAsia"/>
          <w:b/>
          <w:szCs w:val="20"/>
        </w:rPr>
        <w:t>Ā</w:t>
      </w:r>
      <w:r w:rsidR="00CE7515" w:rsidRPr="00CE7515">
        <w:rPr>
          <w:rFonts w:eastAsia="Times New Roman" w:cs="Times New Roman"/>
          <w:b/>
          <w:szCs w:val="20"/>
        </w:rPr>
        <w:t>JUMI</w:t>
      </w:r>
    </w:p>
    <w:p w14:paraId="7775CB8F" w14:textId="77777777" w:rsidR="00CE7515" w:rsidRPr="00CE7515" w:rsidRDefault="00CE7515" w:rsidP="00CE7515">
      <w:pPr>
        <w:widowControl w:val="0"/>
        <w:tabs>
          <w:tab w:val="left" w:pos="5880"/>
        </w:tabs>
        <w:ind w:firstLine="0"/>
        <w:rPr>
          <w:rFonts w:eastAsia="Times New Roman" w:cs="Times New Roman"/>
          <w:sz w:val="24"/>
          <w:szCs w:val="20"/>
        </w:rPr>
      </w:pPr>
    </w:p>
    <w:tbl>
      <w:tblPr>
        <w:tblW w:w="9214" w:type="dxa"/>
        <w:tblLook w:val="04A0" w:firstRow="1" w:lastRow="0" w:firstColumn="1" w:lastColumn="0" w:noHBand="0" w:noVBand="1"/>
      </w:tblPr>
      <w:tblGrid>
        <w:gridCol w:w="1276"/>
        <w:gridCol w:w="7938"/>
      </w:tblGrid>
      <w:tr w:rsidR="00CE7515" w:rsidRPr="00085AFE" w14:paraId="663B2892" w14:textId="77777777" w:rsidTr="00085AFE">
        <w:trPr>
          <w:trHeight w:val="269"/>
        </w:trPr>
        <w:tc>
          <w:tcPr>
            <w:tcW w:w="1276" w:type="dxa"/>
            <w:shd w:val="clear" w:color="auto" w:fill="auto"/>
          </w:tcPr>
          <w:p w14:paraId="4D61364E" w14:textId="672E0691" w:rsidR="00CE7515" w:rsidRPr="00B73F8E" w:rsidRDefault="00D248D4" w:rsidP="00CE7515">
            <w:pPr>
              <w:tabs>
                <w:tab w:val="left" w:pos="1494"/>
              </w:tabs>
              <w:spacing w:before="40" w:after="40"/>
              <w:ind w:firstLine="0"/>
              <w:rPr>
                <w:rFonts w:eastAsia="Calibri" w:cs="Times New Roman"/>
                <w:sz w:val="24"/>
                <w:szCs w:val="24"/>
              </w:rPr>
            </w:pPr>
            <w:r w:rsidRPr="00D248D4">
              <w:rPr>
                <w:rFonts w:eastAsia="Calibri" w:cs="Times New Roman"/>
                <w:sz w:val="24"/>
                <w:szCs w:val="24"/>
              </w:rPr>
              <w:t>ANM</w:t>
            </w:r>
          </w:p>
        </w:tc>
        <w:tc>
          <w:tcPr>
            <w:tcW w:w="7938" w:type="dxa"/>
            <w:shd w:val="clear" w:color="auto" w:fill="auto"/>
          </w:tcPr>
          <w:p w14:paraId="256D1E96" w14:textId="39BB68B0" w:rsidR="00CE7515" w:rsidRPr="00B73F8E" w:rsidRDefault="00D248D4" w:rsidP="00CE7515">
            <w:pPr>
              <w:tabs>
                <w:tab w:val="left" w:pos="1494"/>
              </w:tabs>
              <w:spacing w:before="40" w:after="40"/>
              <w:ind w:firstLine="0"/>
              <w:rPr>
                <w:rFonts w:eastAsia="Calibri" w:cs="Times New Roman"/>
                <w:sz w:val="24"/>
                <w:szCs w:val="24"/>
              </w:rPr>
            </w:pPr>
            <w:r w:rsidRPr="00D248D4">
              <w:rPr>
                <w:rFonts w:eastAsia="Calibri" w:cs="Times New Roman"/>
                <w:sz w:val="24"/>
                <w:szCs w:val="24"/>
              </w:rPr>
              <w:t>Atveseļošanās un noturības mehānisma</w:t>
            </w:r>
          </w:p>
        </w:tc>
      </w:tr>
      <w:tr w:rsidR="00D248D4" w:rsidRPr="00085AFE" w14:paraId="24E2A89B" w14:textId="77777777" w:rsidTr="00085AFE">
        <w:trPr>
          <w:trHeight w:val="269"/>
        </w:trPr>
        <w:tc>
          <w:tcPr>
            <w:tcW w:w="1276" w:type="dxa"/>
            <w:shd w:val="clear" w:color="auto" w:fill="auto"/>
          </w:tcPr>
          <w:p w14:paraId="052C024F" w14:textId="35F73160" w:rsidR="00D248D4" w:rsidRPr="00B73F8E" w:rsidRDefault="00D248D4" w:rsidP="00CE7515">
            <w:pPr>
              <w:tabs>
                <w:tab w:val="left" w:pos="1494"/>
              </w:tabs>
              <w:spacing w:before="40" w:after="40"/>
              <w:ind w:firstLine="0"/>
              <w:rPr>
                <w:rFonts w:eastAsia="Calibri" w:cs="Times New Roman"/>
                <w:sz w:val="24"/>
                <w:szCs w:val="24"/>
              </w:rPr>
            </w:pPr>
            <w:r w:rsidRPr="00B73F8E">
              <w:rPr>
                <w:rFonts w:eastAsia="Calibri" w:cs="Times New Roman"/>
                <w:sz w:val="24"/>
                <w:szCs w:val="24"/>
              </w:rPr>
              <w:t>ASV</w:t>
            </w:r>
          </w:p>
        </w:tc>
        <w:tc>
          <w:tcPr>
            <w:tcW w:w="7938" w:type="dxa"/>
            <w:shd w:val="clear" w:color="auto" w:fill="auto"/>
          </w:tcPr>
          <w:p w14:paraId="04615410" w14:textId="61093822" w:rsidR="00D248D4" w:rsidRPr="00B73F8E" w:rsidRDefault="00D248D4" w:rsidP="00CE7515">
            <w:pPr>
              <w:tabs>
                <w:tab w:val="left" w:pos="1494"/>
              </w:tabs>
              <w:spacing w:before="40" w:after="40"/>
              <w:ind w:firstLine="0"/>
              <w:rPr>
                <w:rFonts w:eastAsia="Calibri" w:cs="Times New Roman"/>
                <w:sz w:val="24"/>
                <w:szCs w:val="24"/>
              </w:rPr>
            </w:pPr>
            <w:r w:rsidRPr="00B73F8E">
              <w:rPr>
                <w:rFonts w:eastAsia="Calibri" w:cs="Times New Roman"/>
                <w:sz w:val="24"/>
                <w:szCs w:val="24"/>
              </w:rPr>
              <w:t>Amerikas Savienotās Valstis</w:t>
            </w:r>
          </w:p>
        </w:tc>
      </w:tr>
      <w:tr w:rsidR="00CE7515" w:rsidRPr="00085AFE" w14:paraId="07FD3E6B" w14:textId="77777777" w:rsidTr="00085AFE">
        <w:trPr>
          <w:trHeight w:val="269"/>
        </w:trPr>
        <w:tc>
          <w:tcPr>
            <w:tcW w:w="1276" w:type="dxa"/>
            <w:shd w:val="clear" w:color="auto" w:fill="auto"/>
          </w:tcPr>
          <w:p w14:paraId="51156ACE" w14:textId="77777777" w:rsidR="00CE7515" w:rsidRPr="00E8505B" w:rsidRDefault="00CE7515" w:rsidP="00CE7515">
            <w:pPr>
              <w:tabs>
                <w:tab w:val="left" w:pos="1494"/>
              </w:tabs>
              <w:spacing w:before="40" w:after="40"/>
              <w:ind w:firstLine="0"/>
              <w:rPr>
                <w:rFonts w:eastAsia="Calibri" w:cs="Times New Roman"/>
                <w:sz w:val="24"/>
                <w:szCs w:val="24"/>
              </w:rPr>
            </w:pPr>
            <w:r w:rsidRPr="00E8505B">
              <w:rPr>
                <w:rFonts w:eastAsia="Calibri" w:cs="Times New Roman"/>
                <w:sz w:val="24"/>
                <w:szCs w:val="28"/>
              </w:rPr>
              <w:t>CSP</w:t>
            </w:r>
          </w:p>
        </w:tc>
        <w:tc>
          <w:tcPr>
            <w:tcW w:w="7938" w:type="dxa"/>
            <w:shd w:val="clear" w:color="auto" w:fill="auto"/>
          </w:tcPr>
          <w:p w14:paraId="3DAF452A" w14:textId="71C4936C" w:rsidR="00CE7515" w:rsidRPr="00E8505B" w:rsidRDefault="00CE7515" w:rsidP="00CE7515">
            <w:pPr>
              <w:tabs>
                <w:tab w:val="left" w:pos="1494"/>
              </w:tabs>
              <w:spacing w:before="40" w:after="40"/>
              <w:ind w:firstLine="0"/>
              <w:rPr>
                <w:rFonts w:eastAsia="Calibri" w:cs="Times New Roman"/>
                <w:sz w:val="24"/>
                <w:szCs w:val="24"/>
              </w:rPr>
            </w:pPr>
            <w:r w:rsidRPr="00E8505B">
              <w:rPr>
                <w:rFonts w:eastAsia="Calibri" w:cs="Times New Roman"/>
                <w:sz w:val="24"/>
                <w:szCs w:val="24"/>
              </w:rPr>
              <w:t>Centrālā statistikas pārvalde</w:t>
            </w:r>
            <w:r w:rsidR="00C3414B">
              <w:rPr>
                <w:rFonts w:eastAsia="Calibri" w:cs="Times New Roman"/>
                <w:sz w:val="24"/>
                <w:szCs w:val="24"/>
              </w:rPr>
              <w:t xml:space="preserve"> </w:t>
            </w:r>
          </w:p>
        </w:tc>
      </w:tr>
      <w:tr w:rsidR="00CC4328" w:rsidRPr="00085AFE" w14:paraId="5E639789" w14:textId="77777777" w:rsidTr="00085AFE">
        <w:trPr>
          <w:trHeight w:val="269"/>
        </w:trPr>
        <w:tc>
          <w:tcPr>
            <w:tcW w:w="1276" w:type="dxa"/>
            <w:shd w:val="clear" w:color="auto" w:fill="auto"/>
          </w:tcPr>
          <w:p w14:paraId="66A6F326" w14:textId="1A251FC8" w:rsidR="00CC4328" w:rsidRPr="00085AFE" w:rsidRDefault="00CC4328" w:rsidP="00CE7515">
            <w:pPr>
              <w:tabs>
                <w:tab w:val="left" w:pos="1494"/>
              </w:tabs>
              <w:spacing w:before="40" w:after="40"/>
              <w:ind w:firstLine="0"/>
              <w:rPr>
                <w:rFonts w:eastAsia="Calibri" w:cs="Times New Roman"/>
                <w:sz w:val="24"/>
                <w:szCs w:val="28"/>
                <w:highlight w:val="lightGray"/>
              </w:rPr>
            </w:pPr>
            <w:r w:rsidRPr="00996355">
              <w:rPr>
                <w:rFonts w:eastAsia="Calibri" w:cs="Times New Roman"/>
                <w:sz w:val="24"/>
                <w:szCs w:val="24"/>
              </w:rPr>
              <w:t>ECB</w:t>
            </w:r>
          </w:p>
        </w:tc>
        <w:tc>
          <w:tcPr>
            <w:tcW w:w="7938" w:type="dxa"/>
            <w:shd w:val="clear" w:color="auto" w:fill="auto"/>
          </w:tcPr>
          <w:p w14:paraId="2DCAF69C" w14:textId="5F87587F" w:rsidR="00CC4328" w:rsidRPr="00085AFE" w:rsidRDefault="00CC4328" w:rsidP="00CE7515">
            <w:pPr>
              <w:tabs>
                <w:tab w:val="left" w:pos="1494"/>
              </w:tabs>
              <w:spacing w:before="40" w:after="40"/>
              <w:ind w:firstLine="0"/>
              <w:rPr>
                <w:rFonts w:eastAsia="Calibri" w:cs="Times New Roman"/>
                <w:sz w:val="24"/>
                <w:szCs w:val="24"/>
                <w:highlight w:val="lightGray"/>
              </w:rPr>
            </w:pPr>
            <w:r w:rsidRPr="00996355">
              <w:rPr>
                <w:rFonts w:eastAsia="Calibri" w:cs="Times New Roman"/>
                <w:sz w:val="24"/>
                <w:szCs w:val="24"/>
              </w:rPr>
              <w:t>Eiropas Centrālā banka</w:t>
            </w:r>
          </w:p>
        </w:tc>
      </w:tr>
      <w:tr w:rsidR="00CC4328" w:rsidRPr="00085AFE" w14:paraId="6AFDA917" w14:textId="77777777" w:rsidTr="00085AFE">
        <w:trPr>
          <w:trHeight w:val="269"/>
        </w:trPr>
        <w:tc>
          <w:tcPr>
            <w:tcW w:w="1276" w:type="dxa"/>
            <w:shd w:val="clear" w:color="auto" w:fill="auto"/>
          </w:tcPr>
          <w:p w14:paraId="32BEC8D0" w14:textId="47B96E5C" w:rsidR="00CC4328" w:rsidRPr="004E02FD" w:rsidRDefault="00CC4328" w:rsidP="00CE7515">
            <w:pPr>
              <w:tabs>
                <w:tab w:val="left" w:pos="1494"/>
              </w:tabs>
              <w:spacing w:before="40" w:after="40"/>
              <w:ind w:firstLine="0"/>
              <w:rPr>
                <w:rFonts w:eastAsia="Calibri" w:cs="Times New Roman"/>
                <w:sz w:val="24"/>
                <w:szCs w:val="24"/>
              </w:rPr>
            </w:pPr>
            <w:r w:rsidRPr="00996355">
              <w:rPr>
                <w:rFonts w:eastAsia="Calibri" w:cs="Times New Roman"/>
                <w:sz w:val="24"/>
                <w:szCs w:val="24"/>
              </w:rPr>
              <w:t>EK</w:t>
            </w:r>
          </w:p>
        </w:tc>
        <w:tc>
          <w:tcPr>
            <w:tcW w:w="7938" w:type="dxa"/>
            <w:shd w:val="clear" w:color="auto" w:fill="auto"/>
          </w:tcPr>
          <w:p w14:paraId="5C2AA4B5" w14:textId="332D7535" w:rsidR="00CC4328" w:rsidRPr="004E02FD" w:rsidRDefault="00CC4328" w:rsidP="00CE7515">
            <w:pPr>
              <w:tabs>
                <w:tab w:val="left" w:pos="1494"/>
              </w:tabs>
              <w:spacing w:before="40" w:after="40"/>
              <w:ind w:firstLine="0"/>
              <w:rPr>
                <w:rFonts w:eastAsia="Calibri" w:cs="Times New Roman"/>
                <w:sz w:val="24"/>
                <w:szCs w:val="24"/>
              </w:rPr>
            </w:pPr>
            <w:r w:rsidRPr="00996355">
              <w:rPr>
                <w:rFonts w:eastAsia="Calibri" w:cs="Times New Roman"/>
                <w:sz w:val="24"/>
                <w:szCs w:val="24"/>
              </w:rPr>
              <w:t>Eiropas Komisija</w:t>
            </w:r>
          </w:p>
        </w:tc>
      </w:tr>
      <w:tr w:rsidR="00CC4328" w:rsidRPr="00085AFE" w14:paraId="170117F5" w14:textId="77777777" w:rsidTr="00085AFE">
        <w:trPr>
          <w:trHeight w:val="269"/>
        </w:trPr>
        <w:tc>
          <w:tcPr>
            <w:tcW w:w="1276" w:type="dxa"/>
            <w:shd w:val="clear" w:color="auto" w:fill="auto"/>
          </w:tcPr>
          <w:p w14:paraId="427659A9" w14:textId="1033ED82" w:rsidR="00CC4328" w:rsidRPr="00945318" w:rsidRDefault="00CC4328" w:rsidP="00CE7515">
            <w:pPr>
              <w:tabs>
                <w:tab w:val="left" w:pos="1494"/>
              </w:tabs>
              <w:spacing w:before="40" w:after="40"/>
              <w:ind w:firstLine="0"/>
              <w:rPr>
                <w:rFonts w:eastAsia="Calibri" w:cs="Times New Roman"/>
                <w:sz w:val="24"/>
                <w:szCs w:val="24"/>
              </w:rPr>
            </w:pPr>
            <w:r w:rsidRPr="00B73F8E">
              <w:rPr>
                <w:rFonts w:eastAsia="Calibri" w:cs="Times New Roman"/>
                <w:sz w:val="24"/>
                <w:szCs w:val="24"/>
              </w:rPr>
              <w:t>EKS</w:t>
            </w:r>
            <w:r>
              <w:rPr>
                <w:rFonts w:eastAsia="Calibri" w:cs="Times New Roman"/>
                <w:sz w:val="24"/>
                <w:szCs w:val="24"/>
              </w:rPr>
              <w:t xml:space="preserve"> </w:t>
            </w:r>
          </w:p>
        </w:tc>
        <w:tc>
          <w:tcPr>
            <w:tcW w:w="7938" w:type="dxa"/>
            <w:shd w:val="clear" w:color="auto" w:fill="auto"/>
          </w:tcPr>
          <w:p w14:paraId="515A79D7" w14:textId="1F0D5B38" w:rsidR="00CC4328" w:rsidRPr="00945318" w:rsidRDefault="00CC4328" w:rsidP="00CE7515">
            <w:pPr>
              <w:tabs>
                <w:tab w:val="left" w:pos="1494"/>
              </w:tabs>
              <w:spacing w:before="40" w:after="40"/>
              <w:ind w:firstLine="0"/>
              <w:rPr>
                <w:rFonts w:eastAsia="Calibri" w:cs="Times New Roman"/>
                <w:sz w:val="24"/>
                <w:szCs w:val="24"/>
              </w:rPr>
            </w:pPr>
            <w:r w:rsidRPr="00B73F8E">
              <w:rPr>
                <w:rFonts w:eastAsia="Calibri" w:cs="Times New Roman"/>
                <w:sz w:val="24"/>
                <w:szCs w:val="24"/>
              </w:rPr>
              <w:t>Eiropas nacion</w:t>
            </w:r>
            <w:r w:rsidRPr="00B73F8E">
              <w:rPr>
                <w:rFonts w:eastAsia="Calibri" w:cs="Times New Roman" w:hint="eastAsia"/>
                <w:sz w:val="24"/>
                <w:szCs w:val="24"/>
              </w:rPr>
              <w:t>ā</w:t>
            </w:r>
            <w:r w:rsidRPr="00B73F8E">
              <w:rPr>
                <w:rFonts w:eastAsia="Calibri" w:cs="Times New Roman"/>
                <w:sz w:val="24"/>
                <w:szCs w:val="24"/>
              </w:rPr>
              <w:t>lo un re</w:t>
            </w:r>
            <w:r w:rsidRPr="00B73F8E">
              <w:rPr>
                <w:rFonts w:eastAsia="Calibri" w:cs="Times New Roman" w:hint="eastAsia"/>
                <w:sz w:val="24"/>
                <w:szCs w:val="24"/>
              </w:rPr>
              <w:t>ģ</w:t>
            </w:r>
            <w:r w:rsidRPr="00B73F8E">
              <w:rPr>
                <w:rFonts w:eastAsia="Calibri" w:cs="Times New Roman"/>
                <w:sz w:val="24"/>
                <w:szCs w:val="24"/>
              </w:rPr>
              <w:t>ion</w:t>
            </w:r>
            <w:r w:rsidRPr="00B73F8E">
              <w:rPr>
                <w:rFonts w:eastAsia="Calibri" w:cs="Times New Roman" w:hint="eastAsia"/>
                <w:sz w:val="24"/>
                <w:szCs w:val="24"/>
              </w:rPr>
              <w:t>ā</w:t>
            </w:r>
            <w:r w:rsidRPr="00B73F8E">
              <w:rPr>
                <w:rFonts w:eastAsia="Calibri" w:cs="Times New Roman"/>
                <w:sz w:val="24"/>
                <w:szCs w:val="24"/>
              </w:rPr>
              <w:t>lo kontu sist</w:t>
            </w:r>
            <w:r w:rsidRPr="00B73F8E">
              <w:rPr>
                <w:rFonts w:eastAsia="Calibri" w:cs="Times New Roman" w:hint="eastAsia"/>
                <w:sz w:val="24"/>
                <w:szCs w:val="24"/>
              </w:rPr>
              <w:t>ē</w:t>
            </w:r>
            <w:r w:rsidRPr="00B73F8E">
              <w:rPr>
                <w:rFonts w:eastAsia="Calibri" w:cs="Times New Roman"/>
                <w:sz w:val="24"/>
                <w:szCs w:val="24"/>
              </w:rPr>
              <w:t>m</w:t>
            </w:r>
            <w:r>
              <w:rPr>
                <w:rFonts w:eastAsia="Calibri" w:cs="Times New Roman"/>
                <w:sz w:val="24"/>
                <w:szCs w:val="24"/>
              </w:rPr>
              <w:t>a</w:t>
            </w:r>
          </w:p>
        </w:tc>
      </w:tr>
      <w:tr w:rsidR="00CC4328" w:rsidRPr="00085AFE" w14:paraId="4AF9AC25" w14:textId="77777777" w:rsidTr="00085AFE">
        <w:trPr>
          <w:trHeight w:val="269"/>
        </w:trPr>
        <w:tc>
          <w:tcPr>
            <w:tcW w:w="1276" w:type="dxa"/>
            <w:shd w:val="clear" w:color="auto" w:fill="auto"/>
          </w:tcPr>
          <w:p w14:paraId="525E7D4E" w14:textId="03E5F793" w:rsidR="00CC4328" w:rsidRPr="00B73F8E" w:rsidRDefault="00CC4328" w:rsidP="005F4D71">
            <w:pPr>
              <w:tabs>
                <w:tab w:val="left" w:pos="1494"/>
              </w:tabs>
              <w:spacing w:before="40" w:after="40"/>
              <w:ind w:firstLine="0"/>
              <w:rPr>
                <w:rFonts w:eastAsia="Calibri" w:cs="Times New Roman"/>
                <w:sz w:val="24"/>
                <w:szCs w:val="24"/>
              </w:rPr>
            </w:pPr>
            <w:r w:rsidRPr="00996355">
              <w:rPr>
                <w:rFonts w:eastAsia="Calibri" w:cs="Times New Roman"/>
                <w:sz w:val="24"/>
                <w:szCs w:val="24"/>
              </w:rPr>
              <w:t>EPC AWG</w:t>
            </w:r>
          </w:p>
        </w:tc>
        <w:tc>
          <w:tcPr>
            <w:tcW w:w="7938" w:type="dxa"/>
            <w:shd w:val="clear" w:color="auto" w:fill="auto"/>
          </w:tcPr>
          <w:p w14:paraId="4149E597" w14:textId="40A7EF83" w:rsidR="00CC4328" w:rsidRPr="00B73F8E" w:rsidRDefault="00CC4328" w:rsidP="00CE7515">
            <w:pPr>
              <w:tabs>
                <w:tab w:val="left" w:pos="1494"/>
              </w:tabs>
              <w:spacing w:before="40" w:after="40"/>
              <w:ind w:firstLine="0"/>
              <w:rPr>
                <w:rFonts w:eastAsia="Calibri" w:cs="Times New Roman"/>
                <w:sz w:val="24"/>
                <w:szCs w:val="24"/>
              </w:rPr>
            </w:pPr>
            <w:r w:rsidRPr="00996355">
              <w:rPr>
                <w:rFonts w:eastAsia="Calibri" w:cs="Times New Roman"/>
                <w:sz w:val="24"/>
                <w:szCs w:val="24"/>
              </w:rPr>
              <w:t>Ekonomiskās politikas komitejas Iedzīvotāju novecošanās darba grupa</w:t>
            </w:r>
          </w:p>
        </w:tc>
      </w:tr>
      <w:tr w:rsidR="00CC4328" w:rsidRPr="00085AFE" w14:paraId="225CB0FA" w14:textId="77777777" w:rsidTr="00085AFE">
        <w:trPr>
          <w:trHeight w:val="269"/>
        </w:trPr>
        <w:tc>
          <w:tcPr>
            <w:tcW w:w="1276" w:type="dxa"/>
            <w:shd w:val="clear" w:color="auto" w:fill="auto"/>
          </w:tcPr>
          <w:p w14:paraId="0836CB9A" w14:textId="566E7B2B" w:rsidR="00CC4328" w:rsidRPr="00085AFE" w:rsidRDefault="00CC4328" w:rsidP="00CE7515">
            <w:pPr>
              <w:tabs>
                <w:tab w:val="left" w:pos="1494"/>
              </w:tabs>
              <w:spacing w:before="40" w:after="40"/>
              <w:ind w:firstLine="0"/>
              <w:rPr>
                <w:rFonts w:eastAsia="Calibri" w:cs="Times New Roman"/>
                <w:sz w:val="24"/>
                <w:szCs w:val="24"/>
                <w:highlight w:val="lightGray"/>
              </w:rPr>
            </w:pPr>
            <w:r w:rsidRPr="00D22811">
              <w:rPr>
                <w:rFonts w:eastAsia="Calibri" w:cs="Times New Roman"/>
                <w:sz w:val="24"/>
                <w:szCs w:val="24"/>
              </w:rPr>
              <w:t>ES</w:t>
            </w:r>
          </w:p>
        </w:tc>
        <w:tc>
          <w:tcPr>
            <w:tcW w:w="7938" w:type="dxa"/>
            <w:shd w:val="clear" w:color="auto" w:fill="auto"/>
          </w:tcPr>
          <w:p w14:paraId="392D8539" w14:textId="03E9AED9" w:rsidR="00CC4328" w:rsidRPr="00085AFE" w:rsidRDefault="00CC4328" w:rsidP="00CE7515">
            <w:pPr>
              <w:tabs>
                <w:tab w:val="left" w:pos="1494"/>
              </w:tabs>
              <w:spacing w:before="40" w:after="40"/>
              <w:ind w:firstLine="0"/>
              <w:rPr>
                <w:rFonts w:eastAsia="Calibri" w:cs="Times New Roman"/>
                <w:sz w:val="24"/>
                <w:szCs w:val="24"/>
                <w:highlight w:val="lightGray"/>
              </w:rPr>
            </w:pPr>
            <w:r w:rsidRPr="00D22811">
              <w:rPr>
                <w:rFonts w:eastAsia="Calibri" w:cs="Times New Roman"/>
                <w:sz w:val="24"/>
                <w:szCs w:val="24"/>
              </w:rPr>
              <w:t>Eiropas Savienība</w:t>
            </w:r>
          </w:p>
        </w:tc>
      </w:tr>
      <w:tr w:rsidR="00CC4328" w:rsidRPr="00085AFE" w14:paraId="50E977C5" w14:textId="77777777" w:rsidTr="00085AFE">
        <w:trPr>
          <w:trHeight w:val="269"/>
        </w:trPr>
        <w:tc>
          <w:tcPr>
            <w:tcW w:w="1276" w:type="dxa"/>
            <w:shd w:val="clear" w:color="auto" w:fill="auto"/>
          </w:tcPr>
          <w:p w14:paraId="35E8C2E2" w14:textId="1CB9C7DF" w:rsidR="00CC4328" w:rsidRPr="00085AFE" w:rsidRDefault="00CC4328" w:rsidP="00CE7515">
            <w:pPr>
              <w:tabs>
                <w:tab w:val="left" w:pos="1494"/>
              </w:tabs>
              <w:spacing w:before="40" w:after="40"/>
              <w:ind w:firstLine="0"/>
              <w:rPr>
                <w:rFonts w:eastAsia="Calibri" w:cs="Times New Roman"/>
                <w:sz w:val="24"/>
                <w:szCs w:val="24"/>
                <w:highlight w:val="lightGray"/>
              </w:rPr>
            </w:pPr>
            <w:r w:rsidRPr="004E02FD">
              <w:rPr>
                <w:rFonts w:eastAsia="Times New Roman" w:cs="Times New Roman"/>
                <w:sz w:val="24"/>
                <w:szCs w:val="24"/>
              </w:rPr>
              <w:t>FDL</w:t>
            </w:r>
          </w:p>
        </w:tc>
        <w:tc>
          <w:tcPr>
            <w:tcW w:w="7938" w:type="dxa"/>
            <w:shd w:val="clear" w:color="auto" w:fill="auto"/>
          </w:tcPr>
          <w:p w14:paraId="3D8921FB" w14:textId="03D19E6E" w:rsidR="00CC4328" w:rsidRPr="00085AFE" w:rsidRDefault="00CC4328" w:rsidP="00CE7515">
            <w:pPr>
              <w:tabs>
                <w:tab w:val="left" w:pos="1494"/>
              </w:tabs>
              <w:spacing w:before="40" w:after="40"/>
              <w:ind w:firstLine="0"/>
              <w:rPr>
                <w:rFonts w:eastAsia="Calibri" w:cs="Times New Roman"/>
                <w:sz w:val="24"/>
                <w:szCs w:val="24"/>
                <w:highlight w:val="lightGray"/>
              </w:rPr>
            </w:pPr>
            <w:r w:rsidRPr="004E02FD">
              <w:rPr>
                <w:rFonts w:eastAsia="Calibri" w:cs="Times New Roman"/>
                <w:sz w:val="24"/>
                <w:szCs w:val="24"/>
              </w:rPr>
              <w:t>Fiskālās disciplīnas likums</w:t>
            </w:r>
          </w:p>
        </w:tc>
      </w:tr>
      <w:tr w:rsidR="00CC4328" w:rsidRPr="00085AFE" w14:paraId="5B3AD9DB" w14:textId="77777777" w:rsidTr="00085AFE">
        <w:trPr>
          <w:trHeight w:val="269"/>
        </w:trPr>
        <w:tc>
          <w:tcPr>
            <w:tcW w:w="1276" w:type="dxa"/>
            <w:shd w:val="clear" w:color="auto" w:fill="auto"/>
          </w:tcPr>
          <w:p w14:paraId="27A49563" w14:textId="6AF891DC" w:rsidR="00CC4328" w:rsidRPr="00085AFE" w:rsidRDefault="00CC4328" w:rsidP="00CE7515">
            <w:pPr>
              <w:tabs>
                <w:tab w:val="left" w:pos="1494"/>
              </w:tabs>
              <w:spacing w:before="40" w:after="40"/>
              <w:ind w:firstLine="0"/>
              <w:rPr>
                <w:rFonts w:eastAsia="Calibri" w:cs="Times New Roman"/>
                <w:sz w:val="24"/>
                <w:szCs w:val="24"/>
                <w:highlight w:val="lightGray"/>
              </w:rPr>
            </w:pPr>
            <w:r w:rsidRPr="000C45B5">
              <w:rPr>
                <w:rFonts w:eastAsia="Times New Roman" w:cs="Times New Roman"/>
                <w:sz w:val="24"/>
                <w:szCs w:val="24"/>
              </w:rPr>
              <w:t>FM</w:t>
            </w:r>
          </w:p>
        </w:tc>
        <w:tc>
          <w:tcPr>
            <w:tcW w:w="7938" w:type="dxa"/>
            <w:shd w:val="clear" w:color="auto" w:fill="auto"/>
          </w:tcPr>
          <w:p w14:paraId="7003C21E" w14:textId="7AF42394" w:rsidR="00CC4328" w:rsidRPr="00085AFE" w:rsidRDefault="00CC4328" w:rsidP="00CE7515">
            <w:pPr>
              <w:tabs>
                <w:tab w:val="left" w:pos="1494"/>
              </w:tabs>
              <w:spacing w:before="40" w:after="40"/>
              <w:ind w:firstLine="0"/>
              <w:rPr>
                <w:rFonts w:eastAsia="Calibri" w:cs="Times New Roman"/>
                <w:sz w:val="24"/>
                <w:szCs w:val="24"/>
                <w:highlight w:val="lightGray"/>
              </w:rPr>
            </w:pPr>
            <w:r w:rsidRPr="000C45B5">
              <w:rPr>
                <w:rFonts w:eastAsia="Calibri" w:cs="Times New Roman"/>
                <w:sz w:val="24"/>
                <w:szCs w:val="24"/>
              </w:rPr>
              <w:t>Finanšu ministrija</w:t>
            </w:r>
          </w:p>
        </w:tc>
      </w:tr>
      <w:tr w:rsidR="00CC4328" w:rsidRPr="00085AFE" w14:paraId="678030A6" w14:textId="77777777" w:rsidTr="00085AFE">
        <w:trPr>
          <w:trHeight w:val="269"/>
        </w:trPr>
        <w:tc>
          <w:tcPr>
            <w:tcW w:w="1276" w:type="dxa"/>
            <w:shd w:val="clear" w:color="auto" w:fill="auto"/>
          </w:tcPr>
          <w:p w14:paraId="1DA7C462" w14:textId="12F47E04" w:rsidR="00CC4328" w:rsidRPr="00CC4328" w:rsidRDefault="00CC4328" w:rsidP="00CE7515">
            <w:pPr>
              <w:tabs>
                <w:tab w:val="left" w:pos="1494"/>
              </w:tabs>
              <w:spacing w:before="40" w:after="40"/>
              <w:ind w:firstLine="0"/>
              <w:rPr>
                <w:rFonts w:eastAsia="Times New Roman" w:cs="Times New Roman"/>
                <w:sz w:val="24"/>
                <w:szCs w:val="24"/>
              </w:rPr>
            </w:pPr>
            <w:r w:rsidRPr="00CC4328">
              <w:rPr>
                <w:rFonts w:eastAsia="Times New Roman" w:cs="Times New Roman"/>
                <w:sz w:val="24"/>
                <w:szCs w:val="28"/>
              </w:rPr>
              <w:t>IeM</w:t>
            </w:r>
          </w:p>
        </w:tc>
        <w:tc>
          <w:tcPr>
            <w:tcW w:w="7938" w:type="dxa"/>
            <w:shd w:val="clear" w:color="auto" w:fill="auto"/>
          </w:tcPr>
          <w:p w14:paraId="4825A6E3" w14:textId="4DA33920" w:rsidR="00CC4328" w:rsidRPr="00CC4328" w:rsidRDefault="00CC4328" w:rsidP="00CE7515">
            <w:pPr>
              <w:tabs>
                <w:tab w:val="left" w:pos="1494"/>
              </w:tabs>
              <w:spacing w:before="40" w:after="40"/>
              <w:ind w:firstLine="0"/>
              <w:rPr>
                <w:rFonts w:eastAsia="Calibri" w:cs="Times New Roman"/>
                <w:sz w:val="24"/>
                <w:szCs w:val="24"/>
              </w:rPr>
            </w:pPr>
            <w:proofErr w:type="spellStart"/>
            <w:r w:rsidRPr="00CC4328">
              <w:rPr>
                <w:rFonts w:eastAsia="Calibri" w:cs="Times New Roman"/>
                <w:sz w:val="24"/>
                <w:szCs w:val="24"/>
              </w:rPr>
              <w:t>Iekšlietu</w:t>
            </w:r>
            <w:proofErr w:type="spellEnd"/>
            <w:r w:rsidRPr="00CC4328">
              <w:rPr>
                <w:rFonts w:eastAsia="Calibri" w:cs="Times New Roman"/>
                <w:sz w:val="24"/>
                <w:szCs w:val="24"/>
              </w:rPr>
              <w:t xml:space="preserve"> ministrija</w:t>
            </w:r>
          </w:p>
        </w:tc>
      </w:tr>
      <w:tr w:rsidR="00CC4328" w:rsidRPr="00085AFE" w14:paraId="3C14A198" w14:textId="77777777" w:rsidTr="00085AFE">
        <w:trPr>
          <w:trHeight w:val="269"/>
        </w:trPr>
        <w:tc>
          <w:tcPr>
            <w:tcW w:w="1276" w:type="dxa"/>
            <w:shd w:val="clear" w:color="auto" w:fill="auto"/>
          </w:tcPr>
          <w:p w14:paraId="3092B234" w14:textId="0EAF3CF9" w:rsidR="00CC4328" w:rsidRPr="00CC4328" w:rsidRDefault="00CC4328" w:rsidP="00CE7515">
            <w:pPr>
              <w:tabs>
                <w:tab w:val="left" w:pos="1494"/>
              </w:tabs>
              <w:spacing w:before="40" w:after="40"/>
              <w:ind w:firstLine="0"/>
              <w:rPr>
                <w:rFonts w:eastAsia="Times New Roman" w:cs="Times New Roman"/>
                <w:sz w:val="24"/>
                <w:szCs w:val="24"/>
              </w:rPr>
            </w:pPr>
            <w:r w:rsidRPr="00CC4328">
              <w:rPr>
                <w:rFonts w:eastAsia="Times New Roman" w:cs="Times New Roman"/>
                <w:sz w:val="24"/>
                <w:szCs w:val="28"/>
              </w:rPr>
              <w:t>IIN</w:t>
            </w:r>
          </w:p>
        </w:tc>
        <w:tc>
          <w:tcPr>
            <w:tcW w:w="7938" w:type="dxa"/>
            <w:shd w:val="clear" w:color="auto" w:fill="auto"/>
          </w:tcPr>
          <w:p w14:paraId="06CB309D" w14:textId="1273A3BA" w:rsidR="00CC4328" w:rsidRPr="00CC4328" w:rsidRDefault="00CC4328" w:rsidP="00CE7515">
            <w:pPr>
              <w:tabs>
                <w:tab w:val="left" w:pos="1494"/>
              </w:tabs>
              <w:spacing w:before="40" w:after="40"/>
              <w:ind w:firstLine="0"/>
              <w:rPr>
                <w:rFonts w:eastAsia="Calibri" w:cs="Times New Roman"/>
                <w:sz w:val="24"/>
                <w:szCs w:val="24"/>
              </w:rPr>
            </w:pPr>
            <w:r w:rsidRPr="00CC4328">
              <w:rPr>
                <w:rFonts w:eastAsia="Calibri" w:cs="Times New Roman"/>
                <w:sz w:val="24"/>
                <w:szCs w:val="24"/>
              </w:rPr>
              <w:t>Iedz</w:t>
            </w:r>
            <w:r w:rsidRPr="00CC4328">
              <w:rPr>
                <w:rFonts w:eastAsia="Calibri" w:cs="Times New Roman" w:hint="eastAsia"/>
                <w:sz w:val="24"/>
                <w:szCs w:val="24"/>
              </w:rPr>
              <w:t>ī</w:t>
            </w:r>
            <w:r w:rsidRPr="00CC4328">
              <w:rPr>
                <w:rFonts w:eastAsia="Calibri" w:cs="Times New Roman"/>
                <w:sz w:val="24"/>
                <w:szCs w:val="24"/>
              </w:rPr>
              <w:t>vot</w:t>
            </w:r>
            <w:r w:rsidRPr="00CC4328">
              <w:rPr>
                <w:rFonts w:eastAsia="Calibri" w:cs="Times New Roman" w:hint="eastAsia"/>
                <w:sz w:val="24"/>
                <w:szCs w:val="24"/>
              </w:rPr>
              <w:t>ā</w:t>
            </w:r>
            <w:r w:rsidRPr="00CC4328">
              <w:rPr>
                <w:rFonts w:eastAsia="Calibri" w:cs="Times New Roman"/>
                <w:sz w:val="24"/>
                <w:szCs w:val="24"/>
              </w:rPr>
              <w:t>ju ien</w:t>
            </w:r>
            <w:r w:rsidRPr="00CC4328">
              <w:rPr>
                <w:rFonts w:eastAsia="Calibri" w:cs="Times New Roman" w:hint="eastAsia"/>
                <w:sz w:val="24"/>
                <w:szCs w:val="24"/>
              </w:rPr>
              <w:t>ā</w:t>
            </w:r>
            <w:r w:rsidRPr="00CC4328">
              <w:rPr>
                <w:rFonts w:eastAsia="Calibri" w:cs="Times New Roman"/>
                <w:sz w:val="24"/>
                <w:szCs w:val="24"/>
              </w:rPr>
              <w:t>kuma nodoklis</w:t>
            </w:r>
          </w:p>
        </w:tc>
      </w:tr>
      <w:tr w:rsidR="00CC4328" w:rsidRPr="00085AFE" w14:paraId="1E646D11" w14:textId="77777777" w:rsidTr="00085AFE">
        <w:trPr>
          <w:trHeight w:val="269"/>
        </w:trPr>
        <w:tc>
          <w:tcPr>
            <w:tcW w:w="1276" w:type="dxa"/>
            <w:shd w:val="clear" w:color="auto" w:fill="auto"/>
          </w:tcPr>
          <w:p w14:paraId="42EFDB7A" w14:textId="76A08CF6" w:rsidR="00CC4328" w:rsidRPr="00CC4328" w:rsidRDefault="00CC4328" w:rsidP="00CE7515">
            <w:pPr>
              <w:tabs>
                <w:tab w:val="left" w:pos="1494"/>
              </w:tabs>
              <w:spacing w:before="40" w:after="40"/>
              <w:ind w:firstLine="0"/>
              <w:rPr>
                <w:rFonts w:eastAsia="Times New Roman" w:cs="Times New Roman"/>
                <w:sz w:val="24"/>
                <w:szCs w:val="28"/>
              </w:rPr>
            </w:pPr>
            <w:r w:rsidRPr="00CC4328">
              <w:rPr>
                <w:rFonts w:eastAsia="Calibri" w:cs="Times New Roman"/>
                <w:sz w:val="24"/>
                <w:szCs w:val="24"/>
              </w:rPr>
              <w:t>IKP</w:t>
            </w:r>
          </w:p>
        </w:tc>
        <w:tc>
          <w:tcPr>
            <w:tcW w:w="7938" w:type="dxa"/>
            <w:shd w:val="clear" w:color="auto" w:fill="auto"/>
          </w:tcPr>
          <w:p w14:paraId="06C3BE33" w14:textId="00F0F961" w:rsidR="00CC4328" w:rsidRPr="00CC4328" w:rsidRDefault="00CC4328" w:rsidP="00CE7515">
            <w:pPr>
              <w:tabs>
                <w:tab w:val="left" w:pos="1494"/>
              </w:tabs>
              <w:spacing w:before="40" w:after="40"/>
              <w:ind w:firstLine="0"/>
              <w:rPr>
                <w:rFonts w:eastAsia="Calibri" w:cs="Times New Roman"/>
                <w:sz w:val="24"/>
                <w:szCs w:val="24"/>
              </w:rPr>
            </w:pPr>
            <w:r w:rsidRPr="00CC4328">
              <w:rPr>
                <w:rFonts w:eastAsia="Calibri" w:cs="Times New Roman"/>
                <w:sz w:val="24"/>
                <w:szCs w:val="24"/>
              </w:rPr>
              <w:t>Iekšzemes kopprodukts</w:t>
            </w:r>
          </w:p>
        </w:tc>
      </w:tr>
      <w:tr w:rsidR="00CC4328" w:rsidRPr="00085AFE" w14:paraId="7551D25F" w14:textId="77777777" w:rsidTr="00085AFE">
        <w:trPr>
          <w:trHeight w:val="269"/>
        </w:trPr>
        <w:tc>
          <w:tcPr>
            <w:tcW w:w="1276" w:type="dxa"/>
            <w:shd w:val="clear" w:color="auto" w:fill="auto"/>
          </w:tcPr>
          <w:p w14:paraId="0DB8E40B" w14:textId="69B8B9C4" w:rsidR="00CC4328" w:rsidRPr="00CC4328" w:rsidRDefault="00CC4328" w:rsidP="00CE7515">
            <w:pPr>
              <w:tabs>
                <w:tab w:val="left" w:pos="1494"/>
              </w:tabs>
              <w:spacing w:before="40" w:after="40"/>
              <w:ind w:firstLine="0"/>
              <w:rPr>
                <w:rFonts w:eastAsia="Times New Roman" w:cs="Times New Roman"/>
                <w:sz w:val="24"/>
                <w:szCs w:val="24"/>
              </w:rPr>
            </w:pPr>
            <w:r w:rsidRPr="00CC4328">
              <w:rPr>
                <w:rFonts w:eastAsia="Calibri" w:cs="Times New Roman"/>
                <w:sz w:val="24"/>
                <w:szCs w:val="24"/>
              </w:rPr>
              <w:t>IT</w:t>
            </w:r>
          </w:p>
        </w:tc>
        <w:tc>
          <w:tcPr>
            <w:tcW w:w="7938" w:type="dxa"/>
            <w:shd w:val="clear" w:color="auto" w:fill="auto"/>
          </w:tcPr>
          <w:p w14:paraId="09113CB0" w14:textId="29EC117A" w:rsidR="00CC4328" w:rsidRPr="00CC4328" w:rsidRDefault="00CC4328" w:rsidP="00CE7515">
            <w:pPr>
              <w:tabs>
                <w:tab w:val="left" w:pos="1494"/>
              </w:tabs>
              <w:spacing w:before="40" w:after="40"/>
              <w:ind w:firstLine="0"/>
              <w:rPr>
                <w:rFonts w:eastAsia="Calibri" w:cs="Times New Roman"/>
                <w:sz w:val="24"/>
                <w:szCs w:val="24"/>
              </w:rPr>
            </w:pPr>
            <w:r w:rsidRPr="00CC4328">
              <w:rPr>
                <w:rFonts w:eastAsia="Calibri" w:cs="Times New Roman"/>
                <w:sz w:val="24"/>
                <w:szCs w:val="24"/>
              </w:rPr>
              <w:t>Inform</w:t>
            </w:r>
            <w:r w:rsidRPr="00CC4328">
              <w:rPr>
                <w:rFonts w:eastAsia="Calibri" w:cs="Times New Roman" w:hint="eastAsia"/>
                <w:sz w:val="24"/>
                <w:szCs w:val="24"/>
              </w:rPr>
              <w:t>ā</w:t>
            </w:r>
            <w:r w:rsidRPr="00CC4328">
              <w:rPr>
                <w:rFonts w:eastAsia="Calibri" w:cs="Times New Roman"/>
                <w:sz w:val="24"/>
                <w:szCs w:val="24"/>
              </w:rPr>
              <w:t>cijas tehnolo</w:t>
            </w:r>
            <w:r w:rsidRPr="00CC4328">
              <w:rPr>
                <w:rFonts w:eastAsia="Calibri" w:cs="Times New Roman" w:hint="eastAsia"/>
                <w:sz w:val="24"/>
                <w:szCs w:val="24"/>
              </w:rPr>
              <w:t>ģ</w:t>
            </w:r>
            <w:r w:rsidRPr="00CC4328">
              <w:rPr>
                <w:rFonts w:eastAsia="Calibri" w:cs="Times New Roman"/>
                <w:sz w:val="24"/>
                <w:szCs w:val="24"/>
              </w:rPr>
              <w:t>ijas</w:t>
            </w:r>
          </w:p>
        </w:tc>
      </w:tr>
      <w:tr w:rsidR="00CC4328" w:rsidRPr="00085AFE" w14:paraId="75D0E563" w14:textId="77777777" w:rsidTr="00085AFE">
        <w:trPr>
          <w:trHeight w:val="269"/>
        </w:trPr>
        <w:tc>
          <w:tcPr>
            <w:tcW w:w="1276" w:type="dxa"/>
            <w:shd w:val="clear" w:color="auto" w:fill="auto"/>
          </w:tcPr>
          <w:p w14:paraId="5F008DAE" w14:textId="73DC4604" w:rsidR="00CC4328" w:rsidRPr="00CC4328" w:rsidRDefault="00CC4328" w:rsidP="00CE7515">
            <w:pPr>
              <w:tabs>
                <w:tab w:val="left" w:pos="1494"/>
              </w:tabs>
              <w:spacing w:before="40" w:after="40"/>
              <w:ind w:firstLine="0"/>
              <w:rPr>
                <w:rFonts w:eastAsia="Calibri" w:cs="Times New Roman"/>
                <w:sz w:val="24"/>
                <w:szCs w:val="24"/>
              </w:rPr>
            </w:pPr>
            <w:r w:rsidRPr="00CC4328">
              <w:rPr>
                <w:rFonts w:eastAsia="Calibri" w:cs="Times New Roman"/>
                <w:sz w:val="24"/>
                <w:szCs w:val="24"/>
              </w:rPr>
              <w:t>IZM</w:t>
            </w:r>
          </w:p>
        </w:tc>
        <w:tc>
          <w:tcPr>
            <w:tcW w:w="7938" w:type="dxa"/>
            <w:shd w:val="clear" w:color="auto" w:fill="auto"/>
          </w:tcPr>
          <w:p w14:paraId="33484020" w14:textId="433FE2DE" w:rsidR="00CC4328" w:rsidRPr="00CC4328" w:rsidRDefault="00CC4328" w:rsidP="00CE7515">
            <w:pPr>
              <w:tabs>
                <w:tab w:val="left" w:pos="1494"/>
              </w:tabs>
              <w:spacing w:before="40" w:after="40"/>
              <w:ind w:firstLine="0"/>
              <w:rPr>
                <w:rFonts w:eastAsia="Calibri" w:cs="Times New Roman"/>
                <w:sz w:val="24"/>
                <w:szCs w:val="24"/>
              </w:rPr>
            </w:pPr>
            <w:r w:rsidRPr="00CC4328">
              <w:rPr>
                <w:rFonts w:eastAsia="Calibri" w:cs="Times New Roman"/>
                <w:sz w:val="24"/>
                <w:szCs w:val="24"/>
              </w:rPr>
              <w:t>Izglītības un zinātnes ministrija</w:t>
            </w:r>
          </w:p>
        </w:tc>
      </w:tr>
      <w:tr w:rsidR="00CC4328" w:rsidRPr="00085AFE" w14:paraId="7E093814" w14:textId="77777777" w:rsidTr="00085AFE">
        <w:trPr>
          <w:trHeight w:val="269"/>
        </w:trPr>
        <w:tc>
          <w:tcPr>
            <w:tcW w:w="1276" w:type="dxa"/>
            <w:shd w:val="clear" w:color="auto" w:fill="auto"/>
          </w:tcPr>
          <w:p w14:paraId="5638185F" w14:textId="7AA74411" w:rsidR="00CC4328" w:rsidRPr="00CC4328" w:rsidRDefault="00CC4328" w:rsidP="00CE7515">
            <w:pPr>
              <w:tabs>
                <w:tab w:val="left" w:pos="1494"/>
              </w:tabs>
              <w:spacing w:before="40" w:after="40"/>
              <w:ind w:firstLine="0"/>
              <w:rPr>
                <w:rFonts w:eastAsia="Calibri" w:cs="Times New Roman"/>
                <w:sz w:val="24"/>
                <w:szCs w:val="24"/>
              </w:rPr>
            </w:pPr>
            <w:r w:rsidRPr="00CC4328">
              <w:rPr>
                <w:rFonts w:eastAsia="Calibri" w:cs="Times New Roman"/>
                <w:sz w:val="24"/>
                <w:szCs w:val="24"/>
              </w:rPr>
              <w:t>LBFV</w:t>
            </w:r>
          </w:p>
        </w:tc>
        <w:tc>
          <w:tcPr>
            <w:tcW w:w="7938" w:type="dxa"/>
            <w:shd w:val="clear" w:color="auto" w:fill="auto"/>
          </w:tcPr>
          <w:p w14:paraId="410BD578" w14:textId="46F48542" w:rsidR="00CC4328" w:rsidRPr="00CC4328" w:rsidRDefault="00CC4328" w:rsidP="00CE7515">
            <w:pPr>
              <w:tabs>
                <w:tab w:val="left" w:pos="1494"/>
              </w:tabs>
              <w:spacing w:before="40" w:after="40"/>
              <w:ind w:firstLine="0"/>
              <w:rPr>
                <w:rFonts w:eastAsia="Calibri" w:cs="Times New Roman"/>
                <w:sz w:val="24"/>
                <w:szCs w:val="24"/>
              </w:rPr>
            </w:pPr>
            <w:r w:rsidRPr="00CC4328">
              <w:rPr>
                <w:rFonts w:eastAsia="Calibri" w:cs="Times New Roman"/>
                <w:sz w:val="24"/>
                <w:szCs w:val="24"/>
              </w:rPr>
              <w:t>Likums par budžeta un finanšu vadību</w:t>
            </w:r>
          </w:p>
        </w:tc>
      </w:tr>
      <w:tr w:rsidR="00CC4328" w:rsidRPr="00085AFE" w14:paraId="58EDE83A" w14:textId="77777777" w:rsidTr="00085AFE">
        <w:trPr>
          <w:trHeight w:val="269"/>
        </w:trPr>
        <w:tc>
          <w:tcPr>
            <w:tcW w:w="1276" w:type="dxa"/>
            <w:shd w:val="clear" w:color="auto" w:fill="auto"/>
          </w:tcPr>
          <w:p w14:paraId="42B94F27" w14:textId="4A623152" w:rsidR="00CC4328" w:rsidRPr="00CC4328" w:rsidRDefault="00CC4328" w:rsidP="00CE7515">
            <w:pPr>
              <w:tabs>
                <w:tab w:val="left" w:pos="1494"/>
              </w:tabs>
              <w:spacing w:before="40" w:after="40"/>
              <w:ind w:firstLine="0"/>
              <w:rPr>
                <w:rFonts w:eastAsia="Calibri" w:cs="Times New Roman"/>
                <w:sz w:val="24"/>
                <w:szCs w:val="24"/>
              </w:rPr>
            </w:pPr>
            <w:r w:rsidRPr="00CC4328">
              <w:rPr>
                <w:rFonts w:eastAsia="Calibri" w:cs="Times New Roman"/>
                <w:sz w:val="24"/>
                <w:szCs w:val="24"/>
              </w:rPr>
              <w:t>LPS</w:t>
            </w:r>
          </w:p>
        </w:tc>
        <w:tc>
          <w:tcPr>
            <w:tcW w:w="7938" w:type="dxa"/>
            <w:shd w:val="clear" w:color="auto" w:fill="auto"/>
          </w:tcPr>
          <w:p w14:paraId="5A1E569F" w14:textId="2364DAA9" w:rsidR="00CC4328" w:rsidRPr="00CC4328" w:rsidRDefault="00CC4328" w:rsidP="00CE7515">
            <w:pPr>
              <w:tabs>
                <w:tab w:val="left" w:pos="1494"/>
              </w:tabs>
              <w:spacing w:before="40" w:after="40"/>
              <w:ind w:firstLine="0"/>
              <w:rPr>
                <w:rFonts w:eastAsia="Calibri" w:cs="Times New Roman"/>
                <w:sz w:val="24"/>
                <w:szCs w:val="24"/>
              </w:rPr>
            </w:pPr>
            <w:r w:rsidRPr="00CC4328">
              <w:rPr>
                <w:rFonts w:eastAsia="Calibri" w:cs="Times New Roman"/>
                <w:sz w:val="24"/>
                <w:szCs w:val="24"/>
              </w:rPr>
              <w:t>Latvijas Pašvaldību savienība</w:t>
            </w:r>
          </w:p>
        </w:tc>
      </w:tr>
      <w:tr w:rsidR="00CC4328" w:rsidRPr="00085AFE" w14:paraId="46670C7C" w14:textId="77777777" w:rsidTr="00085AFE">
        <w:trPr>
          <w:trHeight w:val="269"/>
        </w:trPr>
        <w:tc>
          <w:tcPr>
            <w:tcW w:w="1276" w:type="dxa"/>
            <w:shd w:val="clear" w:color="auto" w:fill="auto"/>
          </w:tcPr>
          <w:p w14:paraId="39F2EA70" w14:textId="065EE282" w:rsidR="00CC4328" w:rsidRPr="00CC4328" w:rsidRDefault="00CC4328" w:rsidP="00CE7515">
            <w:pPr>
              <w:tabs>
                <w:tab w:val="left" w:pos="1494"/>
              </w:tabs>
              <w:spacing w:before="40" w:after="40"/>
              <w:ind w:firstLine="0"/>
              <w:rPr>
                <w:rFonts w:eastAsia="Calibri" w:cs="Times New Roman"/>
                <w:sz w:val="24"/>
                <w:szCs w:val="24"/>
              </w:rPr>
            </w:pPr>
            <w:r w:rsidRPr="00CC4328">
              <w:rPr>
                <w:rFonts w:eastAsia="Calibri" w:cs="Times New Roman"/>
                <w:sz w:val="24"/>
                <w:szCs w:val="24"/>
              </w:rPr>
              <w:t>MK</w:t>
            </w:r>
          </w:p>
        </w:tc>
        <w:tc>
          <w:tcPr>
            <w:tcW w:w="7938" w:type="dxa"/>
            <w:shd w:val="clear" w:color="auto" w:fill="auto"/>
          </w:tcPr>
          <w:p w14:paraId="37189DB5" w14:textId="69D1DE5E" w:rsidR="00CC4328" w:rsidRPr="00CC4328" w:rsidRDefault="00CC4328" w:rsidP="00CE7515">
            <w:pPr>
              <w:tabs>
                <w:tab w:val="left" w:pos="1494"/>
              </w:tabs>
              <w:spacing w:before="40" w:after="40"/>
              <w:ind w:firstLine="0"/>
              <w:rPr>
                <w:rFonts w:eastAsia="Calibri" w:cs="Times New Roman"/>
                <w:sz w:val="24"/>
                <w:szCs w:val="24"/>
              </w:rPr>
            </w:pPr>
            <w:r w:rsidRPr="00CC4328">
              <w:rPr>
                <w:rFonts w:eastAsia="Calibri" w:cs="Times New Roman"/>
                <w:sz w:val="24"/>
                <w:szCs w:val="24"/>
              </w:rPr>
              <w:t>Ministru kabinets</w:t>
            </w:r>
          </w:p>
        </w:tc>
      </w:tr>
      <w:tr w:rsidR="00CC4328" w:rsidRPr="00085AFE" w14:paraId="2173F119" w14:textId="77777777" w:rsidTr="00085AFE">
        <w:trPr>
          <w:trHeight w:val="269"/>
        </w:trPr>
        <w:tc>
          <w:tcPr>
            <w:tcW w:w="1276" w:type="dxa"/>
            <w:shd w:val="clear" w:color="auto" w:fill="auto"/>
          </w:tcPr>
          <w:p w14:paraId="4EDAB6E4" w14:textId="4A8FB6F1" w:rsidR="00CC4328" w:rsidRPr="00CC4328" w:rsidRDefault="00CC4328" w:rsidP="00CE7515">
            <w:pPr>
              <w:tabs>
                <w:tab w:val="left" w:pos="1494"/>
              </w:tabs>
              <w:spacing w:before="40" w:after="40"/>
              <w:ind w:firstLine="0"/>
              <w:rPr>
                <w:rFonts w:eastAsia="Calibri" w:cs="Times New Roman"/>
                <w:sz w:val="24"/>
                <w:szCs w:val="24"/>
              </w:rPr>
            </w:pPr>
            <w:r w:rsidRPr="00CC4328">
              <w:rPr>
                <w:rFonts w:eastAsia="Calibri" w:cs="Times New Roman"/>
                <w:sz w:val="24"/>
                <w:szCs w:val="24"/>
              </w:rPr>
              <w:t>OECD</w:t>
            </w:r>
          </w:p>
        </w:tc>
        <w:tc>
          <w:tcPr>
            <w:tcW w:w="7938" w:type="dxa"/>
            <w:shd w:val="clear" w:color="auto" w:fill="auto"/>
          </w:tcPr>
          <w:p w14:paraId="37A71F99" w14:textId="2CCC65A2" w:rsidR="00CC4328" w:rsidRPr="00CC4328" w:rsidRDefault="00CC4328" w:rsidP="00CE7515">
            <w:pPr>
              <w:tabs>
                <w:tab w:val="left" w:pos="1494"/>
              </w:tabs>
              <w:spacing w:before="40" w:after="40"/>
              <w:ind w:firstLine="0"/>
              <w:rPr>
                <w:rFonts w:eastAsia="Calibri" w:cs="Times New Roman"/>
                <w:sz w:val="24"/>
                <w:szCs w:val="24"/>
              </w:rPr>
            </w:pPr>
            <w:r w:rsidRPr="00CC4328">
              <w:rPr>
                <w:rFonts w:eastAsia="Calibri" w:cs="Times New Roman"/>
                <w:sz w:val="24"/>
                <w:szCs w:val="24"/>
              </w:rPr>
              <w:t>Ekonomisk</w:t>
            </w:r>
            <w:r w:rsidRPr="00CC4328">
              <w:rPr>
                <w:rFonts w:eastAsia="Calibri" w:cs="Times New Roman" w:hint="eastAsia"/>
                <w:sz w:val="24"/>
                <w:szCs w:val="24"/>
              </w:rPr>
              <w:t>ā</w:t>
            </w:r>
            <w:r w:rsidRPr="00CC4328">
              <w:rPr>
                <w:rFonts w:eastAsia="Calibri" w:cs="Times New Roman"/>
                <w:sz w:val="24"/>
                <w:szCs w:val="24"/>
              </w:rPr>
              <w:t>s sadarb</w:t>
            </w:r>
            <w:r w:rsidRPr="00CC4328">
              <w:rPr>
                <w:rFonts w:eastAsia="Calibri" w:cs="Times New Roman" w:hint="eastAsia"/>
                <w:sz w:val="24"/>
                <w:szCs w:val="24"/>
              </w:rPr>
              <w:t>ī</w:t>
            </w:r>
            <w:r w:rsidRPr="00CC4328">
              <w:rPr>
                <w:rFonts w:eastAsia="Calibri" w:cs="Times New Roman"/>
                <w:sz w:val="24"/>
                <w:szCs w:val="24"/>
              </w:rPr>
              <w:t>bas un att</w:t>
            </w:r>
            <w:r w:rsidRPr="00CC4328">
              <w:rPr>
                <w:rFonts w:eastAsia="Calibri" w:cs="Times New Roman" w:hint="eastAsia"/>
                <w:sz w:val="24"/>
                <w:szCs w:val="24"/>
              </w:rPr>
              <w:t>ī</w:t>
            </w:r>
            <w:r w:rsidRPr="00CC4328">
              <w:rPr>
                <w:rFonts w:eastAsia="Calibri" w:cs="Times New Roman"/>
                <w:sz w:val="24"/>
                <w:szCs w:val="24"/>
              </w:rPr>
              <w:t>st</w:t>
            </w:r>
            <w:r w:rsidRPr="00CC4328">
              <w:rPr>
                <w:rFonts w:eastAsia="Calibri" w:cs="Times New Roman" w:hint="eastAsia"/>
                <w:sz w:val="24"/>
                <w:szCs w:val="24"/>
              </w:rPr>
              <w:t>ī</w:t>
            </w:r>
            <w:r w:rsidRPr="00CC4328">
              <w:rPr>
                <w:rFonts w:eastAsia="Calibri" w:cs="Times New Roman"/>
                <w:sz w:val="24"/>
                <w:szCs w:val="24"/>
              </w:rPr>
              <w:t>bas organiz</w:t>
            </w:r>
            <w:r w:rsidRPr="00CC4328">
              <w:rPr>
                <w:rFonts w:eastAsia="Calibri" w:cs="Times New Roman" w:hint="eastAsia"/>
                <w:sz w:val="24"/>
                <w:szCs w:val="24"/>
              </w:rPr>
              <w:t>ā</w:t>
            </w:r>
            <w:r w:rsidRPr="00CC4328">
              <w:rPr>
                <w:rFonts w:eastAsia="Calibri" w:cs="Times New Roman"/>
                <w:sz w:val="24"/>
                <w:szCs w:val="24"/>
              </w:rPr>
              <w:t>cija</w:t>
            </w:r>
          </w:p>
        </w:tc>
      </w:tr>
      <w:tr w:rsidR="00CC4328" w:rsidRPr="00085AFE" w14:paraId="5F4D4AB5" w14:textId="77777777" w:rsidTr="00085AFE">
        <w:trPr>
          <w:trHeight w:val="269"/>
        </w:trPr>
        <w:tc>
          <w:tcPr>
            <w:tcW w:w="1276" w:type="dxa"/>
            <w:shd w:val="clear" w:color="auto" w:fill="auto"/>
          </w:tcPr>
          <w:p w14:paraId="4C329D4C" w14:textId="6736F311" w:rsidR="00CC4328" w:rsidRPr="00CC4328" w:rsidRDefault="00CC4328" w:rsidP="00CE7515">
            <w:pPr>
              <w:tabs>
                <w:tab w:val="left" w:pos="1494"/>
              </w:tabs>
              <w:spacing w:before="40" w:after="40"/>
              <w:ind w:firstLine="0"/>
              <w:rPr>
                <w:rFonts w:eastAsia="Calibri" w:cs="Times New Roman"/>
                <w:sz w:val="24"/>
                <w:szCs w:val="24"/>
              </w:rPr>
            </w:pPr>
            <w:r w:rsidRPr="00CC4328">
              <w:rPr>
                <w:rFonts w:eastAsia="Calibri" w:cs="Times New Roman"/>
                <w:sz w:val="24"/>
                <w:szCs w:val="24"/>
              </w:rPr>
              <w:t>PMI</w:t>
            </w:r>
          </w:p>
        </w:tc>
        <w:tc>
          <w:tcPr>
            <w:tcW w:w="7938" w:type="dxa"/>
            <w:shd w:val="clear" w:color="auto" w:fill="auto"/>
          </w:tcPr>
          <w:p w14:paraId="4CC93D9B" w14:textId="255775F5" w:rsidR="00CC4328" w:rsidRPr="00CC4328" w:rsidRDefault="00CC4328" w:rsidP="00CE7515">
            <w:pPr>
              <w:tabs>
                <w:tab w:val="left" w:pos="1494"/>
              </w:tabs>
              <w:spacing w:before="40" w:after="40"/>
              <w:ind w:firstLine="0"/>
              <w:rPr>
                <w:rFonts w:eastAsia="Calibri" w:cs="Times New Roman"/>
                <w:sz w:val="24"/>
                <w:szCs w:val="24"/>
              </w:rPr>
            </w:pPr>
            <w:r w:rsidRPr="00CC4328">
              <w:rPr>
                <w:rFonts w:eastAsia="Times New Roman" w:cs="Times New Roman"/>
                <w:color w:val="000000"/>
                <w:sz w:val="24"/>
                <w:szCs w:val="28"/>
              </w:rPr>
              <w:t xml:space="preserve">Iepirkumu vadītāju indekss </w:t>
            </w:r>
          </w:p>
        </w:tc>
      </w:tr>
      <w:tr w:rsidR="00CC4328" w:rsidRPr="00085AFE" w14:paraId="0020A6CE" w14:textId="77777777" w:rsidTr="00085AFE">
        <w:trPr>
          <w:trHeight w:val="269"/>
        </w:trPr>
        <w:tc>
          <w:tcPr>
            <w:tcW w:w="1276" w:type="dxa"/>
            <w:shd w:val="clear" w:color="auto" w:fill="auto"/>
          </w:tcPr>
          <w:p w14:paraId="5F45BBAB" w14:textId="03869512" w:rsidR="00CC4328" w:rsidRPr="00085AFE" w:rsidRDefault="00CC4328" w:rsidP="00CE7515">
            <w:pPr>
              <w:tabs>
                <w:tab w:val="left" w:pos="1494"/>
              </w:tabs>
              <w:spacing w:before="40" w:after="40"/>
              <w:ind w:firstLine="0"/>
              <w:rPr>
                <w:rFonts w:eastAsia="Calibri" w:cs="Times New Roman"/>
                <w:sz w:val="24"/>
                <w:szCs w:val="24"/>
                <w:highlight w:val="lightGray"/>
              </w:rPr>
            </w:pPr>
            <w:r w:rsidRPr="00CC4328">
              <w:rPr>
                <w:rFonts w:eastAsia="Calibri" w:cs="Times New Roman"/>
                <w:sz w:val="24"/>
                <w:szCs w:val="24"/>
              </w:rPr>
              <w:t>PVN</w:t>
            </w:r>
          </w:p>
        </w:tc>
        <w:tc>
          <w:tcPr>
            <w:tcW w:w="7938" w:type="dxa"/>
            <w:shd w:val="clear" w:color="auto" w:fill="auto"/>
          </w:tcPr>
          <w:p w14:paraId="113D84E9" w14:textId="03A95F50" w:rsidR="00CC4328" w:rsidRPr="00085AFE" w:rsidRDefault="00CC4328" w:rsidP="00CE7515">
            <w:pPr>
              <w:tabs>
                <w:tab w:val="left" w:pos="1494"/>
              </w:tabs>
              <w:spacing w:before="40" w:after="40"/>
              <w:ind w:firstLine="0"/>
              <w:rPr>
                <w:rFonts w:eastAsia="Calibri" w:cs="Times New Roman"/>
                <w:sz w:val="24"/>
                <w:szCs w:val="24"/>
                <w:highlight w:val="lightGray"/>
              </w:rPr>
            </w:pPr>
            <w:r w:rsidRPr="00CC4328">
              <w:rPr>
                <w:rFonts w:eastAsia="Calibri" w:cs="Times New Roman"/>
                <w:sz w:val="24"/>
                <w:szCs w:val="24"/>
              </w:rPr>
              <w:t>Pievienotās vērtības nodoklis</w:t>
            </w:r>
          </w:p>
        </w:tc>
      </w:tr>
      <w:tr w:rsidR="00CC4328" w:rsidRPr="00085AFE" w14:paraId="4E76BCFD" w14:textId="77777777" w:rsidTr="00085AFE">
        <w:trPr>
          <w:trHeight w:val="269"/>
        </w:trPr>
        <w:tc>
          <w:tcPr>
            <w:tcW w:w="1276" w:type="dxa"/>
            <w:shd w:val="clear" w:color="auto" w:fill="auto"/>
          </w:tcPr>
          <w:p w14:paraId="7975CA82" w14:textId="6721C048" w:rsidR="00CC4328" w:rsidRPr="00CC4328" w:rsidRDefault="00CC4328" w:rsidP="00CE7515">
            <w:pPr>
              <w:tabs>
                <w:tab w:val="left" w:pos="1494"/>
              </w:tabs>
              <w:spacing w:before="40" w:after="40"/>
              <w:ind w:firstLine="0"/>
              <w:rPr>
                <w:rFonts w:eastAsia="Calibri" w:cs="Times New Roman"/>
                <w:sz w:val="24"/>
                <w:szCs w:val="24"/>
              </w:rPr>
            </w:pPr>
            <w:r w:rsidRPr="00CC4328">
              <w:rPr>
                <w:rFonts w:eastAsia="Calibri" w:cs="Times New Roman"/>
                <w:sz w:val="24"/>
                <w:szCs w:val="20"/>
              </w:rPr>
              <w:t>SURE</w:t>
            </w:r>
          </w:p>
        </w:tc>
        <w:tc>
          <w:tcPr>
            <w:tcW w:w="7938" w:type="dxa"/>
            <w:shd w:val="clear" w:color="auto" w:fill="auto"/>
          </w:tcPr>
          <w:p w14:paraId="36E6C740" w14:textId="1A18555A" w:rsidR="00CC4328" w:rsidRPr="00CC4328" w:rsidRDefault="00CC4328" w:rsidP="00CE7515">
            <w:pPr>
              <w:tabs>
                <w:tab w:val="left" w:pos="1494"/>
              </w:tabs>
              <w:spacing w:before="40" w:after="40"/>
              <w:ind w:firstLine="0"/>
              <w:rPr>
                <w:rFonts w:eastAsia="Calibri" w:cs="Times New Roman"/>
                <w:sz w:val="24"/>
                <w:szCs w:val="24"/>
              </w:rPr>
            </w:pPr>
            <w:r w:rsidRPr="00CC4328">
              <w:rPr>
                <w:rFonts w:eastAsia="Calibri" w:cs="Times New Roman"/>
                <w:sz w:val="24"/>
                <w:szCs w:val="24"/>
              </w:rPr>
              <w:t>Atbalsta instruments bezdarba risku mazināšanai ārkārtas situācijā (</w:t>
            </w:r>
            <w:proofErr w:type="spellStart"/>
            <w:r w:rsidRPr="00CC4328">
              <w:rPr>
                <w:rFonts w:eastAsia="Calibri" w:cs="Times New Roman"/>
                <w:i/>
                <w:iCs/>
                <w:sz w:val="24"/>
                <w:szCs w:val="24"/>
              </w:rPr>
              <w:t>Support</w:t>
            </w:r>
            <w:proofErr w:type="spellEnd"/>
            <w:r w:rsidRPr="00CC4328">
              <w:rPr>
                <w:rFonts w:eastAsia="Calibri" w:cs="Times New Roman"/>
                <w:i/>
                <w:iCs/>
                <w:sz w:val="24"/>
                <w:szCs w:val="24"/>
              </w:rPr>
              <w:t xml:space="preserve"> to </w:t>
            </w:r>
            <w:proofErr w:type="spellStart"/>
            <w:r w:rsidRPr="00CC4328">
              <w:rPr>
                <w:rFonts w:eastAsia="Calibri" w:cs="Times New Roman"/>
                <w:i/>
                <w:iCs/>
                <w:sz w:val="24"/>
                <w:szCs w:val="24"/>
              </w:rPr>
              <w:t>mitigate</w:t>
            </w:r>
            <w:proofErr w:type="spellEnd"/>
            <w:r w:rsidRPr="00CC4328">
              <w:rPr>
                <w:rFonts w:eastAsia="Calibri" w:cs="Times New Roman"/>
                <w:i/>
                <w:iCs/>
                <w:sz w:val="24"/>
                <w:szCs w:val="24"/>
              </w:rPr>
              <w:t xml:space="preserve"> </w:t>
            </w:r>
            <w:proofErr w:type="spellStart"/>
            <w:r w:rsidRPr="00CC4328">
              <w:rPr>
                <w:rFonts w:eastAsia="Calibri" w:cs="Times New Roman"/>
                <w:i/>
                <w:iCs/>
                <w:sz w:val="24"/>
                <w:szCs w:val="24"/>
              </w:rPr>
              <w:t>Unemployment</w:t>
            </w:r>
            <w:proofErr w:type="spellEnd"/>
            <w:r w:rsidRPr="00CC4328">
              <w:rPr>
                <w:rFonts w:eastAsia="Calibri" w:cs="Times New Roman"/>
                <w:i/>
                <w:iCs/>
                <w:sz w:val="24"/>
                <w:szCs w:val="24"/>
              </w:rPr>
              <w:t xml:space="preserve"> Risks </w:t>
            </w:r>
            <w:proofErr w:type="spellStart"/>
            <w:r w:rsidRPr="00CC4328">
              <w:rPr>
                <w:rFonts w:eastAsia="Calibri" w:cs="Times New Roman"/>
                <w:i/>
                <w:iCs/>
                <w:sz w:val="24"/>
                <w:szCs w:val="24"/>
              </w:rPr>
              <w:t>in</w:t>
            </w:r>
            <w:proofErr w:type="spellEnd"/>
            <w:r w:rsidRPr="00CC4328">
              <w:rPr>
                <w:rFonts w:eastAsia="Calibri" w:cs="Times New Roman"/>
                <w:i/>
                <w:iCs/>
                <w:sz w:val="24"/>
                <w:szCs w:val="24"/>
              </w:rPr>
              <w:t xml:space="preserve"> </w:t>
            </w:r>
            <w:proofErr w:type="spellStart"/>
            <w:r w:rsidRPr="00CC4328">
              <w:rPr>
                <w:rFonts w:eastAsia="Calibri" w:cs="Times New Roman"/>
                <w:i/>
                <w:iCs/>
                <w:sz w:val="24"/>
                <w:szCs w:val="24"/>
              </w:rPr>
              <w:t>an</w:t>
            </w:r>
            <w:proofErr w:type="spellEnd"/>
            <w:r w:rsidRPr="00CC4328">
              <w:rPr>
                <w:rFonts w:eastAsia="Calibri" w:cs="Times New Roman"/>
                <w:i/>
                <w:iCs/>
                <w:sz w:val="24"/>
                <w:szCs w:val="24"/>
              </w:rPr>
              <w:t xml:space="preserve"> </w:t>
            </w:r>
            <w:proofErr w:type="spellStart"/>
            <w:r w:rsidRPr="00CC4328">
              <w:rPr>
                <w:rFonts w:eastAsia="Calibri" w:cs="Times New Roman"/>
                <w:i/>
                <w:iCs/>
                <w:sz w:val="24"/>
                <w:szCs w:val="24"/>
              </w:rPr>
              <w:t>Emergency</w:t>
            </w:r>
            <w:proofErr w:type="spellEnd"/>
            <w:r w:rsidRPr="00CC4328">
              <w:rPr>
                <w:rFonts w:eastAsia="Calibri" w:cs="Times New Roman"/>
                <w:sz w:val="24"/>
                <w:szCs w:val="24"/>
              </w:rPr>
              <w:t>)</w:t>
            </w:r>
          </w:p>
        </w:tc>
      </w:tr>
      <w:tr w:rsidR="00CC4328" w:rsidRPr="00085AFE" w14:paraId="4CE56067" w14:textId="77777777" w:rsidTr="00085AFE">
        <w:trPr>
          <w:trHeight w:val="269"/>
        </w:trPr>
        <w:tc>
          <w:tcPr>
            <w:tcW w:w="1276" w:type="dxa"/>
            <w:shd w:val="clear" w:color="auto" w:fill="auto"/>
          </w:tcPr>
          <w:p w14:paraId="2C0D65B8" w14:textId="39B18732" w:rsidR="00CC4328" w:rsidRPr="00CC4328" w:rsidRDefault="00CC4328" w:rsidP="00CE7515">
            <w:pPr>
              <w:tabs>
                <w:tab w:val="left" w:pos="1494"/>
              </w:tabs>
              <w:spacing w:before="40" w:after="40"/>
              <w:ind w:firstLine="0"/>
              <w:rPr>
                <w:rFonts w:eastAsia="Calibri" w:cs="Times New Roman"/>
                <w:sz w:val="24"/>
                <w:szCs w:val="24"/>
              </w:rPr>
            </w:pPr>
            <w:r w:rsidRPr="00CC4328">
              <w:rPr>
                <w:rFonts w:eastAsia="Calibri" w:cs="Times New Roman"/>
                <w:sz w:val="24"/>
                <w:szCs w:val="20"/>
              </w:rPr>
              <w:t>SVF</w:t>
            </w:r>
          </w:p>
        </w:tc>
        <w:tc>
          <w:tcPr>
            <w:tcW w:w="7938" w:type="dxa"/>
            <w:shd w:val="clear" w:color="auto" w:fill="auto"/>
          </w:tcPr>
          <w:p w14:paraId="190416A4" w14:textId="0A0DEBE1" w:rsidR="00CC4328" w:rsidRPr="00CC4328" w:rsidRDefault="00CC4328" w:rsidP="00CE7515">
            <w:pPr>
              <w:tabs>
                <w:tab w:val="left" w:pos="1494"/>
              </w:tabs>
              <w:spacing w:before="40" w:after="40"/>
              <w:ind w:firstLine="0"/>
              <w:rPr>
                <w:rFonts w:eastAsia="Calibri" w:cs="Times New Roman"/>
                <w:sz w:val="24"/>
                <w:szCs w:val="24"/>
              </w:rPr>
            </w:pPr>
            <w:r w:rsidRPr="00CC4328">
              <w:rPr>
                <w:rFonts w:eastAsia="Calibri" w:cs="Times New Roman"/>
                <w:sz w:val="24"/>
                <w:szCs w:val="24"/>
              </w:rPr>
              <w:t>Starptautiskais Valūtas fonds</w:t>
            </w:r>
          </w:p>
        </w:tc>
      </w:tr>
      <w:tr w:rsidR="00CC4328" w:rsidRPr="00085AFE" w14:paraId="3AF2DEE2" w14:textId="77777777" w:rsidTr="00085AFE">
        <w:trPr>
          <w:trHeight w:val="269"/>
        </w:trPr>
        <w:tc>
          <w:tcPr>
            <w:tcW w:w="1276" w:type="dxa"/>
            <w:shd w:val="clear" w:color="auto" w:fill="auto"/>
          </w:tcPr>
          <w:p w14:paraId="16B02C8F" w14:textId="5EED1567" w:rsidR="00CC4328" w:rsidRPr="00CC4328" w:rsidRDefault="00CC4328" w:rsidP="00CE7515">
            <w:pPr>
              <w:tabs>
                <w:tab w:val="left" w:pos="1494"/>
              </w:tabs>
              <w:spacing w:before="40" w:after="40"/>
              <w:ind w:firstLine="0"/>
              <w:rPr>
                <w:rFonts w:eastAsia="Calibri" w:cs="Times New Roman"/>
                <w:sz w:val="24"/>
                <w:szCs w:val="24"/>
              </w:rPr>
            </w:pPr>
            <w:r w:rsidRPr="00CC4328">
              <w:rPr>
                <w:rFonts w:eastAsia="Calibri" w:cs="Times New Roman"/>
                <w:sz w:val="24"/>
                <w:szCs w:val="24"/>
              </w:rPr>
              <w:t>VID</w:t>
            </w:r>
          </w:p>
        </w:tc>
        <w:tc>
          <w:tcPr>
            <w:tcW w:w="7938" w:type="dxa"/>
            <w:shd w:val="clear" w:color="auto" w:fill="auto"/>
          </w:tcPr>
          <w:p w14:paraId="7FAA14F4" w14:textId="637210CB" w:rsidR="00CC4328" w:rsidRPr="00CC4328" w:rsidRDefault="00CC4328" w:rsidP="00CE7515">
            <w:pPr>
              <w:tabs>
                <w:tab w:val="left" w:pos="1494"/>
              </w:tabs>
              <w:spacing w:before="40" w:after="40"/>
              <w:ind w:firstLine="0"/>
              <w:rPr>
                <w:rFonts w:eastAsia="Calibri" w:cs="Times New Roman"/>
                <w:sz w:val="24"/>
                <w:szCs w:val="24"/>
              </w:rPr>
            </w:pPr>
            <w:r w:rsidRPr="00CC4328">
              <w:rPr>
                <w:rFonts w:eastAsia="Calibri" w:cs="Times New Roman"/>
                <w:sz w:val="24"/>
                <w:szCs w:val="24"/>
              </w:rPr>
              <w:t>Valsts ieņēmumu dienests</w:t>
            </w:r>
          </w:p>
        </w:tc>
      </w:tr>
      <w:tr w:rsidR="00CC4328" w:rsidRPr="00085AFE" w14:paraId="1379FE81" w14:textId="77777777" w:rsidTr="00085AFE">
        <w:trPr>
          <w:trHeight w:val="269"/>
        </w:trPr>
        <w:tc>
          <w:tcPr>
            <w:tcW w:w="1276" w:type="dxa"/>
            <w:shd w:val="clear" w:color="auto" w:fill="auto"/>
          </w:tcPr>
          <w:p w14:paraId="513FA404" w14:textId="2229F9A3" w:rsidR="00CC4328" w:rsidRPr="00CC4328" w:rsidRDefault="00CC4328" w:rsidP="00CE7515">
            <w:pPr>
              <w:tabs>
                <w:tab w:val="left" w:pos="1494"/>
              </w:tabs>
              <w:spacing w:before="40" w:after="40"/>
              <w:ind w:firstLine="0"/>
              <w:rPr>
                <w:rFonts w:eastAsia="Calibri" w:cs="Times New Roman"/>
                <w:sz w:val="24"/>
                <w:szCs w:val="24"/>
              </w:rPr>
            </w:pPr>
            <w:r w:rsidRPr="00CC4328">
              <w:rPr>
                <w:rFonts w:eastAsia="Calibri" w:cs="Times New Roman"/>
                <w:sz w:val="24"/>
                <w:szCs w:val="24"/>
              </w:rPr>
              <w:t>VK</w:t>
            </w:r>
          </w:p>
        </w:tc>
        <w:tc>
          <w:tcPr>
            <w:tcW w:w="7938" w:type="dxa"/>
            <w:shd w:val="clear" w:color="auto" w:fill="auto"/>
          </w:tcPr>
          <w:p w14:paraId="1184172E" w14:textId="15972627" w:rsidR="00CC4328" w:rsidRPr="00CC4328" w:rsidRDefault="00CC4328" w:rsidP="00CE7515">
            <w:pPr>
              <w:tabs>
                <w:tab w:val="left" w:pos="1494"/>
              </w:tabs>
              <w:spacing w:before="40" w:after="40"/>
              <w:ind w:firstLine="0"/>
              <w:rPr>
                <w:rFonts w:eastAsia="Calibri" w:cs="Times New Roman"/>
                <w:sz w:val="24"/>
                <w:szCs w:val="24"/>
              </w:rPr>
            </w:pPr>
            <w:r w:rsidRPr="00CC4328">
              <w:rPr>
                <w:rFonts w:eastAsia="Calibri" w:cs="Times New Roman"/>
                <w:sz w:val="24"/>
                <w:szCs w:val="24"/>
              </w:rPr>
              <w:t>Valsts kase</w:t>
            </w:r>
          </w:p>
        </w:tc>
      </w:tr>
      <w:tr w:rsidR="00CC4328" w:rsidRPr="00085AFE" w14:paraId="42D3D2EB" w14:textId="77777777" w:rsidTr="00085AFE">
        <w:trPr>
          <w:trHeight w:val="269"/>
        </w:trPr>
        <w:tc>
          <w:tcPr>
            <w:tcW w:w="1276" w:type="dxa"/>
            <w:shd w:val="clear" w:color="auto" w:fill="auto"/>
          </w:tcPr>
          <w:p w14:paraId="2A575688" w14:textId="629F50E0" w:rsidR="00CC4328" w:rsidRPr="000C45B5" w:rsidRDefault="00CC4328" w:rsidP="00CE7515">
            <w:pPr>
              <w:tabs>
                <w:tab w:val="left" w:pos="1494"/>
              </w:tabs>
              <w:spacing w:before="40" w:after="40"/>
              <w:ind w:firstLine="0"/>
              <w:rPr>
                <w:rFonts w:eastAsia="Calibri" w:cs="Times New Roman"/>
                <w:sz w:val="24"/>
                <w:szCs w:val="24"/>
              </w:rPr>
            </w:pPr>
          </w:p>
        </w:tc>
        <w:tc>
          <w:tcPr>
            <w:tcW w:w="7938" w:type="dxa"/>
            <w:shd w:val="clear" w:color="auto" w:fill="auto"/>
          </w:tcPr>
          <w:p w14:paraId="739F56DA" w14:textId="14EE8FBF" w:rsidR="00CC4328" w:rsidRPr="000C45B5" w:rsidRDefault="00CC4328" w:rsidP="00CE7515">
            <w:pPr>
              <w:tabs>
                <w:tab w:val="left" w:pos="1494"/>
              </w:tabs>
              <w:spacing w:before="40" w:after="40"/>
              <w:ind w:firstLine="0"/>
              <w:rPr>
                <w:rFonts w:eastAsia="Times New Roman" w:cs="Times New Roman"/>
                <w:color w:val="000000"/>
                <w:sz w:val="24"/>
                <w:szCs w:val="28"/>
              </w:rPr>
            </w:pPr>
          </w:p>
        </w:tc>
      </w:tr>
      <w:tr w:rsidR="00CC4328" w:rsidRPr="00085AFE" w14:paraId="697488E1" w14:textId="77777777" w:rsidTr="00085AFE">
        <w:trPr>
          <w:trHeight w:val="269"/>
        </w:trPr>
        <w:tc>
          <w:tcPr>
            <w:tcW w:w="1276" w:type="dxa"/>
            <w:shd w:val="clear" w:color="auto" w:fill="auto"/>
          </w:tcPr>
          <w:p w14:paraId="125D62E4" w14:textId="69D504E6" w:rsidR="00CC4328" w:rsidRPr="000C45B5" w:rsidRDefault="00CC4328" w:rsidP="00CE7515">
            <w:pPr>
              <w:tabs>
                <w:tab w:val="left" w:pos="1494"/>
              </w:tabs>
              <w:spacing w:before="40" w:after="40"/>
              <w:ind w:firstLine="0"/>
              <w:rPr>
                <w:rFonts w:eastAsia="Calibri" w:cs="Times New Roman"/>
                <w:sz w:val="24"/>
                <w:szCs w:val="24"/>
              </w:rPr>
            </w:pPr>
          </w:p>
        </w:tc>
        <w:tc>
          <w:tcPr>
            <w:tcW w:w="7938" w:type="dxa"/>
            <w:shd w:val="clear" w:color="auto" w:fill="auto"/>
          </w:tcPr>
          <w:p w14:paraId="23A76FB0" w14:textId="2C29E610" w:rsidR="00CC4328" w:rsidRPr="000C45B5" w:rsidRDefault="00CC4328" w:rsidP="00CE7515">
            <w:pPr>
              <w:tabs>
                <w:tab w:val="left" w:pos="1494"/>
              </w:tabs>
              <w:spacing w:before="40" w:after="40"/>
              <w:ind w:firstLine="0"/>
              <w:rPr>
                <w:rFonts w:eastAsia="Calibri" w:cs="Times New Roman"/>
                <w:sz w:val="24"/>
                <w:szCs w:val="24"/>
              </w:rPr>
            </w:pPr>
          </w:p>
        </w:tc>
      </w:tr>
      <w:tr w:rsidR="00CC4328" w:rsidRPr="00085AFE" w14:paraId="247E84F6" w14:textId="77777777" w:rsidTr="00085AFE">
        <w:trPr>
          <w:trHeight w:val="269"/>
        </w:trPr>
        <w:tc>
          <w:tcPr>
            <w:tcW w:w="1276" w:type="dxa"/>
            <w:shd w:val="clear" w:color="auto" w:fill="auto"/>
          </w:tcPr>
          <w:p w14:paraId="79ABAA4B" w14:textId="54C54729" w:rsidR="00CC4328" w:rsidRPr="00085AFE" w:rsidRDefault="00CC4328" w:rsidP="00CE7515">
            <w:pPr>
              <w:tabs>
                <w:tab w:val="left" w:pos="1494"/>
              </w:tabs>
              <w:spacing w:before="40" w:after="40"/>
              <w:ind w:firstLine="0"/>
              <w:rPr>
                <w:rFonts w:eastAsia="Calibri" w:cs="Times New Roman"/>
                <w:sz w:val="24"/>
                <w:szCs w:val="20"/>
                <w:highlight w:val="lightGray"/>
              </w:rPr>
            </w:pPr>
          </w:p>
        </w:tc>
        <w:tc>
          <w:tcPr>
            <w:tcW w:w="7938" w:type="dxa"/>
            <w:shd w:val="clear" w:color="auto" w:fill="auto"/>
          </w:tcPr>
          <w:p w14:paraId="49B0F39C" w14:textId="2F47DECA" w:rsidR="00CC4328" w:rsidRPr="00085AFE" w:rsidRDefault="00CC4328" w:rsidP="00CE7515">
            <w:pPr>
              <w:tabs>
                <w:tab w:val="left" w:pos="1494"/>
              </w:tabs>
              <w:spacing w:before="40" w:after="40"/>
              <w:ind w:firstLine="0"/>
              <w:rPr>
                <w:rFonts w:eastAsia="Calibri" w:cs="Times New Roman"/>
                <w:sz w:val="24"/>
                <w:szCs w:val="24"/>
                <w:highlight w:val="lightGray"/>
              </w:rPr>
            </w:pPr>
          </w:p>
        </w:tc>
      </w:tr>
      <w:tr w:rsidR="00CC4328" w:rsidRPr="00085AFE" w14:paraId="03154878" w14:textId="77777777" w:rsidTr="00085AFE">
        <w:trPr>
          <w:trHeight w:val="269"/>
        </w:trPr>
        <w:tc>
          <w:tcPr>
            <w:tcW w:w="1276" w:type="dxa"/>
            <w:shd w:val="clear" w:color="auto" w:fill="auto"/>
          </w:tcPr>
          <w:p w14:paraId="1FCEB903" w14:textId="004A1293" w:rsidR="00CC4328" w:rsidRPr="00085AFE" w:rsidRDefault="00CC4328" w:rsidP="00CE7515">
            <w:pPr>
              <w:tabs>
                <w:tab w:val="left" w:pos="1494"/>
              </w:tabs>
              <w:spacing w:before="40" w:after="40"/>
              <w:ind w:firstLine="0"/>
              <w:rPr>
                <w:rFonts w:eastAsia="Calibri" w:cs="Times New Roman"/>
                <w:sz w:val="24"/>
                <w:szCs w:val="20"/>
                <w:highlight w:val="lightGray"/>
              </w:rPr>
            </w:pPr>
          </w:p>
        </w:tc>
        <w:tc>
          <w:tcPr>
            <w:tcW w:w="7938" w:type="dxa"/>
            <w:shd w:val="clear" w:color="auto" w:fill="auto"/>
          </w:tcPr>
          <w:p w14:paraId="589C6681" w14:textId="34B73D03" w:rsidR="00CC4328" w:rsidRPr="00085AFE" w:rsidRDefault="00CC4328" w:rsidP="00CE7515">
            <w:pPr>
              <w:tabs>
                <w:tab w:val="left" w:pos="1494"/>
              </w:tabs>
              <w:spacing w:before="40" w:after="40"/>
              <w:ind w:firstLine="0"/>
              <w:rPr>
                <w:rFonts w:eastAsia="Calibri" w:cs="Times New Roman"/>
                <w:sz w:val="24"/>
                <w:szCs w:val="24"/>
                <w:highlight w:val="lightGray"/>
              </w:rPr>
            </w:pPr>
          </w:p>
        </w:tc>
      </w:tr>
      <w:tr w:rsidR="00CC4328" w:rsidRPr="00085AFE" w14:paraId="0D067FCE" w14:textId="77777777" w:rsidTr="00085AFE">
        <w:trPr>
          <w:trHeight w:val="269"/>
        </w:trPr>
        <w:tc>
          <w:tcPr>
            <w:tcW w:w="1276" w:type="dxa"/>
            <w:shd w:val="clear" w:color="auto" w:fill="auto"/>
          </w:tcPr>
          <w:p w14:paraId="183BD7E4" w14:textId="78CBE432" w:rsidR="00CC4328" w:rsidRPr="00085AFE" w:rsidRDefault="00CC4328" w:rsidP="00CE7515">
            <w:pPr>
              <w:tabs>
                <w:tab w:val="left" w:pos="1494"/>
              </w:tabs>
              <w:spacing w:before="40" w:after="40"/>
              <w:ind w:firstLine="0"/>
              <w:rPr>
                <w:rFonts w:eastAsia="Calibri" w:cs="Times New Roman"/>
                <w:sz w:val="24"/>
                <w:szCs w:val="20"/>
                <w:highlight w:val="lightGray"/>
              </w:rPr>
            </w:pPr>
          </w:p>
        </w:tc>
        <w:tc>
          <w:tcPr>
            <w:tcW w:w="7938" w:type="dxa"/>
            <w:shd w:val="clear" w:color="auto" w:fill="auto"/>
          </w:tcPr>
          <w:p w14:paraId="4AD5F435" w14:textId="40FE5058" w:rsidR="00CC4328" w:rsidRPr="00085AFE" w:rsidRDefault="00CC4328" w:rsidP="00CE7515">
            <w:pPr>
              <w:tabs>
                <w:tab w:val="left" w:pos="1494"/>
              </w:tabs>
              <w:spacing w:before="40" w:after="40"/>
              <w:ind w:firstLine="0"/>
              <w:rPr>
                <w:rFonts w:eastAsia="Calibri" w:cs="Times New Roman"/>
                <w:sz w:val="24"/>
                <w:szCs w:val="24"/>
                <w:highlight w:val="lightGray"/>
              </w:rPr>
            </w:pPr>
          </w:p>
        </w:tc>
      </w:tr>
      <w:tr w:rsidR="00CC4328" w:rsidRPr="00085AFE" w14:paraId="7D2059C5" w14:textId="77777777" w:rsidTr="00085AFE">
        <w:trPr>
          <w:trHeight w:val="269"/>
        </w:trPr>
        <w:tc>
          <w:tcPr>
            <w:tcW w:w="1276" w:type="dxa"/>
            <w:shd w:val="clear" w:color="auto" w:fill="auto"/>
          </w:tcPr>
          <w:p w14:paraId="402F716C" w14:textId="0AFCA983" w:rsidR="00CC4328" w:rsidRPr="00085AFE" w:rsidRDefault="00CC4328" w:rsidP="00CE7515">
            <w:pPr>
              <w:tabs>
                <w:tab w:val="left" w:pos="1494"/>
              </w:tabs>
              <w:spacing w:before="40" w:after="40"/>
              <w:ind w:firstLine="0"/>
              <w:rPr>
                <w:rFonts w:eastAsia="Calibri" w:cs="Times New Roman"/>
                <w:sz w:val="24"/>
                <w:szCs w:val="20"/>
                <w:highlight w:val="lightGray"/>
              </w:rPr>
            </w:pPr>
          </w:p>
        </w:tc>
        <w:tc>
          <w:tcPr>
            <w:tcW w:w="7938" w:type="dxa"/>
            <w:shd w:val="clear" w:color="auto" w:fill="auto"/>
          </w:tcPr>
          <w:p w14:paraId="771F0C1B" w14:textId="19FFCA7A" w:rsidR="00CC4328" w:rsidRPr="00085AFE" w:rsidRDefault="00CC4328" w:rsidP="00CE7515">
            <w:pPr>
              <w:tabs>
                <w:tab w:val="left" w:pos="1494"/>
              </w:tabs>
              <w:spacing w:before="40" w:after="40"/>
              <w:ind w:firstLine="0"/>
              <w:rPr>
                <w:rFonts w:eastAsia="Calibri" w:cs="Times New Roman"/>
                <w:sz w:val="24"/>
                <w:szCs w:val="24"/>
                <w:highlight w:val="lightGray"/>
              </w:rPr>
            </w:pPr>
          </w:p>
        </w:tc>
      </w:tr>
      <w:tr w:rsidR="00CC4328" w:rsidRPr="00085AFE" w14:paraId="73305EE4" w14:textId="77777777" w:rsidTr="00085AFE">
        <w:trPr>
          <w:trHeight w:val="269"/>
        </w:trPr>
        <w:tc>
          <w:tcPr>
            <w:tcW w:w="1276" w:type="dxa"/>
            <w:shd w:val="clear" w:color="auto" w:fill="auto"/>
          </w:tcPr>
          <w:p w14:paraId="5D20E568" w14:textId="05077387" w:rsidR="00CC4328" w:rsidRPr="00085AFE" w:rsidRDefault="00CC4328" w:rsidP="00CE7515">
            <w:pPr>
              <w:tabs>
                <w:tab w:val="left" w:pos="1494"/>
              </w:tabs>
              <w:spacing w:before="40" w:after="40"/>
              <w:ind w:firstLine="0"/>
              <w:rPr>
                <w:rFonts w:eastAsia="Calibri" w:cs="Times New Roman"/>
                <w:sz w:val="24"/>
                <w:szCs w:val="20"/>
                <w:highlight w:val="lightGray"/>
              </w:rPr>
            </w:pPr>
          </w:p>
        </w:tc>
        <w:tc>
          <w:tcPr>
            <w:tcW w:w="7938" w:type="dxa"/>
            <w:shd w:val="clear" w:color="auto" w:fill="auto"/>
          </w:tcPr>
          <w:p w14:paraId="520DB6F3" w14:textId="09E7C748" w:rsidR="00CC4328" w:rsidRPr="00085AFE" w:rsidRDefault="00CC4328" w:rsidP="00CE7515">
            <w:pPr>
              <w:tabs>
                <w:tab w:val="left" w:pos="1494"/>
              </w:tabs>
              <w:spacing w:before="40" w:after="40"/>
              <w:ind w:firstLine="0"/>
              <w:rPr>
                <w:rFonts w:eastAsia="Calibri" w:cs="Times New Roman"/>
                <w:sz w:val="24"/>
                <w:szCs w:val="24"/>
                <w:highlight w:val="lightGray"/>
              </w:rPr>
            </w:pPr>
          </w:p>
        </w:tc>
      </w:tr>
      <w:tr w:rsidR="00CC4328" w:rsidRPr="00085AFE" w14:paraId="76FF8DE6" w14:textId="77777777" w:rsidTr="00085AFE">
        <w:trPr>
          <w:trHeight w:val="269"/>
        </w:trPr>
        <w:tc>
          <w:tcPr>
            <w:tcW w:w="1276" w:type="dxa"/>
            <w:shd w:val="clear" w:color="auto" w:fill="auto"/>
          </w:tcPr>
          <w:p w14:paraId="1650B837" w14:textId="6C008991" w:rsidR="00CC4328" w:rsidRPr="00085AFE" w:rsidRDefault="00CC4328" w:rsidP="00CE7515">
            <w:pPr>
              <w:tabs>
                <w:tab w:val="left" w:pos="1494"/>
              </w:tabs>
              <w:spacing w:before="40" w:after="40"/>
              <w:ind w:firstLine="0"/>
              <w:rPr>
                <w:rFonts w:eastAsia="Calibri" w:cs="Times New Roman"/>
                <w:sz w:val="24"/>
                <w:szCs w:val="24"/>
                <w:highlight w:val="lightGray"/>
              </w:rPr>
            </w:pPr>
          </w:p>
        </w:tc>
        <w:tc>
          <w:tcPr>
            <w:tcW w:w="7938" w:type="dxa"/>
            <w:shd w:val="clear" w:color="auto" w:fill="auto"/>
          </w:tcPr>
          <w:p w14:paraId="31B7E601" w14:textId="6BAA7E3A" w:rsidR="00CC4328" w:rsidRPr="00085AFE" w:rsidRDefault="00CC4328" w:rsidP="00CE7515">
            <w:pPr>
              <w:tabs>
                <w:tab w:val="left" w:pos="1494"/>
              </w:tabs>
              <w:spacing w:before="40" w:after="40"/>
              <w:ind w:firstLine="0"/>
              <w:rPr>
                <w:rFonts w:eastAsia="Calibri" w:cs="Times New Roman"/>
                <w:sz w:val="24"/>
                <w:szCs w:val="24"/>
                <w:highlight w:val="lightGray"/>
              </w:rPr>
            </w:pPr>
          </w:p>
        </w:tc>
      </w:tr>
      <w:tr w:rsidR="00CC4328" w:rsidRPr="00085AFE" w14:paraId="3D848E95" w14:textId="77777777" w:rsidTr="00085AFE">
        <w:trPr>
          <w:trHeight w:val="269"/>
        </w:trPr>
        <w:tc>
          <w:tcPr>
            <w:tcW w:w="1276" w:type="dxa"/>
            <w:shd w:val="clear" w:color="auto" w:fill="auto"/>
          </w:tcPr>
          <w:p w14:paraId="2EC253D6" w14:textId="2663F5CD" w:rsidR="00CC4328" w:rsidRPr="00085AFE" w:rsidRDefault="00CC4328" w:rsidP="00CE7515">
            <w:pPr>
              <w:tabs>
                <w:tab w:val="left" w:pos="1494"/>
              </w:tabs>
              <w:spacing w:before="40" w:after="40"/>
              <w:ind w:firstLine="0"/>
              <w:rPr>
                <w:rFonts w:eastAsia="Calibri" w:cs="Times New Roman"/>
                <w:sz w:val="24"/>
                <w:szCs w:val="24"/>
                <w:highlight w:val="lightGray"/>
              </w:rPr>
            </w:pPr>
          </w:p>
        </w:tc>
        <w:tc>
          <w:tcPr>
            <w:tcW w:w="7938" w:type="dxa"/>
            <w:shd w:val="clear" w:color="auto" w:fill="auto"/>
          </w:tcPr>
          <w:p w14:paraId="701700BF" w14:textId="65CA8BD9" w:rsidR="00CC4328" w:rsidRPr="00085AFE" w:rsidRDefault="00CC4328" w:rsidP="00CE7515">
            <w:pPr>
              <w:tabs>
                <w:tab w:val="left" w:pos="1494"/>
              </w:tabs>
              <w:spacing w:before="40" w:after="40"/>
              <w:ind w:firstLine="0"/>
              <w:rPr>
                <w:rFonts w:eastAsia="Calibri" w:cs="Times New Roman"/>
                <w:sz w:val="24"/>
                <w:szCs w:val="24"/>
                <w:highlight w:val="lightGray"/>
              </w:rPr>
            </w:pPr>
          </w:p>
        </w:tc>
      </w:tr>
    </w:tbl>
    <w:p w14:paraId="2E33762B" w14:textId="0409036A" w:rsidR="00BF4753" w:rsidRPr="00FB606D" w:rsidRDefault="00BF4753" w:rsidP="00810FC4">
      <w:pPr>
        <w:pStyle w:val="Heading1"/>
        <w:numPr>
          <w:ilvl w:val="0"/>
          <w:numId w:val="20"/>
        </w:numPr>
        <w:spacing w:before="0" w:after="240"/>
        <w:ind w:left="714" w:hanging="357"/>
        <w:rPr>
          <w:color w:val="auto"/>
          <w:sz w:val="32"/>
          <w:szCs w:val="32"/>
        </w:rPr>
      </w:pPr>
      <w:bookmarkStart w:id="0" w:name="_Toc510790651"/>
      <w:bookmarkStart w:id="1" w:name="_Toc5627361"/>
      <w:bookmarkStart w:id="2" w:name="_Toc131331228"/>
      <w:r w:rsidRPr="00FB606D">
        <w:rPr>
          <w:color w:val="auto"/>
          <w:sz w:val="32"/>
          <w:szCs w:val="32"/>
        </w:rPr>
        <w:lastRenderedPageBreak/>
        <w:t>Vispārējās ekonomiskās politikas vadlīnijas un mērķi</w:t>
      </w:r>
      <w:bookmarkEnd w:id="2"/>
    </w:p>
    <w:p w14:paraId="55937662" w14:textId="32E95E5A" w:rsidR="00F4488A" w:rsidRPr="007A5664" w:rsidRDefault="00F4488A" w:rsidP="001C7DCF">
      <w:pPr>
        <w:rPr>
          <w:sz w:val="24"/>
          <w:szCs w:val="24"/>
          <w:lang w:eastAsia="lv-LV"/>
        </w:rPr>
      </w:pPr>
      <w:r w:rsidRPr="007A5664">
        <w:rPr>
          <w:sz w:val="24"/>
          <w:szCs w:val="24"/>
          <w:lang w:eastAsia="lv-LV"/>
        </w:rPr>
        <w:t>Latvijas Stabilitātes programma 202</w:t>
      </w:r>
      <w:r w:rsidR="007A5664" w:rsidRPr="007A5664">
        <w:rPr>
          <w:sz w:val="24"/>
          <w:szCs w:val="24"/>
          <w:lang w:eastAsia="lv-LV"/>
        </w:rPr>
        <w:t>3</w:t>
      </w:r>
      <w:r w:rsidRPr="007A5664">
        <w:rPr>
          <w:sz w:val="24"/>
          <w:szCs w:val="24"/>
          <w:lang w:eastAsia="lv-LV"/>
        </w:rPr>
        <w:t>.-202</w:t>
      </w:r>
      <w:r w:rsidR="007A5664" w:rsidRPr="007A5664">
        <w:rPr>
          <w:sz w:val="24"/>
          <w:szCs w:val="24"/>
          <w:lang w:eastAsia="lv-LV"/>
        </w:rPr>
        <w:t>6</w:t>
      </w:r>
      <w:r w:rsidRPr="007A5664">
        <w:rPr>
          <w:sz w:val="24"/>
          <w:szCs w:val="24"/>
          <w:lang w:eastAsia="lv-LV"/>
        </w:rPr>
        <w:t>. gadam ir izstrādāta vadoties pēc Stabilitātes un izaugsmes pakta ieviešanas nosacījumiem un vadlīnijām, un tiek sagatavota saskaņā ar ES Padomes 1997. gada 7. jūlija Regulas (EK) Nr. 1466/97 par budžeta stāvokļa uzraudzības un ekonomikas politikas uzraudzības un koordinācijas stiprināšanu prasībām.</w:t>
      </w:r>
    </w:p>
    <w:p w14:paraId="4CA845C2" w14:textId="02BCC50F" w:rsidR="007A5664" w:rsidRDefault="007A5664" w:rsidP="001C7DCF">
      <w:pPr>
        <w:rPr>
          <w:sz w:val="24"/>
          <w:szCs w:val="24"/>
          <w:lang w:eastAsia="lv-LV"/>
        </w:rPr>
      </w:pPr>
      <w:r>
        <w:rPr>
          <w:sz w:val="24"/>
          <w:szCs w:val="24"/>
          <w:lang w:eastAsia="lv-LV"/>
        </w:rPr>
        <w:t xml:space="preserve">Šī </w:t>
      </w:r>
      <w:r w:rsidR="001C7DCF">
        <w:rPr>
          <w:sz w:val="24"/>
          <w:szCs w:val="24"/>
          <w:lang w:eastAsia="lv-LV"/>
        </w:rPr>
        <w:t xml:space="preserve">Stabilitātes </w:t>
      </w:r>
      <w:r>
        <w:rPr>
          <w:sz w:val="24"/>
          <w:szCs w:val="24"/>
          <w:lang w:eastAsia="lv-LV"/>
        </w:rPr>
        <w:t xml:space="preserve">programma tiek gatavota īsu brīdi pēc tam, kad tika izstrādāts un šī gada 9. martā pieņemts likums par valsts budžetu 2023. gadam un budžeta ietvaru 2023., 2024. un 2025. gadam, kas tika sagatavots balstoties uz 2023. gada decembra makroekonomiskajām prognozēm. Šajā relatīvi nelielajā laika posmā pasaules un Latvijas ekonomiskā attīstības prognozes ir kļuvušas nedaudz optimistiskākas. Enerģijas cenu mazināšanās, gāzes rezervju krājumu apjoms Eiropā, ekonomikas transformācija enerģētiskās neatkarības virzienā iezīmē tos faktorus, kas liek nedaudz optimistiskāk raudzīties nākotnē. </w:t>
      </w:r>
      <w:r w:rsidR="0082798D">
        <w:rPr>
          <w:sz w:val="24"/>
          <w:szCs w:val="24"/>
          <w:lang w:eastAsia="lv-LV"/>
        </w:rPr>
        <w:t xml:space="preserve">Labāka ekonomikas attīstība, savukārt, darbojas mazāk negatīvi uz inflācijas bremzēšanu, pamatinflācija ir kļuvusi par būtisku faktoru kopējā inflācijas devumā. Šie faktori 2023. gadā ir likuši nedaudz paaugstināt  gan izaugsmi, gan inflāciju Latvijā. </w:t>
      </w:r>
      <w:r w:rsidR="006B6CA3" w:rsidRPr="006B6CA3">
        <w:rPr>
          <w:sz w:val="24"/>
          <w:szCs w:val="24"/>
          <w:lang w:eastAsia="lv-LV"/>
        </w:rPr>
        <w:t>Saskaņā ar š</w:t>
      </w:r>
      <w:r w:rsidR="006B6CA3">
        <w:rPr>
          <w:sz w:val="24"/>
          <w:szCs w:val="24"/>
          <w:lang w:eastAsia="lv-LV"/>
        </w:rPr>
        <w:t xml:space="preserve">ā </w:t>
      </w:r>
      <w:r w:rsidR="006B6CA3" w:rsidRPr="006B6CA3">
        <w:rPr>
          <w:sz w:val="24"/>
          <w:szCs w:val="24"/>
          <w:lang w:eastAsia="lv-LV"/>
        </w:rPr>
        <w:t>g</w:t>
      </w:r>
      <w:r w:rsidR="006B6CA3">
        <w:rPr>
          <w:sz w:val="24"/>
          <w:szCs w:val="24"/>
          <w:lang w:eastAsia="lv-LV"/>
        </w:rPr>
        <w:t xml:space="preserve">ada </w:t>
      </w:r>
      <w:r w:rsidR="006B6CA3" w:rsidRPr="006B6CA3">
        <w:rPr>
          <w:sz w:val="24"/>
          <w:szCs w:val="24"/>
          <w:lang w:eastAsia="lv-LV"/>
        </w:rPr>
        <w:t xml:space="preserve">februāra prognozi </w:t>
      </w:r>
      <w:r w:rsidR="0082798D" w:rsidRPr="0082798D">
        <w:rPr>
          <w:sz w:val="24"/>
          <w:szCs w:val="24"/>
          <w:lang w:eastAsia="lv-LV"/>
        </w:rPr>
        <w:t>2023. gadam prognozētais IKP pieaugums ir palielināts par 0,6 procentpunktiem, bet 2024. gadam prognozēts</w:t>
      </w:r>
      <w:r w:rsidR="0082798D">
        <w:rPr>
          <w:sz w:val="24"/>
          <w:szCs w:val="24"/>
          <w:lang w:eastAsia="lv-LV"/>
        </w:rPr>
        <w:t xml:space="preserve"> 2,0%, kas ir</w:t>
      </w:r>
      <w:r w:rsidR="0082798D" w:rsidRPr="0082798D">
        <w:rPr>
          <w:sz w:val="24"/>
          <w:szCs w:val="24"/>
          <w:lang w:eastAsia="lv-LV"/>
        </w:rPr>
        <w:t xml:space="preserve"> par vienu procentpunktu mazāks IKP pieaugums nekā pagājušā gada decembrī</w:t>
      </w:r>
      <w:r w:rsidR="0082798D">
        <w:rPr>
          <w:sz w:val="24"/>
          <w:szCs w:val="24"/>
          <w:lang w:eastAsia="lv-LV"/>
        </w:rPr>
        <w:t xml:space="preserve">. </w:t>
      </w:r>
      <w:r w:rsidR="0082798D" w:rsidRPr="0082798D">
        <w:rPr>
          <w:sz w:val="24"/>
          <w:szCs w:val="24"/>
          <w:lang w:eastAsia="lv-LV"/>
        </w:rPr>
        <w:t xml:space="preserve"> Nākamajos divos gados – 2025. un 2026. gadā – tiek prognozēta ekonomikas izaugsme attiecīgi par 2,9% un 2,8%.</w:t>
      </w:r>
      <w:r>
        <w:rPr>
          <w:sz w:val="24"/>
          <w:szCs w:val="24"/>
          <w:lang w:eastAsia="lv-LV"/>
        </w:rPr>
        <w:t xml:space="preserve"> </w:t>
      </w:r>
      <w:r w:rsidR="0082798D" w:rsidRPr="0082798D">
        <w:rPr>
          <w:sz w:val="24"/>
          <w:szCs w:val="24"/>
          <w:lang w:eastAsia="lv-LV"/>
        </w:rPr>
        <w:t>Vidējā gada inflācija 2023. gadā prognozēta 10% līmenī</w:t>
      </w:r>
      <w:r w:rsidR="00EB59A3">
        <w:rPr>
          <w:sz w:val="24"/>
          <w:szCs w:val="24"/>
          <w:lang w:eastAsia="lv-LV"/>
        </w:rPr>
        <w:t>, kas ir</w:t>
      </w:r>
      <w:r w:rsidR="0082798D" w:rsidRPr="0082798D">
        <w:rPr>
          <w:sz w:val="24"/>
          <w:szCs w:val="24"/>
          <w:lang w:eastAsia="lv-LV"/>
        </w:rPr>
        <w:t xml:space="preserve"> par 1,5 procentpunktiem</w:t>
      </w:r>
      <w:r w:rsidR="00EB59A3">
        <w:rPr>
          <w:sz w:val="24"/>
          <w:szCs w:val="24"/>
          <w:lang w:eastAsia="lv-LV"/>
        </w:rPr>
        <w:t xml:space="preserve"> vairāk, kā iepriekš prognozēts</w:t>
      </w:r>
      <w:r w:rsidR="0082798D" w:rsidRPr="0082798D">
        <w:rPr>
          <w:sz w:val="24"/>
          <w:szCs w:val="24"/>
          <w:lang w:eastAsia="lv-LV"/>
        </w:rPr>
        <w:t>. Šo palielinājumu noteica gada beigās pieaugušie siltumenerģijas, elektroenerģijas un gāzes tarifi, kā arī spēcīgāki inflācijas otrās kārtas efekti. 2024. gadā inflācija turpinās mazināties, cenām pieaugot par 2,2% un pēc tam stabilizējoties 2,5% līmenī.</w:t>
      </w:r>
      <w:r w:rsidR="0082798D">
        <w:rPr>
          <w:sz w:val="24"/>
          <w:szCs w:val="24"/>
          <w:lang w:eastAsia="lv-LV"/>
        </w:rPr>
        <w:t xml:space="preserve"> Jāatzīmē, ka šīs prognozes ir saskaņā ar ekonomiskās attīstības bāzes scenāriju</w:t>
      </w:r>
      <w:r w:rsidR="006F4AFA">
        <w:rPr>
          <w:sz w:val="24"/>
          <w:szCs w:val="24"/>
          <w:lang w:eastAsia="lv-LV"/>
        </w:rPr>
        <w:t xml:space="preserve">.  </w:t>
      </w:r>
    </w:p>
    <w:p w14:paraId="66B6A963" w14:textId="3713311E" w:rsidR="00CC740D" w:rsidRDefault="006F4AFA" w:rsidP="001C7DCF">
      <w:pPr>
        <w:rPr>
          <w:sz w:val="24"/>
          <w:szCs w:val="24"/>
          <w:lang w:eastAsia="lv-LV"/>
        </w:rPr>
      </w:pPr>
      <w:r>
        <w:rPr>
          <w:sz w:val="24"/>
          <w:szCs w:val="24"/>
          <w:lang w:eastAsia="lv-LV"/>
        </w:rPr>
        <w:t>Labākas ekonomiskās prognozes un augstāka inflācija nozīmē arī lielākus ieņēmumus valsts budžetā. 2023. gadā tiek prognozēts</w:t>
      </w:r>
      <w:r w:rsidR="00CC740D">
        <w:rPr>
          <w:sz w:val="24"/>
          <w:szCs w:val="24"/>
          <w:lang w:eastAsia="lv-LV"/>
        </w:rPr>
        <w:t xml:space="preserve"> par 160 </w:t>
      </w:r>
      <w:r w:rsidR="001C7DCF">
        <w:rPr>
          <w:sz w:val="24"/>
          <w:szCs w:val="24"/>
          <w:lang w:eastAsia="lv-LV"/>
        </w:rPr>
        <w:t xml:space="preserve">milj. </w:t>
      </w:r>
      <w:proofErr w:type="spellStart"/>
      <w:r w:rsidR="00CC740D" w:rsidRPr="006B6CA3">
        <w:rPr>
          <w:i/>
          <w:iCs/>
          <w:sz w:val="24"/>
          <w:szCs w:val="24"/>
          <w:lang w:eastAsia="lv-LV"/>
        </w:rPr>
        <w:t>euro</w:t>
      </w:r>
      <w:proofErr w:type="spellEnd"/>
      <w:r w:rsidR="00CC740D">
        <w:rPr>
          <w:sz w:val="24"/>
          <w:szCs w:val="24"/>
          <w:lang w:eastAsia="lv-LV"/>
        </w:rPr>
        <w:t xml:space="preserve"> vairāk, 2024. un 2025. gadā attiecīgi par 295  un 330 </w:t>
      </w:r>
      <w:r w:rsidR="001C7DCF">
        <w:rPr>
          <w:sz w:val="24"/>
          <w:szCs w:val="24"/>
          <w:lang w:eastAsia="lv-LV"/>
        </w:rPr>
        <w:t xml:space="preserve">milj. </w:t>
      </w:r>
      <w:proofErr w:type="spellStart"/>
      <w:r w:rsidR="00CC740D" w:rsidRPr="006B6CA3">
        <w:rPr>
          <w:i/>
          <w:iCs/>
          <w:sz w:val="24"/>
          <w:szCs w:val="24"/>
          <w:lang w:eastAsia="lv-LV"/>
        </w:rPr>
        <w:t>euro</w:t>
      </w:r>
      <w:proofErr w:type="spellEnd"/>
      <w:r w:rsidR="00CC740D">
        <w:rPr>
          <w:sz w:val="24"/>
          <w:szCs w:val="24"/>
          <w:lang w:eastAsia="lv-LV"/>
        </w:rPr>
        <w:t xml:space="preserve"> vairāk. Auguši ir arī izdevumi, it īpaši valsts speciālā budžeta izdevumi, procentu izdevumi un iemaksas ES budžetā, pašvaldību pamatfunkciju izdevumi un negatīvā ietekme no pieklasificēto komersantu bilancēm. Līdz ar to ietekme uz vispārējās valdības budžeta bilanci ir daudz mazāka, kāda tā varētu būt, ja vienīgās izmaiņas būtu ieņēmumu pieaugums. 2023. gadā vispārējās valdības budžeta bilance ir uzlabojusies tikai par 19 milj</w:t>
      </w:r>
      <w:r w:rsidR="001C7DCF">
        <w:rPr>
          <w:sz w:val="24"/>
          <w:szCs w:val="24"/>
          <w:lang w:eastAsia="lv-LV"/>
        </w:rPr>
        <w:t>.</w:t>
      </w:r>
      <w:r w:rsidR="00CC740D">
        <w:rPr>
          <w:sz w:val="24"/>
          <w:szCs w:val="24"/>
          <w:lang w:eastAsia="lv-LV"/>
        </w:rPr>
        <w:t xml:space="preserve"> </w:t>
      </w:r>
      <w:proofErr w:type="spellStart"/>
      <w:r w:rsidR="00CC740D" w:rsidRPr="006B6CA3">
        <w:rPr>
          <w:i/>
          <w:iCs/>
          <w:sz w:val="24"/>
          <w:szCs w:val="24"/>
          <w:lang w:eastAsia="lv-LV"/>
        </w:rPr>
        <w:t>euro</w:t>
      </w:r>
      <w:proofErr w:type="spellEnd"/>
      <w:r w:rsidR="00CC740D">
        <w:rPr>
          <w:sz w:val="24"/>
          <w:szCs w:val="24"/>
          <w:lang w:eastAsia="lv-LV"/>
        </w:rPr>
        <w:t xml:space="preserve">. 2024. kopējās izmaiņas ir pasliktinājušas vispārējās valdības budžeta bilanci par 76 </w:t>
      </w:r>
      <w:r w:rsidR="001C7DCF">
        <w:rPr>
          <w:sz w:val="24"/>
          <w:szCs w:val="24"/>
          <w:lang w:eastAsia="lv-LV"/>
        </w:rPr>
        <w:t xml:space="preserve">milj. </w:t>
      </w:r>
      <w:proofErr w:type="spellStart"/>
      <w:r w:rsidR="00CC740D" w:rsidRPr="006B6CA3">
        <w:rPr>
          <w:i/>
          <w:iCs/>
          <w:sz w:val="24"/>
          <w:szCs w:val="24"/>
          <w:lang w:eastAsia="lv-LV"/>
        </w:rPr>
        <w:t>euro</w:t>
      </w:r>
      <w:proofErr w:type="spellEnd"/>
      <w:r w:rsidR="00CC740D">
        <w:rPr>
          <w:sz w:val="24"/>
          <w:szCs w:val="24"/>
          <w:lang w:eastAsia="lv-LV"/>
        </w:rPr>
        <w:t xml:space="preserve">, bet 2025. gadā uzlabojušas par 122 </w:t>
      </w:r>
      <w:r w:rsidR="001C7DCF">
        <w:rPr>
          <w:sz w:val="24"/>
          <w:szCs w:val="24"/>
          <w:lang w:eastAsia="lv-LV"/>
        </w:rPr>
        <w:t xml:space="preserve">milj. </w:t>
      </w:r>
      <w:proofErr w:type="spellStart"/>
      <w:r w:rsidR="001C7DCF" w:rsidRPr="006B6CA3">
        <w:rPr>
          <w:i/>
          <w:iCs/>
          <w:sz w:val="24"/>
          <w:szCs w:val="24"/>
          <w:lang w:eastAsia="lv-LV"/>
        </w:rPr>
        <w:t>euro</w:t>
      </w:r>
      <w:proofErr w:type="spellEnd"/>
      <w:r w:rsidR="00CC740D">
        <w:rPr>
          <w:sz w:val="24"/>
          <w:szCs w:val="24"/>
          <w:lang w:eastAsia="lv-LV"/>
        </w:rPr>
        <w:t xml:space="preserve">. </w:t>
      </w:r>
    </w:p>
    <w:p w14:paraId="2821ABF9" w14:textId="11F0CC1D" w:rsidR="00CC740D" w:rsidRDefault="00CC740D" w:rsidP="00F4488A">
      <w:pPr>
        <w:rPr>
          <w:sz w:val="24"/>
          <w:szCs w:val="24"/>
          <w:lang w:eastAsia="lv-LV"/>
        </w:rPr>
      </w:pPr>
      <w:r>
        <w:rPr>
          <w:sz w:val="24"/>
          <w:szCs w:val="24"/>
          <w:lang w:eastAsia="lv-LV"/>
        </w:rPr>
        <w:t xml:space="preserve">Pēc </w:t>
      </w:r>
      <w:r w:rsidR="001C7DCF">
        <w:rPr>
          <w:sz w:val="24"/>
          <w:szCs w:val="24"/>
          <w:lang w:eastAsia="lv-LV"/>
        </w:rPr>
        <w:t xml:space="preserve">Covid </w:t>
      </w:r>
      <w:r>
        <w:rPr>
          <w:sz w:val="24"/>
          <w:szCs w:val="24"/>
          <w:lang w:eastAsia="lv-LV"/>
        </w:rPr>
        <w:t xml:space="preserve">– 19 pandēmijas 2023. gadā ir pilnībā atjaunota Fiskālās disciplīnas likuma </w:t>
      </w:r>
      <w:r w:rsidR="001C7DCF">
        <w:rPr>
          <w:sz w:val="24"/>
          <w:szCs w:val="24"/>
          <w:lang w:eastAsia="lv-LV"/>
        </w:rPr>
        <w:t xml:space="preserve">(FDL) </w:t>
      </w:r>
      <w:r>
        <w:rPr>
          <w:sz w:val="24"/>
          <w:szCs w:val="24"/>
          <w:lang w:eastAsia="lv-LV"/>
        </w:rPr>
        <w:t>darbība, bet no 2024. gada</w:t>
      </w:r>
      <w:r w:rsidR="008224E3">
        <w:rPr>
          <w:sz w:val="24"/>
          <w:szCs w:val="24"/>
          <w:lang w:eastAsia="lv-LV"/>
        </w:rPr>
        <w:t xml:space="preserve"> ir atcelta vispārējā izņēmuma klauzula un </w:t>
      </w:r>
      <w:r>
        <w:rPr>
          <w:sz w:val="24"/>
          <w:szCs w:val="24"/>
          <w:lang w:eastAsia="lv-LV"/>
        </w:rPr>
        <w:t xml:space="preserve"> ir spēkā Eiropas fiskālās di</w:t>
      </w:r>
      <w:r w:rsidR="008224E3">
        <w:rPr>
          <w:sz w:val="24"/>
          <w:szCs w:val="24"/>
          <w:lang w:eastAsia="lv-LV"/>
        </w:rPr>
        <w:t>s</w:t>
      </w:r>
      <w:r>
        <w:rPr>
          <w:sz w:val="24"/>
          <w:szCs w:val="24"/>
          <w:lang w:eastAsia="lv-LV"/>
        </w:rPr>
        <w:t>ciplīnas</w:t>
      </w:r>
      <w:r w:rsidR="008224E3">
        <w:rPr>
          <w:sz w:val="24"/>
          <w:szCs w:val="24"/>
          <w:lang w:eastAsia="lv-LV"/>
        </w:rPr>
        <w:t xml:space="preserve"> noteikumi. Šī </w:t>
      </w:r>
      <w:r w:rsidR="001C7DCF">
        <w:rPr>
          <w:sz w:val="24"/>
          <w:szCs w:val="24"/>
          <w:lang w:eastAsia="lv-LV"/>
        </w:rPr>
        <w:t xml:space="preserve">Stabilitātes </w:t>
      </w:r>
      <w:r w:rsidR="008224E3">
        <w:rPr>
          <w:sz w:val="24"/>
          <w:szCs w:val="24"/>
          <w:lang w:eastAsia="lv-LV"/>
        </w:rPr>
        <w:t xml:space="preserve">programma ir sagatavota saskaņā ar Ministru kabinetā apstiprināto fiskālo stratēģiju un fiskālās disciplīnas tiesisko regulējumu. Strukturālā deficīta mērķi 2024. un 2025. gadā paliek nemainīgi likumā par 2023. gada budžetu un budžeta ietvaru 2023., 2024. un 2025. gadam noteiktajā apmērā 0,5% no IKP. 2026. gadā pašlaik strukturālā deficīta mērķis ir 0% no IKP un tas saistīts ar nepieciešamību koriģēt iepriekšējo gadu negatīvās novirzes no plānotajiem strukturālā deficīta mērķiem, kā arī to, ka 2026. gadā pašlaik tiek plānota pozitīva izlaižu starpība. </w:t>
      </w:r>
      <w:r w:rsidR="00EB59A3">
        <w:rPr>
          <w:sz w:val="24"/>
          <w:szCs w:val="24"/>
          <w:lang w:eastAsia="lv-LV"/>
        </w:rPr>
        <w:t xml:space="preserve">2023. gada vispārējās valdības budžeta deficīts tiek prognozēts 4,0% no IKP, bet strukturālais deficīts 0,5% no IKP. </w:t>
      </w:r>
      <w:r w:rsidR="008224E3">
        <w:rPr>
          <w:sz w:val="24"/>
          <w:szCs w:val="24"/>
          <w:lang w:eastAsia="lv-LV"/>
        </w:rPr>
        <w:t>No strukturālā deficīta mērķiem izrietošais vispārējās valdības budžeta deficīts 2024. gadā</w:t>
      </w:r>
      <w:r w:rsidR="00EB59A3">
        <w:rPr>
          <w:sz w:val="24"/>
          <w:szCs w:val="24"/>
          <w:lang w:eastAsia="lv-LV"/>
        </w:rPr>
        <w:t xml:space="preserve"> tiek prognozēts </w:t>
      </w:r>
      <w:r w:rsidR="008224E3">
        <w:rPr>
          <w:sz w:val="24"/>
          <w:szCs w:val="24"/>
          <w:lang w:eastAsia="lv-LV"/>
        </w:rPr>
        <w:t xml:space="preserve"> 2,5% no IKP</w:t>
      </w:r>
      <w:r w:rsidR="00EB59A3">
        <w:rPr>
          <w:sz w:val="24"/>
          <w:szCs w:val="24"/>
          <w:lang w:eastAsia="lv-LV"/>
        </w:rPr>
        <w:t xml:space="preserve"> apmērā </w:t>
      </w:r>
      <w:r w:rsidR="008224E3">
        <w:rPr>
          <w:sz w:val="24"/>
          <w:szCs w:val="24"/>
          <w:lang w:eastAsia="lv-LV"/>
        </w:rPr>
        <w:t>,</w:t>
      </w:r>
      <w:r w:rsidR="00EB59A3">
        <w:rPr>
          <w:sz w:val="24"/>
          <w:szCs w:val="24"/>
          <w:lang w:eastAsia="lv-LV"/>
        </w:rPr>
        <w:t xml:space="preserve"> bet </w:t>
      </w:r>
      <w:r w:rsidR="008224E3">
        <w:rPr>
          <w:sz w:val="24"/>
          <w:szCs w:val="24"/>
          <w:lang w:eastAsia="lv-LV"/>
        </w:rPr>
        <w:t xml:space="preserve"> 2025. un 2026. gadā attiecīgi </w:t>
      </w:r>
      <w:r w:rsidR="00EB59A3">
        <w:rPr>
          <w:sz w:val="24"/>
          <w:szCs w:val="24"/>
          <w:lang w:eastAsia="lv-LV"/>
        </w:rPr>
        <w:t>2,2% un 0,7% no IKP.</w:t>
      </w:r>
      <w:r w:rsidR="008224E3">
        <w:rPr>
          <w:sz w:val="24"/>
          <w:szCs w:val="24"/>
          <w:lang w:eastAsia="lv-LV"/>
        </w:rPr>
        <w:t xml:space="preserve"> </w:t>
      </w:r>
    </w:p>
    <w:p w14:paraId="092FDE57" w14:textId="77777777" w:rsidR="003A29EA" w:rsidRPr="00085AFE" w:rsidRDefault="003A29EA" w:rsidP="00605C5D">
      <w:pPr>
        <w:ind w:firstLine="0"/>
        <w:rPr>
          <w:sz w:val="24"/>
          <w:szCs w:val="24"/>
          <w:highlight w:val="lightGray"/>
          <w:lang w:eastAsia="lv-LV"/>
        </w:rPr>
      </w:pPr>
    </w:p>
    <w:p w14:paraId="1950405E" w14:textId="32173BDF" w:rsidR="00BF4753" w:rsidRPr="00D22811" w:rsidRDefault="00BF4753" w:rsidP="00810FC4">
      <w:pPr>
        <w:pStyle w:val="Heading1"/>
        <w:numPr>
          <w:ilvl w:val="0"/>
          <w:numId w:val="20"/>
        </w:numPr>
        <w:spacing w:before="0" w:after="240"/>
        <w:ind w:left="714" w:hanging="357"/>
        <w:rPr>
          <w:sz w:val="32"/>
          <w:szCs w:val="32"/>
        </w:rPr>
      </w:pPr>
      <w:bookmarkStart w:id="3" w:name="_Toc131331229"/>
      <w:r w:rsidRPr="00D22811">
        <w:rPr>
          <w:sz w:val="32"/>
          <w:szCs w:val="32"/>
        </w:rPr>
        <w:lastRenderedPageBreak/>
        <w:t>Ekonomiskā situācija</w:t>
      </w:r>
      <w:bookmarkEnd w:id="0"/>
      <w:bookmarkEnd w:id="1"/>
      <w:bookmarkEnd w:id="3"/>
    </w:p>
    <w:p w14:paraId="2658F68D" w14:textId="22F84625" w:rsidR="00A120D9" w:rsidRPr="00D22811" w:rsidRDefault="00A120D9" w:rsidP="00A120D9">
      <w:pPr>
        <w:pStyle w:val="Heading2"/>
        <w:numPr>
          <w:ilvl w:val="0"/>
          <w:numId w:val="0"/>
        </w:numPr>
        <w:spacing w:before="240" w:after="240"/>
        <w:rPr>
          <w:rFonts w:eastAsia="Times New Roman"/>
          <w:sz w:val="28"/>
          <w:lang w:eastAsia="lv-LV"/>
        </w:rPr>
      </w:pPr>
      <w:bookmarkStart w:id="4" w:name="_Toc510790655"/>
      <w:bookmarkStart w:id="5" w:name="_Toc5627365"/>
      <w:bookmarkStart w:id="6" w:name="_Toc131331230"/>
      <w:r w:rsidRPr="00D22811">
        <w:rPr>
          <w:rFonts w:eastAsia="Times New Roman"/>
          <w:sz w:val="28"/>
          <w:lang w:eastAsia="lv-LV"/>
        </w:rPr>
        <w:t>2.1. Ārējā ekonomiskā vide</w:t>
      </w:r>
      <w:bookmarkEnd w:id="6"/>
    </w:p>
    <w:p w14:paraId="39A155EF" w14:textId="65E6C031" w:rsidR="00D22811" w:rsidRDefault="00D22811" w:rsidP="00D22811">
      <w:pPr>
        <w:rPr>
          <w:rFonts w:eastAsia="Times New Roman" w:cs="Times New Roman"/>
          <w:sz w:val="24"/>
          <w:szCs w:val="24"/>
        </w:rPr>
      </w:pPr>
      <w:bookmarkStart w:id="7" w:name="_Toc479331083"/>
      <w:bookmarkStart w:id="8" w:name="_Toc510790653"/>
      <w:r>
        <w:rPr>
          <w:rFonts w:eastAsia="Times New Roman" w:cs="Times New Roman"/>
          <w:sz w:val="24"/>
          <w:szCs w:val="24"/>
        </w:rPr>
        <w:t xml:space="preserve">Pasaules un </w:t>
      </w:r>
      <w:r w:rsidR="009B79CF">
        <w:rPr>
          <w:rFonts w:eastAsia="Times New Roman" w:cs="Times New Roman"/>
          <w:sz w:val="24"/>
          <w:szCs w:val="24"/>
        </w:rPr>
        <w:t>ES</w:t>
      </w:r>
      <w:r>
        <w:rPr>
          <w:rFonts w:eastAsia="Times New Roman" w:cs="Times New Roman"/>
          <w:sz w:val="24"/>
          <w:szCs w:val="24"/>
        </w:rPr>
        <w:t xml:space="preserve"> valstu ekonomika </w:t>
      </w:r>
      <w:r w:rsidR="00DB568A">
        <w:rPr>
          <w:rFonts w:eastAsia="Times New Roman" w:cs="Times New Roman"/>
          <w:sz w:val="24"/>
          <w:szCs w:val="24"/>
        </w:rPr>
        <w:t>2022.</w:t>
      </w:r>
      <w:r>
        <w:rPr>
          <w:rFonts w:eastAsia="Times New Roman" w:cs="Times New Roman"/>
          <w:sz w:val="24"/>
          <w:szCs w:val="24"/>
        </w:rPr>
        <w:t xml:space="preserve"> gadā turpināja atgūties no Covid-19 izraisītās krīzes, bet kopš </w:t>
      </w:r>
      <w:r w:rsidR="00DB568A">
        <w:rPr>
          <w:rFonts w:eastAsia="Times New Roman" w:cs="Times New Roman"/>
          <w:sz w:val="24"/>
          <w:szCs w:val="24"/>
        </w:rPr>
        <w:t>pagājušā gada</w:t>
      </w:r>
      <w:r>
        <w:rPr>
          <w:rFonts w:eastAsia="Times New Roman" w:cs="Times New Roman"/>
          <w:sz w:val="24"/>
          <w:szCs w:val="24"/>
        </w:rPr>
        <w:t xml:space="preserve"> februāra situāciju jau pilnībā noteica Krievijas iesāktais karš Ukrainā un tā veicinātā </w:t>
      </w:r>
      <w:proofErr w:type="spellStart"/>
      <w:r>
        <w:rPr>
          <w:rFonts w:eastAsia="Times New Roman" w:cs="Times New Roman"/>
          <w:sz w:val="24"/>
          <w:szCs w:val="24"/>
        </w:rPr>
        <w:t>energokrīze</w:t>
      </w:r>
      <w:proofErr w:type="spellEnd"/>
      <w:r>
        <w:rPr>
          <w:rFonts w:eastAsia="Times New Roman" w:cs="Times New Roman"/>
          <w:sz w:val="24"/>
          <w:szCs w:val="24"/>
        </w:rPr>
        <w:t xml:space="preserve">, ievērojami paaugstinot energoresursu cenas, ceļot kopējo inflācijas līmeni un būtiski palēninot ekonomikas </w:t>
      </w:r>
      <w:r w:rsidRPr="00DB568A">
        <w:rPr>
          <w:rFonts w:eastAsia="Times New Roman" w:cs="Times New Roman"/>
          <w:sz w:val="24"/>
          <w:szCs w:val="24"/>
        </w:rPr>
        <w:t xml:space="preserve">attīstību. Lai ierobežotu inflāciju, pasaules valstu centrālās bankas </w:t>
      </w:r>
      <w:r w:rsidR="00DB568A" w:rsidRPr="00DB568A">
        <w:rPr>
          <w:rFonts w:eastAsia="Times New Roman" w:cs="Times New Roman"/>
          <w:sz w:val="24"/>
          <w:szCs w:val="24"/>
        </w:rPr>
        <w:t>2022.</w:t>
      </w:r>
      <w:r w:rsidRPr="00DB568A">
        <w:rPr>
          <w:rFonts w:eastAsia="Times New Roman" w:cs="Times New Roman"/>
          <w:sz w:val="24"/>
          <w:szCs w:val="24"/>
        </w:rPr>
        <w:t xml:space="preserve"> gadā uzsāka procentu likmju paaugstināšanas ciklu, kam tāpat bija bremzējoša ietekme uz ekonomikas izaugsmi.</w:t>
      </w:r>
    </w:p>
    <w:p w14:paraId="7D6A727C" w14:textId="003BEF5D" w:rsidR="00D22811" w:rsidRDefault="00D22811" w:rsidP="00D22811">
      <w:pPr>
        <w:rPr>
          <w:rFonts w:eastAsia="Times New Roman" w:cs="Times New Roman"/>
          <w:sz w:val="24"/>
          <w:szCs w:val="24"/>
        </w:rPr>
      </w:pPr>
      <w:r>
        <w:rPr>
          <w:rFonts w:eastAsia="Times New Roman" w:cs="Times New Roman"/>
          <w:sz w:val="24"/>
          <w:szCs w:val="24"/>
        </w:rPr>
        <w:t xml:space="preserve">Pēc </w:t>
      </w:r>
      <w:r w:rsidR="00945318">
        <w:rPr>
          <w:rFonts w:eastAsia="Times New Roman" w:cs="Times New Roman"/>
          <w:sz w:val="24"/>
          <w:szCs w:val="24"/>
        </w:rPr>
        <w:t>Starptautiskā Valūtas fonda (SVF)</w:t>
      </w:r>
      <w:r>
        <w:rPr>
          <w:rFonts w:eastAsia="Times New Roman" w:cs="Times New Roman"/>
          <w:sz w:val="24"/>
          <w:szCs w:val="24"/>
        </w:rPr>
        <w:t xml:space="preserve"> aplēsēm, pasaules ekonomika pērn ir augusi par 3,4%, izaugsmei palēninoties no 2021. gadā sasniegtajiem 6,2%. Līdzīgi ES valstīs kopumā izaugsme noslīdējusi līdz 3,5%, kamēr 2021. gadā ES ekonomika bija augusi par 5,4%. Izaugsmes palēnināšanās 2022. gadā tika prognozēta vēl pirms Krievijas iebrukuma Ukrainā, bet uzsāktais karš ekonomikas perspektīvas vēl būtiski koriģēja uz leju. Tomēr situācija kopumā neizrādījās tik pesimistiska, kā tika lēsts gada pirmajā pusē un jau no gada vidus izaugsmes prognozes gan pasaules ekonomikai, gan </w:t>
      </w:r>
      <w:r w:rsidR="00945318">
        <w:rPr>
          <w:rFonts w:eastAsia="Times New Roman" w:cs="Times New Roman"/>
          <w:sz w:val="24"/>
          <w:szCs w:val="24"/>
        </w:rPr>
        <w:t>ES</w:t>
      </w:r>
      <w:r>
        <w:rPr>
          <w:rFonts w:eastAsia="Times New Roman" w:cs="Times New Roman"/>
          <w:sz w:val="24"/>
          <w:szCs w:val="24"/>
        </w:rPr>
        <w:t xml:space="preserve"> pakāpeniski tiek koriģētas uz augšu.</w:t>
      </w:r>
    </w:p>
    <w:p w14:paraId="77B6F5E1" w14:textId="77777777" w:rsidR="00D22811" w:rsidRPr="00A120D9" w:rsidRDefault="00D22811" w:rsidP="00D22811">
      <w:pPr>
        <w:ind w:firstLine="0"/>
        <w:jc w:val="center"/>
        <w:rPr>
          <w:rFonts w:eastAsia="Times New Roman" w:cs="Times New Roman"/>
          <w:sz w:val="24"/>
          <w:szCs w:val="24"/>
        </w:rPr>
      </w:pPr>
      <w:r>
        <w:rPr>
          <w:noProof/>
        </w:rPr>
        <w:drawing>
          <wp:inline distT="0" distB="0" distL="0" distR="0" wp14:anchorId="1CA0317C" wp14:editId="489730F2">
            <wp:extent cx="5274310" cy="2988945"/>
            <wp:effectExtent l="0" t="0" r="2540" b="1905"/>
            <wp:docPr id="1" name="Chart 1">
              <a:extLst xmlns:a="http://schemas.openxmlformats.org/drawingml/2006/main">
                <a:ext uri="{FF2B5EF4-FFF2-40B4-BE49-F238E27FC236}">
                  <a16:creationId xmlns:a16="http://schemas.microsoft.com/office/drawing/2014/main" id="{E2E70520-66C1-46D8-AD13-4B2AC33B2C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103BC3D" w14:textId="77777777" w:rsidR="00D22811" w:rsidRPr="00A120D9" w:rsidRDefault="00D22811" w:rsidP="00D22811">
      <w:pPr>
        <w:ind w:firstLine="0"/>
        <w:jc w:val="center"/>
        <w:rPr>
          <w:rFonts w:eastAsia="Times New Roman" w:cs="Times New Roman"/>
          <w:b/>
          <w:i/>
          <w:sz w:val="24"/>
          <w:szCs w:val="24"/>
        </w:rPr>
      </w:pPr>
      <w:r w:rsidRPr="00A120D9">
        <w:rPr>
          <w:rFonts w:eastAsia="Times New Roman" w:cs="Times New Roman"/>
          <w:b/>
          <w:i/>
          <w:sz w:val="24"/>
          <w:szCs w:val="24"/>
        </w:rPr>
        <w:t xml:space="preserve">2.1. att. </w:t>
      </w:r>
      <w:r>
        <w:rPr>
          <w:rFonts w:eastAsia="Times New Roman" w:cs="Times New Roman"/>
          <w:b/>
          <w:i/>
          <w:sz w:val="24"/>
          <w:szCs w:val="24"/>
        </w:rPr>
        <w:t>IKP</w:t>
      </w:r>
      <w:r w:rsidRPr="00A120D9">
        <w:rPr>
          <w:rFonts w:eastAsia="Times New Roman" w:cs="Times New Roman"/>
          <w:b/>
          <w:i/>
          <w:sz w:val="24"/>
          <w:szCs w:val="24"/>
        </w:rPr>
        <w:t xml:space="preserve"> izmaiņas </w:t>
      </w:r>
      <w:r>
        <w:rPr>
          <w:rFonts w:eastAsia="Times New Roman" w:cs="Times New Roman"/>
          <w:b/>
          <w:i/>
          <w:sz w:val="24"/>
          <w:szCs w:val="24"/>
        </w:rPr>
        <w:t>ES</w:t>
      </w:r>
      <w:r w:rsidRPr="00A120D9">
        <w:rPr>
          <w:rFonts w:eastAsia="Times New Roman" w:cs="Times New Roman"/>
          <w:b/>
          <w:i/>
          <w:sz w:val="24"/>
          <w:szCs w:val="24"/>
        </w:rPr>
        <w:t xml:space="preserve"> valstīs</w:t>
      </w:r>
      <w:r>
        <w:rPr>
          <w:rFonts w:eastAsia="Times New Roman" w:cs="Times New Roman"/>
          <w:b/>
          <w:i/>
          <w:sz w:val="24"/>
          <w:szCs w:val="24"/>
        </w:rPr>
        <w:t xml:space="preserve"> 2022. gadā</w:t>
      </w:r>
      <w:r w:rsidRPr="00A120D9">
        <w:rPr>
          <w:rFonts w:eastAsia="Times New Roman" w:cs="Times New Roman"/>
          <w:b/>
          <w:i/>
          <w:sz w:val="24"/>
          <w:szCs w:val="24"/>
        </w:rPr>
        <w:t>,</w:t>
      </w:r>
      <w:r>
        <w:rPr>
          <w:rFonts w:eastAsia="Times New Roman" w:cs="Times New Roman"/>
          <w:b/>
          <w:i/>
          <w:sz w:val="24"/>
          <w:szCs w:val="24"/>
        </w:rPr>
        <w:t xml:space="preserve"> </w:t>
      </w:r>
      <w:r w:rsidRPr="00A120D9">
        <w:rPr>
          <w:rFonts w:eastAsia="Times New Roman" w:cs="Times New Roman"/>
          <w:b/>
          <w:i/>
          <w:sz w:val="24"/>
          <w:szCs w:val="24"/>
        </w:rPr>
        <w:t>% pret iepriekšējo gadu</w:t>
      </w:r>
    </w:p>
    <w:p w14:paraId="4759419B" w14:textId="77777777" w:rsidR="00D22811" w:rsidRPr="00A120D9" w:rsidRDefault="00D22811" w:rsidP="00D22811">
      <w:pPr>
        <w:ind w:firstLine="578"/>
        <w:rPr>
          <w:rFonts w:eastAsia="Times New Roman" w:cs="Times New Roman"/>
          <w:sz w:val="24"/>
          <w:szCs w:val="24"/>
        </w:rPr>
      </w:pPr>
    </w:p>
    <w:p w14:paraId="4636C228" w14:textId="1E2407A4" w:rsidR="00D22811" w:rsidRDefault="00D22811" w:rsidP="00D22811">
      <w:pPr>
        <w:rPr>
          <w:rFonts w:eastAsia="Times New Roman" w:cs="Times New Roman"/>
          <w:sz w:val="24"/>
          <w:szCs w:val="24"/>
        </w:rPr>
      </w:pPr>
      <w:r>
        <w:rPr>
          <w:rFonts w:eastAsia="Times New Roman" w:cs="Times New Roman"/>
          <w:sz w:val="24"/>
          <w:szCs w:val="24"/>
        </w:rPr>
        <w:t>2023. gadā pasaules un Eiropas ekonomikas izaugsme tiek prognozēta vēl nedaudz lēnāka – 2,9% pasaules ekonomikai pēc SVF prognozēm un 0,8% ES valstu ekonomikai pēc Eiropas Komisijas (EK) prognozēm, taču arī šā gada prognozes pēdējo mēnešu laikā ir tikušas pastāvīgi paaugstinātas. Pēc krasiem kritumiem pagājušā gada vasarā</w:t>
      </w:r>
      <w:r w:rsidR="00945318">
        <w:rPr>
          <w:rFonts w:eastAsia="Times New Roman" w:cs="Times New Roman"/>
          <w:sz w:val="24"/>
          <w:szCs w:val="24"/>
        </w:rPr>
        <w:t>,</w:t>
      </w:r>
      <w:r>
        <w:rPr>
          <w:rFonts w:eastAsia="Times New Roman" w:cs="Times New Roman"/>
          <w:sz w:val="24"/>
          <w:szCs w:val="24"/>
        </w:rPr>
        <w:t xml:space="preserve"> pēdējos mēnešos ir sākuši stabilizēties un uzlaboties arī uzņēmēju un patērētāju konfidences rādītāji</w:t>
      </w:r>
      <w:r w:rsidR="00945318">
        <w:rPr>
          <w:rFonts w:eastAsia="Times New Roman" w:cs="Times New Roman"/>
          <w:sz w:val="24"/>
          <w:szCs w:val="24"/>
        </w:rPr>
        <w:t>.</w:t>
      </w:r>
      <w:r>
        <w:rPr>
          <w:rFonts w:eastAsia="Times New Roman" w:cs="Times New Roman"/>
          <w:sz w:val="24"/>
          <w:szCs w:val="24"/>
        </w:rPr>
        <w:t xml:space="preserve"> EK veidotais </w:t>
      </w:r>
      <w:r w:rsidR="00945318">
        <w:rPr>
          <w:rFonts w:eastAsia="Times New Roman" w:cs="Times New Roman"/>
          <w:sz w:val="24"/>
          <w:szCs w:val="24"/>
        </w:rPr>
        <w:t>E</w:t>
      </w:r>
      <w:r>
        <w:rPr>
          <w:rFonts w:eastAsia="Times New Roman" w:cs="Times New Roman"/>
          <w:sz w:val="24"/>
          <w:szCs w:val="24"/>
        </w:rPr>
        <w:t>konomikas sentimenta indekss ES valstīm februārī uzrādījis augstāko līmeni pusgada laikā, tomēr vēl gan nesasniedzot ilgtermiņa vidējo rādītāju.</w:t>
      </w:r>
    </w:p>
    <w:p w14:paraId="3DC3531F" w14:textId="5D465E61" w:rsidR="00D22811" w:rsidRDefault="00D22811" w:rsidP="00D22811">
      <w:pPr>
        <w:rPr>
          <w:rFonts w:eastAsia="Times New Roman" w:cs="Times New Roman"/>
          <w:sz w:val="24"/>
          <w:szCs w:val="24"/>
        </w:rPr>
      </w:pPr>
      <w:proofErr w:type="spellStart"/>
      <w:r w:rsidRPr="00D22811">
        <w:rPr>
          <w:rFonts w:eastAsia="Times New Roman" w:cs="Times New Roman"/>
          <w:i/>
          <w:iCs/>
          <w:sz w:val="24"/>
          <w:szCs w:val="24"/>
        </w:rPr>
        <w:t>Euro</w:t>
      </w:r>
      <w:proofErr w:type="spellEnd"/>
      <w:r>
        <w:rPr>
          <w:rFonts w:eastAsia="Times New Roman" w:cs="Times New Roman"/>
          <w:sz w:val="24"/>
          <w:szCs w:val="24"/>
        </w:rPr>
        <w:t xml:space="preserve"> zonas</w:t>
      </w:r>
      <w:r w:rsidRPr="00A120D9">
        <w:rPr>
          <w:rFonts w:eastAsia="Times New Roman" w:cs="Times New Roman"/>
          <w:sz w:val="24"/>
          <w:szCs w:val="24"/>
        </w:rPr>
        <w:t xml:space="preserve"> </w:t>
      </w:r>
      <w:r w:rsidR="00945318">
        <w:rPr>
          <w:rFonts w:eastAsia="Times New Roman" w:cs="Times New Roman"/>
          <w:sz w:val="24"/>
          <w:szCs w:val="24"/>
        </w:rPr>
        <w:t>I</w:t>
      </w:r>
      <w:r w:rsidRPr="00A120D9">
        <w:rPr>
          <w:rFonts w:eastAsia="Times New Roman" w:cs="Times New Roman"/>
          <w:sz w:val="24"/>
          <w:szCs w:val="24"/>
        </w:rPr>
        <w:t xml:space="preserve">epirkumu </w:t>
      </w:r>
      <w:r w:rsidR="00945318">
        <w:rPr>
          <w:rFonts w:eastAsia="Times New Roman" w:cs="Times New Roman"/>
          <w:sz w:val="24"/>
          <w:szCs w:val="24"/>
        </w:rPr>
        <w:t>vadītāju</w:t>
      </w:r>
      <w:r w:rsidRPr="00A120D9">
        <w:rPr>
          <w:rFonts w:eastAsia="Times New Roman" w:cs="Times New Roman"/>
          <w:sz w:val="24"/>
          <w:szCs w:val="24"/>
        </w:rPr>
        <w:t xml:space="preserve"> indeks</w:t>
      </w:r>
      <w:r>
        <w:rPr>
          <w:rFonts w:eastAsia="Times New Roman" w:cs="Times New Roman"/>
          <w:sz w:val="24"/>
          <w:szCs w:val="24"/>
        </w:rPr>
        <w:t>s</w:t>
      </w:r>
      <w:r w:rsidRPr="00A120D9">
        <w:rPr>
          <w:rFonts w:eastAsia="Times New Roman" w:cs="Times New Roman"/>
          <w:sz w:val="24"/>
          <w:szCs w:val="24"/>
        </w:rPr>
        <w:t xml:space="preserve"> (PMI)</w:t>
      </w:r>
      <w:r>
        <w:rPr>
          <w:rFonts w:eastAsia="Times New Roman" w:cs="Times New Roman"/>
          <w:sz w:val="24"/>
          <w:szCs w:val="24"/>
        </w:rPr>
        <w:t xml:space="preserve">, kas apsteidzoši parāda ekonomikas izlaides apjomus, </w:t>
      </w:r>
      <w:r w:rsidR="00DB568A">
        <w:rPr>
          <w:rFonts w:eastAsia="Times New Roman" w:cs="Times New Roman"/>
          <w:sz w:val="24"/>
          <w:szCs w:val="24"/>
        </w:rPr>
        <w:t xml:space="preserve">šā gada </w:t>
      </w:r>
      <w:r>
        <w:rPr>
          <w:rFonts w:eastAsia="Times New Roman" w:cs="Times New Roman"/>
          <w:sz w:val="24"/>
          <w:szCs w:val="24"/>
        </w:rPr>
        <w:t>februārī sasniedzis augstāko līmeni pēdējo astoņu mēnešu laikā, jau otro mēnesi pēc kārtas pārsniedzot 50 atzīmi, kas atdala ekonomikas izaugsmi no krituma. Īpaši strauji uzlabojies pakalpojumu sektora indekss, arī ražošanā PMI rādītājs signalizē izlaides stabilizēšanos, pārtraucot astoņus mēnešus ilgušo kritumu.</w:t>
      </w:r>
    </w:p>
    <w:p w14:paraId="095896E5" w14:textId="3D6CF230" w:rsidR="00D22811" w:rsidRDefault="00D22811" w:rsidP="00D22811">
      <w:pPr>
        <w:rPr>
          <w:rFonts w:eastAsia="Times New Roman" w:cs="Times New Roman"/>
          <w:sz w:val="24"/>
          <w:szCs w:val="24"/>
        </w:rPr>
      </w:pPr>
      <w:r>
        <w:rPr>
          <w:rFonts w:eastAsia="Times New Roman" w:cs="Times New Roman"/>
          <w:sz w:val="24"/>
          <w:szCs w:val="24"/>
        </w:rPr>
        <w:lastRenderedPageBreak/>
        <w:t xml:space="preserve">Ekonomiskās situācijas un konfidences uzlabošanās lielā mērā saistīta ar silto ziemu, pēdējos mēnešos fiksēto energoresursu cenu kritumu un kopējā inflācijas līmeņa pazemināšanos, kur gada inflācija </w:t>
      </w:r>
      <w:proofErr w:type="spellStart"/>
      <w:r w:rsidRPr="00945318">
        <w:rPr>
          <w:rFonts w:eastAsia="Times New Roman" w:cs="Times New Roman"/>
          <w:i/>
          <w:iCs/>
          <w:sz w:val="24"/>
          <w:szCs w:val="24"/>
        </w:rPr>
        <w:t>e</w:t>
      </w:r>
      <w:r w:rsidR="00945318" w:rsidRPr="00945318">
        <w:rPr>
          <w:rFonts w:eastAsia="Times New Roman" w:cs="Times New Roman"/>
          <w:i/>
          <w:iCs/>
          <w:sz w:val="24"/>
          <w:szCs w:val="24"/>
        </w:rPr>
        <w:t>u</w:t>
      </w:r>
      <w:r w:rsidRPr="00945318">
        <w:rPr>
          <w:rFonts w:eastAsia="Times New Roman" w:cs="Times New Roman"/>
          <w:i/>
          <w:iCs/>
          <w:sz w:val="24"/>
          <w:szCs w:val="24"/>
        </w:rPr>
        <w:t>ro</w:t>
      </w:r>
      <w:proofErr w:type="spellEnd"/>
      <w:r w:rsidR="00945318">
        <w:rPr>
          <w:rFonts w:eastAsia="Times New Roman" w:cs="Times New Roman"/>
          <w:sz w:val="24"/>
          <w:szCs w:val="24"/>
        </w:rPr>
        <w:t xml:space="preserve"> </w:t>
      </w:r>
      <w:r>
        <w:rPr>
          <w:rFonts w:eastAsia="Times New Roman" w:cs="Times New Roman"/>
          <w:sz w:val="24"/>
          <w:szCs w:val="24"/>
        </w:rPr>
        <w:t xml:space="preserve">zonā pēc </w:t>
      </w:r>
      <w:r w:rsidR="00860938">
        <w:rPr>
          <w:rFonts w:eastAsia="Times New Roman" w:cs="Times New Roman"/>
          <w:sz w:val="24"/>
          <w:szCs w:val="24"/>
        </w:rPr>
        <w:t xml:space="preserve">2022.gada </w:t>
      </w:r>
      <w:r>
        <w:rPr>
          <w:rFonts w:eastAsia="Times New Roman" w:cs="Times New Roman"/>
          <w:sz w:val="24"/>
          <w:szCs w:val="24"/>
        </w:rPr>
        <w:t xml:space="preserve">oktobrī sasniegtā 10,6% rekorda nākamo mēnešu laikā līdz martam ir pazeminājusies līdz 8,5%. Tomēr inflācijas samazināšanās pēdējos mēnešos arī bijusi nedaudz lēnāka par analītiķu gaidīto, signalizējot, ka inflācijas otrās kārtas efekti varētu izrādīties spēcīgāki nekā sākotnēji prognozēts. </w:t>
      </w:r>
      <w:r w:rsidR="00945318">
        <w:rPr>
          <w:rFonts w:eastAsia="Times New Roman" w:cs="Times New Roman"/>
          <w:sz w:val="24"/>
          <w:szCs w:val="24"/>
        </w:rPr>
        <w:t>EK</w:t>
      </w:r>
      <w:r>
        <w:rPr>
          <w:rFonts w:eastAsia="Times New Roman" w:cs="Times New Roman"/>
          <w:sz w:val="24"/>
          <w:szCs w:val="24"/>
        </w:rPr>
        <w:t xml:space="preserve"> savās </w:t>
      </w:r>
      <w:r w:rsidR="00860938">
        <w:rPr>
          <w:rFonts w:eastAsia="Times New Roman" w:cs="Times New Roman"/>
          <w:sz w:val="24"/>
          <w:szCs w:val="24"/>
        </w:rPr>
        <w:t>š</w:t>
      </w:r>
      <w:r w:rsidR="000E1368">
        <w:rPr>
          <w:rFonts w:eastAsia="Times New Roman" w:cs="Times New Roman"/>
          <w:sz w:val="24"/>
          <w:szCs w:val="24"/>
        </w:rPr>
        <w:t xml:space="preserve">ā </w:t>
      </w:r>
      <w:r w:rsidR="00860938">
        <w:rPr>
          <w:rFonts w:eastAsia="Times New Roman" w:cs="Times New Roman"/>
          <w:sz w:val="24"/>
          <w:szCs w:val="24"/>
        </w:rPr>
        <w:t>g</w:t>
      </w:r>
      <w:r w:rsidR="000E1368">
        <w:rPr>
          <w:rFonts w:eastAsia="Times New Roman" w:cs="Times New Roman"/>
          <w:sz w:val="24"/>
          <w:szCs w:val="24"/>
        </w:rPr>
        <w:t>ada</w:t>
      </w:r>
      <w:r w:rsidR="00860938">
        <w:rPr>
          <w:rFonts w:eastAsia="Times New Roman" w:cs="Times New Roman"/>
          <w:sz w:val="24"/>
          <w:szCs w:val="24"/>
        </w:rPr>
        <w:t xml:space="preserve"> </w:t>
      </w:r>
      <w:r>
        <w:rPr>
          <w:rFonts w:eastAsia="Times New Roman" w:cs="Times New Roman"/>
          <w:sz w:val="24"/>
          <w:szCs w:val="24"/>
        </w:rPr>
        <w:t xml:space="preserve">februāra sākuma prognozēs paredzējusi, ka inflācija </w:t>
      </w:r>
      <w:proofErr w:type="spellStart"/>
      <w:r w:rsidRPr="00945318">
        <w:rPr>
          <w:rFonts w:eastAsia="Times New Roman" w:cs="Times New Roman"/>
          <w:i/>
          <w:iCs/>
          <w:sz w:val="24"/>
          <w:szCs w:val="24"/>
        </w:rPr>
        <w:t>e</w:t>
      </w:r>
      <w:r w:rsidR="00945318" w:rsidRPr="00945318">
        <w:rPr>
          <w:rFonts w:eastAsia="Times New Roman" w:cs="Times New Roman"/>
          <w:i/>
          <w:iCs/>
          <w:sz w:val="24"/>
          <w:szCs w:val="24"/>
        </w:rPr>
        <w:t>u</w:t>
      </w:r>
      <w:r w:rsidRPr="00945318">
        <w:rPr>
          <w:rFonts w:eastAsia="Times New Roman" w:cs="Times New Roman"/>
          <w:i/>
          <w:iCs/>
          <w:sz w:val="24"/>
          <w:szCs w:val="24"/>
        </w:rPr>
        <w:t>ro</w:t>
      </w:r>
      <w:proofErr w:type="spellEnd"/>
      <w:r w:rsidR="00945318">
        <w:rPr>
          <w:rFonts w:eastAsia="Times New Roman" w:cs="Times New Roman"/>
          <w:sz w:val="24"/>
          <w:szCs w:val="24"/>
        </w:rPr>
        <w:t xml:space="preserve"> </w:t>
      </w:r>
      <w:r>
        <w:rPr>
          <w:rFonts w:eastAsia="Times New Roman" w:cs="Times New Roman"/>
          <w:sz w:val="24"/>
          <w:szCs w:val="24"/>
        </w:rPr>
        <w:t>zonā pēc 2022. gadā sasniegtā 8,4% vidējā rādītāja šogad pazemināsies līdz 5,6%, bet 2024. gadā – līdz 2,5%, sākot pietuvoties Eiropas Centrālās bankas (ECB) noteiktajam vēlamajam inflācijas līmenim, kas ir tuvu, bet nedaudz zem 2%.</w:t>
      </w:r>
    </w:p>
    <w:p w14:paraId="33B11EE1" w14:textId="1D625B7D" w:rsidR="00A120D9" w:rsidRPr="00D22811" w:rsidRDefault="00DB568A" w:rsidP="00D22811">
      <w:pPr>
        <w:rPr>
          <w:rFonts w:eastAsia="Times New Roman" w:cs="Times New Roman"/>
          <w:bCs/>
          <w:iCs/>
          <w:sz w:val="24"/>
          <w:szCs w:val="24"/>
          <w:highlight w:val="lightGray"/>
        </w:rPr>
      </w:pPr>
      <w:r>
        <w:rPr>
          <w:rFonts w:eastAsia="Times New Roman" w:cs="Times New Roman"/>
          <w:sz w:val="24"/>
          <w:szCs w:val="24"/>
        </w:rPr>
        <w:t xml:space="preserve">Kā atbildi uz augsto inflāciju </w:t>
      </w:r>
      <w:r w:rsidR="00D22811" w:rsidRPr="0056476F">
        <w:rPr>
          <w:rFonts w:eastAsia="Times New Roman" w:cs="Times New Roman"/>
          <w:sz w:val="24"/>
          <w:szCs w:val="24"/>
        </w:rPr>
        <w:t>ASV Federālā rezervju sistēma 2022</w:t>
      </w:r>
      <w:r w:rsidR="00D22811">
        <w:rPr>
          <w:rFonts w:eastAsia="Times New Roman" w:cs="Times New Roman"/>
          <w:sz w:val="24"/>
          <w:szCs w:val="24"/>
        </w:rPr>
        <w:t>. gad</w:t>
      </w:r>
      <w:r w:rsidR="00D22811" w:rsidRPr="0056476F">
        <w:rPr>
          <w:rFonts w:eastAsia="Times New Roman" w:cs="Times New Roman"/>
          <w:sz w:val="24"/>
          <w:szCs w:val="24"/>
        </w:rPr>
        <w:t>a 16. martā pirmo reizi kopš 2018</w:t>
      </w:r>
      <w:r w:rsidR="00D22811">
        <w:rPr>
          <w:rFonts w:eastAsia="Times New Roman" w:cs="Times New Roman"/>
          <w:sz w:val="24"/>
          <w:szCs w:val="24"/>
        </w:rPr>
        <w:t>. gad</w:t>
      </w:r>
      <w:r w:rsidR="00D22811" w:rsidRPr="0056476F">
        <w:rPr>
          <w:rFonts w:eastAsia="Times New Roman" w:cs="Times New Roman"/>
          <w:sz w:val="24"/>
          <w:szCs w:val="24"/>
        </w:rPr>
        <w:t>a decembra paaugstināja bāzes procentu likmi par 0,25 procentpunktiem līdz 0,25% – 0,5%. Pēc vairākiem sekojošiem procentu likmju paaugstinājumiem 2023</w:t>
      </w:r>
      <w:r w:rsidR="00D22811">
        <w:rPr>
          <w:rFonts w:eastAsia="Times New Roman" w:cs="Times New Roman"/>
          <w:sz w:val="24"/>
          <w:szCs w:val="24"/>
        </w:rPr>
        <w:t>. gad</w:t>
      </w:r>
      <w:r w:rsidR="00D22811" w:rsidRPr="0056476F">
        <w:rPr>
          <w:rFonts w:eastAsia="Times New Roman" w:cs="Times New Roman"/>
          <w:sz w:val="24"/>
          <w:szCs w:val="24"/>
        </w:rPr>
        <w:t xml:space="preserve">a februārī likme sasniedza 4,50% </w:t>
      </w:r>
      <w:r w:rsidR="00D22811">
        <w:rPr>
          <w:rFonts w:eastAsia="Times New Roman" w:cs="Times New Roman"/>
          <w:sz w:val="24"/>
          <w:szCs w:val="24"/>
        </w:rPr>
        <w:t>–</w:t>
      </w:r>
      <w:r w:rsidR="00D22811" w:rsidRPr="0056476F">
        <w:rPr>
          <w:rFonts w:eastAsia="Times New Roman" w:cs="Times New Roman"/>
          <w:sz w:val="24"/>
          <w:szCs w:val="24"/>
        </w:rPr>
        <w:t xml:space="preserve"> 4,75</w:t>
      </w:r>
      <w:r w:rsidR="00D22811">
        <w:rPr>
          <w:rFonts w:eastAsia="Times New Roman" w:cs="Times New Roman"/>
          <w:sz w:val="24"/>
          <w:szCs w:val="24"/>
        </w:rPr>
        <w:t xml:space="preserve">%. </w:t>
      </w:r>
      <w:r w:rsidR="00D22811" w:rsidRPr="00186C20">
        <w:rPr>
          <w:rFonts w:eastAsia="Times New Roman" w:cs="Times New Roman"/>
          <w:sz w:val="24"/>
          <w:szCs w:val="24"/>
        </w:rPr>
        <w:t>ECB 2022. gada 21. jūlijā pirmo reizi pēdējos 11 gados veica procentu likmju paaugstinājumu, galveno</w:t>
      </w:r>
      <w:r w:rsidR="00D22811" w:rsidRPr="0056476F">
        <w:rPr>
          <w:rFonts w:eastAsia="Times New Roman" w:cs="Times New Roman"/>
          <w:sz w:val="24"/>
          <w:szCs w:val="24"/>
        </w:rPr>
        <w:t xml:space="preserve"> bāzes </w:t>
      </w:r>
      <w:proofErr w:type="spellStart"/>
      <w:r w:rsidR="00D22811" w:rsidRPr="0056476F">
        <w:rPr>
          <w:rFonts w:eastAsia="Times New Roman" w:cs="Times New Roman"/>
          <w:sz w:val="24"/>
          <w:szCs w:val="24"/>
        </w:rPr>
        <w:t>procentlikmi</w:t>
      </w:r>
      <w:proofErr w:type="spellEnd"/>
      <w:r w:rsidR="00D22811" w:rsidRPr="0056476F">
        <w:rPr>
          <w:rFonts w:eastAsia="Times New Roman" w:cs="Times New Roman"/>
          <w:sz w:val="24"/>
          <w:szCs w:val="24"/>
        </w:rPr>
        <w:t xml:space="preserve"> palielinot par 0,5 procentpunktiem līdz 0,5%, bet pēc tam, veicot vēl </w:t>
      </w:r>
      <w:r w:rsidR="00D22811">
        <w:rPr>
          <w:rFonts w:eastAsia="Times New Roman" w:cs="Times New Roman"/>
          <w:sz w:val="24"/>
          <w:szCs w:val="24"/>
        </w:rPr>
        <w:t>piecus</w:t>
      </w:r>
      <w:r w:rsidR="00D22811" w:rsidRPr="0056476F">
        <w:rPr>
          <w:rFonts w:eastAsia="Times New Roman" w:cs="Times New Roman"/>
          <w:sz w:val="24"/>
          <w:szCs w:val="24"/>
        </w:rPr>
        <w:t xml:space="preserve"> likmju paaugstinājumus, šā gada </w:t>
      </w:r>
      <w:r w:rsidR="00D22811">
        <w:rPr>
          <w:rFonts w:eastAsia="Times New Roman" w:cs="Times New Roman"/>
          <w:sz w:val="24"/>
          <w:szCs w:val="24"/>
        </w:rPr>
        <w:t xml:space="preserve">martā </w:t>
      </w:r>
      <w:r w:rsidR="00D22811" w:rsidRPr="0056476F">
        <w:rPr>
          <w:rFonts w:eastAsia="Times New Roman" w:cs="Times New Roman"/>
          <w:sz w:val="24"/>
          <w:szCs w:val="24"/>
        </w:rPr>
        <w:t xml:space="preserve">galvenā bāzes </w:t>
      </w:r>
      <w:proofErr w:type="spellStart"/>
      <w:r w:rsidR="00D22811" w:rsidRPr="0056476F">
        <w:rPr>
          <w:rFonts w:eastAsia="Times New Roman" w:cs="Times New Roman"/>
          <w:sz w:val="24"/>
          <w:szCs w:val="24"/>
        </w:rPr>
        <w:t>procentlikme</w:t>
      </w:r>
      <w:proofErr w:type="spellEnd"/>
      <w:r w:rsidR="00D22811" w:rsidRPr="0056476F">
        <w:rPr>
          <w:rFonts w:eastAsia="Times New Roman" w:cs="Times New Roman"/>
          <w:sz w:val="24"/>
          <w:szCs w:val="24"/>
        </w:rPr>
        <w:t xml:space="preserve"> sasniedza 3</w:t>
      </w:r>
      <w:r w:rsidR="00D22811">
        <w:rPr>
          <w:rFonts w:eastAsia="Times New Roman" w:cs="Times New Roman"/>
          <w:sz w:val="24"/>
          <w:szCs w:val="24"/>
        </w:rPr>
        <w:t>,5</w:t>
      </w:r>
      <w:r w:rsidR="00D22811" w:rsidRPr="0056476F">
        <w:rPr>
          <w:rFonts w:eastAsia="Times New Roman" w:cs="Times New Roman"/>
          <w:sz w:val="24"/>
          <w:szCs w:val="24"/>
        </w:rPr>
        <w:t>%.</w:t>
      </w:r>
      <w:r w:rsidR="00D22811">
        <w:rPr>
          <w:rFonts w:eastAsia="Times New Roman" w:cs="Times New Roman"/>
          <w:sz w:val="24"/>
          <w:szCs w:val="24"/>
        </w:rPr>
        <w:t xml:space="preserve"> Līdz šim visas centrālās bankas signalizējušas par vēl tālākas likmju paaugstināšanas plāniem, taču tos var ierobežot </w:t>
      </w:r>
      <w:r w:rsidR="006414E6">
        <w:rPr>
          <w:rFonts w:eastAsia="Times New Roman" w:cs="Times New Roman"/>
          <w:sz w:val="24"/>
          <w:szCs w:val="24"/>
        </w:rPr>
        <w:t>š</w:t>
      </w:r>
      <w:r w:rsidR="000E1368">
        <w:rPr>
          <w:rFonts w:eastAsia="Times New Roman" w:cs="Times New Roman"/>
          <w:sz w:val="24"/>
          <w:szCs w:val="24"/>
        </w:rPr>
        <w:t xml:space="preserve">ā </w:t>
      </w:r>
      <w:r w:rsidR="006414E6">
        <w:rPr>
          <w:rFonts w:eastAsia="Times New Roman" w:cs="Times New Roman"/>
          <w:sz w:val="24"/>
          <w:szCs w:val="24"/>
        </w:rPr>
        <w:t>g</w:t>
      </w:r>
      <w:r w:rsidR="000E1368">
        <w:rPr>
          <w:rFonts w:eastAsia="Times New Roman" w:cs="Times New Roman"/>
          <w:sz w:val="24"/>
          <w:szCs w:val="24"/>
        </w:rPr>
        <w:t>ada</w:t>
      </w:r>
      <w:r w:rsidR="006414E6">
        <w:rPr>
          <w:rFonts w:eastAsia="Times New Roman" w:cs="Times New Roman"/>
          <w:sz w:val="24"/>
          <w:szCs w:val="24"/>
        </w:rPr>
        <w:t xml:space="preserve"> </w:t>
      </w:r>
      <w:r w:rsidR="00D22811">
        <w:rPr>
          <w:rFonts w:eastAsia="Times New Roman" w:cs="Times New Roman"/>
          <w:sz w:val="24"/>
          <w:szCs w:val="24"/>
        </w:rPr>
        <w:t xml:space="preserve">marta sākumā izraisījusies nestabilitāte finanšu sektorā, kas iezīmējās līdz ar ASV bankas </w:t>
      </w:r>
      <w:proofErr w:type="spellStart"/>
      <w:r w:rsidR="00D22811" w:rsidRPr="00F92E2A">
        <w:rPr>
          <w:rFonts w:eastAsia="Times New Roman" w:cs="Times New Roman"/>
          <w:i/>
          <w:iCs/>
          <w:sz w:val="24"/>
          <w:szCs w:val="24"/>
        </w:rPr>
        <w:t>Silicon</w:t>
      </w:r>
      <w:proofErr w:type="spellEnd"/>
      <w:r w:rsidR="00D22811" w:rsidRPr="00F92E2A">
        <w:rPr>
          <w:rFonts w:eastAsia="Times New Roman" w:cs="Times New Roman"/>
          <w:i/>
          <w:iCs/>
          <w:sz w:val="24"/>
          <w:szCs w:val="24"/>
        </w:rPr>
        <w:t xml:space="preserve"> </w:t>
      </w:r>
      <w:proofErr w:type="spellStart"/>
      <w:r w:rsidR="00D22811" w:rsidRPr="00F92E2A">
        <w:rPr>
          <w:rFonts w:eastAsia="Times New Roman" w:cs="Times New Roman"/>
          <w:i/>
          <w:iCs/>
          <w:sz w:val="24"/>
          <w:szCs w:val="24"/>
        </w:rPr>
        <w:t>Valley</w:t>
      </w:r>
      <w:proofErr w:type="spellEnd"/>
      <w:r w:rsidR="00D22811" w:rsidRPr="00F92E2A">
        <w:rPr>
          <w:rFonts w:eastAsia="Times New Roman" w:cs="Times New Roman"/>
          <w:sz w:val="24"/>
          <w:szCs w:val="24"/>
        </w:rPr>
        <w:t xml:space="preserve"> </w:t>
      </w:r>
      <w:proofErr w:type="spellStart"/>
      <w:r w:rsidR="00D22811" w:rsidRPr="00186C20">
        <w:rPr>
          <w:rFonts w:eastAsia="Times New Roman" w:cs="Times New Roman"/>
          <w:i/>
          <w:iCs/>
          <w:sz w:val="24"/>
          <w:szCs w:val="24"/>
        </w:rPr>
        <w:t>Bank</w:t>
      </w:r>
      <w:proofErr w:type="spellEnd"/>
      <w:r w:rsidR="00D22811" w:rsidRPr="00186C20">
        <w:rPr>
          <w:rFonts w:eastAsia="Times New Roman" w:cs="Times New Roman"/>
          <w:i/>
          <w:iCs/>
          <w:sz w:val="24"/>
          <w:szCs w:val="24"/>
        </w:rPr>
        <w:t xml:space="preserve"> </w:t>
      </w:r>
      <w:r w:rsidR="00D22811">
        <w:rPr>
          <w:rFonts w:eastAsia="Times New Roman" w:cs="Times New Roman"/>
          <w:sz w:val="24"/>
          <w:szCs w:val="24"/>
        </w:rPr>
        <w:t>maksātnespēju. Procentu likmju kāpums un nestabilitāte finanšu sektorā arī var pasliktināt pasaules ekonomikas izaugsmes iespējas un palielināt recesijas riskus, īpaši attīstības valstīs ar augstiem parāda līmeņiem.</w:t>
      </w:r>
    </w:p>
    <w:p w14:paraId="2CFA606D" w14:textId="77777777" w:rsidR="00A120D9" w:rsidRPr="0031227F" w:rsidRDefault="00A120D9" w:rsidP="00A120D9">
      <w:pPr>
        <w:pStyle w:val="Heading2"/>
        <w:numPr>
          <w:ilvl w:val="0"/>
          <w:numId w:val="0"/>
        </w:numPr>
        <w:spacing w:before="240" w:after="240"/>
        <w:ind w:left="576"/>
        <w:rPr>
          <w:sz w:val="28"/>
        </w:rPr>
      </w:pPr>
      <w:bookmarkStart w:id="9" w:name="_Toc38637019"/>
      <w:bookmarkStart w:id="10" w:name="_Toc68334994"/>
      <w:bookmarkStart w:id="11" w:name="_Toc131331231"/>
      <w:bookmarkEnd w:id="7"/>
      <w:bookmarkEnd w:id="8"/>
      <w:r w:rsidRPr="0031227F">
        <w:rPr>
          <w:sz w:val="28"/>
        </w:rPr>
        <w:t>2.2. Pašreizējā ekonomiskā attīstība</w:t>
      </w:r>
      <w:bookmarkEnd w:id="9"/>
      <w:bookmarkEnd w:id="10"/>
      <w:r w:rsidRPr="0031227F">
        <w:rPr>
          <w:rStyle w:val="FootnoteReference"/>
          <w:rFonts w:ascii="Times New Roman" w:hAnsi="Times New Roman" w:cs="Times New Roman"/>
          <w:position w:val="6"/>
          <w:sz w:val="28"/>
        </w:rPr>
        <w:footnoteReference w:id="1"/>
      </w:r>
      <w:bookmarkEnd w:id="11"/>
    </w:p>
    <w:p w14:paraId="697B2DE2" w14:textId="4B449F10" w:rsidR="0031227F" w:rsidRDefault="0031227F" w:rsidP="0031227F">
      <w:pPr>
        <w:rPr>
          <w:rFonts w:cs="Times New Roman"/>
          <w:sz w:val="24"/>
          <w:szCs w:val="24"/>
        </w:rPr>
      </w:pPr>
      <w:r w:rsidRPr="00A120D9">
        <w:rPr>
          <w:rFonts w:cs="Times New Roman"/>
          <w:sz w:val="24"/>
          <w:szCs w:val="24"/>
        </w:rPr>
        <w:t xml:space="preserve">Pēc </w:t>
      </w:r>
      <w:r>
        <w:rPr>
          <w:rFonts w:cs="Times New Roman"/>
          <w:sz w:val="24"/>
          <w:szCs w:val="24"/>
        </w:rPr>
        <w:t>4,1</w:t>
      </w:r>
      <w:r w:rsidRPr="00A120D9">
        <w:rPr>
          <w:rFonts w:cs="Times New Roman"/>
          <w:sz w:val="24"/>
          <w:szCs w:val="24"/>
        </w:rPr>
        <w:t xml:space="preserve">% </w:t>
      </w:r>
      <w:r>
        <w:rPr>
          <w:rFonts w:cs="Times New Roman"/>
          <w:sz w:val="24"/>
          <w:szCs w:val="24"/>
        </w:rPr>
        <w:t>pieauguma</w:t>
      </w:r>
      <w:r w:rsidRPr="00A120D9">
        <w:rPr>
          <w:rFonts w:cs="Times New Roman"/>
          <w:sz w:val="24"/>
          <w:szCs w:val="24"/>
        </w:rPr>
        <w:t xml:space="preserve"> 202</w:t>
      </w:r>
      <w:r>
        <w:rPr>
          <w:rFonts w:cs="Times New Roman"/>
          <w:sz w:val="24"/>
          <w:szCs w:val="24"/>
        </w:rPr>
        <w:t>1. gad</w:t>
      </w:r>
      <w:r w:rsidRPr="00A120D9">
        <w:rPr>
          <w:rFonts w:cs="Times New Roman"/>
          <w:sz w:val="24"/>
          <w:szCs w:val="24"/>
        </w:rPr>
        <w:t>ā</w:t>
      </w:r>
      <w:r>
        <w:rPr>
          <w:rFonts w:cs="Times New Roman"/>
          <w:sz w:val="24"/>
          <w:szCs w:val="24"/>
        </w:rPr>
        <w:t>, Latvijas ekonomikai atgūstoties no Covid-19 krīzes, 2022. gadā, Krievijai uzsākot pilna mēroga karu Ukrainā, Latvijas IKP pieaugums samazinājies līdz 2,0%.</w:t>
      </w:r>
    </w:p>
    <w:p w14:paraId="359C1849" w14:textId="77777777" w:rsidR="0031227F" w:rsidRDefault="0031227F" w:rsidP="0031227F">
      <w:pPr>
        <w:rPr>
          <w:rFonts w:cs="Times New Roman"/>
          <w:sz w:val="24"/>
          <w:szCs w:val="24"/>
        </w:rPr>
      </w:pPr>
      <w:r>
        <w:rPr>
          <w:rFonts w:cs="Times New Roman"/>
          <w:sz w:val="24"/>
          <w:szCs w:val="24"/>
        </w:rPr>
        <w:t>Izaugsmes palēnināšanās tomēr bijusi mazāka nekā tika prognozēts, sākoties karam, un negatīvā ietekme, pretēji prognozētajam, mazāk bijusi jūtama ārējās tirdzniecības datos un piegāžu ķēžu pārrāvumos, bet vairāk izpaudusies inflācijas un ražošanas izmaksu kāpumā, pasaules tirgos strauji palielinoties energoresursu cenām. Vienlaikus siltā ziema un valsts atbalsta pasākumi ir mīkstinājuši šī cenu kāpuma negatīvo ietekmi uz ekonomiku.</w:t>
      </w:r>
    </w:p>
    <w:p w14:paraId="405C728D" w14:textId="22971649" w:rsidR="0031227F" w:rsidRDefault="0031227F" w:rsidP="0031227F">
      <w:pPr>
        <w:rPr>
          <w:rFonts w:cs="Times New Roman"/>
          <w:sz w:val="24"/>
          <w:szCs w:val="24"/>
        </w:rPr>
      </w:pPr>
      <w:r>
        <w:rPr>
          <w:rFonts w:cs="Times New Roman"/>
          <w:sz w:val="24"/>
          <w:szCs w:val="24"/>
        </w:rPr>
        <w:t>2022. gadā, e</w:t>
      </w:r>
      <w:r w:rsidRPr="007F5968">
        <w:rPr>
          <w:rFonts w:cs="Times New Roman"/>
          <w:sz w:val="24"/>
          <w:szCs w:val="24"/>
        </w:rPr>
        <w:t>konomikai atgūstoties no Covid-19 ierobežojumiem, strauja izaugsme</w:t>
      </w:r>
      <w:r>
        <w:rPr>
          <w:rFonts w:cs="Times New Roman"/>
          <w:sz w:val="24"/>
          <w:szCs w:val="24"/>
        </w:rPr>
        <w:t xml:space="preserve"> fiksēta </w:t>
      </w:r>
      <w:r w:rsidRPr="007F5968">
        <w:rPr>
          <w:rFonts w:cs="Times New Roman"/>
          <w:sz w:val="24"/>
          <w:szCs w:val="24"/>
        </w:rPr>
        <w:t>gandrīz visās pakalpojumu nozarēs</w:t>
      </w:r>
      <w:r>
        <w:rPr>
          <w:rFonts w:cs="Times New Roman"/>
          <w:sz w:val="24"/>
          <w:szCs w:val="24"/>
        </w:rPr>
        <w:t>,</w:t>
      </w:r>
      <w:r w:rsidRPr="007F5968">
        <w:rPr>
          <w:rFonts w:cs="Times New Roman"/>
          <w:sz w:val="24"/>
          <w:szCs w:val="24"/>
        </w:rPr>
        <w:t xml:space="preserve"> un lielāko devumu IKP pieaugumā nodrošinājis 15,7% </w:t>
      </w:r>
      <w:r>
        <w:rPr>
          <w:rFonts w:cs="Times New Roman"/>
          <w:sz w:val="24"/>
          <w:szCs w:val="24"/>
        </w:rPr>
        <w:t>kāpums</w:t>
      </w:r>
      <w:r w:rsidRPr="007F5968">
        <w:rPr>
          <w:rFonts w:cs="Times New Roman"/>
          <w:sz w:val="24"/>
          <w:szCs w:val="24"/>
        </w:rPr>
        <w:t xml:space="preserve"> komercpakalpojumu nozarēs</w:t>
      </w:r>
      <w:r>
        <w:rPr>
          <w:rFonts w:cs="Times New Roman"/>
          <w:sz w:val="24"/>
          <w:szCs w:val="24"/>
        </w:rPr>
        <w:t>. Bū</w:t>
      </w:r>
      <w:r w:rsidRPr="007F5968">
        <w:rPr>
          <w:rFonts w:cs="Times New Roman"/>
          <w:sz w:val="24"/>
          <w:szCs w:val="24"/>
        </w:rPr>
        <w:t>tiska loma bijusi arī 57,5% pieaugumam izmitināšanas un ēdināšanas nozarē un 26,6% pieaugumam mākslas, izklaides un atpūtas nozarē. Ļoti veiksmīgi pērn attīstījusies informācijas un komunikācijas pakalpojumu nozare, uzrādot 14,0% pieaugumu, kas ir ļoti augsti vērtējams rezultāts, ņemot vērā, ka atšķirībā no pārējām pakalpojumu nozarēm, informācijas un komunikācijas pakalpojumus iepriekš daudz mazāk bija negatīvi ietekmējuši pandēmijas apturēšanai noteiktie ierobežojumi.</w:t>
      </w:r>
      <w:r>
        <w:rPr>
          <w:rFonts w:cs="Times New Roman"/>
          <w:sz w:val="24"/>
          <w:szCs w:val="24"/>
        </w:rPr>
        <w:t xml:space="preserve"> </w:t>
      </w:r>
      <w:r w:rsidRPr="007F5968">
        <w:rPr>
          <w:rFonts w:cs="Times New Roman"/>
          <w:sz w:val="24"/>
          <w:szCs w:val="24"/>
        </w:rPr>
        <w:t xml:space="preserve">Sekmīgi </w:t>
      </w:r>
      <w:r>
        <w:rPr>
          <w:rFonts w:cs="Times New Roman"/>
          <w:sz w:val="24"/>
          <w:szCs w:val="24"/>
        </w:rPr>
        <w:t>2022. gadā</w:t>
      </w:r>
      <w:r w:rsidRPr="007F5968">
        <w:rPr>
          <w:rFonts w:cs="Times New Roman"/>
          <w:sz w:val="24"/>
          <w:szCs w:val="24"/>
        </w:rPr>
        <w:t xml:space="preserve"> strādājusi arī apstrādes rūpniecība, kas</w:t>
      </w:r>
      <w:r>
        <w:rPr>
          <w:rFonts w:cs="Times New Roman"/>
          <w:sz w:val="24"/>
          <w:szCs w:val="24"/>
        </w:rPr>
        <w:t>,</w:t>
      </w:r>
      <w:r w:rsidRPr="007F5968">
        <w:rPr>
          <w:rFonts w:cs="Times New Roman"/>
          <w:sz w:val="24"/>
          <w:szCs w:val="24"/>
        </w:rPr>
        <w:t xml:space="preserve"> neskatoties uz apjomu samazinājumu divās lielākajās </w:t>
      </w:r>
      <w:proofErr w:type="spellStart"/>
      <w:r w:rsidRPr="007F5968">
        <w:rPr>
          <w:rFonts w:cs="Times New Roman"/>
          <w:sz w:val="24"/>
          <w:szCs w:val="24"/>
        </w:rPr>
        <w:t>apakšnozarēs</w:t>
      </w:r>
      <w:proofErr w:type="spellEnd"/>
      <w:r w:rsidRPr="007F5968">
        <w:rPr>
          <w:rFonts w:cs="Times New Roman"/>
          <w:sz w:val="24"/>
          <w:szCs w:val="24"/>
        </w:rPr>
        <w:t xml:space="preserve"> – kokapstrādē un pārtikas ražošanā – spējusi sasniegt 2,7% pieaugumu</w:t>
      </w:r>
      <w:r>
        <w:rPr>
          <w:rFonts w:cs="Times New Roman"/>
          <w:sz w:val="24"/>
          <w:szCs w:val="24"/>
        </w:rPr>
        <w:t xml:space="preserve">. </w:t>
      </w:r>
    </w:p>
    <w:p w14:paraId="35A35062" w14:textId="77777777" w:rsidR="0031227F" w:rsidRDefault="0031227F" w:rsidP="0031227F">
      <w:pPr>
        <w:rPr>
          <w:rFonts w:cs="Times New Roman"/>
          <w:sz w:val="24"/>
          <w:szCs w:val="24"/>
        </w:rPr>
      </w:pPr>
      <w:r>
        <w:rPr>
          <w:rFonts w:cs="Times New Roman"/>
          <w:sz w:val="24"/>
          <w:szCs w:val="24"/>
        </w:rPr>
        <w:t>K</w:t>
      </w:r>
      <w:r w:rsidRPr="007F5968">
        <w:rPr>
          <w:rFonts w:cs="Times New Roman"/>
          <w:sz w:val="24"/>
          <w:szCs w:val="24"/>
        </w:rPr>
        <w:t xml:space="preserve">opumā pagājušā gada dati rāda, ka Krievijas uzsāktā kara negatīvā ietekme </w:t>
      </w:r>
      <w:r>
        <w:rPr>
          <w:rFonts w:cs="Times New Roman"/>
          <w:sz w:val="24"/>
          <w:szCs w:val="24"/>
        </w:rPr>
        <w:t xml:space="preserve">2022. gadā </w:t>
      </w:r>
      <w:r w:rsidRPr="007F5968">
        <w:rPr>
          <w:rFonts w:cs="Times New Roman"/>
          <w:sz w:val="24"/>
          <w:szCs w:val="24"/>
        </w:rPr>
        <w:t xml:space="preserve">atspoguļojusies </w:t>
      </w:r>
      <w:r>
        <w:rPr>
          <w:rFonts w:cs="Times New Roman"/>
          <w:sz w:val="24"/>
          <w:szCs w:val="24"/>
        </w:rPr>
        <w:t>galvenokārt</w:t>
      </w:r>
      <w:r w:rsidRPr="007F5968">
        <w:rPr>
          <w:rFonts w:cs="Times New Roman"/>
          <w:sz w:val="24"/>
          <w:szCs w:val="24"/>
        </w:rPr>
        <w:t xml:space="preserve"> vairumtirdzniecības nozares apjomu kritumā par 18,7% salīdzinājumā ar 2021</w:t>
      </w:r>
      <w:r>
        <w:rPr>
          <w:rFonts w:cs="Times New Roman"/>
          <w:sz w:val="24"/>
          <w:szCs w:val="24"/>
        </w:rPr>
        <w:t>. gad</w:t>
      </w:r>
      <w:r w:rsidRPr="007F5968">
        <w:rPr>
          <w:rFonts w:cs="Times New Roman"/>
          <w:sz w:val="24"/>
          <w:szCs w:val="24"/>
        </w:rPr>
        <w:t>u.</w:t>
      </w:r>
      <w:r>
        <w:rPr>
          <w:rFonts w:cs="Times New Roman"/>
          <w:sz w:val="24"/>
          <w:szCs w:val="24"/>
        </w:rPr>
        <w:t xml:space="preserve"> Tajā pašā laikā</w:t>
      </w:r>
      <w:r w:rsidRPr="007F5968">
        <w:rPr>
          <w:rFonts w:cs="Times New Roman"/>
          <w:sz w:val="24"/>
          <w:szCs w:val="24"/>
        </w:rPr>
        <w:t xml:space="preserve"> negatīva dinamika saglabājusies</w:t>
      </w:r>
      <w:r>
        <w:rPr>
          <w:rFonts w:cs="Times New Roman"/>
          <w:sz w:val="24"/>
          <w:szCs w:val="24"/>
        </w:rPr>
        <w:t xml:space="preserve"> arī</w:t>
      </w:r>
      <w:r w:rsidRPr="007F5968">
        <w:rPr>
          <w:rFonts w:cs="Times New Roman"/>
          <w:sz w:val="24"/>
          <w:szCs w:val="24"/>
        </w:rPr>
        <w:t xml:space="preserve"> būvniecības </w:t>
      </w:r>
      <w:r w:rsidRPr="007F5968">
        <w:rPr>
          <w:rFonts w:cs="Times New Roman"/>
          <w:sz w:val="24"/>
          <w:szCs w:val="24"/>
        </w:rPr>
        <w:lastRenderedPageBreak/>
        <w:t>nozarē, kas pēc 9,8% krituma 2021</w:t>
      </w:r>
      <w:r>
        <w:rPr>
          <w:rFonts w:cs="Times New Roman"/>
          <w:sz w:val="24"/>
          <w:szCs w:val="24"/>
        </w:rPr>
        <w:t>. gad</w:t>
      </w:r>
      <w:r w:rsidRPr="007F5968">
        <w:rPr>
          <w:rFonts w:cs="Times New Roman"/>
          <w:sz w:val="24"/>
          <w:szCs w:val="24"/>
        </w:rPr>
        <w:t>ā pērn samazinājusies vēl par 11,3%, strauji pieaugot būvniecības izmaksām un kavējoties līgumu pārslēgšanai.</w:t>
      </w:r>
    </w:p>
    <w:p w14:paraId="554F8C2D" w14:textId="77777777" w:rsidR="0031227F" w:rsidRDefault="0031227F" w:rsidP="0031227F">
      <w:pPr>
        <w:rPr>
          <w:rFonts w:cs="Times New Roman"/>
          <w:sz w:val="24"/>
          <w:szCs w:val="24"/>
        </w:rPr>
      </w:pPr>
      <w:r w:rsidRPr="00A120D9">
        <w:rPr>
          <w:rFonts w:cs="Times New Roman"/>
          <w:sz w:val="24"/>
          <w:szCs w:val="24"/>
        </w:rPr>
        <w:t xml:space="preserve">No izlietojuma puses ekonomikas izaugsmi pērn visvairāk veicināja privātā patēriņa pieaugums par </w:t>
      </w:r>
      <w:r>
        <w:rPr>
          <w:rFonts w:cs="Times New Roman"/>
          <w:sz w:val="24"/>
          <w:szCs w:val="24"/>
        </w:rPr>
        <w:t>8,1</w:t>
      </w:r>
      <w:r w:rsidRPr="00A120D9">
        <w:rPr>
          <w:rFonts w:cs="Times New Roman"/>
          <w:sz w:val="24"/>
          <w:szCs w:val="24"/>
        </w:rPr>
        <w:t xml:space="preserve">%, ko nodrošināja Covid-19 ierobežojumu </w:t>
      </w:r>
      <w:r>
        <w:rPr>
          <w:rFonts w:cs="Times New Roman"/>
          <w:sz w:val="24"/>
          <w:szCs w:val="24"/>
        </w:rPr>
        <w:t>atcelšana</w:t>
      </w:r>
      <w:r w:rsidRPr="00A120D9">
        <w:rPr>
          <w:rFonts w:cs="Times New Roman"/>
          <w:sz w:val="24"/>
          <w:szCs w:val="24"/>
        </w:rPr>
        <w:t xml:space="preserve">, kā arī valsts </w:t>
      </w:r>
      <w:proofErr w:type="spellStart"/>
      <w:r>
        <w:rPr>
          <w:rFonts w:cs="Times New Roman"/>
          <w:sz w:val="24"/>
          <w:szCs w:val="24"/>
        </w:rPr>
        <w:t>energoatbalsta</w:t>
      </w:r>
      <w:proofErr w:type="spellEnd"/>
      <w:r>
        <w:rPr>
          <w:rFonts w:cs="Times New Roman"/>
          <w:sz w:val="24"/>
          <w:szCs w:val="24"/>
        </w:rPr>
        <w:t xml:space="preserve"> pasākumi, mīkstinot energoresursu cenu kāpuma negatīvo ietekmi. Patēriņu palīdzēja nodrošināt arī pandēmijas laikā būtiski pieaugušie mājsaimniecību uzkrājumi komercbankās. Sabiedriskā patēriņa pieaugums pērn bija mērenāks, tam palielinoties par 2,8%, kamēr investīciju pieaugumu (+0,7%) kavēja gan straujais būvniecības izmaksu pieaugums, gan riska pieaugums karadarbībai tuvā reģionā. Strauji pieaugumi pērn bija gan eksportam (+9,1%), gan importam (+11,6%), bet, eksportam palielinoties nedaudz lēnāk nekā importam, </w:t>
      </w:r>
      <w:r w:rsidRPr="00A120D9">
        <w:rPr>
          <w:rFonts w:cs="Times New Roman"/>
          <w:sz w:val="24"/>
          <w:szCs w:val="24"/>
        </w:rPr>
        <w:t>neto eksporta devums ekonomikas izaugsmē bija negatīvs.</w:t>
      </w:r>
    </w:p>
    <w:p w14:paraId="67C18C9C" w14:textId="77777777" w:rsidR="0031227F" w:rsidRDefault="0031227F" w:rsidP="0031227F">
      <w:pPr>
        <w:ind w:firstLine="0"/>
        <w:jc w:val="center"/>
        <w:rPr>
          <w:rFonts w:cs="Times New Roman"/>
          <w:sz w:val="24"/>
          <w:szCs w:val="24"/>
        </w:rPr>
      </w:pPr>
      <w:r w:rsidRPr="00D854DC">
        <w:rPr>
          <w:rFonts w:ascii="Verdana" w:hAnsi="Verdana"/>
          <w:noProof/>
          <w:sz w:val="20"/>
          <w:szCs w:val="20"/>
        </w:rPr>
        <w:drawing>
          <wp:inline distT="0" distB="0" distL="0" distR="0" wp14:anchorId="5BEB6AD9" wp14:editId="716EF13A">
            <wp:extent cx="5274310" cy="2654300"/>
            <wp:effectExtent l="0" t="0" r="2540" b="0"/>
            <wp:docPr id="24" name="Chart 24">
              <a:extLst xmlns:a="http://schemas.openxmlformats.org/drawingml/2006/main">
                <a:ext uri="{FF2B5EF4-FFF2-40B4-BE49-F238E27FC236}">
                  <a16:creationId xmlns:a16="http://schemas.microsoft.com/office/drawing/2014/main" id="{45E5B538-293B-C432-7AFC-D333FB04E5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73C3CF4" w14:textId="71E9B07C" w:rsidR="0031227F" w:rsidRDefault="0031227F" w:rsidP="0031227F">
      <w:pPr>
        <w:pStyle w:val="Zpar"/>
        <w:spacing w:before="120" w:after="120"/>
        <w:ind w:left="0" w:right="-57" w:firstLine="0"/>
        <w:jc w:val="center"/>
        <w:rPr>
          <w:rFonts w:ascii="Times New Roman" w:hAnsi="Times New Roman"/>
          <w:b/>
          <w:noProof/>
          <w:sz w:val="24"/>
          <w:szCs w:val="24"/>
        </w:rPr>
      </w:pPr>
      <w:r>
        <w:rPr>
          <w:rFonts w:ascii="Times New Roman" w:hAnsi="Times New Roman"/>
          <w:b/>
          <w:noProof/>
          <w:sz w:val="24"/>
          <w:szCs w:val="24"/>
        </w:rPr>
        <w:t xml:space="preserve">2.2. att. </w:t>
      </w:r>
      <w:r w:rsidRPr="0059564C">
        <w:rPr>
          <w:rFonts w:ascii="Times New Roman" w:hAnsi="Times New Roman"/>
          <w:b/>
          <w:noProof/>
          <w:sz w:val="24"/>
          <w:szCs w:val="24"/>
        </w:rPr>
        <w:t>Izlietojuma puses komponenšu devums</w:t>
      </w:r>
      <w:r>
        <w:rPr>
          <w:rFonts w:ascii="Times New Roman" w:hAnsi="Times New Roman"/>
          <w:b/>
          <w:noProof/>
          <w:sz w:val="24"/>
          <w:szCs w:val="24"/>
        </w:rPr>
        <w:t xml:space="preserve"> IKP</w:t>
      </w:r>
      <w:r w:rsidRPr="0059564C">
        <w:rPr>
          <w:rFonts w:ascii="Times New Roman" w:hAnsi="Times New Roman"/>
          <w:b/>
          <w:noProof/>
          <w:sz w:val="24"/>
          <w:szCs w:val="24"/>
        </w:rPr>
        <w:t xml:space="preserve"> izaugsmē, %</w:t>
      </w:r>
      <w:r>
        <w:rPr>
          <w:rFonts w:ascii="Times New Roman" w:hAnsi="Times New Roman"/>
          <w:b/>
          <w:noProof/>
          <w:sz w:val="24"/>
          <w:szCs w:val="24"/>
        </w:rPr>
        <w:t xml:space="preserve"> </w:t>
      </w:r>
      <w:r w:rsidRPr="0059564C">
        <w:rPr>
          <w:rFonts w:ascii="Times New Roman" w:hAnsi="Times New Roman"/>
          <w:b/>
          <w:noProof/>
          <w:sz w:val="24"/>
          <w:szCs w:val="24"/>
        </w:rPr>
        <w:t>punkti</w:t>
      </w:r>
    </w:p>
    <w:p w14:paraId="1D3413D6" w14:textId="77777777" w:rsidR="0031227F" w:rsidRPr="0059564C" w:rsidRDefault="0031227F" w:rsidP="0031227F">
      <w:pPr>
        <w:pStyle w:val="Zpar"/>
        <w:spacing w:after="0"/>
        <w:ind w:left="0" w:right="-57" w:firstLine="0"/>
        <w:jc w:val="center"/>
        <w:rPr>
          <w:rFonts w:ascii="Times New Roman" w:hAnsi="Times New Roman"/>
          <w:b/>
          <w:noProof/>
          <w:sz w:val="24"/>
          <w:szCs w:val="24"/>
        </w:rPr>
      </w:pPr>
    </w:p>
    <w:p w14:paraId="2CFB0EEB" w14:textId="67A01338" w:rsidR="0031227F" w:rsidRDefault="0031227F" w:rsidP="0031227F">
      <w:pPr>
        <w:rPr>
          <w:rFonts w:cs="Times New Roman"/>
          <w:sz w:val="24"/>
          <w:szCs w:val="24"/>
        </w:rPr>
      </w:pPr>
      <w:r w:rsidRPr="0031227F">
        <w:rPr>
          <w:rFonts w:cs="Times New Roman"/>
          <w:sz w:val="24"/>
          <w:szCs w:val="24"/>
        </w:rPr>
        <w:t>Līdzīgi kā pērn, arī 2023</w:t>
      </w:r>
      <w:r>
        <w:rPr>
          <w:rFonts w:cs="Times New Roman"/>
          <w:sz w:val="24"/>
          <w:szCs w:val="24"/>
        </w:rPr>
        <w:t>. gadā ekonomikas attīstību turpina noteikt straujais cenu kāpums Krievijas uzsāktā kara rezultātā, un pasaules centrālo banku inflācijas ierobežošanas pasākumi, vājinot ekonomikas izaugsmi, taču no smagākas recesijas gan Latvijas, gan pasaules ekonomikām pagaidām ir izdevies izvairīties. Jau vairāku mēnešu garumā ekonomikas izaugsmes prognozes tiek pakāpeniski paaugstinātas</w:t>
      </w:r>
      <w:r w:rsidR="00386343">
        <w:rPr>
          <w:rFonts w:cs="Times New Roman"/>
          <w:sz w:val="24"/>
          <w:szCs w:val="24"/>
        </w:rPr>
        <w:t xml:space="preserve"> </w:t>
      </w:r>
      <w:r>
        <w:rPr>
          <w:rFonts w:cs="Times New Roman"/>
          <w:sz w:val="24"/>
          <w:szCs w:val="24"/>
        </w:rPr>
        <w:t xml:space="preserve">un Latvijas IKP, atšķirībā no </w:t>
      </w:r>
      <w:r w:rsidR="001E4F0F">
        <w:rPr>
          <w:rFonts w:cs="Times New Roman"/>
          <w:sz w:val="24"/>
          <w:szCs w:val="24"/>
        </w:rPr>
        <w:t xml:space="preserve">pērnā gada </w:t>
      </w:r>
      <w:r>
        <w:rPr>
          <w:rFonts w:cs="Times New Roman"/>
          <w:sz w:val="24"/>
          <w:szCs w:val="24"/>
        </w:rPr>
        <w:t>decembra sākumā prognozētā, šogad varētu nepiedzīvot kritumu, bet saglabāties 2022. gada līmenī.</w:t>
      </w:r>
    </w:p>
    <w:p w14:paraId="367822A4" w14:textId="77777777" w:rsidR="0031227F" w:rsidRPr="006E6490" w:rsidRDefault="0031227F" w:rsidP="0031227F">
      <w:pPr>
        <w:pStyle w:val="H4"/>
        <w:spacing w:before="240"/>
        <w:ind w:left="0" w:firstLine="720"/>
        <w:jc w:val="both"/>
        <w:rPr>
          <w:rFonts w:ascii="Times New Roman" w:hAnsi="Times New Roman"/>
          <w:iCs/>
          <w:sz w:val="24"/>
          <w:szCs w:val="24"/>
        </w:rPr>
      </w:pPr>
      <w:r w:rsidRPr="006E6490">
        <w:rPr>
          <w:rFonts w:ascii="Times New Roman" w:hAnsi="Times New Roman"/>
          <w:iCs/>
          <w:sz w:val="24"/>
          <w:szCs w:val="24"/>
        </w:rPr>
        <w:t xml:space="preserve">Nozaru attīstība </w:t>
      </w:r>
    </w:p>
    <w:p w14:paraId="39D5BC2E" w14:textId="77777777" w:rsidR="0031227F" w:rsidRPr="003E1A40" w:rsidRDefault="0031227F" w:rsidP="0031227F">
      <w:pPr>
        <w:rPr>
          <w:rFonts w:cs="Times New Roman"/>
          <w:bCs/>
          <w:sz w:val="24"/>
          <w:szCs w:val="24"/>
        </w:rPr>
      </w:pPr>
      <w:r w:rsidRPr="006E6490">
        <w:rPr>
          <w:rFonts w:cs="Times New Roman"/>
          <w:b/>
          <w:sz w:val="24"/>
          <w:szCs w:val="24"/>
        </w:rPr>
        <w:t>Rūpniecības</w:t>
      </w:r>
      <w:r w:rsidRPr="00D5635D">
        <w:rPr>
          <w:rFonts w:cs="Times New Roman"/>
          <w:b/>
          <w:sz w:val="24"/>
          <w:szCs w:val="24"/>
        </w:rPr>
        <w:t xml:space="preserve"> </w:t>
      </w:r>
      <w:r w:rsidRPr="00D5635D">
        <w:rPr>
          <w:rFonts w:cs="Times New Roman"/>
          <w:bCs/>
          <w:sz w:val="24"/>
          <w:szCs w:val="24"/>
        </w:rPr>
        <w:t>nozares pievienotā vērtība 2022</w:t>
      </w:r>
      <w:r>
        <w:rPr>
          <w:rFonts w:cs="Times New Roman"/>
          <w:bCs/>
          <w:sz w:val="24"/>
          <w:szCs w:val="24"/>
        </w:rPr>
        <w:t>. gad</w:t>
      </w:r>
      <w:r w:rsidRPr="00D5635D">
        <w:rPr>
          <w:rFonts w:cs="Times New Roman"/>
          <w:bCs/>
          <w:sz w:val="24"/>
          <w:szCs w:val="24"/>
        </w:rPr>
        <w:t>ā samazinājās par 0,1%, ko galvenokārt noteica ražošanas cenu pieaugums par 30,7%, tajā skaitā apstrādes rūpniecībā (80,7% no visas rūpniecības) par 19,1%, bet elektroenerģijas un gāzes apgādes (15,8% no visas rūpniecības) izmaksas augušas par 94,4%. Neskatoties uz augstajām izmaksām, apstrādes rūpniecība</w:t>
      </w:r>
      <w:r>
        <w:rPr>
          <w:rFonts w:cs="Times New Roman"/>
          <w:bCs/>
          <w:sz w:val="24"/>
          <w:szCs w:val="24"/>
        </w:rPr>
        <w:t>s izlaide</w:t>
      </w:r>
      <w:r w:rsidRPr="00D5635D">
        <w:rPr>
          <w:rFonts w:cs="Times New Roman"/>
          <w:bCs/>
          <w:sz w:val="24"/>
          <w:szCs w:val="24"/>
        </w:rPr>
        <w:t xml:space="preserve"> pērn </w:t>
      </w:r>
      <w:r>
        <w:rPr>
          <w:rFonts w:cs="Times New Roman"/>
          <w:bCs/>
          <w:sz w:val="24"/>
          <w:szCs w:val="24"/>
        </w:rPr>
        <w:t>palielinājusies par</w:t>
      </w:r>
      <w:r w:rsidRPr="00D5635D">
        <w:rPr>
          <w:rFonts w:cs="Times New Roman"/>
          <w:bCs/>
          <w:sz w:val="24"/>
          <w:szCs w:val="24"/>
        </w:rPr>
        <w:t xml:space="preserve"> 2,6%, </w:t>
      </w:r>
      <w:r>
        <w:rPr>
          <w:rFonts w:cs="Times New Roman"/>
          <w:bCs/>
          <w:sz w:val="24"/>
          <w:szCs w:val="24"/>
        </w:rPr>
        <w:t>kamēr</w:t>
      </w:r>
      <w:r w:rsidRPr="00D5635D">
        <w:rPr>
          <w:rFonts w:cs="Times New Roman"/>
          <w:bCs/>
          <w:sz w:val="24"/>
          <w:szCs w:val="24"/>
        </w:rPr>
        <w:t xml:space="preserve"> visā rūpniecībā kopā izaugsme </w:t>
      </w:r>
      <w:r>
        <w:rPr>
          <w:rFonts w:cs="Times New Roman"/>
          <w:bCs/>
          <w:sz w:val="24"/>
          <w:szCs w:val="24"/>
        </w:rPr>
        <w:t xml:space="preserve">bijusi </w:t>
      </w:r>
      <w:r w:rsidRPr="00D5635D">
        <w:rPr>
          <w:rFonts w:cs="Times New Roman"/>
          <w:bCs/>
          <w:sz w:val="24"/>
          <w:szCs w:val="24"/>
        </w:rPr>
        <w:t xml:space="preserve">vien 0,8% </w:t>
      </w:r>
      <w:r w:rsidRPr="003E1A40">
        <w:rPr>
          <w:rFonts w:cs="Times New Roman"/>
          <w:bCs/>
          <w:sz w:val="24"/>
          <w:szCs w:val="24"/>
        </w:rPr>
        <w:t>apmērā, ko noteica 11,5% sarukums elektroenerģijas un gāzes apgādes apjomos. Savukārt salīdzinoši nelielā ieguves rūpniecība 2022. gadā sarukusi par 0,7%.</w:t>
      </w:r>
    </w:p>
    <w:p w14:paraId="57A0F8F1" w14:textId="77777777" w:rsidR="0031227F" w:rsidRPr="00D5635D" w:rsidRDefault="0031227F" w:rsidP="0031227F">
      <w:pPr>
        <w:rPr>
          <w:rFonts w:cs="Times New Roman"/>
          <w:bCs/>
          <w:sz w:val="24"/>
          <w:szCs w:val="24"/>
        </w:rPr>
      </w:pPr>
      <w:r w:rsidRPr="003E1A40">
        <w:rPr>
          <w:rFonts w:cs="Times New Roman"/>
          <w:bCs/>
          <w:sz w:val="24"/>
          <w:szCs w:val="24"/>
        </w:rPr>
        <w:t xml:space="preserve">Izaugsmes ziņā 2022. gads bijis līdzīgs </w:t>
      </w:r>
      <w:proofErr w:type="spellStart"/>
      <w:r w:rsidRPr="003E1A40">
        <w:rPr>
          <w:rFonts w:cs="Times New Roman"/>
          <w:bCs/>
          <w:sz w:val="24"/>
          <w:szCs w:val="24"/>
        </w:rPr>
        <w:t>pirmspandēmijas</w:t>
      </w:r>
      <w:proofErr w:type="spellEnd"/>
      <w:r w:rsidRPr="003E1A40">
        <w:rPr>
          <w:rFonts w:cs="Times New Roman"/>
          <w:bCs/>
          <w:sz w:val="24"/>
          <w:szCs w:val="24"/>
        </w:rPr>
        <w:t xml:space="preserve"> (2019. gadam), kad rūpniecība arī pieauga par 0,8%, tajā skaitā apstrādes rūpniecība par 2,0%. Pozitīvi vērtējams fakts, ka pērn situācija apstrādes rūpniecībā bijusi krietni sarežģītāka nekā 2019. gadā, taču izaugsme ir </w:t>
      </w:r>
      <w:r w:rsidRPr="003E1A40">
        <w:rPr>
          <w:rFonts w:cs="Times New Roman"/>
          <w:bCs/>
          <w:sz w:val="24"/>
          <w:szCs w:val="24"/>
        </w:rPr>
        <w:lastRenderedPageBreak/>
        <w:t>līdzīga. Tam sekoja 2020. gads ar apjomu samazinājumiem pandēmijas ēnā, bet 2021. gadā izaugsme bijusi straujākā pēdējo piecu gadu laikā.</w:t>
      </w:r>
    </w:p>
    <w:p w14:paraId="557B1349" w14:textId="6ED49E1A" w:rsidR="0031227F" w:rsidRPr="00D5635D" w:rsidRDefault="0031227F" w:rsidP="0031227F">
      <w:pPr>
        <w:rPr>
          <w:rFonts w:cs="Times New Roman"/>
          <w:bCs/>
          <w:sz w:val="24"/>
          <w:szCs w:val="24"/>
        </w:rPr>
      </w:pPr>
      <w:r w:rsidRPr="00D5635D">
        <w:rPr>
          <w:rFonts w:cs="Times New Roman"/>
          <w:bCs/>
          <w:sz w:val="24"/>
          <w:szCs w:val="24"/>
        </w:rPr>
        <w:t>Apstrādes rūpniecībā pērnais gads iesākās ar stabilu izaugsmi, taču gada otrajā pusē apjomi pret 2021</w:t>
      </w:r>
      <w:r>
        <w:rPr>
          <w:rFonts w:cs="Times New Roman"/>
          <w:bCs/>
          <w:sz w:val="24"/>
          <w:szCs w:val="24"/>
        </w:rPr>
        <w:t>. gad</w:t>
      </w:r>
      <w:r w:rsidRPr="00D5635D">
        <w:rPr>
          <w:rFonts w:cs="Times New Roman"/>
          <w:bCs/>
          <w:sz w:val="24"/>
          <w:szCs w:val="24"/>
        </w:rPr>
        <w:t xml:space="preserve">a attiecīgo periodu sāka samazināties augsto energoresursu un izejvielu cenu ietekmē. Kokrūpniecība, kas ir lielākā </w:t>
      </w:r>
      <w:r>
        <w:rPr>
          <w:rFonts w:cs="Times New Roman"/>
          <w:bCs/>
          <w:sz w:val="24"/>
          <w:szCs w:val="24"/>
        </w:rPr>
        <w:t xml:space="preserve">apstrādes rūpniecības </w:t>
      </w:r>
      <w:proofErr w:type="spellStart"/>
      <w:r w:rsidRPr="00D5635D">
        <w:rPr>
          <w:rFonts w:cs="Times New Roman"/>
          <w:bCs/>
          <w:sz w:val="24"/>
          <w:szCs w:val="24"/>
        </w:rPr>
        <w:t>apakšnozare</w:t>
      </w:r>
      <w:proofErr w:type="spellEnd"/>
      <w:r w:rsidRPr="00D5635D">
        <w:rPr>
          <w:rFonts w:cs="Times New Roman"/>
          <w:bCs/>
          <w:sz w:val="24"/>
          <w:szCs w:val="24"/>
        </w:rPr>
        <w:t xml:space="preserve">, gada griezumā samazinājusies par 1,2%, bet otrajā lielākajā </w:t>
      </w:r>
      <w:proofErr w:type="spellStart"/>
      <w:r w:rsidRPr="00D5635D">
        <w:rPr>
          <w:rFonts w:cs="Times New Roman"/>
          <w:bCs/>
          <w:sz w:val="24"/>
          <w:szCs w:val="24"/>
        </w:rPr>
        <w:t>apakšnozarē</w:t>
      </w:r>
      <w:proofErr w:type="spellEnd"/>
      <w:r w:rsidRPr="00D5635D">
        <w:rPr>
          <w:rFonts w:cs="Times New Roman"/>
          <w:bCs/>
          <w:sz w:val="24"/>
          <w:szCs w:val="24"/>
        </w:rPr>
        <w:t xml:space="preserve"> – pārtikas ražošanā</w:t>
      </w:r>
      <w:r w:rsidR="003E1A40">
        <w:rPr>
          <w:rFonts w:cs="Times New Roman"/>
          <w:bCs/>
          <w:sz w:val="24"/>
          <w:szCs w:val="24"/>
        </w:rPr>
        <w:t xml:space="preserve"> –</w:t>
      </w:r>
      <w:r w:rsidRPr="00D5635D">
        <w:rPr>
          <w:rFonts w:cs="Times New Roman"/>
          <w:bCs/>
          <w:sz w:val="24"/>
          <w:szCs w:val="24"/>
        </w:rPr>
        <w:t xml:space="preserve"> ražotie apjomi samazinājušies par 1,7%. Samazinājum</w:t>
      </w:r>
      <w:r w:rsidR="003E1A40">
        <w:rPr>
          <w:rFonts w:cs="Times New Roman"/>
          <w:bCs/>
          <w:sz w:val="24"/>
          <w:szCs w:val="24"/>
        </w:rPr>
        <w:t>s</w:t>
      </w:r>
      <w:r w:rsidRPr="00D5635D">
        <w:rPr>
          <w:rFonts w:cs="Times New Roman"/>
          <w:bCs/>
          <w:sz w:val="24"/>
          <w:szCs w:val="24"/>
        </w:rPr>
        <w:t xml:space="preserve"> </w:t>
      </w:r>
      <w:r w:rsidR="003E1A40">
        <w:rPr>
          <w:rFonts w:cs="Times New Roman"/>
          <w:bCs/>
          <w:sz w:val="24"/>
          <w:szCs w:val="24"/>
        </w:rPr>
        <w:t xml:space="preserve">ir </w:t>
      </w:r>
      <w:r w:rsidRPr="00D5635D">
        <w:rPr>
          <w:rFonts w:cs="Times New Roman"/>
          <w:bCs/>
          <w:sz w:val="24"/>
          <w:szCs w:val="24"/>
        </w:rPr>
        <w:t xml:space="preserve">arī iekārtu mehānismu un darba mašīnu ražošanā (-12,3%), papīra un tā izstrādājumu ražošanā (-9,0%), kā arī ķīmisko vielu un produktu </w:t>
      </w:r>
      <w:r>
        <w:rPr>
          <w:rFonts w:cs="Times New Roman"/>
          <w:bCs/>
          <w:sz w:val="24"/>
          <w:szCs w:val="24"/>
        </w:rPr>
        <w:t>ražošanā</w:t>
      </w:r>
      <w:r w:rsidRPr="00D5635D">
        <w:rPr>
          <w:rFonts w:cs="Times New Roman"/>
          <w:bCs/>
          <w:sz w:val="24"/>
          <w:szCs w:val="24"/>
        </w:rPr>
        <w:t xml:space="preserve"> (-5,0%). </w:t>
      </w:r>
      <w:r>
        <w:rPr>
          <w:rFonts w:cs="Times New Roman"/>
          <w:bCs/>
          <w:sz w:val="24"/>
          <w:szCs w:val="24"/>
        </w:rPr>
        <w:t>Vienlaikus</w:t>
      </w:r>
      <w:r w:rsidRPr="00D5635D">
        <w:rPr>
          <w:rFonts w:cs="Times New Roman"/>
          <w:bCs/>
          <w:sz w:val="24"/>
          <w:szCs w:val="24"/>
        </w:rPr>
        <w:t xml:space="preserve"> apstrādes rūpniecības izaugsmi nodrošināja dzērienu ražošana, kas pieauga par 18,8%, elektrisko iekārtu ražošana, kur izaugsme bija 8,5% apmērā, automobiļu, piekabju un puspiekabju ražošana pieauga par 13,4%, iekārtu un ierīču remonts un uzstādīšana </w:t>
      </w:r>
      <w:r>
        <w:rPr>
          <w:rFonts w:cs="Times New Roman"/>
          <w:bCs/>
          <w:sz w:val="24"/>
          <w:szCs w:val="24"/>
        </w:rPr>
        <w:t xml:space="preserve">palielinājās </w:t>
      </w:r>
      <w:r w:rsidRPr="00D5635D">
        <w:rPr>
          <w:rFonts w:cs="Times New Roman"/>
          <w:bCs/>
          <w:sz w:val="24"/>
          <w:szCs w:val="24"/>
        </w:rPr>
        <w:t>par 8,3%, bet apģērbi ražoti par 5,9% vairāk nekā 2021</w:t>
      </w:r>
      <w:r>
        <w:rPr>
          <w:rFonts w:cs="Times New Roman"/>
          <w:bCs/>
          <w:sz w:val="24"/>
          <w:szCs w:val="24"/>
        </w:rPr>
        <w:t>. gad</w:t>
      </w:r>
      <w:r w:rsidRPr="00D5635D">
        <w:rPr>
          <w:rFonts w:cs="Times New Roman"/>
          <w:bCs/>
          <w:sz w:val="24"/>
          <w:szCs w:val="24"/>
        </w:rPr>
        <w:t>ā.</w:t>
      </w:r>
    </w:p>
    <w:p w14:paraId="6D9FBA46" w14:textId="77777777" w:rsidR="0031227F" w:rsidRPr="00D5635D" w:rsidRDefault="0031227F" w:rsidP="0031227F">
      <w:pPr>
        <w:rPr>
          <w:rFonts w:cs="Times New Roman"/>
          <w:bCs/>
          <w:sz w:val="24"/>
          <w:szCs w:val="24"/>
        </w:rPr>
      </w:pPr>
      <w:r w:rsidRPr="00D5635D">
        <w:rPr>
          <w:rFonts w:cs="Times New Roman"/>
          <w:bCs/>
          <w:sz w:val="24"/>
          <w:szCs w:val="24"/>
        </w:rPr>
        <w:t>11,5% samazinājums elektroenerģijas un gāzes apgādē skaidrojams ar augstajām elektroenerģija</w:t>
      </w:r>
      <w:r>
        <w:rPr>
          <w:rFonts w:cs="Times New Roman"/>
          <w:bCs/>
          <w:sz w:val="24"/>
          <w:szCs w:val="24"/>
        </w:rPr>
        <w:t xml:space="preserve">s un </w:t>
      </w:r>
      <w:r w:rsidRPr="00D5635D">
        <w:rPr>
          <w:rFonts w:cs="Times New Roman"/>
          <w:bCs/>
          <w:sz w:val="24"/>
          <w:szCs w:val="24"/>
        </w:rPr>
        <w:t>gāze</w:t>
      </w:r>
      <w:r>
        <w:rPr>
          <w:rFonts w:cs="Times New Roman"/>
          <w:bCs/>
          <w:sz w:val="24"/>
          <w:szCs w:val="24"/>
        </w:rPr>
        <w:t>s cenām</w:t>
      </w:r>
      <w:r w:rsidRPr="00D5635D">
        <w:rPr>
          <w:rFonts w:cs="Times New Roman"/>
          <w:bCs/>
          <w:sz w:val="24"/>
          <w:szCs w:val="24"/>
        </w:rPr>
        <w:t>, kas veicina taupības pasākumus gan mājsaimniecību</w:t>
      </w:r>
      <w:r>
        <w:rPr>
          <w:rFonts w:cs="Times New Roman"/>
          <w:bCs/>
          <w:sz w:val="24"/>
          <w:szCs w:val="24"/>
        </w:rPr>
        <w:t>,</w:t>
      </w:r>
      <w:r w:rsidRPr="00D5635D">
        <w:rPr>
          <w:rFonts w:cs="Times New Roman"/>
          <w:bCs/>
          <w:sz w:val="24"/>
          <w:szCs w:val="24"/>
        </w:rPr>
        <w:t xml:space="preserve"> gan uzņēmēju vidū, samazinot pieprasījumu. Gāzes cenas pasaulē 2022</w:t>
      </w:r>
      <w:r>
        <w:rPr>
          <w:rFonts w:cs="Times New Roman"/>
          <w:bCs/>
          <w:sz w:val="24"/>
          <w:szCs w:val="24"/>
        </w:rPr>
        <w:t>. gad</w:t>
      </w:r>
      <w:r w:rsidRPr="00D5635D">
        <w:rPr>
          <w:rFonts w:cs="Times New Roman"/>
          <w:bCs/>
          <w:sz w:val="24"/>
          <w:szCs w:val="24"/>
        </w:rPr>
        <w:t xml:space="preserve">a beigās ir samazinājušās, taču patērētāji Latvijā to vēl neizjūt. </w:t>
      </w:r>
    </w:p>
    <w:p w14:paraId="23B9F8B5" w14:textId="77777777" w:rsidR="0031227F" w:rsidRDefault="0031227F" w:rsidP="0031227F">
      <w:pPr>
        <w:rPr>
          <w:rFonts w:cs="Times New Roman"/>
          <w:bCs/>
          <w:sz w:val="24"/>
          <w:szCs w:val="24"/>
        </w:rPr>
      </w:pPr>
      <w:r w:rsidRPr="00D5635D">
        <w:rPr>
          <w:rFonts w:cs="Times New Roman"/>
          <w:bCs/>
          <w:sz w:val="24"/>
          <w:szCs w:val="24"/>
        </w:rPr>
        <w:t>2023</w:t>
      </w:r>
      <w:r>
        <w:rPr>
          <w:rFonts w:cs="Times New Roman"/>
          <w:bCs/>
          <w:sz w:val="24"/>
          <w:szCs w:val="24"/>
        </w:rPr>
        <w:t>. gad</w:t>
      </w:r>
      <w:r w:rsidRPr="00D5635D">
        <w:rPr>
          <w:rFonts w:cs="Times New Roman"/>
          <w:bCs/>
          <w:sz w:val="24"/>
          <w:szCs w:val="24"/>
        </w:rPr>
        <w:t xml:space="preserve">s apstrādes rūpniecībā iesācies ar apjomu samazinājumu gada griezumā un </w:t>
      </w:r>
      <w:r>
        <w:rPr>
          <w:rFonts w:cs="Times New Roman"/>
          <w:bCs/>
          <w:sz w:val="24"/>
          <w:szCs w:val="24"/>
        </w:rPr>
        <w:t>vis</w:t>
      </w:r>
      <w:r w:rsidRPr="00D5635D">
        <w:rPr>
          <w:rFonts w:cs="Times New Roman"/>
          <w:bCs/>
          <w:sz w:val="24"/>
          <w:szCs w:val="24"/>
        </w:rPr>
        <w:t>ticamāk</w:t>
      </w:r>
      <w:r>
        <w:rPr>
          <w:rFonts w:cs="Times New Roman"/>
          <w:bCs/>
          <w:sz w:val="24"/>
          <w:szCs w:val="24"/>
        </w:rPr>
        <w:t>,</w:t>
      </w:r>
      <w:r w:rsidRPr="00D5635D">
        <w:rPr>
          <w:rFonts w:cs="Times New Roman"/>
          <w:bCs/>
          <w:sz w:val="24"/>
          <w:szCs w:val="24"/>
        </w:rPr>
        <w:t xml:space="preserve"> ka pirmajā pusgadā apstrādes rūpniecībai būs grūti sasniegt ražošanas apjomus, kādi tie bija 2022</w:t>
      </w:r>
      <w:r>
        <w:rPr>
          <w:rFonts w:cs="Times New Roman"/>
          <w:bCs/>
          <w:sz w:val="24"/>
          <w:szCs w:val="24"/>
        </w:rPr>
        <w:t>. gad</w:t>
      </w:r>
      <w:r w:rsidRPr="00D5635D">
        <w:rPr>
          <w:rFonts w:cs="Times New Roman"/>
          <w:bCs/>
          <w:sz w:val="24"/>
          <w:szCs w:val="24"/>
        </w:rPr>
        <w:t xml:space="preserve">a pirmajā </w:t>
      </w:r>
      <w:r>
        <w:rPr>
          <w:rFonts w:cs="Times New Roman"/>
          <w:bCs/>
          <w:sz w:val="24"/>
          <w:szCs w:val="24"/>
        </w:rPr>
        <w:t>pusē.</w:t>
      </w:r>
    </w:p>
    <w:p w14:paraId="3086F32C" w14:textId="35863EFD" w:rsidR="0031227F" w:rsidRPr="00B57418" w:rsidRDefault="0031227F" w:rsidP="0031227F">
      <w:pPr>
        <w:rPr>
          <w:rFonts w:cs="Times New Roman"/>
          <w:bCs/>
          <w:sz w:val="24"/>
          <w:szCs w:val="24"/>
        </w:rPr>
      </w:pPr>
      <w:r w:rsidRPr="00D5635D">
        <w:rPr>
          <w:rFonts w:cs="Times New Roman"/>
          <w:bCs/>
          <w:sz w:val="24"/>
          <w:szCs w:val="24"/>
        </w:rPr>
        <w:t>Līdzīgi kā 2020. un 2021., arī 2022</w:t>
      </w:r>
      <w:r>
        <w:rPr>
          <w:rFonts w:cs="Times New Roman"/>
          <w:bCs/>
          <w:sz w:val="24"/>
          <w:szCs w:val="24"/>
        </w:rPr>
        <w:t>. gad</w:t>
      </w:r>
      <w:r w:rsidRPr="00D5635D">
        <w:rPr>
          <w:rFonts w:cs="Times New Roman"/>
          <w:bCs/>
          <w:sz w:val="24"/>
          <w:szCs w:val="24"/>
        </w:rPr>
        <w:t xml:space="preserve">ā </w:t>
      </w:r>
      <w:r w:rsidRPr="00D5635D">
        <w:rPr>
          <w:rFonts w:cs="Times New Roman"/>
          <w:b/>
          <w:sz w:val="24"/>
          <w:szCs w:val="24"/>
        </w:rPr>
        <w:t>būvniecības nozares</w:t>
      </w:r>
      <w:r w:rsidRPr="00D5635D">
        <w:rPr>
          <w:rFonts w:cs="Times New Roman"/>
          <w:bCs/>
          <w:sz w:val="24"/>
          <w:szCs w:val="24"/>
        </w:rPr>
        <w:t xml:space="preserve"> pievienotā vērtība Latvijā turpina samazināties (-11,3%). Par 11,3% 2022</w:t>
      </w:r>
      <w:r>
        <w:rPr>
          <w:rFonts w:cs="Times New Roman"/>
          <w:bCs/>
          <w:sz w:val="24"/>
          <w:szCs w:val="24"/>
        </w:rPr>
        <w:t>. gadā</w:t>
      </w:r>
      <w:r w:rsidRPr="00D5635D">
        <w:rPr>
          <w:rFonts w:cs="Times New Roman"/>
          <w:bCs/>
          <w:sz w:val="24"/>
          <w:szCs w:val="24"/>
        </w:rPr>
        <w:t xml:space="preserve"> samazinājies arī būvniecības apjom</w:t>
      </w:r>
      <w:r>
        <w:rPr>
          <w:rFonts w:cs="Times New Roman"/>
          <w:bCs/>
          <w:sz w:val="24"/>
          <w:szCs w:val="24"/>
        </w:rPr>
        <w:t>a</w:t>
      </w:r>
      <w:r w:rsidRPr="00D5635D">
        <w:rPr>
          <w:rFonts w:cs="Times New Roman"/>
          <w:bCs/>
          <w:sz w:val="24"/>
          <w:szCs w:val="24"/>
        </w:rPr>
        <w:t xml:space="preserve"> indekss, līdzīgam samazinājumam esot visās trīs </w:t>
      </w:r>
      <w:proofErr w:type="spellStart"/>
      <w:r w:rsidRPr="00D5635D">
        <w:rPr>
          <w:rFonts w:cs="Times New Roman"/>
          <w:bCs/>
          <w:sz w:val="24"/>
          <w:szCs w:val="24"/>
        </w:rPr>
        <w:t>apakšpozīcijās</w:t>
      </w:r>
      <w:proofErr w:type="spellEnd"/>
      <w:r w:rsidRPr="00D5635D">
        <w:rPr>
          <w:rFonts w:cs="Times New Roman"/>
          <w:bCs/>
          <w:sz w:val="24"/>
          <w:szCs w:val="24"/>
        </w:rPr>
        <w:t xml:space="preserve"> – ēku būvniecībā, </w:t>
      </w:r>
      <w:proofErr w:type="spellStart"/>
      <w:r w:rsidRPr="00D5635D">
        <w:rPr>
          <w:rFonts w:cs="Times New Roman"/>
          <w:bCs/>
          <w:sz w:val="24"/>
          <w:szCs w:val="24"/>
        </w:rPr>
        <w:t>inženierbūvniecībā</w:t>
      </w:r>
      <w:proofErr w:type="spellEnd"/>
      <w:r w:rsidRPr="00D5635D">
        <w:rPr>
          <w:rFonts w:cs="Times New Roman"/>
          <w:bCs/>
          <w:sz w:val="24"/>
          <w:szCs w:val="24"/>
        </w:rPr>
        <w:t xml:space="preserve"> un specializētajos būvdarbos. Tikmēr būvniecība faktisk</w:t>
      </w:r>
      <w:r>
        <w:rPr>
          <w:rFonts w:cs="Times New Roman"/>
          <w:bCs/>
          <w:sz w:val="24"/>
          <w:szCs w:val="24"/>
        </w:rPr>
        <w:t>aj</w:t>
      </w:r>
      <w:r w:rsidRPr="00D5635D">
        <w:rPr>
          <w:rFonts w:cs="Times New Roman"/>
          <w:bCs/>
          <w:sz w:val="24"/>
          <w:szCs w:val="24"/>
        </w:rPr>
        <w:t>ās cenās pieaugusi par 6,4%, ko veicina inflācija un augošās būvniecības izmaksas. Zemā aktivitāte būvniecībā daļēji skaidrojama ar pārejas periodu starp 2014.-2020. un 2021.-2027</w:t>
      </w:r>
      <w:r>
        <w:rPr>
          <w:rFonts w:cs="Times New Roman"/>
          <w:bCs/>
          <w:sz w:val="24"/>
          <w:szCs w:val="24"/>
        </w:rPr>
        <w:t>. gad</w:t>
      </w:r>
      <w:r w:rsidRPr="00D5635D">
        <w:rPr>
          <w:rFonts w:cs="Times New Roman"/>
          <w:bCs/>
          <w:sz w:val="24"/>
          <w:szCs w:val="24"/>
        </w:rPr>
        <w:t xml:space="preserve">a ES fondu investīciju cikliem. ES fondu līdzekļi turpmāk paredzēti nebijuši lielos apjomos, taču </w:t>
      </w:r>
      <w:r>
        <w:rPr>
          <w:rFonts w:cs="Times New Roman"/>
          <w:bCs/>
          <w:sz w:val="24"/>
          <w:szCs w:val="24"/>
        </w:rPr>
        <w:t>pastāv</w:t>
      </w:r>
      <w:r w:rsidRPr="00D5635D">
        <w:rPr>
          <w:rFonts w:cs="Times New Roman"/>
          <w:bCs/>
          <w:sz w:val="24"/>
          <w:szCs w:val="24"/>
        </w:rPr>
        <w:t xml:space="preserve"> bažas par nozares kapacitāti. Tajā pašā laikā palielinās arī </w:t>
      </w:r>
      <w:r w:rsidRPr="00A3133A">
        <w:rPr>
          <w:rFonts w:cs="Times New Roman"/>
          <w:bCs/>
          <w:i/>
          <w:iCs/>
          <w:sz w:val="24"/>
          <w:szCs w:val="24"/>
        </w:rPr>
        <w:t xml:space="preserve">Rail </w:t>
      </w:r>
      <w:proofErr w:type="spellStart"/>
      <w:r w:rsidRPr="00A3133A">
        <w:rPr>
          <w:rFonts w:cs="Times New Roman"/>
          <w:bCs/>
          <w:i/>
          <w:iCs/>
          <w:sz w:val="24"/>
          <w:szCs w:val="24"/>
        </w:rPr>
        <w:t>Baltica</w:t>
      </w:r>
      <w:proofErr w:type="spellEnd"/>
      <w:r w:rsidRPr="00D5635D">
        <w:rPr>
          <w:rFonts w:cs="Times New Roman"/>
          <w:bCs/>
          <w:sz w:val="24"/>
          <w:szCs w:val="24"/>
        </w:rPr>
        <w:t xml:space="preserve"> būvniecības </w:t>
      </w:r>
      <w:r w:rsidR="00DB568A">
        <w:rPr>
          <w:rFonts w:cs="Times New Roman"/>
          <w:bCs/>
          <w:sz w:val="24"/>
          <w:szCs w:val="24"/>
        </w:rPr>
        <w:t>darbu apjomi.</w:t>
      </w:r>
      <w:r w:rsidRPr="00D5635D">
        <w:rPr>
          <w:rFonts w:cs="Times New Roman"/>
          <w:bCs/>
          <w:sz w:val="24"/>
          <w:szCs w:val="24"/>
        </w:rPr>
        <w:t xml:space="preserve"> Jāpiemin, ka nozīmīgs negatīvais faktors nozarē ir ēnu ekonomika, kas ietekmē konkurenci nozarē</w:t>
      </w:r>
      <w:r w:rsidRPr="00B57418">
        <w:rPr>
          <w:rFonts w:cs="Times New Roman"/>
          <w:bCs/>
          <w:sz w:val="24"/>
          <w:szCs w:val="24"/>
        </w:rPr>
        <w:t>, kā arī nodokļu ieņēmumus.</w:t>
      </w:r>
    </w:p>
    <w:p w14:paraId="442BBA66" w14:textId="77777777" w:rsidR="0031227F" w:rsidRDefault="0031227F" w:rsidP="0031227F">
      <w:pPr>
        <w:rPr>
          <w:rFonts w:cs="Times New Roman"/>
          <w:bCs/>
          <w:sz w:val="24"/>
          <w:szCs w:val="24"/>
        </w:rPr>
      </w:pPr>
      <w:r w:rsidRPr="00B57418">
        <w:rPr>
          <w:rFonts w:cs="Times New Roman"/>
          <w:b/>
          <w:sz w:val="24"/>
          <w:szCs w:val="24"/>
        </w:rPr>
        <w:t>Transporta un uzglabāšanas nozare</w:t>
      </w:r>
      <w:r w:rsidRPr="00B57418">
        <w:rPr>
          <w:rFonts w:cs="Times New Roman"/>
          <w:bCs/>
          <w:sz w:val="24"/>
          <w:szCs w:val="24"/>
        </w:rPr>
        <w:t>, kas bija viena no pandēmijas smagāk skartajām nozarēm, pēc 2021. gadā sasniegtā 9,0% kāpuma pērn palielinājās vēl</w:t>
      </w:r>
      <w:r>
        <w:rPr>
          <w:rFonts w:cs="Times New Roman"/>
          <w:bCs/>
          <w:sz w:val="24"/>
          <w:szCs w:val="24"/>
        </w:rPr>
        <w:t xml:space="preserve"> </w:t>
      </w:r>
      <w:r w:rsidRPr="00A120D9">
        <w:rPr>
          <w:rFonts w:cs="Times New Roman"/>
          <w:bCs/>
          <w:sz w:val="24"/>
          <w:szCs w:val="24"/>
        </w:rPr>
        <w:t xml:space="preserve">par </w:t>
      </w:r>
      <w:r>
        <w:rPr>
          <w:rFonts w:cs="Times New Roman"/>
          <w:bCs/>
          <w:sz w:val="24"/>
          <w:szCs w:val="24"/>
        </w:rPr>
        <w:t>2,3</w:t>
      </w:r>
      <w:r w:rsidRPr="00A120D9">
        <w:rPr>
          <w:rFonts w:cs="Times New Roman"/>
          <w:bCs/>
          <w:sz w:val="24"/>
          <w:szCs w:val="24"/>
        </w:rPr>
        <w:t xml:space="preserve">%, </w:t>
      </w:r>
      <w:r>
        <w:rPr>
          <w:rFonts w:cs="Times New Roman"/>
          <w:bCs/>
          <w:sz w:val="24"/>
          <w:szCs w:val="24"/>
        </w:rPr>
        <w:t xml:space="preserve">turpinot atjaunoties </w:t>
      </w:r>
      <w:r w:rsidRPr="00A120D9">
        <w:rPr>
          <w:rFonts w:cs="Times New Roman"/>
          <w:bCs/>
          <w:sz w:val="24"/>
          <w:szCs w:val="24"/>
        </w:rPr>
        <w:t xml:space="preserve">aviopārvadājumu </w:t>
      </w:r>
      <w:r>
        <w:rPr>
          <w:rFonts w:cs="Times New Roman"/>
          <w:bCs/>
          <w:sz w:val="24"/>
          <w:szCs w:val="24"/>
        </w:rPr>
        <w:t xml:space="preserve">un sauszemes pasažieru pārvadājumu apjomiem, kamēr kravu pārvadājumus dzelzceļā samazināja Krievijas </w:t>
      </w:r>
      <w:proofErr w:type="spellStart"/>
      <w:r>
        <w:rPr>
          <w:rFonts w:cs="Times New Roman"/>
          <w:bCs/>
          <w:sz w:val="24"/>
          <w:szCs w:val="24"/>
        </w:rPr>
        <w:t>energorproduktu</w:t>
      </w:r>
      <w:proofErr w:type="spellEnd"/>
      <w:r>
        <w:rPr>
          <w:rFonts w:cs="Times New Roman"/>
          <w:bCs/>
          <w:sz w:val="24"/>
          <w:szCs w:val="24"/>
        </w:rPr>
        <w:t xml:space="preserve"> eksporta ierobežojumi, un nedaudz saruka arī kravu pārvadājumi ar autotransportu.</w:t>
      </w:r>
    </w:p>
    <w:p w14:paraId="5C9AA59B" w14:textId="4F672E1D" w:rsidR="0031227F" w:rsidRDefault="0031227F" w:rsidP="0031227F">
      <w:pPr>
        <w:rPr>
          <w:rFonts w:cs="Times New Roman"/>
          <w:bCs/>
          <w:sz w:val="24"/>
          <w:szCs w:val="24"/>
        </w:rPr>
      </w:pPr>
      <w:r w:rsidRPr="00A120D9">
        <w:rPr>
          <w:rFonts w:cs="Times New Roman"/>
          <w:bCs/>
          <w:sz w:val="24"/>
          <w:szCs w:val="24"/>
        </w:rPr>
        <w:t>Pasažieru skaits lidostā “Rīga” 202</w:t>
      </w:r>
      <w:r>
        <w:rPr>
          <w:rFonts w:cs="Times New Roman"/>
          <w:bCs/>
          <w:sz w:val="24"/>
          <w:szCs w:val="24"/>
        </w:rPr>
        <w:t>2. gad</w:t>
      </w:r>
      <w:r w:rsidRPr="00A120D9">
        <w:rPr>
          <w:rFonts w:cs="Times New Roman"/>
          <w:bCs/>
          <w:sz w:val="24"/>
          <w:szCs w:val="24"/>
        </w:rPr>
        <w:t xml:space="preserve">ā, salīdzinot ar iepriekšējo gadu, palielinājās </w:t>
      </w:r>
      <w:r>
        <w:rPr>
          <w:rFonts w:cs="Times New Roman"/>
          <w:bCs/>
          <w:sz w:val="24"/>
          <w:szCs w:val="24"/>
        </w:rPr>
        <w:t>2,3 reizes</w:t>
      </w:r>
      <w:r w:rsidRPr="00A120D9">
        <w:rPr>
          <w:rFonts w:cs="Times New Roman"/>
          <w:bCs/>
          <w:sz w:val="24"/>
          <w:szCs w:val="24"/>
        </w:rPr>
        <w:t xml:space="preserve"> un sasniedza </w:t>
      </w:r>
      <w:r>
        <w:rPr>
          <w:rFonts w:cs="Times New Roman"/>
          <w:bCs/>
          <w:sz w:val="24"/>
          <w:szCs w:val="24"/>
        </w:rPr>
        <w:t>5,4</w:t>
      </w:r>
      <w:r w:rsidRPr="00A120D9">
        <w:rPr>
          <w:rFonts w:cs="Times New Roman"/>
          <w:bCs/>
          <w:sz w:val="24"/>
          <w:szCs w:val="24"/>
        </w:rPr>
        <w:t xml:space="preserve"> milj</w:t>
      </w:r>
      <w:r>
        <w:rPr>
          <w:rFonts w:cs="Times New Roman"/>
          <w:bCs/>
          <w:sz w:val="24"/>
          <w:szCs w:val="24"/>
        </w:rPr>
        <w:t>onus, tomēr vēl joprojām būtiski atpali</w:t>
      </w:r>
      <w:r w:rsidR="00B57418">
        <w:rPr>
          <w:rFonts w:cs="Times New Roman"/>
          <w:bCs/>
          <w:sz w:val="24"/>
          <w:szCs w:val="24"/>
        </w:rPr>
        <w:t>ek</w:t>
      </w:r>
      <w:r>
        <w:rPr>
          <w:rFonts w:cs="Times New Roman"/>
          <w:bCs/>
          <w:sz w:val="24"/>
          <w:szCs w:val="24"/>
        </w:rPr>
        <w:t xml:space="preserve"> no 2018.-2019. gada līmeņa, kad pasažieru skaits lidostā bija pārsniedzis septiņus miljonus. Pasažieru skaits sauszemes transportā pieauga par 28,0% un jūras ostās tika apkalpots par 49,8% vairāk pasažieru nekā 2021. gadā. Kravu apgrozījums ostās pērn vēl palielinājās par 15,2%, taču dzelzceļš jau sāka izjust Krievijas </w:t>
      </w:r>
      <w:proofErr w:type="spellStart"/>
      <w:r>
        <w:rPr>
          <w:rFonts w:cs="Times New Roman"/>
          <w:bCs/>
          <w:sz w:val="24"/>
          <w:szCs w:val="24"/>
        </w:rPr>
        <w:t>energoproduktu</w:t>
      </w:r>
      <w:proofErr w:type="spellEnd"/>
      <w:r>
        <w:rPr>
          <w:rFonts w:cs="Times New Roman"/>
          <w:bCs/>
          <w:sz w:val="24"/>
          <w:szCs w:val="24"/>
        </w:rPr>
        <w:t xml:space="preserve"> eksporta kritumu un pārvadājumu apjomi dzelzceļā samazinājās par 5,3%. Kravu apgrozība autopārvadājumos 2022. gadā samazinājās par 3,5%, samazinoties starptautisko pārvadājumu apjomiem, kamēr iekšzemē kravu pārvadājumi turpināja pieaugt.</w:t>
      </w:r>
    </w:p>
    <w:p w14:paraId="33D0213F" w14:textId="528E738F" w:rsidR="0031227F" w:rsidRDefault="0031227F" w:rsidP="0031227F">
      <w:pPr>
        <w:rPr>
          <w:rFonts w:cs="Times New Roman"/>
          <w:bCs/>
          <w:sz w:val="24"/>
          <w:szCs w:val="24"/>
        </w:rPr>
      </w:pPr>
      <w:r>
        <w:rPr>
          <w:rFonts w:cs="Times New Roman"/>
          <w:bCs/>
          <w:sz w:val="24"/>
          <w:szCs w:val="24"/>
        </w:rPr>
        <w:t xml:space="preserve">Līdzīga situācija saglabājas arī 2023. gada sākumā, kad pasažieru pārvadājumi turpina atjaunoties, bet kravu tranzīta apjomi dzelzceļā krītas, un kravu samazinājums šogad varētu skart arī ostu darbu, nozarei kopumā neuzrādot pieaugumu. </w:t>
      </w:r>
      <w:r w:rsidR="009041A4">
        <w:rPr>
          <w:rFonts w:cs="Times New Roman"/>
          <w:bCs/>
          <w:sz w:val="24"/>
          <w:szCs w:val="24"/>
        </w:rPr>
        <w:t>Š</w:t>
      </w:r>
      <w:r w:rsidR="000E1368">
        <w:rPr>
          <w:rFonts w:cs="Times New Roman"/>
          <w:bCs/>
          <w:sz w:val="24"/>
          <w:szCs w:val="24"/>
        </w:rPr>
        <w:t xml:space="preserve">ā </w:t>
      </w:r>
      <w:r w:rsidR="009041A4">
        <w:rPr>
          <w:rFonts w:cs="Times New Roman"/>
          <w:bCs/>
          <w:sz w:val="24"/>
          <w:szCs w:val="24"/>
        </w:rPr>
        <w:t>g</w:t>
      </w:r>
      <w:r w:rsidR="000E1368">
        <w:rPr>
          <w:rFonts w:cs="Times New Roman"/>
          <w:bCs/>
          <w:sz w:val="24"/>
          <w:szCs w:val="24"/>
        </w:rPr>
        <w:t>ada</w:t>
      </w:r>
      <w:r w:rsidR="009041A4">
        <w:rPr>
          <w:rFonts w:cs="Times New Roman"/>
          <w:bCs/>
          <w:sz w:val="24"/>
          <w:szCs w:val="24"/>
        </w:rPr>
        <w:t xml:space="preserve"> j</w:t>
      </w:r>
      <w:r>
        <w:rPr>
          <w:rFonts w:cs="Times New Roman"/>
          <w:bCs/>
          <w:sz w:val="24"/>
          <w:szCs w:val="24"/>
        </w:rPr>
        <w:t xml:space="preserve">anvārī pasažieru skaits </w:t>
      </w:r>
      <w:r w:rsidRPr="00A120D9">
        <w:rPr>
          <w:rFonts w:cs="Times New Roman"/>
          <w:bCs/>
          <w:sz w:val="24"/>
          <w:szCs w:val="24"/>
        </w:rPr>
        <w:t>lidostā “Rīga</w:t>
      </w:r>
      <w:r>
        <w:rPr>
          <w:rFonts w:cs="Times New Roman"/>
          <w:bCs/>
          <w:sz w:val="24"/>
          <w:szCs w:val="24"/>
        </w:rPr>
        <w:t xml:space="preserve">”, salīdzinot </w:t>
      </w:r>
      <w:r w:rsidRPr="00F03707">
        <w:rPr>
          <w:rFonts w:cs="Times New Roman"/>
          <w:bCs/>
          <w:sz w:val="24"/>
          <w:szCs w:val="24"/>
        </w:rPr>
        <w:t>ar 2022</w:t>
      </w:r>
      <w:r>
        <w:rPr>
          <w:rFonts w:cs="Times New Roman"/>
          <w:bCs/>
          <w:sz w:val="24"/>
          <w:szCs w:val="24"/>
        </w:rPr>
        <w:t>. gad</w:t>
      </w:r>
      <w:r w:rsidRPr="00F03707">
        <w:rPr>
          <w:rFonts w:cs="Times New Roman"/>
          <w:bCs/>
          <w:sz w:val="24"/>
          <w:szCs w:val="24"/>
        </w:rPr>
        <w:t>a janvāri, ir palielinājies par 68,2%, kravu apgrozījums ostās divos mēnešos bijis par 2,7% lielāks nekā pirms gada, bet dzelzceļā kravu pārvadājumi kritušies par 34,4%.</w:t>
      </w:r>
    </w:p>
    <w:p w14:paraId="529843FB" w14:textId="77777777" w:rsidR="0031227F" w:rsidRPr="00D5635D" w:rsidRDefault="0031227F" w:rsidP="0031227F">
      <w:pPr>
        <w:rPr>
          <w:rFonts w:cs="Times New Roman"/>
          <w:bCs/>
          <w:sz w:val="24"/>
          <w:szCs w:val="24"/>
        </w:rPr>
      </w:pPr>
      <w:r w:rsidRPr="004042D2">
        <w:rPr>
          <w:rFonts w:cs="Times New Roman"/>
          <w:b/>
          <w:sz w:val="24"/>
          <w:szCs w:val="24"/>
        </w:rPr>
        <w:lastRenderedPageBreak/>
        <w:t>Tirdzniecības nozari</w:t>
      </w:r>
      <w:r w:rsidRPr="00D5635D">
        <w:rPr>
          <w:rFonts w:cs="Times New Roman"/>
          <w:bCs/>
          <w:sz w:val="24"/>
          <w:szCs w:val="24"/>
        </w:rPr>
        <w:t xml:space="preserve"> 2022</w:t>
      </w:r>
      <w:r>
        <w:rPr>
          <w:rFonts w:cs="Times New Roman"/>
          <w:bCs/>
          <w:sz w:val="24"/>
          <w:szCs w:val="24"/>
        </w:rPr>
        <w:t>. gad</w:t>
      </w:r>
      <w:r w:rsidRPr="00D5635D">
        <w:rPr>
          <w:rFonts w:cs="Times New Roman"/>
          <w:bCs/>
          <w:sz w:val="24"/>
          <w:szCs w:val="24"/>
        </w:rPr>
        <w:t>ā lielā mērā ietekmēja karadarbība Ukrainā, kā rezultātā samazinājās vairumtirdzniecības apjomi ar partneriem Krievijā un Baltkrievijā. Tas noteica arī visas tirdzniecības nozares pievienotās vērtības kritumu par 6,3% salīdzināmās cenās. Tajā pašā laikā mazumtirdzniecība</w:t>
      </w:r>
      <w:r>
        <w:rPr>
          <w:rFonts w:cs="Times New Roman"/>
          <w:bCs/>
          <w:sz w:val="24"/>
          <w:szCs w:val="24"/>
        </w:rPr>
        <w:t xml:space="preserve">s, kā arī </w:t>
      </w:r>
      <w:r w:rsidRPr="00D5635D">
        <w:rPr>
          <w:rFonts w:cs="Times New Roman"/>
          <w:bCs/>
          <w:sz w:val="24"/>
          <w:szCs w:val="24"/>
        </w:rPr>
        <w:t>auto</w:t>
      </w:r>
      <w:r>
        <w:rPr>
          <w:rFonts w:cs="Times New Roman"/>
          <w:bCs/>
          <w:sz w:val="24"/>
          <w:szCs w:val="24"/>
        </w:rPr>
        <w:t xml:space="preserve">mobiļu un </w:t>
      </w:r>
      <w:r w:rsidRPr="00D5635D">
        <w:rPr>
          <w:rFonts w:cs="Times New Roman"/>
          <w:bCs/>
          <w:sz w:val="24"/>
          <w:szCs w:val="24"/>
        </w:rPr>
        <w:t>moto</w:t>
      </w:r>
      <w:r>
        <w:rPr>
          <w:rFonts w:cs="Times New Roman"/>
          <w:bCs/>
          <w:sz w:val="24"/>
          <w:szCs w:val="24"/>
        </w:rPr>
        <w:t>ciklu</w:t>
      </w:r>
      <w:r w:rsidRPr="00D5635D">
        <w:rPr>
          <w:rFonts w:cs="Times New Roman"/>
          <w:bCs/>
          <w:sz w:val="24"/>
          <w:szCs w:val="24"/>
        </w:rPr>
        <w:t xml:space="preserve"> tirdzniecības apjomi turpināja pieaugt.</w:t>
      </w:r>
    </w:p>
    <w:p w14:paraId="3674C2B6" w14:textId="77777777" w:rsidR="0031227F" w:rsidRPr="00D5635D" w:rsidRDefault="0031227F" w:rsidP="0031227F">
      <w:pPr>
        <w:rPr>
          <w:rFonts w:cs="Times New Roman"/>
          <w:bCs/>
          <w:sz w:val="24"/>
          <w:szCs w:val="24"/>
        </w:rPr>
      </w:pPr>
      <w:r w:rsidRPr="00D5635D">
        <w:rPr>
          <w:rFonts w:cs="Times New Roman"/>
          <w:bCs/>
          <w:sz w:val="24"/>
          <w:szCs w:val="24"/>
        </w:rPr>
        <w:t>Vairumtirdzniecības nozare 2022</w:t>
      </w:r>
      <w:r>
        <w:rPr>
          <w:rFonts w:cs="Times New Roman"/>
          <w:bCs/>
          <w:sz w:val="24"/>
          <w:szCs w:val="24"/>
        </w:rPr>
        <w:t>. gad</w:t>
      </w:r>
      <w:r w:rsidRPr="00D5635D">
        <w:rPr>
          <w:rFonts w:cs="Times New Roman"/>
          <w:bCs/>
          <w:sz w:val="24"/>
          <w:szCs w:val="24"/>
        </w:rPr>
        <w:t xml:space="preserve">ā aizņēma 46% no visas tirdzniecības nozares kopā, un tirgotie apjomi gada laikā samazinājās par 9,3%. Pērnais gads iesākās ar vairumtirdzniecības apjomu pieaugumu pirmajā ceturksnī, taču līdz ar Krievijas iebrukumu Ukrainā apjomi strauji samazinājās un pārējie trīs ceturkšņi aizritēja mīnusa zīmē. Samazinājumu noteica gan Krievijai noteiktās sankcijas, gan pašu Latvijas uzņēmēju nevēlēšanās turpināt sadarbību. </w:t>
      </w:r>
      <w:r>
        <w:rPr>
          <w:rFonts w:cs="Times New Roman"/>
          <w:bCs/>
          <w:sz w:val="24"/>
          <w:szCs w:val="24"/>
        </w:rPr>
        <w:t>Vienlaikus</w:t>
      </w:r>
      <w:r w:rsidRPr="00D5635D">
        <w:rPr>
          <w:rFonts w:cs="Times New Roman"/>
          <w:bCs/>
          <w:sz w:val="24"/>
          <w:szCs w:val="24"/>
        </w:rPr>
        <w:t xml:space="preserve"> netrūkst arī uzņēmēju, kas turpina biznesa aktivitātes Krievijā.</w:t>
      </w:r>
    </w:p>
    <w:p w14:paraId="385E8161" w14:textId="77777777" w:rsidR="0031227F" w:rsidRPr="00D5635D" w:rsidRDefault="0031227F" w:rsidP="0031227F">
      <w:pPr>
        <w:rPr>
          <w:rFonts w:cs="Times New Roman"/>
          <w:bCs/>
          <w:sz w:val="24"/>
          <w:szCs w:val="24"/>
        </w:rPr>
      </w:pPr>
      <w:r w:rsidRPr="00D5635D">
        <w:rPr>
          <w:rFonts w:cs="Times New Roman"/>
          <w:bCs/>
          <w:sz w:val="24"/>
          <w:szCs w:val="24"/>
        </w:rPr>
        <w:t>Savukārt mazumtirdzniecības nozare (43% no visas tirdzniecības) pērnajā gadā uzrādīja izaugsmi 4,2% apmērā. Izaugsme gan veidojusies pret zemu bāzi, 2021</w:t>
      </w:r>
      <w:r>
        <w:rPr>
          <w:rFonts w:cs="Times New Roman"/>
          <w:bCs/>
          <w:sz w:val="24"/>
          <w:szCs w:val="24"/>
        </w:rPr>
        <w:t>. gad</w:t>
      </w:r>
      <w:r w:rsidRPr="00D5635D">
        <w:rPr>
          <w:rFonts w:cs="Times New Roman"/>
          <w:bCs/>
          <w:sz w:val="24"/>
          <w:szCs w:val="24"/>
        </w:rPr>
        <w:t xml:space="preserve">a sākumā un </w:t>
      </w:r>
      <w:r>
        <w:rPr>
          <w:rFonts w:cs="Times New Roman"/>
          <w:bCs/>
          <w:sz w:val="24"/>
          <w:szCs w:val="24"/>
        </w:rPr>
        <w:t>gada pēdējos mēnešos</w:t>
      </w:r>
      <w:r w:rsidRPr="00D5635D">
        <w:rPr>
          <w:rFonts w:cs="Times New Roman"/>
          <w:bCs/>
          <w:sz w:val="24"/>
          <w:szCs w:val="24"/>
        </w:rPr>
        <w:t xml:space="preserve"> mazumtirdzniecības apjomus ietekmējot pandēmi</w:t>
      </w:r>
      <w:r>
        <w:rPr>
          <w:rFonts w:cs="Times New Roman"/>
          <w:bCs/>
          <w:sz w:val="24"/>
          <w:szCs w:val="24"/>
        </w:rPr>
        <w:t>jas</w:t>
      </w:r>
      <w:r w:rsidRPr="00D5635D">
        <w:rPr>
          <w:rFonts w:cs="Times New Roman"/>
          <w:bCs/>
          <w:sz w:val="24"/>
          <w:szCs w:val="24"/>
        </w:rPr>
        <w:t xml:space="preserve"> ierobežojumiem. Arī līdz 2022</w:t>
      </w:r>
      <w:r>
        <w:rPr>
          <w:rFonts w:cs="Times New Roman"/>
          <w:bCs/>
          <w:sz w:val="24"/>
          <w:szCs w:val="24"/>
        </w:rPr>
        <w:t>. gad</w:t>
      </w:r>
      <w:r w:rsidRPr="00D5635D">
        <w:rPr>
          <w:rFonts w:cs="Times New Roman"/>
          <w:bCs/>
          <w:sz w:val="24"/>
          <w:szCs w:val="24"/>
        </w:rPr>
        <w:t>a 1.</w:t>
      </w:r>
      <w:r>
        <w:rPr>
          <w:rFonts w:cs="Times New Roman"/>
          <w:bCs/>
          <w:sz w:val="24"/>
          <w:szCs w:val="24"/>
        </w:rPr>
        <w:t> </w:t>
      </w:r>
      <w:r w:rsidRPr="00D5635D">
        <w:rPr>
          <w:rFonts w:cs="Times New Roman"/>
          <w:bCs/>
          <w:sz w:val="24"/>
          <w:szCs w:val="24"/>
        </w:rPr>
        <w:t>martam tirdzniecības vietu apmeklēšanai vēl bija nepieciešami Covid-19 sertifikāti. Līdz ar šī ierobežojuma atcelšanu tieši martā spēcīgi pieauga nepārtikas preču tirdzniecība. Taču nozari jau sagaidīja nākamie izaicinājumi. Pērnā gada jūlijā inflācija pirmo reizi pārsniedza 20% atzīmi un tādā līmenī</w:t>
      </w:r>
      <w:r>
        <w:rPr>
          <w:rFonts w:cs="Times New Roman"/>
          <w:bCs/>
          <w:sz w:val="24"/>
          <w:szCs w:val="24"/>
        </w:rPr>
        <w:t xml:space="preserve"> </w:t>
      </w:r>
      <w:r w:rsidRPr="00D5635D">
        <w:rPr>
          <w:rFonts w:cs="Times New Roman"/>
          <w:bCs/>
          <w:sz w:val="24"/>
          <w:szCs w:val="24"/>
        </w:rPr>
        <w:t>saglabājās arī atlikušo gad</w:t>
      </w:r>
      <w:r>
        <w:rPr>
          <w:rFonts w:cs="Times New Roman"/>
          <w:bCs/>
          <w:sz w:val="24"/>
          <w:szCs w:val="24"/>
        </w:rPr>
        <w:t>u, samazinot iedzīvotāju pirktspēju un raisot</w:t>
      </w:r>
      <w:r w:rsidRPr="00D5635D">
        <w:rPr>
          <w:rFonts w:cs="Times New Roman"/>
          <w:bCs/>
          <w:sz w:val="24"/>
          <w:szCs w:val="24"/>
        </w:rPr>
        <w:t xml:space="preserve"> bažas par privātā</w:t>
      </w:r>
      <w:r>
        <w:rPr>
          <w:rFonts w:cs="Times New Roman"/>
          <w:bCs/>
          <w:sz w:val="24"/>
          <w:szCs w:val="24"/>
        </w:rPr>
        <w:t xml:space="preserve"> patēriņa samazināšanos</w:t>
      </w:r>
      <w:r w:rsidRPr="00D5635D">
        <w:rPr>
          <w:rFonts w:cs="Times New Roman"/>
          <w:bCs/>
          <w:sz w:val="24"/>
          <w:szCs w:val="24"/>
        </w:rPr>
        <w:t>. Tomēr 2022</w:t>
      </w:r>
      <w:r>
        <w:rPr>
          <w:rFonts w:cs="Times New Roman"/>
          <w:bCs/>
          <w:sz w:val="24"/>
          <w:szCs w:val="24"/>
        </w:rPr>
        <w:t>. gad</w:t>
      </w:r>
      <w:r w:rsidRPr="00D5635D">
        <w:rPr>
          <w:rFonts w:cs="Times New Roman"/>
          <w:bCs/>
          <w:sz w:val="24"/>
          <w:szCs w:val="24"/>
        </w:rPr>
        <w:t>ā mazumtirdzniecības apjomu samazinājumi gada griezumā fiksēti vien atsevišķos mēnešos un tie nav bijuši nozīmīgi.</w:t>
      </w:r>
    </w:p>
    <w:p w14:paraId="1C964819" w14:textId="6EDF1485" w:rsidR="0031227F" w:rsidRPr="00D5635D" w:rsidRDefault="0031227F" w:rsidP="0031227F">
      <w:pPr>
        <w:rPr>
          <w:rFonts w:cs="Times New Roman"/>
          <w:bCs/>
          <w:sz w:val="24"/>
          <w:szCs w:val="24"/>
        </w:rPr>
      </w:pPr>
      <w:r w:rsidRPr="00D5635D">
        <w:rPr>
          <w:rFonts w:cs="Times New Roman"/>
          <w:bCs/>
          <w:sz w:val="24"/>
          <w:szCs w:val="24"/>
        </w:rPr>
        <w:t>Turpina pieaugt arī mājsaimniecību finanšu noguldījumu apjomi, taču pieauguma temps ik mēnesi samazinās. 2022</w:t>
      </w:r>
      <w:r>
        <w:rPr>
          <w:rFonts w:cs="Times New Roman"/>
          <w:bCs/>
          <w:sz w:val="24"/>
          <w:szCs w:val="24"/>
        </w:rPr>
        <w:t>. gad</w:t>
      </w:r>
      <w:r w:rsidRPr="00D5635D">
        <w:rPr>
          <w:rFonts w:cs="Times New Roman"/>
          <w:bCs/>
          <w:sz w:val="24"/>
          <w:szCs w:val="24"/>
        </w:rPr>
        <w:t>ā noguldījumu apjomi auguši vidēji par 8,4%, sasniedzot 10,17 mljrd</w:t>
      </w:r>
      <w:r w:rsidR="006866D8">
        <w:rPr>
          <w:rFonts w:cs="Times New Roman"/>
          <w:bCs/>
          <w:sz w:val="24"/>
          <w:szCs w:val="24"/>
        </w:rPr>
        <w:t>.</w:t>
      </w:r>
      <w:r w:rsidRPr="00D5635D">
        <w:rPr>
          <w:rFonts w:cs="Times New Roman"/>
          <w:bCs/>
          <w:sz w:val="24"/>
          <w:szCs w:val="24"/>
        </w:rPr>
        <w:t xml:space="preserve"> </w:t>
      </w:r>
      <w:proofErr w:type="spellStart"/>
      <w:r w:rsidRPr="00B57418">
        <w:rPr>
          <w:rFonts w:cs="Times New Roman"/>
          <w:bCs/>
          <w:i/>
          <w:iCs/>
          <w:sz w:val="24"/>
          <w:szCs w:val="24"/>
        </w:rPr>
        <w:t>e</w:t>
      </w:r>
      <w:r w:rsidR="00B57418" w:rsidRPr="00B57418">
        <w:rPr>
          <w:rFonts w:cs="Times New Roman"/>
          <w:bCs/>
          <w:i/>
          <w:iCs/>
          <w:sz w:val="24"/>
          <w:szCs w:val="24"/>
        </w:rPr>
        <w:t>u</w:t>
      </w:r>
      <w:r w:rsidRPr="00B57418">
        <w:rPr>
          <w:rFonts w:cs="Times New Roman"/>
          <w:bCs/>
          <w:i/>
          <w:iCs/>
          <w:sz w:val="24"/>
          <w:szCs w:val="24"/>
        </w:rPr>
        <w:t>ro</w:t>
      </w:r>
      <w:proofErr w:type="spellEnd"/>
      <w:r w:rsidRPr="00D5635D">
        <w:rPr>
          <w:rFonts w:cs="Times New Roman"/>
          <w:bCs/>
          <w:sz w:val="24"/>
          <w:szCs w:val="24"/>
        </w:rPr>
        <w:t>, bet 2021</w:t>
      </w:r>
      <w:r>
        <w:rPr>
          <w:rFonts w:cs="Times New Roman"/>
          <w:bCs/>
          <w:sz w:val="24"/>
          <w:szCs w:val="24"/>
        </w:rPr>
        <w:t>. gad</w:t>
      </w:r>
      <w:r w:rsidRPr="00D5635D">
        <w:rPr>
          <w:rFonts w:cs="Times New Roman"/>
          <w:bCs/>
          <w:sz w:val="24"/>
          <w:szCs w:val="24"/>
        </w:rPr>
        <w:t xml:space="preserve">ā – par 16,2%. Pērn inflācija </w:t>
      </w:r>
      <w:r>
        <w:rPr>
          <w:rFonts w:cs="Times New Roman"/>
          <w:bCs/>
          <w:sz w:val="24"/>
          <w:szCs w:val="24"/>
        </w:rPr>
        <w:t xml:space="preserve">ir </w:t>
      </w:r>
      <w:r w:rsidRPr="00D5635D">
        <w:rPr>
          <w:rFonts w:cs="Times New Roman"/>
          <w:bCs/>
          <w:sz w:val="24"/>
          <w:szCs w:val="24"/>
        </w:rPr>
        <w:t xml:space="preserve">augusi straujāk par noguldījumiem, tādējādi </w:t>
      </w:r>
      <w:r>
        <w:rPr>
          <w:rFonts w:cs="Times New Roman"/>
          <w:bCs/>
          <w:sz w:val="24"/>
          <w:szCs w:val="24"/>
        </w:rPr>
        <w:t>noguldījumu vērtība ir samazinājusies</w:t>
      </w:r>
      <w:r w:rsidRPr="00D5635D">
        <w:rPr>
          <w:rFonts w:cs="Times New Roman"/>
          <w:bCs/>
          <w:sz w:val="24"/>
          <w:szCs w:val="24"/>
        </w:rPr>
        <w:t>. Mājsaimniecības uzkrātos noguldījumus izmanto</w:t>
      </w:r>
      <w:r>
        <w:rPr>
          <w:rFonts w:cs="Times New Roman"/>
          <w:bCs/>
          <w:sz w:val="24"/>
          <w:szCs w:val="24"/>
        </w:rPr>
        <w:t>,</w:t>
      </w:r>
      <w:r w:rsidRPr="00D5635D">
        <w:rPr>
          <w:rFonts w:cs="Times New Roman"/>
          <w:bCs/>
          <w:sz w:val="24"/>
          <w:szCs w:val="24"/>
        </w:rPr>
        <w:t xml:space="preserve"> lai kompensētu dzīves sadārdzinājumu, kā </w:t>
      </w:r>
      <w:r>
        <w:rPr>
          <w:rFonts w:cs="Times New Roman"/>
          <w:bCs/>
          <w:sz w:val="24"/>
          <w:szCs w:val="24"/>
        </w:rPr>
        <w:t>arī cenšoties izvairīties no naudas vērtības samazināšanās.</w:t>
      </w:r>
    </w:p>
    <w:p w14:paraId="4C58A319" w14:textId="31791C87" w:rsidR="0031227F" w:rsidRDefault="0031227F" w:rsidP="0031227F">
      <w:pPr>
        <w:rPr>
          <w:rFonts w:cs="Times New Roman"/>
          <w:bCs/>
          <w:sz w:val="24"/>
          <w:szCs w:val="24"/>
        </w:rPr>
      </w:pPr>
      <w:r w:rsidRPr="00D5635D">
        <w:rPr>
          <w:rFonts w:cs="Times New Roman"/>
          <w:bCs/>
          <w:sz w:val="24"/>
          <w:szCs w:val="24"/>
        </w:rPr>
        <w:t>2023</w:t>
      </w:r>
      <w:r>
        <w:rPr>
          <w:rFonts w:cs="Times New Roman"/>
          <w:bCs/>
          <w:sz w:val="24"/>
          <w:szCs w:val="24"/>
        </w:rPr>
        <w:t>. gad</w:t>
      </w:r>
      <w:r w:rsidRPr="00D5635D">
        <w:rPr>
          <w:rFonts w:cs="Times New Roman"/>
          <w:bCs/>
          <w:sz w:val="24"/>
          <w:szCs w:val="24"/>
        </w:rPr>
        <w:t>a pirmajā pusgadā gan vairumtirdzniecības</w:t>
      </w:r>
      <w:r w:rsidR="00B57418">
        <w:rPr>
          <w:rFonts w:cs="Times New Roman"/>
          <w:bCs/>
          <w:sz w:val="24"/>
          <w:szCs w:val="24"/>
        </w:rPr>
        <w:t>,</w:t>
      </w:r>
      <w:r w:rsidRPr="00D5635D">
        <w:rPr>
          <w:rFonts w:cs="Times New Roman"/>
          <w:bCs/>
          <w:sz w:val="24"/>
          <w:szCs w:val="24"/>
        </w:rPr>
        <w:t xml:space="preserve"> gan mazumtirdzniecības nozarēs nav sagaidāma nozīmīga izaugsme, ko ietekmēs augstā bāze 2021</w:t>
      </w:r>
      <w:r>
        <w:rPr>
          <w:rFonts w:cs="Times New Roman"/>
          <w:bCs/>
          <w:sz w:val="24"/>
          <w:szCs w:val="24"/>
        </w:rPr>
        <w:t>. gad</w:t>
      </w:r>
      <w:r w:rsidRPr="00D5635D">
        <w:rPr>
          <w:rFonts w:cs="Times New Roman"/>
          <w:bCs/>
          <w:sz w:val="24"/>
          <w:szCs w:val="24"/>
        </w:rPr>
        <w:t>ā, taču otrajā pusgadā, samazinoties inflācijai</w:t>
      </w:r>
      <w:r>
        <w:rPr>
          <w:rFonts w:cs="Times New Roman"/>
          <w:bCs/>
          <w:sz w:val="24"/>
          <w:szCs w:val="24"/>
        </w:rPr>
        <w:t>,</w:t>
      </w:r>
      <w:r w:rsidRPr="00D5635D">
        <w:rPr>
          <w:rFonts w:cs="Times New Roman"/>
          <w:bCs/>
          <w:sz w:val="24"/>
          <w:szCs w:val="24"/>
        </w:rPr>
        <w:t xml:space="preserve"> sagaidāma izaugsme mazumtirdzniecībā, taču situācija vairumtirdzniecībā būs atkarīga no jaunu tirdzniecības partneru atrašanas.</w:t>
      </w:r>
    </w:p>
    <w:p w14:paraId="7F75E2E0" w14:textId="0E482875" w:rsidR="0031227F" w:rsidRDefault="0031227F" w:rsidP="0031227F">
      <w:pPr>
        <w:rPr>
          <w:rFonts w:eastAsia="Times New Roman" w:cs="Times New Roman"/>
          <w:sz w:val="24"/>
          <w:szCs w:val="24"/>
          <w:shd w:val="clear" w:color="auto" w:fill="FFFFFF"/>
        </w:rPr>
      </w:pPr>
      <w:r w:rsidRPr="00A120D9">
        <w:rPr>
          <w:rFonts w:eastAsia="Times New Roman" w:cs="Times New Roman"/>
          <w:sz w:val="24"/>
          <w:szCs w:val="24"/>
          <w:shd w:val="clear" w:color="auto" w:fill="FFFFFF"/>
        </w:rPr>
        <w:t xml:space="preserve">Covid-19 krīzes vissmagāk skartā </w:t>
      </w:r>
      <w:r w:rsidRPr="00A120D9">
        <w:rPr>
          <w:rFonts w:eastAsia="Times New Roman" w:cs="Times New Roman"/>
          <w:b/>
          <w:bCs/>
          <w:sz w:val="24"/>
          <w:szCs w:val="24"/>
          <w:shd w:val="clear" w:color="auto" w:fill="FFFFFF"/>
        </w:rPr>
        <w:t xml:space="preserve">izmitināšanas un ēdināšanas nozare </w:t>
      </w:r>
      <w:r w:rsidRPr="00A120D9">
        <w:rPr>
          <w:rFonts w:eastAsia="Times New Roman" w:cs="Times New Roman"/>
          <w:sz w:val="24"/>
          <w:szCs w:val="24"/>
          <w:shd w:val="clear" w:color="auto" w:fill="FFFFFF"/>
        </w:rPr>
        <w:t xml:space="preserve">pēc </w:t>
      </w:r>
      <w:r>
        <w:rPr>
          <w:rFonts w:eastAsia="Times New Roman" w:cs="Times New Roman"/>
          <w:sz w:val="24"/>
          <w:szCs w:val="24"/>
          <w:shd w:val="clear" w:color="auto" w:fill="FFFFFF"/>
        </w:rPr>
        <w:t>smaga krituma gan 2020.</w:t>
      </w:r>
      <w:r w:rsidR="00B57418">
        <w:rPr>
          <w:rFonts w:eastAsia="Times New Roman" w:cs="Times New Roman"/>
          <w:sz w:val="24"/>
          <w:szCs w:val="24"/>
          <w:shd w:val="clear" w:color="auto" w:fill="FFFFFF"/>
        </w:rPr>
        <w:t>,</w:t>
      </w:r>
      <w:r>
        <w:rPr>
          <w:rFonts w:eastAsia="Times New Roman" w:cs="Times New Roman"/>
          <w:sz w:val="24"/>
          <w:szCs w:val="24"/>
          <w:shd w:val="clear" w:color="auto" w:fill="FFFFFF"/>
        </w:rPr>
        <w:t xml:space="preserve"> gan 2021. gadā, pērn sasniedza 57,5% pieaugumu, tomēr nozares apjomi joprojām būtiski atpaliek no </w:t>
      </w:r>
      <w:proofErr w:type="spellStart"/>
      <w:r>
        <w:rPr>
          <w:rFonts w:eastAsia="Times New Roman" w:cs="Times New Roman"/>
          <w:sz w:val="24"/>
          <w:szCs w:val="24"/>
          <w:shd w:val="clear" w:color="auto" w:fill="FFFFFF"/>
        </w:rPr>
        <w:t>pirmspandēmijas</w:t>
      </w:r>
      <w:proofErr w:type="spellEnd"/>
      <w:r>
        <w:rPr>
          <w:rFonts w:eastAsia="Times New Roman" w:cs="Times New Roman"/>
          <w:sz w:val="24"/>
          <w:szCs w:val="24"/>
          <w:shd w:val="clear" w:color="auto" w:fill="FFFFFF"/>
        </w:rPr>
        <w:t xml:space="preserve">, 2019. gada līmeņa. Atpalicību nosaka gan pagājušā gada laikā atsevišķos mēnešos pastāvējušie Covid-19 ierobežojumi, gan Krievijas sāktais karš Ukrainā, samazinot ārvalstu tūristu skaitu gan no sankcijām pakļautajām </w:t>
      </w:r>
      <w:proofErr w:type="spellStart"/>
      <w:r>
        <w:rPr>
          <w:rFonts w:eastAsia="Times New Roman" w:cs="Times New Roman"/>
          <w:sz w:val="24"/>
          <w:szCs w:val="24"/>
          <w:shd w:val="clear" w:color="auto" w:fill="FFFFFF"/>
        </w:rPr>
        <w:t>agresorvalstīm</w:t>
      </w:r>
      <w:proofErr w:type="spellEnd"/>
      <w:r>
        <w:rPr>
          <w:rFonts w:eastAsia="Times New Roman" w:cs="Times New Roman"/>
          <w:sz w:val="24"/>
          <w:szCs w:val="24"/>
          <w:shd w:val="clear" w:color="auto" w:fill="FFFFFF"/>
        </w:rPr>
        <w:t xml:space="preserve">, gan tālākām rietumvalstīm, to ceļotājiem bažījoties par pieaugušajiem drošības riskiem. </w:t>
      </w:r>
    </w:p>
    <w:p w14:paraId="688DA1AF" w14:textId="6FC65E61" w:rsidR="0031227F" w:rsidRDefault="0031227F" w:rsidP="0031227F">
      <w:pPr>
        <w:rPr>
          <w:rFonts w:eastAsia="Times New Roman" w:cs="Times New Roman"/>
          <w:bCs/>
          <w:sz w:val="24"/>
          <w:szCs w:val="24"/>
        </w:rPr>
      </w:pPr>
      <w:r w:rsidRPr="00B57418">
        <w:rPr>
          <w:rFonts w:eastAsia="Times New Roman" w:cs="Times New Roman"/>
          <w:sz w:val="24"/>
          <w:szCs w:val="24"/>
          <w:shd w:val="clear" w:color="auto" w:fill="FFFFFF"/>
        </w:rPr>
        <w:t>2022. gadā kopā</w:t>
      </w:r>
      <w:r w:rsidRPr="00A120D9">
        <w:rPr>
          <w:rFonts w:eastAsia="Times New Roman" w:cs="Times New Roman"/>
          <w:sz w:val="24"/>
          <w:szCs w:val="24"/>
          <w:shd w:val="clear" w:color="auto" w:fill="FFFFFF"/>
        </w:rPr>
        <w:t xml:space="preserve"> Latvijas</w:t>
      </w:r>
      <w:r w:rsidRPr="00A120D9">
        <w:rPr>
          <w:rFonts w:eastAsia="Times New Roman" w:cs="Times New Roman"/>
          <w:bCs/>
          <w:sz w:val="24"/>
          <w:szCs w:val="24"/>
        </w:rPr>
        <w:t xml:space="preserve"> tūristu mītnēs vietējie un ārvalstu viesi pavadīja </w:t>
      </w:r>
      <w:r>
        <w:rPr>
          <w:rFonts w:eastAsia="Times New Roman" w:cs="Times New Roman"/>
          <w:bCs/>
          <w:sz w:val="24"/>
          <w:szCs w:val="24"/>
        </w:rPr>
        <w:t>3,9</w:t>
      </w:r>
      <w:r w:rsidRPr="00A120D9">
        <w:rPr>
          <w:rFonts w:eastAsia="Times New Roman" w:cs="Times New Roman"/>
          <w:bCs/>
          <w:sz w:val="24"/>
          <w:szCs w:val="24"/>
        </w:rPr>
        <w:t xml:space="preserve"> milj</w:t>
      </w:r>
      <w:r>
        <w:rPr>
          <w:rFonts w:eastAsia="Times New Roman" w:cs="Times New Roman"/>
          <w:bCs/>
          <w:sz w:val="24"/>
          <w:szCs w:val="24"/>
        </w:rPr>
        <w:t>.</w:t>
      </w:r>
      <w:r w:rsidRPr="00A120D9">
        <w:rPr>
          <w:rFonts w:eastAsia="Times New Roman" w:cs="Times New Roman"/>
          <w:bCs/>
          <w:sz w:val="24"/>
          <w:szCs w:val="24"/>
        </w:rPr>
        <w:t xml:space="preserve"> nakšu, kas bija par </w:t>
      </w:r>
      <w:r>
        <w:rPr>
          <w:rFonts w:eastAsia="Times New Roman" w:cs="Times New Roman"/>
          <w:bCs/>
          <w:sz w:val="24"/>
          <w:szCs w:val="24"/>
        </w:rPr>
        <w:t>63,2</w:t>
      </w:r>
      <w:r w:rsidRPr="00A120D9">
        <w:rPr>
          <w:rFonts w:eastAsia="Times New Roman" w:cs="Times New Roman"/>
          <w:bCs/>
          <w:sz w:val="24"/>
          <w:szCs w:val="24"/>
        </w:rPr>
        <w:t xml:space="preserve">% </w:t>
      </w:r>
      <w:r>
        <w:rPr>
          <w:rFonts w:eastAsia="Times New Roman" w:cs="Times New Roman"/>
          <w:bCs/>
          <w:sz w:val="24"/>
          <w:szCs w:val="24"/>
        </w:rPr>
        <w:t>vairāk</w:t>
      </w:r>
      <w:r w:rsidRPr="00A120D9">
        <w:rPr>
          <w:rFonts w:eastAsia="Times New Roman" w:cs="Times New Roman"/>
          <w:bCs/>
          <w:sz w:val="24"/>
          <w:szCs w:val="24"/>
        </w:rPr>
        <w:t xml:space="preserve"> nekā 202</w:t>
      </w:r>
      <w:r>
        <w:rPr>
          <w:rFonts w:eastAsia="Times New Roman" w:cs="Times New Roman"/>
          <w:bCs/>
          <w:sz w:val="24"/>
          <w:szCs w:val="24"/>
        </w:rPr>
        <w:t>1. gad</w:t>
      </w:r>
      <w:r w:rsidRPr="00A120D9">
        <w:rPr>
          <w:rFonts w:eastAsia="Times New Roman" w:cs="Times New Roman"/>
          <w:bCs/>
          <w:sz w:val="24"/>
          <w:szCs w:val="24"/>
        </w:rPr>
        <w:t xml:space="preserve">ā. </w:t>
      </w:r>
      <w:r>
        <w:rPr>
          <w:rFonts w:eastAsia="Times New Roman" w:cs="Times New Roman"/>
          <w:bCs/>
          <w:sz w:val="24"/>
          <w:szCs w:val="24"/>
        </w:rPr>
        <w:t xml:space="preserve">Tajā skaitā ārvalstu viesu pavadīto </w:t>
      </w:r>
      <w:r w:rsidRPr="00A120D9">
        <w:rPr>
          <w:rFonts w:eastAsia="Times New Roman" w:cs="Times New Roman"/>
          <w:bCs/>
          <w:sz w:val="24"/>
          <w:szCs w:val="24"/>
        </w:rPr>
        <w:t xml:space="preserve">nakšu skaits bija par </w:t>
      </w:r>
      <w:r>
        <w:rPr>
          <w:rFonts w:eastAsia="Times New Roman" w:cs="Times New Roman"/>
          <w:bCs/>
          <w:sz w:val="24"/>
          <w:szCs w:val="24"/>
        </w:rPr>
        <w:t xml:space="preserve">2,4 reizes lielāks </w:t>
      </w:r>
      <w:r w:rsidRPr="00A120D9">
        <w:rPr>
          <w:rFonts w:eastAsia="Times New Roman" w:cs="Times New Roman"/>
          <w:bCs/>
          <w:sz w:val="24"/>
          <w:szCs w:val="24"/>
        </w:rPr>
        <w:t xml:space="preserve">nekā pirms gada, bet vietējo viesu nakšu skaits pieauga par </w:t>
      </w:r>
      <w:r>
        <w:rPr>
          <w:rFonts w:eastAsia="Times New Roman" w:cs="Times New Roman"/>
          <w:bCs/>
          <w:sz w:val="24"/>
          <w:szCs w:val="24"/>
        </w:rPr>
        <w:t>16,7</w:t>
      </w:r>
      <w:r w:rsidRPr="00A120D9">
        <w:rPr>
          <w:rFonts w:eastAsia="Times New Roman" w:cs="Times New Roman"/>
          <w:bCs/>
          <w:sz w:val="24"/>
          <w:szCs w:val="24"/>
        </w:rPr>
        <w:t>%</w:t>
      </w:r>
      <w:r>
        <w:rPr>
          <w:rFonts w:eastAsia="Times New Roman" w:cs="Times New Roman"/>
          <w:bCs/>
          <w:sz w:val="24"/>
          <w:szCs w:val="24"/>
        </w:rPr>
        <w:t>. Tajā pašā laikā ārvalstu viesu pavadīto nakšu skaits joprojām bija par 45,1% mazāks nekā pirms pandēmijas, 2019. gadā, kamēr vietējo viesu pavadīto nakšu skaits šajā laikā pieaudzis par 6,7%.</w:t>
      </w:r>
      <w:r w:rsidR="00B57418">
        <w:rPr>
          <w:rFonts w:eastAsia="Times New Roman" w:cs="Times New Roman"/>
          <w:bCs/>
          <w:sz w:val="24"/>
          <w:szCs w:val="24"/>
        </w:rPr>
        <w:t xml:space="preserve"> </w:t>
      </w:r>
    </w:p>
    <w:p w14:paraId="1C80AF96" w14:textId="77777777" w:rsidR="0031227F" w:rsidRPr="00D271FA" w:rsidRDefault="0031227F" w:rsidP="0031227F">
      <w:r w:rsidRPr="00D271FA">
        <w:rPr>
          <w:rFonts w:eastAsia="Times New Roman" w:cs="Times New Roman"/>
          <w:bCs/>
          <w:sz w:val="24"/>
          <w:szCs w:val="24"/>
        </w:rPr>
        <w:t xml:space="preserve">Vēl viena Covid-19 krīzē smagāk cietusī nozare </w:t>
      </w:r>
      <w:r w:rsidRPr="00D271FA">
        <w:rPr>
          <w:rFonts w:eastAsia="Times New Roman" w:cs="Times New Roman"/>
          <w:b/>
          <w:sz w:val="24"/>
          <w:szCs w:val="24"/>
          <w:shd w:val="clear" w:color="auto" w:fill="FFFFFF"/>
        </w:rPr>
        <w:t xml:space="preserve">māksla, izklaide un atpūta </w:t>
      </w:r>
      <w:r w:rsidRPr="00D271FA">
        <w:rPr>
          <w:rFonts w:eastAsia="Times New Roman" w:cs="Times New Roman"/>
          <w:bCs/>
          <w:sz w:val="24"/>
          <w:szCs w:val="24"/>
        </w:rPr>
        <w:t>pēc 3,4% sarukuma 2021. gadā, 2022. gadā līdz ar ierobežojumu atcelšanu pieauga par 26,6%.</w:t>
      </w:r>
    </w:p>
    <w:p w14:paraId="0FDCCE62" w14:textId="77777777" w:rsidR="0031227F" w:rsidRDefault="0031227F" w:rsidP="0031227F">
      <w:pPr>
        <w:rPr>
          <w:rFonts w:cs="Times New Roman"/>
          <w:bCs/>
          <w:sz w:val="24"/>
          <w:szCs w:val="24"/>
        </w:rPr>
      </w:pPr>
      <w:r w:rsidRPr="00D271FA">
        <w:rPr>
          <w:rFonts w:cs="Times New Roman"/>
          <w:bCs/>
          <w:sz w:val="24"/>
          <w:szCs w:val="24"/>
        </w:rPr>
        <w:t>Pēc pievienotās vērtības samazinājuma 2021. gadā,</w:t>
      </w:r>
      <w:r w:rsidRPr="00D271FA">
        <w:rPr>
          <w:rFonts w:cs="Times New Roman"/>
          <w:b/>
          <w:sz w:val="24"/>
          <w:szCs w:val="24"/>
        </w:rPr>
        <w:t xml:space="preserve"> lauksaimniecības nozarē</w:t>
      </w:r>
      <w:r w:rsidRPr="00D271FA">
        <w:rPr>
          <w:rFonts w:cs="Times New Roman"/>
          <w:bCs/>
          <w:sz w:val="24"/>
          <w:szCs w:val="24"/>
        </w:rPr>
        <w:t xml:space="preserve"> 2022. gadā pievienotā vērtība atkal palielinājusies par 7,0%. Augkopībā aizvadītā vasara laikapstākļu ziņā bijusi pateicīgāka nekā 2021. gada vasara, lauksaimnieki norāda arī uz </w:t>
      </w:r>
      <w:r w:rsidRPr="00D271FA">
        <w:rPr>
          <w:rFonts w:cs="Times New Roman"/>
          <w:bCs/>
          <w:sz w:val="24"/>
          <w:szCs w:val="24"/>
        </w:rPr>
        <w:lastRenderedPageBreak/>
        <w:t>lielākiem ražas apjomiem. Arī kviešu un rudzu eksporta apjomi pērn ir palielinājušies, bet sējumu platības pērn gan nav palielinājušās.</w:t>
      </w:r>
    </w:p>
    <w:p w14:paraId="24E6449E" w14:textId="77777777" w:rsidR="0031227F" w:rsidRPr="000270F6" w:rsidRDefault="0031227F" w:rsidP="0031227F">
      <w:pPr>
        <w:pStyle w:val="H4"/>
        <w:spacing w:before="240"/>
        <w:ind w:left="0" w:firstLine="720"/>
        <w:jc w:val="both"/>
        <w:rPr>
          <w:rFonts w:ascii="Times New Roman" w:hAnsi="Times New Roman"/>
          <w:iCs/>
          <w:sz w:val="24"/>
          <w:szCs w:val="24"/>
        </w:rPr>
      </w:pPr>
      <w:r w:rsidRPr="00DD5FFD">
        <w:rPr>
          <w:rFonts w:ascii="Times New Roman" w:hAnsi="Times New Roman"/>
          <w:iCs/>
          <w:sz w:val="24"/>
          <w:szCs w:val="24"/>
        </w:rPr>
        <w:t>Investīcijas</w:t>
      </w:r>
    </w:p>
    <w:p w14:paraId="30E33206" w14:textId="77777777" w:rsidR="0031227F" w:rsidRDefault="0031227F" w:rsidP="0031227F">
      <w:pPr>
        <w:rPr>
          <w:rFonts w:cs="Times New Roman"/>
          <w:noProof/>
          <w:sz w:val="24"/>
          <w:szCs w:val="24"/>
        </w:rPr>
      </w:pPr>
      <w:r w:rsidRPr="000755E3">
        <w:rPr>
          <w:rFonts w:eastAsia="Calibri" w:cs="Arial"/>
          <w:noProof/>
          <w:sz w:val="24"/>
          <w:szCs w:val="24"/>
        </w:rPr>
        <w:t>202</w:t>
      </w:r>
      <w:r>
        <w:rPr>
          <w:rFonts w:eastAsia="Calibri" w:cs="Arial"/>
          <w:noProof/>
          <w:sz w:val="24"/>
          <w:szCs w:val="24"/>
        </w:rPr>
        <w:t>2. gad</w:t>
      </w:r>
      <w:r w:rsidRPr="000755E3">
        <w:rPr>
          <w:rFonts w:eastAsia="Calibri" w:cs="Arial"/>
          <w:noProof/>
          <w:sz w:val="24"/>
          <w:szCs w:val="24"/>
        </w:rPr>
        <w:t>ā investīciju apjoms Latvijā p</w:t>
      </w:r>
      <w:r>
        <w:rPr>
          <w:rFonts w:eastAsia="Calibri" w:cs="Arial"/>
          <w:noProof/>
          <w:sz w:val="24"/>
          <w:szCs w:val="24"/>
        </w:rPr>
        <w:t xml:space="preserve">ieauga </w:t>
      </w:r>
      <w:r w:rsidRPr="000755E3">
        <w:rPr>
          <w:rFonts w:eastAsia="Calibri" w:cs="Arial"/>
          <w:noProof/>
          <w:sz w:val="24"/>
          <w:szCs w:val="24"/>
        </w:rPr>
        <w:t xml:space="preserve">par </w:t>
      </w:r>
      <w:r>
        <w:rPr>
          <w:rFonts w:eastAsia="Calibri" w:cs="Arial"/>
          <w:noProof/>
          <w:sz w:val="24"/>
          <w:szCs w:val="24"/>
        </w:rPr>
        <w:t>0,7</w:t>
      </w:r>
      <w:r w:rsidRPr="000755E3">
        <w:rPr>
          <w:rFonts w:eastAsia="Calibri" w:cs="Arial"/>
          <w:noProof/>
          <w:sz w:val="24"/>
          <w:szCs w:val="24"/>
        </w:rPr>
        <w:t xml:space="preserve">% </w:t>
      </w:r>
      <w:r w:rsidRPr="000755E3">
        <w:rPr>
          <w:rFonts w:eastAsia="Calibri" w:cs="Times New Roman"/>
          <w:sz w:val="24"/>
          <w:szCs w:val="24"/>
        </w:rPr>
        <w:t>salīdzināmajās cenās</w:t>
      </w:r>
      <w:r w:rsidRPr="000755E3">
        <w:rPr>
          <w:rFonts w:eastAsia="Calibri" w:cs="Arial"/>
          <w:noProof/>
          <w:sz w:val="24"/>
          <w:szCs w:val="24"/>
        </w:rPr>
        <w:t>, kopumā veidojot 6</w:t>
      </w:r>
      <w:r>
        <w:rPr>
          <w:rFonts w:eastAsia="Calibri" w:cs="Arial"/>
          <w:noProof/>
          <w:sz w:val="24"/>
          <w:szCs w:val="24"/>
        </w:rPr>
        <w:t>630</w:t>
      </w:r>
      <w:r w:rsidRPr="000755E3">
        <w:rPr>
          <w:rFonts w:eastAsia="Calibri" w:cs="Arial"/>
          <w:noProof/>
          <w:sz w:val="24"/>
          <w:szCs w:val="24"/>
        </w:rPr>
        <w:t xml:space="preserve"> milj. </w:t>
      </w:r>
      <w:r w:rsidRPr="000755E3">
        <w:rPr>
          <w:rFonts w:eastAsia="Calibri" w:cs="Arial"/>
          <w:i/>
          <w:iCs/>
          <w:noProof/>
          <w:sz w:val="24"/>
          <w:szCs w:val="24"/>
        </w:rPr>
        <w:t>euro</w:t>
      </w:r>
      <w:r w:rsidRPr="000755E3">
        <w:rPr>
          <w:rFonts w:eastAsia="Calibri" w:cs="Arial"/>
          <w:noProof/>
          <w:sz w:val="24"/>
          <w:szCs w:val="24"/>
        </w:rPr>
        <w:t xml:space="preserve">. Salīdzinājumā ar pārējām IKP sastāvdaļām </w:t>
      </w:r>
      <w:r>
        <w:rPr>
          <w:rFonts w:eastAsia="Calibri" w:cs="Arial"/>
          <w:noProof/>
          <w:sz w:val="24"/>
          <w:szCs w:val="24"/>
        </w:rPr>
        <w:t xml:space="preserve">– </w:t>
      </w:r>
      <w:r w:rsidRPr="000755E3">
        <w:rPr>
          <w:rFonts w:eastAsia="Calibri" w:cs="Arial"/>
          <w:noProof/>
          <w:sz w:val="24"/>
          <w:szCs w:val="24"/>
        </w:rPr>
        <w:t>privāto un sabiedrisko patēriņu, kā arī eksportu, investīciju sniegums bija visvājākais</w:t>
      </w:r>
      <w:r>
        <w:rPr>
          <w:rFonts w:eastAsia="Calibri" w:cs="Arial"/>
          <w:noProof/>
          <w:sz w:val="24"/>
          <w:szCs w:val="24"/>
        </w:rPr>
        <w:t>, nodrošinot vien 0,2 procentpunktus IKP pieaugum</w:t>
      </w:r>
      <w:r w:rsidRPr="005D34A9">
        <w:rPr>
          <w:rFonts w:eastAsia="Calibri" w:cs="Arial"/>
          <w:noProof/>
          <w:sz w:val="24"/>
          <w:szCs w:val="24"/>
        </w:rPr>
        <w:t>ā. Tādējādi investīciju īpatsvars IKP ir samazinājies līdz 23,0%, kas ir par 0,3 procentpunktiem mazāk nekā 202</w:t>
      </w:r>
      <w:r w:rsidRPr="00D82722">
        <w:rPr>
          <w:rFonts w:eastAsia="Calibri" w:cs="Arial"/>
          <w:noProof/>
          <w:sz w:val="24"/>
          <w:szCs w:val="24"/>
        </w:rPr>
        <w:t>1. gadā. Jāatzīmē, ka investīciju deflators 2022. gadā bija 12,4%. Tas</w:t>
      </w:r>
      <w:r w:rsidRPr="00D82722">
        <w:rPr>
          <w:rFonts w:cs="Times New Roman"/>
          <w:noProof/>
          <w:sz w:val="24"/>
          <w:szCs w:val="24"/>
        </w:rPr>
        <w:t xml:space="preserve"> nozīmē, ka faktiskajās cenās investīciju apjoms tautsaimniecībā palielinājies par 13,2%, apliecinot, ka inflācijai bija būtiska negatīva ietekme arī uz investīciju aktivitāti.</w:t>
      </w:r>
    </w:p>
    <w:p w14:paraId="1702D4BE" w14:textId="77777777" w:rsidR="0031227F" w:rsidRPr="00954E1C" w:rsidRDefault="0031227F" w:rsidP="0031227F">
      <w:pPr>
        <w:rPr>
          <w:rFonts w:cs="Times New Roman"/>
          <w:noProof/>
          <w:sz w:val="24"/>
          <w:szCs w:val="24"/>
        </w:rPr>
      </w:pPr>
      <w:bookmarkStart w:id="12" w:name="_Hlk130211896"/>
      <w:r w:rsidRPr="00BD1B8F">
        <w:rPr>
          <w:rFonts w:eastAsia="Calibri" w:cs="Arial"/>
          <w:noProof/>
          <w:color w:val="000000"/>
          <w:sz w:val="24"/>
          <w:szCs w:val="24"/>
        </w:rPr>
        <w:t xml:space="preserve">Investīciju apjoms 2022. gada pirmajā ceturksnī bija par 2,1% lielāks nekā attiecīgajā laika periodā iepriekšējā gadā. Šāds pieaugums bija līdzīgs kā 2021. gadā, kad investīciju apjoms vidēji palielinājās par 2,9%. </w:t>
      </w:r>
      <w:bookmarkEnd w:id="12"/>
      <w:r w:rsidRPr="00BD1B8F">
        <w:rPr>
          <w:rFonts w:eastAsia="Calibri" w:cs="Arial"/>
          <w:noProof/>
          <w:color w:val="000000"/>
          <w:sz w:val="24"/>
          <w:szCs w:val="24"/>
        </w:rPr>
        <w:t xml:space="preserve">Tomēr turpmākajos 2022. gada ceturkšņos investīciju aktivitāte būtiski piebremzējās, attiecīgi līdz 0,9%, 0,3% un 0,2%, </w:t>
      </w:r>
      <w:r w:rsidRPr="00BD1B8F">
        <w:rPr>
          <w:rFonts w:cs="Times New Roman"/>
          <w:noProof/>
          <w:sz w:val="24"/>
          <w:szCs w:val="24"/>
        </w:rPr>
        <w:t>salīdzinot ar attiecīgo ceturksni</w:t>
      </w:r>
      <w:r w:rsidRPr="00BD1B8F">
        <w:rPr>
          <w:rFonts w:cs="Times New Roman"/>
          <w:sz w:val="24"/>
          <w:szCs w:val="24"/>
        </w:rPr>
        <w:t xml:space="preserve"> 2021. gadā.</w:t>
      </w:r>
      <w:r w:rsidRPr="00BD1B8F">
        <w:rPr>
          <w:rFonts w:cs="Times New Roman"/>
          <w:noProof/>
          <w:sz w:val="24"/>
          <w:szCs w:val="24"/>
        </w:rPr>
        <w:t xml:space="preserve"> Lai arī kopējā investīciju dinamika bija vāja, tomēr investīciju izmaiņas pa aktīvu veidiem bija ļoti neviendabīgas. Investīciju kāpumu 2022. gadā veicināja lielākas investīcijas iekārtās un mašīnās, kā arī intelektuālajā īpašumā. Vienlaicīgi investīcijas ēkās un būvēs bija būtiski zemākas nekā 2021. gadā.</w:t>
      </w:r>
    </w:p>
    <w:p w14:paraId="62A83837" w14:textId="463C0586" w:rsidR="0031227F" w:rsidRPr="00D800D3" w:rsidRDefault="0031227F" w:rsidP="0031227F">
      <w:pPr>
        <w:ind w:firstLine="709"/>
        <w:rPr>
          <w:rFonts w:cs="Times New Roman"/>
          <w:noProof/>
          <w:sz w:val="24"/>
          <w:szCs w:val="24"/>
        </w:rPr>
      </w:pPr>
      <w:r w:rsidRPr="00BD1B8F">
        <w:rPr>
          <w:rFonts w:cs="Times New Roman"/>
          <w:noProof/>
          <w:sz w:val="24"/>
          <w:szCs w:val="24"/>
        </w:rPr>
        <w:t>Pērn noteicošā</w:t>
      </w:r>
      <w:r w:rsidRPr="00954E1C">
        <w:rPr>
          <w:rFonts w:cs="Times New Roman"/>
          <w:noProof/>
          <w:sz w:val="24"/>
          <w:szCs w:val="24"/>
        </w:rPr>
        <w:t xml:space="preserve"> lomā kopējā investīciju pieaugumā </w:t>
      </w:r>
      <w:r>
        <w:rPr>
          <w:rFonts w:cs="Times New Roman"/>
          <w:noProof/>
          <w:sz w:val="24"/>
          <w:szCs w:val="24"/>
        </w:rPr>
        <w:t>bija i</w:t>
      </w:r>
      <w:r w:rsidRPr="00954E1C">
        <w:rPr>
          <w:rFonts w:cs="Times New Roman"/>
          <w:noProof/>
          <w:sz w:val="24"/>
          <w:szCs w:val="24"/>
        </w:rPr>
        <w:t xml:space="preserve">nvestīcijām iekārtās un mašīnās. Šo investīciju apjoms palielinājās par </w:t>
      </w:r>
      <w:r>
        <w:rPr>
          <w:rFonts w:cs="Times New Roman"/>
          <w:noProof/>
          <w:sz w:val="24"/>
          <w:szCs w:val="24"/>
        </w:rPr>
        <w:t>9,0</w:t>
      </w:r>
      <w:r w:rsidRPr="00954E1C">
        <w:rPr>
          <w:rFonts w:cs="Times New Roman"/>
          <w:noProof/>
          <w:sz w:val="24"/>
          <w:szCs w:val="24"/>
        </w:rPr>
        <w:t>% salīdzinājumā ar 2021</w:t>
      </w:r>
      <w:r>
        <w:rPr>
          <w:rFonts w:cs="Times New Roman"/>
          <w:noProof/>
          <w:sz w:val="24"/>
          <w:szCs w:val="24"/>
        </w:rPr>
        <w:t>. gadu</w:t>
      </w:r>
      <w:r w:rsidRPr="00954E1C">
        <w:rPr>
          <w:rFonts w:cs="Times New Roman"/>
          <w:noProof/>
          <w:sz w:val="24"/>
          <w:szCs w:val="24"/>
        </w:rPr>
        <w:t xml:space="preserve">, veidojot </w:t>
      </w:r>
      <w:r>
        <w:rPr>
          <w:rFonts w:cs="Times New Roman"/>
          <w:noProof/>
          <w:sz w:val="24"/>
          <w:szCs w:val="24"/>
        </w:rPr>
        <w:t>52,2</w:t>
      </w:r>
      <w:r w:rsidRPr="00954E1C">
        <w:rPr>
          <w:rFonts w:cs="Times New Roman"/>
          <w:noProof/>
          <w:sz w:val="24"/>
          <w:szCs w:val="24"/>
        </w:rPr>
        <w:t>% no kopējām investīcijām</w:t>
      </w:r>
      <w:r>
        <w:rPr>
          <w:rFonts w:cs="Times New Roman"/>
          <w:noProof/>
          <w:sz w:val="24"/>
          <w:szCs w:val="24"/>
        </w:rPr>
        <w:t xml:space="preserve"> jeb 3458 milj. </w:t>
      </w:r>
      <w:r w:rsidRPr="00641604">
        <w:rPr>
          <w:rFonts w:cs="Times New Roman"/>
          <w:i/>
          <w:iCs/>
          <w:noProof/>
          <w:sz w:val="24"/>
          <w:szCs w:val="24"/>
        </w:rPr>
        <w:t>euro.</w:t>
      </w:r>
      <w:r w:rsidRPr="00954E1C">
        <w:rPr>
          <w:rFonts w:cs="Times New Roman"/>
          <w:noProof/>
          <w:sz w:val="24"/>
          <w:szCs w:val="24"/>
        </w:rPr>
        <w:t xml:space="preserve"> </w:t>
      </w:r>
      <w:r>
        <w:rPr>
          <w:rFonts w:cs="Times New Roman"/>
          <w:noProof/>
          <w:sz w:val="24"/>
          <w:szCs w:val="24"/>
        </w:rPr>
        <w:t xml:space="preserve">Investīcijas </w:t>
      </w:r>
      <w:r w:rsidRPr="00D800D3">
        <w:rPr>
          <w:rFonts w:cs="Times New Roman"/>
          <w:noProof/>
          <w:sz w:val="24"/>
          <w:szCs w:val="24"/>
        </w:rPr>
        <w:t>tehnoloģiskajās iekārtās un mašīnās nepārtraukti pieaug jau kopš 2016. gada, tādējādi pietuvojoties vēsturiski augstākajam līmenim 2007. gadā, kad investīciju apjoms šajās pamatlīdzekļos veidoja gandrīz 4 mljrd</w:t>
      </w:r>
      <w:r w:rsidR="006866D8">
        <w:rPr>
          <w:rFonts w:cs="Times New Roman"/>
          <w:noProof/>
          <w:sz w:val="24"/>
          <w:szCs w:val="24"/>
        </w:rPr>
        <w:t>.</w:t>
      </w:r>
      <w:r w:rsidRPr="00D800D3">
        <w:rPr>
          <w:rFonts w:cs="Times New Roman"/>
          <w:noProof/>
          <w:sz w:val="24"/>
          <w:szCs w:val="24"/>
        </w:rPr>
        <w:t xml:space="preserve"> </w:t>
      </w:r>
      <w:r w:rsidRPr="00D800D3">
        <w:rPr>
          <w:rFonts w:cs="Times New Roman"/>
          <w:i/>
          <w:iCs/>
          <w:noProof/>
          <w:sz w:val="24"/>
          <w:szCs w:val="24"/>
        </w:rPr>
        <w:t xml:space="preserve">euro. </w:t>
      </w:r>
      <w:r w:rsidRPr="00D800D3">
        <w:rPr>
          <w:rFonts w:cs="Times New Roman"/>
          <w:noProof/>
          <w:sz w:val="24"/>
          <w:szCs w:val="24"/>
        </w:rPr>
        <w:t>Līdz 2020. gadam investīcijās ēkās un būvēs veidoja lielāko daļu no kopējām investīcijām, bet pēdējos divos gados par galveno investīciju objektu kļuva tieši investīcijas iekārtās un mašīnās</w:t>
      </w:r>
      <w:r>
        <w:rPr>
          <w:rFonts w:cs="Times New Roman"/>
          <w:noProof/>
          <w:sz w:val="24"/>
          <w:szCs w:val="24"/>
        </w:rPr>
        <w:t>, kas varētu liecināt par uzņēmumu vēlmi veicināt produktivitāti. Tomēr a</w:t>
      </w:r>
      <w:r w:rsidRPr="00954E1C">
        <w:rPr>
          <w:rFonts w:cs="Times New Roman"/>
          <w:noProof/>
          <w:sz w:val="24"/>
          <w:szCs w:val="24"/>
        </w:rPr>
        <w:t xml:space="preserve">ktuālākie apstrādes rūpniecības nozarē strādājošo uzņēmēju aptaujas dati rāda, ka </w:t>
      </w:r>
      <w:r>
        <w:rPr>
          <w:rFonts w:cs="Times New Roman"/>
          <w:noProof/>
          <w:sz w:val="24"/>
          <w:szCs w:val="24"/>
        </w:rPr>
        <w:t>20%</w:t>
      </w:r>
      <w:r w:rsidRPr="00954E1C">
        <w:rPr>
          <w:rFonts w:cs="Times New Roman"/>
          <w:noProof/>
          <w:sz w:val="24"/>
          <w:szCs w:val="24"/>
        </w:rPr>
        <w:t xml:space="preserve"> no plānotajām investīcijām 202</w:t>
      </w:r>
      <w:r>
        <w:rPr>
          <w:rFonts w:cs="Times New Roman"/>
          <w:noProof/>
          <w:sz w:val="24"/>
          <w:szCs w:val="24"/>
        </w:rPr>
        <w:t>3. gad</w:t>
      </w:r>
      <w:r w:rsidRPr="00954E1C">
        <w:rPr>
          <w:rFonts w:cs="Times New Roman"/>
          <w:noProof/>
          <w:sz w:val="24"/>
          <w:szCs w:val="24"/>
        </w:rPr>
        <w:t>ā būs vērstas uz</w:t>
      </w:r>
      <w:r>
        <w:rPr>
          <w:rFonts w:cs="Times New Roman"/>
          <w:noProof/>
          <w:sz w:val="24"/>
          <w:szCs w:val="24"/>
        </w:rPr>
        <w:t xml:space="preserve"> </w:t>
      </w:r>
      <w:r w:rsidRPr="00954E1C">
        <w:rPr>
          <w:rFonts w:cs="Times New Roman"/>
          <w:noProof/>
          <w:sz w:val="24"/>
          <w:szCs w:val="24"/>
        </w:rPr>
        <w:t>ražošanas procesu optimizāciju</w:t>
      </w:r>
      <w:r>
        <w:rPr>
          <w:rFonts w:cs="Times New Roman"/>
          <w:noProof/>
          <w:sz w:val="24"/>
          <w:szCs w:val="24"/>
        </w:rPr>
        <w:t>, kas atbilst pēdējo gadu dinamikai. Lai strauji celtu produktivitāti, investīciju apjomam, k</w:t>
      </w:r>
      <w:r w:rsidR="00D800D3">
        <w:rPr>
          <w:rFonts w:cs="Times New Roman"/>
          <w:noProof/>
          <w:sz w:val="24"/>
          <w:szCs w:val="24"/>
        </w:rPr>
        <w:t>as</w:t>
      </w:r>
      <w:r>
        <w:rPr>
          <w:rFonts w:cs="Times New Roman"/>
          <w:noProof/>
          <w:sz w:val="24"/>
          <w:szCs w:val="24"/>
        </w:rPr>
        <w:t xml:space="preserve"> paredzēts ražošanas procesa efektivizācijai, jābūt lielākam. Tāpat aptaujas dati liecina, ka 38%</w:t>
      </w:r>
      <w:r w:rsidRPr="00954E1C">
        <w:rPr>
          <w:rFonts w:cs="Times New Roman"/>
          <w:noProof/>
          <w:sz w:val="24"/>
          <w:szCs w:val="24"/>
        </w:rPr>
        <w:t xml:space="preserve"> no plānotajām investīcijām</w:t>
      </w:r>
      <w:r>
        <w:rPr>
          <w:rFonts w:cs="Times New Roman"/>
          <w:noProof/>
          <w:sz w:val="24"/>
          <w:szCs w:val="24"/>
        </w:rPr>
        <w:t xml:space="preserve"> šogad paredzētas veco iekārtu aizvietošanai, bet ražošanas paplašināšanai uzņēmēji plāno atvēlēt vien 29% no paredzētajām investīcijām. Balsoties uz šiem datiem, jāsecina, ka nav pamata šogad </w:t>
      </w:r>
      <w:r w:rsidRPr="00D800D3">
        <w:rPr>
          <w:rFonts w:cs="Times New Roman"/>
          <w:noProof/>
          <w:sz w:val="24"/>
          <w:szCs w:val="24"/>
        </w:rPr>
        <w:t>sagaidīt būtisku apstrādes rūpniecības nozares attīstību.</w:t>
      </w:r>
    </w:p>
    <w:p w14:paraId="6A8182D9" w14:textId="77777777" w:rsidR="0031227F" w:rsidRPr="00D800D3" w:rsidRDefault="0031227F" w:rsidP="0031227F">
      <w:pPr>
        <w:ind w:firstLine="709"/>
        <w:rPr>
          <w:rFonts w:cs="Times New Roman"/>
          <w:i/>
          <w:iCs/>
          <w:noProof/>
          <w:sz w:val="24"/>
          <w:szCs w:val="24"/>
        </w:rPr>
      </w:pPr>
      <w:r w:rsidRPr="00D800D3">
        <w:rPr>
          <w:rFonts w:cs="Times New Roman"/>
          <w:noProof/>
          <w:sz w:val="24"/>
          <w:szCs w:val="24"/>
        </w:rPr>
        <w:t xml:space="preserve">2022. gadā straujš investīciju pieaugums bija fiksēts intelektuālā īpašuma produktos. Šie pamatlīdzekļi ietver sevī investīcijas pētniecībā un attīstībā, programmatūrā un licencēs. Kopumā pērnajā gadā investīciju apjoms šajos pamatlīdzekļos veidoja 737 milj. </w:t>
      </w:r>
      <w:r w:rsidRPr="00D800D3">
        <w:rPr>
          <w:rFonts w:cs="Times New Roman"/>
          <w:i/>
          <w:iCs/>
          <w:noProof/>
          <w:sz w:val="24"/>
          <w:szCs w:val="24"/>
        </w:rPr>
        <w:t>euro</w:t>
      </w:r>
      <w:r w:rsidRPr="00D800D3">
        <w:rPr>
          <w:rFonts w:cs="Times New Roman"/>
          <w:noProof/>
          <w:sz w:val="24"/>
          <w:szCs w:val="24"/>
        </w:rPr>
        <w:t xml:space="preserve">, kas bija par 21,2% vairāk nekā pirms gada. Lai arī pēdējo sešu gadu laikā Latvijas uzņēmumiem izdevies dubultot investīciju apjomu intelektuālā īpašuma produktos, kas vērtējams pozitīvi, pašreizējais līmenis joprojām atpaliek no Igaunijas un Lietuvas, kas pērnajā gadā intelektuālā īpašuma produktos investēja attiecīgi 1033 milj. </w:t>
      </w:r>
      <w:r w:rsidRPr="00D800D3">
        <w:rPr>
          <w:rFonts w:cs="Times New Roman"/>
          <w:i/>
          <w:iCs/>
          <w:noProof/>
          <w:sz w:val="24"/>
          <w:szCs w:val="24"/>
        </w:rPr>
        <w:t>euro</w:t>
      </w:r>
      <w:r w:rsidRPr="00D800D3">
        <w:rPr>
          <w:rFonts w:cs="Times New Roman"/>
          <w:noProof/>
          <w:sz w:val="24"/>
          <w:szCs w:val="24"/>
        </w:rPr>
        <w:t xml:space="preserve"> un 1086 milj. </w:t>
      </w:r>
      <w:r w:rsidRPr="00D800D3">
        <w:rPr>
          <w:rFonts w:cs="Times New Roman"/>
          <w:i/>
          <w:iCs/>
          <w:noProof/>
          <w:sz w:val="24"/>
          <w:szCs w:val="24"/>
        </w:rPr>
        <w:t xml:space="preserve">euro. </w:t>
      </w:r>
    </w:p>
    <w:p w14:paraId="0585BC1E" w14:textId="77777777" w:rsidR="0031227F" w:rsidRPr="00D800D3" w:rsidRDefault="0031227F" w:rsidP="0031227F">
      <w:pPr>
        <w:ind w:firstLine="709"/>
        <w:rPr>
          <w:rFonts w:cs="Times New Roman"/>
          <w:noProof/>
          <w:sz w:val="24"/>
          <w:szCs w:val="24"/>
        </w:rPr>
      </w:pPr>
      <w:r w:rsidRPr="00D800D3">
        <w:rPr>
          <w:rFonts w:cs="Times New Roman"/>
          <w:noProof/>
          <w:sz w:val="24"/>
          <w:szCs w:val="24"/>
        </w:rPr>
        <w:t>Kopējo investīciju apjomu pērnajā gada mazināja zemāka aktivitāte būvniecības nozarē. Investīcijas biroju, mājokļu, noliktavu un citu ēku būvniecībā, kā arī jau esošo ēku un būvju renovācijā 2022. gadā samazinājās</w:t>
      </w:r>
      <w:r w:rsidRPr="00954E1C">
        <w:rPr>
          <w:rFonts w:cs="Times New Roman"/>
          <w:noProof/>
          <w:sz w:val="24"/>
          <w:szCs w:val="24"/>
        </w:rPr>
        <w:t xml:space="preserve"> par 1</w:t>
      </w:r>
      <w:r>
        <w:rPr>
          <w:rFonts w:cs="Times New Roman"/>
          <w:noProof/>
          <w:sz w:val="24"/>
          <w:szCs w:val="24"/>
        </w:rPr>
        <w:t>1,</w:t>
      </w:r>
      <w:r w:rsidRPr="00954E1C">
        <w:rPr>
          <w:rFonts w:cs="Times New Roman"/>
          <w:noProof/>
          <w:sz w:val="24"/>
          <w:szCs w:val="24"/>
        </w:rPr>
        <w:t xml:space="preserve">0%, veidojot </w:t>
      </w:r>
      <w:r>
        <w:rPr>
          <w:rFonts w:cs="Times New Roman"/>
          <w:noProof/>
          <w:sz w:val="24"/>
          <w:szCs w:val="24"/>
        </w:rPr>
        <w:t>2499</w:t>
      </w:r>
      <w:r w:rsidRPr="00954E1C">
        <w:rPr>
          <w:rFonts w:cs="Times New Roman"/>
          <w:noProof/>
          <w:sz w:val="24"/>
          <w:szCs w:val="24"/>
        </w:rPr>
        <w:t xml:space="preserve"> milj. </w:t>
      </w:r>
      <w:r w:rsidRPr="00954E1C">
        <w:rPr>
          <w:rFonts w:cs="Times New Roman"/>
          <w:i/>
          <w:iCs/>
          <w:noProof/>
          <w:sz w:val="24"/>
          <w:szCs w:val="24"/>
        </w:rPr>
        <w:t>euro</w:t>
      </w:r>
      <w:r w:rsidRPr="00954E1C">
        <w:rPr>
          <w:rFonts w:cs="Times New Roman"/>
          <w:noProof/>
          <w:sz w:val="24"/>
          <w:szCs w:val="24"/>
        </w:rPr>
        <w:t>.</w:t>
      </w:r>
      <w:r>
        <w:rPr>
          <w:rFonts w:cs="Times New Roman"/>
          <w:noProof/>
          <w:sz w:val="24"/>
          <w:szCs w:val="24"/>
        </w:rPr>
        <w:t xml:space="preserve"> Tādējādi investīcijas </w:t>
      </w:r>
      <w:r w:rsidRPr="00D800D3">
        <w:rPr>
          <w:rFonts w:cs="Times New Roman"/>
          <w:noProof/>
          <w:sz w:val="24"/>
          <w:szCs w:val="24"/>
        </w:rPr>
        <w:t xml:space="preserve">šajos pamatlīdzekļos ir samazinājušās jau trešo gadu pēc kārtas jeb kopš pandēmijas sākuma. Līdz ar šo kritumu būvniecības investīciju īpatsvars kopējās investīcijās 2022. gadā samazinājās līdz 37,7%, kamēr pirms pandēmijas investīcijas būvniecībā veidoja pusi no </w:t>
      </w:r>
      <w:r w:rsidRPr="00D800D3">
        <w:rPr>
          <w:rFonts w:cs="Times New Roman"/>
          <w:noProof/>
          <w:sz w:val="24"/>
          <w:szCs w:val="24"/>
        </w:rPr>
        <w:lastRenderedPageBreak/>
        <w:t>tautsaimniecībā veiktajam investīcijām. Investīcijas šajos aktīvos spilgti raksturo būvniecības produkcijas apjomu samazinājumu, kas 2022. gada sasniedza 11,3%.</w:t>
      </w:r>
    </w:p>
    <w:p w14:paraId="768E72FB" w14:textId="77777777" w:rsidR="0031227F" w:rsidRDefault="0031227F" w:rsidP="0031227F">
      <w:pPr>
        <w:ind w:firstLine="709"/>
        <w:rPr>
          <w:rFonts w:cs="Times New Roman"/>
          <w:noProof/>
          <w:sz w:val="24"/>
          <w:szCs w:val="24"/>
        </w:rPr>
      </w:pPr>
      <w:r w:rsidRPr="00D800D3">
        <w:rPr>
          <w:rFonts w:cs="Times New Roman"/>
          <w:noProof/>
          <w:sz w:val="24"/>
          <w:szCs w:val="24"/>
        </w:rPr>
        <w:t>Vājo investīciju aktivitāti būvniecībā pēdējos gados ietekmē vairāki faktori. Pirmkārt, darba organizācijas ieradumu maiņa un masveidīga attālinātā darba prakse pandēmijas dēļ negatīvi ietekmē pieprasījumu pēc birojiem, vismaz līdz brīdim, kamēr pastāv Covid</w:t>
      </w:r>
      <w:r w:rsidRPr="00D800D3">
        <w:rPr>
          <w:rFonts w:cs="Times New Roman"/>
          <w:noProof/>
          <w:sz w:val="24"/>
          <w:szCs w:val="24"/>
        </w:rPr>
        <w:noBreakHyphen/>
        <w:t>19 vīrusa izplatības riski. Otrkārt, tādās nozarēs kā</w:t>
      </w:r>
      <w:r w:rsidRPr="00954E1C">
        <w:rPr>
          <w:rFonts w:cs="Times New Roman"/>
          <w:noProof/>
          <w:sz w:val="24"/>
          <w:szCs w:val="24"/>
        </w:rPr>
        <w:t xml:space="preserve"> izmitināšana, ēdināšana, izklaide un kultūra, kā arī transports – pandēmijas visskartākajās nozarēs, ir būtiski samazinājies apgrozījums un pasliktinājušies peļņas rādītāji, jo strauji samazinājies pieprasījums pēc šiem pakalpojumiem. Lai arī </w:t>
      </w:r>
      <w:r>
        <w:rPr>
          <w:rFonts w:cs="Times New Roman"/>
          <w:noProof/>
          <w:sz w:val="24"/>
          <w:szCs w:val="24"/>
        </w:rPr>
        <w:t xml:space="preserve">pašlaik </w:t>
      </w:r>
      <w:r w:rsidRPr="00954E1C">
        <w:rPr>
          <w:rFonts w:cs="Times New Roman"/>
          <w:noProof/>
          <w:sz w:val="24"/>
          <w:szCs w:val="24"/>
        </w:rPr>
        <w:t>redzams, ka pieprasījums šajās nozarēs ir strauji palielinājies, tas tomēr nav spējis pilnā apmērā atjaunoties pēc Covid</w:t>
      </w:r>
      <w:r w:rsidRPr="00954E1C">
        <w:rPr>
          <w:rFonts w:cs="Times New Roman"/>
          <w:noProof/>
          <w:sz w:val="24"/>
          <w:szCs w:val="24"/>
        </w:rPr>
        <w:noBreakHyphen/>
        <w:t>19 krīzes un nozares cieš no darbinieku trūkuma un augošām energoresursu izmaksām.</w:t>
      </w:r>
    </w:p>
    <w:p w14:paraId="51DE0E34" w14:textId="77777777" w:rsidR="0031227F" w:rsidRPr="00882C2C" w:rsidRDefault="0031227F" w:rsidP="0031227F">
      <w:pPr>
        <w:ind w:firstLine="709"/>
        <w:rPr>
          <w:rFonts w:cs="Times New Roman"/>
          <w:noProof/>
          <w:sz w:val="24"/>
          <w:szCs w:val="24"/>
        </w:rPr>
      </w:pPr>
      <w:r w:rsidRPr="00D800D3">
        <w:rPr>
          <w:rFonts w:cs="Times New Roman"/>
          <w:noProof/>
          <w:sz w:val="24"/>
          <w:szCs w:val="24"/>
        </w:rPr>
        <w:t>Treškārt, būvniecības materiālu un energoresursu cenu kāpums būtiski palielināja būvniecības izmaksas.</w:t>
      </w:r>
      <w:r w:rsidRPr="00954E1C">
        <w:rPr>
          <w:rFonts w:cs="Times New Roman"/>
          <w:noProof/>
          <w:sz w:val="24"/>
          <w:szCs w:val="24"/>
        </w:rPr>
        <w:t xml:space="preserve"> Šim faktoram ir būtiska ietekme uz investoru lēmumiem attiecībā uz jaunu infrastruktūras objektu būvniecības īstenošanu. Būvniecības izmaksas 2022</w:t>
      </w:r>
      <w:r>
        <w:rPr>
          <w:rFonts w:cs="Times New Roman"/>
          <w:noProof/>
          <w:sz w:val="24"/>
          <w:szCs w:val="24"/>
        </w:rPr>
        <w:t>. gadā</w:t>
      </w:r>
      <w:r w:rsidRPr="00954E1C">
        <w:rPr>
          <w:rFonts w:cs="Times New Roman"/>
          <w:noProof/>
          <w:sz w:val="24"/>
          <w:szCs w:val="24"/>
        </w:rPr>
        <w:t xml:space="preserve"> pieaugušas par 19,</w:t>
      </w:r>
      <w:r>
        <w:rPr>
          <w:rFonts w:cs="Times New Roman"/>
          <w:noProof/>
          <w:sz w:val="24"/>
          <w:szCs w:val="24"/>
        </w:rPr>
        <w:t>7</w:t>
      </w:r>
      <w:r w:rsidRPr="00954E1C">
        <w:rPr>
          <w:rFonts w:cs="Times New Roman"/>
          <w:noProof/>
          <w:sz w:val="24"/>
          <w:szCs w:val="24"/>
        </w:rPr>
        <w:t>%, salīdzinot ar 2021</w:t>
      </w:r>
      <w:r>
        <w:rPr>
          <w:rFonts w:cs="Times New Roman"/>
          <w:noProof/>
          <w:sz w:val="24"/>
          <w:szCs w:val="24"/>
        </w:rPr>
        <w:t xml:space="preserve">. gadu. Lai arī šāds kāpums kopumā atbilst vidējai inflācijai ekonomikā, tomēr, ņemot vērā, ka būvniecības vai infrastruktūras projektu realizācijai ir nepieciešami lieli kapitālieguldījumi, šāds kāpums vērtējams kā ļoti straujš. </w:t>
      </w:r>
      <w:r w:rsidRPr="00954E1C">
        <w:rPr>
          <w:rFonts w:cs="Times New Roman"/>
          <w:noProof/>
          <w:sz w:val="24"/>
          <w:szCs w:val="24"/>
        </w:rPr>
        <w:t>Izmaksu pieaugums vērojams visās pozīcijās, bet noteicošā loma bija būvmateriālu sadārdzinājumam (+26,</w:t>
      </w:r>
      <w:r>
        <w:rPr>
          <w:rFonts w:cs="Times New Roman"/>
          <w:noProof/>
          <w:sz w:val="24"/>
          <w:szCs w:val="24"/>
        </w:rPr>
        <w:t>3</w:t>
      </w:r>
      <w:r w:rsidRPr="00954E1C">
        <w:rPr>
          <w:rFonts w:cs="Times New Roman"/>
          <w:noProof/>
          <w:sz w:val="24"/>
          <w:szCs w:val="24"/>
        </w:rPr>
        <w:t>%)</w:t>
      </w:r>
      <w:r>
        <w:rPr>
          <w:rFonts w:cs="Times New Roman"/>
          <w:noProof/>
          <w:sz w:val="24"/>
          <w:szCs w:val="24"/>
        </w:rPr>
        <w:t>, ko negatīvi ietekmē augstās gāzes un elektroenerģijas cenas. Savukārt i</w:t>
      </w:r>
      <w:r w:rsidRPr="00D57C16">
        <w:rPr>
          <w:rFonts w:cs="Times New Roman"/>
          <w:noProof/>
          <w:sz w:val="24"/>
          <w:szCs w:val="24"/>
        </w:rPr>
        <w:t>zmaksas mašīnu un mehānismu uzturēšanai un ekspluatācijai</w:t>
      </w:r>
      <w:r>
        <w:rPr>
          <w:rFonts w:cs="Times New Roman"/>
          <w:noProof/>
          <w:sz w:val="24"/>
          <w:szCs w:val="24"/>
        </w:rPr>
        <w:t xml:space="preserve"> pieauga par 16,7%. A</w:t>
      </w:r>
      <w:r w:rsidRPr="00954E1C">
        <w:rPr>
          <w:rFonts w:cs="Times New Roman"/>
          <w:noProof/>
          <w:sz w:val="24"/>
          <w:szCs w:val="24"/>
        </w:rPr>
        <w:t xml:space="preserve">ugstās </w:t>
      </w:r>
      <w:r>
        <w:rPr>
          <w:rFonts w:cs="Times New Roman"/>
          <w:noProof/>
          <w:sz w:val="24"/>
          <w:szCs w:val="24"/>
        </w:rPr>
        <w:t>izmaksas</w:t>
      </w:r>
      <w:r w:rsidRPr="00954E1C">
        <w:rPr>
          <w:rFonts w:cs="Times New Roman"/>
          <w:noProof/>
          <w:sz w:val="24"/>
          <w:szCs w:val="24"/>
        </w:rPr>
        <w:t xml:space="preserve"> </w:t>
      </w:r>
      <w:r w:rsidRPr="00882C2C">
        <w:rPr>
          <w:rFonts w:cs="Times New Roman"/>
          <w:noProof/>
          <w:sz w:val="24"/>
          <w:szCs w:val="24"/>
        </w:rPr>
        <w:t xml:space="preserve">turpinās negatīvi ietekmēt būvniecības aktivitāti arī 2023. gada pirmajā pusē, jo inflācija šā gada pirmajā pusgadā vēl saglabāsies augsta. </w:t>
      </w:r>
    </w:p>
    <w:p w14:paraId="4ED3C704" w14:textId="77777777" w:rsidR="0031227F" w:rsidRPr="00882C2C" w:rsidRDefault="0031227F" w:rsidP="0031227F">
      <w:pPr>
        <w:ind w:firstLine="709"/>
        <w:rPr>
          <w:rFonts w:cs="Times New Roman"/>
          <w:noProof/>
          <w:sz w:val="24"/>
          <w:szCs w:val="24"/>
        </w:rPr>
      </w:pPr>
      <w:r w:rsidRPr="00882C2C">
        <w:rPr>
          <w:rFonts w:cs="Times New Roman"/>
          <w:noProof/>
          <w:sz w:val="24"/>
          <w:szCs w:val="24"/>
        </w:rPr>
        <w:t>Vēl viens faktors, kas negatīvi</w:t>
      </w:r>
      <w:r>
        <w:rPr>
          <w:rFonts w:cs="Times New Roman"/>
          <w:noProof/>
          <w:sz w:val="24"/>
          <w:szCs w:val="24"/>
        </w:rPr>
        <w:t xml:space="preserve"> ietekmēja jauno būvniecības projektu realizāciju pērnā gada nogalē un turpinās negatīvi ietekmēt arī šogad, ir procentlikmju pieaugums. 2023. gada sākumā 6 mēnešu EURIBOR likme pārsniedza 3%, kamēr vēl līdz pērnā gada vidum tā bija </w:t>
      </w:r>
      <w:r w:rsidRPr="00882C2C">
        <w:rPr>
          <w:rFonts w:cs="Times New Roman"/>
          <w:noProof/>
          <w:sz w:val="24"/>
          <w:szCs w:val="24"/>
        </w:rPr>
        <w:t xml:space="preserve">negatīva. Šāda procentlikmju dinamika palielina gan pašreizējo kredītsaistību apkalpošanas izmaksas uzņēmējiem un mājsaimniecībām, gan mazina pieprasījumu pēc jauniem kredītiem. </w:t>
      </w:r>
    </w:p>
    <w:p w14:paraId="2D86D466" w14:textId="5D6783A5" w:rsidR="0031227F" w:rsidRDefault="0031227F" w:rsidP="0031227F">
      <w:pPr>
        <w:ind w:firstLine="709"/>
        <w:rPr>
          <w:bCs/>
          <w:noProof/>
          <w:sz w:val="24"/>
          <w:szCs w:val="24"/>
        </w:rPr>
      </w:pPr>
      <w:r w:rsidRPr="00882C2C">
        <w:rPr>
          <w:rFonts w:cs="Times New Roman"/>
          <w:noProof/>
          <w:sz w:val="24"/>
          <w:szCs w:val="24"/>
        </w:rPr>
        <w:t>Būvniecības nozares konfidence 2021. gada beigās sasniedza pirmspandēmijas līmeni. Tomēr enerģētiskās krīzes un ģeopolitiskās situācijas pasliktinājuma dēļ uzņēmēju noskaņojums kopš 2022. gada sākuma ir pasliktinājies</w:t>
      </w:r>
      <w:r w:rsidRPr="00954E1C">
        <w:rPr>
          <w:rFonts w:cs="Times New Roman"/>
          <w:noProof/>
          <w:sz w:val="24"/>
          <w:szCs w:val="24"/>
        </w:rPr>
        <w:t>. Lai arī Latvijas kredītreitings, kas atspoguļo arī investīciju riskus, saglabājies augstā līmenī, tomēr fiziskā robeža ar agresorvalsti Krieviju var likt pārskatīt ārvalstu investoru plānus attiecībā uz jaunu projektu realizēšanu Latvijā. Savukārt augstās izejvielu cenas</w:t>
      </w:r>
      <w:r>
        <w:rPr>
          <w:rFonts w:cs="Times New Roman"/>
          <w:noProof/>
          <w:sz w:val="24"/>
          <w:szCs w:val="24"/>
        </w:rPr>
        <w:t xml:space="preserve"> un procentlikmju pieaugums</w:t>
      </w:r>
      <w:r w:rsidRPr="00954E1C">
        <w:rPr>
          <w:rFonts w:cs="Times New Roman"/>
          <w:noProof/>
          <w:sz w:val="24"/>
          <w:szCs w:val="24"/>
        </w:rPr>
        <w:t xml:space="preserve"> negatīvi ietekmē vietējo biznesu, jo</w:t>
      </w:r>
      <w:r>
        <w:rPr>
          <w:rFonts w:cs="Times New Roman"/>
          <w:noProof/>
          <w:sz w:val="24"/>
          <w:szCs w:val="24"/>
        </w:rPr>
        <w:t xml:space="preserve"> ir</w:t>
      </w:r>
      <w:r w:rsidRPr="00954E1C">
        <w:rPr>
          <w:rFonts w:cs="Times New Roman"/>
          <w:noProof/>
          <w:sz w:val="24"/>
          <w:szCs w:val="24"/>
        </w:rPr>
        <w:t xml:space="preserve"> grūtāk prognozēt investīciju projektu kopējās izmaksas. </w:t>
      </w:r>
      <w:r>
        <w:rPr>
          <w:bCs/>
          <w:noProof/>
          <w:sz w:val="24"/>
          <w:szCs w:val="24"/>
        </w:rPr>
        <w:t>Šādos</w:t>
      </w:r>
      <w:r w:rsidRPr="00954E1C">
        <w:rPr>
          <w:bCs/>
          <w:noProof/>
          <w:sz w:val="24"/>
          <w:szCs w:val="24"/>
        </w:rPr>
        <w:t xml:space="preserve"> apstākļos pieaug valdības investīciju loma. Lai arī valdības investīciju apjoms nesasniedz pat ceturto daļu no kopējām investīcijām tautsaimniecībā, tās nodrošina būtisku multiplikatoru privātajām investīcijām. ES fondu ieguldījumi jaunajā plānošanas periodā, Atveseļošanās un noturības mehānisma</w:t>
      </w:r>
      <w:r w:rsidR="009E42B1">
        <w:rPr>
          <w:bCs/>
          <w:noProof/>
          <w:sz w:val="24"/>
          <w:szCs w:val="24"/>
        </w:rPr>
        <w:t xml:space="preserve"> (ANM)</w:t>
      </w:r>
      <w:r w:rsidRPr="00954E1C">
        <w:rPr>
          <w:bCs/>
          <w:noProof/>
          <w:sz w:val="24"/>
          <w:szCs w:val="24"/>
        </w:rPr>
        <w:t xml:space="preserve"> līdzekļi, kā arī investīcijas </w:t>
      </w:r>
      <w:r w:rsidRPr="00954E1C">
        <w:rPr>
          <w:bCs/>
          <w:i/>
          <w:iCs/>
          <w:noProof/>
          <w:sz w:val="24"/>
          <w:szCs w:val="24"/>
        </w:rPr>
        <w:t>Rail Baltica</w:t>
      </w:r>
      <w:r w:rsidRPr="00954E1C">
        <w:rPr>
          <w:bCs/>
          <w:noProof/>
          <w:sz w:val="24"/>
          <w:szCs w:val="24"/>
        </w:rPr>
        <w:t xml:space="preserve"> projekta realizācijā palīdzēs mīkstināt negatīvo faktoru ietekmi. Tomēr kopējā investīciju aktivitāte 202</w:t>
      </w:r>
      <w:r>
        <w:rPr>
          <w:bCs/>
          <w:noProof/>
          <w:sz w:val="24"/>
          <w:szCs w:val="24"/>
        </w:rPr>
        <w:t>3. gad</w:t>
      </w:r>
      <w:r w:rsidRPr="00954E1C">
        <w:rPr>
          <w:bCs/>
          <w:noProof/>
          <w:sz w:val="24"/>
          <w:szCs w:val="24"/>
        </w:rPr>
        <w:t xml:space="preserve">ā būs vāja. Atbilstoši FM aktualizētajām prognozēm, kopējais investīciju apjoms šogad palielināsies par </w:t>
      </w:r>
      <w:r>
        <w:rPr>
          <w:bCs/>
          <w:noProof/>
          <w:sz w:val="24"/>
          <w:szCs w:val="24"/>
        </w:rPr>
        <w:t>1,0</w:t>
      </w:r>
      <w:r w:rsidRPr="00954E1C">
        <w:rPr>
          <w:bCs/>
          <w:noProof/>
          <w:sz w:val="24"/>
          <w:szCs w:val="24"/>
        </w:rPr>
        <w:t>%.</w:t>
      </w:r>
    </w:p>
    <w:p w14:paraId="288F0EC5" w14:textId="77777777" w:rsidR="0031227F" w:rsidRPr="000270F6" w:rsidRDefault="0031227F" w:rsidP="0031227F">
      <w:pPr>
        <w:pStyle w:val="H4"/>
        <w:spacing w:before="240"/>
        <w:ind w:left="0" w:firstLine="720"/>
        <w:jc w:val="both"/>
        <w:rPr>
          <w:rFonts w:ascii="Times New Roman" w:hAnsi="Times New Roman"/>
          <w:iCs/>
          <w:sz w:val="24"/>
          <w:szCs w:val="24"/>
        </w:rPr>
      </w:pPr>
      <w:r w:rsidRPr="000270F6">
        <w:rPr>
          <w:rFonts w:ascii="Times New Roman" w:hAnsi="Times New Roman"/>
          <w:iCs/>
          <w:sz w:val="24"/>
          <w:szCs w:val="24"/>
        </w:rPr>
        <w:t>Ārējā tirdzniecība</w:t>
      </w:r>
    </w:p>
    <w:p w14:paraId="13365A82" w14:textId="77777777" w:rsidR="0031227F" w:rsidRDefault="0031227F" w:rsidP="0031227F">
      <w:pPr>
        <w:rPr>
          <w:rFonts w:eastAsia="Calibri" w:cs="Arial"/>
          <w:sz w:val="24"/>
          <w:szCs w:val="24"/>
        </w:rPr>
      </w:pPr>
      <w:r w:rsidRPr="000755E3">
        <w:rPr>
          <w:rFonts w:eastAsia="Calibri" w:cs="Arial"/>
          <w:sz w:val="24"/>
          <w:szCs w:val="24"/>
        </w:rPr>
        <w:t xml:space="preserve">Latvijas </w:t>
      </w:r>
      <w:r w:rsidRPr="000755E3">
        <w:rPr>
          <w:rFonts w:eastAsia="Calibri" w:cs="Arial"/>
          <w:b/>
          <w:bCs/>
          <w:sz w:val="24"/>
          <w:szCs w:val="24"/>
        </w:rPr>
        <w:t>preču un pakalpojumu ārējās tirdzniecības</w:t>
      </w:r>
      <w:r w:rsidRPr="000755E3">
        <w:rPr>
          <w:rFonts w:eastAsia="Calibri" w:cs="Arial"/>
          <w:sz w:val="24"/>
          <w:szCs w:val="24"/>
        </w:rPr>
        <w:t xml:space="preserve"> apgrozījums 202</w:t>
      </w:r>
      <w:r>
        <w:rPr>
          <w:rFonts w:eastAsia="Calibri" w:cs="Arial"/>
          <w:sz w:val="24"/>
          <w:szCs w:val="24"/>
        </w:rPr>
        <w:t>2. gad</w:t>
      </w:r>
      <w:r w:rsidRPr="000755E3">
        <w:rPr>
          <w:rFonts w:eastAsia="Calibri" w:cs="Arial"/>
          <w:sz w:val="24"/>
          <w:szCs w:val="24"/>
        </w:rPr>
        <w:t>ā salīdzināmajās cenās palielināj</w:t>
      </w:r>
      <w:r>
        <w:rPr>
          <w:rFonts w:eastAsia="Calibri" w:cs="Arial"/>
          <w:sz w:val="24"/>
          <w:szCs w:val="24"/>
        </w:rPr>
        <w:t>ā</w:t>
      </w:r>
      <w:r w:rsidRPr="000755E3">
        <w:rPr>
          <w:rFonts w:eastAsia="Calibri" w:cs="Arial"/>
          <w:sz w:val="24"/>
          <w:szCs w:val="24"/>
        </w:rPr>
        <w:t>s par 10,</w:t>
      </w:r>
      <w:r>
        <w:rPr>
          <w:rFonts w:eastAsia="Calibri" w:cs="Arial"/>
          <w:sz w:val="24"/>
          <w:szCs w:val="24"/>
        </w:rPr>
        <w:t>4</w:t>
      </w:r>
      <w:r w:rsidRPr="000755E3">
        <w:rPr>
          <w:rFonts w:eastAsia="Calibri" w:cs="Arial"/>
          <w:sz w:val="24"/>
          <w:szCs w:val="24"/>
        </w:rPr>
        <w:t>%,</w:t>
      </w:r>
      <w:r>
        <w:rPr>
          <w:rFonts w:eastAsia="Calibri" w:cs="Arial"/>
          <w:sz w:val="24"/>
          <w:szCs w:val="24"/>
        </w:rPr>
        <w:t xml:space="preserve"> kas bija līdzvērtīgi pieaugumam iepriekšējā gadā. </w:t>
      </w:r>
      <w:r w:rsidRPr="000755E3">
        <w:rPr>
          <w:rFonts w:eastAsia="Calibri" w:cs="Arial"/>
          <w:sz w:val="24"/>
          <w:szCs w:val="24"/>
        </w:rPr>
        <w:t xml:space="preserve">Pasaules ekonomikas </w:t>
      </w:r>
      <w:r>
        <w:rPr>
          <w:rFonts w:eastAsia="Calibri" w:cs="Arial"/>
          <w:sz w:val="24"/>
          <w:szCs w:val="24"/>
        </w:rPr>
        <w:t>attīstība</w:t>
      </w:r>
      <w:r w:rsidRPr="000755E3">
        <w:rPr>
          <w:rFonts w:eastAsia="Calibri" w:cs="Arial"/>
          <w:sz w:val="24"/>
          <w:szCs w:val="24"/>
        </w:rPr>
        <w:t xml:space="preserve"> un ārējā pieprasījuma pieaugums galvenajos eksporta noieta tirgos kā ES, kā arī būtisks eksporta kāpums uz tādām valstīm kā ASV</w:t>
      </w:r>
      <w:r>
        <w:rPr>
          <w:rFonts w:eastAsia="Calibri" w:cs="Arial"/>
          <w:sz w:val="24"/>
          <w:szCs w:val="24"/>
        </w:rPr>
        <w:t xml:space="preserve">, Ukraina, Saūda Arābija, Norvēģija, Kazahstāna, Ķīna, </w:t>
      </w:r>
      <w:r w:rsidRPr="000755E3">
        <w:rPr>
          <w:rFonts w:eastAsia="Calibri" w:cs="Arial"/>
          <w:sz w:val="24"/>
          <w:szCs w:val="24"/>
        </w:rPr>
        <w:t xml:space="preserve">pērn nodrošināja Latvijas preču un pakalpojumu eksporta pieaugumu par </w:t>
      </w:r>
      <w:r>
        <w:rPr>
          <w:rFonts w:eastAsia="Calibri" w:cs="Arial"/>
          <w:sz w:val="24"/>
          <w:szCs w:val="24"/>
        </w:rPr>
        <w:t>9,1</w:t>
      </w:r>
      <w:r w:rsidRPr="000755E3">
        <w:rPr>
          <w:rFonts w:eastAsia="Calibri" w:cs="Arial"/>
          <w:sz w:val="24"/>
          <w:szCs w:val="24"/>
        </w:rPr>
        <w:t xml:space="preserve">%. Savukārt Latvijas iekšējā patēriņa pieaugums un investīcijas iekārtās un </w:t>
      </w:r>
      <w:r w:rsidRPr="000755E3">
        <w:rPr>
          <w:rFonts w:eastAsia="Calibri" w:cs="Arial"/>
          <w:sz w:val="24"/>
          <w:szCs w:val="24"/>
        </w:rPr>
        <w:lastRenderedPageBreak/>
        <w:t xml:space="preserve">tehnoloģiskajās mašīnās veicināja kopējā preču un pakalpojumu importa kāpumu par </w:t>
      </w:r>
      <w:r>
        <w:rPr>
          <w:rFonts w:eastAsia="Calibri" w:cs="Arial"/>
          <w:sz w:val="24"/>
          <w:szCs w:val="24"/>
        </w:rPr>
        <w:t>11,6</w:t>
      </w:r>
      <w:r w:rsidRPr="000755E3">
        <w:rPr>
          <w:rFonts w:eastAsia="Calibri" w:cs="Arial"/>
          <w:sz w:val="24"/>
          <w:szCs w:val="24"/>
        </w:rPr>
        <w:t>%.</w:t>
      </w:r>
      <w:r>
        <w:rPr>
          <w:rFonts w:eastAsia="Calibri" w:cs="Arial"/>
          <w:sz w:val="24"/>
          <w:szCs w:val="24"/>
        </w:rPr>
        <w:t xml:space="preserve"> </w:t>
      </w:r>
      <w:r w:rsidRPr="000755E3">
        <w:rPr>
          <w:rFonts w:eastAsia="Calibri" w:cs="Arial"/>
          <w:sz w:val="24"/>
          <w:szCs w:val="24"/>
        </w:rPr>
        <w:t>Ņemot vērā, ka imports ir palielinājies straujāk par eksportu, ārējās tirdzniecības bilance 202</w:t>
      </w:r>
      <w:r>
        <w:rPr>
          <w:rFonts w:eastAsia="Calibri" w:cs="Arial"/>
          <w:sz w:val="24"/>
          <w:szCs w:val="24"/>
        </w:rPr>
        <w:t>2. gad</w:t>
      </w:r>
      <w:r w:rsidRPr="000755E3">
        <w:rPr>
          <w:rFonts w:eastAsia="Calibri" w:cs="Arial"/>
          <w:sz w:val="24"/>
          <w:szCs w:val="24"/>
        </w:rPr>
        <w:t xml:space="preserve">ā </w:t>
      </w:r>
      <w:r>
        <w:rPr>
          <w:rFonts w:eastAsia="Calibri" w:cs="Arial"/>
          <w:sz w:val="24"/>
          <w:szCs w:val="24"/>
        </w:rPr>
        <w:t xml:space="preserve">ir </w:t>
      </w:r>
      <w:r w:rsidRPr="000755E3">
        <w:rPr>
          <w:rFonts w:eastAsia="Calibri" w:cs="Arial"/>
          <w:sz w:val="24"/>
          <w:szCs w:val="24"/>
        </w:rPr>
        <w:t xml:space="preserve">pasliktinājusies. </w:t>
      </w:r>
      <w:r>
        <w:rPr>
          <w:rFonts w:eastAsia="Calibri" w:cs="Arial"/>
          <w:sz w:val="24"/>
          <w:szCs w:val="24"/>
        </w:rPr>
        <w:t xml:space="preserve">Pērn </w:t>
      </w:r>
      <w:r w:rsidRPr="000755E3">
        <w:rPr>
          <w:rFonts w:eastAsia="Calibri" w:cs="Arial"/>
          <w:sz w:val="24"/>
          <w:szCs w:val="24"/>
        </w:rPr>
        <w:t>ārējās tirdzniecības deficīts salīdzināmajās cenās palielinājies</w:t>
      </w:r>
      <w:r>
        <w:rPr>
          <w:rFonts w:eastAsia="Calibri" w:cs="Arial"/>
          <w:sz w:val="24"/>
          <w:szCs w:val="24"/>
        </w:rPr>
        <w:t xml:space="preserve"> par 831 </w:t>
      </w:r>
      <w:r w:rsidRPr="000755E3">
        <w:rPr>
          <w:rFonts w:eastAsia="Calibri" w:cs="Arial"/>
          <w:sz w:val="24"/>
          <w:szCs w:val="24"/>
        </w:rPr>
        <w:t xml:space="preserve">milj. </w:t>
      </w:r>
      <w:proofErr w:type="spellStart"/>
      <w:r w:rsidRPr="000755E3">
        <w:rPr>
          <w:rFonts w:eastAsia="Calibri" w:cs="Arial"/>
          <w:i/>
          <w:iCs/>
          <w:sz w:val="24"/>
          <w:szCs w:val="24"/>
        </w:rPr>
        <w:t>euro</w:t>
      </w:r>
      <w:proofErr w:type="spellEnd"/>
      <w:r>
        <w:rPr>
          <w:rFonts w:eastAsia="Calibri" w:cs="Arial"/>
          <w:i/>
          <w:iCs/>
          <w:sz w:val="24"/>
          <w:szCs w:val="24"/>
        </w:rPr>
        <w:t>,</w:t>
      </w:r>
      <w:r>
        <w:rPr>
          <w:rFonts w:eastAsia="Calibri" w:cs="Arial"/>
          <w:sz w:val="24"/>
          <w:szCs w:val="24"/>
        </w:rPr>
        <w:t xml:space="preserve"> sasniedzot 3959 </w:t>
      </w:r>
      <w:r w:rsidRPr="000755E3">
        <w:rPr>
          <w:rFonts w:eastAsia="Calibri" w:cs="Arial"/>
          <w:sz w:val="24"/>
          <w:szCs w:val="24"/>
        </w:rPr>
        <w:t xml:space="preserve">milj. </w:t>
      </w:r>
      <w:proofErr w:type="spellStart"/>
      <w:r w:rsidRPr="000755E3">
        <w:rPr>
          <w:rFonts w:eastAsia="Calibri" w:cs="Arial"/>
          <w:i/>
          <w:iCs/>
          <w:sz w:val="24"/>
          <w:szCs w:val="24"/>
        </w:rPr>
        <w:t>euro</w:t>
      </w:r>
      <w:proofErr w:type="spellEnd"/>
      <w:r>
        <w:rPr>
          <w:rFonts w:eastAsia="Calibri" w:cs="Arial"/>
          <w:i/>
          <w:iCs/>
          <w:sz w:val="24"/>
          <w:szCs w:val="24"/>
        </w:rPr>
        <w:t>.</w:t>
      </w:r>
      <w:r>
        <w:rPr>
          <w:rFonts w:eastAsia="Calibri" w:cs="Arial"/>
          <w:sz w:val="24"/>
          <w:szCs w:val="24"/>
        </w:rPr>
        <w:t xml:space="preserve"> Tādējādi ārējās tirdzniecības devums IKP pieaugumā bija negatīvs jeb -2,9 procentpunktu apmērā, kas bija būtiski mazāk nekā 2021. gadā, kad neto eksporta devums bija -6,7 procentpunkti. </w:t>
      </w:r>
      <w:r w:rsidRPr="000755E3">
        <w:rPr>
          <w:rFonts w:eastAsia="Calibri" w:cs="Arial"/>
          <w:sz w:val="24"/>
          <w:szCs w:val="24"/>
        </w:rPr>
        <w:t xml:space="preserve">Eksporta un importa kāpums </w:t>
      </w:r>
      <w:r>
        <w:rPr>
          <w:rFonts w:eastAsia="Calibri" w:cs="Arial"/>
          <w:sz w:val="24"/>
          <w:szCs w:val="24"/>
        </w:rPr>
        <w:t xml:space="preserve">2022. gadā </w:t>
      </w:r>
      <w:r w:rsidRPr="000755E3">
        <w:rPr>
          <w:rFonts w:eastAsia="Calibri" w:cs="Arial"/>
          <w:sz w:val="24"/>
          <w:szCs w:val="24"/>
        </w:rPr>
        <w:t xml:space="preserve">bijis straujāks nekā </w:t>
      </w:r>
      <w:r>
        <w:rPr>
          <w:rFonts w:eastAsia="Calibri" w:cs="Arial"/>
          <w:sz w:val="24"/>
          <w:szCs w:val="24"/>
        </w:rPr>
        <w:t>IKP</w:t>
      </w:r>
      <w:r w:rsidRPr="000755E3">
        <w:rPr>
          <w:rFonts w:eastAsia="Calibri" w:cs="Arial"/>
          <w:sz w:val="24"/>
          <w:szCs w:val="24"/>
        </w:rPr>
        <w:t xml:space="preserve"> pieaugums, līdz ar to ārējās tirdzniecības nozīme tautsaimniecībā palielinājusies. Eksporta īpatsvars IKP 202</w:t>
      </w:r>
      <w:r>
        <w:rPr>
          <w:rFonts w:eastAsia="Calibri" w:cs="Arial"/>
          <w:sz w:val="24"/>
          <w:szCs w:val="24"/>
        </w:rPr>
        <w:t>2. gad</w:t>
      </w:r>
      <w:r w:rsidRPr="000755E3">
        <w:rPr>
          <w:rFonts w:eastAsia="Calibri" w:cs="Arial"/>
          <w:sz w:val="24"/>
          <w:szCs w:val="24"/>
        </w:rPr>
        <w:t xml:space="preserve">ā pieauga par </w:t>
      </w:r>
      <w:r>
        <w:rPr>
          <w:rFonts w:eastAsia="Calibri" w:cs="Arial"/>
          <w:sz w:val="24"/>
          <w:szCs w:val="24"/>
        </w:rPr>
        <w:t xml:space="preserve">4,5 </w:t>
      </w:r>
      <w:r w:rsidRPr="000755E3">
        <w:rPr>
          <w:rFonts w:eastAsia="Calibri" w:cs="Arial"/>
          <w:sz w:val="24"/>
          <w:szCs w:val="24"/>
        </w:rPr>
        <w:t>procentpunkt</w:t>
      </w:r>
      <w:r>
        <w:rPr>
          <w:rFonts w:eastAsia="Calibri" w:cs="Arial"/>
          <w:sz w:val="24"/>
          <w:szCs w:val="24"/>
        </w:rPr>
        <w:t>iem</w:t>
      </w:r>
      <w:r w:rsidRPr="000755E3">
        <w:rPr>
          <w:rFonts w:eastAsia="Calibri" w:cs="Arial"/>
          <w:sz w:val="24"/>
          <w:szCs w:val="24"/>
        </w:rPr>
        <w:t xml:space="preserve"> un sasniedza 6</w:t>
      </w:r>
      <w:r>
        <w:rPr>
          <w:rFonts w:eastAsia="Calibri" w:cs="Arial"/>
          <w:sz w:val="24"/>
          <w:szCs w:val="24"/>
        </w:rPr>
        <w:t>9,9</w:t>
      </w:r>
      <w:r w:rsidRPr="000755E3">
        <w:rPr>
          <w:rFonts w:eastAsia="Calibri" w:cs="Arial"/>
          <w:sz w:val="24"/>
          <w:szCs w:val="24"/>
        </w:rPr>
        <w:t xml:space="preserve">%. Savukārt importa īpatsvars valsts ekonomikā pērnajā gadā veidoja </w:t>
      </w:r>
      <w:r>
        <w:rPr>
          <w:rFonts w:eastAsia="Calibri" w:cs="Arial"/>
          <w:sz w:val="24"/>
          <w:szCs w:val="24"/>
        </w:rPr>
        <w:t>83,6</w:t>
      </w:r>
      <w:r w:rsidRPr="000755E3">
        <w:rPr>
          <w:rFonts w:eastAsia="Calibri" w:cs="Arial"/>
          <w:sz w:val="24"/>
          <w:szCs w:val="24"/>
        </w:rPr>
        <w:t>%, palielinoties par 7,</w:t>
      </w:r>
      <w:r>
        <w:rPr>
          <w:rFonts w:eastAsia="Calibri" w:cs="Arial"/>
          <w:sz w:val="24"/>
          <w:szCs w:val="24"/>
        </w:rPr>
        <w:t>2</w:t>
      </w:r>
      <w:r w:rsidRPr="000755E3">
        <w:rPr>
          <w:rFonts w:eastAsia="Calibri" w:cs="Arial"/>
          <w:sz w:val="24"/>
          <w:szCs w:val="24"/>
        </w:rPr>
        <w:t xml:space="preserve"> procentpunktiem salīdzinājumā ar 202</w:t>
      </w:r>
      <w:r>
        <w:rPr>
          <w:rFonts w:eastAsia="Calibri" w:cs="Arial"/>
          <w:sz w:val="24"/>
          <w:szCs w:val="24"/>
        </w:rPr>
        <w:t>1. gad</w:t>
      </w:r>
      <w:r w:rsidRPr="000755E3">
        <w:rPr>
          <w:rFonts w:eastAsia="Calibri" w:cs="Arial"/>
          <w:sz w:val="24"/>
          <w:szCs w:val="24"/>
        </w:rPr>
        <w:t xml:space="preserve">u. </w:t>
      </w:r>
    </w:p>
    <w:p w14:paraId="273AF6E2" w14:textId="77777777" w:rsidR="0031227F" w:rsidRPr="00BC57FB" w:rsidRDefault="0031227F" w:rsidP="0031227F">
      <w:pPr>
        <w:rPr>
          <w:rFonts w:eastAsia="Calibri" w:cs="Arial"/>
          <w:sz w:val="24"/>
          <w:szCs w:val="24"/>
        </w:rPr>
      </w:pPr>
      <w:r w:rsidRPr="00BC57FB">
        <w:rPr>
          <w:rFonts w:eastAsia="Calibri" w:cs="Arial"/>
          <w:sz w:val="24"/>
          <w:szCs w:val="24"/>
        </w:rPr>
        <w:t>2022</w:t>
      </w:r>
      <w:r>
        <w:rPr>
          <w:rFonts w:eastAsia="Calibri" w:cs="Arial"/>
          <w:sz w:val="24"/>
          <w:szCs w:val="24"/>
        </w:rPr>
        <w:t>. gad</w:t>
      </w:r>
      <w:r w:rsidRPr="00BC57FB">
        <w:rPr>
          <w:rFonts w:eastAsia="Calibri" w:cs="Arial"/>
          <w:sz w:val="24"/>
          <w:szCs w:val="24"/>
        </w:rPr>
        <w:t>ā Latvijas preču eksporta pieaugums faktiskajās cenās bija straujākais desmitgadē par spīti enerģētikas krīzei Eiropā un ģeopolitis</w:t>
      </w:r>
      <w:r>
        <w:rPr>
          <w:rFonts w:eastAsia="Calibri" w:cs="Arial"/>
          <w:sz w:val="24"/>
          <w:szCs w:val="24"/>
        </w:rPr>
        <w:t xml:space="preserve">kajai krīzei, </w:t>
      </w:r>
      <w:r w:rsidRPr="00BC57FB">
        <w:rPr>
          <w:rFonts w:eastAsia="Calibri" w:cs="Arial"/>
          <w:sz w:val="24"/>
          <w:szCs w:val="24"/>
        </w:rPr>
        <w:t xml:space="preserve">ko izraisījis Krievijas militārais iebrukums Ukrainā. Pērn preču eksporta vērtība palielinājās par 29,7%, sasniedzot 21,3 mljrd. </w:t>
      </w:r>
      <w:proofErr w:type="spellStart"/>
      <w:r w:rsidRPr="00BC57FB">
        <w:rPr>
          <w:rFonts w:eastAsia="Calibri" w:cs="Arial"/>
          <w:i/>
          <w:iCs/>
          <w:sz w:val="24"/>
          <w:szCs w:val="24"/>
        </w:rPr>
        <w:t>euro</w:t>
      </w:r>
      <w:proofErr w:type="spellEnd"/>
      <w:r w:rsidRPr="00BC57FB">
        <w:rPr>
          <w:rFonts w:eastAsia="Calibri" w:cs="Arial"/>
          <w:sz w:val="24"/>
          <w:szCs w:val="24"/>
        </w:rPr>
        <w:t xml:space="preserve"> – augstāko eksporta vērtību, kopš tiek apkopoti ārējās tirdzniecības statistiskie dati. Zīmīgi, ka straujš eksporta kāpums bija vērojams visa gada garumā. Izņemot metālu</w:t>
      </w:r>
      <w:r>
        <w:rPr>
          <w:rFonts w:eastAsia="Calibri" w:cs="Arial"/>
          <w:sz w:val="24"/>
          <w:szCs w:val="24"/>
        </w:rPr>
        <w:t>s</w:t>
      </w:r>
      <w:r w:rsidRPr="00BC57FB">
        <w:rPr>
          <w:rFonts w:eastAsia="Calibri" w:cs="Arial"/>
          <w:sz w:val="24"/>
          <w:szCs w:val="24"/>
        </w:rPr>
        <w:t xml:space="preserve"> un to izstrādājumu</w:t>
      </w:r>
      <w:r>
        <w:rPr>
          <w:rFonts w:eastAsia="Calibri" w:cs="Arial"/>
          <w:sz w:val="24"/>
          <w:szCs w:val="24"/>
        </w:rPr>
        <w:t xml:space="preserve">s, </w:t>
      </w:r>
      <w:r w:rsidRPr="00BC57FB">
        <w:rPr>
          <w:rFonts w:eastAsia="Calibri" w:cs="Arial"/>
          <w:sz w:val="24"/>
          <w:szCs w:val="24"/>
        </w:rPr>
        <w:t xml:space="preserve">eksporta pieaugums bija fiksēts visās preču grupās, kas </w:t>
      </w:r>
      <w:r w:rsidRPr="00BC57FB">
        <w:rPr>
          <w:rFonts w:eastAsia="Calibri" w:cs="Arial"/>
          <w:color w:val="000000"/>
          <w:sz w:val="24"/>
          <w:szCs w:val="24"/>
        </w:rPr>
        <w:t>nozīmē, ka ārējā pieprasījuma uzlabojumu izj</w:t>
      </w:r>
      <w:r>
        <w:rPr>
          <w:rFonts w:eastAsia="Calibri" w:cs="Arial"/>
          <w:color w:val="000000"/>
          <w:sz w:val="24"/>
          <w:szCs w:val="24"/>
        </w:rPr>
        <w:t>uta</w:t>
      </w:r>
      <w:r w:rsidRPr="00BC57FB">
        <w:rPr>
          <w:rFonts w:eastAsia="Calibri" w:cs="Arial"/>
          <w:color w:val="000000"/>
          <w:sz w:val="24"/>
          <w:szCs w:val="24"/>
        </w:rPr>
        <w:t xml:space="preserve"> praktiski visas apstrāde</w:t>
      </w:r>
      <w:r w:rsidRPr="00BC57FB">
        <w:rPr>
          <w:rFonts w:eastAsia="Calibri" w:cs="Arial"/>
          <w:sz w:val="24"/>
          <w:szCs w:val="24"/>
        </w:rPr>
        <w:t xml:space="preserve">s rūpniecības </w:t>
      </w:r>
      <w:proofErr w:type="spellStart"/>
      <w:r w:rsidRPr="00BC57FB">
        <w:rPr>
          <w:rFonts w:eastAsia="Calibri" w:cs="Arial"/>
          <w:sz w:val="24"/>
          <w:szCs w:val="24"/>
        </w:rPr>
        <w:t>apakšnozares</w:t>
      </w:r>
      <w:proofErr w:type="spellEnd"/>
      <w:r w:rsidRPr="00BC57FB">
        <w:rPr>
          <w:rFonts w:eastAsia="Calibri" w:cs="Arial"/>
          <w:sz w:val="24"/>
          <w:szCs w:val="24"/>
        </w:rPr>
        <w:t xml:space="preserve">. Kopējo preču eksportu veicināja arī reeksporta pieaugums, strauji pieaugot </w:t>
      </w:r>
      <w:proofErr w:type="spellStart"/>
      <w:r w:rsidRPr="00BC57FB">
        <w:rPr>
          <w:rFonts w:eastAsia="Calibri" w:cs="Arial"/>
          <w:sz w:val="24"/>
          <w:szCs w:val="24"/>
        </w:rPr>
        <w:t>minerālproduktu</w:t>
      </w:r>
      <w:proofErr w:type="spellEnd"/>
      <w:r w:rsidRPr="00BC57FB">
        <w:rPr>
          <w:rFonts w:eastAsia="Calibri" w:cs="Arial"/>
          <w:sz w:val="24"/>
          <w:szCs w:val="24"/>
        </w:rPr>
        <w:t>, kā arī atsevišķ</w:t>
      </w:r>
      <w:r>
        <w:rPr>
          <w:rFonts w:eastAsia="Calibri" w:cs="Arial"/>
          <w:sz w:val="24"/>
          <w:szCs w:val="24"/>
        </w:rPr>
        <w:t>u</w:t>
      </w:r>
      <w:r w:rsidRPr="00BC57FB">
        <w:rPr>
          <w:rFonts w:eastAsia="Calibri" w:cs="Arial"/>
          <w:sz w:val="24"/>
          <w:szCs w:val="24"/>
        </w:rPr>
        <w:t xml:space="preserve"> mehānisk</w:t>
      </w:r>
      <w:r>
        <w:rPr>
          <w:rFonts w:eastAsia="Calibri" w:cs="Arial"/>
          <w:sz w:val="24"/>
          <w:szCs w:val="24"/>
        </w:rPr>
        <w:t>o</w:t>
      </w:r>
      <w:r w:rsidRPr="00BC57FB">
        <w:rPr>
          <w:rFonts w:eastAsia="Calibri" w:cs="Arial"/>
          <w:sz w:val="24"/>
          <w:szCs w:val="24"/>
        </w:rPr>
        <w:t xml:space="preserve"> un </w:t>
      </w:r>
      <w:r>
        <w:rPr>
          <w:rFonts w:eastAsia="Calibri" w:cs="Arial"/>
          <w:sz w:val="24"/>
          <w:szCs w:val="24"/>
        </w:rPr>
        <w:t>elektroierīču preču eksportam.</w:t>
      </w:r>
      <w:r w:rsidRPr="00BC57FB">
        <w:rPr>
          <w:rFonts w:eastAsia="Calibri" w:cs="Arial"/>
          <w:sz w:val="24"/>
          <w:szCs w:val="24"/>
        </w:rPr>
        <w:t xml:space="preserve"> </w:t>
      </w:r>
    </w:p>
    <w:p w14:paraId="1C1E04C9" w14:textId="77777777" w:rsidR="0031227F" w:rsidRDefault="0031227F" w:rsidP="0031227F">
      <w:pPr>
        <w:ind w:firstLine="709"/>
        <w:rPr>
          <w:rFonts w:cs="Times New Roman"/>
          <w:sz w:val="24"/>
          <w:szCs w:val="24"/>
        </w:rPr>
      </w:pPr>
      <w:r w:rsidRPr="003A5476">
        <w:rPr>
          <w:rFonts w:cs="Times New Roman"/>
          <w:sz w:val="24"/>
          <w:szCs w:val="24"/>
        </w:rPr>
        <w:t>Viens no galvenajiem iemesliem tik straujai un noturīgai preču eksporta izaugsmei bija cenu kāpums. Eksporta vienības vērtības indekss 2022</w:t>
      </w:r>
      <w:r>
        <w:rPr>
          <w:rFonts w:cs="Times New Roman"/>
          <w:sz w:val="24"/>
          <w:szCs w:val="24"/>
        </w:rPr>
        <w:t>. gadā</w:t>
      </w:r>
      <w:r w:rsidRPr="003A5476">
        <w:rPr>
          <w:rFonts w:cs="Times New Roman"/>
          <w:sz w:val="24"/>
          <w:szCs w:val="24"/>
        </w:rPr>
        <w:t xml:space="preserve"> ir palielinājies par </w:t>
      </w:r>
      <w:r>
        <w:rPr>
          <w:rFonts w:cs="Times New Roman"/>
          <w:sz w:val="24"/>
          <w:szCs w:val="24"/>
        </w:rPr>
        <w:t>19,7</w:t>
      </w:r>
      <w:r w:rsidRPr="003A5476">
        <w:rPr>
          <w:rFonts w:cs="Times New Roman"/>
          <w:sz w:val="24"/>
          <w:szCs w:val="24"/>
        </w:rPr>
        <w:t>%, salīdzinot ar iepriekšēj</w:t>
      </w:r>
      <w:r>
        <w:rPr>
          <w:rFonts w:cs="Times New Roman"/>
          <w:sz w:val="24"/>
          <w:szCs w:val="24"/>
        </w:rPr>
        <w:t>o gadu</w:t>
      </w:r>
      <w:r w:rsidRPr="003A5476">
        <w:rPr>
          <w:rFonts w:cs="Times New Roman"/>
          <w:sz w:val="24"/>
          <w:szCs w:val="24"/>
        </w:rPr>
        <w:t>. Tas nozīmē, ka reāl</w:t>
      </w:r>
      <w:r>
        <w:rPr>
          <w:rFonts w:cs="Times New Roman"/>
          <w:sz w:val="24"/>
          <w:szCs w:val="24"/>
        </w:rPr>
        <w:t>aj</w:t>
      </w:r>
      <w:r w:rsidRPr="003A5476">
        <w:rPr>
          <w:rFonts w:cs="Times New Roman"/>
          <w:sz w:val="24"/>
          <w:szCs w:val="24"/>
        </w:rPr>
        <w:t>ā izteiksmē</w:t>
      </w:r>
      <w:r>
        <w:rPr>
          <w:rFonts w:cs="Times New Roman"/>
          <w:sz w:val="24"/>
          <w:szCs w:val="24"/>
        </w:rPr>
        <w:t xml:space="preserve">, </w:t>
      </w:r>
      <w:r w:rsidRPr="003A5476">
        <w:rPr>
          <w:rFonts w:cs="Times New Roman"/>
          <w:sz w:val="24"/>
          <w:szCs w:val="24"/>
        </w:rPr>
        <w:t>jeb izslēdzot cenu ietekmi</w:t>
      </w:r>
      <w:r>
        <w:rPr>
          <w:rFonts w:cs="Times New Roman"/>
          <w:sz w:val="24"/>
          <w:szCs w:val="24"/>
        </w:rPr>
        <w:t>,</w:t>
      </w:r>
      <w:r w:rsidRPr="003A5476">
        <w:rPr>
          <w:rFonts w:cs="Times New Roman"/>
          <w:sz w:val="24"/>
          <w:szCs w:val="24"/>
        </w:rPr>
        <w:t xml:space="preserve"> preču eksporta vērtība </w:t>
      </w:r>
      <w:r>
        <w:rPr>
          <w:rFonts w:cs="Times New Roman"/>
          <w:sz w:val="24"/>
          <w:szCs w:val="24"/>
        </w:rPr>
        <w:t xml:space="preserve">2022. gadā vidēji pieaugtu par 10,0%, nevis par 29,7%. </w:t>
      </w:r>
      <w:r w:rsidRPr="003A5476">
        <w:rPr>
          <w:rFonts w:cs="Times New Roman"/>
          <w:sz w:val="24"/>
          <w:szCs w:val="24"/>
        </w:rPr>
        <w:t xml:space="preserve">Tādējādi aptuveni divas trešdaļas no preču eksporta kāpuma nodrošināja preču cenu pieaugums, bet ārējais pieprasījums deva vienu trešdaļu no kopējās preču eksporta izaugsmes. Cenu kāpums </w:t>
      </w:r>
      <w:r>
        <w:rPr>
          <w:rFonts w:cs="Times New Roman"/>
          <w:sz w:val="24"/>
          <w:szCs w:val="24"/>
        </w:rPr>
        <w:t xml:space="preserve">bija </w:t>
      </w:r>
      <w:r w:rsidRPr="003A5476">
        <w:rPr>
          <w:rFonts w:cs="Times New Roman"/>
          <w:sz w:val="24"/>
          <w:szCs w:val="24"/>
        </w:rPr>
        <w:t xml:space="preserve">vērojams praktiski visām izejvielām, proti, energoresursiem, pārtikai, metāliem, </w:t>
      </w:r>
      <w:r>
        <w:rPr>
          <w:rFonts w:cs="Times New Roman"/>
          <w:sz w:val="24"/>
          <w:szCs w:val="24"/>
        </w:rPr>
        <w:t xml:space="preserve">kā arī </w:t>
      </w:r>
      <w:r w:rsidRPr="003A5476">
        <w:rPr>
          <w:rFonts w:cs="Times New Roman"/>
          <w:sz w:val="24"/>
          <w:szCs w:val="24"/>
        </w:rPr>
        <w:t>koksnei. Izejvielu cenu kāpums kopā ar loģistikas traucējumiem, ko ietekmē</w:t>
      </w:r>
      <w:r>
        <w:rPr>
          <w:rFonts w:cs="Times New Roman"/>
          <w:sz w:val="24"/>
          <w:szCs w:val="24"/>
        </w:rPr>
        <w:t>ja</w:t>
      </w:r>
      <w:r w:rsidRPr="003A5476">
        <w:rPr>
          <w:rFonts w:cs="Times New Roman"/>
          <w:sz w:val="24"/>
          <w:szCs w:val="24"/>
        </w:rPr>
        <w:t xml:space="preserve"> augošais globālais pieprasījums un augstās degvielas cenas, sadārdzin</w:t>
      </w:r>
      <w:r>
        <w:rPr>
          <w:rFonts w:cs="Times New Roman"/>
          <w:sz w:val="24"/>
          <w:szCs w:val="24"/>
        </w:rPr>
        <w:t>āj</w:t>
      </w:r>
      <w:r w:rsidRPr="003A5476">
        <w:rPr>
          <w:rFonts w:cs="Times New Roman"/>
          <w:sz w:val="24"/>
          <w:szCs w:val="24"/>
        </w:rPr>
        <w:t>a gala preču cenu.</w:t>
      </w:r>
      <w:r>
        <w:rPr>
          <w:rFonts w:cs="Times New Roman"/>
          <w:sz w:val="24"/>
          <w:szCs w:val="24"/>
        </w:rPr>
        <w:t xml:space="preserve"> Tomēr arī pie šāda cenu kāpuma pašreizējā ģeopolitiskajā situācijā eksporta pieaugums pagājušajā gadā vērtējams kā ļoti labs.</w:t>
      </w:r>
    </w:p>
    <w:p w14:paraId="46AA4DD7" w14:textId="2D23AAE0" w:rsidR="0031227F" w:rsidRDefault="0031227F" w:rsidP="0031227F">
      <w:pPr>
        <w:ind w:firstLine="709"/>
        <w:rPr>
          <w:rFonts w:cs="Times New Roman"/>
          <w:sz w:val="24"/>
          <w:szCs w:val="24"/>
        </w:rPr>
      </w:pPr>
      <w:r>
        <w:rPr>
          <w:rFonts w:cs="Times New Roman"/>
          <w:sz w:val="24"/>
          <w:szCs w:val="24"/>
        </w:rPr>
        <w:t>S</w:t>
      </w:r>
      <w:r w:rsidRPr="00B6244F">
        <w:rPr>
          <w:rFonts w:cs="Times New Roman"/>
          <w:sz w:val="24"/>
          <w:szCs w:val="24"/>
        </w:rPr>
        <w:t xml:space="preserve">traujš preču eksporta pieaugums </w:t>
      </w:r>
      <w:r>
        <w:rPr>
          <w:rFonts w:cs="Times New Roman"/>
          <w:sz w:val="24"/>
          <w:szCs w:val="24"/>
        </w:rPr>
        <w:t xml:space="preserve">bija </w:t>
      </w:r>
      <w:r w:rsidRPr="00B6244F">
        <w:rPr>
          <w:rFonts w:cs="Times New Roman"/>
          <w:sz w:val="24"/>
          <w:szCs w:val="24"/>
        </w:rPr>
        <w:t>vērojams ne tikai Latvijā, bet praktiski visās ES dalībvalstīs</w:t>
      </w:r>
      <w:r>
        <w:rPr>
          <w:rFonts w:cs="Times New Roman"/>
          <w:sz w:val="24"/>
          <w:szCs w:val="24"/>
        </w:rPr>
        <w:t xml:space="preserve">, tomēr Latvija ierindojās valstu grupā ar straujāko preču eksporta kāpumu, kas liecina par Latvijas </w:t>
      </w:r>
      <w:r w:rsidRPr="00C011AA">
        <w:rPr>
          <w:rFonts w:cs="Times New Roman"/>
          <w:sz w:val="24"/>
          <w:szCs w:val="24"/>
        </w:rPr>
        <w:t>preču eksporta noturīgo konkurētspēju.</w:t>
      </w:r>
      <w:r>
        <w:rPr>
          <w:rFonts w:cs="Times New Roman"/>
          <w:sz w:val="24"/>
          <w:szCs w:val="24"/>
        </w:rPr>
        <w:t xml:space="preserve"> Dati par 2022. gadu rāda, ka preču eksporta vērtības pieaugums ES vidēji veidoja 19,7% faktiskajās cenās, salīdzinot ar 29,7% pieaugumu Latvijā. Augstāks pieaugums bija fiksēts vien Bulgārijā, Grieķijā, Horvātijā un Lietuvā.  Eksporta kāpumu gan Latvijā, gan visā ES kopumā noteica augošā pasaules ekonomika. Atbilstoši </w:t>
      </w:r>
      <w:r w:rsidR="00DA60DF">
        <w:rPr>
          <w:rFonts w:cs="Times New Roman"/>
          <w:sz w:val="24"/>
          <w:szCs w:val="24"/>
        </w:rPr>
        <w:t xml:space="preserve"> SVF</w:t>
      </w:r>
      <w:r>
        <w:rPr>
          <w:rFonts w:cs="Times New Roman"/>
          <w:sz w:val="24"/>
          <w:szCs w:val="24"/>
        </w:rPr>
        <w:t xml:space="preserve"> datiem, pasaules iekšzemes kopprodukts 2022. gadā palielinājās par 3,4%. Tomēr Krievijas uzsāktais karš Ukrainā būtiski pasliktināja pasaules ekonomikas konjunktūru, jo 2022. gada sākumā SVF prognozēja, ka pasaules ekonomikas izaugsme 2022. gadā varētu sasniegt 4,4%.</w:t>
      </w:r>
    </w:p>
    <w:p w14:paraId="0E78FB23" w14:textId="77777777" w:rsidR="0031227F" w:rsidRDefault="0031227F" w:rsidP="0031227F">
      <w:pPr>
        <w:ind w:firstLine="709"/>
        <w:rPr>
          <w:rFonts w:eastAsia="Calibri" w:cs="Arial"/>
          <w:sz w:val="24"/>
          <w:szCs w:val="24"/>
        </w:rPr>
      </w:pPr>
      <w:r w:rsidRPr="000755E3">
        <w:rPr>
          <w:rFonts w:eastAsia="Calibri" w:cs="Arial"/>
          <w:sz w:val="24"/>
          <w:szCs w:val="24"/>
        </w:rPr>
        <w:t>Lielāko devumu eksporta izaugsmē 2022</w:t>
      </w:r>
      <w:r>
        <w:rPr>
          <w:rFonts w:eastAsia="Calibri" w:cs="Arial"/>
          <w:sz w:val="24"/>
          <w:szCs w:val="24"/>
        </w:rPr>
        <w:t>. gad</w:t>
      </w:r>
      <w:r w:rsidRPr="000755E3">
        <w:rPr>
          <w:rFonts w:eastAsia="Calibri" w:cs="Arial"/>
          <w:sz w:val="24"/>
          <w:szCs w:val="24"/>
        </w:rPr>
        <w:t xml:space="preserve">a nodrošināja </w:t>
      </w:r>
      <w:proofErr w:type="spellStart"/>
      <w:r w:rsidRPr="000755E3">
        <w:rPr>
          <w:rFonts w:eastAsia="Calibri" w:cs="Arial"/>
          <w:sz w:val="24"/>
          <w:szCs w:val="24"/>
        </w:rPr>
        <w:t>minerālproduktu</w:t>
      </w:r>
      <w:proofErr w:type="spellEnd"/>
      <w:r w:rsidRPr="000755E3">
        <w:rPr>
          <w:rFonts w:eastAsia="Calibri" w:cs="Arial"/>
          <w:sz w:val="24"/>
          <w:szCs w:val="24"/>
        </w:rPr>
        <w:t xml:space="preserve"> eksporta pieaugums </w:t>
      </w:r>
      <w:r>
        <w:rPr>
          <w:rFonts w:eastAsia="Calibri" w:cs="Arial"/>
          <w:sz w:val="24"/>
          <w:szCs w:val="24"/>
        </w:rPr>
        <w:t>vairāk nekā 2,5</w:t>
      </w:r>
      <w:r w:rsidRPr="000755E3">
        <w:rPr>
          <w:rFonts w:eastAsia="Calibri" w:cs="Arial"/>
          <w:sz w:val="24"/>
          <w:szCs w:val="24"/>
        </w:rPr>
        <w:t xml:space="preserve"> reizes. Šo preču grupu eksporta pieaugumu veicināja gāzes un naftas pārstrādes produktu reeksports uz pārējām Baltijas valstīm, Somiju un Ukrainu, kā arī elektroenerģijas eksporta pieaugums uz Lietuvu.</w:t>
      </w:r>
      <w:r>
        <w:rPr>
          <w:rFonts w:eastAsia="Calibri" w:cs="Arial"/>
          <w:sz w:val="24"/>
          <w:szCs w:val="24"/>
        </w:rPr>
        <w:t xml:space="preserve"> </w:t>
      </w:r>
      <w:proofErr w:type="spellStart"/>
      <w:r>
        <w:rPr>
          <w:rFonts w:eastAsia="Calibri" w:cs="Arial"/>
          <w:sz w:val="24"/>
          <w:szCs w:val="24"/>
        </w:rPr>
        <w:t>Minerālproduktu</w:t>
      </w:r>
      <w:proofErr w:type="spellEnd"/>
      <w:r>
        <w:rPr>
          <w:rFonts w:eastAsia="Calibri" w:cs="Arial"/>
          <w:sz w:val="24"/>
          <w:szCs w:val="24"/>
        </w:rPr>
        <w:t xml:space="preserve"> eksporta vērtība pērnajā gadā pieauga par 1,7</w:t>
      </w:r>
      <w:r w:rsidRPr="00BC57FB">
        <w:rPr>
          <w:rFonts w:eastAsia="Calibri" w:cs="Arial"/>
          <w:sz w:val="24"/>
          <w:szCs w:val="24"/>
        </w:rPr>
        <w:t xml:space="preserve"> mljrd. </w:t>
      </w:r>
      <w:proofErr w:type="spellStart"/>
      <w:r w:rsidRPr="00BC57FB">
        <w:rPr>
          <w:rFonts w:eastAsia="Calibri" w:cs="Arial"/>
          <w:i/>
          <w:iCs/>
          <w:sz w:val="24"/>
          <w:szCs w:val="24"/>
        </w:rPr>
        <w:t>euro</w:t>
      </w:r>
      <w:proofErr w:type="spellEnd"/>
      <w:r>
        <w:rPr>
          <w:rFonts w:eastAsia="Calibri" w:cs="Arial"/>
          <w:sz w:val="24"/>
          <w:szCs w:val="24"/>
        </w:rPr>
        <w:t xml:space="preserve"> līdz 2,8</w:t>
      </w:r>
      <w:r w:rsidRPr="00BC57FB">
        <w:rPr>
          <w:rFonts w:eastAsia="Calibri" w:cs="Arial"/>
          <w:sz w:val="24"/>
          <w:szCs w:val="24"/>
        </w:rPr>
        <w:t xml:space="preserve"> mljrd. </w:t>
      </w:r>
      <w:proofErr w:type="spellStart"/>
      <w:r w:rsidRPr="00BC57FB">
        <w:rPr>
          <w:rFonts w:eastAsia="Calibri" w:cs="Arial"/>
          <w:i/>
          <w:iCs/>
          <w:sz w:val="24"/>
          <w:szCs w:val="24"/>
        </w:rPr>
        <w:t>euro</w:t>
      </w:r>
      <w:proofErr w:type="spellEnd"/>
      <w:r>
        <w:rPr>
          <w:rFonts w:eastAsia="Calibri" w:cs="Arial"/>
          <w:i/>
          <w:iCs/>
          <w:sz w:val="24"/>
          <w:szCs w:val="24"/>
        </w:rPr>
        <w:t>.</w:t>
      </w:r>
      <w:r>
        <w:rPr>
          <w:rFonts w:eastAsia="Calibri" w:cs="Arial"/>
          <w:sz w:val="24"/>
          <w:szCs w:val="24"/>
        </w:rPr>
        <w:t xml:space="preserve"> Tādējādi šīs preču grupas īpatsvars kopējā preču eksportā gada laikā dubultojās, sasniedzot 12,9%. </w:t>
      </w:r>
    </w:p>
    <w:p w14:paraId="524732DF" w14:textId="77777777" w:rsidR="0031227F" w:rsidRDefault="0031227F" w:rsidP="0031227F">
      <w:pPr>
        <w:ind w:firstLine="709"/>
        <w:rPr>
          <w:rFonts w:eastAsia="Calibri" w:cs="Arial"/>
          <w:sz w:val="24"/>
          <w:szCs w:val="24"/>
        </w:rPr>
      </w:pPr>
      <w:r w:rsidRPr="000755E3">
        <w:rPr>
          <w:rFonts w:eastAsia="Calibri" w:cs="Arial"/>
          <w:sz w:val="24"/>
          <w:szCs w:val="24"/>
        </w:rPr>
        <w:t xml:space="preserve">Kopējo preču eksporta vērtības pieaugumu veicināja arī lauksaimniecības un pārtikas preču eksporta kāpums par 41,2%, būtiski palielinoties graudaugu, piena produktu, </w:t>
      </w:r>
      <w:r>
        <w:rPr>
          <w:rFonts w:eastAsia="Calibri" w:cs="Arial"/>
          <w:sz w:val="24"/>
          <w:szCs w:val="24"/>
        </w:rPr>
        <w:t xml:space="preserve">alkoholisko dzērienu, </w:t>
      </w:r>
      <w:r w:rsidRPr="000755E3">
        <w:rPr>
          <w:rFonts w:eastAsia="Calibri" w:cs="Arial"/>
          <w:sz w:val="24"/>
          <w:szCs w:val="24"/>
        </w:rPr>
        <w:t>eļļas eksportam.</w:t>
      </w:r>
      <w:r>
        <w:rPr>
          <w:rFonts w:eastAsia="Calibri" w:cs="Arial"/>
          <w:sz w:val="24"/>
          <w:szCs w:val="24"/>
        </w:rPr>
        <w:t xml:space="preserve"> L</w:t>
      </w:r>
      <w:r w:rsidRPr="000755E3">
        <w:rPr>
          <w:rFonts w:eastAsia="Calibri" w:cs="Arial"/>
          <w:sz w:val="24"/>
          <w:szCs w:val="24"/>
        </w:rPr>
        <w:t>auksaimniecības un pārtikas preču</w:t>
      </w:r>
      <w:r>
        <w:rPr>
          <w:rFonts w:eastAsia="Calibri" w:cs="Arial"/>
          <w:sz w:val="24"/>
          <w:szCs w:val="24"/>
        </w:rPr>
        <w:t xml:space="preserve"> grupa ar īpatsvaru 19,9% kopējā preču eksportā pērn bija lielākā Latvijas preču eksporta grupa.</w:t>
      </w:r>
    </w:p>
    <w:p w14:paraId="107787F4" w14:textId="77777777" w:rsidR="0031227F" w:rsidRDefault="0031227F" w:rsidP="0031227F">
      <w:pPr>
        <w:rPr>
          <w:rFonts w:eastAsia="Calibri" w:cs="Arial"/>
          <w:sz w:val="24"/>
          <w:szCs w:val="24"/>
        </w:rPr>
      </w:pPr>
      <w:r w:rsidRPr="000755E3">
        <w:rPr>
          <w:rFonts w:eastAsia="Calibri" w:cs="Arial"/>
          <w:sz w:val="24"/>
          <w:szCs w:val="24"/>
        </w:rPr>
        <w:lastRenderedPageBreak/>
        <w:t>2022</w:t>
      </w:r>
      <w:r>
        <w:rPr>
          <w:rFonts w:eastAsia="Calibri" w:cs="Arial"/>
          <w:sz w:val="24"/>
          <w:szCs w:val="24"/>
        </w:rPr>
        <w:t>. gad</w:t>
      </w:r>
      <w:r w:rsidRPr="000755E3">
        <w:rPr>
          <w:rFonts w:eastAsia="Calibri" w:cs="Arial"/>
          <w:sz w:val="24"/>
          <w:szCs w:val="24"/>
        </w:rPr>
        <w:t xml:space="preserve">a </w:t>
      </w:r>
      <w:r>
        <w:rPr>
          <w:rFonts w:eastAsia="Calibri" w:cs="Arial"/>
          <w:sz w:val="24"/>
          <w:szCs w:val="24"/>
        </w:rPr>
        <w:t xml:space="preserve">pirmajā pusē </w:t>
      </w:r>
      <w:r w:rsidRPr="000755E3">
        <w:rPr>
          <w:rFonts w:eastAsia="Calibri" w:cs="Arial"/>
          <w:sz w:val="24"/>
          <w:szCs w:val="24"/>
        </w:rPr>
        <w:t>galvenais preču eksporta pieauguma virzītājspēks bija koksnes un koka izstrādājumu preču grupa</w:t>
      </w:r>
      <w:r>
        <w:rPr>
          <w:rFonts w:eastAsia="Calibri" w:cs="Arial"/>
          <w:sz w:val="24"/>
          <w:szCs w:val="24"/>
        </w:rPr>
        <w:t xml:space="preserve">, vidēji palielinoties par 36,9%, salīdzinot ar iepriekšējā gada attiecīgo periodu. </w:t>
      </w:r>
      <w:r w:rsidRPr="000755E3">
        <w:rPr>
          <w:rFonts w:eastAsia="Calibri" w:cs="Arial"/>
          <w:sz w:val="24"/>
          <w:szCs w:val="24"/>
        </w:rPr>
        <w:t xml:space="preserve">Tomēr </w:t>
      </w:r>
      <w:r>
        <w:rPr>
          <w:rFonts w:eastAsia="Calibri" w:cs="Arial"/>
          <w:sz w:val="24"/>
          <w:szCs w:val="24"/>
        </w:rPr>
        <w:t xml:space="preserve">gada otrajā pusē koksnes eksporta vidējā izaugsme samazinājās līdz 1,0%. </w:t>
      </w:r>
      <w:r w:rsidRPr="000755E3">
        <w:rPr>
          <w:rFonts w:eastAsia="Calibri" w:cs="Arial"/>
          <w:sz w:val="24"/>
          <w:szCs w:val="24"/>
        </w:rPr>
        <w:t>Kopumā koksnes un koka izstrādājumu eksport</w:t>
      </w:r>
      <w:r>
        <w:rPr>
          <w:rFonts w:eastAsia="Calibri" w:cs="Arial"/>
          <w:sz w:val="24"/>
          <w:szCs w:val="24"/>
        </w:rPr>
        <w:t>a vērtība</w:t>
      </w:r>
      <w:r w:rsidRPr="000755E3">
        <w:rPr>
          <w:rFonts w:eastAsia="Calibri" w:cs="Arial"/>
          <w:sz w:val="24"/>
          <w:szCs w:val="24"/>
        </w:rPr>
        <w:t xml:space="preserve"> </w:t>
      </w:r>
      <w:r>
        <w:rPr>
          <w:rFonts w:eastAsia="Calibri" w:cs="Arial"/>
          <w:sz w:val="24"/>
          <w:szCs w:val="24"/>
        </w:rPr>
        <w:t xml:space="preserve">pērnajā gadā palielinājās par 16,4%. </w:t>
      </w:r>
      <w:r w:rsidRPr="000755E3">
        <w:rPr>
          <w:rFonts w:eastAsia="Calibri" w:cs="Arial"/>
          <w:color w:val="000000"/>
          <w:sz w:val="24"/>
          <w:szCs w:val="24"/>
        </w:rPr>
        <w:t xml:space="preserve">Koka un koksnes izstrādājumu eksports ir pietiekoši labi diversificēts gan noieta tirgu, gan eksportēto preču ziņā. Kāpums bija fiksēts praktiski visos </w:t>
      </w:r>
      <w:r w:rsidRPr="000755E3">
        <w:rPr>
          <w:rFonts w:eastAsia="Calibri" w:cs="Arial"/>
          <w:sz w:val="24"/>
          <w:szCs w:val="24"/>
        </w:rPr>
        <w:t xml:space="preserve">lielākajos noieta tirgos – Vācijā, Lietuvā, Zviedrijā, Nīderlandē, Igaunijā. </w:t>
      </w:r>
      <w:r>
        <w:rPr>
          <w:rFonts w:eastAsia="Calibri" w:cs="Arial"/>
          <w:sz w:val="24"/>
          <w:szCs w:val="24"/>
        </w:rPr>
        <w:t xml:space="preserve">Būtisks eksporta kāpums fiksēts arī uz tādām valstīm kā ASV, Polija un Itālija, ko varētu uzskatīt par jauniem tirgiem. Savukārt </w:t>
      </w:r>
      <w:r w:rsidRPr="000755E3">
        <w:rPr>
          <w:rFonts w:eastAsia="Calibri" w:cs="Arial"/>
          <w:sz w:val="24"/>
          <w:szCs w:val="24"/>
        </w:rPr>
        <w:t xml:space="preserve">koksnes eksports uz lielāko eksporta tirgu jeb Apvienoto Karalisti </w:t>
      </w:r>
      <w:r>
        <w:rPr>
          <w:rFonts w:eastAsia="Calibri" w:cs="Arial"/>
          <w:sz w:val="24"/>
          <w:szCs w:val="24"/>
        </w:rPr>
        <w:t xml:space="preserve">samazinājās par 16,3%, kas arī noteica kopējā koksnes eksporta pieauguma piebremzēšanos pērnā gada otrajā pusē. </w:t>
      </w:r>
      <w:r w:rsidRPr="000755E3">
        <w:rPr>
          <w:rFonts w:eastAsia="Calibri" w:cs="Arial"/>
          <w:sz w:val="24"/>
          <w:szCs w:val="24"/>
        </w:rPr>
        <w:t>Apvienotā Karaliste ar 23% īpatsvaru kopējā šīs grupas eksporta apjomā būtiski apsteidz citus eksporta tirgus</w:t>
      </w:r>
      <w:r>
        <w:rPr>
          <w:rFonts w:eastAsia="Calibri" w:cs="Arial"/>
          <w:sz w:val="24"/>
          <w:szCs w:val="24"/>
        </w:rPr>
        <w:t>. Koksnes e</w:t>
      </w:r>
      <w:r w:rsidRPr="000755E3">
        <w:rPr>
          <w:rFonts w:eastAsia="Calibri" w:cs="Arial"/>
          <w:sz w:val="24"/>
          <w:szCs w:val="24"/>
        </w:rPr>
        <w:t xml:space="preserve">ksports uz Zviedriju, Vāciju, Igauniju </w:t>
      </w:r>
      <w:r>
        <w:rPr>
          <w:rFonts w:eastAsia="Calibri" w:cs="Arial"/>
          <w:sz w:val="24"/>
          <w:szCs w:val="24"/>
        </w:rPr>
        <w:t xml:space="preserve">un Lietuvu </w:t>
      </w:r>
      <w:r w:rsidRPr="000755E3">
        <w:rPr>
          <w:rFonts w:eastAsia="Calibri" w:cs="Arial"/>
          <w:sz w:val="24"/>
          <w:szCs w:val="24"/>
        </w:rPr>
        <w:t xml:space="preserve">veido attiecīgi </w:t>
      </w:r>
      <w:r>
        <w:rPr>
          <w:rFonts w:eastAsia="Calibri" w:cs="Arial"/>
          <w:sz w:val="24"/>
          <w:szCs w:val="24"/>
        </w:rPr>
        <w:t>10</w:t>
      </w:r>
      <w:r w:rsidRPr="000755E3">
        <w:rPr>
          <w:rFonts w:eastAsia="Calibri" w:cs="Arial"/>
          <w:sz w:val="24"/>
          <w:szCs w:val="24"/>
        </w:rPr>
        <w:t>%, 8%</w:t>
      </w:r>
      <w:r>
        <w:rPr>
          <w:rFonts w:eastAsia="Calibri" w:cs="Arial"/>
          <w:sz w:val="24"/>
          <w:szCs w:val="24"/>
        </w:rPr>
        <w:t xml:space="preserve">, </w:t>
      </w:r>
      <w:r w:rsidRPr="000755E3">
        <w:rPr>
          <w:rFonts w:eastAsia="Calibri" w:cs="Arial"/>
          <w:sz w:val="24"/>
          <w:szCs w:val="24"/>
        </w:rPr>
        <w:t xml:space="preserve">7% </w:t>
      </w:r>
      <w:r>
        <w:rPr>
          <w:rFonts w:eastAsia="Calibri" w:cs="Arial"/>
          <w:sz w:val="24"/>
          <w:szCs w:val="24"/>
        </w:rPr>
        <w:t xml:space="preserve">un 6% </w:t>
      </w:r>
      <w:r w:rsidRPr="000755E3">
        <w:rPr>
          <w:rFonts w:eastAsia="Calibri" w:cs="Arial"/>
          <w:sz w:val="24"/>
          <w:szCs w:val="24"/>
        </w:rPr>
        <w:t xml:space="preserve">no kopējās koksnes eksporta vērtības. </w:t>
      </w:r>
    </w:p>
    <w:p w14:paraId="54A7678B" w14:textId="77777777" w:rsidR="0031227F" w:rsidRDefault="0031227F" w:rsidP="0031227F">
      <w:pPr>
        <w:rPr>
          <w:rFonts w:eastAsia="Calibri" w:cs="Arial"/>
          <w:sz w:val="24"/>
          <w:szCs w:val="24"/>
        </w:rPr>
      </w:pPr>
      <w:r>
        <w:rPr>
          <w:rFonts w:eastAsia="Calibri" w:cs="Arial"/>
          <w:sz w:val="24"/>
          <w:szCs w:val="24"/>
        </w:rPr>
        <w:t>Koksnes eksporta struktūrā joprojām dominē preces ar zemu pievienoto vērtību kā neapstrādāti kokmateriāli, g</w:t>
      </w:r>
      <w:r w:rsidRPr="00652894">
        <w:rPr>
          <w:rFonts w:eastAsia="Calibri" w:cs="Arial"/>
          <w:sz w:val="24"/>
          <w:szCs w:val="24"/>
        </w:rPr>
        <w:t xml:space="preserve">arumā sazāģēti vai </w:t>
      </w:r>
      <w:proofErr w:type="spellStart"/>
      <w:r w:rsidRPr="00652894">
        <w:rPr>
          <w:rFonts w:eastAsia="Calibri" w:cs="Arial"/>
          <w:sz w:val="24"/>
          <w:szCs w:val="24"/>
        </w:rPr>
        <w:t>šķeldoti</w:t>
      </w:r>
      <w:proofErr w:type="spellEnd"/>
      <w:r w:rsidRPr="00652894">
        <w:rPr>
          <w:rFonts w:eastAsia="Calibri" w:cs="Arial"/>
          <w:sz w:val="24"/>
          <w:szCs w:val="24"/>
        </w:rPr>
        <w:t xml:space="preserve"> kokmateriāli</w:t>
      </w:r>
      <w:r>
        <w:rPr>
          <w:rFonts w:eastAsia="Calibri" w:cs="Arial"/>
          <w:sz w:val="24"/>
          <w:szCs w:val="24"/>
        </w:rPr>
        <w:t xml:space="preserve">, kā arī koksnes šķelda un granulas. Augstākminēto preču īpatsvars koka un koksnes izstrādājumā eksportā veido 60%. Tieši šīs grupas 2022. gadā nodrošināja lielāko devumu koksnes eksporta izaugsmē. Tomēr pērnajā gadā būtiski palielinājās arī lokšņu finiera, saplākšņa, koka lāžu un namdaru izstrādājumu eksports. </w:t>
      </w:r>
    </w:p>
    <w:p w14:paraId="353C1969" w14:textId="77777777" w:rsidR="0031227F" w:rsidRDefault="0031227F" w:rsidP="0031227F">
      <w:pPr>
        <w:rPr>
          <w:rFonts w:eastAsia="Calibri" w:cs="Arial"/>
          <w:sz w:val="24"/>
          <w:szCs w:val="24"/>
        </w:rPr>
      </w:pPr>
      <w:r w:rsidRPr="000755E3">
        <w:rPr>
          <w:rFonts w:eastAsia="Calibri" w:cs="Arial"/>
          <w:sz w:val="24"/>
          <w:szCs w:val="24"/>
        </w:rPr>
        <w:t>Eksporta pieaugums pērn</w:t>
      </w:r>
      <w:r>
        <w:rPr>
          <w:rFonts w:eastAsia="Calibri" w:cs="Arial"/>
          <w:sz w:val="24"/>
          <w:szCs w:val="24"/>
        </w:rPr>
        <w:t>aj</w:t>
      </w:r>
      <w:r w:rsidRPr="000755E3">
        <w:rPr>
          <w:rFonts w:eastAsia="Calibri" w:cs="Arial"/>
          <w:sz w:val="24"/>
          <w:szCs w:val="24"/>
        </w:rPr>
        <w:t>ā gadā</w:t>
      </w:r>
      <w:r>
        <w:rPr>
          <w:rFonts w:eastAsia="Calibri" w:cs="Arial"/>
          <w:sz w:val="24"/>
          <w:szCs w:val="24"/>
        </w:rPr>
        <w:t xml:space="preserve"> </w:t>
      </w:r>
      <w:r w:rsidRPr="000755E3">
        <w:rPr>
          <w:rFonts w:eastAsia="Calibri" w:cs="Arial"/>
          <w:sz w:val="24"/>
          <w:szCs w:val="24"/>
        </w:rPr>
        <w:t>bija fiksēts arī pārējās preču grupās, t</w:t>
      </w:r>
      <w:r>
        <w:rPr>
          <w:rFonts w:eastAsia="Calibri" w:cs="Arial"/>
          <w:sz w:val="24"/>
          <w:szCs w:val="24"/>
        </w:rPr>
        <w:t>aču</w:t>
      </w:r>
      <w:r w:rsidRPr="000755E3">
        <w:rPr>
          <w:rFonts w:eastAsia="Calibri" w:cs="Arial"/>
          <w:sz w:val="24"/>
          <w:szCs w:val="24"/>
        </w:rPr>
        <w:t xml:space="preserve"> </w:t>
      </w:r>
      <w:r>
        <w:rPr>
          <w:rFonts w:eastAsia="Calibri" w:cs="Arial"/>
          <w:sz w:val="24"/>
          <w:szCs w:val="24"/>
        </w:rPr>
        <w:t xml:space="preserve">tas bija </w:t>
      </w:r>
      <w:r w:rsidRPr="000755E3">
        <w:rPr>
          <w:rFonts w:eastAsia="Calibri" w:cs="Arial"/>
          <w:sz w:val="24"/>
          <w:szCs w:val="24"/>
        </w:rPr>
        <w:t xml:space="preserve">būtiski zemāks nekā </w:t>
      </w:r>
      <w:proofErr w:type="spellStart"/>
      <w:r w:rsidRPr="000755E3">
        <w:rPr>
          <w:rFonts w:eastAsia="Calibri" w:cs="Arial"/>
          <w:sz w:val="24"/>
          <w:szCs w:val="24"/>
        </w:rPr>
        <w:t>minerālproduktu</w:t>
      </w:r>
      <w:proofErr w:type="spellEnd"/>
      <w:r w:rsidRPr="000755E3">
        <w:rPr>
          <w:rFonts w:eastAsia="Calibri" w:cs="Arial"/>
          <w:sz w:val="24"/>
          <w:szCs w:val="24"/>
        </w:rPr>
        <w:t>, pārtikas un koksnes eksporta kāpums.</w:t>
      </w:r>
      <w:r>
        <w:rPr>
          <w:rFonts w:eastAsia="Calibri" w:cs="Arial"/>
          <w:sz w:val="24"/>
          <w:szCs w:val="24"/>
        </w:rPr>
        <w:t xml:space="preserve"> Vienīgā preču grupa, kurai 2022. gadā eksporta vērtība samazinājās, bija metāli un metālu izstrādājumi. Šīs preču grupas eksports bija par 10,7% mazāks nekā 2021. gadā, ko noteica dzelzs atkritumu un lūžņu eksporta samazinājums uz Turciju, kā arī dzelzs un neleģētā tērauda eksporta kritums uz ES valstīm. </w:t>
      </w:r>
    </w:p>
    <w:p w14:paraId="5DA7A9C9" w14:textId="77777777" w:rsidR="0031227F" w:rsidRDefault="0031227F" w:rsidP="0031227F">
      <w:pPr>
        <w:rPr>
          <w:rFonts w:eastAsia="Calibri" w:cs="Arial"/>
          <w:sz w:val="24"/>
          <w:szCs w:val="24"/>
        </w:rPr>
      </w:pPr>
      <w:r w:rsidRPr="00FA7F6D">
        <w:rPr>
          <w:rFonts w:eastAsia="Calibri" w:cs="Arial"/>
          <w:b/>
          <w:bCs/>
          <w:sz w:val="24"/>
          <w:szCs w:val="24"/>
        </w:rPr>
        <w:t>Pakalpojumu eksporta</w:t>
      </w:r>
      <w:r w:rsidRPr="000755E3">
        <w:rPr>
          <w:rFonts w:eastAsia="Calibri" w:cs="Arial"/>
          <w:sz w:val="24"/>
          <w:szCs w:val="24"/>
        </w:rPr>
        <w:t xml:space="preserve"> izaugsme </w:t>
      </w:r>
      <w:r>
        <w:rPr>
          <w:rFonts w:eastAsia="Calibri" w:cs="Arial"/>
          <w:sz w:val="24"/>
          <w:szCs w:val="24"/>
        </w:rPr>
        <w:t>pērn bija</w:t>
      </w:r>
      <w:r w:rsidRPr="000755E3">
        <w:rPr>
          <w:rFonts w:eastAsia="Calibri" w:cs="Arial"/>
          <w:sz w:val="24"/>
          <w:szCs w:val="24"/>
        </w:rPr>
        <w:t xml:space="preserve"> pat straujāka par preču eksporta pieaugumu. 2022</w:t>
      </w:r>
      <w:r>
        <w:rPr>
          <w:rFonts w:eastAsia="Calibri" w:cs="Arial"/>
          <w:sz w:val="24"/>
          <w:szCs w:val="24"/>
        </w:rPr>
        <w:t>. gad</w:t>
      </w:r>
      <w:r w:rsidRPr="000755E3">
        <w:rPr>
          <w:rFonts w:eastAsia="Calibri" w:cs="Arial"/>
          <w:sz w:val="24"/>
          <w:szCs w:val="24"/>
        </w:rPr>
        <w:t>ā kopējais pakalpojumu eksports faktiskajās cenās palielinājās par 3</w:t>
      </w:r>
      <w:r>
        <w:rPr>
          <w:rFonts w:eastAsia="Calibri" w:cs="Arial"/>
          <w:sz w:val="24"/>
          <w:szCs w:val="24"/>
        </w:rPr>
        <w:t>4,8</w:t>
      </w:r>
      <w:r w:rsidRPr="000755E3">
        <w:rPr>
          <w:rFonts w:eastAsia="Calibri" w:cs="Arial"/>
          <w:sz w:val="24"/>
          <w:szCs w:val="24"/>
        </w:rPr>
        <w:t>% salīdzinājumā ar iepriekšēj</w:t>
      </w:r>
      <w:r>
        <w:rPr>
          <w:rFonts w:eastAsia="Calibri" w:cs="Arial"/>
          <w:sz w:val="24"/>
          <w:szCs w:val="24"/>
        </w:rPr>
        <w:t>o</w:t>
      </w:r>
      <w:r w:rsidRPr="000755E3">
        <w:rPr>
          <w:rFonts w:eastAsia="Calibri" w:cs="Arial"/>
          <w:sz w:val="24"/>
          <w:szCs w:val="24"/>
        </w:rPr>
        <w:t xml:space="preserve"> gad</w:t>
      </w:r>
      <w:r>
        <w:rPr>
          <w:rFonts w:eastAsia="Calibri" w:cs="Arial"/>
          <w:sz w:val="24"/>
          <w:szCs w:val="24"/>
        </w:rPr>
        <w:t xml:space="preserve">u </w:t>
      </w:r>
      <w:r w:rsidRPr="000755E3">
        <w:rPr>
          <w:rFonts w:eastAsia="Calibri" w:cs="Arial"/>
          <w:sz w:val="24"/>
          <w:szCs w:val="24"/>
        </w:rPr>
        <w:t xml:space="preserve">un veidoja </w:t>
      </w:r>
      <w:r>
        <w:rPr>
          <w:rFonts w:eastAsia="Calibri" w:cs="Arial"/>
          <w:sz w:val="24"/>
          <w:szCs w:val="24"/>
        </w:rPr>
        <w:t>6999</w:t>
      </w:r>
      <w:r w:rsidRPr="000755E3">
        <w:rPr>
          <w:rFonts w:eastAsia="Calibri" w:cs="Arial"/>
          <w:sz w:val="24"/>
          <w:szCs w:val="24"/>
        </w:rPr>
        <w:t xml:space="preserve"> milj. </w:t>
      </w:r>
      <w:proofErr w:type="spellStart"/>
      <w:r w:rsidRPr="000755E3">
        <w:rPr>
          <w:rFonts w:eastAsia="Calibri" w:cs="Arial"/>
          <w:i/>
          <w:iCs/>
          <w:sz w:val="24"/>
          <w:szCs w:val="24"/>
        </w:rPr>
        <w:t>euro</w:t>
      </w:r>
      <w:proofErr w:type="spellEnd"/>
      <w:r w:rsidRPr="000755E3">
        <w:rPr>
          <w:rFonts w:eastAsia="Calibri" w:cs="Arial"/>
          <w:sz w:val="24"/>
          <w:szCs w:val="24"/>
        </w:rPr>
        <w:t>. Pozitīva pakalpojumu eksporta dinamika bija fiksēta vēl 2021</w:t>
      </w:r>
      <w:r>
        <w:rPr>
          <w:rFonts w:eastAsia="Calibri" w:cs="Arial"/>
          <w:sz w:val="24"/>
          <w:szCs w:val="24"/>
        </w:rPr>
        <w:t>. gad</w:t>
      </w:r>
      <w:r w:rsidRPr="000755E3">
        <w:rPr>
          <w:rFonts w:eastAsia="Calibri" w:cs="Arial"/>
          <w:sz w:val="24"/>
          <w:szCs w:val="24"/>
        </w:rPr>
        <w:t>ā, bet 2022</w:t>
      </w:r>
      <w:r>
        <w:rPr>
          <w:rFonts w:eastAsia="Calibri" w:cs="Arial"/>
          <w:sz w:val="24"/>
          <w:szCs w:val="24"/>
        </w:rPr>
        <w:t>. gad</w:t>
      </w:r>
      <w:r w:rsidRPr="000755E3">
        <w:rPr>
          <w:rFonts w:eastAsia="Calibri" w:cs="Arial"/>
          <w:sz w:val="24"/>
          <w:szCs w:val="24"/>
        </w:rPr>
        <w:t>ā pieaugums</w:t>
      </w:r>
      <w:r>
        <w:rPr>
          <w:rFonts w:eastAsia="Calibri" w:cs="Arial"/>
          <w:sz w:val="24"/>
          <w:szCs w:val="24"/>
        </w:rPr>
        <w:t xml:space="preserve"> vēl</w:t>
      </w:r>
      <w:r w:rsidRPr="000755E3">
        <w:rPr>
          <w:rFonts w:eastAsia="Calibri" w:cs="Arial"/>
          <w:sz w:val="24"/>
          <w:szCs w:val="24"/>
        </w:rPr>
        <w:t xml:space="preserve"> paātrin</w:t>
      </w:r>
      <w:r>
        <w:rPr>
          <w:rFonts w:eastAsia="Calibri" w:cs="Arial"/>
          <w:sz w:val="24"/>
          <w:szCs w:val="24"/>
        </w:rPr>
        <w:t>ājās</w:t>
      </w:r>
      <w:r w:rsidRPr="000755E3">
        <w:rPr>
          <w:rFonts w:eastAsia="Calibri" w:cs="Arial"/>
          <w:sz w:val="24"/>
          <w:szCs w:val="24"/>
        </w:rPr>
        <w:t xml:space="preserve">. Atšķirībā no preču eksporta, </w:t>
      </w:r>
      <w:r>
        <w:rPr>
          <w:rFonts w:eastAsia="Calibri" w:cs="Arial"/>
          <w:sz w:val="24"/>
          <w:szCs w:val="24"/>
        </w:rPr>
        <w:t>kas</w:t>
      </w:r>
      <w:r w:rsidRPr="000755E3">
        <w:rPr>
          <w:rFonts w:eastAsia="Calibri" w:cs="Arial"/>
          <w:sz w:val="24"/>
          <w:szCs w:val="24"/>
        </w:rPr>
        <w:t xml:space="preserve"> turpināja palielināties arī 2020</w:t>
      </w:r>
      <w:r>
        <w:rPr>
          <w:rFonts w:eastAsia="Calibri" w:cs="Arial"/>
          <w:sz w:val="24"/>
          <w:szCs w:val="24"/>
        </w:rPr>
        <w:t>. gad</w:t>
      </w:r>
      <w:r w:rsidRPr="000755E3">
        <w:rPr>
          <w:rFonts w:eastAsia="Calibri" w:cs="Arial"/>
          <w:sz w:val="24"/>
          <w:szCs w:val="24"/>
        </w:rPr>
        <w:t>ā, kad sākās pandēmija, pakalpojumu eksports tikai 2022</w:t>
      </w:r>
      <w:r>
        <w:rPr>
          <w:rFonts w:eastAsia="Calibri" w:cs="Arial"/>
          <w:sz w:val="24"/>
          <w:szCs w:val="24"/>
        </w:rPr>
        <w:t>. gad</w:t>
      </w:r>
      <w:r w:rsidRPr="000755E3">
        <w:rPr>
          <w:rFonts w:eastAsia="Calibri" w:cs="Arial"/>
          <w:sz w:val="24"/>
          <w:szCs w:val="24"/>
        </w:rPr>
        <w:t>ā</w:t>
      </w:r>
      <w:r>
        <w:rPr>
          <w:rFonts w:eastAsia="Calibri" w:cs="Arial"/>
          <w:sz w:val="24"/>
          <w:szCs w:val="24"/>
        </w:rPr>
        <w:t xml:space="preserve"> pārsniedza</w:t>
      </w:r>
      <w:r w:rsidRPr="000755E3">
        <w:rPr>
          <w:rFonts w:eastAsia="Calibri" w:cs="Arial"/>
          <w:sz w:val="24"/>
          <w:szCs w:val="24"/>
        </w:rPr>
        <w:t xml:space="preserve"> </w:t>
      </w:r>
      <w:proofErr w:type="spellStart"/>
      <w:r w:rsidRPr="000755E3">
        <w:rPr>
          <w:rFonts w:eastAsia="Calibri" w:cs="Arial"/>
          <w:sz w:val="24"/>
          <w:szCs w:val="24"/>
        </w:rPr>
        <w:t>pirmspandēmijas</w:t>
      </w:r>
      <w:proofErr w:type="spellEnd"/>
      <w:r w:rsidRPr="000755E3">
        <w:rPr>
          <w:rFonts w:eastAsia="Calibri" w:cs="Arial"/>
          <w:sz w:val="24"/>
          <w:szCs w:val="24"/>
        </w:rPr>
        <w:t xml:space="preserve"> līmeni.</w:t>
      </w:r>
    </w:p>
    <w:p w14:paraId="0429594B" w14:textId="77777777" w:rsidR="0031227F" w:rsidRDefault="0031227F" w:rsidP="0031227F">
      <w:pPr>
        <w:rPr>
          <w:rFonts w:eastAsia="Calibri" w:cs="Arial"/>
          <w:sz w:val="24"/>
          <w:szCs w:val="24"/>
        </w:rPr>
      </w:pPr>
      <w:r w:rsidRPr="000755E3">
        <w:rPr>
          <w:rFonts w:eastAsia="Calibri" w:cs="Arial"/>
          <w:sz w:val="24"/>
          <w:szCs w:val="24"/>
        </w:rPr>
        <w:t>Pakalpojumu eksporta vērtība palielinājās visās pakalpojumu grupās, izņemot būvniecības pakalpojumus. No visiem ārvalstniekiem sniegtajiem pakalpojumiem straujākais pieaugums bija tūrisma pakalpojum</w:t>
      </w:r>
      <w:r>
        <w:rPr>
          <w:rFonts w:eastAsia="Calibri" w:cs="Arial"/>
          <w:sz w:val="24"/>
          <w:szCs w:val="24"/>
        </w:rPr>
        <w:t>os</w:t>
      </w:r>
      <w:r w:rsidRPr="000755E3">
        <w:rPr>
          <w:rFonts w:eastAsia="Calibri" w:cs="Arial"/>
          <w:sz w:val="24"/>
          <w:szCs w:val="24"/>
        </w:rPr>
        <w:t>. Ārvalstu tūristu izdevumi Latvijā 2022</w:t>
      </w:r>
      <w:r>
        <w:rPr>
          <w:rFonts w:eastAsia="Calibri" w:cs="Arial"/>
          <w:sz w:val="24"/>
          <w:szCs w:val="24"/>
        </w:rPr>
        <w:t>. gadā</w:t>
      </w:r>
      <w:r w:rsidRPr="000755E3">
        <w:rPr>
          <w:rFonts w:eastAsia="Calibri" w:cs="Arial"/>
          <w:sz w:val="24"/>
          <w:szCs w:val="24"/>
        </w:rPr>
        <w:t xml:space="preserve"> pieauga par 6</w:t>
      </w:r>
      <w:r>
        <w:rPr>
          <w:rFonts w:eastAsia="Calibri" w:cs="Arial"/>
          <w:sz w:val="24"/>
          <w:szCs w:val="24"/>
        </w:rPr>
        <w:t>2,5</w:t>
      </w:r>
      <w:r w:rsidRPr="000755E3">
        <w:rPr>
          <w:rFonts w:eastAsia="Calibri" w:cs="Arial"/>
          <w:sz w:val="24"/>
          <w:szCs w:val="24"/>
        </w:rPr>
        <w:t>% salīdzinājumā ar iepriekšēj</w:t>
      </w:r>
      <w:r>
        <w:rPr>
          <w:rFonts w:eastAsia="Calibri" w:cs="Arial"/>
          <w:sz w:val="24"/>
          <w:szCs w:val="24"/>
        </w:rPr>
        <w:t>o</w:t>
      </w:r>
      <w:r w:rsidRPr="000755E3">
        <w:rPr>
          <w:rFonts w:eastAsia="Calibri" w:cs="Arial"/>
          <w:sz w:val="24"/>
          <w:szCs w:val="24"/>
        </w:rPr>
        <w:t xml:space="preserve"> gad</w:t>
      </w:r>
      <w:r>
        <w:rPr>
          <w:rFonts w:eastAsia="Calibri" w:cs="Arial"/>
          <w:sz w:val="24"/>
          <w:szCs w:val="24"/>
        </w:rPr>
        <w:t>u</w:t>
      </w:r>
      <w:r w:rsidRPr="000755E3">
        <w:rPr>
          <w:rFonts w:eastAsia="Calibri" w:cs="Arial"/>
          <w:sz w:val="24"/>
          <w:szCs w:val="24"/>
        </w:rPr>
        <w:t xml:space="preserve">. Tik strauju izaugsmi noteica gan lielāks ārvalstu tūristu skaits, gan arī ļoti zema bāze </w:t>
      </w:r>
      <w:r>
        <w:rPr>
          <w:rFonts w:eastAsia="Calibri" w:cs="Arial"/>
          <w:sz w:val="24"/>
          <w:szCs w:val="24"/>
        </w:rPr>
        <w:t>iepriekšējā</w:t>
      </w:r>
      <w:r w:rsidRPr="000755E3">
        <w:rPr>
          <w:rFonts w:eastAsia="Calibri" w:cs="Arial"/>
          <w:sz w:val="24"/>
          <w:szCs w:val="24"/>
        </w:rPr>
        <w:t xml:space="preserve"> gadā. Sākoties pandēmijai un ieviešot stingrus cilvēku pulcēšanās un pārvietošanās ierobežojumus, praktiski visās ES valstīs tūristu skaits būtiski samazināj</w:t>
      </w:r>
      <w:r>
        <w:rPr>
          <w:rFonts w:eastAsia="Calibri" w:cs="Arial"/>
          <w:sz w:val="24"/>
          <w:szCs w:val="24"/>
        </w:rPr>
        <w:t>ā</w:t>
      </w:r>
      <w:r w:rsidRPr="000755E3">
        <w:rPr>
          <w:rFonts w:eastAsia="Calibri" w:cs="Arial"/>
          <w:sz w:val="24"/>
          <w:szCs w:val="24"/>
        </w:rPr>
        <w:t>s. Tā, 2020</w:t>
      </w:r>
      <w:r>
        <w:rPr>
          <w:rFonts w:eastAsia="Calibri" w:cs="Arial"/>
          <w:sz w:val="24"/>
          <w:szCs w:val="24"/>
        </w:rPr>
        <w:t>. gad</w:t>
      </w:r>
      <w:r w:rsidRPr="000755E3">
        <w:rPr>
          <w:rFonts w:eastAsia="Calibri" w:cs="Arial"/>
          <w:sz w:val="24"/>
          <w:szCs w:val="24"/>
        </w:rPr>
        <w:t xml:space="preserve">ā Latvijas viesnīcās apkalpoto ārvalstu tūristu skaits </w:t>
      </w:r>
      <w:r>
        <w:rPr>
          <w:rFonts w:eastAsia="Calibri" w:cs="Arial"/>
          <w:sz w:val="24"/>
          <w:szCs w:val="24"/>
        </w:rPr>
        <w:t>kritās</w:t>
      </w:r>
      <w:r w:rsidRPr="000755E3">
        <w:rPr>
          <w:rFonts w:eastAsia="Calibri" w:cs="Arial"/>
          <w:sz w:val="24"/>
          <w:szCs w:val="24"/>
        </w:rPr>
        <w:t xml:space="preserve"> par 64%. 2021</w:t>
      </w:r>
      <w:r>
        <w:rPr>
          <w:rFonts w:eastAsia="Calibri" w:cs="Arial"/>
          <w:sz w:val="24"/>
          <w:szCs w:val="24"/>
        </w:rPr>
        <w:t>. gad</w:t>
      </w:r>
      <w:r w:rsidRPr="000755E3">
        <w:rPr>
          <w:rFonts w:eastAsia="Calibri" w:cs="Arial"/>
          <w:sz w:val="24"/>
          <w:szCs w:val="24"/>
        </w:rPr>
        <w:t xml:space="preserve">ā </w:t>
      </w:r>
      <w:r>
        <w:rPr>
          <w:rFonts w:eastAsia="Calibri" w:cs="Arial"/>
          <w:sz w:val="24"/>
          <w:szCs w:val="24"/>
        </w:rPr>
        <w:t>lejupslīde</w:t>
      </w:r>
      <w:r w:rsidRPr="000755E3">
        <w:rPr>
          <w:rFonts w:eastAsia="Calibri" w:cs="Arial"/>
          <w:sz w:val="24"/>
          <w:szCs w:val="24"/>
        </w:rPr>
        <w:t xml:space="preserve"> turpinājās, un ārvalstu tūristu skaits samazināj</w:t>
      </w:r>
      <w:r>
        <w:rPr>
          <w:rFonts w:eastAsia="Calibri" w:cs="Arial"/>
          <w:sz w:val="24"/>
          <w:szCs w:val="24"/>
        </w:rPr>
        <w:t>ā</w:t>
      </w:r>
      <w:r w:rsidRPr="000755E3">
        <w:rPr>
          <w:rFonts w:eastAsia="Calibri" w:cs="Arial"/>
          <w:sz w:val="24"/>
          <w:szCs w:val="24"/>
        </w:rPr>
        <w:t>s vēl par 38%. Tādējādi divu gadu laikā apkalpoto ārvalstu tūristu skaits Latvijas viesnīcās samazinājās gandrīz 4,5 reizes. 2022</w:t>
      </w:r>
      <w:r>
        <w:rPr>
          <w:rFonts w:eastAsia="Calibri" w:cs="Arial"/>
          <w:sz w:val="24"/>
          <w:szCs w:val="24"/>
        </w:rPr>
        <w:t>. gad</w:t>
      </w:r>
      <w:r w:rsidRPr="000755E3">
        <w:rPr>
          <w:rFonts w:eastAsia="Calibri" w:cs="Arial"/>
          <w:sz w:val="24"/>
          <w:szCs w:val="24"/>
        </w:rPr>
        <w:t>a pirmajā pusē, kad tika atcelta lielākā daļa no ierobežojumiem gan Latvijā, gan pārējās ES valstis, tūrisma nozare atdzīvojās. Pērn</w:t>
      </w:r>
      <w:r>
        <w:rPr>
          <w:rFonts w:eastAsia="Calibri" w:cs="Arial"/>
          <w:sz w:val="24"/>
          <w:szCs w:val="24"/>
        </w:rPr>
        <w:t>aj</w:t>
      </w:r>
      <w:r w:rsidRPr="000755E3">
        <w:rPr>
          <w:rFonts w:eastAsia="Calibri" w:cs="Arial"/>
          <w:sz w:val="24"/>
          <w:szCs w:val="24"/>
        </w:rPr>
        <w:t>ā  gada apkalpoto ārvalstu viesu skaits</w:t>
      </w:r>
      <w:r>
        <w:rPr>
          <w:rFonts w:eastAsia="Calibri" w:cs="Arial"/>
          <w:sz w:val="24"/>
          <w:szCs w:val="24"/>
        </w:rPr>
        <w:t xml:space="preserve"> Latvijā</w:t>
      </w:r>
      <w:r w:rsidRPr="000755E3">
        <w:rPr>
          <w:rFonts w:eastAsia="Calibri" w:cs="Arial"/>
          <w:sz w:val="24"/>
          <w:szCs w:val="24"/>
        </w:rPr>
        <w:t xml:space="preserve"> pieauga 2,</w:t>
      </w:r>
      <w:r>
        <w:rPr>
          <w:rFonts w:eastAsia="Calibri" w:cs="Arial"/>
          <w:sz w:val="24"/>
          <w:szCs w:val="24"/>
        </w:rPr>
        <w:t>6</w:t>
      </w:r>
      <w:r w:rsidRPr="000755E3">
        <w:rPr>
          <w:rFonts w:eastAsia="Calibri" w:cs="Arial"/>
          <w:sz w:val="24"/>
          <w:szCs w:val="24"/>
        </w:rPr>
        <w:t xml:space="preserve"> reizes. </w:t>
      </w:r>
      <w:r>
        <w:rPr>
          <w:rFonts w:eastAsia="Calibri" w:cs="Arial"/>
          <w:sz w:val="24"/>
          <w:szCs w:val="24"/>
        </w:rPr>
        <w:t xml:space="preserve">Tomēr </w:t>
      </w:r>
      <w:proofErr w:type="spellStart"/>
      <w:r w:rsidRPr="000755E3">
        <w:rPr>
          <w:rFonts w:eastAsia="Calibri" w:cs="Arial"/>
          <w:sz w:val="24"/>
          <w:szCs w:val="24"/>
        </w:rPr>
        <w:t>pirmspandēmijas</w:t>
      </w:r>
      <w:proofErr w:type="spellEnd"/>
      <w:r w:rsidRPr="000755E3">
        <w:rPr>
          <w:rFonts w:eastAsia="Calibri" w:cs="Arial"/>
          <w:sz w:val="24"/>
          <w:szCs w:val="24"/>
        </w:rPr>
        <w:t xml:space="preserve"> līmenis vēl nav sasniegts. 2019</w:t>
      </w:r>
      <w:r>
        <w:rPr>
          <w:rFonts w:eastAsia="Calibri" w:cs="Arial"/>
          <w:sz w:val="24"/>
          <w:szCs w:val="24"/>
        </w:rPr>
        <w:t>. gad</w:t>
      </w:r>
      <w:r w:rsidRPr="000755E3">
        <w:rPr>
          <w:rFonts w:eastAsia="Calibri" w:cs="Arial"/>
          <w:sz w:val="24"/>
          <w:szCs w:val="24"/>
        </w:rPr>
        <w:t>ā Latvija uzņēma gandrīz 2 miljonus ārvalstu viesu, bet 2022</w:t>
      </w:r>
      <w:r>
        <w:rPr>
          <w:rFonts w:eastAsia="Calibri" w:cs="Arial"/>
          <w:sz w:val="24"/>
          <w:szCs w:val="24"/>
        </w:rPr>
        <w:t xml:space="preserve">. gadā </w:t>
      </w:r>
      <w:r w:rsidRPr="000755E3">
        <w:rPr>
          <w:rFonts w:eastAsia="Calibri" w:cs="Arial"/>
          <w:sz w:val="24"/>
          <w:szCs w:val="24"/>
        </w:rPr>
        <w:t xml:space="preserve">apkalpoto ārvalstu tūristu skaits veidoja </w:t>
      </w:r>
      <w:r>
        <w:rPr>
          <w:rFonts w:eastAsia="Calibri" w:cs="Arial"/>
          <w:sz w:val="24"/>
          <w:szCs w:val="24"/>
        </w:rPr>
        <w:t>1,1 milj.</w:t>
      </w:r>
      <w:r w:rsidRPr="000755E3">
        <w:rPr>
          <w:rFonts w:eastAsia="Calibri" w:cs="Arial"/>
          <w:sz w:val="24"/>
          <w:szCs w:val="24"/>
        </w:rPr>
        <w:t xml:space="preserve"> cilvēku. </w:t>
      </w:r>
    </w:p>
    <w:p w14:paraId="41533A7C" w14:textId="77777777" w:rsidR="0031227F" w:rsidRDefault="0031227F" w:rsidP="0031227F">
      <w:pPr>
        <w:rPr>
          <w:rFonts w:eastAsia="Calibri" w:cs="Arial"/>
          <w:sz w:val="24"/>
          <w:szCs w:val="24"/>
        </w:rPr>
      </w:pPr>
      <w:r>
        <w:rPr>
          <w:rFonts w:eastAsia="Calibri" w:cs="Arial"/>
          <w:sz w:val="24"/>
          <w:szCs w:val="24"/>
        </w:rPr>
        <w:t xml:space="preserve">Lielāko devumu pakalpojumu eksporta izaugsmē 2022. gadā nodrošināja transporta pakalpojumu eksporta pieaugums par 42,4%. </w:t>
      </w:r>
      <w:r w:rsidRPr="000755E3">
        <w:rPr>
          <w:rFonts w:eastAsia="Calibri" w:cs="Arial"/>
          <w:sz w:val="24"/>
          <w:szCs w:val="24"/>
        </w:rPr>
        <w:t xml:space="preserve">Transporta pakalpojumu eksportu veicināja visi transporta pakalpojumu veidi. Tomēr lielāko devumu šajā pakalpojumu eksporta grupas attīstībā nodrošināja gaisa un autotransporta pakalpojumu pieaugums ārvalstīs. Gaisa </w:t>
      </w:r>
      <w:r>
        <w:rPr>
          <w:rFonts w:eastAsia="Calibri" w:cs="Arial"/>
          <w:sz w:val="24"/>
          <w:szCs w:val="24"/>
        </w:rPr>
        <w:t xml:space="preserve">transporta </w:t>
      </w:r>
      <w:r w:rsidRPr="000755E3">
        <w:rPr>
          <w:rFonts w:eastAsia="Calibri" w:cs="Arial"/>
          <w:sz w:val="24"/>
          <w:szCs w:val="24"/>
        </w:rPr>
        <w:t>pakalpojumu eksporta pieaugumu 2,</w:t>
      </w:r>
      <w:r>
        <w:rPr>
          <w:rFonts w:eastAsia="Calibri" w:cs="Arial"/>
          <w:sz w:val="24"/>
          <w:szCs w:val="24"/>
        </w:rPr>
        <w:t>6</w:t>
      </w:r>
      <w:r w:rsidRPr="000755E3">
        <w:rPr>
          <w:rFonts w:eastAsia="Calibri" w:cs="Arial"/>
          <w:sz w:val="24"/>
          <w:szCs w:val="24"/>
        </w:rPr>
        <w:t xml:space="preserve"> reizes salīdzinājumā ar 2021</w:t>
      </w:r>
      <w:r>
        <w:rPr>
          <w:rFonts w:eastAsia="Calibri" w:cs="Arial"/>
          <w:sz w:val="24"/>
          <w:szCs w:val="24"/>
        </w:rPr>
        <w:t xml:space="preserve">. gadu </w:t>
      </w:r>
      <w:r w:rsidRPr="000755E3">
        <w:rPr>
          <w:rFonts w:eastAsia="Calibri" w:cs="Arial"/>
          <w:sz w:val="24"/>
          <w:szCs w:val="24"/>
        </w:rPr>
        <w:t xml:space="preserve">labvēlīgi ietekmēja </w:t>
      </w:r>
      <w:r w:rsidRPr="000755E3">
        <w:rPr>
          <w:rFonts w:eastAsia="Calibri" w:cs="Arial"/>
          <w:sz w:val="24"/>
          <w:szCs w:val="24"/>
        </w:rPr>
        <w:lastRenderedPageBreak/>
        <w:t>augstāka tūristu plūsma. Savukārt autotransporta pakalpojumu kāpumu par 2</w:t>
      </w:r>
      <w:r>
        <w:rPr>
          <w:rFonts w:eastAsia="Calibri" w:cs="Arial"/>
          <w:sz w:val="24"/>
          <w:szCs w:val="24"/>
        </w:rPr>
        <w:t>8,3</w:t>
      </w:r>
      <w:r w:rsidRPr="000755E3">
        <w:rPr>
          <w:rFonts w:eastAsia="Calibri" w:cs="Arial"/>
          <w:sz w:val="24"/>
          <w:szCs w:val="24"/>
        </w:rPr>
        <w:t xml:space="preserve">% noteica </w:t>
      </w:r>
      <w:r>
        <w:rPr>
          <w:rFonts w:eastAsia="Calibri" w:cs="Arial"/>
          <w:sz w:val="24"/>
          <w:szCs w:val="24"/>
        </w:rPr>
        <w:t xml:space="preserve">lielāks </w:t>
      </w:r>
      <w:r w:rsidRPr="000755E3">
        <w:rPr>
          <w:rFonts w:eastAsia="Calibri" w:cs="Arial"/>
          <w:sz w:val="24"/>
          <w:szCs w:val="24"/>
        </w:rPr>
        <w:t>kravu</w:t>
      </w:r>
      <w:r>
        <w:rPr>
          <w:rFonts w:eastAsia="Calibri" w:cs="Arial"/>
          <w:sz w:val="24"/>
          <w:szCs w:val="24"/>
        </w:rPr>
        <w:t xml:space="preserve"> apjoms. Jāatzīmē, ka tik strauju izaugsmi lielākoties ietekmēja cenu kāpums nevis fizisko kravu apjoma pieaugums. </w:t>
      </w:r>
    </w:p>
    <w:p w14:paraId="30F76F47" w14:textId="77777777" w:rsidR="0031227F" w:rsidRDefault="0031227F" w:rsidP="0031227F">
      <w:pPr>
        <w:rPr>
          <w:rFonts w:eastAsia="Calibri" w:cs="Arial"/>
          <w:sz w:val="24"/>
          <w:szCs w:val="24"/>
        </w:rPr>
      </w:pPr>
      <w:r w:rsidRPr="000755E3">
        <w:rPr>
          <w:rFonts w:eastAsia="Calibri" w:cs="Arial"/>
          <w:sz w:val="24"/>
          <w:szCs w:val="24"/>
        </w:rPr>
        <w:t xml:space="preserve">Starp pārējiem pakalpojumu veidiem var atzīmēt informācijas un </w:t>
      </w:r>
      <w:proofErr w:type="spellStart"/>
      <w:r w:rsidRPr="000755E3">
        <w:rPr>
          <w:rFonts w:eastAsia="Calibri" w:cs="Arial"/>
          <w:sz w:val="24"/>
          <w:szCs w:val="24"/>
        </w:rPr>
        <w:t>datorpakalpojumu</w:t>
      </w:r>
      <w:proofErr w:type="spellEnd"/>
      <w:r w:rsidRPr="000755E3">
        <w:rPr>
          <w:rFonts w:eastAsia="Calibri" w:cs="Arial"/>
          <w:sz w:val="24"/>
          <w:szCs w:val="24"/>
        </w:rPr>
        <w:t xml:space="preserve"> eksportu, kas no gada uz gadu uzrāda stabilu kāpumu. 2022</w:t>
      </w:r>
      <w:r>
        <w:rPr>
          <w:rFonts w:eastAsia="Calibri" w:cs="Arial"/>
          <w:sz w:val="24"/>
          <w:szCs w:val="24"/>
        </w:rPr>
        <w:t>. gad</w:t>
      </w:r>
      <w:r w:rsidRPr="000755E3">
        <w:rPr>
          <w:rFonts w:eastAsia="Calibri" w:cs="Arial"/>
          <w:sz w:val="24"/>
          <w:szCs w:val="24"/>
        </w:rPr>
        <w:t xml:space="preserve">a šo pakalpojumu eksports pieauga par </w:t>
      </w:r>
      <w:r>
        <w:rPr>
          <w:rFonts w:eastAsia="Calibri" w:cs="Arial"/>
          <w:sz w:val="24"/>
          <w:szCs w:val="24"/>
        </w:rPr>
        <w:t>30,0</w:t>
      </w:r>
      <w:r w:rsidRPr="000755E3">
        <w:rPr>
          <w:rFonts w:eastAsia="Calibri" w:cs="Arial"/>
          <w:sz w:val="24"/>
          <w:szCs w:val="24"/>
        </w:rPr>
        <w:t>%, tādējādi veidojot 1</w:t>
      </w:r>
      <w:r>
        <w:rPr>
          <w:rFonts w:eastAsia="Calibri" w:cs="Arial"/>
          <w:sz w:val="24"/>
          <w:szCs w:val="24"/>
        </w:rPr>
        <w:t>2,4</w:t>
      </w:r>
      <w:r w:rsidRPr="000755E3">
        <w:rPr>
          <w:rFonts w:eastAsia="Calibri" w:cs="Arial"/>
          <w:sz w:val="24"/>
          <w:szCs w:val="24"/>
        </w:rPr>
        <w:t>% no kopējās pakalpojumu eksporta vērtības. Tā ir trešā lielākā pakalpojumu grupa, pēc apjoma pietuvojoties ārvalstu tūristu izdevumiem Latvijā. Pozitīvi vērtējams, ka pieaugums bijis gan informācijas pakalpojumiem ES valstīs, gan ārpus ES.</w:t>
      </w:r>
    </w:p>
    <w:p w14:paraId="1F74D488" w14:textId="5B8533AF" w:rsidR="0031227F" w:rsidRDefault="0031227F" w:rsidP="0031227F">
      <w:pPr>
        <w:ind w:firstLine="709"/>
        <w:rPr>
          <w:rFonts w:cs="Times New Roman"/>
          <w:sz w:val="24"/>
          <w:szCs w:val="24"/>
        </w:rPr>
      </w:pPr>
      <w:r w:rsidRPr="000755E3">
        <w:rPr>
          <w:rFonts w:eastAsia="Calibri" w:cs="Arial"/>
          <w:sz w:val="24"/>
          <w:szCs w:val="24"/>
        </w:rPr>
        <w:t xml:space="preserve">Sagaidāms, ka preču un pakalpojumu eksports </w:t>
      </w:r>
      <w:r>
        <w:rPr>
          <w:rFonts w:eastAsia="Calibri" w:cs="Arial"/>
          <w:sz w:val="24"/>
          <w:szCs w:val="24"/>
        </w:rPr>
        <w:t xml:space="preserve">faktiskajās cenas </w:t>
      </w:r>
      <w:r w:rsidRPr="000755E3">
        <w:rPr>
          <w:rFonts w:eastAsia="Calibri" w:cs="Arial"/>
          <w:sz w:val="24"/>
          <w:szCs w:val="24"/>
        </w:rPr>
        <w:t>turpinās palielināties arī 2023</w:t>
      </w:r>
      <w:r>
        <w:rPr>
          <w:rFonts w:eastAsia="Calibri" w:cs="Arial"/>
          <w:sz w:val="24"/>
          <w:szCs w:val="24"/>
        </w:rPr>
        <w:t>. gad</w:t>
      </w:r>
      <w:r w:rsidRPr="000755E3">
        <w:rPr>
          <w:rFonts w:eastAsia="Calibri" w:cs="Arial"/>
          <w:sz w:val="24"/>
          <w:szCs w:val="24"/>
        </w:rPr>
        <w:t xml:space="preserve">ā, bet pieauguma temps </w:t>
      </w:r>
      <w:r>
        <w:rPr>
          <w:rFonts w:eastAsia="Calibri" w:cs="Arial"/>
          <w:sz w:val="24"/>
          <w:szCs w:val="24"/>
        </w:rPr>
        <w:t>būtiski</w:t>
      </w:r>
      <w:r w:rsidRPr="000755E3">
        <w:rPr>
          <w:rFonts w:eastAsia="Calibri" w:cs="Arial"/>
          <w:sz w:val="24"/>
          <w:szCs w:val="24"/>
        </w:rPr>
        <w:t xml:space="preserve"> mazināsies.</w:t>
      </w:r>
      <w:r>
        <w:rPr>
          <w:rFonts w:eastAsia="Calibri" w:cs="Arial"/>
          <w:sz w:val="24"/>
          <w:szCs w:val="24"/>
        </w:rPr>
        <w:t xml:space="preserve"> </w:t>
      </w:r>
      <w:r>
        <w:rPr>
          <w:rFonts w:cs="Times New Roman"/>
          <w:sz w:val="24"/>
          <w:szCs w:val="24"/>
        </w:rPr>
        <w:t xml:space="preserve">Aktuālākie dati par uzņēmēju un mājsaimniecību konfidenci apstiprina bažas par ekonomikas attīstības tempu bremzēšanos. ES ekonomikas sentimenta indikatora vērtība kopš 2022. gada jūlija atrodas zem 100 punktiem, kas ir zemākais līmenis kopš 2021. gada sākuma. Uzņēmēju un patērētāju novērtējums par ekonomisko aktivitāti ir pesimistisks praktiski visās ES dalībvalstīs, kā arī visās jomās, tajā skaitā rūpniecībā un būvniecībā, kas svarīgākas tieši Latvijas eksportētājiem. Šā gadā februārī </w:t>
      </w:r>
      <w:r w:rsidR="00DA60DF">
        <w:rPr>
          <w:rFonts w:cs="Times New Roman"/>
          <w:sz w:val="24"/>
          <w:szCs w:val="24"/>
        </w:rPr>
        <w:t>EK</w:t>
      </w:r>
      <w:r>
        <w:rPr>
          <w:rFonts w:cs="Times New Roman"/>
          <w:sz w:val="24"/>
          <w:szCs w:val="24"/>
        </w:rPr>
        <w:t xml:space="preserve"> publicēja aktualizētās ekonomiskās prognozes. Lai arī salīdzinājumā ar pērnā gada rudens prognozēm ES IKP izaugsmes prognoze 2023. gadam tika palielināta no 0,3% līdz 0,8%, tomēr tā ir būtiski zemāka salīdzinājumā ar 3,5% ekonomikas izaugsmi 2022. gadā. Atbilstoši </w:t>
      </w:r>
      <w:r w:rsidR="00E0440C">
        <w:rPr>
          <w:rFonts w:cs="Times New Roman"/>
          <w:sz w:val="24"/>
          <w:szCs w:val="24"/>
        </w:rPr>
        <w:t>FM</w:t>
      </w:r>
      <w:r>
        <w:rPr>
          <w:rFonts w:cs="Times New Roman"/>
          <w:sz w:val="24"/>
          <w:szCs w:val="24"/>
        </w:rPr>
        <w:t xml:space="preserve"> prognozēm, preču un pakalpojumu eksports 2023. gadā reālajā izteiksmē būs pērnā gada līmenī, bet faktiskajās cenās pieaugums sastādīs 9,0%.</w:t>
      </w:r>
    </w:p>
    <w:p w14:paraId="600A21CC" w14:textId="77777777" w:rsidR="0031227F" w:rsidRDefault="0031227F" w:rsidP="0031227F">
      <w:pPr>
        <w:rPr>
          <w:rFonts w:eastAsia="Calibri" w:cs="Arial"/>
          <w:sz w:val="24"/>
          <w:szCs w:val="24"/>
        </w:rPr>
      </w:pPr>
      <w:r w:rsidRPr="000755E3">
        <w:rPr>
          <w:rFonts w:eastAsia="Calibri" w:cs="Arial"/>
          <w:sz w:val="24"/>
          <w:szCs w:val="24"/>
        </w:rPr>
        <w:t>2022</w:t>
      </w:r>
      <w:r>
        <w:rPr>
          <w:rFonts w:eastAsia="Calibri" w:cs="Arial"/>
          <w:sz w:val="24"/>
          <w:szCs w:val="24"/>
        </w:rPr>
        <w:t>. gad</w:t>
      </w:r>
      <w:r w:rsidRPr="000755E3">
        <w:rPr>
          <w:rFonts w:eastAsia="Calibri" w:cs="Arial"/>
          <w:sz w:val="24"/>
          <w:szCs w:val="24"/>
        </w:rPr>
        <w:t xml:space="preserve">a </w:t>
      </w:r>
      <w:r w:rsidRPr="00696D58">
        <w:rPr>
          <w:rFonts w:eastAsia="Calibri" w:cs="Arial"/>
          <w:b/>
          <w:bCs/>
          <w:sz w:val="24"/>
          <w:szCs w:val="24"/>
        </w:rPr>
        <w:t>preču un pakalpojumu imports</w:t>
      </w:r>
      <w:r w:rsidRPr="000755E3">
        <w:rPr>
          <w:rFonts w:eastAsia="Calibri" w:cs="Arial"/>
          <w:sz w:val="24"/>
          <w:szCs w:val="24"/>
        </w:rPr>
        <w:t xml:space="preserve"> salīdzināmajās cenās bija par 1</w:t>
      </w:r>
      <w:r>
        <w:rPr>
          <w:rFonts w:eastAsia="Calibri" w:cs="Arial"/>
          <w:sz w:val="24"/>
          <w:szCs w:val="24"/>
        </w:rPr>
        <w:t>1,6</w:t>
      </w:r>
      <w:r w:rsidRPr="000755E3">
        <w:rPr>
          <w:rFonts w:eastAsia="Calibri" w:cs="Arial"/>
          <w:sz w:val="24"/>
          <w:szCs w:val="24"/>
        </w:rPr>
        <w:t>% augstāks nekā iepriekšējā gad</w:t>
      </w:r>
      <w:r>
        <w:rPr>
          <w:rFonts w:eastAsia="Calibri" w:cs="Arial"/>
          <w:sz w:val="24"/>
          <w:szCs w:val="24"/>
        </w:rPr>
        <w:t>ā</w:t>
      </w:r>
      <w:r w:rsidRPr="000755E3">
        <w:rPr>
          <w:rFonts w:eastAsia="Calibri" w:cs="Arial"/>
          <w:sz w:val="24"/>
          <w:szCs w:val="24"/>
        </w:rPr>
        <w:t>. Straujš importa kāpums bija fiksēts gan precēm, gan pakalpojumiem. </w:t>
      </w:r>
      <w:r>
        <w:rPr>
          <w:rFonts w:eastAsia="Calibri" w:cs="Arial"/>
          <w:sz w:val="24"/>
          <w:szCs w:val="24"/>
        </w:rPr>
        <w:t>G</w:t>
      </w:r>
      <w:r w:rsidRPr="000755E3">
        <w:rPr>
          <w:rFonts w:eastAsia="Calibri" w:cs="Arial"/>
          <w:sz w:val="24"/>
          <w:szCs w:val="24"/>
        </w:rPr>
        <w:t xml:space="preserve">alvenie Latvijas ekonomikas attīstības spēki </w:t>
      </w:r>
      <w:r>
        <w:rPr>
          <w:rFonts w:eastAsia="Calibri" w:cs="Arial"/>
          <w:sz w:val="24"/>
          <w:szCs w:val="24"/>
        </w:rPr>
        <w:t xml:space="preserve">pērnajā gadā </w:t>
      </w:r>
      <w:r w:rsidRPr="000755E3">
        <w:rPr>
          <w:rFonts w:eastAsia="Calibri" w:cs="Arial"/>
          <w:sz w:val="24"/>
          <w:szCs w:val="24"/>
        </w:rPr>
        <w:t>bija iekšzemes patēriņš un eksports. Tādējādi, palielinoties mājsaimniecību patēriņam, k</w:t>
      </w:r>
      <w:r>
        <w:rPr>
          <w:rFonts w:eastAsia="Calibri" w:cs="Arial"/>
          <w:sz w:val="24"/>
          <w:szCs w:val="24"/>
        </w:rPr>
        <w:t>uru</w:t>
      </w:r>
      <w:r w:rsidRPr="000755E3">
        <w:rPr>
          <w:rFonts w:eastAsia="Calibri" w:cs="Arial"/>
          <w:sz w:val="24"/>
          <w:szCs w:val="24"/>
        </w:rPr>
        <w:t xml:space="preserve"> veicināja augošie ienākumi un atceltie Covid</w:t>
      </w:r>
      <w:r w:rsidRPr="000755E3">
        <w:rPr>
          <w:rFonts w:eastAsia="Calibri" w:cs="Arial"/>
          <w:sz w:val="24"/>
          <w:szCs w:val="24"/>
        </w:rPr>
        <w:noBreakHyphen/>
        <w:t>19 ierobežojumi, k</w:t>
      </w:r>
      <w:r>
        <w:rPr>
          <w:rFonts w:eastAsia="Calibri" w:cs="Arial"/>
          <w:sz w:val="24"/>
          <w:szCs w:val="24"/>
        </w:rPr>
        <w:t>ā</w:t>
      </w:r>
      <w:r w:rsidRPr="000755E3">
        <w:rPr>
          <w:rFonts w:eastAsia="Calibri" w:cs="Arial"/>
          <w:sz w:val="24"/>
          <w:szCs w:val="24"/>
        </w:rPr>
        <w:t xml:space="preserve"> arī </w:t>
      </w:r>
      <w:r>
        <w:rPr>
          <w:rFonts w:eastAsia="Calibri" w:cs="Arial"/>
          <w:sz w:val="24"/>
          <w:szCs w:val="24"/>
        </w:rPr>
        <w:t>augot reeksportam, arī imports strauji palielinājās.</w:t>
      </w:r>
    </w:p>
    <w:p w14:paraId="7FBF7861" w14:textId="3B926DE1" w:rsidR="0031227F" w:rsidRDefault="0031227F" w:rsidP="0031227F">
      <w:pPr>
        <w:rPr>
          <w:rFonts w:cs="Times New Roman"/>
          <w:color w:val="000000"/>
          <w:sz w:val="24"/>
          <w:szCs w:val="24"/>
        </w:rPr>
      </w:pPr>
      <w:r>
        <w:rPr>
          <w:rFonts w:eastAsia="Calibri" w:cs="Arial"/>
          <w:sz w:val="24"/>
          <w:szCs w:val="24"/>
        </w:rPr>
        <w:t xml:space="preserve">Analizējot preču importa datus faktiskajās cenās, jāsecina, ka preču importa vērtība 2022. gadā pieauga par 35,8% jeb 6,98 </w:t>
      </w:r>
      <w:r w:rsidRPr="000755E3">
        <w:rPr>
          <w:rFonts w:eastAsia="Calibri" w:cs="Arial"/>
          <w:sz w:val="24"/>
          <w:szCs w:val="24"/>
        </w:rPr>
        <w:t>mlj</w:t>
      </w:r>
      <w:r>
        <w:rPr>
          <w:rFonts w:eastAsia="Calibri" w:cs="Arial"/>
          <w:sz w:val="24"/>
          <w:szCs w:val="24"/>
        </w:rPr>
        <w:t>rd</w:t>
      </w:r>
      <w:r w:rsidR="006866D8">
        <w:rPr>
          <w:rFonts w:eastAsia="Calibri" w:cs="Arial"/>
          <w:sz w:val="24"/>
          <w:szCs w:val="24"/>
        </w:rPr>
        <w:t>.</w:t>
      </w:r>
      <w:r w:rsidRPr="000755E3">
        <w:rPr>
          <w:rFonts w:eastAsia="Calibri" w:cs="Arial"/>
          <w:sz w:val="24"/>
          <w:szCs w:val="24"/>
        </w:rPr>
        <w:t xml:space="preserve"> </w:t>
      </w:r>
      <w:proofErr w:type="spellStart"/>
      <w:r w:rsidRPr="000755E3">
        <w:rPr>
          <w:rFonts w:eastAsia="Calibri" w:cs="Arial"/>
          <w:i/>
          <w:iCs/>
          <w:sz w:val="24"/>
          <w:szCs w:val="24"/>
        </w:rPr>
        <w:t>euro</w:t>
      </w:r>
      <w:proofErr w:type="spellEnd"/>
      <w:r>
        <w:rPr>
          <w:rFonts w:eastAsia="Calibri" w:cs="Arial"/>
          <w:i/>
          <w:iCs/>
          <w:sz w:val="24"/>
          <w:szCs w:val="24"/>
        </w:rPr>
        <w:t xml:space="preserve">. </w:t>
      </w:r>
      <w:r w:rsidRPr="000C7983">
        <w:rPr>
          <w:rFonts w:cs="Times New Roman"/>
          <w:color w:val="000000"/>
          <w:sz w:val="24"/>
          <w:szCs w:val="24"/>
        </w:rPr>
        <w:t>Vairāk nekā pus</w:t>
      </w:r>
      <w:r>
        <w:rPr>
          <w:rFonts w:cs="Times New Roman"/>
          <w:color w:val="000000"/>
          <w:sz w:val="24"/>
          <w:szCs w:val="24"/>
        </w:rPr>
        <w:t>i</w:t>
      </w:r>
      <w:r w:rsidRPr="000C7983">
        <w:rPr>
          <w:rFonts w:cs="Times New Roman"/>
          <w:color w:val="000000"/>
          <w:sz w:val="24"/>
          <w:szCs w:val="24"/>
        </w:rPr>
        <w:t xml:space="preserve"> no importa kāpuma izskaidro </w:t>
      </w:r>
      <w:proofErr w:type="spellStart"/>
      <w:r w:rsidRPr="000C7983">
        <w:rPr>
          <w:rFonts w:cs="Times New Roman"/>
          <w:color w:val="000000"/>
          <w:sz w:val="24"/>
          <w:szCs w:val="24"/>
        </w:rPr>
        <w:t>minerālproduktu</w:t>
      </w:r>
      <w:proofErr w:type="spellEnd"/>
      <w:r w:rsidRPr="000C7983">
        <w:rPr>
          <w:rFonts w:cs="Times New Roman"/>
          <w:color w:val="000000"/>
          <w:sz w:val="24"/>
          <w:szCs w:val="24"/>
        </w:rPr>
        <w:t xml:space="preserve"> importa pieaugums par 195% jeb 3,7 mljrd</w:t>
      </w:r>
      <w:r w:rsidR="006866D8">
        <w:rPr>
          <w:rFonts w:cs="Times New Roman"/>
          <w:color w:val="000000"/>
          <w:sz w:val="24"/>
          <w:szCs w:val="24"/>
        </w:rPr>
        <w:t>.</w:t>
      </w:r>
      <w:r w:rsidRPr="000C7983">
        <w:rPr>
          <w:rFonts w:cs="Times New Roman"/>
          <w:color w:val="000000"/>
          <w:sz w:val="24"/>
          <w:szCs w:val="24"/>
        </w:rPr>
        <w:t xml:space="preserve"> </w:t>
      </w:r>
      <w:proofErr w:type="spellStart"/>
      <w:r w:rsidRPr="00966A37">
        <w:rPr>
          <w:rFonts w:cs="Times New Roman"/>
          <w:i/>
          <w:iCs/>
          <w:color w:val="000000"/>
          <w:sz w:val="24"/>
          <w:szCs w:val="24"/>
        </w:rPr>
        <w:t>euro</w:t>
      </w:r>
      <w:proofErr w:type="spellEnd"/>
      <w:r w:rsidRPr="000C7983">
        <w:rPr>
          <w:rFonts w:cs="Times New Roman"/>
          <w:color w:val="000000"/>
          <w:sz w:val="24"/>
          <w:szCs w:val="24"/>
        </w:rPr>
        <w:t xml:space="preserve">. Fiziskais </w:t>
      </w:r>
      <w:proofErr w:type="spellStart"/>
      <w:r w:rsidRPr="000C7983">
        <w:rPr>
          <w:rFonts w:cs="Times New Roman"/>
          <w:color w:val="000000"/>
          <w:sz w:val="24"/>
          <w:szCs w:val="24"/>
        </w:rPr>
        <w:t>minerālproduktu</w:t>
      </w:r>
      <w:proofErr w:type="spellEnd"/>
      <w:r w:rsidRPr="000C7983">
        <w:rPr>
          <w:rFonts w:cs="Times New Roman"/>
          <w:color w:val="000000"/>
          <w:sz w:val="24"/>
          <w:szCs w:val="24"/>
        </w:rPr>
        <w:t xml:space="preserve"> importa apjoms 2022</w:t>
      </w:r>
      <w:r>
        <w:rPr>
          <w:rFonts w:cs="Times New Roman"/>
          <w:color w:val="000000"/>
          <w:sz w:val="24"/>
          <w:szCs w:val="24"/>
        </w:rPr>
        <w:t>. gad</w:t>
      </w:r>
      <w:r w:rsidRPr="000C7983">
        <w:rPr>
          <w:rFonts w:cs="Times New Roman"/>
          <w:color w:val="000000"/>
          <w:sz w:val="24"/>
          <w:szCs w:val="24"/>
        </w:rPr>
        <w:t>ā pieauga vien par 23%. Noteicoš</w:t>
      </w:r>
      <w:r>
        <w:rPr>
          <w:rFonts w:cs="Times New Roman"/>
          <w:color w:val="000000"/>
          <w:sz w:val="24"/>
          <w:szCs w:val="24"/>
        </w:rPr>
        <w:t>ā</w:t>
      </w:r>
      <w:r w:rsidRPr="000C7983">
        <w:rPr>
          <w:rFonts w:cs="Times New Roman"/>
          <w:color w:val="000000"/>
          <w:sz w:val="24"/>
          <w:szCs w:val="24"/>
        </w:rPr>
        <w:t xml:space="preserve"> loma tik strauj</w:t>
      </w:r>
      <w:r>
        <w:rPr>
          <w:rFonts w:cs="Times New Roman"/>
          <w:color w:val="000000"/>
          <w:sz w:val="24"/>
          <w:szCs w:val="24"/>
        </w:rPr>
        <w:t xml:space="preserve">ā </w:t>
      </w:r>
      <w:proofErr w:type="spellStart"/>
      <w:r w:rsidRPr="000C7983">
        <w:rPr>
          <w:rFonts w:cs="Times New Roman"/>
          <w:color w:val="000000"/>
          <w:sz w:val="24"/>
          <w:szCs w:val="24"/>
        </w:rPr>
        <w:t>minerālproduktu</w:t>
      </w:r>
      <w:proofErr w:type="spellEnd"/>
      <w:r w:rsidRPr="000C7983">
        <w:rPr>
          <w:rFonts w:cs="Times New Roman"/>
          <w:color w:val="000000"/>
          <w:sz w:val="24"/>
          <w:szCs w:val="24"/>
        </w:rPr>
        <w:t xml:space="preserve"> importa kāpumā bija cenu pieaugumam, it īpaši gāzei, jēlnaftai, naftas produktiem un elektroenerģijai. Tā, gāzes importa vērtība pieauga gandrīz 5 reizes, elektroenerģijas imports palielinājās 3 reizes, bet naftas pārstrādes produktu importa vērtība pieauga gandrīz 1,9 reizes. Tādējādi </w:t>
      </w:r>
      <w:proofErr w:type="spellStart"/>
      <w:r w:rsidRPr="000C7983">
        <w:rPr>
          <w:rFonts w:cs="Times New Roman"/>
          <w:color w:val="000000"/>
          <w:sz w:val="24"/>
          <w:szCs w:val="24"/>
        </w:rPr>
        <w:t>minerālproduktu</w:t>
      </w:r>
      <w:proofErr w:type="spellEnd"/>
      <w:r w:rsidRPr="000C7983">
        <w:rPr>
          <w:rFonts w:cs="Times New Roman"/>
          <w:color w:val="000000"/>
          <w:sz w:val="24"/>
          <w:szCs w:val="24"/>
        </w:rPr>
        <w:t xml:space="preserve"> īpatsvars kopējā preču importā palielināj</w:t>
      </w:r>
      <w:r>
        <w:rPr>
          <w:rFonts w:cs="Times New Roman"/>
          <w:color w:val="000000"/>
          <w:sz w:val="24"/>
          <w:szCs w:val="24"/>
        </w:rPr>
        <w:t>ā</w:t>
      </w:r>
      <w:r w:rsidRPr="000C7983">
        <w:rPr>
          <w:rFonts w:cs="Times New Roman"/>
          <w:color w:val="000000"/>
          <w:sz w:val="24"/>
          <w:szCs w:val="24"/>
        </w:rPr>
        <w:t>s no 9,7% 2021</w:t>
      </w:r>
      <w:r>
        <w:rPr>
          <w:rFonts w:cs="Times New Roman"/>
          <w:color w:val="000000"/>
          <w:sz w:val="24"/>
          <w:szCs w:val="24"/>
        </w:rPr>
        <w:t>. gadā</w:t>
      </w:r>
      <w:r w:rsidRPr="000C7983">
        <w:rPr>
          <w:rFonts w:cs="Times New Roman"/>
          <w:color w:val="000000"/>
          <w:sz w:val="24"/>
          <w:szCs w:val="24"/>
        </w:rPr>
        <w:t xml:space="preserve"> līdz 20,9% 2022</w:t>
      </w:r>
      <w:r>
        <w:rPr>
          <w:rFonts w:cs="Times New Roman"/>
          <w:color w:val="000000"/>
          <w:sz w:val="24"/>
          <w:szCs w:val="24"/>
        </w:rPr>
        <w:t>. gad</w:t>
      </w:r>
      <w:r w:rsidRPr="000C7983">
        <w:rPr>
          <w:rFonts w:cs="Times New Roman"/>
          <w:color w:val="000000"/>
          <w:sz w:val="24"/>
          <w:szCs w:val="24"/>
        </w:rPr>
        <w:t>ā.</w:t>
      </w:r>
      <w:r>
        <w:rPr>
          <w:rFonts w:cs="Times New Roman"/>
          <w:color w:val="000000"/>
          <w:sz w:val="24"/>
          <w:szCs w:val="24"/>
        </w:rPr>
        <w:t xml:space="preserve"> Būtisks preču importa pieaugums bija fiksēts arī lauksaimniecības un pārtikas precēm, mehānismiem un elektroiekārtām, kā arī ķīmiskās rūpniecības ražojumiem. </w:t>
      </w:r>
    </w:p>
    <w:p w14:paraId="6F7A294E" w14:textId="77777777" w:rsidR="0031227F" w:rsidRDefault="0031227F" w:rsidP="0031227F">
      <w:pPr>
        <w:rPr>
          <w:rFonts w:eastAsia="Calibri" w:cs="Arial"/>
          <w:sz w:val="24"/>
          <w:szCs w:val="24"/>
        </w:rPr>
      </w:pPr>
      <w:r w:rsidRPr="000755E3">
        <w:rPr>
          <w:rFonts w:eastAsia="Calibri" w:cs="Arial"/>
          <w:sz w:val="24"/>
          <w:szCs w:val="24"/>
        </w:rPr>
        <w:t>Pakalpojumu importa vērtība 2022</w:t>
      </w:r>
      <w:r>
        <w:rPr>
          <w:rFonts w:eastAsia="Calibri" w:cs="Arial"/>
          <w:sz w:val="24"/>
          <w:szCs w:val="24"/>
        </w:rPr>
        <w:t>. gad</w:t>
      </w:r>
      <w:r w:rsidRPr="000755E3">
        <w:rPr>
          <w:rFonts w:eastAsia="Calibri" w:cs="Arial"/>
          <w:sz w:val="24"/>
          <w:szCs w:val="24"/>
        </w:rPr>
        <w:t>a palielinājās par 3</w:t>
      </w:r>
      <w:r>
        <w:rPr>
          <w:rFonts w:eastAsia="Calibri" w:cs="Arial"/>
          <w:sz w:val="24"/>
          <w:szCs w:val="24"/>
        </w:rPr>
        <w:t>4,2</w:t>
      </w:r>
      <w:r w:rsidRPr="000755E3">
        <w:rPr>
          <w:rFonts w:eastAsia="Calibri" w:cs="Arial"/>
          <w:sz w:val="24"/>
          <w:szCs w:val="24"/>
        </w:rPr>
        <w:t xml:space="preserve">%, ko veicināja visi pakalpojumu veidi. Vienlaicīgi palielinoties gaisa, dzelzceļa, jūras un autotransporta pakalpojumu importam, transporta pakalpojumu importa vērtība pieauga par </w:t>
      </w:r>
      <w:r>
        <w:rPr>
          <w:rFonts w:eastAsia="Calibri" w:cs="Arial"/>
          <w:sz w:val="24"/>
          <w:szCs w:val="24"/>
        </w:rPr>
        <w:t>36,2</w:t>
      </w:r>
      <w:r w:rsidRPr="000755E3">
        <w:rPr>
          <w:rFonts w:eastAsia="Calibri" w:cs="Arial"/>
          <w:sz w:val="24"/>
          <w:szCs w:val="24"/>
        </w:rPr>
        <w:t>% salīdzinājumā ar 2021</w:t>
      </w:r>
      <w:r>
        <w:rPr>
          <w:rFonts w:eastAsia="Calibri" w:cs="Arial"/>
          <w:sz w:val="24"/>
          <w:szCs w:val="24"/>
        </w:rPr>
        <w:t>. gadu</w:t>
      </w:r>
      <w:r w:rsidRPr="000755E3">
        <w:rPr>
          <w:rFonts w:eastAsia="Calibri" w:cs="Arial"/>
          <w:sz w:val="24"/>
          <w:szCs w:val="24"/>
        </w:rPr>
        <w:t>. Latvijas iedzīvotāju izdevumi ārvalstīs p</w:t>
      </w:r>
      <w:r>
        <w:rPr>
          <w:rFonts w:eastAsia="Calibri" w:cs="Arial"/>
          <w:sz w:val="24"/>
          <w:szCs w:val="24"/>
        </w:rPr>
        <w:t>alielinājās</w:t>
      </w:r>
      <w:r w:rsidRPr="000755E3">
        <w:rPr>
          <w:rFonts w:eastAsia="Calibri" w:cs="Arial"/>
          <w:sz w:val="24"/>
          <w:szCs w:val="24"/>
        </w:rPr>
        <w:t xml:space="preserve"> par </w:t>
      </w:r>
      <w:r>
        <w:rPr>
          <w:rFonts w:eastAsia="Calibri" w:cs="Arial"/>
          <w:sz w:val="24"/>
          <w:szCs w:val="24"/>
        </w:rPr>
        <w:t>52,8</w:t>
      </w:r>
      <w:r w:rsidRPr="000755E3">
        <w:rPr>
          <w:rFonts w:eastAsia="Calibri" w:cs="Arial"/>
          <w:sz w:val="24"/>
          <w:szCs w:val="24"/>
        </w:rPr>
        <w:t xml:space="preserve">%. No pārējiem pakalpojumu veidiem vērā ņemams importa kāpums bija fiksēts informācijas un </w:t>
      </w:r>
      <w:proofErr w:type="spellStart"/>
      <w:r w:rsidRPr="000755E3">
        <w:rPr>
          <w:rFonts w:eastAsia="Calibri" w:cs="Arial"/>
          <w:sz w:val="24"/>
          <w:szCs w:val="24"/>
        </w:rPr>
        <w:t>datorpakalpojumiem</w:t>
      </w:r>
      <w:proofErr w:type="spellEnd"/>
      <w:r w:rsidRPr="000755E3">
        <w:rPr>
          <w:rFonts w:eastAsia="Calibri" w:cs="Arial"/>
          <w:sz w:val="24"/>
          <w:szCs w:val="24"/>
        </w:rPr>
        <w:t>, importa vērtībai palielinoties par 1</w:t>
      </w:r>
      <w:r>
        <w:rPr>
          <w:rFonts w:eastAsia="Calibri" w:cs="Arial"/>
          <w:sz w:val="24"/>
          <w:szCs w:val="24"/>
        </w:rPr>
        <w:t>8,7</w:t>
      </w:r>
      <w:r w:rsidRPr="000755E3">
        <w:rPr>
          <w:rFonts w:eastAsia="Calibri" w:cs="Arial"/>
          <w:sz w:val="24"/>
          <w:szCs w:val="24"/>
        </w:rPr>
        <w:t>%</w:t>
      </w:r>
      <w:r>
        <w:rPr>
          <w:rFonts w:eastAsia="Calibri" w:cs="Arial"/>
          <w:sz w:val="24"/>
          <w:szCs w:val="24"/>
        </w:rPr>
        <w:t xml:space="preserve">, kā arī telesakaru pakalpojumiem – par 25,0%. </w:t>
      </w:r>
    </w:p>
    <w:p w14:paraId="3C8F9025" w14:textId="77777777" w:rsidR="0031227F" w:rsidRPr="000270F6" w:rsidRDefault="0031227F" w:rsidP="00257CFF">
      <w:pPr>
        <w:pStyle w:val="H4"/>
        <w:ind w:left="0" w:firstLine="720"/>
        <w:jc w:val="both"/>
        <w:rPr>
          <w:rFonts w:ascii="Times New Roman" w:hAnsi="Times New Roman"/>
          <w:iCs/>
          <w:sz w:val="24"/>
          <w:szCs w:val="24"/>
        </w:rPr>
      </w:pPr>
      <w:r w:rsidRPr="00882C2C">
        <w:rPr>
          <w:rFonts w:ascii="Times New Roman" w:hAnsi="Times New Roman"/>
          <w:iCs/>
          <w:sz w:val="24"/>
          <w:szCs w:val="24"/>
        </w:rPr>
        <w:t>Tekošais konts</w:t>
      </w:r>
    </w:p>
    <w:p w14:paraId="6A99AA30" w14:textId="77777777" w:rsidR="0031227F" w:rsidRDefault="0031227F" w:rsidP="0031227F">
      <w:pPr>
        <w:ind w:firstLine="709"/>
        <w:rPr>
          <w:rFonts w:eastAsia="Calibri" w:cs="Arial"/>
          <w:sz w:val="24"/>
          <w:szCs w:val="24"/>
        </w:rPr>
      </w:pPr>
      <w:r>
        <w:rPr>
          <w:rFonts w:eastAsia="Calibri" w:cs="Arial"/>
          <w:sz w:val="24"/>
          <w:szCs w:val="24"/>
        </w:rPr>
        <w:t xml:space="preserve">2022. gadā </w:t>
      </w:r>
      <w:r w:rsidRPr="000755E3">
        <w:rPr>
          <w:rFonts w:eastAsia="Calibri" w:cs="Arial"/>
          <w:sz w:val="24"/>
          <w:szCs w:val="24"/>
        </w:rPr>
        <w:t>maksājumu bilances tekošā konta deficīts turpināja palielināties, sasniedzot 2</w:t>
      </w:r>
      <w:r>
        <w:rPr>
          <w:rFonts w:eastAsia="Calibri" w:cs="Arial"/>
          <w:sz w:val="24"/>
          <w:szCs w:val="24"/>
        </w:rPr>
        <w:t>495</w:t>
      </w:r>
      <w:r w:rsidRPr="000755E3">
        <w:rPr>
          <w:rFonts w:eastAsia="Calibri" w:cs="Arial"/>
          <w:sz w:val="24"/>
          <w:szCs w:val="24"/>
        </w:rPr>
        <w:t xml:space="preserve"> milj. </w:t>
      </w:r>
      <w:proofErr w:type="spellStart"/>
      <w:r w:rsidRPr="000755E3">
        <w:rPr>
          <w:rFonts w:eastAsia="Calibri" w:cs="Arial"/>
          <w:i/>
          <w:iCs/>
          <w:sz w:val="24"/>
          <w:szCs w:val="24"/>
        </w:rPr>
        <w:t>euro</w:t>
      </w:r>
      <w:proofErr w:type="spellEnd"/>
      <w:r>
        <w:rPr>
          <w:rFonts w:eastAsia="Calibri" w:cs="Arial"/>
          <w:sz w:val="24"/>
          <w:szCs w:val="24"/>
        </w:rPr>
        <w:t xml:space="preserve"> jeb 6,4% no IKP. Deficīta apmērs sasniedza augstāko līmeni kopš 2009. gada. </w:t>
      </w:r>
      <w:r w:rsidRPr="000755E3">
        <w:rPr>
          <w:rFonts w:eastAsia="Calibri" w:cs="Arial"/>
          <w:sz w:val="24"/>
          <w:szCs w:val="24"/>
        </w:rPr>
        <w:t xml:space="preserve">Lielāks tekošā konta deficīts bija fiksēts tikai laikā periodā no </w:t>
      </w:r>
      <w:r w:rsidRPr="005E515F">
        <w:rPr>
          <w:rFonts w:eastAsia="Calibri" w:cs="Arial"/>
          <w:sz w:val="24"/>
          <w:szCs w:val="24"/>
        </w:rPr>
        <w:t xml:space="preserve">2005. līdz 2008. gadam, kad bija </w:t>
      </w:r>
      <w:r w:rsidRPr="005E515F">
        <w:rPr>
          <w:rFonts w:eastAsia="Calibri" w:cs="Arial"/>
          <w:sz w:val="24"/>
          <w:szCs w:val="24"/>
        </w:rPr>
        <w:lastRenderedPageBreak/>
        <w:t>izteiktas ekonomikas pārkaršanas pazīmes, pieaugot pat līdz 20,8% no IKP. Laikā pirms</w:t>
      </w:r>
      <w:r w:rsidRPr="000755E3">
        <w:rPr>
          <w:rFonts w:eastAsia="Calibri" w:cs="Arial"/>
          <w:sz w:val="24"/>
          <w:szCs w:val="24"/>
        </w:rPr>
        <w:t xml:space="preserve"> finanšu krīzes tekošā konta deficītu lielā mērā noteica strauji augošais preču imports, ko stimulēja iekšējais patēriņš. Lai arī tekošā konta deficīts pērnajā gadā vērtējams kā augsts un </w:t>
      </w:r>
      <w:r>
        <w:rPr>
          <w:rFonts w:eastAsia="Calibri" w:cs="Arial"/>
          <w:sz w:val="24"/>
          <w:szCs w:val="24"/>
        </w:rPr>
        <w:t xml:space="preserve">noteicošā loma </w:t>
      </w:r>
      <w:r w:rsidRPr="000755E3">
        <w:rPr>
          <w:rFonts w:eastAsia="Calibri" w:cs="Arial"/>
          <w:sz w:val="24"/>
          <w:szCs w:val="24"/>
        </w:rPr>
        <w:t>tāpat kā pirms finanšu krīzes bija preču importa pieaugumam, pašreizējā situācija neliecina par ekonomi</w:t>
      </w:r>
      <w:r>
        <w:rPr>
          <w:rFonts w:eastAsia="Calibri" w:cs="Arial"/>
          <w:sz w:val="24"/>
          <w:szCs w:val="24"/>
        </w:rPr>
        <w:t>s</w:t>
      </w:r>
      <w:r w:rsidRPr="000755E3">
        <w:rPr>
          <w:rFonts w:eastAsia="Calibri" w:cs="Arial"/>
          <w:sz w:val="24"/>
          <w:szCs w:val="24"/>
        </w:rPr>
        <w:t>k</w:t>
      </w:r>
      <w:r>
        <w:rPr>
          <w:rFonts w:eastAsia="Calibri" w:cs="Arial"/>
          <w:sz w:val="24"/>
          <w:szCs w:val="24"/>
        </w:rPr>
        <w:t>ā</w:t>
      </w:r>
      <w:r w:rsidRPr="000755E3">
        <w:rPr>
          <w:rFonts w:eastAsia="Calibri" w:cs="Arial"/>
          <w:sz w:val="24"/>
          <w:szCs w:val="24"/>
        </w:rPr>
        <w:t xml:space="preserve">s attīstības </w:t>
      </w:r>
      <w:proofErr w:type="spellStart"/>
      <w:r w:rsidRPr="000755E3">
        <w:rPr>
          <w:rFonts w:eastAsia="Calibri" w:cs="Arial"/>
          <w:sz w:val="24"/>
          <w:szCs w:val="24"/>
        </w:rPr>
        <w:t>nesabalansētībām</w:t>
      </w:r>
      <w:proofErr w:type="spellEnd"/>
      <w:r>
        <w:rPr>
          <w:rFonts w:eastAsia="Calibri" w:cs="Arial"/>
          <w:sz w:val="24"/>
          <w:szCs w:val="24"/>
        </w:rPr>
        <w:t xml:space="preserve">. </w:t>
      </w:r>
      <w:r w:rsidRPr="000C7983">
        <w:rPr>
          <w:rFonts w:cs="Times New Roman"/>
          <w:color w:val="000000"/>
          <w:sz w:val="24"/>
          <w:szCs w:val="24"/>
        </w:rPr>
        <w:t xml:space="preserve">Vērtējot pērnā gada </w:t>
      </w:r>
      <w:r>
        <w:rPr>
          <w:rFonts w:cs="Times New Roman"/>
          <w:color w:val="000000"/>
          <w:sz w:val="24"/>
          <w:szCs w:val="24"/>
        </w:rPr>
        <w:t xml:space="preserve">preču </w:t>
      </w:r>
      <w:r w:rsidRPr="000C7983">
        <w:rPr>
          <w:rFonts w:cs="Times New Roman"/>
          <w:color w:val="000000"/>
          <w:sz w:val="24"/>
          <w:szCs w:val="24"/>
        </w:rPr>
        <w:t>ārējo tirdzniecību</w:t>
      </w:r>
      <w:r>
        <w:rPr>
          <w:rFonts w:cs="Times New Roman"/>
          <w:color w:val="000000"/>
          <w:sz w:val="24"/>
          <w:szCs w:val="24"/>
        </w:rPr>
        <w:t xml:space="preserve">, </w:t>
      </w:r>
      <w:r w:rsidRPr="000C7983">
        <w:rPr>
          <w:rFonts w:cs="Times New Roman"/>
          <w:color w:val="000000"/>
          <w:sz w:val="24"/>
          <w:szCs w:val="24"/>
        </w:rPr>
        <w:t>svarīgi atzīmēt, ka preču importa pieaugums bija straujāks nekā eksport</w:t>
      </w:r>
      <w:r>
        <w:rPr>
          <w:rFonts w:cs="Times New Roman"/>
          <w:color w:val="000000"/>
          <w:sz w:val="24"/>
          <w:szCs w:val="24"/>
        </w:rPr>
        <w:t xml:space="preserve">a </w:t>
      </w:r>
      <w:r w:rsidRPr="005E515F">
        <w:rPr>
          <w:rFonts w:cs="Times New Roman"/>
          <w:color w:val="000000"/>
          <w:sz w:val="24"/>
          <w:szCs w:val="24"/>
        </w:rPr>
        <w:t>pieaugums, tādējādi pasliktinot preču ārējās tirdzniecības bilanci.</w:t>
      </w:r>
      <w:r w:rsidRPr="005E515F">
        <w:rPr>
          <w:rFonts w:eastAsia="Calibri" w:cs="Arial"/>
          <w:sz w:val="24"/>
          <w:szCs w:val="24"/>
        </w:rPr>
        <w:t xml:space="preserve"> Preču konta deficīts pērn sasniedza 4476 milj. </w:t>
      </w:r>
      <w:proofErr w:type="spellStart"/>
      <w:r w:rsidRPr="005E515F">
        <w:rPr>
          <w:rFonts w:eastAsia="Calibri" w:cs="Arial"/>
          <w:i/>
          <w:iCs/>
          <w:sz w:val="24"/>
          <w:szCs w:val="24"/>
        </w:rPr>
        <w:t>euro</w:t>
      </w:r>
      <w:proofErr w:type="spellEnd"/>
      <w:r w:rsidRPr="005E515F">
        <w:rPr>
          <w:rFonts w:eastAsia="Calibri" w:cs="Arial"/>
          <w:i/>
          <w:iCs/>
          <w:sz w:val="24"/>
          <w:szCs w:val="24"/>
        </w:rPr>
        <w:t>,</w:t>
      </w:r>
      <w:r w:rsidRPr="005E515F">
        <w:rPr>
          <w:rFonts w:eastAsia="Calibri" w:cs="Arial"/>
          <w:sz w:val="24"/>
          <w:szCs w:val="24"/>
        </w:rPr>
        <w:t xml:space="preserve"> kas bija par 1702 milj. </w:t>
      </w:r>
      <w:proofErr w:type="spellStart"/>
      <w:r w:rsidRPr="005E515F">
        <w:rPr>
          <w:rFonts w:eastAsia="Calibri" w:cs="Arial"/>
          <w:i/>
          <w:iCs/>
          <w:sz w:val="24"/>
          <w:szCs w:val="24"/>
        </w:rPr>
        <w:t>euro</w:t>
      </w:r>
      <w:proofErr w:type="spellEnd"/>
      <w:r w:rsidRPr="005E515F">
        <w:rPr>
          <w:rFonts w:eastAsia="Calibri" w:cs="Arial"/>
          <w:sz w:val="24"/>
          <w:szCs w:val="24"/>
        </w:rPr>
        <w:t xml:space="preserve"> vairāk nekā 2021. gadā, un, kā jau atzīmēts, straujo preču importa kāpumu lielā mērā noteica cenu kāpums, it īpaši energoresursiem, nevis iekšējā patēriņa pieaugums. 2022. gadā </w:t>
      </w:r>
      <w:proofErr w:type="spellStart"/>
      <w:r w:rsidRPr="005E515F">
        <w:rPr>
          <w:rFonts w:eastAsia="Calibri" w:cs="Arial"/>
          <w:sz w:val="24"/>
          <w:szCs w:val="24"/>
        </w:rPr>
        <w:t>minerālproduktu</w:t>
      </w:r>
      <w:proofErr w:type="spellEnd"/>
      <w:r w:rsidRPr="005E515F">
        <w:rPr>
          <w:rFonts w:eastAsia="Calibri" w:cs="Arial"/>
          <w:sz w:val="24"/>
          <w:szCs w:val="24"/>
        </w:rPr>
        <w:t xml:space="preserve"> imports pieauga par 3662 milj. </w:t>
      </w:r>
      <w:proofErr w:type="spellStart"/>
      <w:r w:rsidRPr="005E515F">
        <w:rPr>
          <w:rFonts w:eastAsia="Calibri" w:cs="Arial"/>
          <w:i/>
          <w:iCs/>
          <w:sz w:val="24"/>
          <w:szCs w:val="24"/>
        </w:rPr>
        <w:t>euro</w:t>
      </w:r>
      <w:proofErr w:type="spellEnd"/>
      <w:r w:rsidRPr="005E515F">
        <w:rPr>
          <w:rFonts w:eastAsia="Calibri" w:cs="Arial"/>
          <w:sz w:val="24"/>
          <w:szCs w:val="24"/>
        </w:rPr>
        <w:t>, izskaidrojot vairāk nekā pusi no kopējā preču importa pieauguma. Ņemot vērā, ka Latvija neražo gāzi un</w:t>
      </w:r>
      <w:r w:rsidRPr="000755E3">
        <w:rPr>
          <w:rFonts w:eastAsia="Calibri" w:cs="Arial"/>
          <w:sz w:val="24"/>
          <w:szCs w:val="24"/>
        </w:rPr>
        <w:t xml:space="preserve"> naftas produktus, kā arī nevar ietekmēt globālās biržas cenas, energoresursu imports </w:t>
      </w:r>
      <w:r>
        <w:rPr>
          <w:rFonts w:eastAsia="Calibri" w:cs="Arial"/>
          <w:sz w:val="24"/>
          <w:szCs w:val="24"/>
        </w:rPr>
        <w:t>2022. gadā</w:t>
      </w:r>
      <w:r w:rsidRPr="000755E3">
        <w:rPr>
          <w:rFonts w:eastAsia="Calibri" w:cs="Arial"/>
          <w:sz w:val="24"/>
          <w:szCs w:val="24"/>
        </w:rPr>
        <w:t xml:space="preserve"> būtiski pasliktin</w:t>
      </w:r>
      <w:r>
        <w:rPr>
          <w:rFonts w:eastAsia="Calibri" w:cs="Arial"/>
          <w:sz w:val="24"/>
          <w:szCs w:val="24"/>
        </w:rPr>
        <w:t>āja</w:t>
      </w:r>
      <w:r w:rsidRPr="000755E3">
        <w:rPr>
          <w:rFonts w:eastAsia="Calibri" w:cs="Arial"/>
          <w:sz w:val="24"/>
          <w:szCs w:val="24"/>
        </w:rPr>
        <w:t xml:space="preserve"> ārējās tirdzniecības bilanci.</w:t>
      </w:r>
      <w:r>
        <w:rPr>
          <w:rFonts w:eastAsia="Calibri" w:cs="Arial"/>
          <w:sz w:val="24"/>
          <w:szCs w:val="24"/>
        </w:rPr>
        <w:t xml:space="preserve"> 2</w:t>
      </w:r>
      <w:r w:rsidRPr="000755E3">
        <w:rPr>
          <w:rFonts w:eastAsia="Calibri" w:cs="Arial"/>
          <w:sz w:val="24"/>
          <w:szCs w:val="24"/>
        </w:rPr>
        <w:t>02</w:t>
      </w:r>
      <w:r>
        <w:rPr>
          <w:rFonts w:eastAsia="Calibri" w:cs="Arial"/>
          <w:sz w:val="24"/>
          <w:szCs w:val="24"/>
        </w:rPr>
        <w:t>2. gad</w:t>
      </w:r>
      <w:r w:rsidRPr="000755E3">
        <w:rPr>
          <w:rFonts w:eastAsia="Calibri" w:cs="Arial"/>
          <w:sz w:val="24"/>
          <w:szCs w:val="24"/>
        </w:rPr>
        <w:t>ā tekoš</w:t>
      </w:r>
      <w:r>
        <w:rPr>
          <w:rFonts w:eastAsia="Calibri" w:cs="Arial"/>
          <w:sz w:val="24"/>
          <w:szCs w:val="24"/>
        </w:rPr>
        <w:t>o</w:t>
      </w:r>
      <w:r w:rsidRPr="000755E3">
        <w:rPr>
          <w:rFonts w:eastAsia="Calibri" w:cs="Arial"/>
          <w:sz w:val="24"/>
          <w:szCs w:val="24"/>
        </w:rPr>
        <w:t xml:space="preserve"> kont</w:t>
      </w:r>
      <w:r>
        <w:rPr>
          <w:rFonts w:eastAsia="Calibri" w:cs="Arial"/>
          <w:sz w:val="24"/>
          <w:szCs w:val="24"/>
        </w:rPr>
        <w:t>u negatīvi ietekmēja arī</w:t>
      </w:r>
      <w:r w:rsidRPr="00564A1C">
        <w:rPr>
          <w:rFonts w:eastAsia="Calibri" w:cs="Arial"/>
          <w:sz w:val="24"/>
          <w:szCs w:val="24"/>
        </w:rPr>
        <w:t xml:space="preserve"> </w:t>
      </w:r>
      <w:r w:rsidRPr="000755E3">
        <w:rPr>
          <w:rFonts w:eastAsia="Calibri" w:cs="Arial"/>
          <w:sz w:val="24"/>
          <w:szCs w:val="24"/>
        </w:rPr>
        <w:t>ārvalstu investoru lēmums izmaksāt augstākas dividendes nekā iepriekšējos gado</w:t>
      </w:r>
      <w:r>
        <w:rPr>
          <w:rFonts w:eastAsia="Calibri" w:cs="Arial"/>
          <w:sz w:val="24"/>
          <w:szCs w:val="24"/>
        </w:rPr>
        <w:t xml:space="preserve">s. </w:t>
      </w:r>
      <w:r w:rsidRPr="000755E3">
        <w:rPr>
          <w:rFonts w:eastAsia="Calibri" w:cs="Arial"/>
          <w:sz w:val="24"/>
          <w:szCs w:val="24"/>
        </w:rPr>
        <w:t xml:space="preserve">Tieši šī iemesla dēļ sākotnējo ienākumu konta deficīts </w:t>
      </w:r>
      <w:r>
        <w:rPr>
          <w:rFonts w:eastAsia="Calibri" w:cs="Arial"/>
          <w:sz w:val="24"/>
          <w:szCs w:val="24"/>
        </w:rPr>
        <w:t xml:space="preserve">ir </w:t>
      </w:r>
      <w:r w:rsidRPr="000755E3">
        <w:rPr>
          <w:rFonts w:eastAsia="Calibri" w:cs="Arial"/>
          <w:sz w:val="24"/>
          <w:szCs w:val="24"/>
        </w:rPr>
        <w:t>palielinājies līdz 6</w:t>
      </w:r>
      <w:r>
        <w:rPr>
          <w:rFonts w:eastAsia="Calibri" w:cs="Arial"/>
          <w:sz w:val="24"/>
          <w:szCs w:val="24"/>
        </w:rPr>
        <w:t>65</w:t>
      </w:r>
      <w:r w:rsidRPr="000755E3">
        <w:rPr>
          <w:rFonts w:eastAsia="Calibri" w:cs="Arial"/>
          <w:sz w:val="24"/>
          <w:szCs w:val="24"/>
        </w:rPr>
        <w:t xml:space="preserve"> milj. </w:t>
      </w:r>
      <w:proofErr w:type="spellStart"/>
      <w:r w:rsidRPr="000755E3">
        <w:rPr>
          <w:rFonts w:eastAsia="Calibri" w:cs="Arial"/>
          <w:i/>
          <w:iCs/>
          <w:sz w:val="24"/>
          <w:szCs w:val="24"/>
        </w:rPr>
        <w:t>euro</w:t>
      </w:r>
      <w:proofErr w:type="spellEnd"/>
      <w:r>
        <w:rPr>
          <w:rFonts w:eastAsia="Calibri" w:cs="Arial"/>
          <w:sz w:val="24"/>
          <w:szCs w:val="24"/>
        </w:rPr>
        <w:t>.</w:t>
      </w:r>
    </w:p>
    <w:p w14:paraId="2422EFF8" w14:textId="77777777" w:rsidR="0031227F" w:rsidRPr="006401F8" w:rsidRDefault="0031227F" w:rsidP="0031227F">
      <w:pPr>
        <w:ind w:firstLine="0"/>
        <w:jc w:val="center"/>
        <w:rPr>
          <w:rFonts w:eastAsia="Calibri" w:cs="Arial"/>
          <w:sz w:val="24"/>
          <w:szCs w:val="24"/>
        </w:rPr>
      </w:pPr>
      <w:r w:rsidRPr="00182BBA">
        <w:rPr>
          <w:noProof/>
          <w:sz w:val="20"/>
          <w:szCs w:val="20"/>
        </w:rPr>
        <w:drawing>
          <wp:inline distT="0" distB="0" distL="0" distR="0" wp14:anchorId="48293B93" wp14:editId="70DF59D4">
            <wp:extent cx="5760085" cy="3474098"/>
            <wp:effectExtent l="0" t="0" r="0" b="0"/>
            <wp:docPr id="6" name="Chart 6">
              <a:extLst xmlns:a="http://schemas.openxmlformats.org/drawingml/2006/main">
                <a:ext uri="{FF2B5EF4-FFF2-40B4-BE49-F238E27FC236}">
                  <a16:creationId xmlns:a16="http://schemas.microsoft.com/office/drawing/2014/main" id="{00000000-0008-0000-2F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B5CD296" w14:textId="21A73AB2" w:rsidR="0031227F" w:rsidRDefault="0031227F" w:rsidP="005E515F">
      <w:pPr>
        <w:jc w:val="center"/>
        <w:rPr>
          <w:rFonts w:eastAsia="Calibri" w:cs="Times New Roman"/>
          <w:b/>
          <w:bCs/>
          <w:i/>
          <w:iCs/>
          <w:sz w:val="24"/>
          <w:szCs w:val="24"/>
        </w:rPr>
      </w:pPr>
      <w:r w:rsidRPr="00636013">
        <w:rPr>
          <w:rFonts w:eastAsia="Calibri" w:cs="Times New Roman"/>
          <w:b/>
          <w:bCs/>
          <w:i/>
          <w:iCs/>
          <w:sz w:val="24"/>
          <w:szCs w:val="24"/>
        </w:rPr>
        <w:t xml:space="preserve">2.3. att. Latvijas </w:t>
      </w:r>
      <w:r w:rsidRPr="005B3398">
        <w:rPr>
          <w:rFonts w:eastAsia="Calibri" w:cs="Times New Roman"/>
          <w:b/>
          <w:bCs/>
          <w:i/>
          <w:iCs/>
          <w:sz w:val="24"/>
          <w:szCs w:val="24"/>
        </w:rPr>
        <w:t xml:space="preserve">maksājumu bilances tekošā konta komponentes (milj. </w:t>
      </w:r>
      <w:proofErr w:type="spellStart"/>
      <w:r w:rsidRPr="005B3398">
        <w:rPr>
          <w:rFonts w:eastAsia="Calibri" w:cs="Times New Roman"/>
          <w:b/>
          <w:bCs/>
          <w:i/>
          <w:iCs/>
          <w:sz w:val="24"/>
          <w:szCs w:val="24"/>
        </w:rPr>
        <w:t>euro</w:t>
      </w:r>
      <w:proofErr w:type="spellEnd"/>
      <w:r w:rsidRPr="005B3398">
        <w:rPr>
          <w:rFonts w:eastAsia="Calibri" w:cs="Times New Roman"/>
          <w:b/>
          <w:bCs/>
          <w:i/>
          <w:iCs/>
          <w:sz w:val="24"/>
          <w:szCs w:val="24"/>
        </w:rPr>
        <w:t>)</w:t>
      </w:r>
      <w:r w:rsidR="005E515F">
        <w:rPr>
          <w:rFonts w:eastAsia="Calibri" w:cs="Times New Roman"/>
          <w:b/>
          <w:bCs/>
          <w:i/>
          <w:iCs/>
          <w:sz w:val="24"/>
          <w:szCs w:val="24"/>
        </w:rPr>
        <w:t xml:space="preserve">, </w:t>
      </w:r>
      <w:r w:rsidRPr="005B3398">
        <w:rPr>
          <w:rFonts w:eastAsia="Calibri" w:cs="Times New Roman"/>
          <w:b/>
          <w:bCs/>
          <w:i/>
          <w:iCs/>
          <w:sz w:val="24"/>
          <w:szCs w:val="24"/>
        </w:rPr>
        <w:t>tekošais un kapitāla konts procentos no IKP</w:t>
      </w:r>
      <w:r w:rsidRPr="005B3398">
        <w:rPr>
          <w:rFonts w:cs="Times New Roman"/>
          <w:b/>
          <w:sz w:val="24"/>
          <w:szCs w:val="24"/>
          <w:vertAlign w:val="superscript"/>
        </w:rPr>
        <w:footnoteReference w:id="2"/>
      </w:r>
    </w:p>
    <w:p w14:paraId="573DCAD2" w14:textId="77777777" w:rsidR="005E515F" w:rsidRPr="005B3398" w:rsidRDefault="005E515F" w:rsidP="005E515F">
      <w:pPr>
        <w:jc w:val="center"/>
        <w:rPr>
          <w:rFonts w:eastAsia="Calibri" w:cs="Times New Roman"/>
          <w:b/>
          <w:bCs/>
          <w:i/>
          <w:iCs/>
          <w:sz w:val="24"/>
          <w:szCs w:val="24"/>
        </w:rPr>
      </w:pPr>
    </w:p>
    <w:p w14:paraId="6307A7FF" w14:textId="27C38BFB" w:rsidR="0031227F" w:rsidRPr="00390E8F" w:rsidRDefault="0031227F" w:rsidP="0031227F">
      <w:pPr>
        <w:rPr>
          <w:rFonts w:eastAsia="Calibri" w:cs="Arial"/>
          <w:sz w:val="24"/>
          <w:szCs w:val="24"/>
        </w:rPr>
      </w:pPr>
      <w:r w:rsidRPr="008C56DF">
        <w:rPr>
          <w:rFonts w:eastAsia="Calibri" w:cs="Arial"/>
          <w:sz w:val="24"/>
          <w:szCs w:val="24"/>
        </w:rPr>
        <w:t>Maksājumu bilances tekoš</w:t>
      </w:r>
      <w:r w:rsidR="008C56DF" w:rsidRPr="008C56DF">
        <w:rPr>
          <w:rFonts w:eastAsia="Calibri" w:cs="Arial"/>
          <w:sz w:val="24"/>
          <w:szCs w:val="24"/>
        </w:rPr>
        <w:t>ā</w:t>
      </w:r>
      <w:r w:rsidRPr="008C56DF">
        <w:rPr>
          <w:rFonts w:eastAsia="Calibri" w:cs="Arial"/>
          <w:sz w:val="24"/>
          <w:szCs w:val="24"/>
        </w:rPr>
        <w:t xml:space="preserve"> konta deficītu nedaudz mazināja pakalpojumu un otrreizējo ienākumu konta pārpalikumi. Pakalpojumu konta pārpalikumu veicināja augstāks pakalpojumu eksporta pieaugums, bet otrreizējo ienākumu kontu labvēlīgi ietekmēja augstāka ES fondu līdzekļu ieplūde. Ja vērtētu tekošo</w:t>
      </w:r>
      <w:r w:rsidRPr="000755E3">
        <w:rPr>
          <w:rFonts w:eastAsia="Calibri" w:cs="Arial"/>
          <w:sz w:val="24"/>
          <w:szCs w:val="24"/>
        </w:rPr>
        <w:t xml:space="preserve"> kontu kopā ar kapitāla kontu, ko Latvijas gadījumā galvenokārt veido ienākošās ES struktūrfondu investīcijas, kā arī Zivsaimniecības fond</w:t>
      </w:r>
      <w:r w:rsidR="001C1BD5">
        <w:rPr>
          <w:rFonts w:eastAsia="Calibri" w:cs="Arial"/>
          <w:sz w:val="24"/>
          <w:szCs w:val="24"/>
        </w:rPr>
        <w:t>a</w:t>
      </w:r>
      <w:r w:rsidRPr="000755E3">
        <w:rPr>
          <w:rFonts w:eastAsia="Calibri" w:cs="Arial"/>
          <w:sz w:val="24"/>
          <w:szCs w:val="24"/>
        </w:rPr>
        <w:t xml:space="preserve"> investīcijas, deficīts </w:t>
      </w:r>
      <w:r>
        <w:rPr>
          <w:rFonts w:eastAsia="Calibri" w:cs="Arial"/>
          <w:sz w:val="24"/>
          <w:szCs w:val="24"/>
        </w:rPr>
        <w:t>2022. gad</w:t>
      </w:r>
      <w:r w:rsidRPr="000755E3">
        <w:rPr>
          <w:rFonts w:eastAsia="Calibri" w:cs="Arial"/>
          <w:sz w:val="24"/>
          <w:szCs w:val="24"/>
        </w:rPr>
        <w:t xml:space="preserve">ā būtu </w:t>
      </w:r>
      <w:r>
        <w:rPr>
          <w:rFonts w:eastAsia="Calibri" w:cs="Arial"/>
          <w:sz w:val="24"/>
          <w:szCs w:val="24"/>
        </w:rPr>
        <w:t>5,3</w:t>
      </w:r>
      <w:r w:rsidRPr="000755E3">
        <w:rPr>
          <w:rFonts w:eastAsia="Calibri" w:cs="Arial"/>
          <w:sz w:val="24"/>
          <w:szCs w:val="24"/>
        </w:rPr>
        <w:t>% no IKP.</w:t>
      </w:r>
    </w:p>
    <w:p w14:paraId="3AFD1960" w14:textId="77777777" w:rsidR="004A6B6D" w:rsidRDefault="004A6B6D">
      <w:pPr>
        <w:spacing w:after="160" w:line="259" w:lineRule="auto"/>
        <w:ind w:firstLine="0"/>
        <w:jc w:val="left"/>
        <w:rPr>
          <w:rFonts w:eastAsia="Times New Roman" w:cs="Times New Roman"/>
          <w:b/>
          <w:iCs/>
          <w:sz w:val="24"/>
          <w:szCs w:val="24"/>
        </w:rPr>
      </w:pPr>
      <w:r>
        <w:rPr>
          <w:iCs/>
          <w:sz w:val="24"/>
          <w:szCs w:val="24"/>
        </w:rPr>
        <w:br w:type="page"/>
      </w:r>
    </w:p>
    <w:p w14:paraId="37C4C3DE" w14:textId="6BB93397" w:rsidR="0031227F" w:rsidRPr="000270F6" w:rsidRDefault="0031227F" w:rsidP="004A6B6D">
      <w:pPr>
        <w:pStyle w:val="H4"/>
        <w:ind w:left="0" w:firstLine="720"/>
        <w:jc w:val="both"/>
        <w:rPr>
          <w:rFonts w:ascii="Times New Roman" w:hAnsi="Times New Roman"/>
          <w:iCs/>
          <w:sz w:val="24"/>
          <w:szCs w:val="24"/>
        </w:rPr>
      </w:pPr>
      <w:r w:rsidRPr="00042609">
        <w:rPr>
          <w:rFonts w:ascii="Times New Roman" w:hAnsi="Times New Roman"/>
          <w:iCs/>
          <w:sz w:val="24"/>
          <w:szCs w:val="24"/>
        </w:rPr>
        <w:lastRenderedPageBreak/>
        <w:t>Inflācija</w:t>
      </w:r>
    </w:p>
    <w:p w14:paraId="129AFA83" w14:textId="7046928E" w:rsidR="0031227F" w:rsidRDefault="0031227F" w:rsidP="0031227F">
      <w:pPr>
        <w:pStyle w:val="H4"/>
        <w:spacing w:before="0" w:after="0"/>
        <w:ind w:left="0" w:firstLine="720"/>
        <w:jc w:val="both"/>
        <w:rPr>
          <w:rFonts w:ascii="Times New Roman" w:hAnsi="Times New Roman"/>
          <w:b w:val="0"/>
          <w:bCs/>
          <w:noProof/>
          <w:sz w:val="24"/>
          <w:szCs w:val="18"/>
        </w:rPr>
      </w:pPr>
      <w:r w:rsidRPr="00157060">
        <w:rPr>
          <w:rFonts w:ascii="Times New Roman" w:hAnsi="Times New Roman"/>
          <w:b w:val="0"/>
          <w:bCs/>
          <w:noProof/>
          <w:sz w:val="24"/>
          <w:szCs w:val="18"/>
        </w:rPr>
        <w:t>2022</w:t>
      </w:r>
      <w:r>
        <w:rPr>
          <w:rFonts w:ascii="Times New Roman" w:hAnsi="Times New Roman"/>
          <w:b w:val="0"/>
          <w:bCs/>
          <w:noProof/>
          <w:sz w:val="24"/>
          <w:szCs w:val="18"/>
        </w:rPr>
        <w:t>. gadā</w:t>
      </w:r>
      <w:r w:rsidRPr="00157060">
        <w:rPr>
          <w:rFonts w:ascii="Times New Roman" w:hAnsi="Times New Roman"/>
          <w:b w:val="0"/>
          <w:bCs/>
          <w:noProof/>
          <w:sz w:val="24"/>
          <w:szCs w:val="18"/>
        </w:rPr>
        <w:t xml:space="preserve"> patēriņa cenu līmenis vidēji bija par 17,</w:t>
      </w:r>
      <w:r>
        <w:rPr>
          <w:rFonts w:ascii="Times New Roman" w:hAnsi="Times New Roman"/>
          <w:b w:val="0"/>
          <w:bCs/>
          <w:noProof/>
          <w:sz w:val="24"/>
          <w:szCs w:val="18"/>
        </w:rPr>
        <w:t>3</w:t>
      </w:r>
      <w:r w:rsidRPr="00157060">
        <w:rPr>
          <w:rFonts w:ascii="Times New Roman" w:hAnsi="Times New Roman"/>
          <w:b w:val="0"/>
          <w:bCs/>
          <w:noProof/>
          <w:sz w:val="24"/>
          <w:szCs w:val="18"/>
        </w:rPr>
        <w:t>% augstāks nekā iepriekšējā gad</w:t>
      </w:r>
      <w:r>
        <w:rPr>
          <w:rFonts w:ascii="Times New Roman" w:hAnsi="Times New Roman"/>
          <w:b w:val="0"/>
          <w:bCs/>
          <w:noProof/>
          <w:sz w:val="24"/>
          <w:szCs w:val="18"/>
        </w:rPr>
        <w:t xml:space="preserve">ā. </w:t>
      </w:r>
      <w:r w:rsidRPr="00157060">
        <w:rPr>
          <w:rFonts w:ascii="Times New Roman" w:hAnsi="Times New Roman"/>
          <w:b w:val="0"/>
          <w:bCs/>
          <w:noProof/>
          <w:sz w:val="24"/>
          <w:szCs w:val="18"/>
        </w:rPr>
        <w:t xml:space="preserve">Patēriņa cenu kāpums </w:t>
      </w:r>
      <w:r>
        <w:rPr>
          <w:rFonts w:ascii="Times New Roman" w:hAnsi="Times New Roman"/>
          <w:b w:val="0"/>
          <w:bCs/>
          <w:noProof/>
          <w:sz w:val="24"/>
          <w:szCs w:val="18"/>
        </w:rPr>
        <w:t>bija</w:t>
      </w:r>
      <w:r w:rsidRPr="00157060">
        <w:rPr>
          <w:rFonts w:ascii="Times New Roman" w:hAnsi="Times New Roman"/>
          <w:b w:val="0"/>
          <w:bCs/>
          <w:noProof/>
          <w:sz w:val="24"/>
          <w:szCs w:val="18"/>
        </w:rPr>
        <w:t xml:space="preserve"> visaptverošs</w:t>
      </w:r>
      <w:r>
        <w:rPr>
          <w:rFonts w:ascii="Times New Roman" w:hAnsi="Times New Roman"/>
          <w:b w:val="0"/>
          <w:bCs/>
          <w:noProof/>
          <w:sz w:val="24"/>
          <w:szCs w:val="18"/>
        </w:rPr>
        <w:t xml:space="preserve">, jo cenu pieaugums </w:t>
      </w:r>
      <w:r w:rsidR="00042609">
        <w:rPr>
          <w:rFonts w:ascii="Times New Roman" w:hAnsi="Times New Roman"/>
          <w:b w:val="0"/>
          <w:bCs/>
          <w:noProof/>
          <w:sz w:val="24"/>
          <w:szCs w:val="18"/>
        </w:rPr>
        <w:t>tika</w:t>
      </w:r>
      <w:r>
        <w:rPr>
          <w:rFonts w:ascii="Times New Roman" w:hAnsi="Times New Roman"/>
          <w:b w:val="0"/>
          <w:bCs/>
          <w:noProof/>
          <w:sz w:val="24"/>
          <w:szCs w:val="18"/>
        </w:rPr>
        <w:t xml:space="preserve"> fiksēts vis</w:t>
      </w:r>
      <w:r w:rsidR="00042609">
        <w:rPr>
          <w:rFonts w:ascii="Times New Roman" w:hAnsi="Times New Roman"/>
          <w:b w:val="0"/>
          <w:bCs/>
          <w:noProof/>
          <w:sz w:val="24"/>
          <w:szCs w:val="18"/>
        </w:rPr>
        <w:t>ā</w:t>
      </w:r>
      <w:r>
        <w:rPr>
          <w:rFonts w:ascii="Times New Roman" w:hAnsi="Times New Roman"/>
          <w:b w:val="0"/>
          <w:bCs/>
          <w:noProof/>
          <w:sz w:val="24"/>
          <w:szCs w:val="18"/>
        </w:rPr>
        <w:t>m precēm un pakalpojumiem, kas tiek patērēt</w:t>
      </w:r>
      <w:r w:rsidR="00042609">
        <w:rPr>
          <w:rFonts w:ascii="Times New Roman" w:hAnsi="Times New Roman"/>
          <w:b w:val="0"/>
          <w:bCs/>
          <w:noProof/>
          <w:sz w:val="24"/>
          <w:szCs w:val="18"/>
        </w:rPr>
        <w:t>i</w:t>
      </w:r>
      <w:r>
        <w:rPr>
          <w:rFonts w:ascii="Times New Roman" w:hAnsi="Times New Roman"/>
          <w:b w:val="0"/>
          <w:bCs/>
          <w:noProof/>
          <w:sz w:val="24"/>
          <w:szCs w:val="18"/>
        </w:rPr>
        <w:t xml:space="preserve"> ikdienā. </w:t>
      </w:r>
      <w:r w:rsidRPr="00157060">
        <w:rPr>
          <w:rFonts w:ascii="Times New Roman" w:hAnsi="Times New Roman"/>
          <w:b w:val="0"/>
          <w:bCs/>
          <w:noProof/>
          <w:sz w:val="24"/>
          <w:szCs w:val="18"/>
        </w:rPr>
        <w:t>Vēl 2022</w:t>
      </w:r>
      <w:r>
        <w:rPr>
          <w:rFonts w:ascii="Times New Roman" w:hAnsi="Times New Roman"/>
          <w:b w:val="0"/>
          <w:bCs/>
          <w:noProof/>
          <w:sz w:val="24"/>
          <w:szCs w:val="18"/>
        </w:rPr>
        <w:t>. gad</w:t>
      </w:r>
      <w:r w:rsidRPr="00157060">
        <w:rPr>
          <w:rFonts w:ascii="Times New Roman" w:hAnsi="Times New Roman"/>
          <w:b w:val="0"/>
          <w:bCs/>
          <w:noProof/>
          <w:sz w:val="24"/>
          <w:szCs w:val="18"/>
        </w:rPr>
        <w:t xml:space="preserve">a janvārī gada inflācija bija 7,4%, bet </w:t>
      </w:r>
      <w:r>
        <w:rPr>
          <w:rFonts w:ascii="Times New Roman" w:hAnsi="Times New Roman"/>
          <w:b w:val="0"/>
          <w:bCs/>
          <w:noProof/>
          <w:sz w:val="24"/>
          <w:szCs w:val="18"/>
        </w:rPr>
        <w:t>cen</w:t>
      </w:r>
      <w:r w:rsidR="00D66B10">
        <w:rPr>
          <w:rFonts w:ascii="Times New Roman" w:hAnsi="Times New Roman"/>
          <w:b w:val="0"/>
          <w:bCs/>
          <w:noProof/>
          <w:sz w:val="24"/>
          <w:szCs w:val="18"/>
        </w:rPr>
        <w:t>u</w:t>
      </w:r>
      <w:r>
        <w:rPr>
          <w:rFonts w:ascii="Times New Roman" w:hAnsi="Times New Roman"/>
          <w:b w:val="0"/>
          <w:bCs/>
          <w:noProof/>
          <w:sz w:val="24"/>
          <w:szCs w:val="18"/>
        </w:rPr>
        <w:t xml:space="preserve"> </w:t>
      </w:r>
      <w:r w:rsidR="00D66B10">
        <w:rPr>
          <w:rFonts w:ascii="Times New Roman" w:hAnsi="Times New Roman"/>
          <w:b w:val="0"/>
          <w:bCs/>
          <w:noProof/>
          <w:sz w:val="24"/>
          <w:szCs w:val="18"/>
        </w:rPr>
        <w:t xml:space="preserve">pieaugums </w:t>
      </w:r>
      <w:r w:rsidRPr="00157060">
        <w:rPr>
          <w:rFonts w:ascii="Times New Roman" w:hAnsi="Times New Roman"/>
          <w:b w:val="0"/>
          <w:bCs/>
          <w:noProof/>
          <w:sz w:val="24"/>
          <w:szCs w:val="18"/>
        </w:rPr>
        <w:t xml:space="preserve">turpināja </w:t>
      </w:r>
      <w:r w:rsidR="00D66B10">
        <w:rPr>
          <w:rFonts w:ascii="Times New Roman" w:hAnsi="Times New Roman"/>
          <w:b w:val="0"/>
          <w:bCs/>
          <w:noProof/>
          <w:sz w:val="24"/>
          <w:szCs w:val="18"/>
        </w:rPr>
        <w:t>kāpt</w:t>
      </w:r>
      <w:r>
        <w:rPr>
          <w:rFonts w:ascii="Times New Roman" w:hAnsi="Times New Roman"/>
          <w:b w:val="0"/>
          <w:bCs/>
          <w:noProof/>
          <w:sz w:val="24"/>
          <w:szCs w:val="18"/>
        </w:rPr>
        <w:t xml:space="preserve"> </w:t>
      </w:r>
      <w:r w:rsidRPr="00157060">
        <w:rPr>
          <w:rFonts w:ascii="Times New Roman" w:hAnsi="Times New Roman"/>
          <w:b w:val="0"/>
          <w:bCs/>
          <w:noProof/>
          <w:sz w:val="24"/>
          <w:szCs w:val="18"/>
        </w:rPr>
        <w:t>katru mēnesi</w:t>
      </w:r>
      <w:r>
        <w:rPr>
          <w:rFonts w:ascii="Times New Roman" w:hAnsi="Times New Roman"/>
          <w:b w:val="0"/>
          <w:bCs/>
          <w:noProof/>
          <w:sz w:val="24"/>
          <w:szCs w:val="18"/>
        </w:rPr>
        <w:t xml:space="preserve"> līdz pat septembrim, gada inflācijai sasniedzot 22,2%. </w:t>
      </w:r>
      <w:r w:rsidRPr="00157060">
        <w:rPr>
          <w:rFonts w:ascii="Times New Roman" w:hAnsi="Times New Roman"/>
          <w:b w:val="0"/>
          <w:bCs/>
          <w:sz w:val="24"/>
          <w:szCs w:val="18"/>
        </w:rPr>
        <w:t>Kopš pērnā gada jūlija inflācija Latvijā svārstās 2</w:t>
      </w:r>
      <w:r>
        <w:rPr>
          <w:rFonts w:ascii="Times New Roman" w:hAnsi="Times New Roman"/>
          <w:b w:val="0"/>
          <w:bCs/>
          <w:sz w:val="24"/>
          <w:szCs w:val="18"/>
        </w:rPr>
        <w:t>0,3</w:t>
      </w:r>
      <w:r w:rsidRPr="00157060">
        <w:rPr>
          <w:rFonts w:ascii="Times New Roman" w:hAnsi="Times New Roman"/>
          <w:b w:val="0"/>
          <w:bCs/>
          <w:sz w:val="24"/>
          <w:szCs w:val="18"/>
        </w:rPr>
        <w:t>%</w:t>
      </w:r>
      <w:r>
        <w:rPr>
          <w:rFonts w:ascii="Times New Roman" w:hAnsi="Times New Roman"/>
          <w:b w:val="0"/>
          <w:bCs/>
          <w:sz w:val="24"/>
          <w:szCs w:val="18"/>
        </w:rPr>
        <w:t> </w:t>
      </w:r>
      <w:r w:rsidRPr="00157060">
        <w:rPr>
          <w:rFonts w:ascii="Times New Roman" w:hAnsi="Times New Roman"/>
          <w:b w:val="0"/>
          <w:bCs/>
          <w:sz w:val="24"/>
          <w:szCs w:val="18"/>
        </w:rPr>
        <w:t>-</w:t>
      </w:r>
      <w:r>
        <w:rPr>
          <w:rFonts w:ascii="Times New Roman" w:hAnsi="Times New Roman"/>
          <w:b w:val="0"/>
          <w:bCs/>
          <w:sz w:val="24"/>
          <w:szCs w:val="18"/>
        </w:rPr>
        <w:t> </w:t>
      </w:r>
      <w:r w:rsidRPr="00157060">
        <w:rPr>
          <w:rFonts w:ascii="Times New Roman" w:hAnsi="Times New Roman"/>
          <w:b w:val="0"/>
          <w:bCs/>
          <w:sz w:val="24"/>
          <w:szCs w:val="18"/>
        </w:rPr>
        <w:t>22,2% robežās.</w:t>
      </w:r>
      <w:r w:rsidRPr="00157060">
        <w:rPr>
          <w:rFonts w:ascii="Times New Roman" w:hAnsi="Times New Roman"/>
          <w:b w:val="0"/>
          <w:bCs/>
          <w:noProof/>
          <w:sz w:val="24"/>
          <w:szCs w:val="18"/>
        </w:rPr>
        <w:t xml:space="preserve"> </w:t>
      </w:r>
      <w:r>
        <w:rPr>
          <w:rFonts w:ascii="Times New Roman" w:hAnsi="Times New Roman"/>
          <w:b w:val="0"/>
          <w:bCs/>
          <w:noProof/>
          <w:sz w:val="24"/>
          <w:szCs w:val="18"/>
        </w:rPr>
        <w:t>I</w:t>
      </w:r>
      <w:r w:rsidRPr="00157060">
        <w:rPr>
          <w:rFonts w:ascii="Times New Roman" w:hAnsi="Times New Roman"/>
          <w:b w:val="0"/>
          <w:bCs/>
          <w:noProof/>
          <w:sz w:val="24"/>
          <w:szCs w:val="18"/>
        </w:rPr>
        <w:t>nflācija</w:t>
      </w:r>
      <w:r>
        <w:rPr>
          <w:rFonts w:ascii="Times New Roman" w:hAnsi="Times New Roman"/>
          <w:b w:val="0"/>
          <w:bCs/>
          <w:noProof/>
          <w:sz w:val="24"/>
          <w:szCs w:val="18"/>
        </w:rPr>
        <w:t xml:space="preserve"> 2022. gadā</w:t>
      </w:r>
      <w:r w:rsidRPr="00157060">
        <w:rPr>
          <w:rFonts w:ascii="Times New Roman" w:hAnsi="Times New Roman"/>
          <w:b w:val="0"/>
          <w:bCs/>
          <w:noProof/>
          <w:sz w:val="24"/>
          <w:szCs w:val="18"/>
        </w:rPr>
        <w:t xml:space="preserve"> vērtējam</w:t>
      </w:r>
      <w:r>
        <w:rPr>
          <w:rFonts w:ascii="Times New Roman" w:hAnsi="Times New Roman"/>
          <w:b w:val="0"/>
          <w:bCs/>
          <w:noProof/>
          <w:sz w:val="24"/>
          <w:szCs w:val="18"/>
        </w:rPr>
        <w:t>a</w:t>
      </w:r>
      <w:r w:rsidRPr="00157060">
        <w:rPr>
          <w:rFonts w:ascii="Times New Roman" w:hAnsi="Times New Roman"/>
          <w:b w:val="0"/>
          <w:bCs/>
          <w:noProof/>
          <w:sz w:val="24"/>
          <w:szCs w:val="18"/>
        </w:rPr>
        <w:t xml:space="preserve"> kā ļoti </w:t>
      </w:r>
      <w:r w:rsidRPr="00042609">
        <w:rPr>
          <w:rFonts w:ascii="Times New Roman" w:hAnsi="Times New Roman"/>
          <w:b w:val="0"/>
          <w:bCs/>
          <w:noProof/>
          <w:sz w:val="24"/>
          <w:szCs w:val="18"/>
        </w:rPr>
        <w:t xml:space="preserve">augsta, un vēl straujāks cenu kāpums Latvijā bija vērojams vien pagājušā gadsimta 90. gadu vidū. Par </w:t>
      </w:r>
      <w:r w:rsidR="00042609" w:rsidRPr="00042609">
        <w:rPr>
          <w:rFonts w:ascii="Times New Roman" w:hAnsi="Times New Roman"/>
          <w:b w:val="0"/>
          <w:bCs/>
          <w:noProof/>
          <w:sz w:val="24"/>
          <w:szCs w:val="18"/>
        </w:rPr>
        <w:t>augsto inflāciju</w:t>
      </w:r>
      <w:r w:rsidRPr="00042609">
        <w:rPr>
          <w:rFonts w:ascii="Times New Roman" w:hAnsi="Times New Roman"/>
          <w:b w:val="0"/>
          <w:bCs/>
          <w:noProof/>
          <w:sz w:val="24"/>
          <w:szCs w:val="18"/>
        </w:rPr>
        <w:t xml:space="preserve"> liecina arī tas, ka patēriņa cenas pērnajā gadā palielinājušās praktiski tikpat daudz kā iepriekšējos 12 gados kopā.</w:t>
      </w:r>
      <w:r w:rsidRPr="00157060">
        <w:rPr>
          <w:rFonts w:ascii="Times New Roman" w:hAnsi="Times New Roman"/>
          <w:b w:val="0"/>
          <w:bCs/>
          <w:noProof/>
          <w:sz w:val="24"/>
          <w:szCs w:val="18"/>
        </w:rPr>
        <w:t xml:space="preserve"> Tāpat kā 2021</w:t>
      </w:r>
      <w:r>
        <w:rPr>
          <w:rFonts w:ascii="Times New Roman" w:hAnsi="Times New Roman"/>
          <w:b w:val="0"/>
          <w:bCs/>
          <w:noProof/>
          <w:sz w:val="24"/>
          <w:szCs w:val="18"/>
        </w:rPr>
        <w:t>. </w:t>
      </w:r>
      <w:r w:rsidRPr="00157060">
        <w:rPr>
          <w:rFonts w:ascii="Times New Roman" w:hAnsi="Times New Roman"/>
          <w:b w:val="0"/>
          <w:bCs/>
          <w:noProof/>
          <w:sz w:val="24"/>
          <w:szCs w:val="18"/>
        </w:rPr>
        <w:t>gadā, arī 2022</w:t>
      </w:r>
      <w:r>
        <w:rPr>
          <w:rFonts w:ascii="Times New Roman" w:hAnsi="Times New Roman"/>
          <w:b w:val="0"/>
          <w:bCs/>
          <w:noProof/>
          <w:sz w:val="24"/>
          <w:szCs w:val="18"/>
        </w:rPr>
        <w:t>. gad</w:t>
      </w:r>
      <w:r w:rsidRPr="00157060">
        <w:rPr>
          <w:rFonts w:ascii="Times New Roman" w:hAnsi="Times New Roman"/>
          <w:b w:val="0"/>
          <w:bCs/>
          <w:noProof/>
          <w:sz w:val="24"/>
          <w:szCs w:val="18"/>
        </w:rPr>
        <w:t>ā patēriņa cenu kāpumu no</w:t>
      </w:r>
      <w:r>
        <w:rPr>
          <w:rFonts w:ascii="Times New Roman" w:hAnsi="Times New Roman"/>
          <w:b w:val="0"/>
          <w:bCs/>
          <w:noProof/>
          <w:sz w:val="24"/>
          <w:szCs w:val="18"/>
        </w:rPr>
        <w:t>teica</w:t>
      </w:r>
      <w:r w:rsidRPr="00157060">
        <w:rPr>
          <w:rFonts w:ascii="Times New Roman" w:hAnsi="Times New Roman"/>
          <w:b w:val="0"/>
          <w:bCs/>
          <w:noProof/>
          <w:sz w:val="24"/>
          <w:szCs w:val="18"/>
        </w:rPr>
        <w:t xml:space="preserve"> galvenokārt energoresursu un pārtikas cenu </w:t>
      </w:r>
      <w:r>
        <w:rPr>
          <w:rFonts w:ascii="Times New Roman" w:hAnsi="Times New Roman"/>
          <w:b w:val="0"/>
          <w:bCs/>
          <w:noProof/>
          <w:sz w:val="24"/>
          <w:szCs w:val="18"/>
        </w:rPr>
        <w:t>pieaugums</w:t>
      </w:r>
      <w:r w:rsidRPr="00157060">
        <w:rPr>
          <w:rFonts w:ascii="Times New Roman" w:hAnsi="Times New Roman"/>
          <w:b w:val="0"/>
          <w:bCs/>
          <w:noProof/>
          <w:sz w:val="24"/>
          <w:szCs w:val="18"/>
        </w:rPr>
        <w:t>.</w:t>
      </w:r>
      <w:r>
        <w:rPr>
          <w:rFonts w:ascii="Times New Roman" w:hAnsi="Times New Roman"/>
          <w:b w:val="0"/>
          <w:bCs/>
          <w:noProof/>
          <w:sz w:val="24"/>
          <w:szCs w:val="18"/>
        </w:rPr>
        <w:t xml:space="preserve"> Tas nozīmē, ka </w:t>
      </w:r>
      <w:r w:rsidRPr="00042609">
        <w:rPr>
          <w:rFonts w:ascii="Times New Roman" w:hAnsi="Times New Roman"/>
          <w:b w:val="0"/>
          <w:bCs/>
          <w:noProof/>
          <w:sz w:val="24"/>
          <w:szCs w:val="18"/>
        </w:rPr>
        <w:t>precēm cenas pieauga straujāk un to devums vidējā inflācijā bija būtiski lielāks nekā pakapojumiem. 2022. gadā preču cenas vidēji pieauga par 20,6%, kamēr pakalpojumi vidēji sadārdzināj</w:t>
      </w:r>
      <w:r w:rsidR="00042609" w:rsidRPr="00042609">
        <w:rPr>
          <w:rFonts w:ascii="Times New Roman" w:hAnsi="Times New Roman"/>
          <w:b w:val="0"/>
          <w:bCs/>
          <w:noProof/>
          <w:sz w:val="24"/>
          <w:szCs w:val="18"/>
        </w:rPr>
        <w:t>ā</w:t>
      </w:r>
      <w:r w:rsidRPr="00042609">
        <w:rPr>
          <w:rFonts w:ascii="Times New Roman" w:hAnsi="Times New Roman"/>
          <w:b w:val="0"/>
          <w:bCs/>
          <w:noProof/>
          <w:sz w:val="24"/>
          <w:szCs w:val="18"/>
        </w:rPr>
        <w:t>s par 8,1%.</w:t>
      </w:r>
    </w:p>
    <w:p w14:paraId="5E89256A" w14:textId="1B2740A0" w:rsidR="0031227F" w:rsidRPr="004A64EB" w:rsidRDefault="0031227F" w:rsidP="0031227F">
      <w:pPr>
        <w:ind w:firstLine="709"/>
        <w:rPr>
          <w:rFonts w:cs="Times New Roman"/>
          <w:noProof/>
          <w:sz w:val="24"/>
          <w:szCs w:val="24"/>
        </w:rPr>
      </w:pPr>
      <w:r w:rsidRPr="00830455">
        <w:rPr>
          <w:rFonts w:cs="Times New Roman"/>
          <w:noProof/>
          <w:sz w:val="24"/>
          <w:szCs w:val="24"/>
        </w:rPr>
        <w:t>Lielāko devumu patēriņa cenu kāpumā 2022. gadā noteica ar mājokli saistīto pakalpojumu sadārdzinājums par 35,1%, ko ietekmēja elektroenerģijas, gāzes, siltumenerģijas, cietā kurināmā, kā arī ūdenspiegādes un atkritumu savākšanas pakalpojumu cenu pieaugums. Galvenais iemesls šīs preču un pakalpojumu grupas sadārdzinājumam ir augstā gāzes cena pasaules tirgos</w:t>
      </w:r>
      <w:r w:rsidR="00830455" w:rsidRPr="00830455">
        <w:rPr>
          <w:rFonts w:cs="Times New Roman"/>
          <w:noProof/>
          <w:sz w:val="24"/>
          <w:szCs w:val="24"/>
        </w:rPr>
        <w:t>, ņ</w:t>
      </w:r>
      <w:r w:rsidRPr="00830455">
        <w:rPr>
          <w:rFonts w:cs="Times New Roman"/>
          <w:noProof/>
          <w:sz w:val="24"/>
          <w:szCs w:val="24"/>
        </w:rPr>
        <w:t>emot vērā, ka gāze tiek izmantota elektroenerģijas un siltumenerģijas ražošanā, tiešā veidā ietekmējot šo preču cenu kāpumu. Gāzes nākotnes darījumu cenas Eiropas tirgū sāka palielināties vēl 2021. gada rudenī, ko noteica augstāks gāzes pieprasījums Āzijā, p</w:t>
      </w:r>
      <w:r w:rsidR="00830455" w:rsidRPr="00830455">
        <w:rPr>
          <w:rFonts w:cs="Times New Roman"/>
          <w:noProof/>
          <w:sz w:val="24"/>
          <w:szCs w:val="24"/>
        </w:rPr>
        <w:t>ieaugot</w:t>
      </w:r>
      <w:r w:rsidRPr="00830455">
        <w:rPr>
          <w:rFonts w:cs="Times New Roman"/>
          <w:noProof/>
          <w:sz w:val="24"/>
          <w:szCs w:val="24"/>
        </w:rPr>
        <w:t xml:space="preserve"> </w:t>
      </w:r>
      <w:r w:rsidRPr="004A64EB">
        <w:rPr>
          <w:rFonts w:cs="Times New Roman"/>
          <w:noProof/>
          <w:sz w:val="24"/>
          <w:szCs w:val="24"/>
        </w:rPr>
        <w:t>ekonomiska</w:t>
      </w:r>
      <w:r w:rsidR="00830455" w:rsidRPr="004A64EB">
        <w:rPr>
          <w:rFonts w:cs="Times New Roman"/>
          <w:noProof/>
          <w:sz w:val="24"/>
          <w:szCs w:val="24"/>
        </w:rPr>
        <w:t>ja</w:t>
      </w:r>
      <w:r w:rsidRPr="004A64EB">
        <w:rPr>
          <w:rFonts w:cs="Times New Roman"/>
          <w:noProof/>
          <w:sz w:val="24"/>
          <w:szCs w:val="24"/>
        </w:rPr>
        <w:t xml:space="preserve">i aktivitātei pēc pandēmijas. Savukārt Krievijas iebrukums Ukrainā vēl vairāk destabilizēja gāzes tirgu. </w:t>
      </w:r>
    </w:p>
    <w:p w14:paraId="4E6D4BB1" w14:textId="77777777" w:rsidR="0031227F" w:rsidRPr="004A64EB" w:rsidRDefault="0031227F" w:rsidP="0031227F">
      <w:pPr>
        <w:pStyle w:val="H4"/>
        <w:spacing w:before="0" w:after="0"/>
        <w:ind w:left="0" w:firstLine="720"/>
        <w:jc w:val="both"/>
        <w:rPr>
          <w:rFonts w:ascii="Times New Roman" w:hAnsi="Times New Roman"/>
          <w:b w:val="0"/>
          <w:bCs/>
          <w:noProof/>
          <w:sz w:val="24"/>
          <w:szCs w:val="24"/>
        </w:rPr>
      </w:pPr>
      <w:r w:rsidRPr="004A64EB">
        <w:rPr>
          <w:rFonts w:ascii="Times New Roman" w:hAnsi="Times New Roman"/>
          <w:b w:val="0"/>
          <w:bCs/>
          <w:noProof/>
          <w:sz w:val="24"/>
          <w:szCs w:val="24"/>
        </w:rPr>
        <w:t xml:space="preserve">Gāzes cena Eiropas tirgū 2022. gada vasaras beigās sasniedza vēsturiski augstāko līmeni jeb 345 </w:t>
      </w:r>
      <w:r w:rsidRPr="004A64EB">
        <w:rPr>
          <w:rFonts w:ascii="Times New Roman" w:hAnsi="Times New Roman"/>
          <w:b w:val="0"/>
          <w:bCs/>
          <w:i/>
          <w:iCs/>
          <w:noProof/>
          <w:sz w:val="24"/>
          <w:szCs w:val="24"/>
        </w:rPr>
        <w:t>euro</w:t>
      </w:r>
      <w:r w:rsidRPr="004A64EB">
        <w:rPr>
          <w:rFonts w:ascii="Times New Roman" w:hAnsi="Times New Roman"/>
          <w:b w:val="0"/>
          <w:bCs/>
          <w:noProof/>
          <w:sz w:val="24"/>
          <w:szCs w:val="24"/>
        </w:rPr>
        <w:t>/MWh, kamēr pirms pandēmijas vidējā gāzes cena Eiropā nepārsniedza 20 </w:t>
      </w:r>
      <w:r w:rsidRPr="004A64EB">
        <w:rPr>
          <w:rFonts w:ascii="Times New Roman" w:hAnsi="Times New Roman"/>
          <w:b w:val="0"/>
          <w:bCs/>
          <w:i/>
          <w:iCs/>
          <w:noProof/>
          <w:sz w:val="24"/>
          <w:szCs w:val="24"/>
        </w:rPr>
        <w:t>euro</w:t>
      </w:r>
      <w:r w:rsidRPr="004A64EB">
        <w:rPr>
          <w:rFonts w:ascii="Times New Roman" w:hAnsi="Times New Roman"/>
          <w:b w:val="0"/>
          <w:bCs/>
          <w:noProof/>
          <w:sz w:val="24"/>
          <w:szCs w:val="24"/>
        </w:rPr>
        <w:t>/MWh. Kopš pērnā gada rudens gāzes cena pakāpeniski samazinās, decembra beigās sasniedzot 80 </w:t>
      </w:r>
      <w:r w:rsidRPr="004A64EB">
        <w:rPr>
          <w:rFonts w:ascii="Times New Roman" w:hAnsi="Times New Roman"/>
          <w:b w:val="0"/>
          <w:bCs/>
          <w:i/>
          <w:iCs/>
          <w:noProof/>
          <w:sz w:val="24"/>
          <w:szCs w:val="24"/>
        </w:rPr>
        <w:t>euro</w:t>
      </w:r>
      <w:r w:rsidRPr="004A64EB">
        <w:rPr>
          <w:rFonts w:ascii="Times New Roman" w:hAnsi="Times New Roman"/>
          <w:b w:val="0"/>
          <w:bCs/>
          <w:noProof/>
          <w:sz w:val="24"/>
          <w:szCs w:val="24"/>
        </w:rPr>
        <w:t>/MWh. Kopumā 2022. gadā gāzes vidējā cena</w:t>
      </w:r>
      <w:r w:rsidRPr="004A64EB">
        <w:rPr>
          <w:rFonts w:ascii="Times New Roman" w:hAnsi="Times New Roman"/>
          <w:b w:val="0"/>
          <w:bCs/>
          <w:i/>
          <w:iCs/>
          <w:noProof/>
          <w:sz w:val="24"/>
          <w:szCs w:val="24"/>
        </w:rPr>
        <w:t xml:space="preserve"> Spot </w:t>
      </w:r>
      <w:r w:rsidRPr="004A64EB">
        <w:rPr>
          <w:rFonts w:ascii="Times New Roman" w:hAnsi="Times New Roman"/>
          <w:b w:val="0"/>
          <w:bCs/>
          <w:noProof/>
          <w:sz w:val="24"/>
          <w:szCs w:val="24"/>
        </w:rPr>
        <w:t>tirgū Eiropā bija 134 </w:t>
      </w:r>
      <w:r w:rsidRPr="004A64EB">
        <w:rPr>
          <w:rFonts w:ascii="Times New Roman" w:hAnsi="Times New Roman"/>
          <w:b w:val="0"/>
          <w:bCs/>
          <w:i/>
          <w:iCs/>
          <w:noProof/>
          <w:sz w:val="24"/>
          <w:szCs w:val="24"/>
        </w:rPr>
        <w:t>euro</w:t>
      </w:r>
      <w:r w:rsidRPr="004A64EB">
        <w:rPr>
          <w:rFonts w:ascii="Times New Roman" w:hAnsi="Times New Roman"/>
          <w:b w:val="0"/>
          <w:bCs/>
          <w:noProof/>
          <w:sz w:val="24"/>
          <w:szCs w:val="24"/>
        </w:rPr>
        <w:t>/MWh pretstatā</w:t>
      </w:r>
      <w:r w:rsidRPr="00044F52">
        <w:rPr>
          <w:rFonts w:ascii="Times New Roman" w:hAnsi="Times New Roman"/>
          <w:b w:val="0"/>
          <w:bCs/>
          <w:noProof/>
          <w:sz w:val="24"/>
          <w:szCs w:val="24"/>
        </w:rPr>
        <w:t xml:space="preserve"> 46</w:t>
      </w:r>
      <w:r>
        <w:rPr>
          <w:rFonts w:ascii="Times New Roman" w:hAnsi="Times New Roman"/>
          <w:b w:val="0"/>
          <w:bCs/>
          <w:noProof/>
          <w:sz w:val="24"/>
          <w:szCs w:val="24"/>
        </w:rPr>
        <w:t> </w:t>
      </w:r>
      <w:r w:rsidRPr="00044F52">
        <w:rPr>
          <w:rFonts w:ascii="Times New Roman" w:hAnsi="Times New Roman"/>
          <w:b w:val="0"/>
          <w:bCs/>
          <w:i/>
          <w:iCs/>
          <w:noProof/>
          <w:sz w:val="24"/>
          <w:szCs w:val="24"/>
        </w:rPr>
        <w:t>euro</w:t>
      </w:r>
      <w:r w:rsidRPr="00044F52">
        <w:rPr>
          <w:rFonts w:ascii="Times New Roman" w:hAnsi="Times New Roman"/>
          <w:b w:val="0"/>
          <w:bCs/>
          <w:noProof/>
          <w:sz w:val="24"/>
          <w:szCs w:val="24"/>
        </w:rPr>
        <w:t>/MWh 2021</w:t>
      </w:r>
      <w:r>
        <w:rPr>
          <w:rFonts w:ascii="Times New Roman" w:hAnsi="Times New Roman"/>
          <w:b w:val="0"/>
          <w:bCs/>
          <w:noProof/>
          <w:sz w:val="24"/>
          <w:szCs w:val="24"/>
        </w:rPr>
        <w:t>. gad</w:t>
      </w:r>
      <w:r w:rsidRPr="00044F52">
        <w:rPr>
          <w:rFonts w:ascii="Times New Roman" w:hAnsi="Times New Roman"/>
          <w:b w:val="0"/>
          <w:bCs/>
          <w:noProof/>
          <w:sz w:val="24"/>
          <w:szCs w:val="24"/>
        </w:rPr>
        <w:t>ā. Jāatzīm</w:t>
      </w:r>
      <w:r>
        <w:rPr>
          <w:rFonts w:ascii="Times New Roman" w:hAnsi="Times New Roman"/>
          <w:b w:val="0"/>
          <w:bCs/>
          <w:noProof/>
          <w:sz w:val="24"/>
          <w:szCs w:val="24"/>
        </w:rPr>
        <w:t>ē</w:t>
      </w:r>
      <w:r w:rsidRPr="00044F52">
        <w:rPr>
          <w:rFonts w:ascii="Times New Roman" w:hAnsi="Times New Roman"/>
          <w:b w:val="0"/>
          <w:bCs/>
          <w:noProof/>
          <w:sz w:val="24"/>
          <w:szCs w:val="24"/>
        </w:rPr>
        <w:t>, ka gāzes cenas strauji pieauga arī cit</w:t>
      </w:r>
      <w:r>
        <w:rPr>
          <w:rFonts w:ascii="Times New Roman" w:hAnsi="Times New Roman"/>
          <w:b w:val="0"/>
          <w:bCs/>
          <w:noProof/>
          <w:sz w:val="24"/>
          <w:szCs w:val="24"/>
        </w:rPr>
        <w:t>o</w:t>
      </w:r>
      <w:r w:rsidRPr="00044F52">
        <w:rPr>
          <w:rFonts w:ascii="Times New Roman" w:hAnsi="Times New Roman"/>
          <w:b w:val="0"/>
          <w:bCs/>
          <w:noProof/>
          <w:sz w:val="24"/>
          <w:szCs w:val="24"/>
        </w:rPr>
        <w:t>s pasaules reģionos. Latvijas mājsaimniecīb</w:t>
      </w:r>
      <w:r>
        <w:rPr>
          <w:rFonts w:ascii="Times New Roman" w:hAnsi="Times New Roman"/>
          <w:b w:val="0"/>
          <w:bCs/>
          <w:noProof/>
          <w:sz w:val="24"/>
          <w:szCs w:val="24"/>
        </w:rPr>
        <w:t>as</w:t>
      </w:r>
      <w:r w:rsidRPr="00044F52">
        <w:rPr>
          <w:rFonts w:ascii="Times New Roman" w:hAnsi="Times New Roman"/>
          <w:b w:val="0"/>
          <w:bCs/>
          <w:noProof/>
          <w:sz w:val="24"/>
          <w:szCs w:val="24"/>
        </w:rPr>
        <w:t xml:space="preserve"> par gāzi pērn</w:t>
      </w:r>
      <w:r>
        <w:rPr>
          <w:rFonts w:ascii="Times New Roman" w:hAnsi="Times New Roman"/>
          <w:b w:val="0"/>
          <w:bCs/>
          <w:noProof/>
          <w:sz w:val="24"/>
          <w:szCs w:val="24"/>
        </w:rPr>
        <w:t>aj</w:t>
      </w:r>
      <w:r w:rsidRPr="00044F52">
        <w:rPr>
          <w:rFonts w:ascii="Times New Roman" w:hAnsi="Times New Roman"/>
          <w:b w:val="0"/>
          <w:bCs/>
          <w:noProof/>
          <w:sz w:val="24"/>
          <w:szCs w:val="24"/>
        </w:rPr>
        <w:t>ā gadā maksāja par 99,2% vairāk nekā 2021</w:t>
      </w:r>
      <w:r>
        <w:rPr>
          <w:rFonts w:ascii="Times New Roman" w:hAnsi="Times New Roman"/>
          <w:b w:val="0"/>
          <w:bCs/>
          <w:noProof/>
          <w:sz w:val="24"/>
          <w:szCs w:val="24"/>
        </w:rPr>
        <w:t>. gad</w:t>
      </w:r>
      <w:r w:rsidRPr="00044F52">
        <w:rPr>
          <w:rFonts w:ascii="Times New Roman" w:hAnsi="Times New Roman"/>
          <w:b w:val="0"/>
          <w:bCs/>
          <w:noProof/>
          <w:sz w:val="24"/>
          <w:szCs w:val="24"/>
        </w:rPr>
        <w:t>ā. Savukārt elektroenerģija un siltumenerģija bija attiecīgi par 36,2% un 52,9%</w:t>
      </w:r>
      <w:r>
        <w:rPr>
          <w:rFonts w:ascii="Times New Roman" w:hAnsi="Times New Roman"/>
          <w:b w:val="0"/>
          <w:bCs/>
          <w:noProof/>
          <w:sz w:val="24"/>
          <w:szCs w:val="24"/>
        </w:rPr>
        <w:t xml:space="preserve"> </w:t>
      </w:r>
      <w:r w:rsidRPr="00044F52">
        <w:rPr>
          <w:rFonts w:ascii="Times New Roman" w:hAnsi="Times New Roman"/>
          <w:b w:val="0"/>
          <w:bCs/>
          <w:noProof/>
          <w:sz w:val="24"/>
          <w:szCs w:val="24"/>
        </w:rPr>
        <w:t xml:space="preserve">dārgāka. Cenu pārmaiņu atšķirības starp augstākminētajiem energoresursiem nosaka atšķirīga tarifu aprēķināšanas metodoloģija, kā arī dažādi valdības atbalsta instrumenti katram </w:t>
      </w:r>
      <w:r w:rsidRPr="004A64EB">
        <w:rPr>
          <w:rFonts w:ascii="Times New Roman" w:hAnsi="Times New Roman"/>
          <w:b w:val="0"/>
          <w:bCs/>
          <w:noProof/>
          <w:sz w:val="24"/>
          <w:szCs w:val="24"/>
        </w:rPr>
        <w:t xml:space="preserve">energoresursu veidam. Straujais gāzes cenu kāpums veicināja pieprasījuma pieaugumu pēc granulām un šķeldas kā alternatīva kurināmā, kas noteica arī cietā kurināmā cenu kāpumu par 76,2%. </w:t>
      </w:r>
    </w:p>
    <w:p w14:paraId="51FDACA0" w14:textId="77777777" w:rsidR="0031227F" w:rsidRPr="00383E9F" w:rsidRDefault="0031227F" w:rsidP="0031227F">
      <w:pPr>
        <w:ind w:firstLine="709"/>
        <w:rPr>
          <w:rFonts w:cs="Times New Roman"/>
          <w:noProof/>
          <w:sz w:val="24"/>
          <w:szCs w:val="24"/>
        </w:rPr>
      </w:pPr>
      <w:r w:rsidRPr="004A64EB">
        <w:rPr>
          <w:rFonts w:cs="Times New Roman"/>
          <w:noProof/>
          <w:sz w:val="24"/>
          <w:szCs w:val="24"/>
        </w:rPr>
        <w:t>Būtisku devumu patēriņa cenu kāpumā 2022. gadā nodrošināja pārtikas preču un bezalkoholisko dzērienu cenu pieaugums par 21,6%, lai arī pārtikas preču cenu kāpums ir visaptverošs, jo cenas palielinājās visai pārtikai. Salīdzinājumā ar 2021. gadu eļļa kļuva par 30,4% dārgāka</w:t>
      </w:r>
      <w:r w:rsidRPr="00FE634D">
        <w:rPr>
          <w:rFonts w:cs="Times New Roman"/>
          <w:noProof/>
          <w:sz w:val="24"/>
          <w:szCs w:val="24"/>
        </w:rPr>
        <w:t>, piena produkti – par 28,3%, maize – par 25,9%, zivis – par 19,4%, gaļa – par 16,8%</w:t>
      </w:r>
      <w:r>
        <w:rPr>
          <w:rFonts w:cs="Times New Roman"/>
          <w:noProof/>
          <w:sz w:val="24"/>
          <w:szCs w:val="24"/>
        </w:rPr>
        <w:t xml:space="preserve"> dārgāka</w:t>
      </w:r>
      <w:r w:rsidRPr="00FE634D">
        <w:rPr>
          <w:rFonts w:cs="Times New Roman"/>
          <w:noProof/>
          <w:sz w:val="24"/>
          <w:szCs w:val="24"/>
        </w:rPr>
        <w:t>. Dārzeņi un augļi sadārdzinājās attiecīgi par 17,4% un 13,7%. Pārtika un bezalkoholiskie dzērieni veido ceturto daļu no kopējā mājsaimniecību patēriņa groza, līdz ar to cenu pieaugumam šai preču grupai ir būtiska ietekme uz iedzīvotāju izdevumiem un pirktspēju. Pērn</w:t>
      </w:r>
      <w:r>
        <w:rPr>
          <w:rFonts w:cs="Times New Roman"/>
          <w:noProof/>
          <w:sz w:val="24"/>
          <w:szCs w:val="24"/>
        </w:rPr>
        <w:t>aj</w:t>
      </w:r>
      <w:r w:rsidRPr="00FE634D">
        <w:rPr>
          <w:rFonts w:cs="Times New Roman"/>
          <w:noProof/>
          <w:sz w:val="24"/>
          <w:szCs w:val="24"/>
        </w:rPr>
        <w:t>ā gadā pārtikas preču un bezalkoholisko dzērienu grupas devums gada inflācijā veidoj</w:t>
      </w:r>
      <w:r>
        <w:rPr>
          <w:rFonts w:cs="Times New Roman"/>
          <w:noProof/>
          <w:sz w:val="24"/>
          <w:szCs w:val="24"/>
        </w:rPr>
        <w:t>a</w:t>
      </w:r>
      <w:r w:rsidRPr="00FE634D">
        <w:rPr>
          <w:rFonts w:cs="Times New Roman"/>
          <w:noProof/>
          <w:sz w:val="24"/>
          <w:szCs w:val="24"/>
        </w:rPr>
        <w:t xml:space="preserve"> 5,5 procentpunkt</w:t>
      </w:r>
      <w:r>
        <w:rPr>
          <w:rFonts w:cs="Times New Roman"/>
          <w:noProof/>
          <w:sz w:val="24"/>
          <w:szCs w:val="24"/>
        </w:rPr>
        <w:t>us</w:t>
      </w:r>
      <w:r w:rsidRPr="00FE634D">
        <w:rPr>
          <w:rFonts w:cs="Times New Roman"/>
          <w:noProof/>
          <w:sz w:val="24"/>
          <w:szCs w:val="24"/>
        </w:rPr>
        <w:t xml:space="preserve">. Lai arī </w:t>
      </w:r>
      <w:r w:rsidRPr="00FE634D">
        <w:rPr>
          <w:rFonts w:cs="Times New Roman"/>
          <w:color w:val="000000"/>
          <w:sz w:val="24"/>
          <w:szCs w:val="24"/>
        </w:rPr>
        <w:t>neapstrādātās pārtikas cena</w:t>
      </w:r>
      <w:r>
        <w:rPr>
          <w:rFonts w:cs="Times New Roman"/>
          <w:color w:val="000000"/>
          <w:sz w:val="24"/>
          <w:szCs w:val="24"/>
        </w:rPr>
        <w:t>s</w:t>
      </w:r>
      <w:r w:rsidRPr="00FE634D">
        <w:rPr>
          <w:rFonts w:cs="Times New Roman"/>
          <w:color w:val="000000"/>
          <w:sz w:val="24"/>
          <w:szCs w:val="24"/>
        </w:rPr>
        <w:t xml:space="preserve"> pasaulē kopš pērnā aprīļa uzrāda lejupejoš</w:t>
      </w:r>
      <w:r>
        <w:rPr>
          <w:rFonts w:cs="Times New Roman"/>
          <w:color w:val="000000"/>
          <w:sz w:val="24"/>
          <w:szCs w:val="24"/>
        </w:rPr>
        <w:t>u</w:t>
      </w:r>
      <w:r w:rsidRPr="00FE634D">
        <w:rPr>
          <w:rFonts w:cs="Times New Roman"/>
          <w:color w:val="000000"/>
          <w:sz w:val="24"/>
          <w:szCs w:val="24"/>
        </w:rPr>
        <w:t xml:space="preserve"> dinamiku, t</w:t>
      </w:r>
      <w:r>
        <w:rPr>
          <w:rFonts w:cs="Times New Roman"/>
          <w:color w:val="000000"/>
          <w:sz w:val="24"/>
          <w:szCs w:val="24"/>
        </w:rPr>
        <w:t>ās</w:t>
      </w:r>
      <w:r w:rsidRPr="00FE634D">
        <w:rPr>
          <w:rFonts w:cs="Times New Roman"/>
          <w:color w:val="000000"/>
          <w:sz w:val="24"/>
          <w:szCs w:val="24"/>
        </w:rPr>
        <w:t xml:space="preserve"> vidēji bija par 14,3% </w:t>
      </w:r>
      <w:r>
        <w:rPr>
          <w:rFonts w:cs="Times New Roman"/>
          <w:color w:val="000000"/>
          <w:sz w:val="24"/>
          <w:szCs w:val="24"/>
        </w:rPr>
        <w:t>augstākas</w:t>
      </w:r>
      <w:r w:rsidRPr="00FE634D">
        <w:rPr>
          <w:rFonts w:cs="Times New Roman"/>
          <w:color w:val="000000"/>
          <w:sz w:val="24"/>
          <w:szCs w:val="24"/>
        </w:rPr>
        <w:t xml:space="preserve"> nekā 2021</w:t>
      </w:r>
      <w:r>
        <w:rPr>
          <w:rFonts w:cs="Times New Roman"/>
          <w:color w:val="000000"/>
          <w:sz w:val="24"/>
          <w:szCs w:val="24"/>
        </w:rPr>
        <w:t>. gad</w:t>
      </w:r>
      <w:r w:rsidRPr="00FE634D">
        <w:rPr>
          <w:rFonts w:cs="Times New Roman"/>
          <w:color w:val="000000"/>
          <w:sz w:val="24"/>
          <w:szCs w:val="24"/>
        </w:rPr>
        <w:t>ā. Papildus tam, augstās apstrādes un loģistikas izmaksas energoresursu cenu kāpuma dēļ neļauj samazināt pārtikas gala cenu, apliecinot, ka energoresursu cenu pieaugumam ir būtiska ietekme arī uz pārējo preču cenām.</w:t>
      </w:r>
    </w:p>
    <w:p w14:paraId="0BD4627A" w14:textId="67A38C8E" w:rsidR="0031227F" w:rsidRPr="00E45EC3" w:rsidRDefault="0031227F" w:rsidP="0031227F">
      <w:pPr>
        <w:ind w:firstLine="709"/>
        <w:rPr>
          <w:bCs/>
          <w:noProof/>
          <w:color w:val="000000" w:themeColor="text1"/>
          <w:sz w:val="24"/>
          <w:szCs w:val="24"/>
        </w:rPr>
      </w:pPr>
      <w:r w:rsidRPr="000C45B5">
        <w:rPr>
          <w:rFonts w:cs="Times New Roman"/>
          <w:noProof/>
          <w:sz w:val="24"/>
          <w:szCs w:val="24"/>
        </w:rPr>
        <w:t xml:space="preserve">Energoresursu cenas negatīvi ietekmē ražošanas un loģistikas izmaksas, tādējādi paaugstinot arī citu preču un pakalpojumu cenas. Papildus tam, spiedienu uz uzņēmumu </w:t>
      </w:r>
      <w:r w:rsidRPr="000C45B5">
        <w:rPr>
          <w:rFonts w:cs="Times New Roman"/>
          <w:noProof/>
          <w:sz w:val="24"/>
          <w:szCs w:val="24"/>
        </w:rPr>
        <w:lastRenderedPageBreak/>
        <w:t xml:space="preserve">izmaksām rada arī darba samaksas kāpums, liekot uzņēmējiem pārskatīt cenas, par ko liecina pamatinflācijas pieaugums. 2022. gadā pamatinflācija sasniedza 10,9%, salīdzinot ar 1,9% iepriekšējā </w:t>
      </w:r>
      <w:r w:rsidRPr="000C45B5">
        <w:rPr>
          <w:rFonts w:cs="Times New Roman"/>
          <w:noProof/>
          <w:color w:val="000000" w:themeColor="text1"/>
          <w:sz w:val="24"/>
          <w:szCs w:val="24"/>
        </w:rPr>
        <w:t xml:space="preserve">gadā. </w:t>
      </w:r>
      <w:r w:rsidRPr="000C45B5">
        <w:rPr>
          <w:bCs/>
          <w:noProof/>
          <w:sz w:val="24"/>
          <w:szCs w:val="24"/>
        </w:rPr>
        <w:t>Detalizētāka informācija par patēriņa cenu pārmai</w:t>
      </w:r>
      <w:r w:rsidR="000C45B5" w:rsidRPr="000C45B5">
        <w:rPr>
          <w:bCs/>
          <w:noProof/>
          <w:sz w:val="24"/>
          <w:szCs w:val="24"/>
        </w:rPr>
        <w:t>ņ</w:t>
      </w:r>
      <w:r w:rsidRPr="000C45B5">
        <w:rPr>
          <w:bCs/>
          <w:noProof/>
          <w:sz w:val="24"/>
          <w:szCs w:val="24"/>
        </w:rPr>
        <w:t xml:space="preserve">ām 2022. gadā un 2023. gadā pa mēnešiem ir atspoguļota 2.4. </w:t>
      </w:r>
      <w:r w:rsidRPr="000C45B5">
        <w:rPr>
          <w:bCs/>
          <w:noProof/>
          <w:color w:val="000000" w:themeColor="text1"/>
          <w:sz w:val="24"/>
          <w:szCs w:val="24"/>
        </w:rPr>
        <w:t>attēlā.</w:t>
      </w:r>
    </w:p>
    <w:tbl>
      <w:tblPr>
        <w:tblStyle w:val="TableGrid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3576"/>
      </w:tblGrid>
      <w:tr w:rsidR="0031227F" w:rsidRPr="000E16B1" w14:paraId="6DF4DB5C" w14:textId="77777777" w:rsidTr="00277007">
        <w:tc>
          <w:tcPr>
            <w:tcW w:w="5428" w:type="dxa"/>
          </w:tcPr>
          <w:p w14:paraId="6DD28875" w14:textId="77777777" w:rsidR="0031227F" w:rsidRPr="00182BBA" w:rsidRDefault="0031227F" w:rsidP="00277007">
            <w:pPr>
              <w:ind w:firstLine="0"/>
              <w:jc w:val="left"/>
              <w:rPr>
                <w:rFonts w:eastAsia="Calibri" w:cs="Times New Roman"/>
                <w:sz w:val="20"/>
                <w:szCs w:val="20"/>
              </w:rPr>
            </w:pPr>
            <w:r w:rsidRPr="00182BBA">
              <w:rPr>
                <w:rFonts w:eastAsia="Calibri" w:cs="Times New Roman"/>
                <w:noProof/>
                <w:sz w:val="20"/>
                <w:szCs w:val="20"/>
              </w:rPr>
              <w:drawing>
                <wp:inline distT="0" distB="0" distL="0" distR="0" wp14:anchorId="43861BA4" wp14:editId="0ADF45B6">
                  <wp:extent cx="3429000" cy="3702050"/>
                  <wp:effectExtent l="0" t="0" r="0" b="12700"/>
                  <wp:docPr id="11" name="Chart 11">
                    <a:extLst xmlns:a="http://schemas.openxmlformats.org/drawingml/2006/main">
                      <a:ext uri="{FF2B5EF4-FFF2-40B4-BE49-F238E27FC236}">
                        <a16:creationId xmlns:a16="http://schemas.microsoft.com/office/drawing/2014/main" id="{FDA8A7CF-194A-0D72-F0CF-B94D861EBE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c>
          <w:tcPr>
            <w:tcW w:w="3633" w:type="dxa"/>
          </w:tcPr>
          <w:tbl>
            <w:tblPr>
              <w:tblStyle w:val="GridTable6Colorful-Accent19"/>
              <w:tblW w:w="3407" w:type="dxa"/>
              <w:tblLook w:val="04A0" w:firstRow="1" w:lastRow="0" w:firstColumn="1" w:lastColumn="0" w:noHBand="0" w:noVBand="1"/>
            </w:tblPr>
            <w:tblGrid>
              <w:gridCol w:w="1426"/>
              <w:gridCol w:w="576"/>
              <w:gridCol w:w="707"/>
              <w:gridCol w:w="698"/>
            </w:tblGrid>
            <w:tr w:rsidR="0031227F" w:rsidRPr="000E16B1" w14:paraId="74DFED84" w14:textId="77777777" w:rsidTr="00277007">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26" w:type="dxa"/>
                </w:tcPr>
                <w:p w14:paraId="40C9DBCD" w14:textId="77777777" w:rsidR="0031227F" w:rsidRPr="000E16B1" w:rsidRDefault="0031227F" w:rsidP="00277007">
                  <w:pPr>
                    <w:ind w:firstLine="0"/>
                    <w:jc w:val="left"/>
                    <w:rPr>
                      <w:rFonts w:eastAsia="Calibri" w:cs="Times New Roman"/>
                      <w:color w:val="000000"/>
                      <w:sz w:val="18"/>
                      <w:szCs w:val="18"/>
                    </w:rPr>
                  </w:pPr>
                  <w:r w:rsidRPr="000E16B1">
                    <w:rPr>
                      <w:rFonts w:eastAsia="Calibri" w:cs="Times New Roman"/>
                      <w:color w:val="000000"/>
                      <w:sz w:val="18"/>
                      <w:szCs w:val="18"/>
                    </w:rPr>
                    <w:t>Grupas un apakšgrupas</w:t>
                  </w:r>
                </w:p>
              </w:tc>
              <w:tc>
                <w:tcPr>
                  <w:tcW w:w="576" w:type="dxa"/>
                  <w:vAlign w:val="center"/>
                </w:tcPr>
                <w:p w14:paraId="1B022583" w14:textId="77777777" w:rsidR="0031227F" w:rsidRPr="000E16B1" w:rsidRDefault="0031227F" w:rsidP="00277007">
                  <w:pPr>
                    <w:ind w:firstLine="0"/>
                    <w:jc w:val="center"/>
                    <w:cnfStyle w:val="100000000000" w:firstRow="1" w:lastRow="0" w:firstColumn="0" w:lastColumn="0" w:oddVBand="0" w:evenVBand="0" w:oddHBand="0" w:evenHBand="0" w:firstRowFirstColumn="0" w:firstRowLastColumn="0" w:lastRowFirstColumn="0" w:lastRowLastColumn="0"/>
                    <w:rPr>
                      <w:rFonts w:eastAsia="Calibri" w:cs="Times New Roman"/>
                      <w:color w:val="000000"/>
                      <w:sz w:val="18"/>
                      <w:szCs w:val="18"/>
                    </w:rPr>
                  </w:pPr>
                  <w:r w:rsidRPr="000E16B1">
                    <w:rPr>
                      <w:rFonts w:eastAsia="Calibri" w:cs="Times New Roman"/>
                      <w:color w:val="000000"/>
                      <w:sz w:val="18"/>
                      <w:szCs w:val="18"/>
                    </w:rPr>
                    <w:t>2022</w:t>
                  </w:r>
                </w:p>
              </w:tc>
              <w:tc>
                <w:tcPr>
                  <w:tcW w:w="707" w:type="dxa"/>
                  <w:vAlign w:val="center"/>
                </w:tcPr>
                <w:p w14:paraId="3C65C47E" w14:textId="77777777" w:rsidR="0031227F" w:rsidRPr="000E16B1" w:rsidRDefault="0031227F" w:rsidP="00277007">
                  <w:pPr>
                    <w:ind w:firstLine="0"/>
                    <w:jc w:val="center"/>
                    <w:cnfStyle w:val="100000000000" w:firstRow="1" w:lastRow="0" w:firstColumn="0" w:lastColumn="0" w:oddVBand="0" w:evenVBand="0" w:oddHBand="0" w:evenHBand="0" w:firstRowFirstColumn="0" w:firstRowLastColumn="0" w:lastRowFirstColumn="0" w:lastRowLastColumn="0"/>
                    <w:rPr>
                      <w:rFonts w:eastAsia="Calibri" w:cs="Times New Roman"/>
                      <w:color w:val="000000"/>
                      <w:sz w:val="18"/>
                      <w:szCs w:val="18"/>
                    </w:rPr>
                  </w:pPr>
                  <w:proofErr w:type="spellStart"/>
                  <w:r w:rsidRPr="000E16B1">
                    <w:rPr>
                      <w:rFonts w:eastAsia="Calibri" w:cs="Times New Roman"/>
                      <w:color w:val="000000"/>
                      <w:sz w:val="18"/>
                      <w:szCs w:val="18"/>
                    </w:rPr>
                    <w:t>Jan</w:t>
                  </w:r>
                  <w:proofErr w:type="spellEnd"/>
                  <w:r w:rsidRPr="000E16B1">
                    <w:rPr>
                      <w:rFonts w:eastAsia="Calibri" w:cs="Times New Roman"/>
                      <w:color w:val="000000"/>
                      <w:sz w:val="18"/>
                      <w:szCs w:val="18"/>
                    </w:rPr>
                    <w:t xml:space="preserve"> 2023</w:t>
                  </w:r>
                </w:p>
              </w:tc>
              <w:tc>
                <w:tcPr>
                  <w:tcW w:w="698" w:type="dxa"/>
                  <w:vAlign w:val="center"/>
                </w:tcPr>
                <w:p w14:paraId="272FEE91" w14:textId="77777777" w:rsidR="0031227F" w:rsidRPr="000E16B1" w:rsidRDefault="0031227F" w:rsidP="00277007">
                  <w:pPr>
                    <w:ind w:firstLine="0"/>
                    <w:jc w:val="center"/>
                    <w:cnfStyle w:val="100000000000" w:firstRow="1" w:lastRow="0" w:firstColumn="0" w:lastColumn="0" w:oddVBand="0" w:evenVBand="0" w:oddHBand="0" w:evenHBand="0" w:firstRowFirstColumn="0" w:firstRowLastColumn="0" w:lastRowFirstColumn="0" w:lastRowLastColumn="0"/>
                    <w:rPr>
                      <w:rFonts w:eastAsia="Calibri" w:cs="Times New Roman"/>
                      <w:color w:val="000000"/>
                      <w:sz w:val="18"/>
                      <w:szCs w:val="18"/>
                    </w:rPr>
                  </w:pPr>
                  <w:proofErr w:type="spellStart"/>
                  <w:r w:rsidRPr="000E16B1">
                    <w:rPr>
                      <w:rFonts w:eastAsia="Calibri" w:cs="Times New Roman"/>
                      <w:color w:val="000000"/>
                      <w:sz w:val="18"/>
                      <w:szCs w:val="18"/>
                    </w:rPr>
                    <w:t>Feb</w:t>
                  </w:r>
                  <w:proofErr w:type="spellEnd"/>
                  <w:r w:rsidRPr="000E16B1">
                    <w:rPr>
                      <w:rFonts w:eastAsia="Calibri" w:cs="Times New Roman"/>
                      <w:color w:val="000000"/>
                      <w:sz w:val="18"/>
                      <w:szCs w:val="18"/>
                    </w:rPr>
                    <w:t xml:space="preserve"> 2023</w:t>
                  </w:r>
                </w:p>
              </w:tc>
            </w:tr>
            <w:tr w:rsidR="0031227F" w:rsidRPr="000E16B1" w14:paraId="52EBCC9E" w14:textId="77777777" w:rsidTr="0027700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26" w:type="dxa"/>
                  <w:vAlign w:val="center"/>
                </w:tcPr>
                <w:p w14:paraId="4DA7CDAC" w14:textId="77777777" w:rsidR="0031227F" w:rsidRPr="000E16B1" w:rsidRDefault="0031227F" w:rsidP="00277007">
                  <w:pPr>
                    <w:ind w:firstLine="0"/>
                    <w:jc w:val="left"/>
                    <w:rPr>
                      <w:rFonts w:eastAsia="Calibri" w:cs="Times New Roman"/>
                      <w:color w:val="000000"/>
                      <w:sz w:val="18"/>
                      <w:szCs w:val="18"/>
                    </w:rPr>
                  </w:pPr>
                  <w:r w:rsidRPr="000E16B1">
                    <w:rPr>
                      <w:rFonts w:eastAsia="Calibri" w:cs="Times New Roman"/>
                      <w:color w:val="000000"/>
                      <w:sz w:val="18"/>
                      <w:szCs w:val="18"/>
                    </w:rPr>
                    <w:t>Vidējā inflācija</w:t>
                  </w:r>
                </w:p>
              </w:tc>
              <w:tc>
                <w:tcPr>
                  <w:tcW w:w="576" w:type="dxa"/>
                  <w:vAlign w:val="center"/>
                </w:tcPr>
                <w:p w14:paraId="398A2EE7" w14:textId="77777777" w:rsidR="0031227F" w:rsidRPr="000E16B1" w:rsidRDefault="0031227F" w:rsidP="00277007">
                  <w:pPr>
                    <w:ind w:firstLine="0"/>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000000"/>
                      <w:sz w:val="18"/>
                      <w:szCs w:val="18"/>
                    </w:rPr>
                  </w:pPr>
                  <w:r w:rsidRPr="000E16B1">
                    <w:rPr>
                      <w:rFonts w:eastAsia="Calibri" w:cs="Times New Roman"/>
                      <w:color w:val="000000"/>
                      <w:sz w:val="18"/>
                      <w:szCs w:val="18"/>
                    </w:rPr>
                    <w:t>17,3</w:t>
                  </w:r>
                </w:p>
              </w:tc>
              <w:tc>
                <w:tcPr>
                  <w:tcW w:w="707" w:type="dxa"/>
                  <w:vAlign w:val="center"/>
                </w:tcPr>
                <w:p w14:paraId="05363195" w14:textId="77777777" w:rsidR="0031227F" w:rsidRPr="000E16B1" w:rsidRDefault="0031227F" w:rsidP="00277007">
                  <w:pPr>
                    <w:ind w:firstLine="0"/>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000000"/>
                      <w:sz w:val="18"/>
                      <w:szCs w:val="18"/>
                    </w:rPr>
                  </w:pPr>
                  <w:r w:rsidRPr="000E16B1">
                    <w:rPr>
                      <w:rFonts w:eastAsia="Calibri" w:cs="Times New Roman"/>
                      <w:color w:val="000000"/>
                      <w:sz w:val="18"/>
                      <w:szCs w:val="18"/>
                    </w:rPr>
                    <w:t>21,5</w:t>
                  </w:r>
                </w:p>
              </w:tc>
              <w:tc>
                <w:tcPr>
                  <w:tcW w:w="698" w:type="dxa"/>
                  <w:vAlign w:val="center"/>
                </w:tcPr>
                <w:p w14:paraId="0B18D68E" w14:textId="77777777" w:rsidR="0031227F" w:rsidRPr="000E16B1" w:rsidRDefault="0031227F" w:rsidP="00277007">
                  <w:pPr>
                    <w:ind w:firstLine="0"/>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000000"/>
                      <w:sz w:val="18"/>
                      <w:szCs w:val="18"/>
                    </w:rPr>
                  </w:pPr>
                  <w:r w:rsidRPr="000E16B1">
                    <w:rPr>
                      <w:rFonts w:eastAsia="Calibri" w:cs="Times New Roman"/>
                      <w:color w:val="000000"/>
                      <w:sz w:val="18"/>
                      <w:szCs w:val="18"/>
                    </w:rPr>
                    <w:t>20,3</w:t>
                  </w:r>
                </w:p>
              </w:tc>
            </w:tr>
            <w:tr w:rsidR="0031227F" w:rsidRPr="000E16B1" w14:paraId="66A03F65" w14:textId="77777777" w:rsidTr="00277007">
              <w:trPr>
                <w:trHeight w:val="397"/>
              </w:trPr>
              <w:tc>
                <w:tcPr>
                  <w:cnfStyle w:val="001000000000" w:firstRow="0" w:lastRow="0" w:firstColumn="1" w:lastColumn="0" w:oddVBand="0" w:evenVBand="0" w:oddHBand="0" w:evenHBand="0" w:firstRowFirstColumn="0" w:firstRowLastColumn="0" w:lastRowFirstColumn="0" w:lastRowLastColumn="0"/>
                  <w:tcW w:w="1426" w:type="dxa"/>
                  <w:vAlign w:val="center"/>
                </w:tcPr>
                <w:p w14:paraId="3B15AABB" w14:textId="77777777" w:rsidR="0031227F" w:rsidRPr="000E16B1" w:rsidRDefault="0031227F" w:rsidP="00277007">
                  <w:pPr>
                    <w:ind w:firstLine="0"/>
                    <w:jc w:val="left"/>
                    <w:rPr>
                      <w:rFonts w:eastAsia="Calibri" w:cs="Times New Roman"/>
                      <w:color w:val="000000"/>
                      <w:sz w:val="18"/>
                      <w:szCs w:val="18"/>
                    </w:rPr>
                  </w:pPr>
                  <w:r w:rsidRPr="000E16B1">
                    <w:rPr>
                      <w:rFonts w:eastAsia="Calibri" w:cs="Times New Roman"/>
                      <w:color w:val="000000"/>
                      <w:sz w:val="18"/>
                      <w:szCs w:val="18"/>
                    </w:rPr>
                    <w:t>Pārtika un bezalkoholiskie dzērieni</w:t>
                  </w:r>
                </w:p>
              </w:tc>
              <w:tc>
                <w:tcPr>
                  <w:tcW w:w="576" w:type="dxa"/>
                  <w:vAlign w:val="center"/>
                </w:tcPr>
                <w:p w14:paraId="49439FE6" w14:textId="77777777" w:rsidR="0031227F" w:rsidRPr="000E16B1" w:rsidRDefault="0031227F" w:rsidP="00277007">
                  <w:pPr>
                    <w:ind w:firstLine="0"/>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000000"/>
                      <w:sz w:val="18"/>
                      <w:szCs w:val="18"/>
                    </w:rPr>
                  </w:pPr>
                  <w:r w:rsidRPr="000E16B1">
                    <w:rPr>
                      <w:rFonts w:eastAsia="Calibri" w:cs="Times New Roman"/>
                      <w:color w:val="000000"/>
                      <w:sz w:val="18"/>
                      <w:szCs w:val="18"/>
                    </w:rPr>
                    <w:t>21,6</w:t>
                  </w:r>
                </w:p>
              </w:tc>
              <w:tc>
                <w:tcPr>
                  <w:tcW w:w="707" w:type="dxa"/>
                  <w:vAlign w:val="center"/>
                </w:tcPr>
                <w:p w14:paraId="425A1DD6" w14:textId="77777777" w:rsidR="0031227F" w:rsidRPr="000E16B1" w:rsidRDefault="0031227F" w:rsidP="00277007">
                  <w:pPr>
                    <w:ind w:firstLine="0"/>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000000"/>
                      <w:sz w:val="18"/>
                      <w:szCs w:val="18"/>
                    </w:rPr>
                  </w:pPr>
                  <w:r w:rsidRPr="000E16B1">
                    <w:rPr>
                      <w:rFonts w:eastAsia="Calibri" w:cs="Times New Roman"/>
                      <w:color w:val="000000"/>
                      <w:sz w:val="18"/>
                      <w:szCs w:val="18"/>
                    </w:rPr>
                    <w:t>28,2</w:t>
                  </w:r>
                </w:p>
              </w:tc>
              <w:tc>
                <w:tcPr>
                  <w:tcW w:w="698" w:type="dxa"/>
                  <w:vAlign w:val="center"/>
                </w:tcPr>
                <w:p w14:paraId="16376812" w14:textId="77777777" w:rsidR="0031227F" w:rsidRPr="000E16B1" w:rsidRDefault="0031227F" w:rsidP="00277007">
                  <w:pPr>
                    <w:ind w:firstLine="0"/>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000000"/>
                      <w:sz w:val="18"/>
                      <w:szCs w:val="18"/>
                    </w:rPr>
                  </w:pPr>
                  <w:r w:rsidRPr="000E16B1">
                    <w:rPr>
                      <w:rFonts w:eastAsia="Calibri" w:cs="Times New Roman"/>
                      <w:color w:val="000000"/>
                      <w:sz w:val="18"/>
                      <w:szCs w:val="18"/>
                    </w:rPr>
                    <w:t>25,3</w:t>
                  </w:r>
                </w:p>
              </w:tc>
            </w:tr>
            <w:tr w:rsidR="0031227F" w:rsidRPr="000E16B1" w14:paraId="68D62100" w14:textId="77777777" w:rsidTr="0027700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26" w:type="dxa"/>
                  <w:vAlign w:val="center"/>
                </w:tcPr>
                <w:p w14:paraId="2CAD031F" w14:textId="77777777" w:rsidR="0031227F" w:rsidRPr="000E16B1" w:rsidRDefault="0031227F" w:rsidP="00277007">
                  <w:pPr>
                    <w:ind w:firstLine="0"/>
                    <w:jc w:val="left"/>
                    <w:rPr>
                      <w:rFonts w:eastAsia="Calibri" w:cs="Times New Roman"/>
                      <w:color w:val="000000"/>
                      <w:sz w:val="18"/>
                      <w:szCs w:val="18"/>
                    </w:rPr>
                  </w:pPr>
                  <w:r w:rsidRPr="000E16B1">
                    <w:rPr>
                      <w:rFonts w:eastAsia="Calibri" w:cs="Times New Roman"/>
                      <w:color w:val="000000"/>
                      <w:sz w:val="18"/>
                      <w:szCs w:val="18"/>
                    </w:rPr>
                    <w:t>Mājokļa īres maksa</w:t>
                  </w:r>
                </w:p>
              </w:tc>
              <w:tc>
                <w:tcPr>
                  <w:tcW w:w="576" w:type="dxa"/>
                  <w:vAlign w:val="center"/>
                </w:tcPr>
                <w:p w14:paraId="045D98A7" w14:textId="77777777" w:rsidR="0031227F" w:rsidRPr="000E16B1" w:rsidRDefault="0031227F" w:rsidP="00277007">
                  <w:pPr>
                    <w:ind w:firstLine="0"/>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000000"/>
                      <w:sz w:val="18"/>
                      <w:szCs w:val="18"/>
                    </w:rPr>
                  </w:pPr>
                  <w:r w:rsidRPr="000E16B1">
                    <w:rPr>
                      <w:rFonts w:eastAsia="Calibri" w:cs="Times New Roman"/>
                      <w:color w:val="000000"/>
                      <w:sz w:val="18"/>
                      <w:szCs w:val="18"/>
                    </w:rPr>
                    <w:t>2,9</w:t>
                  </w:r>
                </w:p>
              </w:tc>
              <w:tc>
                <w:tcPr>
                  <w:tcW w:w="707" w:type="dxa"/>
                  <w:vAlign w:val="center"/>
                </w:tcPr>
                <w:p w14:paraId="15B5F0B9" w14:textId="77777777" w:rsidR="0031227F" w:rsidRPr="000E16B1" w:rsidRDefault="0031227F" w:rsidP="00277007">
                  <w:pPr>
                    <w:ind w:firstLine="0"/>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000000"/>
                      <w:sz w:val="18"/>
                      <w:szCs w:val="18"/>
                    </w:rPr>
                  </w:pPr>
                  <w:r w:rsidRPr="000E16B1">
                    <w:rPr>
                      <w:rFonts w:eastAsia="Calibri" w:cs="Times New Roman"/>
                      <w:color w:val="000000"/>
                      <w:sz w:val="18"/>
                      <w:szCs w:val="18"/>
                    </w:rPr>
                    <w:t>-0,2</w:t>
                  </w:r>
                </w:p>
              </w:tc>
              <w:tc>
                <w:tcPr>
                  <w:tcW w:w="698" w:type="dxa"/>
                  <w:vAlign w:val="center"/>
                </w:tcPr>
                <w:p w14:paraId="7FE0A991" w14:textId="77777777" w:rsidR="0031227F" w:rsidRPr="000E16B1" w:rsidRDefault="0031227F" w:rsidP="00277007">
                  <w:pPr>
                    <w:ind w:firstLine="0"/>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000000"/>
                      <w:sz w:val="18"/>
                      <w:szCs w:val="18"/>
                    </w:rPr>
                  </w:pPr>
                  <w:r w:rsidRPr="000E16B1">
                    <w:rPr>
                      <w:rFonts w:eastAsia="Calibri" w:cs="Times New Roman"/>
                      <w:color w:val="000000"/>
                      <w:sz w:val="18"/>
                      <w:szCs w:val="18"/>
                    </w:rPr>
                    <w:t>-1,2</w:t>
                  </w:r>
                </w:p>
              </w:tc>
            </w:tr>
            <w:tr w:rsidR="0031227F" w:rsidRPr="000E16B1" w14:paraId="1EBB226C" w14:textId="77777777" w:rsidTr="00277007">
              <w:trPr>
                <w:trHeight w:val="397"/>
              </w:trPr>
              <w:tc>
                <w:tcPr>
                  <w:cnfStyle w:val="001000000000" w:firstRow="0" w:lastRow="0" w:firstColumn="1" w:lastColumn="0" w:oddVBand="0" w:evenVBand="0" w:oddHBand="0" w:evenHBand="0" w:firstRowFirstColumn="0" w:firstRowLastColumn="0" w:lastRowFirstColumn="0" w:lastRowLastColumn="0"/>
                  <w:tcW w:w="1426" w:type="dxa"/>
                  <w:vAlign w:val="center"/>
                </w:tcPr>
                <w:p w14:paraId="79BCEA9E" w14:textId="77777777" w:rsidR="0031227F" w:rsidRPr="000E16B1" w:rsidRDefault="0031227F" w:rsidP="00277007">
                  <w:pPr>
                    <w:ind w:firstLine="0"/>
                    <w:jc w:val="left"/>
                    <w:rPr>
                      <w:rFonts w:eastAsia="Calibri" w:cs="Times New Roman"/>
                      <w:color w:val="000000"/>
                      <w:sz w:val="18"/>
                      <w:szCs w:val="18"/>
                    </w:rPr>
                  </w:pPr>
                  <w:r w:rsidRPr="000E16B1">
                    <w:rPr>
                      <w:rFonts w:eastAsia="Calibri" w:cs="Times New Roman"/>
                      <w:color w:val="000000"/>
                      <w:sz w:val="18"/>
                      <w:szCs w:val="18"/>
                    </w:rPr>
                    <w:t>Elektroenerģija</w:t>
                  </w:r>
                </w:p>
              </w:tc>
              <w:tc>
                <w:tcPr>
                  <w:tcW w:w="576" w:type="dxa"/>
                  <w:vAlign w:val="center"/>
                </w:tcPr>
                <w:p w14:paraId="5F81A5A2" w14:textId="77777777" w:rsidR="0031227F" w:rsidRPr="000E16B1" w:rsidRDefault="0031227F" w:rsidP="00277007">
                  <w:pPr>
                    <w:ind w:firstLine="0"/>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000000"/>
                      <w:sz w:val="18"/>
                      <w:szCs w:val="18"/>
                    </w:rPr>
                  </w:pPr>
                  <w:r w:rsidRPr="000E16B1">
                    <w:rPr>
                      <w:rFonts w:eastAsia="Calibri" w:cs="Times New Roman"/>
                      <w:color w:val="000000"/>
                      <w:sz w:val="18"/>
                      <w:szCs w:val="18"/>
                    </w:rPr>
                    <w:t>36,2</w:t>
                  </w:r>
                </w:p>
              </w:tc>
              <w:tc>
                <w:tcPr>
                  <w:tcW w:w="707" w:type="dxa"/>
                  <w:vAlign w:val="center"/>
                </w:tcPr>
                <w:p w14:paraId="0BBC29F9" w14:textId="77777777" w:rsidR="0031227F" w:rsidRPr="000E16B1" w:rsidRDefault="0031227F" w:rsidP="00277007">
                  <w:pPr>
                    <w:ind w:firstLine="0"/>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000000"/>
                      <w:sz w:val="18"/>
                      <w:szCs w:val="18"/>
                    </w:rPr>
                  </w:pPr>
                  <w:r w:rsidRPr="000E16B1">
                    <w:rPr>
                      <w:rFonts w:eastAsia="Calibri" w:cs="Times New Roman"/>
                      <w:color w:val="000000"/>
                      <w:sz w:val="18"/>
                      <w:szCs w:val="18"/>
                    </w:rPr>
                    <w:t>89,8</w:t>
                  </w:r>
                </w:p>
              </w:tc>
              <w:tc>
                <w:tcPr>
                  <w:tcW w:w="698" w:type="dxa"/>
                  <w:vAlign w:val="center"/>
                </w:tcPr>
                <w:p w14:paraId="4CA2DB12" w14:textId="77777777" w:rsidR="0031227F" w:rsidRPr="000E16B1" w:rsidRDefault="0031227F" w:rsidP="00277007">
                  <w:pPr>
                    <w:ind w:firstLine="0"/>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000000"/>
                      <w:sz w:val="18"/>
                      <w:szCs w:val="18"/>
                    </w:rPr>
                  </w:pPr>
                  <w:r w:rsidRPr="000E16B1">
                    <w:rPr>
                      <w:rFonts w:eastAsia="Calibri" w:cs="Times New Roman"/>
                      <w:color w:val="000000"/>
                      <w:sz w:val="18"/>
                      <w:szCs w:val="18"/>
                    </w:rPr>
                    <w:t>90,2</w:t>
                  </w:r>
                </w:p>
              </w:tc>
            </w:tr>
            <w:tr w:rsidR="0031227F" w:rsidRPr="000E16B1" w14:paraId="0B2A1B17" w14:textId="77777777" w:rsidTr="0027700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26" w:type="dxa"/>
                  <w:vAlign w:val="center"/>
                </w:tcPr>
                <w:p w14:paraId="0C245DC2" w14:textId="77777777" w:rsidR="0031227F" w:rsidRPr="000E16B1" w:rsidRDefault="0031227F" w:rsidP="00277007">
                  <w:pPr>
                    <w:ind w:firstLine="0"/>
                    <w:jc w:val="left"/>
                    <w:rPr>
                      <w:rFonts w:eastAsia="Calibri" w:cs="Times New Roman"/>
                      <w:color w:val="000000"/>
                      <w:sz w:val="18"/>
                      <w:szCs w:val="18"/>
                    </w:rPr>
                  </w:pPr>
                  <w:r w:rsidRPr="000E16B1">
                    <w:rPr>
                      <w:rFonts w:eastAsia="Calibri" w:cs="Times New Roman"/>
                      <w:color w:val="000000"/>
                      <w:sz w:val="18"/>
                      <w:szCs w:val="18"/>
                    </w:rPr>
                    <w:t>Gāze</w:t>
                  </w:r>
                </w:p>
              </w:tc>
              <w:tc>
                <w:tcPr>
                  <w:tcW w:w="576" w:type="dxa"/>
                  <w:vAlign w:val="center"/>
                </w:tcPr>
                <w:p w14:paraId="6A2D8AC1" w14:textId="77777777" w:rsidR="0031227F" w:rsidRPr="000E16B1" w:rsidRDefault="0031227F" w:rsidP="00277007">
                  <w:pPr>
                    <w:ind w:firstLine="0"/>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000000"/>
                      <w:sz w:val="18"/>
                      <w:szCs w:val="18"/>
                    </w:rPr>
                  </w:pPr>
                  <w:r w:rsidRPr="000E16B1">
                    <w:rPr>
                      <w:rFonts w:eastAsia="Calibri" w:cs="Times New Roman"/>
                      <w:color w:val="000000"/>
                      <w:sz w:val="18"/>
                      <w:szCs w:val="18"/>
                    </w:rPr>
                    <w:t>99,2</w:t>
                  </w:r>
                </w:p>
              </w:tc>
              <w:tc>
                <w:tcPr>
                  <w:tcW w:w="707" w:type="dxa"/>
                  <w:vAlign w:val="center"/>
                </w:tcPr>
                <w:p w14:paraId="7030FF8D" w14:textId="77777777" w:rsidR="0031227F" w:rsidRPr="000E16B1" w:rsidRDefault="0031227F" w:rsidP="00277007">
                  <w:pPr>
                    <w:ind w:firstLine="0"/>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000000"/>
                      <w:sz w:val="18"/>
                      <w:szCs w:val="18"/>
                    </w:rPr>
                  </w:pPr>
                  <w:r w:rsidRPr="000E16B1">
                    <w:rPr>
                      <w:rFonts w:eastAsia="Calibri" w:cs="Times New Roman"/>
                      <w:color w:val="000000"/>
                      <w:sz w:val="18"/>
                      <w:szCs w:val="18"/>
                    </w:rPr>
                    <w:t>65,7</w:t>
                  </w:r>
                </w:p>
              </w:tc>
              <w:tc>
                <w:tcPr>
                  <w:tcW w:w="698" w:type="dxa"/>
                  <w:vAlign w:val="center"/>
                </w:tcPr>
                <w:p w14:paraId="22C8C494" w14:textId="77777777" w:rsidR="0031227F" w:rsidRPr="000E16B1" w:rsidRDefault="0031227F" w:rsidP="00277007">
                  <w:pPr>
                    <w:ind w:firstLine="0"/>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000000"/>
                      <w:sz w:val="18"/>
                      <w:szCs w:val="18"/>
                    </w:rPr>
                  </w:pPr>
                  <w:r w:rsidRPr="000E16B1">
                    <w:rPr>
                      <w:rFonts w:eastAsia="Calibri" w:cs="Times New Roman"/>
                      <w:color w:val="000000"/>
                      <w:sz w:val="18"/>
                      <w:szCs w:val="18"/>
                    </w:rPr>
                    <w:t>65,6</w:t>
                  </w:r>
                </w:p>
              </w:tc>
            </w:tr>
            <w:tr w:rsidR="0031227F" w:rsidRPr="000E16B1" w14:paraId="58378A1B" w14:textId="77777777" w:rsidTr="00277007">
              <w:trPr>
                <w:trHeight w:val="397"/>
              </w:trPr>
              <w:tc>
                <w:tcPr>
                  <w:cnfStyle w:val="001000000000" w:firstRow="0" w:lastRow="0" w:firstColumn="1" w:lastColumn="0" w:oddVBand="0" w:evenVBand="0" w:oddHBand="0" w:evenHBand="0" w:firstRowFirstColumn="0" w:firstRowLastColumn="0" w:lastRowFirstColumn="0" w:lastRowLastColumn="0"/>
                  <w:tcW w:w="1426" w:type="dxa"/>
                  <w:vAlign w:val="center"/>
                </w:tcPr>
                <w:p w14:paraId="695DF31B" w14:textId="77777777" w:rsidR="0031227F" w:rsidRPr="000E16B1" w:rsidRDefault="0031227F" w:rsidP="00277007">
                  <w:pPr>
                    <w:ind w:firstLine="0"/>
                    <w:jc w:val="left"/>
                    <w:rPr>
                      <w:rFonts w:eastAsia="Calibri" w:cs="Times New Roman"/>
                      <w:color w:val="000000"/>
                      <w:sz w:val="18"/>
                      <w:szCs w:val="18"/>
                    </w:rPr>
                  </w:pPr>
                  <w:r w:rsidRPr="000E16B1">
                    <w:rPr>
                      <w:rFonts w:eastAsia="Calibri" w:cs="Times New Roman"/>
                      <w:color w:val="000000"/>
                      <w:sz w:val="18"/>
                      <w:szCs w:val="18"/>
                    </w:rPr>
                    <w:t>Siltumenerģija</w:t>
                  </w:r>
                </w:p>
              </w:tc>
              <w:tc>
                <w:tcPr>
                  <w:tcW w:w="576" w:type="dxa"/>
                  <w:vAlign w:val="center"/>
                </w:tcPr>
                <w:p w14:paraId="54444406" w14:textId="77777777" w:rsidR="0031227F" w:rsidRPr="000E16B1" w:rsidRDefault="0031227F" w:rsidP="00277007">
                  <w:pPr>
                    <w:ind w:firstLine="0"/>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000000"/>
                      <w:sz w:val="18"/>
                      <w:szCs w:val="18"/>
                    </w:rPr>
                  </w:pPr>
                  <w:r w:rsidRPr="000E16B1">
                    <w:rPr>
                      <w:rFonts w:eastAsia="Calibri" w:cs="Times New Roman"/>
                      <w:color w:val="000000"/>
                      <w:sz w:val="18"/>
                      <w:szCs w:val="18"/>
                    </w:rPr>
                    <w:t>52,9</w:t>
                  </w:r>
                </w:p>
              </w:tc>
              <w:tc>
                <w:tcPr>
                  <w:tcW w:w="707" w:type="dxa"/>
                  <w:vAlign w:val="center"/>
                </w:tcPr>
                <w:p w14:paraId="59F285A0" w14:textId="77777777" w:rsidR="0031227F" w:rsidRPr="000E16B1" w:rsidRDefault="0031227F" w:rsidP="00277007">
                  <w:pPr>
                    <w:ind w:firstLine="0"/>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000000"/>
                      <w:sz w:val="18"/>
                      <w:szCs w:val="18"/>
                    </w:rPr>
                  </w:pPr>
                  <w:r w:rsidRPr="000E16B1">
                    <w:rPr>
                      <w:rFonts w:eastAsia="Calibri" w:cs="Times New Roman"/>
                      <w:color w:val="000000"/>
                      <w:sz w:val="18"/>
                      <w:szCs w:val="18"/>
                    </w:rPr>
                    <w:t>69,6</w:t>
                  </w:r>
                </w:p>
              </w:tc>
              <w:tc>
                <w:tcPr>
                  <w:tcW w:w="698" w:type="dxa"/>
                  <w:vAlign w:val="center"/>
                </w:tcPr>
                <w:p w14:paraId="47FD3719" w14:textId="77777777" w:rsidR="0031227F" w:rsidRPr="000E16B1" w:rsidRDefault="0031227F" w:rsidP="00277007">
                  <w:pPr>
                    <w:ind w:firstLine="0"/>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000000"/>
                      <w:sz w:val="18"/>
                      <w:szCs w:val="18"/>
                    </w:rPr>
                  </w:pPr>
                  <w:r w:rsidRPr="000E16B1">
                    <w:rPr>
                      <w:rFonts w:eastAsia="Calibri" w:cs="Times New Roman"/>
                      <w:color w:val="000000"/>
                      <w:sz w:val="18"/>
                      <w:szCs w:val="18"/>
                    </w:rPr>
                    <w:t>66,4</w:t>
                  </w:r>
                </w:p>
              </w:tc>
            </w:tr>
            <w:tr w:rsidR="0031227F" w:rsidRPr="000E16B1" w14:paraId="4384F9BF" w14:textId="77777777" w:rsidTr="0027700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26" w:type="dxa"/>
                  <w:vAlign w:val="center"/>
                </w:tcPr>
                <w:p w14:paraId="65BA0759" w14:textId="77777777" w:rsidR="0031227F" w:rsidRPr="000E16B1" w:rsidRDefault="0031227F" w:rsidP="00277007">
                  <w:pPr>
                    <w:ind w:firstLine="0"/>
                    <w:jc w:val="left"/>
                    <w:rPr>
                      <w:rFonts w:eastAsia="Calibri" w:cs="Times New Roman"/>
                      <w:color w:val="000000"/>
                      <w:sz w:val="18"/>
                      <w:szCs w:val="18"/>
                    </w:rPr>
                  </w:pPr>
                  <w:r w:rsidRPr="000E16B1">
                    <w:rPr>
                      <w:rFonts w:eastAsia="Calibri" w:cs="Times New Roman"/>
                      <w:color w:val="000000"/>
                      <w:sz w:val="18"/>
                      <w:szCs w:val="18"/>
                    </w:rPr>
                    <w:t>Degviela</w:t>
                  </w:r>
                </w:p>
              </w:tc>
              <w:tc>
                <w:tcPr>
                  <w:tcW w:w="576" w:type="dxa"/>
                  <w:vAlign w:val="center"/>
                </w:tcPr>
                <w:p w14:paraId="2CB8BD7F" w14:textId="77777777" w:rsidR="0031227F" w:rsidRPr="000E16B1" w:rsidRDefault="0031227F" w:rsidP="00277007">
                  <w:pPr>
                    <w:ind w:firstLine="0"/>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000000"/>
                      <w:sz w:val="18"/>
                      <w:szCs w:val="18"/>
                    </w:rPr>
                  </w:pPr>
                  <w:r w:rsidRPr="000E16B1">
                    <w:rPr>
                      <w:rFonts w:eastAsia="Calibri" w:cs="Times New Roman"/>
                      <w:color w:val="000000"/>
                      <w:sz w:val="18"/>
                      <w:szCs w:val="18"/>
                    </w:rPr>
                    <w:t>38,2</w:t>
                  </w:r>
                </w:p>
              </w:tc>
              <w:tc>
                <w:tcPr>
                  <w:tcW w:w="707" w:type="dxa"/>
                  <w:vAlign w:val="center"/>
                </w:tcPr>
                <w:p w14:paraId="464A74A6" w14:textId="77777777" w:rsidR="0031227F" w:rsidRPr="000E16B1" w:rsidRDefault="0031227F" w:rsidP="00277007">
                  <w:pPr>
                    <w:ind w:firstLine="0"/>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000000"/>
                      <w:sz w:val="18"/>
                      <w:szCs w:val="18"/>
                    </w:rPr>
                  </w:pPr>
                  <w:r w:rsidRPr="000E16B1">
                    <w:rPr>
                      <w:rFonts w:eastAsia="Calibri" w:cs="Times New Roman"/>
                      <w:color w:val="000000"/>
                      <w:sz w:val="18"/>
                      <w:szCs w:val="18"/>
                    </w:rPr>
                    <w:t>17,8</w:t>
                  </w:r>
                </w:p>
              </w:tc>
              <w:tc>
                <w:tcPr>
                  <w:tcW w:w="698" w:type="dxa"/>
                  <w:vAlign w:val="center"/>
                </w:tcPr>
                <w:p w14:paraId="3169D108" w14:textId="77777777" w:rsidR="0031227F" w:rsidRPr="000E16B1" w:rsidRDefault="0031227F" w:rsidP="00277007">
                  <w:pPr>
                    <w:ind w:firstLine="0"/>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000000"/>
                      <w:sz w:val="18"/>
                      <w:szCs w:val="18"/>
                    </w:rPr>
                  </w:pPr>
                  <w:r w:rsidRPr="000E16B1">
                    <w:rPr>
                      <w:rFonts w:eastAsia="Calibri" w:cs="Times New Roman"/>
                      <w:color w:val="000000"/>
                      <w:sz w:val="18"/>
                      <w:szCs w:val="18"/>
                    </w:rPr>
                    <w:t>12,0</w:t>
                  </w:r>
                </w:p>
              </w:tc>
            </w:tr>
            <w:tr w:rsidR="0031227F" w:rsidRPr="000E16B1" w14:paraId="45B16ED4" w14:textId="77777777" w:rsidTr="00277007">
              <w:trPr>
                <w:trHeight w:val="397"/>
              </w:trPr>
              <w:tc>
                <w:tcPr>
                  <w:cnfStyle w:val="001000000000" w:firstRow="0" w:lastRow="0" w:firstColumn="1" w:lastColumn="0" w:oddVBand="0" w:evenVBand="0" w:oddHBand="0" w:evenHBand="0" w:firstRowFirstColumn="0" w:firstRowLastColumn="0" w:lastRowFirstColumn="0" w:lastRowLastColumn="0"/>
                  <w:tcW w:w="1426" w:type="dxa"/>
                  <w:vAlign w:val="center"/>
                </w:tcPr>
                <w:p w14:paraId="5F6DE60F" w14:textId="77777777" w:rsidR="0031227F" w:rsidRPr="000E16B1" w:rsidRDefault="0031227F" w:rsidP="00277007">
                  <w:pPr>
                    <w:ind w:firstLine="0"/>
                    <w:jc w:val="left"/>
                    <w:rPr>
                      <w:rFonts w:eastAsia="Calibri" w:cs="Times New Roman"/>
                      <w:color w:val="000000"/>
                      <w:sz w:val="18"/>
                      <w:szCs w:val="18"/>
                    </w:rPr>
                  </w:pPr>
                  <w:r w:rsidRPr="000E16B1">
                    <w:rPr>
                      <w:rFonts w:eastAsia="Calibri" w:cs="Times New Roman"/>
                      <w:color w:val="000000"/>
                      <w:sz w:val="18"/>
                      <w:szCs w:val="18"/>
                    </w:rPr>
                    <w:t>Pārvadājumu pakalpojumi</w:t>
                  </w:r>
                </w:p>
              </w:tc>
              <w:tc>
                <w:tcPr>
                  <w:tcW w:w="576" w:type="dxa"/>
                  <w:vAlign w:val="center"/>
                </w:tcPr>
                <w:p w14:paraId="161FA6D7" w14:textId="77777777" w:rsidR="0031227F" w:rsidRPr="000E16B1" w:rsidRDefault="0031227F" w:rsidP="00277007">
                  <w:pPr>
                    <w:ind w:firstLine="0"/>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000000"/>
                      <w:sz w:val="18"/>
                      <w:szCs w:val="18"/>
                    </w:rPr>
                  </w:pPr>
                  <w:r w:rsidRPr="000E16B1">
                    <w:rPr>
                      <w:rFonts w:eastAsia="Calibri" w:cs="Times New Roman"/>
                      <w:color w:val="000000"/>
                      <w:sz w:val="18"/>
                      <w:szCs w:val="18"/>
                    </w:rPr>
                    <w:t>2,5</w:t>
                  </w:r>
                </w:p>
              </w:tc>
              <w:tc>
                <w:tcPr>
                  <w:tcW w:w="707" w:type="dxa"/>
                  <w:vAlign w:val="center"/>
                </w:tcPr>
                <w:p w14:paraId="57505454" w14:textId="77777777" w:rsidR="0031227F" w:rsidRPr="000E16B1" w:rsidRDefault="0031227F" w:rsidP="00277007">
                  <w:pPr>
                    <w:ind w:firstLine="0"/>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000000"/>
                      <w:sz w:val="18"/>
                      <w:szCs w:val="18"/>
                    </w:rPr>
                  </w:pPr>
                  <w:r w:rsidRPr="000E16B1">
                    <w:rPr>
                      <w:rFonts w:eastAsia="Calibri" w:cs="Times New Roman"/>
                      <w:color w:val="000000"/>
                      <w:sz w:val="18"/>
                      <w:szCs w:val="18"/>
                    </w:rPr>
                    <w:t>3,7</w:t>
                  </w:r>
                </w:p>
              </w:tc>
              <w:tc>
                <w:tcPr>
                  <w:tcW w:w="698" w:type="dxa"/>
                  <w:vAlign w:val="center"/>
                </w:tcPr>
                <w:p w14:paraId="3FC00CA2" w14:textId="77777777" w:rsidR="0031227F" w:rsidRPr="000E16B1" w:rsidRDefault="0031227F" w:rsidP="00277007">
                  <w:pPr>
                    <w:ind w:firstLine="0"/>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000000"/>
                      <w:sz w:val="18"/>
                      <w:szCs w:val="18"/>
                    </w:rPr>
                  </w:pPr>
                  <w:r w:rsidRPr="000E16B1">
                    <w:rPr>
                      <w:rFonts w:eastAsia="Calibri" w:cs="Times New Roman"/>
                      <w:color w:val="000000"/>
                      <w:sz w:val="18"/>
                      <w:szCs w:val="18"/>
                    </w:rPr>
                    <w:t>6,2</w:t>
                  </w:r>
                </w:p>
              </w:tc>
            </w:tr>
            <w:tr w:rsidR="0031227F" w:rsidRPr="000E16B1" w14:paraId="19A6072E" w14:textId="77777777" w:rsidTr="0027700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26" w:type="dxa"/>
                  <w:vAlign w:val="center"/>
                </w:tcPr>
                <w:p w14:paraId="42F59BE6" w14:textId="77777777" w:rsidR="0031227F" w:rsidRPr="000E16B1" w:rsidRDefault="0031227F" w:rsidP="00277007">
                  <w:pPr>
                    <w:ind w:firstLine="0"/>
                    <w:jc w:val="left"/>
                    <w:rPr>
                      <w:rFonts w:eastAsia="Calibri" w:cs="Times New Roman"/>
                      <w:color w:val="000000"/>
                      <w:sz w:val="18"/>
                      <w:szCs w:val="18"/>
                    </w:rPr>
                  </w:pPr>
                  <w:r w:rsidRPr="000E16B1">
                    <w:rPr>
                      <w:rFonts w:eastAsia="Calibri" w:cs="Times New Roman"/>
                      <w:color w:val="000000"/>
                      <w:sz w:val="18"/>
                      <w:szCs w:val="18"/>
                    </w:rPr>
                    <w:t>Veselības aprūpe</w:t>
                  </w:r>
                </w:p>
              </w:tc>
              <w:tc>
                <w:tcPr>
                  <w:tcW w:w="576" w:type="dxa"/>
                  <w:vAlign w:val="center"/>
                </w:tcPr>
                <w:p w14:paraId="636A9B12" w14:textId="77777777" w:rsidR="0031227F" w:rsidRPr="000E16B1" w:rsidRDefault="0031227F" w:rsidP="00277007">
                  <w:pPr>
                    <w:ind w:firstLine="0"/>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000000"/>
                      <w:sz w:val="18"/>
                      <w:szCs w:val="18"/>
                    </w:rPr>
                  </w:pPr>
                  <w:r w:rsidRPr="000E16B1">
                    <w:rPr>
                      <w:rFonts w:eastAsia="Calibri" w:cs="Times New Roman"/>
                      <w:color w:val="000000"/>
                      <w:sz w:val="18"/>
                      <w:szCs w:val="18"/>
                    </w:rPr>
                    <w:t>6,9</w:t>
                  </w:r>
                </w:p>
              </w:tc>
              <w:tc>
                <w:tcPr>
                  <w:tcW w:w="707" w:type="dxa"/>
                  <w:vAlign w:val="center"/>
                </w:tcPr>
                <w:p w14:paraId="0BCBFD8D" w14:textId="77777777" w:rsidR="0031227F" w:rsidRPr="000E16B1" w:rsidRDefault="0031227F" w:rsidP="00277007">
                  <w:pPr>
                    <w:ind w:firstLine="0"/>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000000"/>
                      <w:sz w:val="18"/>
                      <w:szCs w:val="18"/>
                    </w:rPr>
                  </w:pPr>
                  <w:r w:rsidRPr="000E16B1">
                    <w:rPr>
                      <w:rFonts w:eastAsia="Calibri" w:cs="Times New Roman"/>
                      <w:color w:val="000000"/>
                      <w:sz w:val="18"/>
                      <w:szCs w:val="18"/>
                    </w:rPr>
                    <w:t>10,3</w:t>
                  </w:r>
                </w:p>
              </w:tc>
              <w:tc>
                <w:tcPr>
                  <w:tcW w:w="698" w:type="dxa"/>
                  <w:vAlign w:val="center"/>
                </w:tcPr>
                <w:p w14:paraId="2BCAAEF0" w14:textId="77777777" w:rsidR="0031227F" w:rsidRPr="000E16B1" w:rsidRDefault="0031227F" w:rsidP="00277007">
                  <w:pPr>
                    <w:ind w:firstLine="0"/>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000000"/>
                      <w:sz w:val="18"/>
                      <w:szCs w:val="18"/>
                    </w:rPr>
                  </w:pPr>
                  <w:r w:rsidRPr="000E16B1">
                    <w:rPr>
                      <w:rFonts w:eastAsia="Calibri" w:cs="Times New Roman"/>
                      <w:color w:val="000000"/>
                      <w:sz w:val="18"/>
                      <w:szCs w:val="18"/>
                    </w:rPr>
                    <w:t>10,1</w:t>
                  </w:r>
                </w:p>
              </w:tc>
            </w:tr>
            <w:tr w:rsidR="0031227F" w:rsidRPr="000E16B1" w14:paraId="27C8204D" w14:textId="77777777" w:rsidTr="00277007">
              <w:trPr>
                <w:trHeight w:val="397"/>
              </w:trPr>
              <w:tc>
                <w:tcPr>
                  <w:cnfStyle w:val="001000000000" w:firstRow="0" w:lastRow="0" w:firstColumn="1" w:lastColumn="0" w:oddVBand="0" w:evenVBand="0" w:oddHBand="0" w:evenHBand="0" w:firstRowFirstColumn="0" w:firstRowLastColumn="0" w:lastRowFirstColumn="0" w:lastRowLastColumn="0"/>
                  <w:tcW w:w="1426" w:type="dxa"/>
                  <w:vAlign w:val="center"/>
                </w:tcPr>
                <w:p w14:paraId="116E28F6" w14:textId="77777777" w:rsidR="0031227F" w:rsidRPr="000E16B1" w:rsidRDefault="0031227F" w:rsidP="00277007">
                  <w:pPr>
                    <w:ind w:firstLine="0"/>
                    <w:jc w:val="left"/>
                    <w:rPr>
                      <w:rFonts w:eastAsia="Calibri" w:cs="Times New Roman"/>
                      <w:color w:val="000000"/>
                      <w:sz w:val="18"/>
                      <w:szCs w:val="18"/>
                    </w:rPr>
                  </w:pPr>
                  <w:r w:rsidRPr="000E16B1">
                    <w:rPr>
                      <w:rFonts w:eastAsia="Calibri" w:cs="Times New Roman"/>
                      <w:color w:val="000000"/>
                      <w:sz w:val="18"/>
                      <w:szCs w:val="18"/>
                    </w:rPr>
                    <w:t>Atpūta un kultūra</w:t>
                  </w:r>
                </w:p>
              </w:tc>
              <w:tc>
                <w:tcPr>
                  <w:tcW w:w="576" w:type="dxa"/>
                  <w:vAlign w:val="center"/>
                </w:tcPr>
                <w:p w14:paraId="4A261027" w14:textId="77777777" w:rsidR="0031227F" w:rsidRPr="000E16B1" w:rsidRDefault="0031227F" w:rsidP="00277007">
                  <w:pPr>
                    <w:ind w:firstLine="0"/>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000000"/>
                      <w:sz w:val="18"/>
                      <w:szCs w:val="18"/>
                    </w:rPr>
                  </w:pPr>
                  <w:r w:rsidRPr="000E16B1">
                    <w:rPr>
                      <w:rFonts w:eastAsia="Calibri" w:cs="Times New Roman"/>
                      <w:color w:val="000000"/>
                      <w:sz w:val="18"/>
                      <w:szCs w:val="18"/>
                    </w:rPr>
                    <w:t>6,3</w:t>
                  </w:r>
                </w:p>
              </w:tc>
              <w:tc>
                <w:tcPr>
                  <w:tcW w:w="707" w:type="dxa"/>
                  <w:vAlign w:val="center"/>
                </w:tcPr>
                <w:p w14:paraId="31467725" w14:textId="77777777" w:rsidR="0031227F" w:rsidRPr="000E16B1" w:rsidRDefault="0031227F" w:rsidP="00277007">
                  <w:pPr>
                    <w:ind w:firstLine="0"/>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000000"/>
                      <w:sz w:val="18"/>
                      <w:szCs w:val="18"/>
                    </w:rPr>
                  </w:pPr>
                  <w:r w:rsidRPr="000E16B1">
                    <w:rPr>
                      <w:rFonts w:eastAsia="Calibri" w:cs="Times New Roman"/>
                      <w:color w:val="000000"/>
                      <w:sz w:val="18"/>
                      <w:szCs w:val="18"/>
                    </w:rPr>
                    <w:t>11,1</w:t>
                  </w:r>
                </w:p>
              </w:tc>
              <w:tc>
                <w:tcPr>
                  <w:tcW w:w="698" w:type="dxa"/>
                  <w:vAlign w:val="center"/>
                </w:tcPr>
                <w:p w14:paraId="77558B26" w14:textId="77777777" w:rsidR="0031227F" w:rsidRPr="000E16B1" w:rsidRDefault="0031227F" w:rsidP="00277007">
                  <w:pPr>
                    <w:ind w:firstLine="0"/>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000000"/>
                      <w:sz w:val="18"/>
                      <w:szCs w:val="18"/>
                    </w:rPr>
                  </w:pPr>
                  <w:r w:rsidRPr="000E16B1">
                    <w:rPr>
                      <w:rFonts w:eastAsia="Calibri" w:cs="Times New Roman"/>
                      <w:color w:val="000000"/>
                      <w:sz w:val="18"/>
                      <w:szCs w:val="18"/>
                    </w:rPr>
                    <w:t>11,5</w:t>
                  </w:r>
                </w:p>
              </w:tc>
            </w:tr>
            <w:tr w:rsidR="0031227F" w:rsidRPr="000E16B1" w14:paraId="75F683B8" w14:textId="77777777" w:rsidTr="0027700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26" w:type="dxa"/>
                  <w:vAlign w:val="center"/>
                </w:tcPr>
                <w:p w14:paraId="438BE83D" w14:textId="77777777" w:rsidR="0031227F" w:rsidRPr="000E16B1" w:rsidRDefault="0031227F" w:rsidP="00277007">
                  <w:pPr>
                    <w:ind w:firstLine="0"/>
                    <w:jc w:val="left"/>
                    <w:rPr>
                      <w:rFonts w:eastAsia="Calibri" w:cs="Times New Roman"/>
                      <w:color w:val="000000"/>
                      <w:sz w:val="18"/>
                      <w:szCs w:val="18"/>
                    </w:rPr>
                  </w:pPr>
                  <w:r w:rsidRPr="000E16B1">
                    <w:rPr>
                      <w:rFonts w:eastAsia="Calibri" w:cs="Times New Roman"/>
                      <w:color w:val="000000"/>
                      <w:sz w:val="18"/>
                      <w:szCs w:val="18"/>
                    </w:rPr>
                    <w:t>Restorāni un viesnīcas</w:t>
                  </w:r>
                </w:p>
              </w:tc>
              <w:tc>
                <w:tcPr>
                  <w:tcW w:w="576" w:type="dxa"/>
                  <w:vAlign w:val="center"/>
                </w:tcPr>
                <w:p w14:paraId="695943D3" w14:textId="77777777" w:rsidR="0031227F" w:rsidRPr="000E16B1" w:rsidRDefault="0031227F" w:rsidP="00277007">
                  <w:pPr>
                    <w:ind w:firstLine="0"/>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000000"/>
                      <w:sz w:val="18"/>
                      <w:szCs w:val="18"/>
                    </w:rPr>
                  </w:pPr>
                  <w:r w:rsidRPr="000E16B1">
                    <w:rPr>
                      <w:rFonts w:eastAsia="Calibri" w:cs="Times New Roman"/>
                      <w:color w:val="000000"/>
                      <w:sz w:val="18"/>
                      <w:szCs w:val="18"/>
                    </w:rPr>
                    <w:t>13,4</w:t>
                  </w:r>
                </w:p>
              </w:tc>
              <w:tc>
                <w:tcPr>
                  <w:tcW w:w="707" w:type="dxa"/>
                  <w:vAlign w:val="center"/>
                </w:tcPr>
                <w:p w14:paraId="208BE36D" w14:textId="77777777" w:rsidR="0031227F" w:rsidRPr="000E16B1" w:rsidRDefault="0031227F" w:rsidP="00277007">
                  <w:pPr>
                    <w:ind w:firstLine="0"/>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000000"/>
                      <w:sz w:val="18"/>
                      <w:szCs w:val="18"/>
                    </w:rPr>
                  </w:pPr>
                  <w:r w:rsidRPr="000E16B1">
                    <w:rPr>
                      <w:rFonts w:eastAsia="Calibri" w:cs="Times New Roman"/>
                      <w:color w:val="000000"/>
                      <w:sz w:val="18"/>
                      <w:szCs w:val="18"/>
                    </w:rPr>
                    <w:t>18,6</w:t>
                  </w:r>
                </w:p>
              </w:tc>
              <w:tc>
                <w:tcPr>
                  <w:tcW w:w="698" w:type="dxa"/>
                  <w:vAlign w:val="center"/>
                </w:tcPr>
                <w:p w14:paraId="31A0840C" w14:textId="77777777" w:rsidR="0031227F" w:rsidRPr="000E16B1" w:rsidRDefault="0031227F" w:rsidP="00277007">
                  <w:pPr>
                    <w:ind w:firstLine="0"/>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000000"/>
                      <w:sz w:val="18"/>
                      <w:szCs w:val="18"/>
                    </w:rPr>
                  </w:pPr>
                  <w:r w:rsidRPr="000E16B1">
                    <w:rPr>
                      <w:rFonts w:eastAsia="Calibri" w:cs="Times New Roman"/>
                      <w:color w:val="000000"/>
                      <w:sz w:val="18"/>
                      <w:szCs w:val="18"/>
                    </w:rPr>
                    <w:t>18,2</w:t>
                  </w:r>
                </w:p>
              </w:tc>
            </w:tr>
            <w:tr w:rsidR="0031227F" w:rsidRPr="000E16B1" w14:paraId="1C5262C5" w14:textId="77777777" w:rsidTr="00277007">
              <w:trPr>
                <w:trHeight w:val="397"/>
              </w:trPr>
              <w:tc>
                <w:tcPr>
                  <w:cnfStyle w:val="001000000000" w:firstRow="0" w:lastRow="0" w:firstColumn="1" w:lastColumn="0" w:oddVBand="0" w:evenVBand="0" w:oddHBand="0" w:evenHBand="0" w:firstRowFirstColumn="0" w:firstRowLastColumn="0" w:lastRowFirstColumn="0" w:lastRowLastColumn="0"/>
                  <w:tcW w:w="1426" w:type="dxa"/>
                  <w:vAlign w:val="center"/>
                </w:tcPr>
                <w:p w14:paraId="0D280F00" w14:textId="77777777" w:rsidR="0031227F" w:rsidRPr="000E16B1" w:rsidRDefault="0031227F" w:rsidP="00277007">
                  <w:pPr>
                    <w:ind w:firstLine="0"/>
                    <w:jc w:val="left"/>
                    <w:rPr>
                      <w:rFonts w:eastAsia="Calibri" w:cs="Times New Roman"/>
                      <w:color w:val="000000"/>
                      <w:sz w:val="18"/>
                      <w:szCs w:val="18"/>
                    </w:rPr>
                  </w:pPr>
                  <w:proofErr w:type="spellStart"/>
                  <w:r w:rsidRPr="000E16B1">
                    <w:rPr>
                      <w:rFonts w:eastAsia="Calibri" w:cs="Times New Roman"/>
                      <w:color w:val="000000"/>
                      <w:sz w:val="18"/>
                      <w:szCs w:val="18"/>
                      <w:lang w:val="es-ES"/>
                    </w:rPr>
                    <w:t>Dažādas</w:t>
                  </w:r>
                  <w:proofErr w:type="spellEnd"/>
                  <w:r w:rsidRPr="000E16B1">
                    <w:rPr>
                      <w:rFonts w:eastAsia="Calibri" w:cs="Times New Roman"/>
                      <w:color w:val="000000"/>
                      <w:sz w:val="18"/>
                      <w:szCs w:val="18"/>
                      <w:lang w:val="es-ES"/>
                    </w:rPr>
                    <w:t xml:space="preserve"> preces un </w:t>
                  </w:r>
                  <w:proofErr w:type="spellStart"/>
                  <w:r w:rsidRPr="000E16B1">
                    <w:rPr>
                      <w:rFonts w:eastAsia="Calibri" w:cs="Times New Roman"/>
                      <w:color w:val="000000"/>
                      <w:sz w:val="18"/>
                      <w:szCs w:val="18"/>
                      <w:lang w:val="es-ES"/>
                    </w:rPr>
                    <w:t>pakalpojumi</w:t>
                  </w:r>
                  <w:proofErr w:type="spellEnd"/>
                </w:p>
              </w:tc>
              <w:tc>
                <w:tcPr>
                  <w:tcW w:w="576" w:type="dxa"/>
                  <w:vAlign w:val="center"/>
                </w:tcPr>
                <w:p w14:paraId="54D42EDE" w14:textId="77777777" w:rsidR="0031227F" w:rsidRPr="000E16B1" w:rsidRDefault="0031227F" w:rsidP="00277007">
                  <w:pPr>
                    <w:ind w:firstLine="0"/>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000000"/>
                      <w:sz w:val="18"/>
                      <w:szCs w:val="18"/>
                    </w:rPr>
                  </w:pPr>
                  <w:r w:rsidRPr="000E16B1">
                    <w:rPr>
                      <w:rFonts w:eastAsia="Calibri" w:cs="Times New Roman"/>
                      <w:color w:val="000000"/>
                      <w:sz w:val="18"/>
                      <w:szCs w:val="18"/>
                    </w:rPr>
                    <w:t>11,8</w:t>
                  </w:r>
                </w:p>
              </w:tc>
              <w:tc>
                <w:tcPr>
                  <w:tcW w:w="707" w:type="dxa"/>
                  <w:vAlign w:val="center"/>
                </w:tcPr>
                <w:p w14:paraId="6B16D981" w14:textId="77777777" w:rsidR="0031227F" w:rsidRPr="000E16B1" w:rsidRDefault="0031227F" w:rsidP="00277007">
                  <w:pPr>
                    <w:ind w:firstLine="0"/>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000000"/>
                      <w:sz w:val="18"/>
                      <w:szCs w:val="18"/>
                    </w:rPr>
                  </w:pPr>
                  <w:r w:rsidRPr="000E16B1">
                    <w:rPr>
                      <w:rFonts w:eastAsia="Calibri" w:cs="Times New Roman"/>
                      <w:color w:val="000000"/>
                      <w:sz w:val="18"/>
                      <w:szCs w:val="18"/>
                    </w:rPr>
                    <w:t>17,4</w:t>
                  </w:r>
                </w:p>
              </w:tc>
              <w:tc>
                <w:tcPr>
                  <w:tcW w:w="698" w:type="dxa"/>
                  <w:vAlign w:val="center"/>
                </w:tcPr>
                <w:p w14:paraId="66A3286A" w14:textId="77777777" w:rsidR="0031227F" w:rsidRPr="000E16B1" w:rsidRDefault="0031227F" w:rsidP="00277007">
                  <w:pPr>
                    <w:ind w:firstLine="0"/>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000000"/>
                      <w:sz w:val="18"/>
                      <w:szCs w:val="18"/>
                    </w:rPr>
                  </w:pPr>
                  <w:r w:rsidRPr="000E16B1">
                    <w:rPr>
                      <w:rFonts w:eastAsia="Calibri" w:cs="Times New Roman"/>
                      <w:color w:val="000000"/>
                      <w:sz w:val="18"/>
                      <w:szCs w:val="18"/>
                    </w:rPr>
                    <w:t>17,2</w:t>
                  </w:r>
                </w:p>
              </w:tc>
            </w:tr>
          </w:tbl>
          <w:p w14:paraId="1FA3E780" w14:textId="77777777" w:rsidR="0031227F" w:rsidRPr="000E16B1" w:rsidRDefault="0031227F" w:rsidP="00277007">
            <w:pPr>
              <w:ind w:firstLine="0"/>
              <w:jc w:val="left"/>
              <w:rPr>
                <w:rFonts w:eastAsia="Calibri" w:cs="Times New Roman"/>
                <w:sz w:val="16"/>
                <w:szCs w:val="16"/>
              </w:rPr>
            </w:pPr>
          </w:p>
        </w:tc>
      </w:tr>
      <w:tr w:rsidR="0031227F" w:rsidRPr="000E16B1" w14:paraId="5F687327" w14:textId="77777777" w:rsidTr="00277007">
        <w:tc>
          <w:tcPr>
            <w:tcW w:w="5428" w:type="dxa"/>
          </w:tcPr>
          <w:p w14:paraId="65904BA9" w14:textId="77777777" w:rsidR="0031227F" w:rsidRPr="000E16B1" w:rsidRDefault="0031227F" w:rsidP="00277007">
            <w:pPr>
              <w:ind w:firstLine="0"/>
              <w:jc w:val="left"/>
              <w:rPr>
                <w:rFonts w:eastAsia="Calibri" w:cs="Times New Roman"/>
                <w:noProof/>
                <w:sz w:val="22"/>
              </w:rPr>
            </w:pPr>
            <w:r w:rsidRPr="00E43762">
              <w:rPr>
                <w:rFonts w:eastAsia="Calibri" w:cs="Times New Roman"/>
                <w:b/>
                <w:i/>
                <w:iCs/>
                <w:noProof/>
                <w:sz w:val="22"/>
              </w:rPr>
              <w:t>2.4</w:t>
            </w:r>
            <w:r w:rsidRPr="00E43762">
              <w:rPr>
                <w:rFonts w:eastAsia="Times New Roman" w:cs="Times New Roman"/>
                <w:b/>
                <w:i/>
                <w:noProof/>
                <w:sz w:val="24"/>
                <w:szCs w:val="24"/>
              </w:rPr>
              <w:t>. att. Devums gada inflācijā pēc izcelsmes avota (procentpunkti</w:t>
            </w:r>
            <w:r w:rsidRPr="000E16B1">
              <w:rPr>
                <w:rFonts w:eastAsia="Times New Roman" w:cs="Times New Roman"/>
                <w:b/>
                <w:i/>
                <w:noProof/>
                <w:sz w:val="24"/>
                <w:szCs w:val="24"/>
              </w:rPr>
              <w:t>) un vidējās patēriņa cenu pārmaiņas (PCI, %)</w:t>
            </w:r>
            <w:r w:rsidRPr="000E16B1">
              <w:rPr>
                <w:rFonts w:eastAsia="Times New Roman" w:cs="Times New Roman"/>
                <w:b/>
                <w:i/>
                <w:noProof/>
                <w:sz w:val="24"/>
                <w:szCs w:val="24"/>
              </w:rPr>
              <w:footnoteReference w:id="3"/>
            </w:r>
          </w:p>
        </w:tc>
        <w:tc>
          <w:tcPr>
            <w:tcW w:w="3633" w:type="dxa"/>
          </w:tcPr>
          <w:p w14:paraId="6BB37A51" w14:textId="77777777" w:rsidR="0031227F" w:rsidRPr="000E16B1" w:rsidRDefault="0031227F" w:rsidP="00277007">
            <w:pPr>
              <w:ind w:firstLine="0"/>
              <w:jc w:val="left"/>
              <w:rPr>
                <w:rFonts w:eastAsia="Calibri" w:cs="Times New Roman"/>
                <w:b/>
                <w:bCs/>
                <w:color w:val="000000"/>
                <w:sz w:val="22"/>
              </w:rPr>
            </w:pPr>
            <w:r w:rsidRPr="00E43762">
              <w:rPr>
                <w:rFonts w:eastAsia="Calibri" w:cs="Times New Roman"/>
                <w:b/>
                <w:bCs/>
                <w:i/>
                <w:iCs/>
                <w:sz w:val="22"/>
              </w:rPr>
              <w:t>2.1. tabula</w:t>
            </w:r>
            <w:r>
              <w:rPr>
                <w:rFonts w:eastAsia="Calibri" w:cs="Times New Roman"/>
                <w:b/>
                <w:bCs/>
                <w:i/>
                <w:iCs/>
                <w:sz w:val="22"/>
              </w:rPr>
              <w:t>. gad</w:t>
            </w:r>
            <w:r w:rsidRPr="00E43762">
              <w:rPr>
                <w:rFonts w:eastAsia="Calibri" w:cs="Times New Roman"/>
                <w:b/>
                <w:bCs/>
                <w:i/>
                <w:iCs/>
                <w:sz w:val="22"/>
              </w:rPr>
              <w:t xml:space="preserve">a inflācija pa grupām </w:t>
            </w:r>
            <w:r w:rsidRPr="000E16B1">
              <w:rPr>
                <w:rFonts w:eastAsia="Calibri" w:cs="Times New Roman"/>
                <w:b/>
                <w:bCs/>
                <w:i/>
                <w:iCs/>
                <w:sz w:val="22"/>
              </w:rPr>
              <w:t>2022</w:t>
            </w:r>
            <w:r>
              <w:rPr>
                <w:rFonts w:eastAsia="Calibri" w:cs="Times New Roman"/>
                <w:b/>
                <w:bCs/>
                <w:i/>
                <w:iCs/>
                <w:sz w:val="22"/>
              </w:rPr>
              <w:t>. gad</w:t>
            </w:r>
            <w:r w:rsidRPr="000E16B1">
              <w:rPr>
                <w:rFonts w:eastAsia="Calibri" w:cs="Times New Roman"/>
                <w:b/>
                <w:bCs/>
                <w:i/>
                <w:iCs/>
                <w:sz w:val="22"/>
              </w:rPr>
              <w:t>ā vidēji un 2023</w:t>
            </w:r>
            <w:r>
              <w:rPr>
                <w:rFonts w:eastAsia="Calibri" w:cs="Times New Roman"/>
                <w:b/>
                <w:bCs/>
                <w:i/>
                <w:iCs/>
                <w:sz w:val="22"/>
              </w:rPr>
              <w:t>. gada</w:t>
            </w:r>
            <w:r w:rsidRPr="000E16B1">
              <w:rPr>
                <w:rFonts w:eastAsia="Calibri" w:cs="Times New Roman"/>
                <w:b/>
                <w:bCs/>
                <w:i/>
                <w:iCs/>
                <w:sz w:val="22"/>
              </w:rPr>
              <w:t xml:space="preserve"> janvārī un februārī, %</w:t>
            </w:r>
          </w:p>
        </w:tc>
      </w:tr>
    </w:tbl>
    <w:p w14:paraId="45169794" w14:textId="77777777" w:rsidR="0031227F" w:rsidRPr="000E16B1" w:rsidRDefault="0031227F" w:rsidP="000C45B5">
      <w:pPr>
        <w:spacing w:line="259" w:lineRule="auto"/>
        <w:ind w:firstLine="0"/>
        <w:jc w:val="left"/>
        <w:rPr>
          <w:rFonts w:ascii="Calibri" w:eastAsia="Calibri" w:hAnsi="Calibri" w:cs="Times New Roman"/>
          <w:sz w:val="22"/>
        </w:rPr>
      </w:pPr>
    </w:p>
    <w:p w14:paraId="0EC1DEA3" w14:textId="4EBCC31B" w:rsidR="0031227F" w:rsidRPr="00FE634D" w:rsidRDefault="0031227F" w:rsidP="0031227F">
      <w:pPr>
        <w:ind w:firstLine="709"/>
        <w:rPr>
          <w:rFonts w:cs="Times New Roman"/>
          <w:noProof/>
          <w:color w:val="000000" w:themeColor="text1"/>
          <w:sz w:val="24"/>
          <w:szCs w:val="24"/>
        </w:rPr>
      </w:pPr>
      <w:bookmarkStart w:id="13" w:name="_Hlk131017158"/>
      <w:r w:rsidRPr="00FE634D">
        <w:rPr>
          <w:rFonts w:cs="Times New Roman"/>
          <w:noProof/>
          <w:color w:val="000000" w:themeColor="text1"/>
          <w:sz w:val="24"/>
          <w:szCs w:val="24"/>
        </w:rPr>
        <w:t>2022</w:t>
      </w:r>
      <w:r>
        <w:rPr>
          <w:rFonts w:cs="Times New Roman"/>
          <w:noProof/>
          <w:color w:val="000000" w:themeColor="text1"/>
          <w:sz w:val="24"/>
          <w:szCs w:val="24"/>
        </w:rPr>
        <w:t>. gad</w:t>
      </w:r>
      <w:r w:rsidRPr="00FE634D">
        <w:rPr>
          <w:rFonts w:cs="Times New Roman"/>
          <w:noProof/>
          <w:color w:val="000000" w:themeColor="text1"/>
          <w:sz w:val="24"/>
          <w:szCs w:val="24"/>
        </w:rPr>
        <w:t>ā patēriņa cenu pieaug</w:t>
      </w:r>
      <w:r>
        <w:rPr>
          <w:rFonts w:cs="Times New Roman"/>
          <w:noProof/>
          <w:color w:val="000000" w:themeColor="text1"/>
          <w:sz w:val="24"/>
          <w:szCs w:val="24"/>
        </w:rPr>
        <w:t>u</w:t>
      </w:r>
      <w:r w:rsidRPr="00FE634D">
        <w:rPr>
          <w:rFonts w:cs="Times New Roman"/>
          <w:noProof/>
          <w:color w:val="000000" w:themeColor="text1"/>
          <w:sz w:val="24"/>
          <w:szCs w:val="24"/>
        </w:rPr>
        <w:t xml:space="preserve">ms </w:t>
      </w:r>
      <w:r>
        <w:rPr>
          <w:rFonts w:cs="Times New Roman"/>
          <w:noProof/>
          <w:color w:val="000000" w:themeColor="text1"/>
          <w:sz w:val="24"/>
          <w:szCs w:val="24"/>
        </w:rPr>
        <w:t xml:space="preserve">Latvijā </w:t>
      </w:r>
      <w:r w:rsidRPr="00FE634D">
        <w:rPr>
          <w:rFonts w:cs="Times New Roman"/>
          <w:noProof/>
          <w:color w:val="000000" w:themeColor="text1"/>
          <w:sz w:val="24"/>
          <w:szCs w:val="24"/>
        </w:rPr>
        <w:t xml:space="preserve">bijis trešais augstākais starp ES dalībvalstīm un būtiski augstāks salīdzinot ar vidējo cenu pieaugumu </w:t>
      </w:r>
      <w:r w:rsidRPr="000C45B5">
        <w:rPr>
          <w:rFonts w:cs="Times New Roman"/>
          <w:i/>
          <w:iCs/>
          <w:noProof/>
          <w:color w:val="000000" w:themeColor="text1"/>
          <w:sz w:val="24"/>
          <w:szCs w:val="24"/>
        </w:rPr>
        <w:t>e</w:t>
      </w:r>
      <w:r w:rsidR="000C45B5" w:rsidRPr="000C45B5">
        <w:rPr>
          <w:rFonts w:cs="Times New Roman"/>
          <w:i/>
          <w:iCs/>
          <w:noProof/>
          <w:color w:val="000000" w:themeColor="text1"/>
          <w:sz w:val="24"/>
          <w:szCs w:val="24"/>
        </w:rPr>
        <w:t>u</w:t>
      </w:r>
      <w:r w:rsidRPr="000C45B5">
        <w:rPr>
          <w:rFonts w:cs="Times New Roman"/>
          <w:i/>
          <w:iCs/>
          <w:noProof/>
          <w:color w:val="000000" w:themeColor="text1"/>
          <w:sz w:val="24"/>
          <w:szCs w:val="24"/>
        </w:rPr>
        <w:t>ro</w:t>
      </w:r>
      <w:r w:rsidR="000C45B5">
        <w:rPr>
          <w:rFonts w:cs="Times New Roman"/>
          <w:noProof/>
          <w:color w:val="000000" w:themeColor="text1"/>
          <w:sz w:val="24"/>
          <w:szCs w:val="24"/>
        </w:rPr>
        <w:t xml:space="preserve"> </w:t>
      </w:r>
      <w:r w:rsidRPr="00FE634D">
        <w:rPr>
          <w:rFonts w:cs="Times New Roman"/>
          <w:noProof/>
          <w:color w:val="000000" w:themeColor="text1"/>
          <w:sz w:val="24"/>
          <w:szCs w:val="24"/>
        </w:rPr>
        <w:t xml:space="preserve">zonā 8,4% apmērā. </w:t>
      </w:r>
      <w:r>
        <w:rPr>
          <w:rFonts w:cs="Times New Roman"/>
          <w:noProof/>
          <w:color w:val="000000" w:themeColor="text1"/>
          <w:sz w:val="24"/>
          <w:szCs w:val="24"/>
        </w:rPr>
        <w:t>A</w:t>
      </w:r>
      <w:r w:rsidRPr="00FE634D">
        <w:rPr>
          <w:rFonts w:cs="Times New Roman"/>
          <w:noProof/>
          <w:color w:val="000000" w:themeColor="text1"/>
          <w:sz w:val="24"/>
          <w:szCs w:val="24"/>
        </w:rPr>
        <w:t xml:space="preserve">tšķirības </w:t>
      </w:r>
      <w:r>
        <w:rPr>
          <w:rFonts w:cs="Times New Roman"/>
          <w:noProof/>
          <w:color w:val="000000" w:themeColor="text1"/>
          <w:sz w:val="24"/>
          <w:szCs w:val="24"/>
        </w:rPr>
        <w:t xml:space="preserve">no </w:t>
      </w:r>
      <w:r w:rsidRPr="000C45B5">
        <w:rPr>
          <w:rFonts w:cs="Times New Roman"/>
          <w:i/>
          <w:iCs/>
          <w:noProof/>
          <w:color w:val="000000" w:themeColor="text1"/>
          <w:sz w:val="24"/>
          <w:szCs w:val="24"/>
        </w:rPr>
        <w:t>e</w:t>
      </w:r>
      <w:r w:rsidR="000C45B5" w:rsidRPr="000C45B5">
        <w:rPr>
          <w:rFonts w:cs="Times New Roman"/>
          <w:i/>
          <w:iCs/>
          <w:noProof/>
          <w:color w:val="000000" w:themeColor="text1"/>
          <w:sz w:val="24"/>
          <w:szCs w:val="24"/>
        </w:rPr>
        <w:t>u</w:t>
      </w:r>
      <w:r w:rsidRPr="000C45B5">
        <w:rPr>
          <w:rFonts w:cs="Times New Roman"/>
          <w:i/>
          <w:iCs/>
          <w:noProof/>
          <w:color w:val="000000" w:themeColor="text1"/>
          <w:sz w:val="24"/>
          <w:szCs w:val="24"/>
        </w:rPr>
        <w:t>ro</w:t>
      </w:r>
      <w:r w:rsidR="000C45B5">
        <w:rPr>
          <w:rFonts w:cs="Times New Roman"/>
          <w:noProof/>
          <w:color w:val="000000" w:themeColor="text1"/>
          <w:sz w:val="24"/>
          <w:szCs w:val="24"/>
        </w:rPr>
        <w:t xml:space="preserve"> </w:t>
      </w:r>
      <w:r w:rsidRPr="00FE634D">
        <w:rPr>
          <w:rFonts w:cs="Times New Roman"/>
          <w:noProof/>
          <w:color w:val="000000" w:themeColor="text1"/>
          <w:sz w:val="24"/>
          <w:szCs w:val="24"/>
        </w:rPr>
        <w:t>zonas vidēj</w:t>
      </w:r>
      <w:r>
        <w:rPr>
          <w:rFonts w:cs="Times New Roman"/>
          <w:noProof/>
          <w:color w:val="000000" w:themeColor="text1"/>
          <w:sz w:val="24"/>
          <w:szCs w:val="24"/>
        </w:rPr>
        <w:t>ās inflācijas rādītājiem</w:t>
      </w:r>
      <w:r w:rsidRPr="00FE634D">
        <w:rPr>
          <w:rFonts w:cs="Times New Roman"/>
          <w:noProof/>
          <w:color w:val="000000" w:themeColor="text1"/>
          <w:sz w:val="24"/>
          <w:szCs w:val="24"/>
        </w:rPr>
        <w:t xml:space="preserve"> skaidrojamas ar vairākiem </w:t>
      </w:r>
      <w:r>
        <w:rPr>
          <w:rFonts w:cs="Times New Roman"/>
          <w:noProof/>
          <w:color w:val="000000" w:themeColor="text1"/>
          <w:sz w:val="24"/>
          <w:szCs w:val="24"/>
        </w:rPr>
        <w:t>faktoriem</w:t>
      </w:r>
      <w:r w:rsidRPr="00FE634D">
        <w:rPr>
          <w:rFonts w:cs="Times New Roman"/>
          <w:noProof/>
          <w:color w:val="000000" w:themeColor="text1"/>
          <w:sz w:val="24"/>
          <w:szCs w:val="24"/>
        </w:rPr>
        <w:t xml:space="preserve">. Pirmkārt, </w:t>
      </w:r>
      <w:r>
        <w:rPr>
          <w:rFonts w:cs="Times New Roman"/>
          <w:noProof/>
          <w:color w:val="000000" w:themeColor="text1"/>
          <w:sz w:val="24"/>
          <w:szCs w:val="24"/>
        </w:rPr>
        <w:t>to nosaka</w:t>
      </w:r>
      <w:r w:rsidRPr="00FE634D">
        <w:rPr>
          <w:rFonts w:cs="Times New Roman"/>
          <w:noProof/>
          <w:color w:val="000000" w:themeColor="text1"/>
          <w:sz w:val="24"/>
          <w:szCs w:val="24"/>
        </w:rPr>
        <w:t xml:space="preserve"> </w:t>
      </w:r>
      <w:r>
        <w:rPr>
          <w:rFonts w:cs="Times New Roman"/>
          <w:noProof/>
          <w:color w:val="000000" w:themeColor="text1"/>
          <w:sz w:val="24"/>
          <w:szCs w:val="24"/>
        </w:rPr>
        <w:t>atšķirīga</w:t>
      </w:r>
      <w:r w:rsidRPr="00FE634D">
        <w:rPr>
          <w:rFonts w:cs="Times New Roman"/>
          <w:noProof/>
          <w:color w:val="000000" w:themeColor="text1"/>
          <w:sz w:val="24"/>
          <w:szCs w:val="24"/>
        </w:rPr>
        <w:t xml:space="preserve"> patēriņa groza struktūr</w:t>
      </w:r>
      <w:r>
        <w:rPr>
          <w:rFonts w:cs="Times New Roman"/>
          <w:noProof/>
          <w:color w:val="000000" w:themeColor="text1"/>
          <w:sz w:val="24"/>
          <w:szCs w:val="24"/>
        </w:rPr>
        <w:t>a</w:t>
      </w:r>
      <w:r w:rsidRPr="00FE634D">
        <w:rPr>
          <w:rFonts w:cs="Times New Roman"/>
          <w:noProof/>
          <w:color w:val="000000" w:themeColor="text1"/>
          <w:sz w:val="24"/>
          <w:szCs w:val="24"/>
        </w:rPr>
        <w:t>. 2022</w:t>
      </w:r>
      <w:r>
        <w:rPr>
          <w:rFonts w:cs="Times New Roman"/>
          <w:noProof/>
          <w:color w:val="000000" w:themeColor="text1"/>
          <w:sz w:val="24"/>
          <w:szCs w:val="24"/>
        </w:rPr>
        <w:t>. gad</w:t>
      </w:r>
      <w:r w:rsidRPr="00FE634D">
        <w:rPr>
          <w:rFonts w:cs="Times New Roman"/>
          <w:noProof/>
          <w:color w:val="000000" w:themeColor="text1"/>
          <w:sz w:val="24"/>
          <w:szCs w:val="24"/>
        </w:rPr>
        <w:t>ā Latvijā izdevumi pārtikai un energoproduktiem kopumā sasniedz</w:t>
      </w:r>
      <w:r>
        <w:rPr>
          <w:rFonts w:cs="Times New Roman"/>
          <w:noProof/>
          <w:color w:val="000000" w:themeColor="text1"/>
          <w:sz w:val="24"/>
          <w:szCs w:val="24"/>
        </w:rPr>
        <w:t>a</w:t>
      </w:r>
      <w:r w:rsidRPr="00FE634D">
        <w:rPr>
          <w:rFonts w:cs="Times New Roman"/>
          <w:noProof/>
          <w:color w:val="000000" w:themeColor="text1"/>
          <w:sz w:val="24"/>
          <w:szCs w:val="24"/>
        </w:rPr>
        <w:t xml:space="preserve"> 42% no kopējiem patēriņa izdevumiem, kamēr </w:t>
      </w:r>
      <w:r w:rsidRPr="000C45B5">
        <w:rPr>
          <w:rFonts w:cs="Times New Roman"/>
          <w:i/>
          <w:iCs/>
          <w:noProof/>
          <w:color w:val="000000" w:themeColor="text1"/>
          <w:sz w:val="24"/>
          <w:szCs w:val="24"/>
        </w:rPr>
        <w:t>e</w:t>
      </w:r>
      <w:r w:rsidR="000C45B5" w:rsidRPr="000C45B5">
        <w:rPr>
          <w:rFonts w:cs="Times New Roman"/>
          <w:i/>
          <w:iCs/>
          <w:noProof/>
          <w:color w:val="000000" w:themeColor="text1"/>
          <w:sz w:val="24"/>
          <w:szCs w:val="24"/>
        </w:rPr>
        <w:t>u</w:t>
      </w:r>
      <w:r w:rsidRPr="000C45B5">
        <w:rPr>
          <w:rFonts w:cs="Times New Roman"/>
          <w:i/>
          <w:iCs/>
          <w:noProof/>
          <w:color w:val="000000" w:themeColor="text1"/>
          <w:sz w:val="24"/>
          <w:szCs w:val="24"/>
        </w:rPr>
        <w:t>ro</w:t>
      </w:r>
      <w:r w:rsidR="000C45B5">
        <w:rPr>
          <w:rFonts w:cs="Times New Roman"/>
          <w:noProof/>
          <w:color w:val="000000" w:themeColor="text1"/>
          <w:sz w:val="24"/>
          <w:szCs w:val="24"/>
        </w:rPr>
        <w:t xml:space="preserve"> </w:t>
      </w:r>
      <w:r w:rsidRPr="00FE634D">
        <w:rPr>
          <w:rFonts w:cs="Times New Roman"/>
          <w:noProof/>
          <w:color w:val="000000" w:themeColor="text1"/>
          <w:sz w:val="24"/>
          <w:szCs w:val="24"/>
        </w:rPr>
        <w:t xml:space="preserve">zonā vidēji </w:t>
      </w:r>
      <w:r>
        <w:rPr>
          <w:rFonts w:cs="Times New Roman"/>
          <w:noProof/>
          <w:color w:val="000000" w:themeColor="text1"/>
          <w:sz w:val="24"/>
          <w:szCs w:val="24"/>
        </w:rPr>
        <w:t xml:space="preserve">tie veidoja tikai </w:t>
      </w:r>
      <w:r w:rsidRPr="00FE634D">
        <w:rPr>
          <w:rFonts w:cs="Times New Roman"/>
          <w:noProof/>
          <w:color w:val="000000" w:themeColor="text1"/>
          <w:sz w:val="24"/>
          <w:szCs w:val="24"/>
        </w:rPr>
        <w:t xml:space="preserve">27%. Ja Latvijas patēriņa struktūra būtu tāda pati kā </w:t>
      </w:r>
      <w:r w:rsidRPr="000C45B5">
        <w:rPr>
          <w:rFonts w:cs="Times New Roman"/>
          <w:i/>
          <w:iCs/>
          <w:noProof/>
          <w:color w:val="000000" w:themeColor="text1"/>
          <w:sz w:val="24"/>
          <w:szCs w:val="24"/>
        </w:rPr>
        <w:t>e</w:t>
      </w:r>
      <w:r w:rsidR="000C45B5" w:rsidRPr="000C45B5">
        <w:rPr>
          <w:rFonts w:cs="Times New Roman"/>
          <w:i/>
          <w:iCs/>
          <w:noProof/>
          <w:color w:val="000000" w:themeColor="text1"/>
          <w:sz w:val="24"/>
          <w:szCs w:val="24"/>
        </w:rPr>
        <w:t>u</w:t>
      </w:r>
      <w:r w:rsidRPr="000C45B5">
        <w:rPr>
          <w:rFonts w:cs="Times New Roman"/>
          <w:i/>
          <w:iCs/>
          <w:noProof/>
          <w:color w:val="000000" w:themeColor="text1"/>
          <w:sz w:val="24"/>
          <w:szCs w:val="24"/>
        </w:rPr>
        <w:t>ro</w:t>
      </w:r>
      <w:r w:rsidR="000C45B5">
        <w:rPr>
          <w:rFonts w:cs="Times New Roman"/>
          <w:noProof/>
          <w:color w:val="000000" w:themeColor="text1"/>
          <w:sz w:val="24"/>
          <w:szCs w:val="24"/>
        </w:rPr>
        <w:t xml:space="preserve"> </w:t>
      </w:r>
      <w:r w:rsidRPr="00FE634D">
        <w:rPr>
          <w:rFonts w:cs="Times New Roman"/>
          <w:noProof/>
          <w:color w:val="000000" w:themeColor="text1"/>
          <w:sz w:val="24"/>
          <w:szCs w:val="24"/>
        </w:rPr>
        <w:t>zonā, inflācija 2022</w:t>
      </w:r>
      <w:r>
        <w:rPr>
          <w:rFonts w:cs="Times New Roman"/>
          <w:noProof/>
          <w:color w:val="000000" w:themeColor="text1"/>
          <w:sz w:val="24"/>
          <w:szCs w:val="24"/>
        </w:rPr>
        <w:t>. gad</w:t>
      </w:r>
      <w:r w:rsidRPr="00FE634D">
        <w:rPr>
          <w:rFonts w:cs="Times New Roman"/>
          <w:noProof/>
          <w:color w:val="000000" w:themeColor="text1"/>
          <w:sz w:val="24"/>
          <w:szCs w:val="24"/>
        </w:rPr>
        <w:t>ā būtu bijusi 12,9%</w:t>
      </w:r>
      <w:r>
        <w:rPr>
          <w:rFonts w:cs="Times New Roman"/>
          <w:noProof/>
          <w:color w:val="000000" w:themeColor="text1"/>
          <w:sz w:val="24"/>
          <w:szCs w:val="24"/>
        </w:rPr>
        <w:t xml:space="preserve"> – par </w:t>
      </w:r>
      <w:r w:rsidRPr="00FE634D">
        <w:rPr>
          <w:rFonts w:cs="Times New Roman"/>
          <w:noProof/>
          <w:color w:val="000000" w:themeColor="text1"/>
          <w:sz w:val="24"/>
          <w:szCs w:val="24"/>
        </w:rPr>
        <w:t>4,3 procentpunktiem mazāka nekā fakt</w:t>
      </w:r>
      <w:r>
        <w:rPr>
          <w:rFonts w:cs="Times New Roman"/>
          <w:noProof/>
          <w:color w:val="000000" w:themeColor="text1"/>
          <w:sz w:val="24"/>
          <w:szCs w:val="24"/>
        </w:rPr>
        <w:t>iskā inflācija</w:t>
      </w:r>
      <w:r w:rsidRPr="00FE634D">
        <w:rPr>
          <w:rFonts w:cs="Times New Roman"/>
          <w:noProof/>
          <w:color w:val="000000" w:themeColor="text1"/>
          <w:sz w:val="24"/>
          <w:szCs w:val="24"/>
        </w:rPr>
        <w:t xml:space="preserve">. Līdzīgi kā </w:t>
      </w:r>
      <w:r w:rsidR="000C45B5">
        <w:rPr>
          <w:rFonts w:cs="Times New Roman"/>
          <w:noProof/>
          <w:color w:val="000000" w:themeColor="text1"/>
          <w:sz w:val="24"/>
          <w:szCs w:val="24"/>
        </w:rPr>
        <w:t>sabiedrība ar zemiem ienākumiem</w:t>
      </w:r>
      <w:r w:rsidRPr="00FE634D">
        <w:rPr>
          <w:rFonts w:cs="Times New Roman"/>
          <w:noProof/>
          <w:color w:val="000000" w:themeColor="text1"/>
          <w:sz w:val="24"/>
          <w:szCs w:val="24"/>
        </w:rPr>
        <w:t xml:space="preserve"> lielāk</w:t>
      </w:r>
      <w:r w:rsidR="000C45B5">
        <w:rPr>
          <w:rFonts w:cs="Times New Roman"/>
          <w:noProof/>
          <w:color w:val="000000" w:themeColor="text1"/>
          <w:sz w:val="24"/>
          <w:szCs w:val="24"/>
        </w:rPr>
        <w:t>o</w:t>
      </w:r>
      <w:r w:rsidRPr="00FE634D">
        <w:rPr>
          <w:rFonts w:cs="Times New Roman"/>
          <w:noProof/>
          <w:color w:val="000000" w:themeColor="text1"/>
          <w:sz w:val="24"/>
          <w:szCs w:val="24"/>
        </w:rPr>
        <w:t xml:space="preserve"> daļu no saviem ienākumiem tērē pamatvajadzībām</w:t>
      </w:r>
      <w:r>
        <w:rPr>
          <w:rFonts w:cs="Times New Roman"/>
          <w:noProof/>
          <w:color w:val="000000" w:themeColor="text1"/>
          <w:sz w:val="24"/>
          <w:szCs w:val="24"/>
        </w:rPr>
        <w:t>,</w:t>
      </w:r>
      <w:r w:rsidRPr="00FE634D">
        <w:rPr>
          <w:rFonts w:cs="Times New Roman"/>
          <w:noProof/>
          <w:color w:val="000000" w:themeColor="text1"/>
          <w:sz w:val="24"/>
          <w:szCs w:val="24"/>
        </w:rPr>
        <w:t xml:space="preserve"> piemēram, pārtikai, elektrībai, apkurei, tā arī valstīs ar salīdzinoši zemāku ienākumu līmeni pārtikas un energoresursi veido lielāk</w:t>
      </w:r>
      <w:r w:rsidR="000C45B5">
        <w:rPr>
          <w:rFonts w:cs="Times New Roman"/>
          <w:noProof/>
          <w:color w:val="000000" w:themeColor="text1"/>
          <w:sz w:val="24"/>
          <w:szCs w:val="24"/>
        </w:rPr>
        <w:t>o</w:t>
      </w:r>
      <w:r w:rsidRPr="00FE634D">
        <w:rPr>
          <w:rFonts w:cs="Times New Roman"/>
          <w:noProof/>
          <w:color w:val="000000" w:themeColor="text1"/>
          <w:sz w:val="24"/>
          <w:szCs w:val="24"/>
        </w:rPr>
        <w:t xml:space="preserve"> daļu no viņu patēriņa. Tieši pārtikai un energoresursiem 2022</w:t>
      </w:r>
      <w:r>
        <w:rPr>
          <w:rFonts w:cs="Times New Roman"/>
          <w:noProof/>
          <w:color w:val="000000" w:themeColor="text1"/>
          <w:sz w:val="24"/>
          <w:szCs w:val="24"/>
        </w:rPr>
        <w:t>. gad</w:t>
      </w:r>
      <w:r w:rsidRPr="00FE634D">
        <w:rPr>
          <w:rFonts w:cs="Times New Roman"/>
          <w:noProof/>
          <w:color w:val="000000" w:themeColor="text1"/>
          <w:sz w:val="24"/>
          <w:szCs w:val="24"/>
        </w:rPr>
        <w:t>ā bija fi</w:t>
      </w:r>
      <w:r>
        <w:rPr>
          <w:rFonts w:cs="Times New Roman"/>
          <w:noProof/>
          <w:color w:val="000000" w:themeColor="text1"/>
          <w:sz w:val="24"/>
          <w:szCs w:val="24"/>
        </w:rPr>
        <w:t>ks</w:t>
      </w:r>
      <w:r w:rsidRPr="00FE634D">
        <w:rPr>
          <w:rFonts w:cs="Times New Roman"/>
          <w:noProof/>
          <w:color w:val="000000" w:themeColor="text1"/>
          <w:sz w:val="24"/>
          <w:szCs w:val="24"/>
        </w:rPr>
        <w:t>ēti straujāki</w:t>
      </w:r>
      <w:r>
        <w:rPr>
          <w:rFonts w:cs="Times New Roman"/>
          <w:noProof/>
          <w:color w:val="000000" w:themeColor="text1"/>
          <w:sz w:val="24"/>
          <w:szCs w:val="24"/>
        </w:rPr>
        <w:t>e</w:t>
      </w:r>
      <w:r w:rsidRPr="00FE634D">
        <w:rPr>
          <w:rFonts w:cs="Times New Roman"/>
          <w:noProof/>
          <w:color w:val="000000" w:themeColor="text1"/>
          <w:sz w:val="24"/>
          <w:szCs w:val="24"/>
        </w:rPr>
        <w:t xml:space="preserve"> cenu pieaugumi. </w:t>
      </w:r>
    </w:p>
    <w:p w14:paraId="3E86CCD6" w14:textId="0665CC23" w:rsidR="0031227F" w:rsidRPr="00FE634D" w:rsidRDefault="0031227F" w:rsidP="0031227F">
      <w:pPr>
        <w:ind w:firstLine="709"/>
        <w:rPr>
          <w:rFonts w:cs="Times New Roman"/>
          <w:noProof/>
          <w:color w:val="000000" w:themeColor="text1"/>
          <w:sz w:val="24"/>
          <w:szCs w:val="24"/>
        </w:rPr>
      </w:pPr>
      <w:r w:rsidRPr="00FE634D">
        <w:rPr>
          <w:rFonts w:cs="Times New Roman"/>
          <w:noProof/>
          <w:color w:val="000000" w:themeColor="text1"/>
          <w:sz w:val="24"/>
          <w:szCs w:val="24"/>
        </w:rPr>
        <w:t xml:space="preserve">Otrkārt, valstis izmantoja dažādas stratēģijas cīņā pret augsto inflāciju. Atsevišķās </w:t>
      </w:r>
      <w:r w:rsidRPr="000C45B5">
        <w:rPr>
          <w:rFonts w:cs="Times New Roman"/>
          <w:i/>
          <w:iCs/>
          <w:noProof/>
          <w:color w:val="000000" w:themeColor="text1"/>
          <w:sz w:val="24"/>
          <w:szCs w:val="24"/>
        </w:rPr>
        <w:t>e</w:t>
      </w:r>
      <w:r w:rsidR="000C45B5" w:rsidRPr="000C45B5">
        <w:rPr>
          <w:rFonts w:cs="Times New Roman"/>
          <w:i/>
          <w:iCs/>
          <w:noProof/>
          <w:color w:val="000000" w:themeColor="text1"/>
          <w:sz w:val="24"/>
          <w:szCs w:val="24"/>
        </w:rPr>
        <w:t>u</w:t>
      </w:r>
      <w:r w:rsidRPr="000C45B5">
        <w:rPr>
          <w:rFonts w:cs="Times New Roman"/>
          <w:i/>
          <w:iCs/>
          <w:noProof/>
          <w:color w:val="000000" w:themeColor="text1"/>
          <w:sz w:val="24"/>
          <w:szCs w:val="24"/>
        </w:rPr>
        <w:t>ro</w:t>
      </w:r>
      <w:r w:rsidR="000C45B5">
        <w:rPr>
          <w:rFonts w:cs="Times New Roman"/>
          <w:noProof/>
          <w:color w:val="000000" w:themeColor="text1"/>
          <w:sz w:val="24"/>
          <w:szCs w:val="24"/>
        </w:rPr>
        <w:t xml:space="preserve"> </w:t>
      </w:r>
      <w:r w:rsidRPr="00FE634D">
        <w:rPr>
          <w:rFonts w:cs="Times New Roman"/>
          <w:noProof/>
          <w:color w:val="000000" w:themeColor="text1"/>
          <w:sz w:val="24"/>
          <w:szCs w:val="24"/>
        </w:rPr>
        <w:t xml:space="preserve">zonas valstīs nodokļi </w:t>
      </w:r>
      <w:r>
        <w:rPr>
          <w:rFonts w:cs="Times New Roman"/>
          <w:noProof/>
          <w:color w:val="000000" w:themeColor="text1"/>
          <w:sz w:val="24"/>
          <w:szCs w:val="24"/>
        </w:rPr>
        <w:t>tika</w:t>
      </w:r>
      <w:r w:rsidRPr="00FE634D">
        <w:rPr>
          <w:rFonts w:cs="Times New Roman"/>
          <w:noProof/>
          <w:color w:val="000000" w:themeColor="text1"/>
          <w:sz w:val="24"/>
          <w:szCs w:val="24"/>
        </w:rPr>
        <w:t xml:space="preserve"> tieši izmantoti pārtikas un energoresursu cenu pazemināšanai, uz noteiktu laiku piemērojot samazināto </w:t>
      </w:r>
      <w:r w:rsidR="000C45B5">
        <w:rPr>
          <w:rFonts w:cs="Times New Roman"/>
          <w:noProof/>
          <w:color w:val="000000" w:themeColor="text1"/>
          <w:sz w:val="24"/>
          <w:szCs w:val="24"/>
        </w:rPr>
        <w:t>PVN</w:t>
      </w:r>
      <w:r w:rsidRPr="00FE634D">
        <w:rPr>
          <w:rFonts w:cs="Times New Roman"/>
          <w:noProof/>
          <w:color w:val="000000" w:themeColor="text1"/>
          <w:sz w:val="24"/>
          <w:szCs w:val="24"/>
        </w:rPr>
        <w:t xml:space="preserve"> vai akcīzes nodokļa likmi. Patēriņa nodokļi Latvijā pēdējos gados ir nedaudz pieauguši. Piemēram, jau vairākus gadus pēc kārtas ir paaugstināta akcīzes nodokļa likme tabakas izstrādājumiem. 2022</w:t>
      </w:r>
      <w:r>
        <w:rPr>
          <w:rFonts w:cs="Times New Roman"/>
          <w:noProof/>
          <w:color w:val="000000" w:themeColor="text1"/>
          <w:sz w:val="24"/>
          <w:szCs w:val="24"/>
        </w:rPr>
        <w:t>. gad</w:t>
      </w:r>
      <w:r w:rsidRPr="00FE634D">
        <w:rPr>
          <w:rFonts w:cs="Times New Roman"/>
          <w:noProof/>
          <w:color w:val="000000" w:themeColor="text1"/>
          <w:sz w:val="24"/>
          <w:szCs w:val="24"/>
        </w:rPr>
        <w:t xml:space="preserve">ā akcīzes nodoklis ir palielināts arī </w:t>
      </w:r>
      <w:r>
        <w:rPr>
          <w:rFonts w:cs="Times New Roman"/>
          <w:noProof/>
          <w:color w:val="000000" w:themeColor="text1"/>
          <w:sz w:val="24"/>
          <w:szCs w:val="24"/>
        </w:rPr>
        <w:t>atsevišķiem</w:t>
      </w:r>
      <w:r w:rsidRPr="00FE634D">
        <w:rPr>
          <w:rFonts w:cs="Times New Roman"/>
          <w:noProof/>
          <w:color w:val="000000" w:themeColor="text1"/>
          <w:sz w:val="24"/>
          <w:szCs w:val="24"/>
        </w:rPr>
        <w:t xml:space="preserve"> alkohola produktiem un bezalkoholiskajiem dzērieniem. Pēdējos gados ik gadu tiek paaugstināta dabas resursu nodokļa likme par atkritumu izvešanu. </w:t>
      </w:r>
      <w:r>
        <w:rPr>
          <w:rFonts w:cs="Times New Roman"/>
          <w:noProof/>
          <w:color w:val="000000" w:themeColor="text1"/>
          <w:sz w:val="24"/>
          <w:szCs w:val="24"/>
        </w:rPr>
        <w:t xml:space="preserve">Vienlaikus </w:t>
      </w:r>
      <w:r w:rsidRPr="00FE634D">
        <w:rPr>
          <w:rFonts w:cs="Times New Roman"/>
          <w:noProof/>
          <w:color w:val="000000" w:themeColor="text1"/>
          <w:sz w:val="24"/>
          <w:szCs w:val="24"/>
        </w:rPr>
        <w:t xml:space="preserve">Latvijā, lai </w:t>
      </w:r>
      <w:r w:rsidRPr="00FE634D">
        <w:rPr>
          <w:rFonts w:cs="Times New Roman"/>
          <w:noProof/>
          <w:color w:val="000000" w:themeColor="text1"/>
          <w:sz w:val="24"/>
          <w:szCs w:val="24"/>
        </w:rPr>
        <w:lastRenderedPageBreak/>
        <w:t>samazinātu straujo komunālo pakalpojumu tarifu pieaugumu, tika izstrādāti atbalsta pasākumi energoresursu cenu samazināšanai. Tā rezultāt</w:t>
      </w:r>
      <w:r>
        <w:rPr>
          <w:rFonts w:cs="Times New Roman"/>
          <w:noProof/>
          <w:color w:val="000000" w:themeColor="text1"/>
          <w:sz w:val="24"/>
          <w:szCs w:val="24"/>
        </w:rPr>
        <w:t>ā</w:t>
      </w:r>
      <w:r w:rsidRPr="00FE634D">
        <w:rPr>
          <w:rFonts w:cs="Times New Roman"/>
          <w:noProof/>
          <w:color w:val="000000" w:themeColor="text1"/>
          <w:sz w:val="24"/>
          <w:szCs w:val="24"/>
        </w:rPr>
        <w:t xml:space="preserve"> vidēj</w:t>
      </w:r>
      <w:r>
        <w:rPr>
          <w:rFonts w:cs="Times New Roman"/>
          <w:noProof/>
          <w:color w:val="000000" w:themeColor="text1"/>
          <w:sz w:val="24"/>
          <w:szCs w:val="24"/>
        </w:rPr>
        <w:t>ā</w:t>
      </w:r>
      <w:r w:rsidRPr="00FE634D">
        <w:rPr>
          <w:rFonts w:cs="Times New Roman"/>
          <w:noProof/>
          <w:color w:val="000000" w:themeColor="text1"/>
          <w:sz w:val="24"/>
          <w:szCs w:val="24"/>
        </w:rPr>
        <w:t xml:space="preserve"> inflācija 2022</w:t>
      </w:r>
      <w:r>
        <w:rPr>
          <w:rFonts w:cs="Times New Roman"/>
          <w:noProof/>
          <w:color w:val="000000" w:themeColor="text1"/>
          <w:sz w:val="24"/>
          <w:szCs w:val="24"/>
        </w:rPr>
        <w:t>. gad</w:t>
      </w:r>
      <w:r w:rsidRPr="00FE634D">
        <w:rPr>
          <w:rFonts w:cs="Times New Roman"/>
          <w:noProof/>
          <w:color w:val="000000" w:themeColor="text1"/>
          <w:sz w:val="24"/>
          <w:szCs w:val="24"/>
        </w:rPr>
        <w:t>ā bija par 1,2 procentpunktiem mazāka</w:t>
      </w:r>
      <w:r>
        <w:rPr>
          <w:rFonts w:cs="Times New Roman"/>
          <w:noProof/>
          <w:color w:val="000000" w:themeColor="text1"/>
          <w:sz w:val="24"/>
          <w:szCs w:val="24"/>
        </w:rPr>
        <w:t xml:space="preserve"> – b</w:t>
      </w:r>
      <w:r w:rsidRPr="00FE634D">
        <w:rPr>
          <w:rFonts w:cs="Times New Roman"/>
          <w:noProof/>
          <w:color w:val="000000" w:themeColor="text1"/>
          <w:sz w:val="24"/>
          <w:szCs w:val="24"/>
        </w:rPr>
        <w:t xml:space="preserve">ez </w:t>
      </w:r>
      <w:r>
        <w:rPr>
          <w:rFonts w:cs="Times New Roman"/>
          <w:noProof/>
          <w:color w:val="000000" w:themeColor="text1"/>
          <w:sz w:val="24"/>
          <w:szCs w:val="24"/>
        </w:rPr>
        <w:t xml:space="preserve">valsts </w:t>
      </w:r>
      <w:r w:rsidRPr="00FE634D">
        <w:rPr>
          <w:rFonts w:cs="Times New Roman"/>
          <w:noProof/>
          <w:color w:val="000000" w:themeColor="text1"/>
          <w:sz w:val="24"/>
          <w:szCs w:val="24"/>
        </w:rPr>
        <w:t>atbalsta pasākumiem vidējā inflācija Latvijā pērn būtu sasniegusi 18,5%.</w:t>
      </w:r>
    </w:p>
    <w:bookmarkEnd w:id="13"/>
    <w:p w14:paraId="546CFB5E" w14:textId="2C058A87" w:rsidR="0031227F" w:rsidRDefault="0031227F" w:rsidP="0031227F">
      <w:pPr>
        <w:ind w:firstLine="709"/>
        <w:rPr>
          <w:rFonts w:cs="Times New Roman"/>
          <w:noProof/>
          <w:color w:val="000000" w:themeColor="text1"/>
          <w:sz w:val="24"/>
          <w:szCs w:val="24"/>
        </w:rPr>
      </w:pPr>
      <w:r w:rsidRPr="000C45B5">
        <w:rPr>
          <w:rFonts w:cs="Times New Roman"/>
          <w:noProof/>
          <w:color w:val="000000" w:themeColor="text1"/>
          <w:sz w:val="24"/>
          <w:szCs w:val="24"/>
        </w:rPr>
        <w:t xml:space="preserve">Treškārt, algas Latvijā augušas straujāk nekā </w:t>
      </w:r>
      <w:r w:rsidRPr="000C45B5">
        <w:rPr>
          <w:rFonts w:cs="Times New Roman"/>
          <w:i/>
          <w:iCs/>
          <w:noProof/>
          <w:color w:val="000000" w:themeColor="text1"/>
          <w:sz w:val="24"/>
          <w:szCs w:val="24"/>
        </w:rPr>
        <w:t>e</w:t>
      </w:r>
      <w:r w:rsidR="000C45B5" w:rsidRPr="000C45B5">
        <w:rPr>
          <w:rFonts w:cs="Times New Roman"/>
          <w:i/>
          <w:iCs/>
          <w:noProof/>
          <w:color w:val="000000" w:themeColor="text1"/>
          <w:sz w:val="24"/>
          <w:szCs w:val="24"/>
        </w:rPr>
        <w:t>u</w:t>
      </w:r>
      <w:r w:rsidRPr="000C45B5">
        <w:rPr>
          <w:rFonts w:cs="Times New Roman"/>
          <w:i/>
          <w:iCs/>
          <w:noProof/>
          <w:color w:val="000000" w:themeColor="text1"/>
          <w:sz w:val="24"/>
          <w:szCs w:val="24"/>
        </w:rPr>
        <w:t>ro</w:t>
      </w:r>
      <w:r w:rsidR="000C45B5">
        <w:rPr>
          <w:rFonts w:cs="Times New Roman"/>
          <w:noProof/>
          <w:color w:val="000000" w:themeColor="text1"/>
          <w:sz w:val="24"/>
          <w:szCs w:val="24"/>
        </w:rPr>
        <w:t xml:space="preserve"> </w:t>
      </w:r>
      <w:r w:rsidRPr="000C45B5">
        <w:rPr>
          <w:rFonts w:cs="Times New Roman"/>
          <w:noProof/>
          <w:color w:val="000000" w:themeColor="text1"/>
          <w:sz w:val="24"/>
          <w:szCs w:val="24"/>
        </w:rPr>
        <w:t>zonā. Tas gan stiprina pieprasījumu, gan rada papildu izmaksas</w:t>
      </w:r>
      <w:r w:rsidRPr="00FE634D">
        <w:rPr>
          <w:rFonts w:cs="Times New Roman"/>
          <w:noProof/>
          <w:color w:val="000000" w:themeColor="text1"/>
          <w:sz w:val="24"/>
          <w:szCs w:val="24"/>
        </w:rPr>
        <w:t xml:space="preserve"> ražotājiem, kuri var tās tālāk iekļaut produktu cenās. Tādējādi tam ir ietekme uz pamatinflāciju. 202</w:t>
      </w:r>
      <w:r>
        <w:rPr>
          <w:rFonts w:cs="Times New Roman"/>
          <w:noProof/>
          <w:color w:val="000000" w:themeColor="text1"/>
          <w:sz w:val="24"/>
          <w:szCs w:val="24"/>
        </w:rPr>
        <w:t>1. gad</w:t>
      </w:r>
      <w:r w:rsidRPr="00FE634D">
        <w:rPr>
          <w:rFonts w:cs="Times New Roman"/>
          <w:noProof/>
          <w:color w:val="000000" w:themeColor="text1"/>
          <w:sz w:val="24"/>
          <w:szCs w:val="24"/>
        </w:rPr>
        <w:t>ā algas Latvijā pieauga vidēji par 11,8%. Savukārt 2022</w:t>
      </w:r>
      <w:r>
        <w:rPr>
          <w:rFonts w:cs="Times New Roman"/>
          <w:noProof/>
          <w:color w:val="000000" w:themeColor="text1"/>
          <w:sz w:val="24"/>
          <w:szCs w:val="24"/>
        </w:rPr>
        <w:t>. gad</w:t>
      </w:r>
      <w:r w:rsidRPr="00FE634D">
        <w:rPr>
          <w:rFonts w:cs="Times New Roman"/>
          <w:noProof/>
          <w:color w:val="000000" w:themeColor="text1"/>
          <w:sz w:val="24"/>
          <w:szCs w:val="24"/>
        </w:rPr>
        <w:t>ā vidējā alga p</w:t>
      </w:r>
      <w:r>
        <w:rPr>
          <w:rFonts w:cs="Times New Roman"/>
          <w:noProof/>
          <w:color w:val="000000" w:themeColor="text1"/>
          <w:sz w:val="24"/>
          <w:szCs w:val="24"/>
        </w:rPr>
        <w:t>alielinājās</w:t>
      </w:r>
      <w:r w:rsidRPr="00FE634D">
        <w:rPr>
          <w:rFonts w:cs="Times New Roman"/>
          <w:noProof/>
          <w:color w:val="000000" w:themeColor="text1"/>
          <w:sz w:val="24"/>
          <w:szCs w:val="24"/>
        </w:rPr>
        <w:t xml:space="preserve"> par 7,5%. Pastāv arī citi faktori, kuri </w:t>
      </w:r>
      <w:r>
        <w:rPr>
          <w:rFonts w:cs="Times New Roman"/>
          <w:noProof/>
          <w:color w:val="000000" w:themeColor="text1"/>
          <w:sz w:val="24"/>
          <w:szCs w:val="24"/>
        </w:rPr>
        <w:t>nosaka</w:t>
      </w:r>
      <w:r w:rsidRPr="00FE634D">
        <w:rPr>
          <w:rFonts w:cs="Times New Roman"/>
          <w:noProof/>
          <w:color w:val="000000" w:themeColor="text1"/>
          <w:sz w:val="24"/>
          <w:szCs w:val="24"/>
        </w:rPr>
        <w:t xml:space="preserve"> inflācijas atšķir</w:t>
      </w:r>
      <w:r>
        <w:rPr>
          <w:rFonts w:cs="Times New Roman"/>
          <w:noProof/>
          <w:color w:val="000000" w:themeColor="text1"/>
          <w:sz w:val="24"/>
          <w:szCs w:val="24"/>
        </w:rPr>
        <w:t>ī</w:t>
      </w:r>
      <w:r w:rsidRPr="00FE634D">
        <w:rPr>
          <w:rFonts w:cs="Times New Roman"/>
          <w:noProof/>
          <w:color w:val="000000" w:themeColor="text1"/>
          <w:sz w:val="24"/>
          <w:szCs w:val="24"/>
        </w:rPr>
        <w:t>bu starp valstīm, piemēram, uzņē</w:t>
      </w:r>
      <w:r>
        <w:rPr>
          <w:rFonts w:cs="Times New Roman"/>
          <w:noProof/>
          <w:color w:val="000000" w:themeColor="text1"/>
          <w:sz w:val="24"/>
          <w:szCs w:val="24"/>
        </w:rPr>
        <w:t>mumu</w:t>
      </w:r>
      <w:r w:rsidRPr="00FE634D">
        <w:rPr>
          <w:rFonts w:cs="Times New Roman"/>
          <w:noProof/>
          <w:color w:val="000000" w:themeColor="text1"/>
          <w:sz w:val="24"/>
          <w:szCs w:val="24"/>
        </w:rPr>
        <w:t xml:space="preserve"> spēja ab</w:t>
      </w:r>
      <w:r>
        <w:rPr>
          <w:rFonts w:cs="Times New Roman"/>
          <w:noProof/>
          <w:color w:val="000000" w:themeColor="text1"/>
          <w:sz w:val="24"/>
          <w:szCs w:val="24"/>
        </w:rPr>
        <w:t>s</w:t>
      </w:r>
      <w:r w:rsidRPr="00FE634D">
        <w:rPr>
          <w:rFonts w:cs="Times New Roman"/>
          <w:noProof/>
          <w:color w:val="000000" w:themeColor="text1"/>
          <w:sz w:val="24"/>
          <w:szCs w:val="24"/>
        </w:rPr>
        <w:t>orbēt importēt</w:t>
      </w:r>
      <w:r>
        <w:rPr>
          <w:rFonts w:cs="Times New Roman"/>
          <w:noProof/>
          <w:color w:val="000000" w:themeColor="text1"/>
          <w:sz w:val="24"/>
          <w:szCs w:val="24"/>
        </w:rPr>
        <w:t>ā</w:t>
      </w:r>
      <w:r w:rsidRPr="00FE634D">
        <w:rPr>
          <w:rFonts w:cs="Times New Roman"/>
          <w:noProof/>
          <w:color w:val="000000" w:themeColor="text1"/>
          <w:sz w:val="24"/>
          <w:szCs w:val="24"/>
        </w:rPr>
        <w:t>s inflācijas spiedienu savas peļņas rē</w:t>
      </w:r>
      <w:r>
        <w:rPr>
          <w:rFonts w:cs="Times New Roman"/>
          <w:noProof/>
          <w:color w:val="000000" w:themeColor="text1"/>
          <w:sz w:val="24"/>
          <w:szCs w:val="24"/>
        </w:rPr>
        <w:t>ķ</w:t>
      </w:r>
      <w:r w:rsidRPr="00FE634D">
        <w:rPr>
          <w:rFonts w:cs="Times New Roman"/>
          <w:noProof/>
          <w:color w:val="000000" w:themeColor="text1"/>
          <w:sz w:val="24"/>
          <w:szCs w:val="24"/>
        </w:rPr>
        <w:t>inā, kā arī regulējošo iest</w:t>
      </w:r>
      <w:r>
        <w:rPr>
          <w:rFonts w:cs="Times New Roman"/>
          <w:noProof/>
          <w:color w:val="000000" w:themeColor="text1"/>
          <w:sz w:val="24"/>
          <w:szCs w:val="24"/>
        </w:rPr>
        <w:t>ā</w:t>
      </w:r>
      <w:r w:rsidRPr="00FE634D">
        <w:rPr>
          <w:rFonts w:cs="Times New Roman"/>
          <w:noProof/>
          <w:color w:val="000000" w:themeColor="text1"/>
          <w:sz w:val="24"/>
          <w:szCs w:val="24"/>
        </w:rPr>
        <w:t>žu darbība attiecīb</w:t>
      </w:r>
      <w:r>
        <w:rPr>
          <w:rFonts w:cs="Times New Roman"/>
          <w:noProof/>
          <w:color w:val="000000" w:themeColor="text1"/>
          <w:sz w:val="24"/>
          <w:szCs w:val="24"/>
        </w:rPr>
        <w:t>ā</w:t>
      </w:r>
      <w:r w:rsidRPr="00FE634D">
        <w:rPr>
          <w:rFonts w:cs="Times New Roman"/>
          <w:noProof/>
          <w:color w:val="000000" w:themeColor="text1"/>
          <w:sz w:val="24"/>
          <w:szCs w:val="24"/>
        </w:rPr>
        <w:t xml:space="preserve"> uz komunālo pakalpojumu tarifu izskatīš</w:t>
      </w:r>
      <w:r>
        <w:rPr>
          <w:rFonts w:cs="Times New Roman"/>
          <w:noProof/>
          <w:color w:val="000000" w:themeColor="text1"/>
          <w:sz w:val="24"/>
          <w:szCs w:val="24"/>
        </w:rPr>
        <w:t>an</w:t>
      </w:r>
      <w:r w:rsidRPr="00FE634D">
        <w:rPr>
          <w:rFonts w:cs="Times New Roman"/>
          <w:noProof/>
          <w:color w:val="000000" w:themeColor="text1"/>
          <w:sz w:val="24"/>
          <w:szCs w:val="24"/>
        </w:rPr>
        <w:t>u un apstiprināšanu.</w:t>
      </w:r>
    </w:p>
    <w:p w14:paraId="73F425E1" w14:textId="77777777" w:rsidR="0031227F" w:rsidRPr="00FE634D" w:rsidRDefault="0031227F" w:rsidP="0031227F">
      <w:pPr>
        <w:ind w:firstLine="0"/>
        <w:rPr>
          <w:rFonts w:cs="Times New Roman"/>
          <w:noProof/>
          <w:color w:val="000000" w:themeColor="text1"/>
          <w:sz w:val="24"/>
          <w:szCs w:val="24"/>
        </w:rPr>
      </w:pPr>
      <w:r w:rsidRPr="00182BBA">
        <w:rPr>
          <w:noProof/>
        </w:rPr>
        <w:drawing>
          <wp:inline distT="0" distB="0" distL="0" distR="0" wp14:anchorId="32821682" wp14:editId="43A64654">
            <wp:extent cx="5760085" cy="3307080"/>
            <wp:effectExtent l="0" t="0" r="0" b="7620"/>
            <wp:docPr id="12" name="Chart 12">
              <a:extLst xmlns:a="http://schemas.openxmlformats.org/drawingml/2006/main">
                <a:ext uri="{FF2B5EF4-FFF2-40B4-BE49-F238E27FC236}">
                  <a16:creationId xmlns:a16="http://schemas.microsoft.com/office/drawing/2014/main" id="{9B30B3BA-D637-3A43-9868-DBDE88D587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85E15AE" w14:textId="032E4EFD" w:rsidR="0031227F" w:rsidRDefault="0031227F" w:rsidP="0031227F">
      <w:pPr>
        <w:rPr>
          <w:rFonts w:eastAsia="Calibri" w:cs="Times New Roman"/>
          <w:b/>
          <w:i/>
          <w:iCs/>
          <w:noProof/>
          <w:sz w:val="24"/>
          <w:szCs w:val="24"/>
        </w:rPr>
      </w:pPr>
      <w:r w:rsidRPr="00182BBA">
        <w:rPr>
          <w:rFonts w:eastAsia="Calibri" w:cs="Times New Roman"/>
          <w:b/>
          <w:i/>
          <w:iCs/>
          <w:noProof/>
          <w:sz w:val="24"/>
          <w:szCs w:val="24"/>
        </w:rPr>
        <w:t xml:space="preserve">2.5. att. Harmonizētā </w:t>
      </w:r>
      <w:r w:rsidRPr="009A50F2">
        <w:rPr>
          <w:rFonts w:eastAsia="Calibri" w:cs="Times New Roman"/>
          <w:b/>
          <w:i/>
          <w:iCs/>
          <w:noProof/>
          <w:sz w:val="24"/>
          <w:szCs w:val="24"/>
        </w:rPr>
        <w:t>p</w:t>
      </w:r>
      <w:r>
        <w:rPr>
          <w:rFonts w:eastAsia="Calibri" w:cs="Times New Roman"/>
          <w:b/>
          <w:i/>
          <w:iCs/>
          <w:noProof/>
          <w:sz w:val="24"/>
          <w:szCs w:val="24"/>
        </w:rPr>
        <w:t>a</w:t>
      </w:r>
      <w:r w:rsidRPr="009A50F2">
        <w:rPr>
          <w:rFonts w:eastAsia="Calibri" w:cs="Times New Roman"/>
          <w:b/>
          <w:i/>
          <w:iCs/>
          <w:noProof/>
          <w:sz w:val="24"/>
          <w:szCs w:val="24"/>
        </w:rPr>
        <w:t>tēriņa cenu indeksa pārmaiņas 2022</w:t>
      </w:r>
      <w:r>
        <w:rPr>
          <w:rFonts w:eastAsia="Calibri" w:cs="Times New Roman"/>
          <w:b/>
          <w:i/>
          <w:iCs/>
          <w:noProof/>
          <w:sz w:val="24"/>
          <w:szCs w:val="24"/>
        </w:rPr>
        <w:t>. gad</w:t>
      </w:r>
      <w:r w:rsidRPr="009A50F2">
        <w:rPr>
          <w:rFonts w:eastAsia="Calibri" w:cs="Times New Roman"/>
          <w:b/>
          <w:i/>
          <w:iCs/>
          <w:noProof/>
          <w:sz w:val="24"/>
          <w:szCs w:val="24"/>
        </w:rPr>
        <w:t>ā un 5 gadu vidējais pieaugums 2018.-2022</w:t>
      </w:r>
      <w:r>
        <w:rPr>
          <w:rFonts w:eastAsia="Calibri" w:cs="Times New Roman"/>
          <w:b/>
          <w:i/>
          <w:iCs/>
          <w:noProof/>
          <w:sz w:val="24"/>
          <w:szCs w:val="24"/>
        </w:rPr>
        <w:t>. gada laika periodā</w:t>
      </w:r>
      <w:r w:rsidRPr="009A50F2">
        <w:rPr>
          <w:rFonts w:eastAsia="Calibri" w:cs="Times New Roman"/>
          <w:b/>
          <w:i/>
          <w:iCs/>
          <w:noProof/>
          <w:sz w:val="24"/>
          <w:szCs w:val="24"/>
        </w:rPr>
        <w:t xml:space="preserve"> ES dalībvalstis, ES un e</w:t>
      </w:r>
      <w:r w:rsidR="000C45B5">
        <w:rPr>
          <w:rFonts w:eastAsia="Calibri" w:cs="Times New Roman"/>
          <w:b/>
          <w:i/>
          <w:iCs/>
          <w:noProof/>
          <w:sz w:val="24"/>
          <w:szCs w:val="24"/>
        </w:rPr>
        <w:t>u</w:t>
      </w:r>
      <w:r w:rsidRPr="009A50F2">
        <w:rPr>
          <w:rFonts w:eastAsia="Calibri" w:cs="Times New Roman"/>
          <w:b/>
          <w:i/>
          <w:iCs/>
          <w:noProof/>
          <w:sz w:val="24"/>
          <w:szCs w:val="24"/>
        </w:rPr>
        <w:t>ro</w:t>
      </w:r>
      <w:r w:rsidR="000C45B5">
        <w:rPr>
          <w:rFonts w:eastAsia="Calibri" w:cs="Times New Roman"/>
          <w:b/>
          <w:i/>
          <w:iCs/>
          <w:noProof/>
          <w:sz w:val="24"/>
          <w:szCs w:val="24"/>
        </w:rPr>
        <w:t xml:space="preserve"> </w:t>
      </w:r>
      <w:r w:rsidRPr="009A50F2">
        <w:rPr>
          <w:rFonts w:eastAsia="Calibri" w:cs="Times New Roman"/>
          <w:b/>
          <w:i/>
          <w:iCs/>
          <w:noProof/>
          <w:sz w:val="24"/>
          <w:szCs w:val="24"/>
        </w:rPr>
        <w:t>zonā vidēji , %</w:t>
      </w:r>
      <w:r w:rsidRPr="009A50F2">
        <w:rPr>
          <w:rStyle w:val="FootnoteReference"/>
          <w:rFonts w:eastAsia="Calibri" w:cs="Times New Roman"/>
          <w:b/>
          <w:noProof/>
          <w:sz w:val="24"/>
          <w:szCs w:val="24"/>
        </w:rPr>
        <w:footnoteReference w:id="4"/>
      </w:r>
    </w:p>
    <w:p w14:paraId="4C72B89C" w14:textId="77777777" w:rsidR="0031227F" w:rsidRPr="009A50F2" w:rsidRDefault="0031227F" w:rsidP="0031227F">
      <w:pPr>
        <w:rPr>
          <w:rFonts w:eastAsia="Calibri" w:cs="Times New Roman"/>
          <w:b/>
          <w:i/>
          <w:iCs/>
          <w:noProof/>
          <w:sz w:val="24"/>
          <w:szCs w:val="24"/>
        </w:rPr>
      </w:pPr>
    </w:p>
    <w:p w14:paraId="68211103" w14:textId="7A2B43E7" w:rsidR="0031227F" w:rsidRDefault="0031227F" w:rsidP="0031227F">
      <w:pPr>
        <w:ind w:firstLine="709"/>
        <w:rPr>
          <w:rFonts w:eastAsia="Calibri" w:cs="Times New Roman"/>
          <w:bCs/>
          <w:noProof/>
          <w:sz w:val="24"/>
          <w:szCs w:val="24"/>
        </w:rPr>
      </w:pPr>
      <w:r w:rsidRPr="00F03304">
        <w:rPr>
          <w:rFonts w:eastAsia="Calibri" w:cs="Times New Roman"/>
          <w:bCs/>
          <w:noProof/>
          <w:sz w:val="24"/>
          <w:szCs w:val="24"/>
        </w:rPr>
        <w:t>Inflācija 2023. gada janvārī un februārī turpināja pārsniegt 20% robežu, ko ietekmē joprojām augstās pārtikas</w:t>
      </w:r>
      <w:r>
        <w:rPr>
          <w:rFonts w:eastAsia="Calibri" w:cs="Times New Roman"/>
          <w:bCs/>
          <w:noProof/>
          <w:sz w:val="24"/>
          <w:szCs w:val="24"/>
        </w:rPr>
        <w:t xml:space="preserve"> un komunālo pakalpojumu cenas. Tomēr jau martā gada inflācija būs zemāka par 20%, turpinot mazināties arī nākamajos mēnešos. Sagaidāms, ka šā gada vidū gada inflācija pazemināsies līdz 10%, bet gada nogalē svārstīsies 3% </w:t>
      </w:r>
      <w:r w:rsidR="003241A9" w:rsidRPr="003241A9">
        <w:rPr>
          <w:rFonts w:eastAsia="Calibri" w:cs="Times New Roman"/>
          <w:bCs/>
          <w:noProof/>
          <w:sz w:val="24"/>
          <w:szCs w:val="24"/>
        </w:rPr>
        <w:t>–</w:t>
      </w:r>
      <w:r>
        <w:rPr>
          <w:rFonts w:eastAsia="Calibri" w:cs="Times New Roman"/>
          <w:bCs/>
          <w:noProof/>
          <w:sz w:val="24"/>
          <w:szCs w:val="24"/>
        </w:rPr>
        <w:t xml:space="preserve"> 4% līmenī. Šādu patēriņa cenu dinamiku noteiks pērnā gada augstā bāze, </w:t>
      </w:r>
      <w:r>
        <w:rPr>
          <w:rFonts w:cs="Times New Roman"/>
          <w:noProof/>
          <w:sz w:val="24"/>
          <w:szCs w:val="24"/>
        </w:rPr>
        <w:t>v</w:t>
      </w:r>
      <w:r w:rsidRPr="00157060">
        <w:rPr>
          <w:rFonts w:cs="Times New Roman"/>
          <w:noProof/>
          <w:sz w:val="24"/>
          <w:szCs w:val="24"/>
        </w:rPr>
        <w:t>aldības pieņemtie lēmumi attiecībā uz siltumenerģijas, gāzes un elektroenerģijas tarifu mazināšanu, kuri ir spēkā līdz 2023</w:t>
      </w:r>
      <w:r>
        <w:rPr>
          <w:rFonts w:cs="Times New Roman"/>
          <w:noProof/>
          <w:sz w:val="24"/>
          <w:szCs w:val="24"/>
        </w:rPr>
        <w:t>. gad</w:t>
      </w:r>
      <w:r w:rsidRPr="00157060">
        <w:rPr>
          <w:rFonts w:cs="Times New Roman"/>
          <w:noProof/>
          <w:sz w:val="24"/>
          <w:szCs w:val="24"/>
        </w:rPr>
        <w:t>a aprīlim,</w:t>
      </w:r>
      <w:r>
        <w:rPr>
          <w:rFonts w:cs="Times New Roman"/>
          <w:noProof/>
          <w:sz w:val="24"/>
          <w:szCs w:val="24"/>
        </w:rPr>
        <w:t xml:space="preserve"> kā arī gāzes cenu samazinājums. Gāzes cena Eiropā </w:t>
      </w:r>
      <w:r w:rsidR="003241A9">
        <w:rPr>
          <w:rFonts w:cs="Times New Roman"/>
          <w:noProof/>
          <w:sz w:val="24"/>
          <w:szCs w:val="24"/>
        </w:rPr>
        <w:t>2023</w:t>
      </w:r>
      <w:r>
        <w:rPr>
          <w:rFonts w:cs="Times New Roman"/>
          <w:noProof/>
          <w:sz w:val="24"/>
          <w:szCs w:val="24"/>
        </w:rPr>
        <w:t xml:space="preserve">. gada marta sākumā sasniedza pirmskara līmeni, svārstoties ap 50 </w:t>
      </w:r>
      <w:r w:rsidRPr="00044F52">
        <w:rPr>
          <w:bCs/>
          <w:i/>
          <w:iCs/>
          <w:noProof/>
          <w:sz w:val="24"/>
          <w:szCs w:val="24"/>
        </w:rPr>
        <w:t>euro</w:t>
      </w:r>
      <w:r w:rsidRPr="00044F52">
        <w:rPr>
          <w:bCs/>
          <w:noProof/>
          <w:sz w:val="24"/>
          <w:szCs w:val="24"/>
        </w:rPr>
        <w:t>/MWh</w:t>
      </w:r>
      <w:r>
        <w:rPr>
          <w:bCs/>
          <w:noProof/>
          <w:sz w:val="24"/>
          <w:szCs w:val="24"/>
        </w:rPr>
        <w:t xml:space="preserve">, tomēr pozitīvā ietekme no gāzes cenu samazinājuma būs jūtama vien šā gada otrajā pusē. Attiecībā uz naftas cenām, izstrādājot makroekonomiskās attīstības scenāriju tika pieņemts, ka </w:t>
      </w:r>
      <w:r w:rsidRPr="008350B0">
        <w:rPr>
          <w:bCs/>
          <w:i/>
          <w:iCs/>
          <w:noProof/>
          <w:sz w:val="24"/>
          <w:szCs w:val="24"/>
        </w:rPr>
        <w:t>Brent</w:t>
      </w:r>
      <w:r>
        <w:rPr>
          <w:bCs/>
          <w:i/>
          <w:iCs/>
          <w:noProof/>
          <w:sz w:val="24"/>
          <w:szCs w:val="24"/>
        </w:rPr>
        <w:t xml:space="preserve"> </w:t>
      </w:r>
      <w:r>
        <w:rPr>
          <w:bCs/>
          <w:noProof/>
          <w:sz w:val="24"/>
          <w:szCs w:val="24"/>
        </w:rPr>
        <w:t>markas jēlnaftas vidējā cena 2023. gadā būs 90 ASV dolāri par barelu, kas par ir 10% mazāk nekā iepriekšējā gadā. Tādējādi sagaidāms, ka degvielas cena 2023. gadā vidēji būs zemāka nekā 2022. gadā. Lejupvērstu cenu dinamiku šī gada sākum</w:t>
      </w:r>
      <w:r w:rsidR="000C45B5">
        <w:rPr>
          <w:bCs/>
          <w:noProof/>
          <w:sz w:val="24"/>
          <w:szCs w:val="24"/>
        </w:rPr>
        <w:t>ā</w:t>
      </w:r>
      <w:r>
        <w:rPr>
          <w:bCs/>
          <w:noProof/>
          <w:sz w:val="24"/>
          <w:szCs w:val="24"/>
        </w:rPr>
        <w:t xml:space="preserve"> uzrāda arī neapstrādātās pārtikas cenas pasaulē. Šā gada februārī neapstrādātās pārtikas cenas bija par 8,1% zemākas salīdzinājumā ar iepriekšējā gada attiecīgo mēnesī, ko noteica eļļas un piena produktu cenu samazinājums. Tas kopā ar zemāk</w:t>
      </w:r>
      <w:r w:rsidR="008F63E5">
        <w:rPr>
          <w:bCs/>
          <w:noProof/>
          <w:sz w:val="24"/>
          <w:szCs w:val="24"/>
        </w:rPr>
        <w:t>ā</w:t>
      </w:r>
      <w:r>
        <w:rPr>
          <w:bCs/>
          <w:noProof/>
          <w:sz w:val="24"/>
          <w:szCs w:val="24"/>
        </w:rPr>
        <w:t xml:space="preserve">m ražošanas </w:t>
      </w:r>
      <w:r>
        <w:rPr>
          <w:bCs/>
          <w:noProof/>
          <w:sz w:val="24"/>
          <w:szCs w:val="24"/>
        </w:rPr>
        <w:lastRenderedPageBreak/>
        <w:t xml:space="preserve">izmaksām </w:t>
      </w:r>
      <w:r w:rsidR="008F63E5">
        <w:rPr>
          <w:bCs/>
          <w:noProof/>
          <w:sz w:val="24"/>
          <w:szCs w:val="24"/>
        </w:rPr>
        <w:t>(</w:t>
      </w:r>
      <w:r>
        <w:rPr>
          <w:bCs/>
          <w:noProof/>
          <w:sz w:val="24"/>
          <w:szCs w:val="24"/>
        </w:rPr>
        <w:t>lētāku energoresursu dēļ</w:t>
      </w:r>
      <w:r w:rsidR="008F63E5">
        <w:rPr>
          <w:bCs/>
          <w:noProof/>
          <w:sz w:val="24"/>
          <w:szCs w:val="24"/>
        </w:rPr>
        <w:t>)</w:t>
      </w:r>
      <w:r>
        <w:rPr>
          <w:bCs/>
          <w:noProof/>
          <w:sz w:val="24"/>
          <w:szCs w:val="24"/>
        </w:rPr>
        <w:t xml:space="preserve"> mazinās pārtikas cenu līmeni arī Latvijas veikalos. Tomēr arī šo efektu varētu sagaidīt tuvāk gada vidum.</w:t>
      </w:r>
    </w:p>
    <w:p w14:paraId="57967FD9" w14:textId="0562638A" w:rsidR="0031227F" w:rsidRPr="00F71ADA" w:rsidRDefault="0031227F" w:rsidP="0031227F">
      <w:pPr>
        <w:ind w:firstLine="709"/>
        <w:rPr>
          <w:rFonts w:cs="Times New Roman"/>
          <w:noProof/>
          <w:sz w:val="24"/>
          <w:szCs w:val="24"/>
        </w:rPr>
      </w:pPr>
      <w:r w:rsidRPr="00157060">
        <w:rPr>
          <w:rFonts w:cs="Times New Roman"/>
          <w:noProof/>
          <w:sz w:val="24"/>
          <w:szCs w:val="24"/>
        </w:rPr>
        <w:t xml:space="preserve">Atbilstoši </w:t>
      </w:r>
      <w:r w:rsidR="008F63E5">
        <w:rPr>
          <w:rFonts w:cs="Times New Roman"/>
          <w:noProof/>
          <w:sz w:val="24"/>
          <w:szCs w:val="24"/>
        </w:rPr>
        <w:t>FM</w:t>
      </w:r>
      <w:r w:rsidRPr="00157060">
        <w:rPr>
          <w:rFonts w:cs="Times New Roman"/>
          <w:noProof/>
          <w:sz w:val="24"/>
          <w:szCs w:val="24"/>
        </w:rPr>
        <w:t xml:space="preserve"> prognozēm,</w:t>
      </w:r>
      <w:r>
        <w:rPr>
          <w:rFonts w:cs="Times New Roman"/>
          <w:noProof/>
          <w:sz w:val="24"/>
          <w:szCs w:val="24"/>
        </w:rPr>
        <w:t xml:space="preserve"> </w:t>
      </w:r>
      <w:r w:rsidRPr="00157060">
        <w:rPr>
          <w:rFonts w:cs="Times New Roman"/>
          <w:noProof/>
          <w:sz w:val="24"/>
          <w:szCs w:val="24"/>
        </w:rPr>
        <w:t>2023</w:t>
      </w:r>
      <w:r>
        <w:rPr>
          <w:rFonts w:cs="Times New Roman"/>
          <w:noProof/>
          <w:sz w:val="24"/>
          <w:szCs w:val="24"/>
        </w:rPr>
        <w:t>. gad</w:t>
      </w:r>
      <w:r w:rsidRPr="00157060">
        <w:rPr>
          <w:rFonts w:cs="Times New Roman"/>
          <w:noProof/>
          <w:sz w:val="24"/>
          <w:szCs w:val="24"/>
        </w:rPr>
        <w:t xml:space="preserve">ā turpināsies patēriņa cenu pieaugums, vidējai inflācijai sasniedzot </w:t>
      </w:r>
      <w:r>
        <w:rPr>
          <w:rFonts w:cs="Times New Roman"/>
          <w:noProof/>
          <w:sz w:val="24"/>
          <w:szCs w:val="24"/>
        </w:rPr>
        <w:t>10,0%, bet pamatinflācija būs 7,2%. 2024. gadā sagaidāms, ka elektroenerģijai, gāzei un siltumenerģijai varētu būt liela deflācija, kas pazeminās vidējo inflāciju, tomēr saspringtā situācija darb</w:t>
      </w:r>
      <w:r w:rsidR="008F63E5">
        <w:rPr>
          <w:rFonts w:cs="Times New Roman"/>
          <w:noProof/>
          <w:sz w:val="24"/>
          <w:szCs w:val="24"/>
        </w:rPr>
        <w:t>a</w:t>
      </w:r>
      <w:r>
        <w:rPr>
          <w:rFonts w:cs="Times New Roman"/>
          <w:noProof/>
          <w:sz w:val="24"/>
          <w:szCs w:val="24"/>
        </w:rPr>
        <w:t xml:space="preserve"> tirgū uzturēs augstu pamatinflāciju. Tādējādi 2024. gadā vidējā inflācij</w:t>
      </w:r>
      <w:r w:rsidR="008F63E5">
        <w:rPr>
          <w:rFonts w:cs="Times New Roman"/>
          <w:noProof/>
          <w:sz w:val="24"/>
          <w:szCs w:val="24"/>
        </w:rPr>
        <w:t>a</w:t>
      </w:r>
      <w:r>
        <w:rPr>
          <w:rFonts w:cs="Times New Roman"/>
          <w:noProof/>
          <w:sz w:val="24"/>
          <w:szCs w:val="24"/>
        </w:rPr>
        <w:t xml:space="preserve"> veidos 2,2%, bet pamatinflācija sasniegs 4,5%.</w:t>
      </w:r>
    </w:p>
    <w:p w14:paraId="43B386EB" w14:textId="77777777" w:rsidR="0031227F" w:rsidRPr="00341CDB" w:rsidRDefault="0031227F" w:rsidP="00F03304">
      <w:pPr>
        <w:pStyle w:val="H4"/>
        <w:ind w:left="0" w:firstLine="720"/>
        <w:jc w:val="both"/>
        <w:rPr>
          <w:rFonts w:ascii="Times New Roman" w:hAnsi="Times New Roman"/>
          <w:iCs/>
          <w:sz w:val="24"/>
          <w:szCs w:val="24"/>
        </w:rPr>
      </w:pPr>
      <w:r w:rsidRPr="00341CDB">
        <w:rPr>
          <w:rFonts w:ascii="Times New Roman" w:hAnsi="Times New Roman"/>
          <w:iCs/>
          <w:sz w:val="24"/>
          <w:szCs w:val="24"/>
        </w:rPr>
        <w:t>Darba tirgus</w:t>
      </w:r>
    </w:p>
    <w:p w14:paraId="594BAC1A" w14:textId="77777777" w:rsidR="0031227F" w:rsidRPr="00F03304" w:rsidRDefault="0031227F" w:rsidP="0031227F">
      <w:pPr>
        <w:pStyle w:val="Default"/>
        <w:ind w:firstLine="720"/>
        <w:jc w:val="both"/>
        <w:rPr>
          <w:color w:val="auto"/>
        </w:rPr>
      </w:pPr>
      <w:r>
        <w:rPr>
          <w:color w:val="auto"/>
        </w:rPr>
        <w:t xml:space="preserve">Lai gan Krievijas uzsāktā kara un energoresursu cenu kāpuma dēļ ekonomikas izaugsme pērn palēninājās no 4,1% līdz 2,0%, darba tirgū negatīvā ietekme praktiski nebija jūtama, un bezdarba līmenis līdz ar pandēmijas ierobežojumu atcelšanu samazinājās no 7,6% 2021. gadā līdz 6,9% 2022. gadā kopumā. Covid-19 negatīvo ietekmi pagājušā gada sākumā vēl palīdzēja mazināt </w:t>
      </w:r>
      <w:r w:rsidRPr="00F03304">
        <w:rPr>
          <w:color w:val="auto"/>
        </w:rPr>
        <w:t xml:space="preserve">valsts atbalsta pasākumi, bet gada laikā bezdarba līmenis pēc darbaspēka </w:t>
      </w:r>
      <w:proofErr w:type="spellStart"/>
      <w:r w:rsidRPr="00F03304">
        <w:rPr>
          <w:color w:val="auto"/>
        </w:rPr>
        <w:t>apsekojuma</w:t>
      </w:r>
      <w:proofErr w:type="spellEnd"/>
      <w:r w:rsidRPr="00F03304">
        <w:rPr>
          <w:color w:val="auto"/>
        </w:rPr>
        <w:t xml:space="preserve"> samazinājās no 7,3% pirmajā ceturksnī līdz 6,7% ceturtajā ceturksnī.</w:t>
      </w:r>
    </w:p>
    <w:p w14:paraId="47164D44" w14:textId="530397F6" w:rsidR="0031227F" w:rsidRDefault="0031227F" w:rsidP="0031227F">
      <w:pPr>
        <w:pStyle w:val="Default"/>
        <w:ind w:firstLine="720"/>
        <w:jc w:val="both"/>
        <w:rPr>
          <w:color w:val="auto"/>
        </w:rPr>
      </w:pPr>
      <w:r w:rsidRPr="00F03304">
        <w:rPr>
          <w:color w:val="auto"/>
        </w:rPr>
        <w:t xml:space="preserve">Kā liecina Nodarbinātības valsts aģentūras dati par reģistrēto bezdarbu, reģistrēto bezdarbnieku skaits </w:t>
      </w:r>
      <w:r w:rsidR="004C73A1">
        <w:rPr>
          <w:color w:val="auto"/>
        </w:rPr>
        <w:t>2022.</w:t>
      </w:r>
      <w:r w:rsidR="00D560FE">
        <w:rPr>
          <w:color w:val="auto"/>
        </w:rPr>
        <w:t xml:space="preserve"> </w:t>
      </w:r>
      <w:r w:rsidRPr="00F03304">
        <w:rPr>
          <w:color w:val="auto"/>
        </w:rPr>
        <w:t>gada pēdējos mēnešos atkal sāka palielināties, bet šis pieaugums bija pilnībā atbilstošs darba tirgus sezonālajām svārstībām, šā gada janvārī un februārī bezdarbnieku skaits stabilizējās, bet marta pirmajās nedēļās jau atkal sāka samazināties. Arī 2023. gadā kopumā, ekonomikas izaugsmei</w:t>
      </w:r>
      <w:r>
        <w:rPr>
          <w:color w:val="auto"/>
        </w:rPr>
        <w:t xml:space="preserve"> </w:t>
      </w:r>
      <w:r w:rsidR="00F03304">
        <w:rPr>
          <w:color w:val="auto"/>
        </w:rPr>
        <w:t>turpinot</w:t>
      </w:r>
      <w:r>
        <w:rPr>
          <w:color w:val="auto"/>
        </w:rPr>
        <w:t xml:space="preserve"> samazinoties, netiek prognozēts būtisks pieaugums pret 2022. gadu un bezdarba līmenis varētu būt tikai par 0,2 procentpunktiem augstāks nekā pērn.</w:t>
      </w:r>
    </w:p>
    <w:p w14:paraId="3D9F1227" w14:textId="384C219F" w:rsidR="0031227F" w:rsidRDefault="0031227F" w:rsidP="0031227F">
      <w:pPr>
        <w:pStyle w:val="Default"/>
        <w:ind w:firstLine="720"/>
        <w:jc w:val="both"/>
        <w:rPr>
          <w:color w:val="auto"/>
        </w:rPr>
      </w:pPr>
      <w:r w:rsidRPr="00A120D9">
        <w:rPr>
          <w:color w:val="auto"/>
        </w:rPr>
        <w:t xml:space="preserve">Tautsaimniecībā nodarbināto iedzīvotāju skaits, pēc darbaspēka </w:t>
      </w:r>
      <w:proofErr w:type="spellStart"/>
      <w:r w:rsidRPr="00A120D9">
        <w:rPr>
          <w:color w:val="auto"/>
        </w:rPr>
        <w:t>apsekojuma</w:t>
      </w:r>
      <w:proofErr w:type="spellEnd"/>
      <w:r w:rsidRPr="00A120D9">
        <w:rPr>
          <w:color w:val="auto"/>
        </w:rPr>
        <w:t xml:space="preserve"> datiem, </w:t>
      </w:r>
      <w:r w:rsidRPr="00A04DE0">
        <w:rPr>
          <w:color w:val="auto"/>
        </w:rPr>
        <w:t>pērn ir palielinājies par 2,6%, sasniedzot 886,2 tūkstošus, ko nodrošināja pandēmijas laikā dīkstāves pabalstus saņēmušo darbinieku pilna atgriešanās darba tirgū, un papildus vēl veicināja Ukrainas iedzīvotāju uzņemšana, no kuriem, pēc Valsts ieņēmumu dienesta datiem, 2022</w:t>
      </w:r>
      <w:r>
        <w:rPr>
          <w:color w:val="auto"/>
        </w:rPr>
        <w:t>. gad</w:t>
      </w:r>
      <w:r w:rsidRPr="00A04DE0">
        <w:rPr>
          <w:color w:val="auto"/>
        </w:rPr>
        <w:t xml:space="preserve">a beigās nodarbināti bija 7,8 tūkstoši, bet kopumā gada laikā darbu uzsākuši bija vairāk kā 11 tūkstoši ukraiņu. Vienlaikus </w:t>
      </w:r>
      <w:r>
        <w:rPr>
          <w:color w:val="auto"/>
        </w:rPr>
        <w:t>jānorāda</w:t>
      </w:r>
      <w:r w:rsidRPr="00A04DE0">
        <w:rPr>
          <w:color w:val="auto"/>
        </w:rPr>
        <w:t>, ka</w:t>
      </w:r>
      <w:r>
        <w:rPr>
          <w:color w:val="auto"/>
        </w:rPr>
        <w:t>,</w:t>
      </w:r>
      <w:r w:rsidRPr="00A04DE0">
        <w:rPr>
          <w:color w:val="auto"/>
        </w:rPr>
        <w:t xml:space="preserve"> neskatoties uz visai būtisko pieaugumu 2022</w:t>
      </w:r>
      <w:r>
        <w:rPr>
          <w:color w:val="auto"/>
        </w:rPr>
        <w:t>. gad</w:t>
      </w:r>
      <w:r w:rsidRPr="00A04DE0">
        <w:rPr>
          <w:color w:val="auto"/>
        </w:rPr>
        <w:t>a laikā, nodarbināto skaits joprojām ir par 2,6% jeb 23,6 tūkstošiem mazāks nekā 2019</w:t>
      </w:r>
      <w:r>
        <w:rPr>
          <w:color w:val="auto"/>
        </w:rPr>
        <w:t>. gad</w:t>
      </w:r>
      <w:r w:rsidRPr="00A04DE0">
        <w:rPr>
          <w:color w:val="auto"/>
        </w:rPr>
        <w:t xml:space="preserve">ā pirms Covid-19 pandēmijas, un šo samazinājumu ietekmējusi gan darbspējas vecuma iedzīvotāju skaita samazināšanās, gan tas, ka atsevišķu nozaru </w:t>
      </w:r>
      <w:r w:rsidR="00F03304">
        <w:rPr>
          <w:color w:val="auto"/>
        </w:rPr>
        <w:t xml:space="preserve">(tādu </w:t>
      </w:r>
      <w:r w:rsidRPr="00A04DE0">
        <w:rPr>
          <w:color w:val="auto"/>
        </w:rPr>
        <w:t>kā transporta, izmitināšanas un ēdināšanas</w:t>
      </w:r>
      <w:r w:rsidR="00F03304">
        <w:rPr>
          <w:color w:val="auto"/>
        </w:rPr>
        <w:t>)</w:t>
      </w:r>
      <w:r w:rsidRPr="00A04DE0">
        <w:rPr>
          <w:color w:val="auto"/>
        </w:rPr>
        <w:t xml:space="preserve"> apjomi joprojām nav atgriezušies agrākajā līmenī.</w:t>
      </w:r>
    </w:p>
    <w:p w14:paraId="1A8843F4" w14:textId="46C1A293" w:rsidR="0031227F" w:rsidRDefault="0031227F" w:rsidP="0031227F">
      <w:pPr>
        <w:pStyle w:val="Default"/>
        <w:ind w:firstLine="720"/>
        <w:jc w:val="both"/>
        <w:rPr>
          <w:color w:val="auto"/>
        </w:rPr>
      </w:pPr>
      <w:r w:rsidRPr="00A120D9">
        <w:rPr>
          <w:color w:val="auto"/>
        </w:rPr>
        <w:t>202</w:t>
      </w:r>
      <w:r>
        <w:rPr>
          <w:color w:val="auto"/>
        </w:rPr>
        <w:t>3. gad</w:t>
      </w:r>
      <w:r w:rsidRPr="00A120D9">
        <w:rPr>
          <w:color w:val="auto"/>
        </w:rPr>
        <w:t>ā kopumā</w:t>
      </w:r>
      <w:r>
        <w:rPr>
          <w:color w:val="auto"/>
        </w:rPr>
        <w:t xml:space="preserve"> </w:t>
      </w:r>
      <w:r w:rsidRPr="00A120D9">
        <w:rPr>
          <w:color w:val="auto"/>
        </w:rPr>
        <w:t>nodarbināt</w:t>
      </w:r>
      <w:r>
        <w:rPr>
          <w:color w:val="auto"/>
        </w:rPr>
        <w:t xml:space="preserve">o skaits varētu saglabāties pagājušā gada līmenī, bet nākamajos gados sagaidāms neliels nodarbināto skaita samazinājums, ko noteiks gan nedaudz zemāka ekonomikas izaugsme, gan darbspējas vecuma iedzīvotāju skaita samazināšanās demogrāfijas tendenču rezultātā. </w:t>
      </w:r>
    </w:p>
    <w:p w14:paraId="13B4C99A" w14:textId="77777777" w:rsidR="00D560FE" w:rsidRDefault="0031227F" w:rsidP="00D560FE">
      <w:pPr>
        <w:pStyle w:val="Default"/>
        <w:jc w:val="center"/>
        <w:rPr>
          <w:b/>
          <w:noProof/>
        </w:rPr>
      </w:pPr>
      <w:r w:rsidRPr="00A120D9">
        <w:rPr>
          <w:noProof/>
        </w:rPr>
        <w:drawing>
          <wp:inline distT="0" distB="0" distL="0" distR="0" wp14:anchorId="5CE4DAD5" wp14:editId="04DC310D">
            <wp:extent cx="3676650" cy="2279650"/>
            <wp:effectExtent l="0" t="0" r="0" b="635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DF08234" w14:textId="0710CDF3" w:rsidR="00F03304" w:rsidRPr="00D560FE" w:rsidRDefault="0031227F" w:rsidP="00D560FE">
      <w:pPr>
        <w:pStyle w:val="Default"/>
        <w:jc w:val="center"/>
        <w:rPr>
          <w:b/>
          <w:i/>
          <w:noProof/>
          <w:highlight w:val="yellow"/>
        </w:rPr>
      </w:pPr>
      <w:r w:rsidRPr="00A120D9">
        <w:rPr>
          <w:b/>
          <w:noProof/>
        </w:rPr>
        <w:t>2.</w:t>
      </w:r>
      <w:r>
        <w:rPr>
          <w:b/>
          <w:noProof/>
        </w:rPr>
        <w:t>6</w:t>
      </w:r>
      <w:r w:rsidRPr="00A120D9">
        <w:rPr>
          <w:b/>
          <w:noProof/>
        </w:rPr>
        <w:t>. att.</w:t>
      </w:r>
      <w:r w:rsidRPr="00A120D9">
        <w:rPr>
          <w:b/>
        </w:rPr>
        <w:t xml:space="preserve"> Nodarbinātība un bezdarbs 2008.</w:t>
      </w:r>
      <w:r w:rsidR="003241A9">
        <w:rPr>
          <w:b/>
        </w:rPr>
        <w:t xml:space="preserve"> – </w:t>
      </w:r>
      <w:r w:rsidRPr="00A120D9">
        <w:rPr>
          <w:b/>
        </w:rPr>
        <w:t>202</w:t>
      </w:r>
      <w:r>
        <w:rPr>
          <w:b/>
        </w:rPr>
        <w:t>2. gad</w:t>
      </w:r>
      <w:r w:rsidRPr="00A120D9">
        <w:rPr>
          <w:b/>
        </w:rPr>
        <w:t>ā</w:t>
      </w:r>
    </w:p>
    <w:p w14:paraId="34F72D35" w14:textId="2A6844AD" w:rsidR="0031227F" w:rsidRDefault="0031227F" w:rsidP="00533314">
      <w:pPr>
        <w:pStyle w:val="Default"/>
        <w:ind w:firstLine="720"/>
        <w:jc w:val="both"/>
        <w:rPr>
          <w:color w:val="auto"/>
        </w:rPr>
      </w:pPr>
      <w:r>
        <w:rPr>
          <w:color w:val="auto"/>
        </w:rPr>
        <w:lastRenderedPageBreak/>
        <w:t xml:space="preserve">Pēc ļoti straujā 11,8% kāpuma 2021. gadā, mēneša vidējās bruto darba samaksas pieaugums 2022. gadā nedaudz palēninājās, algu pieaugumam veidojot 7,5% un vidējai algai sasniedzot 1373 </w:t>
      </w:r>
      <w:proofErr w:type="spellStart"/>
      <w:r w:rsidRPr="0045219B">
        <w:rPr>
          <w:i/>
          <w:iCs/>
          <w:color w:val="auto"/>
        </w:rPr>
        <w:t>euro</w:t>
      </w:r>
      <w:proofErr w:type="spellEnd"/>
      <w:r>
        <w:rPr>
          <w:color w:val="auto"/>
        </w:rPr>
        <w:t>. Lēnāku pieaugumu noteica gan zemāki algu pieaugumi sabiedriskā sektora nozarēs, pirmām kārtām veselībā un izglītībā, kur iepriekšējos gados algas bija augušas ļoti strauji, kā arī zemāk atalgoto nozaru, tostarp izmitināšanas</w:t>
      </w:r>
      <w:r w:rsidR="00F03304">
        <w:rPr>
          <w:color w:val="auto"/>
        </w:rPr>
        <w:t xml:space="preserve"> un</w:t>
      </w:r>
      <w:r>
        <w:rPr>
          <w:color w:val="auto"/>
        </w:rPr>
        <w:t xml:space="preserve"> ēdināšanas darbinieku plašāka atgriešanās darba tirgū. Algu pieauguma tempu mazināja arī tas, ka atšķirībā no iepriekšējā gada netika paaugstināta minimālā alga. </w:t>
      </w:r>
    </w:p>
    <w:p w14:paraId="098E2752" w14:textId="77777777" w:rsidR="0031227F" w:rsidRDefault="0031227F" w:rsidP="0031227F">
      <w:pPr>
        <w:pStyle w:val="Default"/>
        <w:ind w:firstLine="720"/>
        <w:jc w:val="both"/>
        <w:rPr>
          <w:color w:val="auto"/>
        </w:rPr>
      </w:pPr>
      <w:r>
        <w:rPr>
          <w:color w:val="auto"/>
        </w:rPr>
        <w:t xml:space="preserve">Privātajā sektorā algu pieaugums 2022. gadā bija nedaudz straujāks, mēneša vidējai bruto darba samaksai palielinoties par 8,0% līdz 1375 </w:t>
      </w:r>
      <w:proofErr w:type="spellStart"/>
      <w:r w:rsidRPr="0045219B">
        <w:rPr>
          <w:i/>
          <w:iCs/>
          <w:color w:val="auto"/>
        </w:rPr>
        <w:t>euro</w:t>
      </w:r>
      <w:proofErr w:type="spellEnd"/>
      <w:r>
        <w:rPr>
          <w:color w:val="auto"/>
        </w:rPr>
        <w:t xml:space="preserve">, kamēr sabiedriskajā sektorā alga auga par 6,2% līdz 1373 </w:t>
      </w:r>
      <w:proofErr w:type="spellStart"/>
      <w:r w:rsidRPr="0045219B">
        <w:rPr>
          <w:i/>
          <w:iCs/>
          <w:color w:val="auto"/>
        </w:rPr>
        <w:t>euro</w:t>
      </w:r>
      <w:proofErr w:type="spellEnd"/>
      <w:r>
        <w:rPr>
          <w:color w:val="auto"/>
        </w:rPr>
        <w:t xml:space="preserve">. Līdz ar šo straujāko kāpumu alga privātajā sektorā pērn pirmo reizi pārsniegusi vidējo algu sabiedriskajā sektorā.  </w:t>
      </w:r>
    </w:p>
    <w:p w14:paraId="2D8718D5" w14:textId="77777777" w:rsidR="0031227F" w:rsidRDefault="0031227F" w:rsidP="00F522BB">
      <w:pPr>
        <w:pStyle w:val="Default"/>
        <w:jc w:val="center"/>
        <w:rPr>
          <w:color w:val="auto"/>
        </w:rPr>
      </w:pPr>
      <w:r w:rsidRPr="00341200">
        <w:rPr>
          <w:noProof/>
          <w:color w:val="auto"/>
        </w:rPr>
        <w:drawing>
          <wp:inline distT="0" distB="0" distL="0" distR="0" wp14:anchorId="2BA7E077" wp14:editId="625AF1D8">
            <wp:extent cx="4958490" cy="5098136"/>
            <wp:effectExtent l="0" t="0" r="0" b="7620"/>
            <wp:docPr id="27" name="Chart 27">
              <a:extLst xmlns:a="http://schemas.openxmlformats.org/drawingml/2006/main">
                <a:ext uri="{FF2B5EF4-FFF2-40B4-BE49-F238E27FC236}">
                  <a16:creationId xmlns:a16="http://schemas.microsoft.com/office/drawing/2014/main" id="{55CBE899-ABF7-4CDF-8EF4-B1B3AC6D6E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2D06504" w14:textId="582470A9" w:rsidR="0031227F" w:rsidRPr="00A120D9" w:rsidRDefault="0031227F" w:rsidP="00F03304">
      <w:pPr>
        <w:pStyle w:val="Zpar"/>
        <w:spacing w:before="120" w:after="0"/>
        <w:ind w:left="0" w:right="-57" w:firstLine="0"/>
        <w:jc w:val="center"/>
        <w:rPr>
          <w:rFonts w:ascii="Times New Roman" w:hAnsi="Times New Roman"/>
          <w:b/>
          <w:sz w:val="24"/>
          <w:szCs w:val="24"/>
        </w:rPr>
      </w:pPr>
      <w:r w:rsidRPr="00A120D9">
        <w:rPr>
          <w:rFonts w:ascii="Times New Roman" w:hAnsi="Times New Roman"/>
          <w:b/>
          <w:noProof/>
          <w:sz w:val="24"/>
          <w:szCs w:val="24"/>
        </w:rPr>
        <w:t>2.</w:t>
      </w:r>
      <w:r>
        <w:rPr>
          <w:rFonts w:ascii="Times New Roman" w:hAnsi="Times New Roman"/>
          <w:b/>
          <w:noProof/>
          <w:sz w:val="24"/>
          <w:szCs w:val="24"/>
        </w:rPr>
        <w:t>7</w:t>
      </w:r>
      <w:r w:rsidRPr="00A120D9">
        <w:rPr>
          <w:rFonts w:ascii="Times New Roman" w:hAnsi="Times New Roman"/>
          <w:b/>
          <w:noProof/>
          <w:sz w:val="24"/>
          <w:szCs w:val="24"/>
        </w:rPr>
        <w:t>. att.</w:t>
      </w:r>
      <w:r w:rsidRPr="00A120D9">
        <w:rPr>
          <w:rFonts w:ascii="Times New Roman" w:hAnsi="Times New Roman"/>
          <w:b/>
          <w:sz w:val="24"/>
          <w:szCs w:val="24"/>
        </w:rPr>
        <w:t xml:space="preserve"> </w:t>
      </w:r>
      <w:r>
        <w:rPr>
          <w:rFonts w:ascii="Times New Roman" w:hAnsi="Times New Roman"/>
          <w:b/>
          <w:sz w:val="24"/>
          <w:szCs w:val="24"/>
        </w:rPr>
        <w:t xml:space="preserve">Mēneša vidējā bruto darba samaksa pa nozarēm, </w:t>
      </w:r>
      <w:proofErr w:type="spellStart"/>
      <w:r>
        <w:rPr>
          <w:rFonts w:ascii="Times New Roman" w:hAnsi="Times New Roman"/>
          <w:b/>
          <w:sz w:val="24"/>
          <w:szCs w:val="24"/>
        </w:rPr>
        <w:t>e</w:t>
      </w:r>
      <w:r w:rsidR="00F03304">
        <w:rPr>
          <w:rFonts w:ascii="Times New Roman" w:hAnsi="Times New Roman"/>
          <w:b/>
          <w:sz w:val="24"/>
          <w:szCs w:val="24"/>
        </w:rPr>
        <w:t>u</w:t>
      </w:r>
      <w:r>
        <w:rPr>
          <w:rFonts w:ascii="Times New Roman" w:hAnsi="Times New Roman"/>
          <w:b/>
          <w:sz w:val="24"/>
          <w:szCs w:val="24"/>
        </w:rPr>
        <w:t>ro</w:t>
      </w:r>
      <w:proofErr w:type="spellEnd"/>
      <w:r>
        <w:rPr>
          <w:rFonts w:ascii="Times New Roman" w:hAnsi="Times New Roman"/>
          <w:b/>
          <w:sz w:val="24"/>
          <w:szCs w:val="24"/>
        </w:rPr>
        <w:t xml:space="preserve"> un izmaiņas %</w:t>
      </w:r>
    </w:p>
    <w:p w14:paraId="3B62073B" w14:textId="77777777" w:rsidR="00F03304" w:rsidRDefault="00F03304" w:rsidP="0031227F">
      <w:pPr>
        <w:pStyle w:val="Default"/>
        <w:ind w:firstLine="720"/>
        <w:jc w:val="both"/>
        <w:rPr>
          <w:color w:val="auto"/>
        </w:rPr>
      </w:pPr>
    </w:p>
    <w:p w14:paraId="7FC028C9" w14:textId="026FE056" w:rsidR="0031227F" w:rsidRDefault="0031227F" w:rsidP="0031227F">
      <w:pPr>
        <w:pStyle w:val="Default"/>
        <w:ind w:firstLine="720"/>
        <w:jc w:val="both"/>
        <w:rPr>
          <w:color w:val="auto"/>
        </w:rPr>
      </w:pPr>
      <w:r w:rsidRPr="00A120D9">
        <w:rPr>
          <w:color w:val="auto"/>
        </w:rPr>
        <w:t xml:space="preserve">Nozaru griezumā gada laikā </w:t>
      </w:r>
      <w:r w:rsidRPr="003568FF">
        <w:rPr>
          <w:color w:val="auto"/>
        </w:rPr>
        <w:t>darba samaksa visstraujāk pieauga ūdens apgādes, notekūdeņu un atkritumu apsaimniekošanas un sanācijas nozarē – par 13,1%, izmitināšanas un ēdināšanas pakalpojumu nozarē – par 11,8%, kā arī lauksaimniecības, mežsaimniecības, zivsaimniecības</w:t>
      </w:r>
      <w:r w:rsidR="002429F4">
        <w:rPr>
          <w:color w:val="auto"/>
        </w:rPr>
        <w:t xml:space="preserve">, </w:t>
      </w:r>
      <w:r w:rsidRPr="003568FF">
        <w:rPr>
          <w:color w:val="auto"/>
        </w:rPr>
        <w:t>transporta un uzglabāšanas nozarē – par 11,0%. Zemākais pieaugums bija vērojams veselības un sociālās aprūpes nozarē – par 2,5%, citu pakalpojumu nozarē – par 4,9% un būvniecībā – par 5,2%.</w:t>
      </w:r>
    </w:p>
    <w:p w14:paraId="09E99B29" w14:textId="77777777" w:rsidR="0031227F" w:rsidRDefault="0031227F" w:rsidP="0031227F">
      <w:pPr>
        <w:pStyle w:val="Default"/>
        <w:ind w:firstLine="720"/>
        <w:jc w:val="both"/>
        <w:rPr>
          <w:color w:val="auto"/>
        </w:rPr>
      </w:pPr>
      <w:r w:rsidRPr="00A120D9">
        <w:rPr>
          <w:color w:val="auto"/>
        </w:rPr>
        <w:lastRenderedPageBreak/>
        <w:t>Augstākā mēneša bruto darba samaksa saglabājās finanšu pakalpojumu nozarē, kur tā bija 2</w:t>
      </w:r>
      <w:r>
        <w:rPr>
          <w:color w:val="auto"/>
        </w:rPr>
        <w:t>437</w:t>
      </w:r>
      <w:r w:rsidRPr="00A120D9">
        <w:rPr>
          <w:color w:val="auto"/>
        </w:rPr>
        <w:t xml:space="preserve"> </w:t>
      </w:r>
      <w:proofErr w:type="spellStart"/>
      <w:r w:rsidRPr="00A120D9">
        <w:rPr>
          <w:i/>
          <w:color w:val="auto"/>
        </w:rPr>
        <w:t>euro</w:t>
      </w:r>
      <w:proofErr w:type="spellEnd"/>
      <w:r w:rsidRPr="00A120D9">
        <w:rPr>
          <w:color w:val="auto"/>
        </w:rPr>
        <w:t>, un informācijas un komunikācijas pakalpojumu nozarē – 2</w:t>
      </w:r>
      <w:r>
        <w:rPr>
          <w:color w:val="auto"/>
        </w:rPr>
        <w:t>287</w:t>
      </w:r>
      <w:r w:rsidRPr="00A120D9">
        <w:rPr>
          <w:color w:val="auto"/>
        </w:rPr>
        <w:t xml:space="preserve"> </w:t>
      </w:r>
      <w:proofErr w:type="spellStart"/>
      <w:r w:rsidRPr="00A120D9">
        <w:rPr>
          <w:i/>
          <w:color w:val="auto"/>
        </w:rPr>
        <w:t>euro</w:t>
      </w:r>
      <w:proofErr w:type="spellEnd"/>
      <w:r>
        <w:rPr>
          <w:color w:val="auto"/>
        </w:rPr>
        <w:t>, s</w:t>
      </w:r>
      <w:r w:rsidRPr="00A120D9">
        <w:rPr>
          <w:color w:val="auto"/>
        </w:rPr>
        <w:t xml:space="preserve">avukārt zemākā alga bija izmitināšanas un ēdināšanas nozarē – </w:t>
      </w:r>
      <w:r>
        <w:rPr>
          <w:color w:val="auto"/>
        </w:rPr>
        <w:t>889</w:t>
      </w:r>
      <w:r w:rsidRPr="00A120D9">
        <w:rPr>
          <w:color w:val="auto"/>
        </w:rPr>
        <w:t xml:space="preserve"> </w:t>
      </w:r>
      <w:proofErr w:type="spellStart"/>
      <w:r w:rsidRPr="00A120D9">
        <w:rPr>
          <w:i/>
          <w:color w:val="auto"/>
        </w:rPr>
        <w:t>euro</w:t>
      </w:r>
      <w:proofErr w:type="spellEnd"/>
      <w:r>
        <w:rPr>
          <w:i/>
          <w:color w:val="auto"/>
        </w:rPr>
        <w:t>.</w:t>
      </w:r>
    </w:p>
    <w:p w14:paraId="1C520267" w14:textId="6108CCDD" w:rsidR="00A120D9" w:rsidRDefault="0031227F" w:rsidP="002429F4">
      <w:pPr>
        <w:pStyle w:val="Default"/>
        <w:spacing w:after="120"/>
        <w:ind w:firstLine="720"/>
        <w:jc w:val="both"/>
        <w:rPr>
          <w:color w:val="auto"/>
        </w:rPr>
      </w:pPr>
      <w:r>
        <w:rPr>
          <w:color w:val="auto"/>
        </w:rPr>
        <w:t xml:space="preserve">Sagaidāms, ka </w:t>
      </w:r>
      <w:r w:rsidRPr="00A120D9">
        <w:rPr>
          <w:color w:val="auto"/>
        </w:rPr>
        <w:t>202</w:t>
      </w:r>
      <w:r>
        <w:rPr>
          <w:color w:val="auto"/>
        </w:rPr>
        <w:t>3. gad</w:t>
      </w:r>
      <w:r w:rsidRPr="00A120D9">
        <w:rPr>
          <w:color w:val="auto"/>
        </w:rPr>
        <w:t>ā darba samaksas pieaugum</w:t>
      </w:r>
      <w:r>
        <w:rPr>
          <w:color w:val="auto"/>
        </w:rPr>
        <w:t xml:space="preserve">a temps paātrināsies līdz 8,5%, ko noteiks gan apjomīgais minimālās algas palielinājums no 500 </w:t>
      </w:r>
      <w:proofErr w:type="spellStart"/>
      <w:r w:rsidRPr="000A20AD">
        <w:rPr>
          <w:i/>
          <w:iCs/>
          <w:color w:val="auto"/>
        </w:rPr>
        <w:t>euro</w:t>
      </w:r>
      <w:proofErr w:type="spellEnd"/>
      <w:r>
        <w:rPr>
          <w:color w:val="auto"/>
        </w:rPr>
        <w:t xml:space="preserve"> līdz 620 </w:t>
      </w:r>
      <w:proofErr w:type="spellStart"/>
      <w:r w:rsidRPr="000A20AD">
        <w:rPr>
          <w:i/>
          <w:iCs/>
          <w:color w:val="auto"/>
        </w:rPr>
        <w:t>euro</w:t>
      </w:r>
      <w:proofErr w:type="spellEnd"/>
      <w:r>
        <w:rPr>
          <w:i/>
          <w:iCs/>
          <w:color w:val="auto"/>
        </w:rPr>
        <w:t xml:space="preserve">, </w:t>
      </w:r>
      <w:r w:rsidRPr="000A20AD">
        <w:rPr>
          <w:color w:val="auto"/>
        </w:rPr>
        <w:t>gan finans</w:t>
      </w:r>
      <w:r>
        <w:rPr>
          <w:color w:val="auto"/>
        </w:rPr>
        <w:t>ējuma palielinājums sabiedriskā sektora nozarēm, gan joprojām augstais inflācijas līmenis, kas liks veikt algu paaugstinājumus privātā sektora uzņēmumiem. Nākamajos gados</w:t>
      </w:r>
      <w:r w:rsidRPr="00A120D9">
        <w:rPr>
          <w:color w:val="auto"/>
        </w:rPr>
        <w:t xml:space="preserve"> vidējās bruto darba samaksas pieauguma temps </w:t>
      </w:r>
      <w:r>
        <w:rPr>
          <w:color w:val="auto"/>
        </w:rPr>
        <w:t>mazināsies, vidējā termiņā stabilizējoties</w:t>
      </w:r>
      <w:r w:rsidRPr="00A120D9">
        <w:rPr>
          <w:color w:val="auto"/>
        </w:rPr>
        <w:t xml:space="preserve"> tuvu produktivitātes pieauguma tempam.</w:t>
      </w:r>
    </w:p>
    <w:p w14:paraId="29A81B18" w14:textId="77777777" w:rsidR="002429F4" w:rsidRPr="002429F4" w:rsidRDefault="002429F4" w:rsidP="002429F4">
      <w:pPr>
        <w:pStyle w:val="Default"/>
        <w:ind w:firstLine="720"/>
        <w:jc w:val="both"/>
        <w:rPr>
          <w:color w:val="auto"/>
        </w:rPr>
      </w:pPr>
    </w:p>
    <w:p w14:paraId="4D64E7AD" w14:textId="0AD1F221" w:rsidR="00A120D9" w:rsidRPr="00F979EA" w:rsidRDefault="00A120D9" w:rsidP="002429F4">
      <w:pPr>
        <w:pStyle w:val="Heading2"/>
        <w:numPr>
          <w:ilvl w:val="1"/>
          <w:numId w:val="24"/>
        </w:numPr>
        <w:spacing w:before="0"/>
        <w:ind w:left="0" w:firstLine="0"/>
        <w:rPr>
          <w:sz w:val="28"/>
          <w:szCs w:val="24"/>
        </w:rPr>
      </w:pPr>
      <w:bookmarkStart w:id="14" w:name="_Toc5196196"/>
      <w:bookmarkStart w:id="15" w:name="_Toc38637020"/>
      <w:bookmarkStart w:id="16" w:name="_Toc68334995"/>
      <w:bookmarkStart w:id="17" w:name="_Toc131331232"/>
      <w:r w:rsidRPr="00F979EA">
        <w:rPr>
          <w:sz w:val="28"/>
          <w:szCs w:val="24"/>
        </w:rPr>
        <w:t>Makroekonomiskās attīstības scenārijs</w:t>
      </w:r>
      <w:bookmarkEnd w:id="14"/>
      <w:bookmarkEnd w:id="15"/>
      <w:bookmarkEnd w:id="16"/>
      <w:bookmarkEnd w:id="17"/>
    </w:p>
    <w:p w14:paraId="3318BB6E" w14:textId="77777777" w:rsidR="00A120D9" w:rsidRPr="00085AFE" w:rsidRDefault="00A120D9" w:rsidP="00A120D9">
      <w:pPr>
        <w:rPr>
          <w:highlight w:val="lightGray"/>
        </w:rPr>
      </w:pPr>
    </w:p>
    <w:p w14:paraId="7D5244D3" w14:textId="596A939A" w:rsidR="00910F58" w:rsidRPr="00B14A71" w:rsidRDefault="00910F58" w:rsidP="00B14A71">
      <w:pPr>
        <w:rPr>
          <w:rFonts w:eastAsia="Times New Roman" w:cs="Times New Roman"/>
          <w:color w:val="000000"/>
          <w:sz w:val="24"/>
          <w:szCs w:val="23"/>
          <w:lang w:eastAsia="lv-LV"/>
        </w:rPr>
      </w:pPr>
      <w:r w:rsidRPr="00B14A71">
        <w:rPr>
          <w:rFonts w:eastAsia="Times New Roman" w:cs="Times New Roman"/>
          <w:color w:val="000000"/>
          <w:sz w:val="24"/>
          <w:szCs w:val="23"/>
          <w:lang w:eastAsia="lv-LV"/>
        </w:rPr>
        <w:t>Makroekonomiskās attīstības scenārijs vidējam termiņam 2023.</w:t>
      </w:r>
      <w:r w:rsidRPr="00B14A71">
        <w:rPr>
          <w:rFonts w:eastAsia="Times New Roman" w:cs="Times New Roman"/>
          <w:color w:val="000000"/>
          <w:sz w:val="24"/>
          <w:szCs w:val="23"/>
          <w:lang w:eastAsia="lv-LV"/>
        </w:rPr>
        <w:noBreakHyphen/>
        <w:t xml:space="preserve">2026. gadam izstrādāts 2023. gada februārī, balstoties uz pieejamo makroekonomisko informāciju par periodu līdz 2022. gada beigām, tajā skaitā IKP ātro novērtējumu par 2022. gada 4. ceturksni. Savukārt kā bāze ārējai ekonomiskajai videi, kas ir pamatā Latvijas eksporta prognozēm, izmantotas EK un SVF jaunākās 2023. gada ziemas prognozes. Izstrādājot makroekonomisko rādītāju prognozes, </w:t>
      </w:r>
      <w:r w:rsidR="00B14A71" w:rsidRPr="00B14A71">
        <w:rPr>
          <w:rFonts w:eastAsia="Times New Roman" w:cs="Times New Roman"/>
          <w:color w:val="000000"/>
          <w:sz w:val="24"/>
          <w:szCs w:val="23"/>
          <w:lang w:eastAsia="lv-LV"/>
        </w:rPr>
        <w:t>FM</w:t>
      </w:r>
      <w:r w:rsidRPr="00B14A71">
        <w:rPr>
          <w:rFonts w:eastAsia="Times New Roman" w:cs="Times New Roman"/>
          <w:color w:val="000000"/>
          <w:sz w:val="24"/>
          <w:szCs w:val="23"/>
          <w:lang w:eastAsia="lv-LV"/>
        </w:rPr>
        <w:t xml:space="preserve"> ir konsultējusies ar Latvijas Bankas un </w:t>
      </w:r>
      <w:r w:rsidR="00B14A71" w:rsidRPr="00B14A71">
        <w:rPr>
          <w:rFonts w:eastAsia="Times New Roman" w:cs="Times New Roman"/>
          <w:color w:val="000000"/>
          <w:sz w:val="24"/>
          <w:szCs w:val="23"/>
          <w:lang w:eastAsia="lv-LV"/>
        </w:rPr>
        <w:t>EM</w:t>
      </w:r>
      <w:r w:rsidRPr="00B14A71">
        <w:rPr>
          <w:rFonts w:eastAsia="Times New Roman" w:cs="Times New Roman"/>
          <w:color w:val="000000"/>
          <w:sz w:val="24"/>
          <w:szCs w:val="23"/>
          <w:lang w:eastAsia="lv-LV"/>
        </w:rPr>
        <w:t xml:space="preserve">, kā arī </w:t>
      </w:r>
      <w:r w:rsidR="00B14A71" w:rsidRPr="00B14A71">
        <w:rPr>
          <w:rFonts w:eastAsia="Times New Roman" w:cs="Times New Roman"/>
          <w:color w:val="000000"/>
          <w:sz w:val="24"/>
          <w:szCs w:val="23"/>
          <w:lang w:eastAsia="lv-LV"/>
        </w:rPr>
        <w:t>EK</w:t>
      </w:r>
      <w:r w:rsidRPr="00B14A71">
        <w:rPr>
          <w:rFonts w:eastAsia="Times New Roman" w:cs="Times New Roman"/>
          <w:color w:val="000000"/>
          <w:sz w:val="24"/>
          <w:szCs w:val="23"/>
          <w:lang w:eastAsia="lv-LV"/>
        </w:rPr>
        <w:t xml:space="preserve"> un </w:t>
      </w:r>
      <w:r w:rsidR="00B14A71" w:rsidRPr="00B14A71">
        <w:rPr>
          <w:rFonts w:eastAsia="Times New Roman" w:cs="Times New Roman"/>
          <w:color w:val="000000"/>
          <w:sz w:val="24"/>
          <w:szCs w:val="23"/>
          <w:lang w:eastAsia="lv-LV"/>
        </w:rPr>
        <w:t>SVF</w:t>
      </w:r>
      <w:r w:rsidRPr="00B14A71">
        <w:rPr>
          <w:rFonts w:eastAsia="Times New Roman" w:cs="Times New Roman"/>
          <w:color w:val="000000"/>
          <w:sz w:val="24"/>
          <w:szCs w:val="23"/>
          <w:lang w:eastAsia="lv-LV"/>
        </w:rPr>
        <w:t xml:space="preserve"> ekspertiem. Makroekonomisko rādītāju prognozes ir apstiprinājusi Fiskālās disciplīnas padome 2023. gada 10. februārī, publicējot savus atzinumu.</w:t>
      </w:r>
    </w:p>
    <w:p w14:paraId="582745F7" w14:textId="77777777" w:rsidR="00910F58" w:rsidRPr="00B14A71" w:rsidRDefault="00910F58" w:rsidP="00910F58">
      <w:pPr>
        <w:pStyle w:val="H4"/>
        <w:ind w:left="0" w:firstLine="720"/>
        <w:jc w:val="both"/>
        <w:rPr>
          <w:rFonts w:ascii="Times New Roman" w:hAnsi="Times New Roman"/>
          <w:iCs/>
          <w:sz w:val="24"/>
          <w:szCs w:val="22"/>
        </w:rPr>
      </w:pPr>
      <w:r w:rsidRPr="00B14A71">
        <w:rPr>
          <w:rFonts w:ascii="Times New Roman" w:hAnsi="Times New Roman"/>
          <w:iCs/>
          <w:sz w:val="24"/>
          <w:szCs w:val="22"/>
        </w:rPr>
        <w:t>Bāzes scenārijs</w:t>
      </w:r>
    </w:p>
    <w:p w14:paraId="75B4038C" w14:textId="70764B40" w:rsidR="00910F58" w:rsidRPr="00F979EA" w:rsidRDefault="00910F58" w:rsidP="00910F58">
      <w:pPr>
        <w:rPr>
          <w:rFonts w:cs="Times New Roman"/>
          <w:sz w:val="24"/>
        </w:rPr>
      </w:pPr>
      <w:r w:rsidRPr="00B14A71">
        <w:rPr>
          <w:rFonts w:cs="Times New Roman"/>
          <w:sz w:val="24"/>
        </w:rPr>
        <w:t xml:space="preserve">Saskaņā ar šā gada februārī izstrādāto scenāriju, Latvijas </w:t>
      </w:r>
      <w:r w:rsidR="00B14A71" w:rsidRPr="00B14A71">
        <w:rPr>
          <w:rFonts w:cs="Times New Roman"/>
          <w:sz w:val="24"/>
        </w:rPr>
        <w:t>IKP</w:t>
      </w:r>
      <w:r w:rsidRPr="00B14A71">
        <w:rPr>
          <w:rFonts w:cs="Times New Roman"/>
          <w:sz w:val="24"/>
        </w:rPr>
        <w:t xml:space="preserve"> šogad paliks 2022. gada līmenī, bet 2024. gadā tiek prognozēta 2,0% ekonomikas izaugsme. Salīdzinot ar iepriekšējām prognozēm, k</w:t>
      </w:r>
      <w:r w:rsidRPr="00F979EA">
        <w:rPr>
          <w:rFonts w:cs="Times New Roman"/>
          <w:sz w:val="24"/>
        </w:rPr>
        <w:t>as tika izstrādātas 2022. gada decembra sākumā, 2023. gadam prognozētais IKP pieaugums ir palielināts par 0,6 procentpunktiem, bet 2024. gadam prognozēts par vienu procentpunktu mazāks IKP pieaugums nekā pagājušā gada decembrī. Nākamajos divos gados – 2025. un 2026. gadā – tiek prognozēta ekonomikas izaugsme attiecīgi par 2,9% un 2,8%.</w:t>
      </w:r>
    </w:p>
    <w:p w14:paraId="15F90481" w14:textId="77777777" w:rsidR="00910F58" w:rsidRPr="00F979EA" w:rsidRDefault="00910F58" w:rsidP="00910F58">
      <w:pPr>
        <w:rPr>
          <w:rFonts w:cs="Times New Roman"/>
          <w:sz w:val="24"/>
        </w:rPr>
      </w:pPr>
      <w:r w:rsidRPr="00F979EA">
        <w:rPr>
          <w:rFonts w:cs="Times New Roman"/>
          <w:sz w:val="24"/>
        </w:rPr>
        <w:t xml:space="preserve">Augstais energoresursu cenu līmenis arī turpmāk ietekmēs ekonomisko attīstību, bremzējot mājsaimniecību patēriņu, kas pēc straujā pieauguma 2022. gadā Covid-19 ierobežojumu atcelšanas rezultātā, šogad samazināsies par 0,9%. Tomēr tas ir par 2 procentpunktiem vairāk nekā 2022. gada decembra prognozē, jo šī ziema izrādījās siltāka nekā gaidīts. Cenām stabilizējoties un inflācijai noslīdot līdz pirmskara līmenim, mājsaimniecību patēriņa pieaugums atjaunosies līdz 2,1% 2024. gadā, un nākamajos divos gados mājsaimniecību patēriņš augs attiecīgi par 4% un 3,5%. </w:t>
      </w:r>
    </w:p>
    <w:p w14:paraId="0D2E790C" w14:textId="6B049AAF" w:rsidR="00910F58" w:rsidRPr="00F979EA" w:rsidRDefault="00910F58" w:rsidP="00910F58">
      <w:pPr>
        <w:rPr>
          <w:rFonts w:cs="Times New Roman"/>
          <w:sz w:val="24"/>
        </w:rPr>
      </w:pPr>
      <w:r w:rsidRPr="00F979EA">
        <w:rPr>
          <w:rFonts w:cs="Times New Roman"/>
          <w:sz w:val="24"/>
        </w:rPr>
        <w:t>Arī ārējā tirdzniecība būs ekonomisko attīstību būtisks ietekmējošs faktors, taču prognožu periodā nav gaidāms tik liels ārējā pieprasījuma pieaugums, kāds tas bija 2022. gadā. Prognozējams, ka, stabilizējoties ārējam pieprasījumam, eksporta apjoms salīdzināmajās cenās saglabāsies nemainīgs jeb pieaugs par 0%. Daļēji to noteiks arī tas, ka tirdzniecības apjomi ar Krieviju un Baltkrieviju saglabāsies zemā līmenī un krasas situācijas izmaiņas nenotiks. Tomēr turpmākajos gados prognozēts eksporta pieaugums par 4</w:t>
      </w:r>
      <w:r w:rsidR="004A6B6D">
        <w:rPr>
          <w:rFonts w:cs="Times New Roman"/>
          <w:sz w:val="24"/>
        </w:rPr>
        <w:t xml:space="preserve"> – </w:t>
      </w:r>
      <w:r w:rsidRPr="00F979EA">
        <w:rPr>
          <w:rFonts w:cs="Times New Roman"/>
          <w:sz w:val="24"/>
        </w:rPr>
        <w:t>5%, līdzīgi kā bija prognozēts 2022. gada decembrī.</w:t>
      </w:r>
    </w:p>
    <w:p w14:paraId="4AE66CF8" w14:textId="68D8E682" w:rsidR="00910F58" w:rsidRPr="00F979EA" w:rsidRDefault="00910F58" w:rsidP="00910F58">
      <w:pPr>
        <w:rPr>
          <w:rFonts w:cs="Times New Roman"/>
          <w:sz w:val="24"/>
        </w:rPr>
      </w:pPr>
      <w:r w:rsidRPr="00F30586">
        <w:rPr>
          <w:rFonts w:cs="Times New Roman"/>
          <w:sz w:val="24"/>
        </w:rPr>
        <w:t xml:space="preserve">Investīciju (bruto pamatkapitāla veidošanas) pieaugums 2023. gadā prognozēts </w:t>
      </w:r>
      <w:r w:rsidRPr="001C1BD5">
        <w:rPr>
          <w:rFonts w:cs="Times New Roman"/>
          <w:sz w:val="24"/>
        </w:rPr>
        <w:t xml:space="preserve">1% apmērā, kas ir </w:t>
      </w:r>
      <w:r w:rsidR="00F30586">
        <w:rPr>
          <w:rFonts w:cs="Times New Roman"/>
          <w:sz w:val="24"/>
        </w:rPr>
        <w:t xml:space="preserve">aptuveni </w:t>
      </w:r>
      <w:r w:rsidRPr="001C1BD5">
        <w:rPr>
          <w:rFonts w:cs="Times New Roman"/>
          <w:sz w:val="24"/>
        </w:rPr>
        <w:t>par 2 procentpunktiem vairāk nekā prognozēts 2022. gada decembrī.</w:t>
      </w:r>
      <w:r w:rsidRPr="00F979EA">
        <w:rPr>
          <w:rFonts w:cs="Times New Roman"/>
          <w:sz w:val="24"/>
        </w:rPr>
        <w:t xml:space="preserve"> Pieaugumu noteiks gaidāmā straujāka ES līdzekļu izmantošana. Savukārt nākamajos gados investīciju pieaugums būs zem 5%, pieņemot, ka investīciju vide, tai skaitā cenu stabilitāte un uzņēmēju konfidence būs labvēlīgāka nekā šajā un pagājušajā gadā.</w:t>
      </w:r>
    </w:p>
    <w:p w14:paraId="04EF34FF" w14:textId="77777777" w:rsidR="00910F58" w:rsidRPr="00F979EA" w:rsidRDefault="00910F58" w:rsidP="00910F58">
      <w:pPr>
        <w:rPr>
          <w:rFonts w:cs="Times New Roman"/>
          <w:sz w:val="24"/>
        </w:rPr>
      </w:pPr>
      <w:r w:rsidRPr="00F979EA">
        <w:rPr>
          <w:rFonts w:cs="Times New Roman"/>
          <w:sz w:val="24"/>
        </w:rPr>
        <w:t xml:space="preserve">Tautsaimniecībā nodarbināto iedzīvotāju skaits 2023. gadā prognozēts pagājušā gada līmenī, jo ekonomikas izaugsme palēninās, tomēr arī IKP kritums netiek prognozēts. </w:t>
      </w:r>
      <w:r w:rsidRPr="00F979EA">
        <w:rPr>
          <w:rFonts w:cs="Times New Roman"/>
          <w:sz w:val="24"/>
        </w:rPr>
        <w:lastRenderedPageBreak/>
        <w:t>Nākamajos gados ir prognozēts neliels nodarbināto skaita samazinājums, kas galvenokārt saistīts ar darbspējas vecuma iedzīvotāju skaita samazināšanos. Bezdarba līmenim 2023. gadā prognozēts niecīgs, 0,2 procentpunktu pieaugums. Turpmākajos gados straujāka ekonomikas izaugsme un demogrāfiskās tendences noteiks bezdarba līmeņa lēnu samazināšanos līdz 6,4% 2025. gadā.</w:t>
      </w:r>
    </w:p>
    <w:p w14:paraId="67D0D860" w14:textId="77777777" w:rsidR="00910F58" w:rsidRPr="00F979EA" w:rsidRDefault="00910F58" w:rsidP="00910F58">
      <w:pPr>
        <w:rPr>
          <w:rFonts w:cs="Times New Roman"/>
          <w:sz w:val="24"/>
        </w:rPr>
      </w:pPr>
      <w:r w:rsidRPr="00F979EA">
        <w:rPr>
          <w:rFonts w:cs="Times New Roman"/>
          <w:sz w:val="24"/>
        </w:rPr>
        <w:t xml:space="preserve">Mēneša vidējās bruto darba samaksas pieauguma temps 2023. gadā paātrināsies līdz 8,5%, ko noteiks gan apjomīgais minimālās algas palielinājums no 500 </w:t>
      </w:r>
      <w:proofErr w:type="spellStart"/>
      <w:r w:rsidRPr="00F979EA">
        <w:rPr>
          <w:rFonts w:cs="Times New Roman"/>
          <w:i/>
          <w:iCs/>
          <w:sz w:val="24"/>
        </w:rPr>
        <w:t>euro</w:t>
      </w:r>
      <w:proofErr w:type="spellEnd"/>
      <w:r w:rsidRPr="00F979EA">
        <w:rPr>
          <w:rFonts w:cs="Times New Roman"/>
          <w:sz w:val="24"/>
        </w:rPr>
        <w:t xml:space="preserve"> līdz 620 </w:t>
      </w:r>
      <w:proofErr w:type="spellStart"/>
      <w:r w:rsidRPr="00F979EA">
        <w:rPr>
          <w:rFonts w:cs="Times New Roman"/>
          <w:i/>
          <w:iCs/>
          <w:sz w:val="24"/>
        </w:rPr>
        <w:t>euro</w:t>
      </w:r>
      <w:proofErr w:type="spellEnd"/>
      <w:r w:rsidRPr="00F979EA">
        <w:rPr>
          <w:rFonts w:cs="Times New Roman"/>
          <w:sz w:val="24"/>
        </w:rPr>
        <w:t>, gan finansējuma palielinājums sabiedriskā sektora nozarēm, gan joprojām augstais inflācijas līmenis, kas liks veikt algu paaugstinājumus privātā sektora uzņēmumiem. Nākamajos gados vidējās bruto darba samaksas pieauguma temps pakāpeniski mazināsies, vidējā termiņā stabilizējoties tuvu produktivitātes pieauguma tempam.</w:t>
      </w:r>
    </w:p>
    <w:p w14:paraId="5D4375AA" w14:textId="1F6B409C" w:rsidR="00910F58" w:rsidRPr="00F979EA" w:rsidRDefault="00910F58" w:rsidP="004B1E93">
      <w:pPr>
        <w:rPr>
          <w:rFonts w:cs="Times New Roman"/>
          <w:sz w:val="24"/>
        </w:rPr>
      </w:pPr>
      <w:r w:rsidRPr="00F979EA">
        <w:rPr>
          <w:rFonts w:cs="Times New Roman"/>
          <w:sz w:val="24"/>
        </w:rPr>
        <w:t>Vidējā gada inflācija 2023. gadā prognozēta 10% līmenī, kas ir ievērojami zemāks cenu pieaugums nekā 2022. gadā. Tomēr, salīdzinot ar 2022. gada decembra sākumā prognozēto, inflācijas prognoze ir paaugstināta par 1,5 procentpunktiem. Šo palielinājumu noteica gada beigās pieaugušie siltumenerģijas, elektroenerģijas un gāzes tarifi, kā arī spēcīgāki inflācijas otrās kārtas efekti. 2024. gadā inflācija turpinās mazināties, cenām pieaugot par 2,2% un pēc tam stabilizējoties 2,5% līmenī.</w:t>
      </w:r>
    </w:p>
    <w:p w14:paraId="0005D5F3" w14:textId="77777777" w:rsidR="00910F58" w:rsidRPr="00F979EA" w:rsidRDefault="00910F58" w:rsidP="00910F58">
      <w:pPr>
        <w:spacing w:after="120"/>
        <w:ind w:firstLine="0"/>
        <w:jc w:val="right"/>
        <w:rPr>
          <w:rFonts w:cs="Times New Roman"/>
          <w:b/>
          <w:i/>
          <w:sz w:val="24"/>
          <w:szCs w:val="24"/>
        </w:rPr>
      </w:pPr>
      <w:r w:rsidRPr="00F979EA">
        <w:rPr>
          <w:rFonts w:cs="Times New Roman"/>
          <w:b/>
          <w:i/>
          <w:sz w:val="24"/>
          <w:szCs w:val="24"/>
        </w:rPr>
        <w:t>2.2. tabula. Izaugsme un ar to saistītie faktori</w:t>
      </w:r>
    </w:p>
    <w:tbl>
      <w:tblPr>
        <w:tblStyle w:val="GridTable6Colorful-Accent1"/>
        <w:tblW w:w="9067" w:type="dxa"/>
        <w:jc w:val="center"/>
        <w:tblLayout w:type="fixed"/>
        <w:tblCellMar>
          <w:left w:w="28" w:type="dxa"/>
          <w:right w:w="28" w:type="dxa"/>
        </w:tblCellMar>
        <w:tblLook w:val="04A0" w:firstRow="1" w:lastRow="0" w:firstColumn="1" w:lastColumn="0" w:noHBand="0" w:noVBand="1"/>
      </w:tblPr>
      <w:tblGrid>
        <w:gridCol w:w="3256"/>
        <w:gridCol w:w="850"/>
        <w:gridCol w:w="851"/>
        <w:gridCol w:w="822"/>
        <w:gridCol w:w="822"/>
        <w:gridCol w:w="822"/>
        <w:gridCol w:w="822"/>
        <w:gridCol w:w="822"/>
      </w:tblGrid>
      <w:tr w:rsidR="00910F58" w:rsidRPr="00F979EA" w14:paraId="44F83884" w14:textId="77777777" w:rsidTr="00277007">
        <w:trPr>
          <w:cnfStyle w:val="100000000000" w:firstRow="1" w:lastRow="0" w:firstColumn="0" w:lastColumn="0" w:oddVBand="0" w:evenVBand="0" w:oddHBand="0"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3256" w:type="dxa"/>
            <w:vMerge w:val="restart"/>
            <w:vAlign w:val="center"/>
            <w:hideMark/>
          </w:tcPr>
          <w:p w14:paraId="7AED80EC" w14:textId="77777777" w:rsidR="00910F58" w:rsidRPr="00F979EA" w:rsidRDefault="00910F58" w:rsidP="00277007">
            <w:pPr>
              <w:jc w:val="center"/>
              <w:rPr>
                <w:rFonts w:cs="Times New Roman"/>
                <w:b w:val="0"/>
                <w:color w:val="auto"/>
                <w:sz w:val="18"/>
                <w:szCs w:val="18"/>
              </w:rPr>
            </w:pPr>
          </w:p>
        </w:tc>
        <w:tc>
          <w:tcPr>
            <w:tcW w:w="850" w:type="dxa"/>
            <w:vMerge w:val="restart"/>
            <w:noWrap/>
            <w:vAlign w:val="center"/>
            <w:hideMark/>
          </w:tcPr>
          <w:p w14:paraId="0477E00A" w14:textId="77777777" w:rsidR="00910F58" w:rsidRPr="00F979EA" w:rsidRDefault="00910F58" w:rsidP="00277007">
            <w:pPr>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color w:val="auto"/>
                <w:sz w:val="18"/>
                <w:szCs w:val="18"/>
              </w:rPr>
            </w:pPr>
            <w:r w:rsidRPr="00F979EA">
              <w:rPr>
                <w:rFonts w:cs="Times New Roman"/>
                <w:b w:val="0"/>
                <w:color w:val="auto"/>
                <w:sz w:val="18"/>
                <w:szCs w:val="18"/>
              </w:rPr>
              <w:t>EKS Kods</w:t>
            </w:r>
          </w:p>
        </w:tc>
        <w:tc>
          <w:tcPr>
            <w:tcW w:w="851" w:type="dxa"/>
            <w:noWrap/>
            <w:vAlign w:val="center"/>
            <w:hideMark/>
          </w:tcPr>
          <w:p w14:paraId="05DA9C1B" w14:textId="77777777" w:rsidR="00910F58" w:rsidRPr="00F979EA" w:rsidRDefault="00910F58" w:rsidP="00277007">
            <w:pPr>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color w:val="auto"/>
                <w:sz w:val="18"/>
                <w:szCs w:val="18"/>
              </w:rPr>
            </w:pPr>
            <w:r w:rsidRPr="00F979EA">
              <w:rPr>
                <w:rFonts w:cs="Times New Roman"/>
                <w:b w:val="0"/>
                <w:color w:val="auto"/>
                <w:sz w:val="18"/>
                <w:szCs w:val="18"/>
              </w:rPr>
              <w:t>2022*</w:t>
            </w:r>
          </w:p>
        </w:tc>
        <w:tc>
          <w:tcPr>
            <w:tcW w:w="822" w:type="dxa"/>
            <w:noWrap/>
            <w:vAlign w:val="center"/>
          </w:tcPr>
          <w:p w14:paraId="2EA35B53" w14:textId="77777777" w:rsidR="00910F58" w:rsidRPr="00F979EA" w:rsidRDefault="00910F58" w:rsidP="00277007">
            <w:pPr>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color w:val="auto"/>
                <w:sz w:val="18"/>
                <w:szCs w:val="18"/>
              </w:rPr>
            </w:pPr>
            <w:r w:rsidRPr="00F979EA">
              <w:rPr>
                <w:rFonts w:cs="Times New Roman"/>
                <w:b w:val="0"/>
                <w:color w:val="auto"/>
                <w:sz w:val="18"/>
                <w:szCs w:val="18"/>
              </w:rPr>
              <w:t>2022*</w:t>
            </w:r>
          </w:p>
        </w:tc>
        <w:tc>
          <w:tcPr>
            <w:tcW w:w="822" w:type="dxa"/>
            <w:noWrap/>
            <w:vAlign w:val="center"/>
          </w:tcPr>
          <w:p w14:paraId="4BF35CBD" w14:textId="77777777" w:rsidR="00910F58" w:rsidRPr="00F979EA" w:rsidRDefault="00910F58" w:rsidP="00277007">
            <w:pPr>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color w:val="auto"/>
                <w:sz w:val="18"/>
                <w:szCs w:val="18"/>
              </w:rPr>
            </w:pPr>
            <w:r w:rsidRPr="00F979EA">
              <w:rPr>
                <w:rFonts w:cs="Times New Roman"/>
                <w:b w:val="0"/>
                <w:color w:val="auto"/>
                <w:sz w:val="18"/>
                <w:szCs w:val="18"/>
              </w:rPr>
              <w:t>2023</w:t>
            </w:r>
          </w:p>
        </w:tc>
        <w:tc>
          <w:tcPr>
            <w:tcW w:w="822" w:type="dxa"/>
            <w:noWrap/>
            <w:vAlign w:val="center"/>
          </w:tcPr>
          <w:p w14:paraId="5239937A" w14:textId="77777777" w:rsidR="00910F58" w:rsidRPr="00F979EA" w:rsidRDefault="00910F58" w:rsidP="00277007">
            <w:pPr>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color w:val="auto"/>
                <w:sz w:val="18"/>
                <w:szCs w:val="18"/>
              </w:rPr>
            </w:pPr>
            <w:r w:rsidRPr="00F979EA">
              <w:rPr>
                <w:rFonts w:cs="Times New Roman"/>
                <w:b w:val="0"/>
                <w:color w:val="auto"/>
                <w:sz w:val="18"/>
                <w:szCs w:val="18"/>
              </w:rPr>
              <w:t>2024</w:t>
            </w:r>
          </w:p>
        </w:tc>
        <w:tc>
          <w:tcPr>
            <w:tcW w:w="822" w:type="dxa"/>
            <w:noWrap/>
            <w:vAlign w:val="center"/>
          </w:tcPr>
          <w:p w14:paraId="05DBA0D7" w14:textId="77777777" w:rsidR="00910F58" w:rsidRPr="00F979EA" w:rsidRDefault="00910F58" w:rsidP="00277007">
            <w:pPr>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color w:val="auto"/>
                <w:sz w:val="18"/>
                <w:szCs w:val="18"/>
              </w:rPr>
            </w:pPr>
            <w:r w:rsidRPr="00F979EA">
              <w:rPr>
                <w:rFonts w:cs="Times New Roman"/>
                <w:b w:val="0"/>
                <w:color w:val="auto"/>
                <w:sz w:val="18"/>
                <w:szCs w:val="18"/>
              </w:rPr>
              <w:t>2025</w:t>
            </w:r>
          </w:p>
        </w:tc>
        <w:tc>
          <w:tcPr>
            <w:tcW w:w="822" w:type="dxa"/>
            <w:noWrap/>
            <w:vAlign w:val="center"/>
          </w:tcPr>
          <w:p w14:paraId="55B612B3" w14:textId="77777777" w:rsidR="00910F58" w:rsidRPr="00F979EA" w:rsidRDefault="00910F58" w:rsidP="00277007">
            <w:pPr>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color w:val="auto"/>
                <w:sz w:val="18"/>
                <w:szCs w:val="18"/>
              </w:rPr>
            </w:pPr>
            <w:r w:rsidRPr="00F979EA">
              <w:rPr>
                <w:rFonts w:cs="Times New Roman"/>
                <w:b w:val="0"/>
                <w:color w:val="auto"/>
                <w:sz w:val="18"/>
                <w:szCs w:val="18"/>
              </w:rPr>
              <w:t>2026</w:t>
            </w:r>
          </w:p>
        </w:tc>
      </w:tr>
      <w:tr w:rsidR="00910F58" w:rsidRPr="00F979EA" w14:paraId="62DA348D" w14:textId="77777777" w:rsidTr="00277007">
        <w:trPr>
          <w:cnfStyle w:val="000000100000" w:firstRow="0" w:lastRow="0" w:firstColumn="0" w:lastColumn="0" w:oddVBand="0" w:evenVBand="0" w:oddHBand="1" w:evenHBand="0" w:firstRowFirstColumn="0" w:firstRowLastColumn="0" w:lastRowFirstColumn="0" w:lastRowLastColumn="0"/>
          <w:trHeight w:val="194"/>
          <w:jc w:val="center"/>
        </w:trPr>
        <w:tc>
          <w:tcPr>
            <w:cnfStyle w:val="001000000000" w:firstRow="0" w:lastRow="0" w:firstColumn="1" w:lastColumn="0" w:oddVBand="0" w:evenVBand="0" w:oddHBand="0" w:evenHBand="0" w:firstRowFirstColumn="0" w:firstRowLastColumn="0" w:lastRowFirstColumn="0" w:lastRowLastColumn="0"/>
            <w:tcW w:w="3256" w:type="dxa"/>
            <w:vMerge/>
            <w:vAlign w:val="center"/>
            <w:hideMark/>
          </w:tcPr>
          <w:p w14:paraId="019CF17B" w14:textId="77777777" w:rsidR="00910F58" w:rsidRPr="00F979EA" w:rsidRDefault="00910F58" w:rsidP="00277007">
            <w:pPr>
              <w:jc w:val="center"/>
              <w:rPr>
                <w:rFonts w:cs="Times New Roman"/>
                <w:b w:val="0"/>
                <w:color w:val="auto"/>
                <w:sz w:val="18"/>
                <w:szCs w:val="18"/>
              </w:rPr>
            </w:pPr>
          </w:p>
        </w:tc>
        <w:tc>
          <w:tcPr>
            <w:tcW w:w="850" w:type="dxa"/>
            <w:vMerge/>
            <w:vAlign w:val="center"/>
            <w:hideMark/>
          </w:tcPr>
          <w:p w14:paraId="7CE8A0C5" w14:textId="77777777" w:rsidR="00910F58" w:rsidRPr="00F979EA" w:rsidRDefault="00910F58" w:rsidP="00277007">
            <w:pPr>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p>
        </w:tc>
        <w:tc>
          <w:tcPr>
            <w:tcW w:w="851" w:type="dxa"/>
            <w:noWrap/>
            <w:vAlign w:val="center"/>
            <w:hideMark/>
          </w:tcPr>
          <w:p w14:paraId="036CA267" w14:textId="77777777" w:rsidR="00910F58" w:rsidRPr="00F979EA" w:rsidRDefault="00910F58"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F979EA">
              <w:rPr>
                <w:rFonts w:cs="Times New Roman"/>
                <w:color w:val="auto"/>
                <w:sz w:val="18"/>
                <w:szCs w:val="18"/>
              </w:rPr>
              <w:t xml:space="preserve">milj. </w:t>
            </w:r>
            <w:proofErr w:type="spellStart"/>
            <w:r w:rsidRPr="00F979EA">
              <w:rPr>
                <w:rFonts w:cs="Times New Roman"/>
                <w:i/>
                <w:iCs/>
                <w:color w:val="auto"/>
                <w:sz w:val="18"/>
                <w:szCs w:val="18"/>
              </w:rPr>
              <w:t>euro</w:t>
            </w:r>
            <w:proofErr w:type="spellEnd"/>
          </w:p>
        </w:tc>
        <w:tc>
          <w:tcPr>
            <w:tcW w:w="4110" w:type="dxa"/>
            <w:gridSpan w:val="5"/>
            <w:noWrap/>
            <w:vAlign w:val="center"/>
            <w:hideMark/>
          </w:tcPr>
          <w:p w14:paraId="799EF998" w14:textId="77777777" w:rsidR="00910F58" w:rsidRPr="00F979EA" w:rsidRDefault="00910F58" w:rsidP="00277007">
            <w:pPr>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F979EA">
              <w:rPr>
                <w:rFonts w:cs="Times New Roman"/>
                <w:color w:val="auto"/>
                <w:sz w:val="18"/>
                <w:szCs w:val="18"/>
              </w:rPr>
              <w:t>Pieaugums %</w:t>
            </w:r>
          </w:p>
        </w:tc>
      </w:tr>
      <w:tr w:rsidR="00910F58" w:rsidRPr="00F979EA" w14:paraId="5451B705" w14:textId="77777777" w:rsidTr="00277007">
        <w:trPr>
          <w:trHeight w:val="168"/>
          <w:jc w:val="center"/>
        </w:trPr>
        <w:tc>
          <w:tcPr>
            <w:cnfStyle w:val="001000000000" w:firstRow="0" w:lastRow="0" w:firstColumn="1" w:lastColumn="0" w:oddVBand="0" w:evenVBand="0" w:oddHBand="0" w:evenHBand="0" w:firstRowFirstColumn="0" w:firstRowLastColumn="0" w:lastRowFirstColumn="0" w:lastRowLastColumn="0"/>
            <w:tcW w:w="3256" w:type="dxa"/>
            <w:vAlign w:val="center"/>
            <w:hideMark/>
          </w:tcPr>
          <w:p w14:paraId="681EFAA2" w14:textId="77777777" w:rsidR="00910F58" w:rsidRPr="00F979EA" w:rsidRDefault="00910F58" w:rsidP="00277007">
            <w:pPr>
              <w:ind w:firstLine="0"/>
              <w:jc w:val="left"/>
              <w:rPr>
                <w:rFonts w:cs="Times New Roman"/>
                <w:b w:val="0"/>
                <w:color w:val="auto"/>
                <w:sz w:val="18"/>
                <w:szCs w:val="18"/>
              </w:rPr>
            </w:pPr>
            <w:r w:rsidRPr="00F979EA">
              <w:rPr>
                <w:rFonts w:cs="Times New Roman"/>
                <w:b w:val="0"/>
                <w:color w:val="auto"/>
                <w:sz w:val="18"/>
                <w:szCs w:val="18"/>
              </w:rPr>
              <w:t>1.IKP faktiskajās cenās</w:t>
            </w:r>
          </w:p>
        </w:tc>
        <w:tc>
          <w:tcPr>
            <w:tcW w:w="850" w:type="dxa"/>
            <w:noWrap/>
            <w:vAlign w:val="center"/>
            <w:hideMark/>
          </w:tcPr>
          <w:p w14:paraId="07820AE5" w14:textId="77777777" w:rsidR="00910F58" w:rsidRPr="00F979EA" w:rsidRDefault="00910F58"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rPr>
            </w:pPr>
            <w:r w:rsidRPr="00F979EA">
              <w:rPr>
                <w:rFonts w:cs="Times New Roman"/>
                <w:color w:val="auto"/>
                <w:sz w:val="18"/>
                <w:szCs w:val="18"/>
              </w:rPr>
              <w:t>B1*g</w:t>
            </w:r>
          </w:p>
        </w:tc>
        <w:tc>
          <w:tcPr>
            <w:tcW w:w="851" w:type="dxa"/>
            <w:noWrap/>
            <w:vAlign w:val="center"/>
          </w:tcPr>
          <w:p w14:paraId="22E8B834" w14:textId="77777777" w:rsidR="00910F58" w:rsidRPr="00F979EA" w:rsidRDefault="00910F58" w:rsidP="0027700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F979EA">
              <w:rPr>
                <w:rFonts w:cs="Times New Roman"/>
                <w:color w:val="000000"/>
                <w:sz w:val="18"/>
                <w:szCs w:val="18"/>
              </w:rPr>
              <w:t>39 081</w:t>
            </w:r>
          </w:p>
        </w:tc>
        <w:tc>
          <w:tcPr>
            <w:tcW w:w="822" w:type="dxa"/>
            <w:noWrap/>
            <w:vAlign w:val="center"/>
            <w:hideMark/>
          </w:tcPr>
          <w:p w14:paraId="54EF6188" w14:textId="77777777" w:rsidR="00910F58" w:rsidRPr="00F979EA" w:rsidRDefault="00910F58" w:rsidP="0027700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F979EA">
              <w:rPr>
                <w:rFonts w:cs="Times New Roman"/>
                <w:color w:val="000000"/>
                <w:sz w:val="18"/>
                <w:szCs w:val="18"/>
              </w:rPr>
              <w:t>16,4</w:t>
            </w:r>
          </w:p>
        </w:tc>
        <w:tc>
          <w:tcPr>
            <w:tcW w:w="822" w:type="dxa"/>
            <w:noWrap/>
            <w:vAlign w:val="center"/>
            <w:hideMark/>
          </w:tcPr>
          <w:p w14:paraId="7E7D728C" w14:textId="77777777" w:rsidR="00910F58" w:rsidRPr="00F979EA" w:rsidRDefault="00910F58" w:rsidP="0027700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F979EA">
              <w:rPr>
                <w:rFonts w:cs="Times New Roman"/>
                <w:color w:val="000000"/>
                <w:sz w:val="18"/>
                <w:szCs w:val="18"/>
              </w:rPr>
              <w:t>11,7</w:t>
            </w:r>
          </w:p>
        </w:tc>
        <w:tc>
          <w:tcPr>
            <w:tcW w:w="822" w:type="dxa"/>
            <w:noWrap/>
            <w:vAlign w:val="center"/>
            <w:hideMark/>
          </w:tcPr>
          <w:p w14:paraId="2DA06464" w14:textId="77777777" w:rsidR="00910F58" w:rsidRPr="00F979EA" w:rsidRDefault="00910F58" w:rsidP="0027700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F979EA">
              <w:rPr>
                <w:rFonts w:cs="Times New Roman"/>
                <w:color w:val="000000"/>
                <w:sz w:val="18"/>
                <w:szCs w:val="18"/>
              </w:rPr>
              <w:t>5,5</w:t>
            </w:r>
          </w:p>
        </w:tc>
        <w:tc>
          <w:tcPr>
            <w:tcW w:w="822" w:type="dxa"/>
            <w:noWrap/>
            <w:vAlign w:val="center"/>
            <w:hideMark/>
          </w:tcPr>
          <w:p w14:paraId="7D3809CB" w14:textId="77777777" w:rsidR="00910F58" w:rsidRPr="00F979EA" w:rsidRDefault="00910F58" w:rsidP="0027700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F979EA">
              <w:rPr>
                <w:rFonts w:cs="Times New Roman"/>
                <w:color w:val="000000"/>
                <w:sz w:val="18"/>
                <w:szCs w:val="18"/>
              </w:rPr>
              <w:t>5,7</w:t>
            </w:r>
          </w:p>
        </w:tc>
        <w:tc>
          <w:tcPr>
            <w:tcW w:w="822" w:type="dxa"/>
            <w:noWrap/>
            <w:vAlign w:val="center"/>
            <w:hideMark/>
          </w:tcPr>
          <w:p w14:paraId="69DCBD29" w14:textId="77777777" w:rsidR="00910F58" w:rsidRPr="00F979EA" w:rsidRDefault="00910F58" w:rsidP="0027700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F979EA">
              <w:rPr>
                <w:rFonts w:cs="Times New Roman"/>
                <w:color w:val="000000"/>
                <w:sz w:val="18"/>
                <w:szCs w:val="18"/>
              </w:rPr>
              <w:t>5,5</w:t>
            </w:r>
          </w:p>
        </w:tc>
      </w:tr>
      <w:tr w:rsidR="00910F58" w:rsidRPr="00F979EA" w14:paraId="4D70A3D3" w14:textId="77777777" w:rsidTr="00277007">
        <w:trPr>
          <w:cnfStyle w:val="000000100000" w:firstRow="0" w:lastRow="0" w:firstColumn="0" w:lastColumn="0" w:oddVBand="0" w:evenVBand="0" w:oddHBand="1" w:evenHBand="0" w:firstRowFirstColumn="0" w:firstRowLastColumn="0" w:lastRowFirstColumn="0" w:lastRowLastColumn="0"/>
          <w:trHeight w:val="214"/>
          <w:jc w:val="center"/>
        </w:trPr>
        <w:tc>
          <w:tcPr>
            <w:cnfStyle w:val="001000000000" w:firstRow="0" w:lastRow="0" w:firstColumn="1" w:lastColumn="0" w:oddVBand="0" w:evenVBand="0" w:oddHBand="0" w:evenHBand="0" w:firstRowFirstColumn="0" w:firstRowLastColumn="0" w:lastRowFirstColumn="0" w:lastRowLastColumn="0"/>
            <w:tcW w:w="3256" w:type="dxa"/>
            <w:vAlign w:val="center"/>
            <w:hideMark/>
          </w:tcPr>
          <w:p w14:paraId="5DE70E96" w14:textId="77777777" w:rsidR="00910F58" w:rsidRPr="00F979EA" w:rsidRDefault="00910F58" w:rsidP="00277007">
            <w:pPr>
              <w:ind w:firstLine="0"/>
              <w:jc w:val="left"/>
              <w:rPr>
                <w:rFonts w:cs="Times New Roman"/>
                <w:b w:val="0"/>
                <w:color w:val="auto"/>
                <w:sz w:val="18"/>
                <w:szCs w:val="18"/>
              </w:rPr>
            </w:pPr>
            <w:r w:rsidRPr="00F979EA">
              <w:rPr>
                <w:rFonts w:cs="Times New Roman"/>
                <w:b w:val="0"/>
                <w:color w:val="auto"/>
                <w:sz w:val="18"/>
                <w:szCs w:val="18"/>
              </w:rPr>
              <w:t>2.IKP 2015. gada cenās</w:t>
            </w:r>
          </w:p>
        </w:tc>
        <w:tc>
          <w:tcPr>
            <w:tcW w:w="850" w:type="dxa"/>
            <w:noWrap/>
            <w:vAlign w:val="center"/>
            <w:hideMark/>
          </w:tcPr>
          <w:p w14:paraId="04276D2F" w14:textId="77777777" w:rsidR="00910F58" w:rsidRPr="00F979EA" w:rsidRDefault="00910F58"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F979EA">
              <w:rPr>
                <w:rFonts w:cs="Times New Roman"/>
                <w:color w:val="auto"/>
                <w:sz w:val="18"/>
                <w:szCs w:val="18"/>
              </w:rPr>
              <w:t>B1*g</w:t>
            </w:r>
          </w:p>
        </w:tc>
        <w:tc>
          <w:tcPr>
            <w:tcW w:w="851" w:type="dxa"/>
            <w:noWrap/>
            <w:vAlign w:val="center"/>
          </w:tcPr>
          <w:p w14:paraId="77944BA2" w14:textId="77777777" w:rsidR="00910F58" w:rsidRPr="00F979EA" w:rsidRDefault="00910F58" w:rsidP="0027700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F979EA">
              <w:rPr>
                <w:rFonts w:cs="Times New Roman"/>
                <w:color w:val="000000"/>
                <w:sz w:val="18"/>
                <w:szCs w:val="18"/>
              </w:rPr>
              <w:t>28 768</w:t>
            </w:r>
          </w:p>
        </w:tc>
        <w:tc>
          <w:tcPr>
            <w:tcW w:w="822" w:type="dxa"/>
            <w:noWrap/>
            <w:vAlign w:val="center"/>
            <w:hideMark/>
          </w:tcPr>
          <w:p w14:paraId="0F268276" w14:textId="77777777" w:rsidR="00910F58" w:rsidRPr="00F979EA" w:rsidRDefault="00910F58"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F979EA">
              <w:rPr>
                <w:rFonts w:cs="Times New Roman"/>
                <w:color w:val="000000"/>
                <w:sz w:val="18"/>
                <w:szCs w:val="18"/>
              </w:rPr>
              <w:t>2,0</w:t>
            </w:r>
          </w:p>
        </w:tc>
        <w:tc>
          <w:tcPr>
            <w:tcW w:w="822" w:type="dxa"/>
            <w:noWrap/>
            <w:vAlign w:val="center"/>
            <w:hideMark/>
          </w:tcPr>
          <w:p w14:paraId="53679F0A" w14:textId="77777777" w:rsidR="00910F58" w:rsidRPr="00F979EA" w:rsidRDefault="00910F58"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F979EA">
              <w:rPr>
                <w:rFonts w:cs="Times New Roman"/>
                <w:color w:val="000000"/>
                <w:sz w:val="18"/>
                <w:szCs w:val="18"/>
              </w:rPr>
              <w:t>0,0</w:t>
            </w:r>
          </w:p>
        </w:tc>
        <w:tc>
          <w:tcPr>
            <w:tcW w:w="822" w:type="dxa"/>
            <w:noWrap/>
            <w:vAlign w:val="center"/>
            <w:hideMark/>
          </w:tcPr>
          <w:p w14:paraId="494D28FC" w14:textId="77777777" w:rsidR="00910F58" w:rsidRPr="00F979EA" w:rsidRDefault="00910F58"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F979EA">
              <w:rPr>
                <w:rFonts w:cs="Times New Roman"/>
                <w:color w:val="000000"/>
                <w:sz w:val="18"/>
                <w:szCs w:val="18"/>
              </w:rPr>
              <w:t>2,0</w:t>
            </w:r>
          </w:p>
        </w:tc>
        <w:tc>
          <w:tcPr>
            <w:tcW w:w="822" w:type="dxa"/>
            <w:noWrap/>
            <w:vAlign w:val="center"/>
            <w:hideMark/>
          </w:tcPr>
          <w:p w14:paraId="302A2A08" w14:textId="77777777" w:rsidR="00910F58" w:rsidRPr="00F979EA" w:rsidRDefault="00910F58"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F979EA">
              <w:rPr>
                <w:rFonts w:cs="Times New Roman"/>
                <w:color w:val="000000"/>
                <w:sz w:val="18"/>
                <w:szCs w:val="18"/>
              </w:rPr>
              <w:t>2,9</w:t>
            </w:r>
          </w:p>
        </w:tc>
        <w:tc>
          <w:tcPr>
            <w:tcW w:w="822" w:type="dxa"/>
            <w:noWrap/>
            <w:vAlign w:val="center"/>
            <w:hideMark/>
          </w:tcPr>
          <w:p w14:paraId="5C9B509E" w14:textId="77777777" w:rsidR="00910F58" w:rsidRPr="00F979EA" w:rsidRDefault="00910F58"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F979EA">
              <w:rPr>
                <w:rFonts w:cs="Times New Roman"/>
                <w:color w:val="000000"/>
                <w:sz w:val="18"/>
                <w:szCs w:val="18"/>
              </w:rPr>
              <w:t>2,8</w:t>
            </w:r>
          </w:p>
        </w:tc>
      </w:tr>
      <w:tr w:rsidR="00910F58" w:rsidRPr="00F979EA" w14:paraId="289BD267" w14:textId="77777777" w:rsidTr="00277007">
        <w:trPr>
          <w:trHeight w:val="118"/>
          <w:jc w:val="center"/>
        </w:trPr>
        <w:tc>
          <w:tcPr>
            <w:cnfStyle w:val="001000000000" w:firstRow="0" w:lastRow="0" w:firstColumn="1" w:lastColumn="0" w:oddVBand="0" w:evenVBand="0" w:oddHBand="0" w:evenHBand="0" w:firstRowFirstColumn="0" w:firstRowLastColumn="0" w:lastRowFirstColumn="0" w:lastRowLastColumn="0"/>
            <w:tcW w:w="9067" w:type="dxa"/>
            <w:gridSpan w:val="8"/>
            <w:noWrap/>
            <w:vAlign w:val="center"/>
            <w:hideMark/>
          </w:tcPr>
          <w:p w14:paraId="7549BB1A" w14:textId="77777777" w:rsidR="00910F58" w:rsidRPr="00F979EA" w:rsidRDefault="00910F58" w:rsidP="00277007">
            <w:pPr>
              <w:ind w:firstLine="0"/>
              <w:jc w:val="center"/>
              <w:rPr>
                <w:rFonts w:eastAsia="Times New Roman" w:cs="Times New Roman"/>
                <w:b w:val="0"/>
                <w:i/>
                <w:iCs/>
                <w:color w:val="auto"/>
                <w:sz w:val="18"/>
                <w:szCs w:val="18"/>
                <w:lang w:eastAsia="lv-LV"/>
              </w:rPr>
            </w:pPr>
            <w:r w:rsidRPr="00F979EA">
              <w:rPr>
                <w:rFonts w:eastAsia="Times New Roman" w:cs="Times New Roman"/>
                <w:b w:val="0"/>
                <w:i/>
                <w:iCs/>
                <w:color w:val="auto"/>
                <w:sz w:val="18"/>
                <w:szCs w:val="18"/>
                <w:lang w:eastAsia="lv-LV"/>
              </w:rPr>
              <w:t>IKP pēc izlietojuma 2015. gada cenās</w:t>
            </w:r>
          </w:p>
        </w:tc>
      </w:tr>
      <w:tr w:rsidR="00910F58" w:rsidRPr="00F979EA" w14:paraId="0FF65802" w14:textId="77777777" w:rsidTr="00277007">
        <w:trPr>
          <w:cnfStyle w:val="000000100000" w:firstRow="0" w:lastRow="0" w:firstColumn="0" w:lastColumn="0" w:oddVBand="0" w:evenVBand="0" w:oddHBand="1" w:evenHBand="0" w:firstRowFirstColumn="0" w:firstRowLastColumn="0" w:lastRowFirstColumn="0" w:lastRowLastColumn="0"/>
          <w:trHeight w:val="163"/>
          <w:jc w:val="center"/>
        </w:trPr>
        <w:tc>
          <w:tcPr>
            <w:cnfStyle w:val="001000000000" w:firstRow="0" w:lastRow="0" w:firstColumn="1" w:lastColumn="0" w:oddVBand="0" w:evenVBand="0" w:oddHBand="0" w:evenHBand="0" w:firstRowFirstColumn="0" w:firstRowLastColumn="0" w:lastRowFirstColumn="0" w:lastRowLastColumn="0"/>
            <w:tcW w:w="3256" w:type="dxa"/>
            <w:vAlign w:val="center"/>
            <w:hideMark/>
          </w:tcPr>
          <w:p w14:paraId="7CE379EE" w14:textId="77777777" w:rsidR="00910F58" w:rsidRPr="00F979EA" w:rsidRDefault="00910F58" w:rsidP="00277007">
            <w:pPr>
              <w:ind w:firstLine="0"/>
              <w:jc w:val="left"/>
              <w:rPr>
                <w:rFonts w:cs="Times New Roman"/>
                <w:b w:val="0"/>
                <w:color w:val="auto"/>
                <w:sz w:val="18"/>
                <w:szCs w:val="18"/>
              </w:rPr>
            </w:pPr>
            <w:r w:rsidRPr="00F979EA">
              <w:rPr>
                <w:rFonts w:cs="Times New Roman"/>
                <w:b w:val="0"/>
                <w:color w:val="auto"/>
                <w:sz w:val="18"/>
                <w:szCs w:val="18"/>
              </w:rPr>
              <w:t>3.Privātais patēriņš</w:t>
            </w:r>
          </w:p>
        </w:tc>
        <w:tc>
          <w:tcPr>
            <w:tcW w:w="850" w:type="dxa"/>
            <w:noWrap/>
            <w:vAlign w:val="center"/>
            <w:hideMark/>
          </w:tcPr>
          <w:p w14:paraId="3DC9885C" w14:textId="77777777" w:rsidR="00910F58" w:rsidRPr="00F979EA" w:rsidRDefault="00910F58"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F979EA">
              <w:rPr>
                <w:rFonts w:cs="Times New Roman"/>
                <w:color w:val="auto"/>
                <w:sz w:val="18"/>
                <w:szCs w:val="18"/>
              </w:rPr>
              <w:t>P3</w:t>
            </w:r>
          </w:p>
        </w:tc>
        <w:tc>
          <w:tcPr>
            <w:tcW w:w="851" w:type="dxa"/>
            <w:noWrap/>
            <w:vAlign w:val="center"/>
            <w:hideMark/>
          </w:tcPr>
          <w:p w14:paraId="778116A6" w14:textId="77777777" w:rsidR="00910F58" w:rsidRPr="00F979EA" w:rsidRDefault="00910F58"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F979EA">
              <w:rPr>
                <w:rFonts w:cs="Times New Roman"/>
                <w:color w:val="000000"/>
                <w:sz w:val="18"/>
                <w:szCs w:val="18"/>
              </w:rPr>
              <w:t>17 970</w:t>
            </w:r>
          </w:p>
        </w:tc>
        <w:tc>
          <w:tcPr>
            <w:tcW w:w="822" w:type="dxa"/>
            <w:noWrap/>
            <w:vAlign w:val="center"/>
            <w:hideMark/>
          </w:tcPr>
          <w:p w14:paraId="2E4EC75B" w14:textId="77777777" w:rsidR="00910F58" w:rsidRPr="00F979EA" w:rsidRDefault="00910F58" w:rsidP="0027700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F979EA">
              <w:rPr>
                <w:rFonts w:cs="Times New Roman"/>
                <w:color w:val="000000"/>
                <w:sz w:val="18"/>
                <w:szCs w:val="18"/>
              </w:rPr>
              <w:t>8,1</w:t>
            </w:r>
          </w:p>
        </w:tc>
        <w:tc>
          <w:tcPr>
            <w:tcW w:w="822" w:type="dxa"/>
            <w:noWrap/>
            <w:vAlign w:val="center"/>
            <w:hideMark/>
          </w:tcPr>
          <w:p w14:paraId="1F42BB03" w14:textId="77777777" w:rsidR="00910F58" w:rsidRPr="00F979EA" w:rsidRDefault="00910F58" w:rsidP="0027700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F979EA">
              <w:rPr>
                <w:rFonts w:cs="Times New Roman"/>
                <w:color w:val="000000"/>
                <w:sz w:val="18"/>
                <w:szCs w:val="18"/>
              </w:rPr>
              <w:t>-0,9</w:t>
            </w:r>
          </w:p>
        </w:tc>
        <w:tc>
          <w:tcPr>
            <w:tcW w:w="822" w:type="dxa"/>
            <w:noWrap/>
            <w:vAlign w:val="center"/>
            <w:hideMark/>
          </w:tcPr>
          <w:p w14:paraId="5E0D2A78" w14:textId="77777777" w:rsidR="00910F58" w:rsidRPr="00F979EA" w:rsidRDefault="00910F58" w:rsidP="0027700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F979EA">
              <w:rPr>
                <w:rFonts w:cs="Times New Roman"/>
                <w:color w:val="000000"/>
                <w:sz w:val="18"/>
                <w:szCs w:val="18"/>
              </w:rPr>
              <w:t>2,1</w:t>
            </w:r>
          </w:p>
        </w:tc>
        <w:tc>
          <w:tcPr>
            <w:tcW w:w="822" w:type="dxa"/>
            <w:noWrap/>
            <w:vAlign w:val="center"/>
            <w:hideMark/>
          </w:tcPr>
          <w:p w14:paraId="3A232944" w14:textId="77777777" w:rsidR="00910F58" w:rsidRPr="00F979EA" w:rsidRDefault="00910F58" w:rsidP="0027700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F979EA">
              <w:rPr>
                <w:rFonts w:cs="Times New Roman"/>
                <w:color w:val="000000"/>
                <w:sz w:val="18"/>
                <w:szCs w:val="18"/>
              </w:rPr>
              <w:t>4,0</w:t>
            </w:r>
          </w:p>
        </w:tc>
        <w:tc>
          <w:tcPr>
            <w:tcW w:w="822" w:type="dxa"/>
            <w:noWrap/>
            <w:vAlign w:val="center"/>
            <w:hideMark/>
          </w:tcPr>
          <w:p w14:paraId="71F2F037" w14:textId="77777777" w:rsidR="00910F58" w:rsidRPr="00F979EA" w:rsidRDefault="00910F58" w:rsidP="0027700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F979EA">
              <w:rPr>
                <w:rFonts w:cs="Times New Roman"/>
                <w:color w:val="000000"/>
                <w:sz w:val="18"/>
                <w:szCs w:val="18"/>
              </w:rPr>
              <w:t>3,5</w:t>
            </w:r>
          </w:p>
        </w:tc>
      </w:tr>
      <w:tr w:rsidR="00910F58" w:rsidRPr="00F979EA" w14:paraId="0883E653" w14:textId="77777777" w:rsidTr="00277007">
        <w:trPr>
          <w:trHeight w:val="209"/>
          <w:jc w:val="center"/>
        </w:trPr>
        <w:tc>
          <w:tcPr>
            <w:cnfStyle w:val="001000000000" w:firstRow="0" w:lastRow="0" w:firstColumn="1" w:lastColumn="0" w:oddVBand="0" w:evenVBand="0" w:oddHBand="0" w:evenHBand="0" w:firstRowFirstColumn="0" w:firstRowLastColumn="0" w:lastRowFirstColumn="0" w:lastRowLastColumn="0"/>
            <w:tcW w:w="3256" w:type="dxa"/>
            <w:vAlign w:val="center"/>
            <w:hideMark/>
          </w:tcPr>
          <w:p w14:paraId="789AF919" w14:textId="77777777" w:rsidR="00910F58" w:rsidRPr="00F979EA" w:rsidRDefault="00910F58" w:rsidP="00277007">
            <w:pPr>
              <w:ind w:firstLine="0"/>
              <w:jc w:val="left"/>
              <w:rPr>
                <w:rFonts w:cs="Times New Roman"/>
                <w:b w:val="0"/>
                <w:color w:val="auto"/>
                <w:sz w:val="18"/>
                <w:szCs w:val="18"/>
              </w:rPr>
            </w:pPr>
            <w:r w:rsidRPr="00F979EA">
              <w:rPr>
                <w:rFonts w:cs="Times New Roman"/>
                <w:b w:val="0"/>
                <w:color w:val="auto"/>
                <w:sz w:val="18"/>
                <w:szCs w:val="18"/>
              </w:rPr>
              <w:t>4.Sabiedriskais patēriņš</w:t>
            </w:r>
          </w:p>
        </w:tc>
        <w:tc>
          <w:tcPr>
            <w:tcW w:w="850" w:type="dxa"/>
            <w:noWrap/>
            <w:vAlign w:val="center"/>
            <w:hideMark/>
          </w:tcPr>
          <w:p w14:paraId="6C533302" w14:textId="77777777" w:rsidR="00910F58" w:rsidRPr="00F979EA" w:rsidRDefault="00910F58"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rPr>
            </w:pPr>
            <w:r w:rsidRPr="00F979EA">
              <w:rPr>
                <w:rFonts w:cs="Times New Roman"/>
                <w:color w:val="auto"/>
                <w:sz w:val="18"/>
                <w:szCs w:val="18"/>
              </w:rPr>
              <w:t>P3</w:t>
            </w:r>
          </w:p>
        </w:tc>
        <w:tc>
          <w:tcPr>
            <w:tcW w:w="851" w:type="dxa"/>
            <w:noWrap/>
            <w:vAlign w:val="center"/>
            <w:hideMark/>
          </w:tcPr>
          <w:p w14:paraId="4ED8C88A" w14:textId="77777777" w:rsidR="00910F58" w:rsidRPr="00F979EA" w:rsidRDefault="00910F58"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979EA">
              <w:rPr>
                <w:rFonts w:cs="Times New Roman"/>
                <w:color w:val="000000"/>
                <w:sz w:val="18"/>
                <w:szCs w:val="18"/>
              </w:rPr>
              <w:t>5 545</w:t>
            </w:r>
          </w:p>
        </w:tc>
        <w:tc>
          <w:tcPr>
            <w:tcW w:w="822" w:type="dxa"/>
            <w:noWrap/>
            <w:vAlign w:val="center"/>
            <w:hideMark/>
          </w:tcPr>
          <w:p w14:paraId="6D9236DD" w14:textId="77777777" w:rsidR="00910F58" w:rsidRPr="00F979EA" w:rsidRDefault="00910F58"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979EA">
              <w:rPr>
                <w:rFonts w:cs="Times New Roman"/>
                <w:color w:val="000000"/>
                <w:sz w:val="18"/>
                <w:szCs w:val="18"/>
              </w:rPr>
              <w:t>2,8</w:t>
            </w:r>
          </w:p>
        </w:tc>
        <w:tc>
          <w:tcPr>
            <w:tcW w:w="822" w:type="dxa"/>
            <w:noWrap/>
            <w:vAlign w:val="center"/>
            <w:hideMark/>
          </w:tcPr>
          <w:p w14:paraId="1D4FA93C" w14:textId="77777777" w:rsidR="00910F58" w:rsidRPr="00F979EA" w:rsidRDefault="00910F58"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979EA">
              <w:rPr>
                <w:rFonts w:cs="Times New Roman"/>
                <w:color w:val="000000"/>
                <w:sz w:val="18"/>
                <w:szCs w:val="18"/>
              </w:rPr>
              <w:t>1,2</w:t>
            </w:r>
          </w:p>
        </w:tc>
        <w:tc>
          <w:tcPr>
            <w:tcW w:w="822" w:type="dxa"/>
            <w:noWrap/>
            <w:vAlign w:val="center"/>
            <w:hideMark/>
          </w:tcPr>
          <w:p w14:paraId="141C1A79" w14:textId="77777777" w:rsidR="00910F58" w:rsidRPr="00F979EA" w:rsidRDefault="00910F58"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979EA">
              <w:rPr>
                <w:rFonts w:cs="Times New Roman"/>
                <w:color w:val="000000"/>
                <w:sz w:val="18"/>
                <w:szCs w:val="18"/>
              </w:rPr>
              <w:t>0,8</w:t>
            </w:r>
          </w:p>
        </w:tc>
        <w:tc>
          <w:tcPr>
            <w:tcW w:w="822" w:type="dxa"/>
            <w:noWrap/>
            <w:vAlign w:val="center"/>
            <w:hideMark/>
          </w:tcPr>
          <w:p w14:paraId="153045DD" w14:textId="77777777" w:rsidR="00910F58" w:rsidRPr="00F979EA" w:rsidRDefault="00910F58"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979EA">
              <w:rPr>
                <w:rFonts w:cs="Times New Roman"/>
                <w:color w:val="000000"/>
                <w:sz w:val="18"/>
                <w:szCs w:val="18"/>
              </w:rPr>
              <w:t>0,1</w:t>
            </w:r>
          </w:p>
        </w:tc>
        <w:tc>
          <w:tcPr>
            <w:tcW w:w="822" w:type="dxa"/>
            <w:noWrap/>
            <w:vAlign w:val="center"/>
            <w:hideMark/>
          </w:tcPr>
          <w:p w14:paraId="77F4E1B5" w14:textId="77777777" w:rsidR="00910F58" w:rsidRPr="00F979EA" w:rsidRDefault="00910F58"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979EA">
              <w:rPr>
                <w:rFonts w:cs="Times New Roman"/>
                <w:color w:val="000000"/>
                <w:sz w:val="18"/>
                <w:szCs w:val="18"/>
              </w:rPr>
              <w:t>0,5</w:t>
            </w:r>
          </w:p>
        </w:tc>
      </w:tr>
      <w:tr w:rsidR="00910F58" w:rsidRPr="00F979EA" w14:paraId="6A98D7EE" w14:textId="77777777" w:rsidTr="0027700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3256" w:type="dxa"/>
            <w:vAlign w:val="center"/>
            <w:hideMark/>
          </w:tcPr>
          <w:p w14:paraId="4727C483" w14:textId="77777777" w:rsidR="00910F58" w:rsidRPr="00F979EA" w:rsidRDefault="00910F58" w:rsidP="00277007">
            <w:pPr>
              <w:tabs>
                <w:tab w:val="left" w:pos="248"/>
              </w:tabs>
              <w:ind w:firstLine="0"/>
              <w:jc w:val="left"/>
              <w:rPr>
                <w:rFonts w:cs="Times New Roman"/>
                <w:b w:val="0"/>
                <w:color w:val="auto"/>
                <w:sz w:val="18"/>
                <w:szCs w:val="18"/>
              </w:rPr>
            </w:pPr>
            <w:r w:rsidRPr="00F979EA">
              <w:rPr>
                <w:rFonts w:cs="Times New Roman"/>
                <w:b w:val="0"/>
                <w:color w:val="auto"/>
                <w:sz w:val="18"/>
                <w:szCs w:val="18"/>
              </w:rPr>
              <w:t>5.Kopējā pamatkapitāla veidošana</w:t>
            </w:r>
          </w:p>
        </w:tc>
        <w:tc>
          <w:tcPr>
            <w:tcW w:w="850" w:type="dxa"/>
            <w:noWrap/>
            <w:vAlign w:val="center"/>
            <w:hideMark/>
          </w:tcPr>
          <w:p w14:paraId="5BAA9E92" w14:textId="77777777" w:rsidR="00910F58" w:rsidRPr="00F979EA" w:rsidRDefault="00910F58"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F979EA">
              <w:rPr>
                <w:rFonts w:cs="Times New Roman"/>
                <w:color w:val="auto"/>
                <w:sz w:val="18"/>
                <w:szCs w:val="18"/>
              </w:rPr>
              <w:t>P51</w:t>
            </w:r>
          </w:p>
        </w:tc>
        <w:tc>
          <w:tcPr>
            <w:tcW w:w="851" w:type="dxa"/>
            <w:noWrap/>
            <w:vAlign w:val="center"/>
            <w:hideMark/>
          </w:tcPr>
          <w:p w14:paraId="3B921DBB" w14:textId="77777777" w:rsidR="00910F58" w:rsidRPr="00F979EA" w:rsidRDefault="00910F58"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F979EA">
              <w:rPr>
                <w:rFonts w:cs="Times New Roman"/>
                <w:color w:val="000000"/>
                <w:sz w:val="18"/>
                <w:szCs w:val="18"/>
              </w:rPr>
              <w:t>6 630</w:t>
            </w:r>
          </w:p>
        </w:tc>
        <w:tc>
          <w:tcPr>
            <w:tcW w:w="822" w:type="dxa"/>
            <w:noWrap/>
            <w:vAlign w:val="center"/>
            <w:hideMark/>
          </w:tcPr>
          <w:p w14:paraId="6F8B6ED7" w14:textId="77777777" w:rsidR="00910F58" w:rsidRPr="00F979EA" w:rsidRDefault="00910F58"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F979EA">
              <w:rPr>
                <w:rFonts w:cs="Times New Roman"/>
                <w:color w:val="000000"/>
                <w:sz w:val="18"/>
                <w:szCs w:val="18"/>
              </w:rPr>
              <w:t>0,7</w:t>
            </w:r>
          </w:p>
        </w:tc>
        <w:tc>
          <w:tcPr>
            <w:tcW w:w="822" w:type="dxa"/>
            <w:noWrap/>
            <w:vAlign w:val="center"/>
            <w:hideMark/>
          </w:tcPr>
          <w:p w14:paraId="53281B20" w14:textId="77777777" w:rsidR="00910F58" w:rsidRPr="00F979EA" w:rsidRDefault="00910F58"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F979EA">
              <w:rPr>
                <w:rFonts w:cs="Times New Roman"/>
                <w:color w:val="000000"/>
                <w:sz w:val="18"/>
                <w:szCs w:val="18"/>
              </w:rPr>
              <w:t>1,0</w:t>
            </w:r>
          </w:p>
        </w:tc>
        <w:tc>
          <w:tcPr>
            <w:tcW w:w="822" w:type="dxa"/>
            <w:noWrap/>
            <w:vAlign w:val="center"/>
            <w:hideMark/>
          </w:tcPr>
          <w:p w14:paraId="44A57F8E" w14:textId="77777777" w:rsidR="00910F58" w:rsidRPr="00F979EA" w:rsidRDefault="00910F58"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F979EA">
              <w:rPr>
                <w:rFonts w:cs="Times New Roman"/>
                <w:color w:val="000000"/>
                <w:sz w:val="18"/>
                <w:szCs w:val="18"/>
              </w:rPr>
              <w:t>4,8</w:t>
            </w:r>
          </w:p>
        </w:tc>
        <w:tc>
          <w:tcPr>
            <w:tcW w:w="822" w:type="dxa"/>
            <w:noWrap/>
            <w:vAlign w:val="center"/>
            <w:hideMark/>
          </w:tcPr>
          <w:p w14:paraId="1C1B37C4" w14:textId="77777777" w:rsidR="00910F58" w:rsidRPr="00F979EA" w:rsidRDefault="00910F58"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F979EA">
              <w:rPr>
                <w:rFonts w:cs="Times New Roman"/>
                <w:color w:val="000000"/>
                <w:sz w:val="18"/>
                <w:szCs w:val="18"/>
              </w:rPr>
              <w:t>5,0</w:t>
            </w:r>
          </w:p>
        </w:tc>
        <w:tc>
          <w:tcPr>
            <w:tcW w:w="822" w:type="dxa"/>
            <w:noWrap/>
            <w:vAlign w:val="center"/>
            <w:hideMark/>
          </w:tcPr>
          <w:p w14:paraId="5B371120" w14:textId="77777777" w:rsidR="00910F58" w:rsidRPr="00F979EA" w:rsidRDefault="00910F58"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F979EA">
              <w:rPr>
                <w:rFonts w:cs="Times New Roman"/>
                <w:color w:val="000000"/>
                <w:sz w:val="18"/>
                <w:szCs w:val="18"/>
              </w:rPr>
              <w:t>5,0</w:t>
            </w:r>
          </w:p>
        </w:tc>
      </w:tr>
      <w:tr w:rsidR="00910F58" w:rsidRPr="00F979EA" w14:paraId="14BE0F7D" w14:textId="77777777" w:rsidTr="00277007">
        <w:trPr>
          <w:trHeight w:val="248"/>
          <w:jc w:val="center"/>
        </w:trPr>
        <w:tc>
          <w:tcPr>
            <w:cnfStyle w:val="001000000000" w:firstRow="0" w:lastRow="0" w:firstColumn="1" w:lastColumn="0" w:oddVBand="0" w:evenVBand="0" w:oddHBand="0" w:evenHBand="0" w:firstRowFirstColumn="0" w:firstRowLastColumn="0" w:lastRowFirstColumn="0" w:lastRowLastColumn="0"/>
            <w:tcW w:w="3256" w:type="dxa"/>
            <w:vAlign w:val="center"/>
            <w:hideMark/>
          </w:tcPr>
          <w:p w14:paraId="04A0C777" w14:textId="77777777" w:rsidR="00910F58" w:rsidRPr="00F979EA" w:rsidRDefault="00910F58" w:rsidP="00277007">
            <w:pPr>
              <w:ind w:firstLine="0"/>
              <w:jc w:val="left"/>
              <w:rPr>
                <w:rFonts w:cs="Times New Roman"/>
                <w:b w:val="0"/>
                <w:color w:val="auto"/>
                <w:sz w:val="18"/>
                <w:szCs w:val="18"/>
              </w:rPr>
            </w:pPr>
            <w:r w:rsidRPr="00F979EA">
              <w:rPr>
                <w:rFonts w:cs="Times New Roman"/>
                <w:b w:val="0"/>
                <w:color w:val="auto"/>
                <w:sz w:val="18"/>
                <w:szCs w:val="18"/>
              </w:rPr>
              <w:t>6.Krājumu pārmaiņas un vērtslietu iegāde</w:t>
            </w:r>
          </w:p>
        </w:tc>
        <w:tc>
          <w:tcPr>
            <w:tcW w:w="850" w:type="dxa"/>
            <w:noWrap/>
            <w:vAlign w:val="center"/>
            <w:hideMark/>
          </w:tcPr>
          <w:p w14:paraId="2710D954" w14:textId="77777777" w:rsidR="00910F58" w:rsidRPr="00F979EA" w:rsidRDefault="00910F58"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rPr>
            </w:pPr>
            <w:r w:rsidRPr="00F979EA">
              <w:rPr>
                <w:rFonts w:cs="Times New Roman"/>
                <w:color w:val="auto"/>
                <w:sz w:val="18"/>
                <w:szCs w:val="18"/>
              </w:rPr>
              <w:t>P52+P53</w:t>
            </w:r>
          </w:p>
        </w:tc>
        <w:tc>
          <w:tcPr>
            <w:tcW w:w="851" w:type="dxa"/>
            <w:noWrap/>
            <w:vAlign w:val="center"/>
            <w:hideMark/>
          </w:tcPr>
          <w:p w14:paraId="4C6E2EBA" w14:textId="77777777" w:rsidR="00910F58" w:rsidRPr="00F979EA" w:rsidRDefault="00910F58"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979EA">
              <w:rPr>
                <w:rFonts w:cs="Times New Roman"/>
                <w:color w:val="000000"/>
                <w:sz w:val="18"/>
                <w:szCs w:val="18"/>
              </w:rPr>
              <w:t>2 582</w:t>
            </w:r>
          </w:p>
        </w:tc>
        <w:tc>
          <w:tcPr>
            <w:tcW w:w="822" w:type="dxa"/>
            <w:noWrap/>
            <w:vAlign w:val="center"/>
          </w:tcPr>
          <w:p w14:paraId="3A036CCA" w14:textId="77777777" w:rsidR="00910F58" w:rsidRPr="00F979EA" w:rsidRDefault="00910F58"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979EA">
              <w:rPr>
                <w:rFonts w:cs="Times New Roman"/>
                <w:color w:val="000000"/>
                <w:sz w:val="18"/>
                <w:szCs w:val="18"/>
              </w:rPr>
              <w:t>-</w:t>
            </w:r>
          </w:p>
        </w:tc>
        <w:tc>
          <w:tcPr>
            <w:tcW w:w="822" w:type="dxa"/>
            <w:noWrap/>
            <w:vAlign w:val="center"/>
          </w:tcPr>
          <w:p w14:paraId="30714558" w14:textId="77777777" w:rsidR="00910F58" w:rsidRPr="00F979EA" w:rsidRDefault="00910F58"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979EA">
              <w:rPr>
                <w:rFonts w:cs="Times New Roman"/>
                <w:color w:val="000000"/>
                <w:sz w:val="18"/>
                <w:szCs w:val="18"/>
              </w:rPr>
              <w:t>-</w:t>
            </w:r>
          </w:p>
        </w:tc>
        <w:tc>
          <w:tcPr>
            <w:tcW w:w="822" w:type="dxa"/>
            <w:noWrap/>
            <w:vAlign w:val="center"/>
          </w:tcPr>
          <w:p w14:paraId="047E1125" w14:textId="77777777" w:rsidR="00910F58" w:rsidRPr="00F979EA" w:rsidRDefault="00910F58"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979EA">
              <w:rPr>
                <w:rFonts w:cs="Times New Roman"/>
                <w:color w:val="000000"/>
                <w:sz w:val="18"/>
                <w:szCs w:val="18"/>
              </w:rPr>
              <w:t>-</w:t>
            </w:r>
          </w:p>
        </w:tc>
        <w:tc>
          <w:tcPr>
            <w:tcW w:w="822" w:type="dxa"/>
            <w:noWrap/>
            <w:vAlign w:val="center"/>
          </w:tcPr>
          <w:p w14:paraId="7364798D" w14:textId="77777777" w:rsidR="00910F58" w:rsidRPr="00F979EA" w:rsidRDefault="00910F58"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979EA">
              <w:rPr>
                <w:rFonts w:cs="Times New Roman"/>
                <w:color w:val="000000"/>
                <w:sz w:val="18"/>
                <w:szCs w:val="18"/>
              </w:rPr>
              <w:t>-</w:t>
            </w:r>
          </w:p>
        </w:tc>
        <w:tc>
          <w:tcPr>
            <w:tcW w:w="822" w:type="dxa"/>
            <w:noWrap/>
            <w:vAlign w:val="center"/>
          </w:tcPr>
          <w:p w14:paraId="70981081" w14:textId="77777777" w:rsidR="00910F58" w:rsidRPr="00F979EA" w:rsidRDefault="00910F58"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979EA">
              <w:rPr>
                <w:rFonts w:cs="Times New Roman"/>
                <w:color w:val="000000"/>
                <w:sz w:val="18"/>
                <w:szCs w:val="18"/>
              </w:rPr>
              <w:t>-</w:t>
            </w:r>
          </w:p>
        </w:tc>
      </w:tr>
      <w:tr w:rsidR="00910F58" w:rsidRPr="00F979EA" w14:paraId="6BF0A5C3" w14:textId="77777777" w:rsidTr="00277007">
        <w:trPr>
          <w:cnfStyle w:val="000000100000" w:firstRow="0" w:lastRow="0" w:firstColumn="0" w:lastColumn="0" w:oddVBand="0" w:evenVBand="0" w:oddHBand="1" w:evenHBand="0" w:firstRowFirstColumn="0" w:firstRowLastColumn="0" w:lastRowFirstColumn="0" w:lastRowLastColumn="0"/>
          <w:trHeight w:val="155"/>
          <w:jc w:val="center"/>
        </w:trPr>
        <w:tc>
          <w:tcPr>
            <w:cnfStyle w:val="001000000000" w:firstRow="0" w:lastRow="0" w:firstColumn="1" w:lastColumn="0" w:oddVBand="0" w:evenVBand="0" w:oddHBand="0" w:evenHBand="0" w:firstRowFirstColumn="0" w:firstRowLastColumn="0" w:lastRowFirstColumn="0" w:lastRowLastColumn="0"/>
            <w:tcW w:w="3256" w:type="dxa"/>
            <w:vAlign w:val="center"/>
            <w:hideMark/>
          </w:tcPr>
          <w:p w14:paraId="5A64F42B" w14:textId="77777777" w:rsidR="00910F58" w:rsidRPr="00F979EA" w:rsidRDefault="00910F58" w:rsidP="00277007">
            <w:pPr>
              <w:ind w:firstLine="0"/>
              <w:jc w:val="left"/>
              <w:rPr>
                <w:rFonts w:cs="Times New Roman"/>
                <w:b w:val="0"/>
                <w:color w:val="auto"/>
                <w:sz w:val="18"/>
                <w:szCs w:val="18"/>
              </w:rPr>
            </w:pPr>
            <w:r w:rsidRPr="00F979EA">
              <w:rPr>
                <w:rFonts w:cs="Times New Roman"/>
                <w:b w:val="0"/>
                <w:color w:val="auto"/>
                <w:sz w:val="18"/>
                <w:szCs w:val="18"/>
              </w:rPr>
              <w:t>7.Eksports</w:t>
            </w:r>
          </w:p>
        </w:tc>
        <w:tc>
          <w:tcPr>
            <w:tcW w:w="850" w:type="dxa"/>
            <w:noWrap/>
            <w:vAlign w:val="center"/>
            <w:hideMark/>
          </w:tcPr>
          <w:p w14:paraId="6DF7F394" w14:textId="77777777" w:rsidR="00910F58" w:rsidRPr="00F979EA" w:rsidRDefault="00910F58"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F979EA">
              <w:rPr>
                <w:rFonts w:cs="Times New Roman"/>
                <w:color w:val="auto"/>
                <w:sz w:val="18"/>
                <w:szCs w:val="18"/>
              </w:rPr>
              <w:t>P6</w:t>
            </w:r>
          </w:p>
        </w:tc>
        <w:tc>
          <w:tcPr>
            <w:tcW w:w="851" w:type="dxa"/>
            <w:noWrap/>
            <w:vAlign w:val="center"/>
            <w:hideMark/>
          </w:tcPr>
          <w:p w14:paraId="5C486C6D" w14:textId="77777777" w:rsidR="00910F58" w:rsidRPr="00F979EA" w:rsidRDefault="00910F58"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F979EA">
              <w:rPr>
                <w:rFonts w:cs="Times New Roman"/>
                <w:color w:val="000000"/>
                <w:sz w:val="18"/>
                <w:szCs w:val="18"/>
              </w:rPr>
              <w:t>20 103</w:t>
            </w:r>
          </w:p>
        </w:tc>
        <w:tc>
          <w:tcPr>
            <w:tcW w:w="822" w:type="dxa"/>
            <w:noWrap/>
            <w:vAlign w:val="center"/>
            <w:hideMark/>
          </w:tcPr>
          <w:p w14:paraId="61746E95" w14:textId="77777777" w:rsidR="00910F58" w:rsidRPr="00F979EA" w:rsidRDefault="00910F58"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F979EA">
              <w:rPr>
                <w:rFonts w:cs="Times New Roman"/>
                <w:color w:val="000000"/>
                <w:sz w:val="18"/>
                <w:szCs w:val="18"/>
              </w:rPr>
              <w:t>9,1</w:t>
            </w:r>
          </w:p>
        </w:tc>
        <w:tc>
          <w:tcPr>
            <w:tcW w:w="822" w:type="dxa"/>
            <w:noWrap/>
            <w:vAlign w:val="center"/>
            <w:hideMark/>
          </w:tcPr>
          <w:p w14:paraId="4AC333ED" w14:textId="77777777" w:rsidR="00910F58" w:rsidRPr="00F979EA" w:rsidRDefault="00910F58"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F979EA">
              <w:rPr>
                <w:rFonts w:cs="Times New Roman"/>
                <w:color w:val="000000"/>
                <w:sz w:val="18"/>
                <w:szCs w:val="18"/>
              </w:rPr>
              <w:t>0,0</w:t>
            </w:r>
          </w:p>
        </w:tc>
        <w:tc>
          <w:tcPr>
            <w:tcW w:w="822" w:type="dxa"/>
            <w:noWrap/>
            <w:vAlign w:val="center"/>
            <w:hideMark/>
          </w:tcPr>
          <w:p w14:paraId="3DABF738" w14:textId="77777777" w:rsidR="00910F58" w:rsidRPr="00F979EA" w:rsidRDefault="00910F58"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F979EA">
              <w:rPr>
                <w:rFonts w:cs="Times New Roman"/>
                <w:color w:val="000000"/>
                <w:sz w:val="18"/>
                <w:szCs w:val="18"/>
              </w:rPr>
              <w:t>4,3</w:t>
            </w:r>
          </w:p>
        </w:tc>
        <w:tc>
          <w:tcPr>
            <w:tcW w:w="822" w:type="dxa"/>
            <w:noWrap/>
            <w:vAlign w:val="center"/>
            <w:hideMark/>
          </w:tcPr>
          <w:p w14:paraId="0937FD4F" w14:textId="77777777" w:rsidR="00910F58" w:rsidRPr="00F979EA" w:rsidRDefault="00910F58"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F979EA">
              <w:rPr>
                <w:rFonts w:cs="Times New Roman"/>
                <w:color w:val="000000"/>
                <w:sz w:val="18"/>
                <w:szCs w:val="18"/>
              </w:rPr>
              <w:t>4,6</w:t>
            </w:r>
          </w:p>
        </w:tc>
        <w:tc>
          <w:tcPr>
            <w:tcW w:w="822" w:type="dxa"/>
            <w:noWrap/>
            <w:vAlign w:val="center"/>
            <w:hideMark/>
          </w:tcPr>
          <w:p w14:paraId="43FD6AA2" w14:textId="77777777" w:rsidR="00910F58" w:rsidRPr="00F979EA" w:rsidRDefault="00910F58"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F979EA">
              <w:rPr>
                <w:rFonts w:cs="Times New Roman"/>
                <w:color w:val="000000"/>
                <w:sz w:val="18"/>
                <w:szCs w:val="18"/>
              </w:rPr>
              <w:t>5,0</w:t>
            </w:r>
          </w:p>
        </w:tc>
      </w:tr>
      <w:tr w:rsidR="00910F58" w:rsidRPr="00F979EA" w14:paraId="37D54998" w14:textId="77777777" w:rsidTr="00277007">
        <w:trPr>
          <w:trHeight w:val="201"/>
          <w:jc w:val="center"/>
        </w:trPr>
        <w:tc>
          <w:tcPr>
            <w:cnfStyle w:val="001000000000" w:firstRow="0" w:lastRow="0" w:firstColumn="1" w:lastColumn="0" w:oddVBand="0" w:evenVBand="0" w:oddHBand="0" w:evenHBand="0" w:firstRowFirstColumn="0" w:firstRowLastColumn="0" w:lastRowFirstColumn="0" w:lastRowLastColumn="0"/>
            <w:tcW w:w="3256" w:type="dxa"/>
            <w:vAlign w:val="center"/>
            <w:hideMark/>
          </w:tcPr>
          <w:p w14:paraId="0A140CAD" w14:textId="77777777" w:rsidR="00910F58" w:rsidRPr="00F979EA" w:rsidRDefault="00910F58" w:rsidP="00277007">
            <w:pPr>
              <w:ind w:firstLine="0"/>
              <w:jc w:val="left"/>
              <w:rPr>
                <w:rFonts w:cs="Times New Roman"/>
                <w:b w:val="0"/>
                <w:color w:val="auto"/>
                <w:sz w:val="18"/>
                <w:szCs w:val="18"/>
              </w:rPr>
            </w:pPr>
            <w:r w:rsidRPr="00F979EA">
              <w:rPr>
                <w:rFonts w:cs="Times New Roman"/>
                <w:b w:val="0"/>
                <w:color w:val="auto"/>
                <w:sz w:val="18"/>
                <w:szCs w:val="18"/>
              </w:rPr>
              <w:t>8.Imports</w:t>
            </w:r>
          </w:p>
        </w:tc>
        <w:tc>
          <w:tcPr>
            <w:tcW w:w="850" w:type="dxa"/>
            <w:noWrap/>
            <w:vAlign w:val="center"/>
            <w:hideMark/>
          </w:tcPr>
          <w:p w14:paraId="3E36EC70" w14:textId="77777777" w:rsidR="00910F58" w:rsidRPr="00F979EA" w:rsidRDefault="00910F58"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rPr>
            </w:pPr>
            <w:r w:rsidRPr="00F979EA">
              <w:rPr>
                <w:rFonts w:cs="Times New Roman"/>
                <w:color w:val="auto"/>
                <w:sz w:val="18"/>
                <w:szCs w:val="18"/>
              </w:rPr>
              <w:t>P7</w:t>
            </w:r>
          </w:p>
        </w:tc>
        <w:tc>
          <w:tcPr>
            <w:tcW w:w="851" w:type="dxa"/>
            <w:noWrap/>
            <w:vAlign w:val="center"/>
            <w:hideMark/>
          </w:tcPr>
          <w:p w14:paraId="5C19693D" w14:textId="77777777" w:rsidR="00910F58" w:rsidRPr="00F979EA" w:rsidRDefault="00910F58"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979EA">
              <w:rPr>
                <w:rFonts w:cs="Times New Roman"/>
                <w:color w:val="000000"/>
                <w:sz w:val="18"/>
                <w:szCs w:val="18"/>
              </w:rPr>
              <w:t>24 063</w:t>
            </w:r>
          </w:p>
        </w:tc>
        <w:tc>
          <w:tcPr>
            <w:tcW w:w="822" w:type="dxa"/>
            <w:noWrap/>
            <w:vAlign w:val="center"/>
            <w:hideMark/>
          </w:tcPr>
          <w:p w14:paraId="55E74038" w14:textId="77777777" w:rsidR="00910F58" w:rsidRPr="00F979EA" w:rsidRDefault="00910F58"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979EA">
              <w:rPr>
                <w:rFonts w:cs="Times New Roman"/>
                <w:color w:val="000000"/>
                <w:sz w:val="18"/>
                <w:szCs w:val="18"/>
              </w:rPr>
              <w:t>11,6</w:t>
            </w:r>
          </w:p>
        </w:tc>
        <w:tc>
          <w:tcPr>
            <w:tcW w:w="822" w:type="dxa"/>
            <w:noWrap/>
            <w:vAlign w:val="center"/>
            <w:hideMark/>
          </w:tcPr>
          <w:p w14:paraId="2397963D" w14:textId="77777777" w:rsidR="00910F58" w:rsidRPr="00F979EA" w:rsidRDefault="00910F58"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979EA">
              <w:rPr>
                <w:rFonts w:cs="Times New Roman"/>
                <w:color w:val="000000"/>
                <w:sz w:val="18"/>
                <w:szCs w:val="18"/>
              </w:rPr>
              <w:t>0,5</w:t>
            </w:r>
          </w:p>
        </w:tc>
        <w:tc>
          <w:tcPr>
            <w:tcW w:w="822" w:type="dxa"/>
            <w:noWrap/>
            <w:vAlign w:val="center"/>
            <w:hideMark/>
          </w:tcPr>
          <w:p w14:paraId="096B593C" w14:textId="77777777" w:rsidR="00910F58" w:rsidRPr="00F979EA" w:rsidRDefault="00910F58"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979EA">
              <w:rPr>
                <w:rFonts w:cs="Times New Roman"/>
                <w:color w:val="000000"/>
                <w:sz w:val="18"/>
                <w:szCs w:val="18"/>
              </w:rPr>
              <w:t>3,9</w:t>
            </w:r>
          </w:p>
        </w:tc>
        <w:tc>
          <w:tcPr>
            <w:tcW w:w="822" w:type="dxa"/>
            <w:noWrap/>
            <w:vAlign w:val="center"/>
            <w:hideMark/>
          </w:tcPr>
          <w:p w14:paraId="764B19AD" w14:textId="77777777" w:rsidR="00910F58" w:rsidRPr="00F979EA" w:rsidRDefault="00910F58"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979EA">
              <w:rPr>
                <w:rFonts w:cs="Times New Roman"/>
                <w:color w:val="000000"/>
                <w:sz w:val="18"/>
                <w:szCs w:val="18"/>
              </w:rPr>
              <w:t>4,7</w:t>
            </w:r>
          </w:p>
        </w:tc>
        <w:tc>
          <w:tcPr>
            <w:tcW w:w="822" w:type="dxa"/>
            <w:noWrap/>
            <w:vAlign w:val="center"/>
            <w:hideMark/>
          </w:tcPr>
          <w:p w14:paraId="3A24FB9B" w14:textId="77777777" w:rsidR="00910F58" w:rsidRPr="00F979EA" w:rsidRDefault="00910F58"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979EA">
              <w:rPr>
                <w:rFonts w:cs="Times New Roman"/>
                <w:color w:val="000000"/>
                <w:sz w:val="18"/>
                <w:szCs w:val="18"/>
              </w:rPr>
              <w:t>5,0</w:t>
            </w:r>
          </w:p>
        </w:tc>
      </w:tr>
      <w:tr w:rsidR="00910F58" w:rsidRPr="00F979EA" w14:paraId="01DAE650" w14:textId="77777777" w:rsidTr="00277007">
        <w:trPr>
          <w:cnfStyle w:val="000000100000" w:firstRow="0" w:lastRow="0" w:firstColumn="0" w:lastColumn="0" w:oddVBand="0" w:evenVBand="0" w:oddHBand="1" w:evenHBand="0" w:firstRowFirstColumn="0" w:firstRowLastColumn="0" w:lastRowFirstColumn="0" w:lastRowLastColumn="0"/>
          <w:trHeight w:val="247"/>
          <w:jc w:val="center"/>
        </w:trPr>
        <w:tc>
          <w:tcPr>
            <w:cnfStyle w:val="001000000000" w:firstRow="0" w:lastRow="0" w:firstColumn="1" w:lastColumn="0" w:oddVBand="0" w:evenVBand="0" w:oddHBand="0" w:evenHBand="0" w:firstRowFirstColumn="0" w:firstRowLastColumn="0" w:lastRowFirstColumn="0" w:lastRowLastColumn="0"/>
            <w:tcW w:w="9067" w:type="dxa"/>
            <w:gridSpan w:val="8"/>
            <w:noWrap/>
            <w:vAlign w:val="center"/>
            <w:hideMark/>
          </w:tcPr>
          <w:p w14:paraId="0C750F5C" w14:textId="77777777" w:rsidR="00910F58" w:rsidRPr="00F979EA" w:rsidRDefault="00910F58" w:rsidP="00277007">
            <w:pPr>
              <w:ind w:firstLine="0"/>
              <w:jc w:val="center"/>
              <w:rPr>
                <w:rFonts w:eastAsia="Times New Roman" w:cs="Times New Roman"/>
                <w:b w:val="0"/>
                <w:i/>
                <w:iCs/>
                <w:color w:val="auto"/>
                <w:sz w:val="18"/>
                <w:szCs w:val="18"/>
                <w:lang w:eastAsia="lv-LV"/>
              </w:rPr>
            </w:pPr>
            <w:r w:rsidRPr="00F979EA">
              <w:rPr>
                <w:rFonts w:eastAsia="Times New Roman" w:cs="Times New Roman"/>
                <w:b w:val="0"/>
                <w:i/>
                <w:iCs/>
                <w:color w:val="auto"/>
                <w:sz w:val="18"/>
                <w:szCs w:val="18"/>
                <w:lang w:eastAsia="lv-LV"/>
              </w:rPr>
              <w:t>Ieguldījums IKP izaugsmē</w:t>
            </w:r>
          </w:p>
        </w:tc>
      </w:tr>
      <w:tr w:rsidR="00910F58" w:rsidRPr="00F979EA" w14:paraId="35208AC0" w14:textId="77777777" w:rsidTr="00277007">
        <w:trPr>
          <w:trHeight w:val="149"/>
          <w:jc w:val="center"/>
        </w:trPr>
        <w:tc>
          <w:tcPr>
            <w:cnfStyle w:val="001000000000" w:firstRow="0" w:lastRow="0" w:firstColumn="1" w:lastColumn="0" w:oddVBand="0" w:evenVBand="0" w:oddHBand="0" w:evenHBand="0" w:firstRowFirstColumn="0" w:firstRowLastColumn="0" w:lastRowFirstColumn="0" w:lastRowLastColumn="0"/>
            <w:tcW w:w="3256" w:type="dxa"/>
            <w:vAlign w:val="center"/>
            <w:hideMark/>
          </w:tcPr>
          <w:p w14:paraId="45C22CC8" w14:textId="77777777" w:rsidR="00910F58" w:rsidRPr="00F979EA" w:rsidRDefault="00910F58" w:rsidP="00277007">
            <w:pPr>
              <w:ind w:firstLine="0"/>
              <w:jc w:val="left"/>
              <w:rPr>
                <w:rFonts w:cs="Times New Roman"/>
                <w:b w:val="0"/>
                <w:color w:val="auto"/>
                <w:sz w:val="18"/>
                <w:szCs w:val="18"/>
              </w:rPr>
            </w:pPr>
            <w:r w:rsidRPr="00F979EA">
              <w:rPr>
                <w:rFonts w:cs="Times New Roman"/>
                <w:b w:val="0"/>
                <w:color w:val="auto"/>
                <w:sz w:val="18"/>
                <w:szCs w:val="18"/>
              </w:rPr>
              <w:t>9.Kopējais iekšzemes pieprasījums</w:t>
            </w:r>
          </w:p>
        </w:tc>
        <w:tc>
          <w:tcPr>
            <w:tcW w:w="850" w:type="dxa"/>
            <w:noWrap/>
            <w:vAlign w:val="center"/>
            <w:hideMark/>
          </w:tcPr>
          <w:p w14:paraId="453CC475" w14:textId="77777777" w:rsidR="00910F58" w:rsidRPr="00F979EA" w:rsidRDefault="00910F58"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rPr>
            </w:pPr>
            <w:r w:rsidRPr="00F979EA">
              <w:rPr>
                <w:rFonts w:cs="Times New Roman"/>
                <w:color w:val="auto"/>
                <w:sz w:val="18"/>
                <w:szCs w:val="18"/>
              </w:rPr>
              <w:t>P3+P51</w:t>
            </w:r>
          </w:p>
        </w:tc>
        <w:tc>
          <w:tcPr>
            <w:tcW w:w="851" w:type="dxa"/>
            <w:noWrap/>
            <w:vAlign w:val="center"/>
            <w:hideMark/>
          </w:tcPr>
          <w:p w14:paraId="47499824" w14:textId="77777777" w:rsidR="00910F58" w:rsidRPr="00F979EA" w:rsidRDefault="00910F58" w:rsidP="0027700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p>
        </w:tc>
        <w:tc>
          <w:tcPr>
            <w:tcW w:w="822" w:type="dxa"/>
            <w:noWrap/>
            <w:vAlign w:val="center"/>
            <w:hideMark/>
          </w:tcPr>
          <w:p w14:paraId="6D5E7C89" w14:textId="77777777" w:rsidR="00910F58" w:rsidRPr="00F979EA" w:rsidRDefault="00910F58"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979EA">
              <w:rPr>
                <w:rFonts w:cs="Times New Roman"/>
                <w:color w:val="000000"/>
                <w:sz w:val="18"/>
                <w:szCs w:val="18"/>
              </w:rPr>
              <w:t>5,5</w:t>
            </w:r>
          </w:p>
        </w:tc>
        <w:tc>
          <w:tcPr>
            <w:tcW w:w="822" w:type="dxa"/>
            <w:noWrap/>
            <w:vAlign w:val="center"/>
            <w:hideMark/>
          </w:tcPr>
          <w:p w14:paraId="5CDC7D58" w14:textId="77777777" w:rsidR="00910F58" w:rsidRPr="00F979EA" w:rsidRDefault="00910F58"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979EA">
              <w:rPr>
                <w:rFonts w:cs="Times New Roman"/>
                <w:color w:val="000000"/>
                <w:sz w:val="18"/>
                <w:szCs w:val="18"/>
              </w:rPr>
              <w:t>-0,1</w:t>
            </w:r>
          </w:p>
        </w:tc>
        <w:tc>
          <w:tcPr>
            <w:tcW w:w="822" w:type="dxa"/>
            <w:noWrap/>
            <w:vAlign w:val="center"/>
            <w:hideMark/>
          </w:tcPr>
          <w:p w14:paraId="11C17043" w14:textId="77777777" w:rsidR="00910F58" w:rsidRPr="00F979EA" w:rsidRDefault="00910F58"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979EA">
              <w:rPr>
                <w:rFonts w:cs="Times New Roman"/>
                <w:color w:val="000000"/>
                <w:sz w:val="18"/>
                <w:szCs w:val="18"/>
              </w:rPr>
              <w:t>2,6</w:t>
            </w:r>
          </w:p>
        </w:tc>
        <w:tc>
          <w:tcPr>
            <w:tcW w:w="822" w:type="dxa"/>
            <w:noWrap/>
            <w:vAlign w:val="center"/>
            <w:hideMark/>
          </w:tcPr>
          <w:p w14:paraId="44FC8545" w14:textId="77777777" w:rsidR="00910F58" w:rsidRPr="00F979EA" w:rsidRDefault="00910F58"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979EA">
              <w:rPr>
                <w:rFonts w:cs="Times New Roman"/>
                <w:color w:val="000000"/>
                <w:sz w:val="18"/>
                <w:szCs w:val="18"/>
              </w:rPr>
              <w:t>3,7</w:t>
            </w:r>
          </w:p>
        </w:tc>
        <w:tc>
          <w:tcPr>
            <w:tcW w:w="822" w:type="dxa"/>
            <w:noWrap/>
            <w:vAlign w:val="center"/>
            <w:hideMark/>
          </w:tcPr>
          <w:p w14:paraId="2691741F" w14:textId="77777777" w:rsidR="00910F58" w:rsidRPr="00F979EA" w:rsidRDefault="00910F58"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979EA">
              <w:rPr>
                <w:rFonts w:cs="Times New Roman"/>
                <w:color w:val="000000"/>
                <w:sz w:val="18"/>
                <w:szCs w:val="18"/>
              </w:rPr>
              <w:t>3,5</w:t>
            </w:r>
          </w:p>
        </w:tc>
      </w:tr>
      <w:tr w:rsidR="00910F58" w:rsidRPr="00F979EA" w14:paraId="1978D1DE" w14:textId="77777777" w:rsidTr="00277007">
        <w:trPr>
          <w:cnfStyle w:val="000000100000" w:firstRow="0" w:lastRow="0" w:firstColumn="0" w:lastColumn="0" w:oddVBand="0" w:evenVBand="0" w:oddHBand="1" w:evenHBand="0" w:firstRowFirstColumn="0" w:firstRowLastColumn="0" w:lastRowFirstColumn="0" w:lastRowLastColumn="0"/>
          <w:trHeight w:val="169"/>
          <w:jc w:val="center"/>
        </w:trPr>
        <w:tc>
          <w:tcPr>
            <w:cnfStyle w:val="001000000000" w:firstRow="0" w:lastRow="0" w:firstColumn="1" w:lastColumn="0" w:oddVBand="0" w:evenVBand="0" w:oddHBand="0" w:evenHBand="0" w:firstRowFirstColumn="0" w:firstRowLastColumn="0" w:lastRowFirstColumn="0" w:lastRowLastColumn="0"/>
            <w:tcW w:w="3256" w:type="dxa"/>
            <w:vAlign w:val="center"/>
            <w:hideMark/>
          </w:tcPr>
          <w:p w14:paraId="3C77B826" w14:textId="77777777" w:rsidR="00910F58" w:rsidRPr="00F979EA" w:rsidRDefault="00910F58" w:rsidP="00277007">
            <w:pPr>
              <w:ind w:firstLine="0"/>
              <w:jc w:val="left"/>
              <w:rPr>
                <w:rFonts w:cs="Times New Roman"/>
                <w:b w:val="0"/>
                <w:color w:val="auto"/>
                <w:sz w:val="18"/>
                <w:szCs w:val="18"/>
              </w:rPr>
            </w:pPr>
            <w:r w:rsidRPr="00F979EA">
              <w:rPr>
                <w:rFonts w:cs="Times New Roman"/>
                <w:b w:val="0"/>
                <w:color w:val="auto"/>
                <w:sz w:val="18"/>
                <w:szCs w:val="18"/>
              </w:rPr>
              <w:t>10.Krājumu pārmaiņas un vērtslietu iegāde</w:t>
            </w:r>
          </w:p>
        </w:tc>
        <w:tc>
          <w:tcPr>
            <w:tcW w:w="850" w:type="dxa"/>
            <w:noWrap/>
            <w:vAlign w:val="center"/>
            <w:hideMark/>
          </w:tcPr>
          <w:p w14:paraId="57E05FD2" w14:textId="77777777" w:rsidR="00910F58" w:rsidRPr="00F979EA" w:rsidRDefault="00910F58"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F979EA">
              <w:rPr>
                <w:rFonts w:cs="Times New Roman"/>
                <w:color w:val="auto"/>
                <w:sz w:val="18"/>
                <w:szCs w:val="18"/>
              </w:rPr>
              <w:t>P52+P53</w:t>
            </w:r>
          </w:p>
        </w:tc>
        <w:tc>
          <w:tcPr>
            <w:tcW w:w="851" w:type="dxa"/>
            <w:noWrap/>
            <w:vAlign w:val="center"/>
            <w:hideMark/>
          </w:tcPr>
          <w:p w14:paraId="55C8E935" w14:textId="77777777" w:rsidR="00910F58" w:rsidRPr="00F979EA" w:rsidRDefault="00910F58" w:rsidP="0027700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p>
        </w:tc>
        <w:tc>
          <w:tcPr>
            <w:tcW w:w="822" w:type="dxa"/>
            <w:noWrap/>
            <w:vAlign w:val="center"/>
            <w:hideMark/>
          </w:tcPr>
          <w:p w14:paraId="17A78201" w14:textId="77777777" w:rsidR="00910F58" w:rsidRPr="00F979EA" w:rsidRDefault="00910F58"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F979EA">
              <w:rPr>
                <w:rFonts w:cs="Times New Roman"/>
                <w:color w:val="000000"/>
                <w:sz w:val="18"/>
                <w:szCs w:val="18"/>
              </w:rPr>
              <w:t>-0,5</w:t>
            </w:r>
          </w:p>
        </w:tc>
        <w:tc>
          <w:tcPr>
            <w:tcW w:w="822" w:type="dxa"/>
            <w:noWrap/>
            <w:vAlign w:val="center"/>
            <w:hideMark/>
          </w:tcPr>
          <w:p w14:paraId="10331B7C" w14:textId="77777777" w:rsidR="00910F58" w:rsidRPr="00F979EA" w:rsidRDefault="00910F58"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F979EA">
              <w:rPr>
                <w:rFonts w:cs="Times New Roman"/>
                <w:color w:val="000000"/>
                <w:sz w:val="18"/>
                <w:szCs w:val="18"/>
              </w:rPr>
              <w:t>0,5</w:t>
            </w:r>
          </w:p>
        </w:tc>
        <w:tc>
          <w:tcPr>
            <w:tcW w:w="822" w:type="dxa"/>
            <w:noWrap/>
            <w:vAlign w:val="center"/>
            <w:hideMark/>
          </w:tcPr>
          <w:p w14:paraId="13B22397" w14:textId="77777777" w:rsidR="00910F58" w:rsidRPr="00F979EA" w:rsidRDefault="00910F58"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F979EA">
              <w:rPr>
                <w:rFonts w:cs="Times New Roman"/>
                <w:color w:val="000000"/>
                <w:sz w:val="18"/>
                <w:szCs w:val="18"/>
              </w:rPr>
              <w:t>-0,3</w:t>
            </w:r>
          </w:p>
        </w:tc>
        <w:tc>
          <w:tcPr>
            <w:tcW w:w="822" w:type="dxa"/>
            <w:noWrap/>
            <w:vAlign w:val="center"/>
            <w:hideMark/>
          </w:tcPr>
          <w:p w14:paraId="340C0C88" w14:textId="77777777" w:rsidR="00910F58" w:rsidRPr="00F979EA" w:rsidRDefault="00910F58"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F979EA">
              <w:rPr>
                <w:rFonts w:cs="Times New Roman"/>
                <w:color w:val="000000"/>
                <w:sz w:val="18"/>
                <w:szCs w:val="18"/>
              </w:rPr>
              <w:t>0,0</w:t>
            </w:r>
          </w:p>
        </w:tc>
        <w:tc>
          <w:tcPr>
            <w:tcW w:w="822" w:type="dxa"/>
            <w:noWrap/>
            <w:vAlign w:val="center"/>
            <w:hideMark/>
          </w:tcPr>
          <w:p w14:paraId="4D498B7B" w14:textId="77777777" w:rsidR="00910F58" w:rsidRPr="00F979EA" w:rsidRDefault="00910F58"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F979EA">
              <w:rPr>
                <w:rFonts w:cs="Times New Roman"/>
                <w:color w:val="000000"/>
                <w:sz w:val="18"/>
                <w:szCs w:val="18"/>
              </w:rPr>
              <w:t>0,0</w:t>
            </w:r>
          </w:p>
        </w:tc>
      </w:tr>
      <w:tr w:rsidR="00910F58" w:rsidRPr="00F979EA" w14:paraId="471A109A" w14:textId="77777777" w:rsidTr="00277007">
        <w:trPr>
          <w:trHeight w:val="227"/>
          <w:jc w:val="center"/>
        </w:trPr>
        <w:tc>
          <w:tcPr>
            <w:cnfStyle w:val="001000000000" w:firstRow="0" w:lastRow="0" w:firstColumn="1" w:lastColumn="0" w:oddVBand="0" w:evenVBand="0" w:oddHBand="0" w:evenHBand="0" w:firstRowFirstColumn="0" w:firstRowLastColumn="0" w:lastRowFirstColumn="0" w:lastRowLastColumn="0"/>
            <w:tcW w:w="3256" w:type="dxa"/>
            <w:vAlign w:val="center"/>
            <w:hideMark/>
          </w:tcPr>
          <w:p w14:paraId="4B17DF81" w14:textId="77777777" w:rsidR="00910F58" w:rsidRPr="00F979EA" w:rsidRDefault="00910F58" w:rsidP="00277007">
            <w:pPr>
              <w:ind w:firstLine="0"/>
              <w:jc w:val="left"/>
              <w:rPr>
                <w:rFonts w:cs="Times New Roman"/>
                <w:b w:val="0"/>
                <w:color w:val="auto"/>
                <w:sz w:val="18"/>
                <w:szCs w:val="18"/>
              </w:rPr>
            </w:pPr>
            <w:r w:rsidRPr="00F979EA">
              <w:rPr>
                <w:rFonts w:cs="Times New Roman"/>
                <w:b w:val="0"/>
                <w:color w:val="auto"/>
                <w:sz w:val="18"/>
                <w:szCs w:val="18"/>
              </w:rPr>
              <w:t>11.Eksporta-importa bilance</w:t>
            </w:r>
          </w:p>
        </w:tc>
        <w:tc>
          <w:tcPr>
            <w:tcW w:w="850" w:type="dxa"/>
            <w:noWrap/>
            <w:vAlign w:val="center"/>
            <w:hideMark/>
          </w:tcPr>
          <w:p w14:paraId="6DE637FE" w14:textId="77777777" w:rsidR="00910F58" w:rsidRPr="00F979EA" w:rsidRDefault="00910F58"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rPr>
            </w:pPr>
            <w:r w:rsidRPr="00F979EA">
              <w:rPr>
                <w:rFonts w:cs="Times New Roman"/>
                <w:color w:val="auto"/>
                <w:sz w:val="18"/>
                <w:szCs w:val="18"/>
              </w:rPr>
              <w:t>B11</w:t>
            </w:r>
          </w:p>
        </w:tc>
        <w:tc>
          <w:tcPr>
            <w:tcW w:w="851" w:type="dxa"/>
            <w:noWrap/>
            <w:vAlign w:val="center"/>
            <w:hideMark/>
          </w:tcPr>
          <w:p w14:paraId="33FF0D33" w14:textId="77777777" w:rsidR="00910F58" w:rsidRPr="00F979EA" w:rsidRDefault="00910F58" w:rsidP="0027700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p>
        </w:tc>
        <w:tc>
          <w:tcPr>
            <w:tcW w:w="822" w:type="dxa"/>
            <w:noWrap/>
            <w:vAlign w:val="center"/>
            <w:hideMark/>
          </w:tcPr>
          <w:p w14:paraId="5AAA362B" w14:textId="77777777" w:rsidR="00910F58" w:rsidRPr="00F979EA" w:rsidRDefault="00910F58"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979EA">
              <w:rPr>
                <w:rFonts w:cs="Times New Roman"/>
                <w:color w:val="000000"/>
                <w:sz w:val="18"/>
                <w:szCs w:val="18"/>
              </w:rPr>
              <w:t>-2,9</w:t>
            </w:r>
          </w:p>
        </w:tc>
        <w:tc>
          <w:tcPr>
            <w:tcW w:w="822" w:type="dxa"/>
            <w:noWrap/>
            <w:vAlign w:val="center"/>
            <w:hideMark/>
          </w:tcPr>
          <w:p w14:paraId="4EECE4E4" w14:textId="77777777" w:rsidR="00910F58" w:rsidRPr="00F979EA" w:rsidRDefault="00910F58"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979EA">
              <w:rPr>
                <w:rFonts w:cs="Times New Roman"/>
                <w:color w:val="000000"/>
                <w:sz w:val="18"/>
                <w:szCs w:val="18"/>
              </w:rPr>
              <w:t>-0,4</w:t>
            </w:r>
          </w:p>
        </w:tc>
        <w:tc>
          <w:tcPr>
            <w:tcW w:w="822" w:type="dxa"/>
            <w:noWrap/>
            <w:vAlign w:val="center"/>
            <w:hideMark/>
          </w:tcPr>
          <w:p w14:paraId="7115CD6D" w14:textId="77777777" w:rsidR="00910F58" w:rsidRPr="00F979EA" w:rsidRDefault="00910F58"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979EA">
              <w:rPr>
                <w:rFonts w:cs="Times New Roman"/>
                <w:color w:val="000000"/>
                <w:sz w:val="18"/>
                <w:szCs w:val="18"/>
              </w:rPr>
              <w:t>-0,3</w:t>
            </w:r>
          </w:p>
        </w:tc>
        <w:tc>
          <w:tcPr>
            <w:tcW w:w="822" w:type="dxa"/>
            <w:noWrap/>
            <w:vAlign w:val="center"/>
            <w:hideMark/>
          </w:tcPr>
          <w:p w14:paraId="6C76BD30" w14:textId="77777777" w:rsidR="00910F58" w:rsidRPr="00F979EA" w:rsidRDefault="00910F58"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979EA">
              <w:rPr>
                <w:rFonts w:cs="Times New Roman"/>
                <w:color w:val="000000"/>
                <w:sz w:val="18"/>
                <w:szCs w:val="18"/>
              </w:rPr>
              <w:t>-0,8</w:t>
            </w:r>
          </w:p>
        </w:tc>
        <w:tc>
          <w:tcPr>
            <w:tcW w:w="822" w:type="dxa"/>
            <w:noWrap/>
            <w:vAlign w:val="center"/>
            <w:hideMark/>
          </w:tcPr>
          <w:p w14:paraId="2244DE8A" w14:textId="77777777" w:rsidR="00910F58" w:rsidRPr="00F979EA" w:rsidRDefault="00910F58"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979EA">
              <w:rPr>
                <w:rFonts w:cs="Times New Roman"/>
                <w:color w:val="000000"/>
                <w:sz w:val="18"/>
                <w:szCs w:val="18"/>
              </w:rPr>
              <w:t>-0,7</w:t>
            </w:r>
          </w:p>
        </w:tc>
      </w:tr>
    </w:tbl>
    <w:p w14:paraId="4DFBADD3" w14:textId="77777777" w:rsidR="00910F58" w:rsidRPr="00F979EA" w:rsidRDefault="00910F58" w:rsidP="00910F58">
      <w:pPr>
        <w:ind w:firstLine="0"/>
        <w:rPr>
          <w:rFonts w:cs="Times New Roman"/>
          <w:i/>
          <w:iCs/>
          <w:sz w:val="18"/>
          <w:szCs w:val="16"/>
        </w:rPr>
      </w:pPr>
      <w:r w:rsidRPr="00F979EA">
        <w:rPr>
          <w:rFonts w:cs="Times New Roman"/>
          <w:i/>
          <w:iCs/>
          <w:sz w:val="18"/>
          <w:szCs w:val="16"/>
        </w:rPr>
        <w:t xml:space="preserve"> * 2022. gada dati – CSP uz </w:t>
      </w:r>
      <w:r w:rsidRPr="00F979EA">
        <w:rPr>
          <w:i/>
          <w:iCs/>
          <w:sz w:val="18"/>
          <w:szCs w:val="14"/>
        </w:rPr>
        <w:t>28.02.2023.</w:t>
      </w:r>
    </w:p>
    <w:p w14:paraId="4B48553D" w14:textId="77777777" w:rsidR="00910F58" w:rsidRPr="00F979EA" w:rsidRDefault="00910F58" w:rsidP="00910F58">
      <w:pPr>
        <w:rPr>
          <w:rFonts w:cs="Times New Roman"/>
          <w:sz w:val="24"/>
        </w:rPr>
      </w:pPr>
    </w:p>
    <w:p w14:paraId="30FAD9FB" w14:textId="77777777" w:rsidR="00910F58" w:rsidRPr="00F979EA" w:rsidRDefault="00910F58" w:rsidP="004B1E93">
      <w:pPr>
        <w:pStyle w:val="H4"/>
        <w:spacing w:before="0"/>
        <w:ind w:left="0" w:firstLine="720"/>
        <w:jc w:val="both"/>
        <w:rPr>
          <w:rFonts w:ascii="Times New Roman" w:hAnsi="Times New Roman"/>
          <w:iCs/>
          <w:sz w:val="24"/>
          <w:szCs w:val="24"/>
        </w:rPr>
      </w:pPr>
      <w:r w:rsidRPr="00F979EA">
        <w:rPr>
          <w:rFonts w:ascii="Times New Roman" w:hAnsi="Times New Roman"/>
          <w:iCs/>
          <w:sz w:val="24"/>
          <w:szCs w:val="24"/>
        </w:rPr>
        <w:t>Ekonomikas cikliskā attīstība</w:t>
      </w:r>
    </w:p>
    <w:p w14:paraId="22893D57" w14:textId="36E80393" w:rsidR="00910F58" w:rsidRPr="00F979EA" w:rsidRDefault="00910F58" w:rsidP="00910F58">
      <w:pPr>
        <w:spacing w:after="120"/>
        <w:rPr>
          <w:rFonts w:cs="Times New Roman"/>
          <w:sz w:val="24"/>
          <w:szCs w:val="24"/>
        </w:rPr>
      </w:pPr>
      <w:r w:rsidRPr="00F979EA">
        <w:rPr>
          <w:rFonts w:cs="Times New Roman"/>
          <w:sz w:val="24"/>
          <w:szCs w:val="24"/>
        </w:rPr>
        <w:t xml:space="preserve">Latvijas ekonomika, pateicoties iekšējam un ārējam pieprasījumam, laikā no 2011. gada (pirmā pēc-recesijas gada) līdz 2019. gadam auga vidēji par 3,2% gadā, iezīmējot ekonomiskā cikla kāpuma posmu. </w:t>
      </w:r>
      <w:bookmarkStart w:id="18" w:name="_Hlk130205473"/>
      <w:r w:rsidRPr="00F979EA">
        <w:rPr>
          <w:rFonts w:cs="Times New Roman"/>
          <w:sz w:val="24"/>
          <w:szCs w:val="24"/>
        </w:rPr>
        <w:t>Beidzoties ES fondu ciklam, 2019. gadā sāka iezīmēties ekonomikas cikliskā bremzēšanās un investīciju pieauguma tempi mazinājās no 11,6% vidēji 2017.</w:t>
      </w:r>
      <w:r w:rsidR="004A6B6D">
        <w:rPr>
          <w:rFonts w:cs="Times New Roman"/>
          <w:sz w:val="24"/>
          <w:szCs w:val="24"/>
        </w:rPr>
        <w:t xml:space="preserve"> –</w:t>
      </w:r>
      <w:r w:rsidR="00FB0734">
        <w:rPr>
          <w:rFonts w:cs="Times New Roman"/>
          <w:sz w:val="24"/>
          <w:szCs w:val="24"/>
        </w:rPr>
        <w:t xml:space="preserve"> </w:t>
      </w:r>
      <w:r w:rsidRPr="00F979EA">
        <w:rPr>
          <w:rFonts w:cs="Times New Roman"/>
          <w:sz w:val="24"/>
          <w:szCs w:val="24"/>
        </w:rPr>
        <w:t>2018. gadā līdz 6,9% 2019. gadā</w:t>
      </w:r>
      <w:bookmarkEnd w:id="18"/>
      <w:r w:rsidRPr="00F979EA">
        <w:rPr>
          <w:rFonts w:cs="Times New Roman"/>
          <w:sz w:val="24"/>
          <w:szCs w:val="24"/>
        </w:rPr>
        <w:t xml:space="preserve">. Rezultātā </w:t>
      </w:r>
      <w:r w:rsidR="004B1E93" w:rsidRPr="00F979EA">
        <w:rPr>
          <w:rFonts w:cs="Times New Roman"/>
          <w:sz w:val="24"/>
          <w:szCs w:val="24"/>
        </w:rPr>
        <w:t>IKP</w:t>
      </w:r>
      <w:r w:rsidRPr="00F979EA">
        <w:rPr>
          <w:rFonts w:cs="Times New Roman"/>
          <w:sz w:val="24"/>
          <w:szCs w:val="24"/>
        </w:rPr>
        <w:t xml:space="preserve"> izaugsme 2019. gadā samazinājās līdz 2,5%. Savukārt jau 2020. gadā ekonomiskā cikla bremzēšanos pastiprināja Covid-19 pandēmija, ietekmējot visu ekonomikas nozaru attīstību un dažās, ar tūrismu saistītajās nozarēs atstājot jūtamas sekas uz potenciālā </w:t>
      </w:r>
      <w:r w:rsidR="004B1E93" w:rsidRPr="00F979EA">
        <w:rPr>
          <w:rFonts w:cs="Times New Roman"/>
          <w:sz w:val="24"/>
          <w:szCs w:val="24"/>
        </w:rPr>
        <w:t>IKP</w:t>
      </w:r>
      <w:r w:rsidRPr="00F979EA">
        <w:rPr>
          <w:rFonts w:cs="Times New Roman"/>
          <w:sz w:val="24"/>
          <w:szCs w:val="24"/>
        </w:rPr>
        <w:t xml:space="preserve"> pieaugumu un strauji samazinot izveidojošos pozitīvo izlaižu starpību. Rezultātā izlaižu starpība, kas kopš 2015. gada bija pozitīva, 2020. gadā kļuva negatīva. Pēc Covid</w:t>
      </w:r>
      <w:r w:rsidRPr="00F979EA">
        <w:rPr>
          <w:rFonts w:cs="Times New Roman"/>
          <w:sz w:val="24"/>
          <w:szCs w:val="24"/>
        </w:rPr>
        <w:noBreakHyphen/>
        <w:t xml:space="preserve">19 ierobežojumu pakāpeniskas atcelšanas ekonomikai bija iespēja atgriezties kāpuma posmā, taču Krievijas uzsāktais karš Ukrainā no jauna palēnināja potenciālā IKP attīstību un ekonomika no jauna </w:t>
      </w:r>
      <w:r w:rsidR="004B1E93" w:rsidRPr="00F979EA">
        <w:rPr>
          <w:rFonts w:cs="Times New Roman"/>
          <w:sz w:val="24"/>
          <w:szCs w:val="24"/>
        </w:rPr>
        <w:t>piedzīvoja</w:t>
      </w:r>
      <w:r w:rsidRPr="00F979EA">
        <w:rPr>
          <w:rFonts w:cs="Times New Roman"/>
          <w:sz w:val="24"/>
          <w:szCs w:val="24"/>
        </w:rPr>
        <w:t xml:space="preserve"> lejupslīd</w:t>
      </w:r>
      <w:r w:rsidR="004B1E93" w:rsidRPr="00F979EA">
        <w:rPr>
          <w:rFonts w:cs="Times New Roman"/>
          <w:sz w:val="24"/>
          <w:szCs w:val="24"/>
        </w:rPr>
        <w:t>i</w:t>
      </w:r>
      <w:r w:rsidRPr="00F979EA">
        <w:rPr>
          <w:rFonts w:cs="Times New Roman"/>
          <w:sz w:val="24"/>
          <w:szCs w:val="24"/>
        </w:rPr>
        <w:t>.</w:t>
      </w:r>
    </w:p>
    <w:p w14:paraId="0602ED34" w14:textId="728BB80E" w:rsidR="00910F58" w:rsidRPr="00F979EA" w:rsidRDefault="00910F58" w:rsidP="00910F58">
      <w:pPr>
        <w:spacing w:after="120"/>
        <w:rPr>
          <w:rFonts w:cs="Times New Roman"/>
          <w:sz w:val="24"/>
          <w:szCs w:val="24"/>
        </w:rPr>
      </w:pPr>
      <w:r w:rsidRPr="00F979EA">
        <w:rPr>
          <w:rFonts w:cs="Times New Roman"/>
          <w:sz w:val="24"/>
          <w:szCs w:val="24"/>
        </w:rPr>
        <w:t>Atbilstoši šā gada februāra scenārijam, negatīvā izlaižu starpība izzustu triju gadu laikā, līdz ekonomika atgrieztos potenciālajā izaugsmes līmenī un no 2026. gada turpinātu</w:t>
      </w:r>
      <w:r w:rsidR="004B1E93" w:rsidRPr="00F979EA">
        <w:rPr>
          <w:rFonts w:cs="Times New Roman"/>
          <w:sz w:val="24"/>
          <w:szCs w:val="24"/>
        </w:rPr>
        <w:t xml:space="preserve"> kāpt</w:t>
      </w:r>
      <w:r w:rsidRPr="00F979EA">
        <w:rPr>
          <w:rFonts w:cs="Times New Roman"/>
          <w:sz w:val="24"/>
          <w:szCs w:val="24"/>
        </w:rPr>
        <w:t xml:space="preserve"> ar </w:t>
      </w:r>
      <w:r w:rsidRPr="00F979EA">
        <w:rPr>
          <w:rFonts w:cs="Times New Roman"/>
          <w:sz w:val="24"/>
          <w:szCs w:val="24"/>
        </w:rPr>
        <w:lastRenderedPageBreak/>
        <w:t>aptuveni 2% pieaugumu. Kopumā līdzīgs vidēja termiņa izlaižu starpības novērtējums ir arī EK 2023. gada rudens prognozēs.</w:t>
      </w:r>
    </w:p>
    <w:p w14:paraId="39529904" w14:textId="77777777" w:rsidR="00910F58" w:rsidRPr="00F979EA" w:rsidRDefault="00910F58" w:rsidP="004B1E93">
      <w:pPr>
        <w:ind w:firstLine="0"/>
        <w:jc w:val="center"/>
        <w:rPr>
          <w:rFonts w:cs="Times New Roman"/>
          <w:sz w:val="24"/>
          <w:szCs w:val="24"/>
        </w:rPr>
      </w:pPr>
      <w:r w:rsidRPr="00F979EA">
        <w:rPr>
          <w:rFonts w:cs="Times New Roman"/>
          <w:noProof/>
          <w:sz w:val="24"/>
          <w:szCs w:val="24"/>
        </w:rPr>
        <w:drawing>
          <wp:inline distT="0" distB="0" distL="0" distR="0" wp14:anchorId="0EA8DF0C" wp14:editId="7F8193B1">
            <wp:extent cx="5486400" cy="2446020"/>
            <wp:effectExtent l="0" t="0" r="0" b="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979EA">
        <w:rPr>
          <w:rFonts w:cs="Times New Roman"/>
          <w:sz w:val="24"/>
          <w:szCs w:val="24"/>
        </w:rPr>
        <w:br/>
      </w:r>
      <w:r w:rsidRPr="00F979EA">
        <w:rPr>
          <w:rFonts w:cs="Times New Roman"/>
          <w:b/>
          <w:i/>
          <w:sz w:val="24"/>
          <w:szCs w:val="24"/>
        </w:rPr>
        <w:t>2.8. att. Izlaižu starpība, %</w:t>
      </w:r>
    </w:p>
    <w:p w14:paraId="30C4FFFA" w14:textId="77777777" w:rsidR="00910F58" w:rsidRPr="00F979EA" w:rsidRDefault="00910F58" w:rsidP="00910F58">
      <w:pPr>
        <w:rPr>
          <w:rFonts w:cs="Times New Roman"/>
          <w:sz w:val="24"/>
          <w:szCs w:val="24"/>
        </w:rPr>
      </w:pPr>
    </w:p>
    <w:p w14:paraId="109CE547" w14:textId="5D0C5EC0" w:rsidR="00910F58" w:rsidRPr="00F979EA" w:rsidRDefault="00910F58" w:rsidP="004B1E93">
      <w:pPr>
        <w:spacing w:after="120"/>
        <w:rPr>
          <w:rFonts w:cs="Times New Roman"/>
          <w:sz w:val="24"/>
          <w:szCs w:val="24"/>
        </w:rPr>
      </w:pPr>
      <w:r w:rsidRPr="00F979EA">
        <w:rPr>
          <w:rFonts w:cs="Times New Roman"/>
          <w:sz w:val="24"/>
          <w:szCs w:val="24"/>
        </w:rPr>
        <w:t xml:space="preserve">IKP potenciālo izaugsmi prognožu periodā pamatā noteiks kopējais produktivitātes pieaugums, kuras devums ir ap 1,3 procentpunktiem laikā līdz 2024. gadam, kāds bija raksturīgs ekonomikas kāpuma posmā. Pārējo potenciālā </w:t>
      </w:r>
      <w:r w:rsidR="004B1E93" w:rsidRPr="00F979EA">
        <w:rPr>
          <w:rFonts w:cs="Times New Roman"/>
          <w:sz w:val="24"/>
          <w:szCs w:val="24"/>
        </w:rPr>
        <w:t>IKP</w:t>
      </w:r>
      <w:r w:rsidRPr="00F979EA">
        <w:rPr>
          <w:rFonts w:cs="Times New Roman"/>
          <w:sz w:val="24"/>
          <w:szCs w:val="24"/>
        </w:rPr>
        <w:t xml:space="preserve"> pieaugumu nodrošinās kapitāla devums, kas ir aptuveni viens procentpunkts, kamēr darbaspēka devums kļūs negatīvs demogrāfiskās situācijas dēļ, īpaši no 2025. gada, ko kompensēs produktivitātes straujāka izaugsme. Saskaņā ar FM aprēķiniem, potenciālā </w:t>
      </w:r>
      <w:r w:rsidR="004B1E93" w:rsidRPr="00F979EA">
        <w:rPr>
          <w:rFonts w:cs="Times New Roman"/>
          <w:sz w:val="24"/>
          <w:szCs w:val="24"/>
        </w:rPr>
        <w:t>IKP</w:t>
      </w:r>
      <w:r w:rsidRPr="00F979EA">
        <w:rPr>
          <w:rFonts w:cs="Times New Roman"/>
          <w:sz w:val="24"/>
          <w:szCs w:val="24"/>
        </w:rPr>
        <w:t xml:space="preserve"> izaugsme vidējā termiņā būs ap 2%.</w:t>
      </w:r>
    </w:p>
    <w:p w14:paraId="2A0FE806" w14:textId="53A3ACA5" w:rsidR="00910F58" w:rsidRDefault="00910F58" w:rsidP="00910F58">
      <w:pPr>
        <w:ind w:firstLine="0"/>
        <w:jc w:val="center"/>
        <w:rPr>
          <w:rFonts w:cs="Times New Roman"/>
          <w:b/>
          <w:i/>
          <w:sz w:val="24"/>
          <w:szCs w:val="24"/>
        </w:rPr>
      </w:pPr>
      <w:r w:rsidRPr="00F979EA">
        <w:rPr>
          <w:rFonts w:cs="Times New Roman"/>
          <w:noProof/>
          <w:sz w:val="24"/>
          <w:szCs w:val="24"/>
        </w:rPr>
        <w:drawing>
          <wp:inline distT="0" distB="0" distL="0" distR="0" wp14:anchorId="290BE051" wp14:editId="47A9565F">
            <wp:extent cx="5486400" cy="2448000"/>
            <wp:effectExtent l="0" t="0" r="0" b="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F979EA">
        <w:rPr>
          <w:rFonts w:cs="Times New Roman"/>
          <w:b/>
          <w:i/>
          <w:sz w:val="24"/>
          <w:szCs w:val="24"/>
        </w:rPr>
        <w:br/>
        <w:t>2.9. att. Potenciālā IKP izaugsme un komponenšu devums, %</w:t>
      </w:r>
    </w:p>
    <w:p w14:paraId="5BAFF28A" w14:textId="077BFB7D" w:rsidR="00A120D9" w:rsidRPr="00910F58" w:rsidRDefault="00910F58" w:rsidP="00910F58">
      <w:pPr>
        <w:spacing w:after="160" w:line="259" w:lineRule="auto"/>
        <w:ind w:firstLine="0"/>
        <w:jc w:val="left"/>
        <w:rPr>
          <w:rFonts w:cs="Times New Roman"/>
          <w:b/>
          <w:i/>
          <w:sz w:val="24"/>
          <w:szCs w:val="24"/>
        </w:rPr>
      </w:pPr>
      <w:r>
        <w:rPr>
          <w:rFonts w:cs="Times New Roman"/>
          <w:b/>
          <w:i/>
          <w:sz w:val="24"/>
          <w:szCs w:val="24"/>
        </w:rPr>
        <w:br w:type="page"/>
      </w:r>
    </w:p>
    <w:p w14:paraId="6301D5B7" w14:textId="6C72EA3E" w:rsidR="00BF4753" w:rsidRPr="006A1FC0" w:rsidRDefault="00BF4753" w:rsidP="00A37D1E">
      <w:pPr>
        <w:pStyle w:val="Heading1"/>
        <w:spacing w:before="0" w:after="240"/>
        <w:rPr>
          <w:sz w:val="32"/>
          <w:szCs w:val="32"/>
        </w:rPr>
      </w:pPr>
      <w:bookmarkStart w:id="19" w:name="_Toc131331233"/>
      <w:r w:rsidRPr="006A1FC0">
        <w:rPr>
          <w:sz w:val="32"/>
          <w:szCs w:val="32"/>
        </w:rPr>
        <w:lastRenderedPageBreak/>
        <w:t>3. Vispārējās valdības budžeta bilance un parāds</w:t>
      </w:r>
      <w:bookmarkEnd w:id="4"/>
      <w:bookmarkEnd w:id="5"/>
      <w:bookmarkEnd w:id="19"/>
    </w:p>
    <w:p w14:paraId="5870A9CA" w14:textId="1BEFE3A9" w:rsidR="00BF4753" w:rsidRPr="000800F9" w:rsidRDefault="00BF4753" w:rsidP="00BF4753">
      <w:pPr>
        <w:pStyle w:val="Heading2"/>
        <w:numPr>
          <w:ilvl w:val="0"/>
          <w:numId w:val="0"/>
        </w:numPr>
        <w:spacing w:before="240" w:after="240"/>
        <w:ind w:left="578"/>
        <w:rPr>
          <w:rFonts w:eastAsia="Times New Roman"/>
          <w:sz w:val="28"/>
          <w:szCs w:val="24"/>
        </w:rPr>
      </w:pPr>
      <w:bookmarkStart w:id="20" w:name="_Toc131331234"/>
      <w:r w:rsidRPr="000800F9">
        <w:rPr>
          <w:rFonts w:eastAsia="Times New Roman"/>
          <w:sz w:val="28"/>
          <w:szCs w:val="24"/>
        </w:rPr>
        <w:t>3.1. Fiskālās politikas stratēģija un vidēja termiņa mērķi</w:t>
      </w:r>
      <w:bookmarkEnd w:id="20"/>
    </w:p>
    <w:p w14:paraId="1D1BE3FC" w14:textId="78F4A3AC" w:rsidR="000D2388" w:rsidRPr="000800F9" w:rsidRDefault="000D2388" w:rsidP="00A85071">
      <w:pPr>
        <w:pStyle w:val="Heading3"/>
        <w:numPr>
          <w:ilvl w:val="2"/>
          <w:numId w:val="8"/>
        </w:numPr>
        <w:spacing w:before="240" w:after="240"/>
        <w:ind w:left="0" w:firstLine="0"/>
        <w:jc w:val="center"/>
        <w:rPr>
          <w:sz w:val="24"/>
          <w:szCs w:val="20"/>
        </w:rPr>
      </w:pPr>
      <w:bookmarkStart w:id="21" w:name="_Toc98250545"/>
      <w:bookmarkStart w:id="22" w:name="_Toc131331235"/>
      <w:r w:rsidRPr="000800F9">
        <w:rPr>
          <w:sz w:val="24"/>
          <w:szCs w:val="20"/>
        </w:rPr>
        <w:t>Fiskālās politikas stratēģija</w:t>
      </w:r>
      <w:bookmarkEnd w:id="21"/>
      <w:bookmarkEnd w:id="22"/>
    </w:p>
    <w:p w14:paraId="6BA244A9" w14:textId="2A7F12C1" w:rsidR="006A1FC0" w:rsidRPr="000D2388" w:rsidRDefault="006A1FC0" w:rsidP="006A1FC0">
      <w:pPr>
        <w:rPr>
          <w:rFonts w:eastAsia="Calibri" w:cs="Times New Roman"/>
          <w:color w:val="000000"/>
          <w:sz w:val="24"/>
        </w:rPr>
      </w:pPr>
      <w:r w:rsidRPr="000D2388">
        <w:rPr>
          <w:rFonts w:eastAsia="Calibri" w:cs="Times New Roman"/>
          <w:color w:val="000000"/>
          <w:sz w:val="24"/>
        </w:rPr>
        <w:t xml:space="preserve">Covid-19 pandēmija ir izraisījusi būtiskas izmaiņas līdz šim īstenotajā fiskālajā politikā, kas ir balstīta uz strukturālā deficīta mērķa -0,5% no </w:t>
      </w:r>
      <w:r>
        <w:rPr>
          <w:rFonts w:eastAsia="Calibri" w:cs="Times New Roman"/>
          <w:color w:val="000000"/>
          <w:sz w:val="24"/>
        </w:rPr>
        <w:t>IKP</w:t>
      </w:r>
      <w:r w:rsidRPr="000D2388">
        <w:rPr>
          <w:rFonts w:eastAsia="Calibri" w:cs="Times New Roman"/>
          <w:color w:val="000000"/>
          <w:sz w:val="24"/>
        </w:rPr>
        <w:t xml:space="preserve"> ievērošanu. </w:t>
      </w:r>
    </w:p>
    <w:p w14:paraId="2DF9D41D" w14:textId="43B9507E" w:rsidR="006A1FC0" w:rsidRDefault="006A1FC0" w:rsidP="006A1FC0">
      <w:pPr>
        <w:rPr>
          <w:rFonts w:eastAsia="Calibri" w:cs="Times New Roman"/>
          <w:color w:val="000000"/>
          <w:sz w:val="24"/>
        </w:rPr>
      </w:pPr>
      <w:r w:rsidRPr="000D2388">
        <w:rPr>
          <w:rFonts w:eastAsia="Calibri" w:cs="Times New Roman"/>
          <w:color w:val="000000"/>
          <w:sz w:val="24"/>
        </w:rPr>
        <w:t xml:space="preserve">2020. gadā </w:t>
      </w:r>
      <w:r>
        <w:rPr>
          <w:rFonts w:eastAsia="Calibri" w:cs="Times New Roman"/>
          <w:color w:val="000000"/>
          <w:sz w:val="24"/>
        </w:rPr>
        <w:t>ES</w:t>
      </w:r>
      <w:r w:rsidRPr="000D2388">
        <w:rPr>
          <w:rFonts w:eastAsia="Calibri" w:cs="Times New Roman"/>
          <w:color w:val="000000"/>
          <w:sz w:val="24"/>
        </w:rPr>
        <w:t xml:space="preserve"> tika aktivizēta Stabilitātes un izaugsmes pakta vispārējā izņēmuma klauzula, ļaujot </w:t>
      </w:r>
      <w:r>
        <w:rPr>
          <w:rFonts w:eastAsia="Calibri" w:cs="Times New Roman"/>
          <w:color w:val="000000"/>
          <w:sz w:val="24"/>
        </w:rPr>
        <w:t>ES</w:t>
      </w:r>
      <w:r w:rsidRPr="000D2388">
        <w:rPr>
          <w:rFonts w:eastAsia="Calibri" w:cs="Times New Roman"/>
          <w:color w:val="000000"/>
          <w:sz w:val="24"/>
        </w:rPr>
        <w:t xml:space="preserve"> </w:t>
      </w:r>
      <w:r>
        <w:rPr>
          <w:rFonts w:eastAsia="Calibri" w:cs="Times New Roman"/>
          <w:color w:val="000000"/>
          <w:sz w:val="24"/>
        </w:rPr>
        <w:t>dalīb</w:t>
      </w:r>
      <w:r w:rsidRPr="000D2388">
        <w:rPr>
          <w:rFonts w:eastAsia="Calibri" w:cs="Times New Roman"/>
          <w:color w:val="000000"/>
          <w:sz w:val="24"/>
        </w:rPr>
        <w:t xml:space="preserve">valstīm palielināt vispārējās valdības budžeta deficītu 2020. gadā tādā apjomā, cik ir nepieciešams Covid-19 pandēmijas izsauktā ekonomikas kaitējuma mazināšanai. 2021. gada ilgtspējīgas izaugsmes stratēģijā </w:t>
      </w:r>
      <w:r>
        <w:rPr>
          <w:rFonts w:eastAsia="Calibri" w:cs="Times New Roman"/>
          <w:color w:val="000000"/>
          <w:sz w:val="24"/>
        </w:rPr>
        <w:t>EK</w:t>
      </w:r>
      <w:r w:rsidRPr="000D2388">
        <w:rPr>
          <w:rFonts w:eastAsia="Calibri" w:cs="Times New Roman"/>
          <w:color w:val="000000"/>
          <w:sz w:val="24"/>
        </w:rPr>
        <w:t xml:space="preserve"> paziņoja, ka vispārējā izņēmuma klauzula paliks spēkā arī 2021. gadā, uzsverot, ka dalībvalstīm ir jāsniedz mērķtiecīgs un pagaidu fiskālais atbalsts to ekonomikām arī 2021. gadā, vienlaikus nodrošinot fiskālo ilgtspēju vidējā termiņā. Savukārt 2021. gada 3. marta paziņojumā, kurā sniegtas vispārīgas norādes dalībvalstīm par fiskālās politikas īstenošanu nākamajā periodā, </w:t>
      </w:r>
      <w:r>
        <w:rPr>
          <w:rFonts w:eastAsia="Calibri" w:cs="Times New Roman"/>
          <w:color w:val="000000"/>
          <w:sz w:val="24"/>
        </w:rPr>
        <w:t>EK</w:t>
      </w:r>
      <w:r w:rsidRPr="000D2388">
        <w:rPr>
          <w:rFonts w:eastAsia="Calibri" w:cs="Times New Roman"/>
          <w:color w:val="000000"/>
          <w:sz w:val="24"/>
        </w:rPr>
        <w:t xml:space="preserve"> norād</w:t>
      </w:r>
      <w:r w:rsidR="009D59E2">
        <w:rPr>
          <w:rFonts w:eastAsia="Calibri" w:cs="Times New Roman"/>
          <w:color w:val="000000"/>
          <w:sz w:val="24"/>
        </w:rPr>
        <w:t>īja</w:t>
      </w:r>
      <w:r w:rsidRPr="000D2388">
        <w:rPr>
          <w:rFonts w:eastAsia="Calibri" w:cs="Times New Roman"/>
          <w:color w:val="000000"/>
          <w:sz w:val="24"/>
        </w:rPr>
        <w:t>, ka saskaņā ar tā brīža prognozēm vispārējā izņēmuma klauzul</w:t>
      </w:r>
      <w:r w:rsidR="009D59E2">
        <w:rPr>
          <w:rFonts w:eastAsia="Calibri" w:cs="Times New Roman"/>
          <w:color w:val="000000"/>
          <w:sz w:val="24"/>
        </w:rPr>
        <w:t>a</w:t>
      </w:r>
      <w:r w:rsidRPr="000D2388">
        <w:rPr>
          <w:rFonts w:eastAsia="Calibri" w:cs="Times New Roman"/>
          <w:color w:val="000000"/>
          <w:sz w:val="24"/>
        </w:rPr>
        <w:t xml:space="preserve"> ir jāturpina piemērot arī 2022. gadā un ir jāatceļ sākot ar 2023. gadu. </w:t>
      </w:r>
      <w:r>
        <w:rPr>
          <w:rFonts w:eastAsia="Calibri" w:cs="Times New Roman"/>
          <w:color w:val="000000"/>
          <w:sz w:val="24"/>
        </w:rPr>
        <w:t>G</w:t>
      </w:r>
      <w:r w:rsidRPr="000D2388">
        <w:rPr>
          <w:rFonts w:eastAsia="Calibri" w:cs="Times New Roman"/>
          <w:color w:val="000000"/>
          <w:sz w:val="24"/>
        </w:rPr>
        <w:t xml:space="preserve">ala lēmumu </w:t>
      </w:r>
      <w:r>
        <w:rPr>
          <w:rFonts w:eastAsia="Calibri" w:cs="Times New Roman"/>
          <w:color w:val="000000"/>
          <w:sz w:val="24"/>
        </w:rPr>
        <w:t>bija plānots pieņemt</w:t>
      </w:r>
      <w:r w:rsidRPr="000D2388">
        <w:rPr>
          <w:rFonts w:eastAsia="Calibri" w:cs="Times New Roman"/>
          <w:color w:val="000000"/>
          <w:sz w:val="24"/>
        </w:rPr>
        <w:t xml:space="preserve"> pamatojoties uz 2021. gada pavasara prognozēm, 2021. gada maija pirmajā pusē. Gala lēmums tomēr netika pieņemts. </w:t>
      </w:r>
      <w:r>
        <w:rPr>
          <w:rFonts w:eastAsia="Calibri" w:cs="Times New Roman"/>
          <w:color w:val="000000"/>
          <w:sz w:val="24"/>
        </w:rPr>
        <w:t>EK</w:t>
      </w:r>
      <w:r w:rsidRPr="000D2388">
        <w:rPr>
          <w:rFonts w:eastAsia="Calibri" w:cs="Times New Roman"/>
          <w:color w:val="000000"/>
          <w:sz w:val="24"/>
        </w:rPr>
        <w:t xml:space="preserve"> 2021. gada pavasara </w:t>
      </w:r>
      <w:proofErr w:type="spellStart"/>
      <w:r w:rsidRPr="000D2388">
        <w:rPr>
          <w:rFonts w:eastAsia="Calibri" w:cs="Times New Roman"/>
          <w:color w:val="000000"/>
          <w:sz w:val="24"/>
        </w:rPr>
        <w:t>pakotnes</w:t>
      </w:r>
      <w:proofErr w:type="spellEnd"/>
      <w:r w:rsidRPr="000D2388">
        <w:rPr>
          <w:rFonts w:eastAsia="Calibri" w:cs="Times New Roman"/>
          <w:color w:val="000000"/>
          <w:sz w:val="24"/>
        </w:rPr>
        <w:t xml:space="preserve"> komunikācijā apstiprināja, ka Stabilitātes un izaugsmes pakta vispārējā izņēmuma klauzula 2022. gadā tiek saglabāta, taču attiecībā uz 2023. gadu tā nevis pieņēma gala lēmumu, bet gan saglabāja iepriekš pausto, ka ir sagaidāms, ka tā tiks izbeigta sākot ar 2023. gadu. 2022. gada 2. martā </w:t>
      </w:r>
      <w:r>
        <w:rPr>
          <w:rFonts w:eastAsia="Calibri" w:cs="Times New Roman"/>
          <w:color w:val="000000"/>
          <w:sz w:val="24"/>
        </w:rPr>
        <w:t>EK</w:t>
      </w:r>
      <w:r w:rsidRPr="000D2388">
        <w:rPr>
          <w:rFonts w:eastAsia="Calibri" w:cs="Times New Roman"/>
          <w:color w:val="000000"/>
          <w:sz w:val="24"/>
        </w:rPr>
        <w:t xml:space="preserve"> publicēja fiskālās politikas vadlīnijas 2023.</w:t>
      </w:r>
      <w:r>
        <w:rPr>
          <w:rFonts w:eastAsia="Calibri" w:cs="Times New Roman"/>
          <w:color w:val="000000"/>
          <w:sz w:val="24"/>
        </w:rPr>
        <w:t xml:space="preserve"> </w:t>
      </w:r>
      <w:r w:rsidRPr="000D2388">
        <w:rPr>
          <w:rFonts w:eastAsia="Calibri" w:cs="Times New Roman"/>
          <w:color w:val="000000"/>
          <w:sz w:val="24"/>
        </w:rPr>
        <w:t>gadam. Tajā</w:t>
      </w:r>
      <w:r>
        <w:rPr>
          <w:rFonts w:eastAsia="Calibri" w:cs="Times New Roman"/>
          <w:color w:val="000000"/>
          <w:sz w:val="24"/>
        </w:rPr>
        <w:t>s</w:t>
      </w:r>
      <w:r w:rsidRPr="000D2388">
        <w:rPr>
          <w:rFonts w:eastAsia="Calibri" w:cs="Times New Roman"/>
          <w:color w:val="000000"/>
          <w:sz w:val="24"/>
        </w:rPr>
        <w:t xml:space="preserve"> norādīts, ka </w:t>
      </w:r>
      <w:r>
        <w:rPr>
          <w:rFonts w:eastAsia="Calibri" w:cs="Times New Roman"/>
          <w:color w:val="000000"/>
          <w:sz w:val="24"/>
        </w:rPr>
        <w:t>p</w:t>
      </w:r>
      <w:r w:rsidRPr="000D2388">
        <w:rPr>
          <w:rFonts w:eastAsia="Calibri" w:cs="Times New Roman"/>
          <w:color w:val="000000"/>
          <w:sz w:val="24"/>
        </w:rPr>
        <w:t xml:space="preserve">amatojoties uz </w:t>
      </w:r>
      <w:r>
        <w:rPr>
          <w:rFonts w:eastAsia="Calibri" w:cs="Times New Roman"/>
          <w:color w:val="000000"/>
          <w:sz w:val="24"/>
        </w:rPr>
        <w:t>EK</w:t>
      </w:r>
      <w:r w:rsidRPr="000D2388">
        <w:rPr>
          <w:rFonts w:eastAsia="Calibri" w:cs="Times New Roman"/>
          <w:color w:val="000000"/>
          <w:sz w:val="24"/>
        </w:rPr>
        <w:t xml:space="preserve"> 2022.</w:t>
      </w:r>
      <w:r>
        <w:rPr>
          <w:rFonts w:eastAsia="Calibri" w:cs="Times New Roman"/>
          <w:color w:val="000000"/>
          <w:sz w:val="24"/>
        </w:rPr>
        <w:t xml:space="preserve"> </w:t>
      </w:r>
      <w:r w:rsidRPr="000D2388">
        <w:rPr>
          <w:rFonts w:eastAsia="Calibri" w:cs="Times New Roman"/>
          <w:color w:val="000000"/>
          <w:sz w:val="24"/>
        </w:rPr>
        <w:t>gada ziemas prognozi, paredzams, ka klauzula tiks deaktivizēta no 2023.</w:t>
      </w:r>
      <w:r>
        <w:rPr>
          <w:rFonts w:eastAsia="Calibri" w:cs="Times New Roman"/>
          <w:color w:val="000000"/>
          <w:sz w:val="24"/>
        </w:rPr>
        <w:t xml:space="preserve"> </w:t>
      </w:r>
      <w:r w:rsidRPr="000D2388">
        <w:rPr>
          <w:rFonts w:eastAsia="Calibri" w:cs="Times New Roman"/>
          <w:color w:val="000000"/>
          <w:sz w:val="24"/>
        </w:rPr>
        <w:t>gada</w:t>
      </w:r>
      <w:r>
        <w:rPr>
          <w:rFonts w:eastAsia="Calibri" w:cs="Times New Roman"/>
          <w:color w:val="000000"/>
          <w:sz w:val="24"/>
        </w:rPr>
        <w:t>, t</w:t>
      </w:r>
      <w:r w:rsidRPr="000D2388">
        <w:rPr>
          <w:rFonts w:eastAsia="Calibri" w:cs="Times New Roman"/>
          <w:color w:val="000000"/>
          <w:sz w:val="24"/>
        </w:rPr>
        <w:t>omēr,</w:t>
      </w:r>
      <w:r w:rsidRPr="000D2388">
        <w:rPr>
          <w:sz w:val="24"/>
          <w:szCs w:val="20"/>
        </w:rPr>
        <w:t xml:space="preserve"> </w:t>
      </w:r>
      <w:r w:rsidRPr="000D2388">
        <w:rPr>
          <w:rFonts w:eastAsia="Calibri" w:cs="Times New Roman"/>
          <w:color w:val="000000"/>
          <w:sz w:val="24"/>
        </w:rPr>
        <w:t xml:space="preserve">ņemot vērā augsto nenoteiktību, tas tiks atkārtoti novērtēts, pamatojoties uz </w:t>
      </w:r>
      <w:r>
        <w:rPr>
          <w:rFonts w:eastAsia="Calibri" w:cs="Times New Roman"/>
          <w:color w:val="000000"/>
          <w:sz w:val="24"/>
        </w:rPr>
        <w:t>EK</w:t>
      </w:r>
      <w:r w:rsidRPr="000D2388">
        <w:rPr>
          <w:rFonts w:eastAsia="Calibri" w:cs="Times New Roman"/>
          <w:color w:val="000000"/>
          <w:sz w:val="24"/>
        </w:rPr>
        <w:t xml:space="preserve"> 202</w:t>
      </w:r>
      <w:r>
        <w:rPr>
          <w:rFonts w:eastAsia="Calibri" w:cs="Times New Roman"/>
          <w:color w:val="000000"/>
          <w:sz w:val="24"/>
        </w:rPr>
        <w:t>3</w:t>
      </w:r>
      <w:r w:rsidRPr="000D2388">
        <w:rPr>
          <w:rFonts w:eastAsia="Calibri" w:cs="Times New Roman"/>
          <w:color w:val="000000"/>
          <w:sz w:val="24"/>
        </w:rPr>
        <w:t>.gada pavasara prognozi.</w:t>
      </w:r>
      <w:r w:rsidRPr="00DC48A8">
        <w:rPr>
          <w:rFonts w:eastAsia="Calibri" w:cs="Times New Roman"/>
          <w:color w:val="000000"/>
          <w:sz w:val="24"/>
        </w:rPr>
        <w:t xml:space="preserve"> </w:t>
      </w:r>
      <w:r>
        <w:rPr>
          <w:rFonts w:eastAsia="Calibri" w:cs="Times New Roman"/>
          <w:color w:val="000000"/>
          <w:sz w:val="24"/>
        </w:rPr>
        <w:t>Š</w:t>
      </w:r>
      <w:r w:rsidR="000E1368">
        <w:rPr>
          <w:rFonts w:eastAsia="Calibri" w:cs="Times New Roman"/>
          <w:color w:val="000000"/>
          <w:sz w:val="24"/>
        </w:rPr>
        <w:t>ā gada</w:t>
      </w:r>
      <w:r>
        <w:rPr>
          <w:rFonts w:eastAsia="Calibri" w:cs="Times New Roman"/>
          <w:color w:val="000000"/>
          <w:sz w:val="24"/>
        </w:rPr>
        <w:t xml:space="preserve"> 8.</w:t>
      </w:r>
      <w:r w:rsidR="000E1368">
        <w:rPr>
          <w:rFonts w:eastAsia="Calibri" w:cs="Times New Roman"/>
          <w:color w:val="000000"/>
          <w:sz w:val="24"/>
        </w:rPr>
        <w:t xml:space="preserve"> </w:t>
      </w:r>
      <w:r>
        <w:rPr>
          <w:rFonts w:eastAsia="Calibri" w:cs="Times New Roman"/>
          <w:color w:val="000000"/>
          <w:sz w:val="24"/>
        </w:rPr>
        <w:t xml:space="preserve">martā </w:t>
      </w:r>
      <w:r w:rsidRPr="00A10C08">
        <w:rPr>
          <w:rFonts w:eastAsia="Calibri" w:cs="Times New Roman"/>
          <w:color w:val="000000"/>
          <w:sz w:val="24"/>
        </w:rPr>
        <w:t>EK publicēja fiskālās politikas vadlīnijas 202</w:t>
      </w:r>
      <w:r>
        <w:rPr>
          <w:rFonts w:eastAsia="Calibri" w:cs="Times New Roman"/>
          <w:color w:val="000000"/>
          <w:sz w:val="24"/>
        </w:rPr>
        <w:t>4</w:t>
      </w:r>
      <w:r w:rsidRPr="00A10C08">
        <w:rPr>
          <w:rFonts w:eastAsia="Calibri" w:cs="Times New Roman"/>
          <w:color w:val="000000"/>
          <w:sz w:val="24"/>
        </w:rPr>
        <w:t>. gadam</w:t>
      </w:r>
      <w:r>
        <w:rPr>
          <w:rFonts w:eastAsia="Calibri" w:cs="Times New Roman"/>
          <w:color w:val="000000"/>
          <w:sz w:val="24"/>
        </w:rPr>
        <w:t xml:space="preserve"> un aicina ņem tās vērā šogad sagatavojot Stabilitātes programmas. Tajās ir norādīts, ka ES ekonomika ir a</w:t>
      </w:r>
      <w:r w:rsidR="00A629E7">
        <w:rPr>
          <w:rFonts w:eastAsia="Calibri" w:cs="Times New Roman"/>
          <w:color w:val="000000"/>
          <w:sz w:val="24"/>
        </w:rPr>
        <w:t>t</w:t>
      </w:r>
      <w:r>
        <w:rPr>
          <w:rFonts w:eastAsia="Calibri" w:cs="Times New Roman"/>
          <w:color w:val="000000"/>
          <w:sz w:val="24"/>
        </w:rPr>
        <w:t>kopusies no Covid-19 krīzes un</w:t>
      </w:r>
      <w:r w:rsidR="00A629E7">
        <w:rPr>
          <w:rFonts w:eastAsia="Calibri" w:cs="Times New Roman"/>
          <w:color w:val="000000"/>
          <w:sz w:val="24"/>
        </w:rPr>
        <w:t>,</w:t>
      </w:r>
      <w:r>
        <w:rPr>
          <w:rFonts w:eastAsia="Calibri" w:cs="Times New Roman"/>
          <w:color w:val="000000"/>
          <w:sz w:val="24"/>
        </w:rPr>
        <w:t xml:space="preserve"> lai gan saglabājas liela nenoteiktība attiecībā uz Krievijas iebrukuma Ukrainā attīstību un sekām, vispārējā izņēmuma klauzula tiek atcelta sākot ar 2024.</w:t>
      </w:r>
      <w:r w:rsidR="00A629E7">
        <w:rPr>
          <w:rFonts w:eastAsia="Calibri" w:cs="Times New Roman"/>
          <w:color w:val="000000"/>
          <w:sz w:val="24"/>
        </w:rPr>
        <w:t xml:space="preserve"> </w:t>
      </w:r>
      <w:r>
        <w:rPr>
          <w:rFonts w:eastAsia="Calibri" w:cs="Times New Roman"/>
          <w:color w:val="000000"/>
          <w:sz w:val="24"/>
        </w:rPr>
        <w:t>gadu. Vēlāk pavasarī (provizoriski 2023.</w:t>
      </w:r>
      <w:r w:rsidR="00A629E7">
        <w:rPr>
          <w:rFonts w:eastAsia="Calibri" w:cs="Times New Roman"/>
          <w:color w:val="000000"/>
          <w:sz w:val="24"/>
        </w:rPr>
        <w:t xml:space="preserve"> </w:t>
      </w:r>
      <w:r>
        <w:rPr>
          <w:rFonts w:eastAsia="Calibri" w:cs="Times New Roman"/>
          <w:color w:val="000000"/>
          <w:sz w:val="24"/>
        </w:rPr>
        <w:t>gada maijā) tiks sagatavotas katrai valstij specifiskas fiskālas rekomendācijas, kas būs jāievēro sagatavojot Vispārējās valdības budžeta plāna projektus 2024.</w:t>
      </w:r>
      <w:r w:rsidR="00A629E7">
        <w:rPr>
          <w:rFonts w:eastAsia="Calibri" w:cs="Times New Roman"/>
          <w:color w:val="000000"/>
          <w:sz w:val="24"/>
        </w:rPr>
        <w:t xml:space="preserve"> </w:t>
      </w:r>
      <w:r>
        <w:rPr>
          <w:rFonts w:eastAsia="Calibri" w:cs="Times New Roman"/>
          <w:color w:val="000000"/>
          <w:sz w:val="24"/>
        </w:rPr>
        <w:t>gadam. Fiskālās rekomendācijas balstīsies uz Stabilitātes programmas noteiktajiem mērķiem.</w:t>
      </w:r>
    </w:p>
    <w:p w14:paraId="6C428384" w14:textId="77777777" w:rsidR="006A1FC0" w:rsidRDefault="006A1FC0" w:rsidP="006A1FC0">
      <w:pPr>
        <w:rPr>
          <w:rFonts w:eastAsia="Calibri" w:cs="Times New Roman"/>
          <w:color w:val="000000"/>
          <w:sz w:val="24"/>
        </w:rPr>
      </w:pPr>
    </w:p>
    <w:p w14:paraId="644B18A0" w14:textId="01E09BEC" w:rsidR="006A1FC0" w:rsidRDefault="006A1FC0" w:rsidP="006A1FC0">
      <w:pPr>
        <w:ind w:firstLine="709"/>
        <w:rPr>
          <w:rFonts w:eastAsia="Calibri" w:cs="Times New Roman"/>
          <w:color w:val="000000"/>
          <w:sz w:val="24"/>
        </w:rPr>
      </w:pPr>
      <w:r w:rsidRPr="00E66D48">
        <w:rPr>
          <w:rFonts w:eastAsia="Calibri" w:cs="Times New Roman"/>
          <w:color w:val="000000"/>
          <w:sz w:val="24"/>
        </w:rPr>
        <w:t>Latvijas fiskālās politikas stratēģij</w:t>
      </w:r>
      <w:r w:rsidRPr="00C652A3">
        <w:rPr>
          <w:rFonts w:eastAsia="Calibri" w:cs="Times New Roman"/>
          <w:color w:val="000000"/>
          <w:sz w:val="24"/>
        </w:rPr>
        <w:t xml:space="preserve">a </w:t>
      </w:r>
      <w:r>
        <w:rPr>
          <w:rFonts w:eastAsia="Calibri" w:cs="Times New Roman"/>
          <w:color w:val="000000"/>
          <w:sz w:val="24"/>
        </w:rPr>
        <w:t>2022. – 2025.</w:t>
      </w:r>
      <w:r w:rsidR="00A629E7">
        <w:rPr>
          <w:rFonts w:eastAsia="Calibri" w:cs="Times New Roman"/>
          <w:color w:val="000000"/>
          <w:sz w:val="24"/>
        </w:rPr>
        <w:t xml:space="preserve"> </w:t>
      </w:r>
      <w:r>
        <w:rPr>
          <w:rFonts w:eastAsia="Calibri" w:cs="Times New Roman"/>
          <w:color w:val="000000"/>
          <w:sz w:val="24"/>
        </w:rPr>
        <w:t>gad</w:t>
      </w:r>
      <w:r w:rsidR="00A629E7">
        <w:rPr>
          <w:rFonts w:eastAsia="Calibri" w:cs="Times New Roman"/>
          <w:color w:val="000000"/>
          <w:sz w:val="24"/>
        </w:rPr>
        <w:t>am</w:t>
      </w:r>
      <w:r w:rsidRPr="00C652A3">
        <w:rPr>
          <w:rFonts w:eastAsia="Calibri" w:cs="Times New Roman"/>
          <w:color w:val="000000"/>
          <w:sz w:val="24"/>
        </w:rPr>
        <w:t xml:space="preserve"> </w:t>
      </w:r>
      <w:r>
        <w:rPr>
          <w:rFonts w:eastAsia="Calibri" w:cs="Times New Roman"/>
          <w:color w:val="000000"/>
          <w:sz w:val="24"/>
        </w:rPr>
        <w:t xml:space="preserve">tika </w:t>
      </w:r>
      <w:r w:rsidRPr="00C652A3">
        <w:rPr>
          <w:rFonts w:eastAsia="Calibri" w:cs="Times New Roman"/>
          <w:color w:val="000000"/>
          <w:sz w:val="24"/>
        </w:rPr>
        <w:t>apstiprināta</w:t>
      </w:r>
      <w:r>
        <w:rPr>
          <w:rFonts w:eastAsia="Calibri" w:cs="Times New Roman"/>
          <w:color w:val="000000"/>
          <w:sz w:val="24"/>
        </w:rPr>
        <w:t xml:space="preserve"> s</w:t>
      </w:r>
      <w:r w:rsidRPr="00C652A3">
        <w:rPr>
          <w:rFonts w:eastAsia="Calibri" w:cs="Times New Roman"/>
          <w:color w:val="000000"/>
          <w:sz w:val="24"/>
        </w:rPr>
        <w:t xml:space="preserve">agatavojot </w:t>
      </w:r>
      <w:r>
        <w:rPr>
          <w:rFonts w:eastAsia="Calibri" w:cs="Times New Roman"/>
          <w:color w:val="000000"/>
          <w:sz w:val="24"/>
        </w:rPr>
        <w:t xml:space="preserve">iepriekšējo </w:t>
      </w:r>
      <w:r w:rsidRPr="00C652A3">
        <w:rPr>
          <w:rFonts w:eastAsia="Calibri" w:cs="Times New Roman"/>
          <w:color w:val="000000"/>
          <w:sz w:val="24"/>
        </w:rPr>
        <w:t>Stabilitātes programmu</w:t>
      </w:r>
      <w:r>
        <w:rPr>
          <w:rStyle w:val="FootnoteReference"/>
          <w:rFonts w:eastAsia="Calibri" w:cs="Times New Roman"/>
          <w:color w:val="000000"/>
        </w:rPr>
        <w:footnoteReference w:id="5"/>
      </w:r>
      <w:r>
        <w:rPr>
          <w:rFonts w:eastAsia="Calibri" w:cs="Times New Roman"/>
          <w:color w:val="000000"/>
          <w:sz w:val="24"/>
        </w:rPr>
        <w:t xml:space="preserve"> un tās mērķis ir noteikt politiku, lai atgrieztos pie fiskālajiem nosacījumiem atbilstoši </w:t>
      </w:r>
      <w:r w:rsidR="00A629E7">
        <w:rPr>
          <w:rFonts w:eastAsia="Calibri" w:cs="Times New Roman"/>
          <w:color w:val="000000"/>
          <w:sz w:val="24"/>
        </w:rPr>
        <w:t>FDL</w:t>
      </w:r>
      <w:r>
        <w:rPr>
          <w:rFonts w:eastAsia="Calibri" w:cs="Times New Roman"/>
          <w:color w:val="000000"/>
          <w:sz w:val="24"/>
        </w:rPr>
        <w:t xml:space="preserve">. </w:t>
      </w:r>
    </w:p>
    <w:p w14:paraId="2FFCA5E4" w14:textId="70B1D8CE" w:rsidR="006A1FC0" w:rsidRDefault="006A1FC0" w:rsidP="006A1FC0">
      <w:pPr>
        <w:ind w:firstLine="709"/>
        <w:rPr>
          <w:rFonts w:eastAsia="Calibri" w:cs="Times New Roman"/>
          <w:color w:val="000000"/>
          <w:sz w:val="24"/>
        </w:rPr>
      </w:pPr>
      <w:r>
        <w:rPr>
          <w:rFonts w:eastAsia="Calibri" w:cs="Times New Roman"/>
          <w:color w:val="000000"/>
          <w:sz w:val="24"/>
        </w:rPr>
        <w:t>Ja 2020</w:t>
      </w:r>
      <w:r w:rsidR="00A629E7">
        <w:rPr>
          <w:rFonts w:eastAsia="Calibri" w:cs="Times New Roman"/>
          <w:color w:val="000000"/>
          <w:sz w:val="24"/>
        </w:rPr>
        <w:t>.,</w:t>
      </w:r>
      <w:r>
        <w:rPr>
          <w:rFonts w:eastAsia="Calibri" w:cs="Times New Roman"/>
          <w:color w:val="000000"/>
          <w:sz w:val="24"/>
        </w:rPr>
        <w:t xml:space="preserve"> 2021</w:t>
      </w:r>
      <w:r w:rsidR="00A629E7">
        <w:rPr>
          <w:rFonts w:eastAsia="Calibri" w:cs="Times New Roman"/>
          <w:color w:val="000000"/>
          <w:sz w:val="24"/>
        </w:rPr>
        <w:t xml:space="preserve">. </w:t>
      </w:r>
      <w:r>
        <w:rPr>
          <w:rFonts w:eastAsia="Calibri" w:cs="Times New Roman"/>
          <w:color w:val="000000"/>
          <w:sz w:val="24"/>
        </w:rPr>
        <w:t>un 2022. gadā bija atcelti gan Stabilitātes un izaugsmes pakta fiskāli</w:t>
      </w:r>
      <w:r w:rsidR="00A629E7">
        <w:rPr>
          <w:rFonts w:eastAsia="Calibri" w:cs="Times New Roman"/>
          <w:color w:val="000000"/>
          <w:sz w:val="24"/>
        </w:rPr>
        <w:t>e</w:t>
      </w:r>
      <w:r>
        <w:rPr>
          <w:rFonts w:eastAsia="Calibri" w:cs="Times New Roman"/>
          <w:color w:val="000000"/>
          <w:sz w:val="24"/>
        </w:rPr>
        <w:t xml:space="preserve"> noteikumi, gan </w:t>
      </w:r>
      <w:r w:rsidR="00A629E7">
        <w:rPr>
          <w:rFonts w:eastAsia="Calibri" w:cs="Times New Roman"/>
          <w:color w:val="000000"/>
          <w:sz w:val="24"/>
        </w:rPr>
        <w:t>FDL</w:t>
      </w:r>
      <w:r>
        <w:rPr>
          <w:rFonts w:eastAsia="Calibri" w:cs="Times New Roman"/>
          <w:color w:val="000000"/>
          <w:sz w:val="24"/>
        </w:rPr>
        <w:t xml:space="preserve"> deficītu ierobežojošie noteikumi, 2023. gadā </w:t>
      </w:r>
      <w:r w:rsidR="00A629E7">
        <w:rPr>
          <w:rFonts w:eastAsia="Calibri" w:cs="Times New Roman"/>
          <w:color w:val="000000"/>
          <w:sz w:val="24"/>
        </w:rPr>
        <w:t>FDL</w:t>
      </w:r>
      <w:r>
        <w:rPr>
          <w:rFonts w:eastAsia="Calibri" w:cs="Times New Roman"/>
          <w:color w:val="000000"/>
          <w:sz w:val="24"/>
        </w:rPr>
        <w:t xml:space="preserve"> noteikumi tiek piemēroti pilnā apjomā, bet no 2024. gada līdz ar vispārējā izņēmuma klauzulas atcelšanu, spēkā ir Stabilitātes un izaugsmes pakta noteikumi.  </w:t>
      </w:r>
    </w:p>
    <w:p w14:paraId="0A74E7A9" w14:textId="77777777" w:rsidR="006A1FC0" w:rsidRDefault="006A1FC0" w:rsidP="00A629E7">
      <w:pPr>
        <w:spacing w:after="60"/>
        <w:ind w:firstLine="709"/>
        <w:rPr>
          <w:rFonts w:eastAsia="Calibri" w:cs="Times New Roman"/>
          <w:color w:val="000000"/>
          <w:sz w:val="24"/>
        </w:rPr>
      </w:pPr>
      <w:r>
        <w:rPr>
          <w:rFonts w:eastAsia="Calibri" w:cs="Times New Roman"/>
          <w:color w:val="000000"/>
          <w:sz w:val="24"/>
        </w:rPr>
        <w:t xml:space="preserve"> Fiskālās politikas stratēģijas pamatā ir divi pamatprincipi:</w:t>
      </w:r>
    </w:p>
    <w:p w14:paraId="41E7EAFA" w14:textId="52670C82" w:rsidR="006A1FC0" w:rsidRDefault="006A1FC0" w:rsidP="006A1FC0">
      <w:pPr>
        <w:pStyle w:val="ListParagraph"/>
        <w:numPr>
          <w:ilvl w:val="0"/>
          <w:numId w:val="36"/>
        </w:numPr>
        <w:rPr>
          <w:rFonts w:eastAsia="Calibri" w:cs="Times New Roman"/>
          <w:color w:val="000000"/>
          <w:sz w:val="24"/>
        </w:rPr>
      </w:pPr>
      <w:r>
        <w:rPr>
          <w:rFonts w:eastAsia="Calibri" w:cs="Times New Roman"/>
          <w:color w:val="000000"/>
          <w:sz w:val="24"/>
        </w:rPr>
        <w:t>Vispārējās valdības strukturālais deficīts tiek samazināts par 0,5% no IKP ik gadu līdz tas sasniedz 0,5% no IKP līmeni. Turpmāk tas tiek uzturēts minētajā līmenī</w:t>
      </w:r>
      <w:r w:rsidR="00A629E7">
        <w:rPr>
          <w:rFonts w:eastAsia="Calibri" w:cs="Times New Roman"/>
          <w:color w:val="000000"/>
          <w:sz w:val="24"/>
        </w:rPr>
        <w:t>;</w:t>
      </w:r>
    </w:p>
    <w:p w14:paraId="792E5594" w14:textId="19A1928D" w:rsidR="006A1FC0" w:rsidRPr="00C361A8" w:rsidRDefault="006A1FC0" w:rsidP="006A1FC0">
      <w:pPr>
        <w:pStyle w:val="ListParagraph"/>
        <w:numPr>
          <w:ilvl w:val="0"/>
          <w:numId w:val="36"/>
        </w:numPr>
        <w:rPr>
          <w:rFonts w:eastAsia="Calibri" w:cs="Times New Roman"/>
          <w:color w:val="000000"/>
          <w:sz w:val="24"/>
        </w:rPr>
      </w:pPr>
      <w:r>
        <w:rPr>
          <w:rFonts w:eastAsia="Calibri" w:cs="Times New Roman"/>
          <w:color w:val="000000"/>
          <w:sz w:val="24"/>
        </w:rPr>
        <w:t>Ar C</w:t>
      </w:r>
      <w:r w:rsidR="00A629E7">
        <w:rPr>
          <w:rFonts w:eastAsia="Calibri" w:cs="Times New Roman"/>
          <w:color w:val="000000"/>
          <w:sz w:val="24"/>
        </w:rPr>
        <w:t>ovid-</w:t>
      </w:r>
      <w:r>
        <w:rPr>
          <w:rFonts w:eastAsia="Calibri" w:cs="Times New Roman"/>
          <w:color w:val="000000"/>
          <w:sz w:val="24"/>
        </w:rPr>
        <w:t xml:space="preserve">19 un karu Ukrainā saistītie izdevumi tiek atzīti par vienreizējiem izdevumiem un tiek izslēgti no strukturālās bilances mērķa. </w:t>
      </w:r>
    </w:p>
    <w:p w14:paraId="7296F8AE" w14:textId="01BF82FE" w:rsidR="006A1FC0" w:rsidRDefault="006A1FC0" w:rsidP="00A629E7">
      <w:pPr>
        <w:rPr>
          <w:rFonts w:eastAsia="Calibri" w:cs="Times New Roman"/>
          <w:color w:val="000000"/>
          <w:sz w:val="24"/>
        </w:rPr>
      </w:pPr>
      <w:r>
        <w:rPr>
          <w:rFonts w:eastAsia="Calibri" w:cs="Times New Roman"/>
          <w:color w:val="000000"/>
          <w:sz w:val="24"/>
        </w:rPr>
        <w:lastRenderedPageBreak/>
        <w:t xml:space="preserve">Attiecīgi </w:t>
      </w:r>
      <w:r w:rsidRPr="00E66D48">
        <w:rPr>
          <w:rFonts w:eastAsia="Calibri" w:cs="Times New Roman"/>
          <w:color w:val="000000"/>
          <w:sz w:val="24"/>
        </w:rPr>
        <w:t>Fiskālās politikas stratēģija nošķir “miera laika” izdevumus</w:t>
      </w:r>
      <w:r w:rsidRPr="00C652A3">
        <w:rPr>
          <w:rFonts w:eastAsia="Calibri" w:cs="Times New Roman"/>
          <w:color w:val="000000"/>
          <w:sz w:val="24"/>
        </w:rPr>
        <w:t>, kuri sākot ar 2023.</w:t>
      </w:r>
      <w:r w:rsidR="00A629E7">
        <w:rPr>
          <w:rFonts w:eastAsia="Calibri" w:cs="Times New Roman"/>
          <w:color w:val="000000"/>
          <w:sz w:val="24"/>
        </w:rPr>
        <w:t xml:space="preserve"> </w:t>
      </w:r>
      <w:r w:rsidRPr="00C652A3">
        <w:rPr>
          <w:rFonts w:eastAsia="Calibri" w:cs="Times New Roman"/>
          <w:color w:val="000000"/>
          <w:sz w:val="24"/>
        </w:rPr>
        <w:t xml:space="preserve">gadu tiek finansēti fiskālo nosacījumu ietvaros, </w:t>
      </w:r>
      <w:r w:rsidRPr="00E66D48">
        <w:rPr>
          <w:rFonts w:eastAsia="Calibri" w:cs="Times New Roman"/>
          <w:color w:val="000000"/>
          <w:sz w:val="24"/>
        </w:rPr>
        <w:t>no “krīzes laika” izdevumiem</w:t>
      </w:r>
      <w:r w:rsidRPr="00C652A3">
        <w:rPr>
          <w:rFonts w:eastAsia="Calibri" w:cs="Times New Roman"/>
          <w:color w:val="000000"/>
          <w:sz w:val="24"/>
        </w:rPr>
        <w:t xml:space="preserve">, kurus </w:t>
      </w:r>
      <w:r>
        <w:rPr>
          <w:rFonts w:eastAsia="Calibri" w:cs="Times New Roman"/>
          <w:color w:val="000000"/>
          <w:sz w:val="24"/>
        </w:rPr>
        <w:t xml:space="preserve">finansē ārpus strukturālā deficīta mērķa. </w:t>
      </w:r>
    </w:p>
    <w:p w14:paraId="24CF0E7E" w14:textId="184903C7" w:rsidR="006A1FC0" w:rsidRDefault="006A1FC0" w:rsidP="00A629E7">
      <w:pPr>
        <w:spacing w:after="60"/>
        <w:rPr>
          <w:rFonts w:eastAsia="Calibri" w:cs="Times New Roman"/>
          <w:color w:val="000000"/>
          <w:sz w:val="24"/>
        </w:rPr>
      </w:pPr>
      <w:r>
        <w:rPr>
          <w:rFonts w:eastAsia="Calibri" w:cs="Times New Roman"/>
          <w:color w:val="000000"/>
          <w:sz w:val="24"/>
        </w:rPr>
        <w:t xml:space="preserve">Fiskālās politikas stratēģija nosaka šādas </w:t>
      </w:r>
      <w:r w:rsidR="00BC40EB">
        <w:rPr>
          <w:rFonts w:eastAsia="Calibri" w:cs="Times New Roman"/>
          <w:color w:val="000000"/>
          <w:sz w:val="24"/>
        </w:rPr>
        <w:t>MK</w:t>
      </w:r>
      <w:r>
        <w:rPr>
          <w:rFonts w:eastAsia="Calibri" w:cs="Times New Roman"/>
          <w:color w:val="000000"/>
          <w:sz w:val="24"/>
        </w:rPr>
        <w:t xml:space="preserve"> apstiprinātās  “krīzes laika” izdevumu kategorijas:</w:t>
      </w:r>
    </w:p>
    <w:p w14:paraId="366BC52D" w14:textId="77777777" w:rsidR="006A1FC0" w:rsidRPr="00AE642D" w:rsidRDefault="006A1FC0" w:rsidP="006A1FC0">
      <w:pPr>
        <w:pStyle w:val="ListParagraph"/>
        <w:numPr>
          <w:ilvl w:val="0"/>
          <w:numId w:val="37"/>
        </w:numPr>
        <w:rPr>
          <w:rFonts w:eastAsia="Calibri" w:cs="Times New Roman"/>
          <w:color w:val="000000"/>
          <w:sz w:val="24"/>
        </w:rPr>
      </w:pPr>
      <w:r w:rsidRPr="00721576">
        <w:rPr>
          <w:rFonts w:eastAsia="Calibri" w:cs="Times New Roman"/>
          <w:color w:val="000000"/>
          <w:sz w:val="24"/>
        </w:rPr>
        <w:t>izdevumi, kas saistīti ar Covid-19 pandēmijas negatīvo seku mazināšanu;</w:t>
      </w:r>
    </w:p>
    <w:p w14:paraId="5F781B2C" w14:textId="77777777" w:rsidR="006A1FC0" w:rsidRPr="00AE642D" w:rsidRDefault="006A1FC0" w:rsidP="006A1FC0">
      <w:pPr>
        <w:pStyle w:val="ListParagraph"/>
        <w:numPr>
          <w:ilvl w:val="0"/>
          <w:numId w:val="37"/>
        </w:numPr>
        <w:rPr>
          <w:rFonts w:eastAsia="Calibri" w:cs="Times New Roman"/>
          <w:color w:val="000000"/>
          <w:sz w:val="24"/>
        </w:rPr>
      </w:pPr>
      <w:r w:rsidRPr="00721576">
        <w:rPr>
          <w:rFonts w:eastAsia="Calibri" w:cs="Times New Roman"/>
          <w:color w:val="000000"/>
          <w:sz w:val="24"/>
        </w:rPr>
        <w:t>izdevumi, kas saistīti ar aizsardzības un iekšējās drošības finansējuma palielinājumu virs 2022. gada līmeņa;</w:t>
      </w:r>
    </w:p>
    <w:p w14:paraId="1DB7604C" w14:textId="4562056C" w:rsidR="006A1FC0" w:rsidRPr="00AE642D" w:rsidRDefault="006A1FC0" w:rsidP="006A1FC0">
      <w:pPr>
        <w:pStyle w:val="ListParagraph"/>
        <w:numPr>
          <w:ilvl w:val="0"/>
          <w:numId w:val="37"/>
        </w:numPr>
        <w:rPr>
          <w:rFonts w:eastAsia="Calibri" w:cs="Times New Roman"/>
          <w:color w:val="000000"/>
          <w:sz w:val="24"/>
        </w:rPr>
      </w:pPr>
      <w:r w:rsidRPr="00721576">
        <w:rPr>
          <w:rFonts w:eastAsia="Calibri" w:cs="Times New Roman"/>
          <w:color w:val="000000"/>
          <w:sz w:val="24"/>
        </w:rPr>
        <w:t xml:space="preserve">izdevumi, kas saistīti ar enerģijas cenu būtiskā pieauguma  kompensācijas pasākumiem 2021. un 2022. gadā, ir uzskatāmi par vienreizējiem pasākumiem vispārējās valdības budžeta strukturālās bilances aprēķinā </w:t>
      </w:r>
      <w:r w:rsidR="00BC40EB">
        <w:rPr>
          <w:rFonts w:eastAsia="Calibri" w:cs="Times New Roman"/>
          <w:color w:val="000000"/>
          <w:sz w:val="24"/>
        </w:rPr>
        <w:t>FDL</w:t>
      </w:r>
      <w:r w:rsidRPr="00721576">
        <w:rPr>
          <w:rFonts w:eastAsia="Calibri" w:cs="Times New Roman"/>
          <w:color w:val="000000"/>
          <w:sz w:val="24"/>
        </w:rPr>
        <w:t xml:space="preserve"> 5. panta trešās daļas 3. punkta izpratnē. Turpmākajos gados šie izdevumi ir atzīstami par vienreizējiem pasākumiem, ja enerģijas cenu kāpums atbilstoši Eiropas Parlamenta un Padomes 2011. gada 16. novembra regulas Nr. 1175/2011, ar ko groza Padomes Regulu (EK) Nr. 1466/97 par budžeta stāvokļa uzraudzības un ekonomikas politikas uzraudzības un koordinācijas stiprināšanu 5. panta pirmajai daļai  ir uzskatāms par "ārkārtējiem apstākļiem, ko attiecīgā dalībvalsts nevar kontrolēt un kam turklāt ir liela ietekme uz vispārējās valdības finansiālo stāvokli".</w:t>
      </w:r>
    </w:p>
    <w:p w14:paraId="1EF5FA02" w14:textId="77777777" w:rsidR="006A1FC0" w:rsidRPr="00AE642D" w:rsidRDefault="006A1FC0" w:rsidP="006A1FC0">
      <w:pPr>
        <w:pStyle w:val="ListParagraph"/>
        <w:numPr>
          <w:ilvl w:val="0"/>
          <w:numId w:val="37"/>
        </w:numPr>
        <w:rPr>
          <w:rFonts w:eastAsia="Calibri" w:cs="Times New Roman"/>
          <w:color w:val="000000"/>
          <w:sz w:val="24"/>
        </w:rPr>
      </w:pPr>
      <w:r w:rsidRPr="00721576">
        <w:rPr>
          <w:rFonts w:eastAsia="Calibri" w:cs="Times New Roman"/>
          <w:color w:val="000000"/>
          <w:sz w:val="24"/>
        </w:rPr>
        <w:t>izdevumus, kas saistīti ar atbalsta pasākumiem cilvēkiem, kas Krievijas iebrukuma dēļ bēg no Ukrainas.</w:t>
      </w:r>
    </w:p>
    <w:p w14:paraId="5082ECE2" w14:textId="77777777" w:rsidR="006A1FC0" w:rsidRDefault="006A1FC0" w:rsidP="006A1FC0">
      <w:pPr>
        <w:ind w:firstLine="709"/>
        <w:rPr>
          <w:rFonts w:eastAsia="Calibri" w:cs="Times New Roman"/>
          <w:color w:val="000000"/>
          <w:sz w:val="24"/>
        </w:rPr>
      </w:pPr>
    </w:p>
    <w:p w14:paraId="49C676F0" w14:textId="7DBEC012" w:rsidR="006A1FC0" w:rsidRDefault="006A1FC0" w:rsidP="006A1FC0">
      <w:pPr>
        <w:ind w:firstLine="709"/>
        <w:rPr>
          <w:rFonts w:eastAsia="Calibri" w:cs="Times New Roman"/>
          <w:color w:val="000000"/>
          <w:sz w:val="24"/>
        </w:rPr>
      </w:pPr>
      <w:r w:rsidRPr="000800F9">
        <w:rPr>
          <w:rFonts w:eastAsia="Calibri" w:cs="Times New Roman"/>
          <w:color w:val="000000"/>
          <w:sz w:val="24"/>
        </w:rPr>
        <w:t>Jāatzīmē, ka šāds dalījums tiek veikts Latvijas fiskālās stratēģijas ietvaros. Stabilitātes</w:t>
      </w:r>
      <w:r>
        <w:rPr>
          <w:rFonts w:eastAsia="Calibri" w:cs="Times New Roman"/>
          <w:color w:val="000000"/>
          <w:sz w:val="24"/>
        </w:rPr>
        <w:t xml:space="preserve"> un izaugsmes pakta tiesiskais regulējums šādu dalījumu neparedz un visi izdevumi tiek iekļauti strukturālās bilances aprēķinā. Līdz ar to vispārējās valdības budžeta strukturālais deficīts tiek aprēķināts atšķirīgi – </w:t>
      </w:r>
      <w:r w:rsidR="009D59E2">
        <w:rPr>
          <w:rFonts w:eastAsia="Calibri" w:cs="Times New Roman"/>
          <w:color w:val="000000"/>
          <w:sz w:val="24"/>
        </w:rPr>
        <w:t>FDL</w:t>
      </w:r>
      <w:r>
        <w:rPr>
          <w:rFonts w:eastAsia="Calibri" w:cs="Times New Roman"/>
          <w:color w:val="000000"/>
          <w:sz w:val="24"/>
        </w:rPr>
        <w:t xml:space="preserve"> noteikum</w:t>
      </w:r>
      <w:r w:rsidR="009D59E2">
        <w:rPr>
          <w:rFonts w:eastAsia="Calibri" w:cs="Times New Roman"/>
          <w:color w:val="000000"/>
          <w:sz w:val="24"/>
        </w:rPr>
        <w:t>u</w:t>
      </w:r>
      <w:r>
        <w:rPr>
          <w:rFonts w:eastAsia="Calibri" w:cs="Times New Roman"/>
          <w:color w:val="000000"/>
          <w:sz w:val="24"/>
        </w:rPr>
        <w:t xml:space="preserve"> ievērošanai tiek izmantots nacionāli noteiktais strukturālais deficīts (izslēdzot “krīzes laika” izdevumus) un – Stabilitātes un izaugsmes pakta noteikumu ievērošanai tiek izmantots pēc ES metodoloģijas noteiktais strukturālais deficīts (ietverot arī “krīzes laika” izdevumus).</w:t>
      </w:r>
    </w:p>
    <w:p w14:paraId="5DCDB10C" w14:textId="3D2BF93C" w:rsidR="006A1FC0" w:rsidRDefault="006A1FC0" w:rsidP="006A1FC0">
      <w:pPr>
        <w:ind w:firstLine="709"/>
        <w:rPr>
          <w:rFonts w:eastAsia="Calibri" w:cs="Times New Roman"/>
          <w:color w:val="000000"/>
          <w:sz w:val="24"/>
        </w:rPr>
      </w:pPr>
      <w:r>
        <w:rPr>
          <w:rFonts w:eastAsia="Calibri" w:cs="Times New Roman"/>
          <w:color w:val="000000"/>
          <w:sz w:val="24"/>
        </w:rPr>
        <w:t xml:space="preserve">Šis apstāklis rada atšķirības “krīzes laika” izdevumu apjoma noteikšanā 2023. gadā un turpmākajos gados. 2023. gadā apjomam nebija ierobežojumi, jo šajā gadā spēkā ir </w:t>
      </w:r>
      <w:r w:rsidR="009D59E2">
        <w:rPr>
          <w:rFonts w:eastAsia="Calibri" w:cs="Times New Roman"/>
          <w:color w:val="000000"/>
          <w:sz w:val="24"/>
        </w:rPr>
        <w:t>FDL</w:t>
      </w:r>
      <w:r>
        <w:rPr>
          <w:rFonts w:eastAsia="Calibri" w:cs="Times New Roman"/>
          <w:color w:val="000000"/>
          <w:sz w:val="24"/>
        </w:rPr>
        <w:t xml:space="preserve"> noteikumi, bet ES fiskālie noteikumi strukturālā deficīta ierobežošanai ir atcelti. </w:t>
      </w:r>
      <w:r w:rsidR="009D59E2">
        <w:rPr>
          <w:rFonts w:eastAsia="Calibri" w:cs="Times New Roman"/>
          <w:color w:val="000000"/>
          <w:sz w:val="24"/>
        </w:rPr>
        <w:t xml:space="preserve">Savukārt </w:t>
      </w:r>
      <w:r>
        <w:rPr>
          <w:rFonts w:eastAsia="Calibri" w:cs="Times New Roman"/>
          <w:color w:val="000000"/>
          <w:sz w:val="24"/>
        </w:rPr>
        <w:t xml:space="preserve">2024. gadā spēkā ir gan </w:t>
      </w:r>
      <w:r w:rsidR="000800F9">
        <w:rPr>
          <w:rFonts w:eastAsia="Calibri" w:cs="Times New Roman"/>
          <w:color w:val="000000"/>
          <w:sz w:val="24"/>
        </w:rPr>
        <w:t>FDL</w:t>
      </w:r>
      <w:r>
        <w:rPr>
          <w:rFonts w:eastAsia="Calibri" w:cs="Times New Roman"/>
          <w:color w:val="000000"/>
          <w:sz w:val="24"/>
        </w:rPr>
        <w:t xml:space="preserve"> noteikumi, gan Stabilitātes un izaugsmes pakta noteikumi, kas paredz, ka strukturālais deficīts tiek samazināts par 0,5% no IKP gadā līdz tas sasniedz vidēja termiņā </w:t>
      </w:r>
      <w:r w:rsidRPr="00845A08">
        <w:rPr>
          <w:rFonts w:eastAsia="Calibri" w:cs="Times New Roman"/>
          <w:color w:val="000000"/>
          <w:sz w:val="24"/>
        </w:rPr>
        <w:t>mērķi,</w:t>
      </w:r>
      <w:r>
        <w:rPr>
          <w:rFonts w:eastAsia="Calibri" w:cs="Times New Roman"/>
          <w:color w:val="000000"/>
          <w:sz w:val="24"/>
        </w:rPr>
        <w:t xml:space="preserve"> kas Latvijai ir -1% no IKP. Minētais apstāklis uzliek ierobežojumu “krīze laika”  izdevumu apmēram 2024. gadā un turpmākajos gados.</w:t>
      </w:r>
    </w:p>
    <w:p w14:paraId="370E0DB9" w14:textId="4AED30CF" w:rsidR="006A1FC0" w:rsidRPr="00E66D48" w:rsidRDefault="006A1FC0" w:rsidP="000800F9">
      <w:pPr>
        <w:spacing w:after="60"/>
        <w:ind w:firstLine="709"/>
        <w:rPr>
          <w:rFonts w:eastAsia="Calibri" w:cs="Times New Roman"/>
          <w:color w:val="000000"/>
          <w:sz w:val="24"/>
        </w:rPr>
      </w:pPr>
      <w:r>
        <w:rPr>
          <w:rFonts w:eastAsia="Calibri" w:cs="Times New Roman"/>
          <w:color w:val="000000"/>
          <w:sz w:val="24"/>
        </w:rPr>
        <w:t>Jāatzīmē arī, ka “krīzes laika”</w:t>
      </w:r>
      <w:r w:rsidR="000800F9">
        <w:rPr>
          <w:rFonts w:eastAsia="Calibri" w:cs="Times New Roman"/>
          <w:color w:val="000000"/>
          <w:sz w:val="24"/>
        </w:rPr>
        <w:t xml:space="preserve"> </w:t>
      </w:r>
      <w:r>
        <w:rPr>
          <w:rFonts w:eastAsia="Calibri" w:cs="Times New Roman"/>
          <w:color w:val="000000"/>
          <w:sz w:val="24"/>
        </w:rPr>
        <w:t xml:space="preserve">izdevumu apjomu un faktiskos šajā kategorijā iekļaujamos izdevumus nosaka kārtējais likums par valsts budžetu un </w:t>
      </w:r>
      <w:r w:rsidR="000800F9">
        <w:rPr>
          <w:rFonts w:eastAsia="Calibri" w:cs="Times New Roman"/>
          <w:color w:val="000000"/>
          <w:sz w:val="24"/>
        </w:rPr>
        <w:t xml:space="preserve">vidēja termiņa </w:t>
      </w:r>
      <w:r>
        <w:rPr>
          <w:rFonts w:eastAsia="Calibri" w:cs="Times New Roman"/>
          <w:color w:val="000000"/>
          <w:sz w:val="24"/>
        </w:rPr>
        <w:t xml:space="preserve">budžeta ietvaru. </w:t>
      </w:r>
      <w:r w:rsidRPr="00E66D48">
        <w:rPr>
          <w:rFonts w:eastAsia="Calibri" w:cs="Times New Roman"/>
          <w:color w:val="000000"/>
          <w:sz w:val="24"/>
        </w:rPr>
        <w:t>Ar likumu “Par valsts budžetu 2023. gadam un budžeta ietvaru 2023., 2024. un 2025. gadam” tik</w:t>
      </w:r>
      <w:r w:rsidRPr="00C652A3">
        <w:rPr>
          <w:rFonts w:eastAsia="Calibri" w:cs="Times New Roman"/>
          <w:color w:val="000000"/>
          <w:sz w:val="24"/>
        </w:rPr>
        <w:t>a</w:t>
      </w:r>
      <w:r w:rsidRPr="00E66D48">
        <w:rPr>
          <w:rFonts w:eastAsia="Calibri" w:cs="Times New Roman"/>
          <w:color w:val="000000"/>
          <w:sz w:val="24"/>
        </w:rPr>
        <w:t xml:space="preserve"> noteikts, ka no vispārējās valdības budžeta strukturālās bilances mērķa tiek izslēgti šādi </w:t>
      </w:r>
      <w:r>
        <w:rPr>
          <w:rFonts w:eastAsia="Calibri" w:cs="Times New Roman"/>
          <w:color w:val="000000"/>
          <w:sz w:val="24"/>
        </w:rPr>
        <w:t>“krīzes laika” izdevumi</w:t>
      </w:r>
      <w:r w:rsidRPr="00E66D48">
        <w:rPr>
          <w:rFonts w:eastAsia="Calibri" w:cs="Times New Roman"/>
          <w:color w:val="000000"/>
          <w:sz w:val="24"/>
        </w:rPr>
        <w:t xml:space="preserve"> (vienreizējie</w:t>
      </w:r>
      <w:r>
        <w:rPr>
          <w:rFonts w:eastAsia="Calibri" w:cs="Times New Roman"/>
          <w:color w:val="000000"/>
          <w:sz w:val="24"/>
        </w:rPr>
        <w:t>/</w:t>
      </w:r>
      <w:proofErr w:type="spellStart"/>
      <w:r w:rsidRPr="00805038">
        <w:rPr>
          <w:rFonts w:eastAsia="Calibri" w:cs="Times New Roman"/>
          <w:i/>
          <w:iCs/>
          <w:color w:val="000000"/>
          <w:sz w:val="24"/>
        </w:rPr>
        <w:t>one-off</w:t>
      </w:r>
      <w:proofErr w:type="spellEnd"/>
      <w:r w:rsidRPr="00E66D48">
        <w:rPr>
          <w:rFonts w:eastAsia="Calibri" w:cs="Times New Roman"/>
          <w:color w:val="000000"/>
          <w:sz w:val="24"/>
        </w:rPr>
        <w:t xml:space="preserve"> pasākumi):</w:t>
      </w:r>
    </w:p>
    <w:p w14:paraId="31314F6B" w14:textId="77777777" w:rsidR="006A1FC0" w:rsidRPr="00E66D48" w:rsidRDefault="006A1FC0" w:rsidP="006A1FC0">
      <w:pPr>
        <w:ind w:firstLine="709"/>
        <w:rPr>
          <w:rFonts w:eastAsia="Calibri" w:cs="Times New Roman"/>
          <w:color w:val="000000"/>
          <w:sz w:val="24"/>
        </w:rPr>
      </w:pPr>
      <w:r w:rsidRPr="00E66D48">
        <w:rPr>
          <w:rFonts w:eastAsia="Calibri" w:cs="Times New Roman"/>
          <w:color w:val="000000"/>
          <w:sz w:val="24"/>
        </w:rPr>
        <w:t>1) vienreizējie izdevumi, kas saistīti ar Covid-19 pandēmijas negatīvo seku mazināšanu;</w:t>
      </w:r>
    </w:p>
    <w:p w14:paraId="4BC09436" w14:textId="77777777" w:rsidR="006A1FC0" w:rsidRPr="00E66D48" w:rsidRDefault="006A1FC0" w:rsidP="006A1FC0">
      <w:pPr>
        <w:ind w:firstLine="709"/>
        <w:rPr>
          <w:rFonts w:eastAsia="Calibri" w:cs="Times New Roman"/>
          <w:color w:val="000000"/>
          <w:sz w:val="24"/>
        </w:rPr>
      </w:pPr>
      <w:r w:rsidRPr="00E66D48">
        <w:rPr>
          <w:rFonts w:eastAsia="Calibri" w:cs="Times New Roman"/>
          <w:color w:val="000000"/>
          <w:sz w:val="24"/>
        </w:rPr>
        <w:t>2) vienreizējie izdevumi valsts aizsardzībai un iekšējai drošībai:</w:t>
      </w:r>
    </w:p>
    <w:p w14:paraId="3602BB60" w14:textId="77777777" w:rsidR="006A1FC0" w:rsidRPr="00E66D48" w:rsidRDefault="006A1FC0" w:rsidP="006A1FC0">
      <w:pPr>
        <w:numPr>
          <w:ilvl w:val="0"/>
          <w:numId w:val="35"/>
        </w:numPr>
        <w:rPr>
          <w:rFonts w:eastAsia="Calibri" w:cs="Times New Roman"/>
          <w:color w:val="000000"/>
          <w:sz w:val="24"/>
        </w:rPr>
      </w:pPr>
      <w:r w:rsidRPr="00E66D48">
        <w:rPr>
          <w:rFonts w:eastAsia="Calibri" w:cs="Times New Roman"/>
          <w:color w:val="000000"/>
          <w:sz w:val="24"/>
        </w:rPr>
        <w:t>investīcijām valsts sabiedrības ar ierobežotu atbildību “Latvijas Televīzija” darbības nepārtrauktības nodrošināšanai valsts ārējā apdraudējuma gadījumā;</w:t>
      </w:r>
    </w:p>
    <w:p w14:paraId="21DB30F6" w14:textId="77777777" w:rsidR="006A1FC0" w:rsidRPr="00E66D48" w:rsidRDefault="006A1FC0" w:rsidP="006A1FC0">
      <w:pPr>
        <w:numPr>
          <w:ilvl w:val="0"/>
          <w:numId w:val="35"/>
        </w:numPr>
        <w:rPr>
          <w:rFonts w:eastAsia="Calibri" w:cs="Times New Roman"/>
          <w:color w:val="000000"/>
          <w:sz w:val="24"/>
        </w:rPr>
      </w:pPr>
      <w:r w:rsidRPr="00E66D48">
        <w:rPr>
          <w:rFonts w:eastAsia="Calibri" w:cs="Times New Roman"/>
          <w:color w:val="000000"/>
          <w:sz w:val="24"/>
        </w:rPr>
        <w:t>valsts robežas infrastruktūras izveidei un investīcijām valsts drošības iestāžu stiprināšanā;</w:t>
      </w:r>
    </w:p>
    <w:p w14:paraId="70F21419" w14:textId="77777777" w:rsidR="006A1FC0" w:rsidRPr="00E66D48" w:rsidRDefault="006A1FC0" w:rsidP="006A1FC0">
      <w:pPr>
        <w:numPr>
          <w:ilvl w:val="0"/>
          <w:numId w:val="35"/>
        </w:numPr>
        <w:rPr>
          <w:rFonts w:eastAsia="Calibri" w:cs="Times New Roman"/>
          <w:color w:val="000000"/>
          <w:sz w:val="24"/>
        </w:rPr>
      </w:pPr>
      <w:r w:rsidRPr="00E66D48">
        <w:rPr>
          <w:rFonts w:eastAsia="Calibri" w:cs="Times New Roman"/>
          <w:color w:val="000000"/>
          <w:sz w:val="24"/>
        </w:rPr>
        <w:t>valsts aizsardzības spēju stiprināšanai;</w:t>
      </w:r>
    </w:p>
    <w:p w14:paraId="11F9EEE8" w14:textId="77777777" w:rsidR="006A1FC0" w:rsidRPr="00E66D48" w:rsidRDefault="006A1FC0" w:rsidP="006A1FC0">
      <w:pPr>
        <w:numPr>
          <w:ilvl w:val="0"/>
          <w:numId w:val="35"/>
        </w:numPr>
        <w:rPr>
          <w:rFonts w:eastAsia="Calibri" w:cs="Times New Roman"/>
          <w:color w:val="000000"/>
          <w:sz w:val="24"/>
        </w:rPr>
      </w:pPr>
      <w:r w:rsidRPr="00E66D48">
        <w:rPr>
          <w:rFonts w:eastAsia="Calibri" w:cs="Times New Roman"/>
          <w:color w:val="000000"/>
          <w:sz w:val="24"/>
        </w:rPr>
        <w:t>speciālo ugunsdzēsības un glābšanas transportlīdzekļu iegādei;</w:t>
      </w:r>
    </w:p>
    <w:p w14:paraId="3C4EFC72" w14:textId="00CDA17F" w:rsidR="006A1FC0" w:rsidRPr="00E66D48" w:rsidRDefault="006A1FC0" w:rsidP="006A1FC0">
      <w:pPr>
        <w:numPr>
          <w:ilvl w:val="0"/>
          <w:numId w:val="35"/>
        </w:numPr>
        <w:rPr>
          <w:rFonts w:eastAsia="Calibri" w:cs="Times New Roman"/>
          <w:color w:val="000000"/>
          <w:sz w:val="24"/>
        </w:rPr>
      </w:pPr>
      <w:r w:rsidRPr="00E66D48">
        <w:rPr>
          <w:rFonts w:eastAsia="Calibri" w:cs="Times New Roman"/>
          <w:color w:val="000000"/>
          <w:sz w:val="24"/>
        </w:rPr>
        <w:lastRenderedPageBreak/>
        <w:t xml:space="preserve">Valsts ugunsdzēsības un glābšanas dienesta depo </w:t>
      </w:r>
      <w:r w:rsidR="004A6B6D">
        <w:rPr>
          <w:rFonts w:eastAsia="Calibri" w:cs="Times New Roman"/>
          <w:color w:val="000000"/>
          <w:sz w:val="24"/>
        </w:rPr>
        <w:t>–</w:t>
      </w:r>
      <w:r w:rsidRPr="00E66D48">
        <w:rPr>
          <w:rFonts w:eastAsia="Calibri" w:cs="Times New Roman"/>
          <w:color w:val="000000"/>
          <w:sz w:val="24"/>
        </w:rPr>
        <w:t xml:space="preserve"> katastrofu pārvaldības centru izbūvei;</w:t>
      </w:r>
    </w:p>
    <w:p w14:paraId="3D3763CD" w14:textId="77777777" w:rsidR="006A1FC0" w:rsidRPr="00E66D48" w:rsidRDefault="006A1FC0" w:rsidP="006A1FC0">
      <w:pPr>
        <w:numPr>
          <w:ilvl w:val="0"/>
          <w:numId w:val="35"/>
        </w:numPr>
        <w:rPr>
          <w:rFonts w:eastAsia="Calibri" w:cs="Times New Roman"/>
          <w:color w:val="000000"/>
          <w:sz w:val="24"/>
        </w:rPr>
      </w:pPr>
      <w:r w:rsidRPr="00E66D48">
        <w:rPr>
          <w:rFonts w:eastAsia="Calibri" w:cs="Times New Roman"/>
          <w:color w:val="000000"/>
          <w:sz w:val="24"/>
        </w:rPr>
        <w:t>iedzīvotāju nodrošināšanai ar pirmās nepieciešamības rūpniecības precēm valsts apdraudējuma gadījumā;</w:t>
      </w:r>
    </w:p>
    <w:p w14:paraId="10FC86C4" w14:textId="77777777" w:rsidR="006A1FC0" w:rsidRPr="00E66D48" w:rsidRDefault="006A1FC0" w:rsidP="006A1FC0">
      <w:pPr>
        <w:numPr>
          <w:ilvl w:val="0"/>
          <w:numId w:val="35"/>
        </w:numPr>
        <w:rPr>
          <w:rFonts w:eastAsia="Calibri" w:cs="Times New Roman"/>
          <w:color w:val="000000"/>
          <w:sz w:val="24"/>
        </w:rPr>
      </w:pPr>
      <w:proofErr w:type="spellStart"/>
      <w:r w:rsidRPr="00E66D48">
        <w:rPr>
          <w:rFonts w:eastAsia="Calibri" w:cs="Times New Roman"/>
          <w:color w:val="000000"/>
          <w:sz w:val="24"/>
        </w:rPr>
        <w:t>kiberdrošības</w:t>
      </w:r>
      <w:proofErr w:type="spellEnd"/>
      <w:r w:rsidRPr="00E66D48">
        <w:rPr>
          <w:rFonts w:eastAsia="Calibri" w:cs="Times New Roman"/>
          <w:color w:val="000000"/>
          <w:sz w:val="24"/>
        </w:rPr>
        <w:t xml:space="preserve"> stiprināšanai;</w:t>
      </w:r>
    </w:p>
    <w:p w14:paraId="42CAD822" w14:textId="77777777" w:rsidR="006A1FC0" w:rsidRPr="00E66D48" w:rsidRDefault="006A1FC0" w:rsidP="006A1FC0">
      <w:pPr>
        <w:numPr>
          <w:ilvl w:val="0"/>
          <w:numId w:val="35"/>
        </w:numPr>
        <w:rPr>
          <w:rFonts w:eastAsia="Calibri" w:cs="Times New Roman"/>
          <w:color w:val="000000"/>
          <w:sz w:val="24"/>
        </w:rPr>
      </w:pPr>
      <w:r w:rsidRPr="00E66D48">
        <w:rPr>
          <w:rFonts w:eastAsia="Calibri" w:cs="Times New Roman"/>
          <w:color w:val="000000"/>
          <w:sz w:val="24"/>
        </w:rPr>
        <w:t xml:space="preserve">Valsts policijas Rīgas reģiona pārvaldes struktūrvienību nodrošināšanai ar atbilstošām telpām;  </w:t>
      </w:r>
    </w:p>
    <w:p w14:paraId="7AD25C67" w14:textId="77777777" w:rsidR="006A1FC0" w:rsidRPr="00E66D48" w:rsidRDefault="006A1FC0" w:rsidP="006A1FC0">
      <w:pPr>
        <w:ind w:firstLine="709"/>
        <w:rPr>
          <w:rFonts w:eastAsia="Calibri" w:cs="Times New Roman"/>
          <w:color w:val="000000"/>
          <w:sz w:val="24"/>
        </w:rPr>
      </w:pPr>
      <w:r w:rsidRPr="00E66D48">
        <w:rPr>
          <w:rFonts w:eastAsia="Calibri" w:cs="Times New Roman"/>
          <w:color w:val="000000"/>
          <w:sz w:val="24"/>
        </w:rPr>
        <w:t>3) vienreizējie izdevumi enerģijas cenu būtiskā pieauguma kompensācijai;</w:t>
      </w:r>
    </w:p>
    <w:p w14:paraId="732FC344" w14:textId="77777777" w:rsidR="006A1FC0" w:rsidRPr="00E66D48" w:rsidRDefault="006A1FC0" w:rsidP="006A1FC0">
      <w:pPr>
        <w:ind w:firstLine="709"/>
        <w:rPr>
          <w:rFonts w:eastAsia="Calibri" w:cs="Times New Roman"/>
          <w:color w:val="000000"/>
          <w:sz w:val="24"/>
        </w:rPr>
      </w:pPr>
      <w:r w:rsidRPr="00E66D48">
        <w:rPr>
          <w:rFonts w:eastAsia="Calibri" w:cs="Times New Roman"/>
          <w:color w:val="000000"/>
          <w:sz w:val="24"/>
        </w:rPr>
        <w:t>4) vienreizējie izdevumi Ukrainas civiliedzīvotāju atbalstam Latvijā;</w:t>
      </w:r>
    </w:p>
    <w:p w14:paraId="0A62FE9E" w14:textId="77777777" w:rsidR="006A1FC0" w:rsidRPr="00E66D48" w:rsidRDefault="006A1FC0" w:rsidP="006A1FC0">
      <w:pPr>
        <w:ind w:firstLine="709"/>
        <w:rPr>
          <w:rFonts w:eastAsia="Calibri" w:cs="Times New Roman"/>
          <w:color w:val="000000"/>
          <w:sz w:val="24"/>
        </w:rPr>
      </w:pPr>
      <w:r w:rsidRPr="00E66D48">
        <w:rPr>
          <w:rFonts w:eastAsia="Calibri" w:cs="Times New Roman"/>
          <w:color w:val="000000"/>
          <w:sz w:val="24"/>
        </w:rPr>
        <w:t>5) vienreizēji izdevumi Ukrainas atbalstam;</w:t>
      </w:r>
    </w:p>
    <w:p w14:paraId="12CEB111" w14:textId="77777777" w:rsidR="006A1FC0" w:rsidRPr="00E66D48" w:rsidRDefault="006A1FC0" w:rsidP="006A1FC0">
      <w:pPr>
        <w:ind w:firstLine="709"/>
        <w:rPr>
          <w:rFonts w:eastAsia="Calibri" w:cs="Times New Roman"/>
          <w:color w:val="000000"/>
          <w:sz w:val="24"/>
        </w:rPr>
      </w:pPr>
      <w:r w:rsidRPr="00E66D48">
        <w:rPr>
          <w:rFonts w:eastAsia="Calibri" w:cs="Times New Roman"/>
          <w:color w:val="000000"/>
          <w:sz w:val="24"/>
        </w:rPr>
        <w:t xml:space="preserve">6) valsts aizsardzības bāzes izdevumu pieaugums pret iepriekšējo gadu 100% apmērā. Pirmajā gadā pēc pieauguma 80% apmērā, otrajā gadā pēc pieauguma 60% apmērā, trešajā gadā pēc pieauguma 40% apmērā un ceturtajā gadā pēc pieauguma 20% apmērā. </w:t>
      </w:r>
    </w:p>
    <w:p w14:paraId="71C0198C" w14:textId="77777777" w:rsidR="006A1FC0" w:rsidRDefault="006A1FC0" w:rsidP="006A1FC0">
      <w:pPr>
        <w:ind w:firstLine="709"/>
        <w:rPr>
          <w:rFonts w:eastAsia="Calibri" w:cs="Times New Roman"/>
          <w:color w:val="000000"/>
          <w:sz w:val="24"/>
        </w:rPr>
      </w:pPr>
    </w:p>
    <w:p w14:paraId="71A115C1" w14:textId="7E59ADFD" w:rsidR="006A1FC0" w:rsidRPr="00E66D48" w:rsidRDefault="006A1FC0" w:rsidP="006A1FC0">
      <w:pPr>
        <w:ind w:firstLine="709"/>
        <w:rPr>
          <w:rFonts w:eastAsia="Calibri" w:cs="Times New Roman"/>
          <w:color w:val="000000"/>
          <w:sz w:val="24"/>
        </w:rPr>
      </w:pPr>
      <w:r w:rsidRPr="00E66D48">
        <w:rPr>
          <w:rFonts w:eastAsia="Calibri" w:cs="Times New Roman"/>
          <w:color w:val="000000"/>
          <w:sz w:val="24"/>
        </w:rPr>
        <w:t xml:space="preserve"> </w:t>
      </w:r>
      <w:r>
        <w:rPr>
          <w:rFonts w:eastAsia="Calibri" w:cs="Times New Roman"/>
          <w:color w:val="000000"/>
          <w:sz w:val="24"/>
        </w:rPr>
        <w:t>Šīs Stabilitātes programmas sagatavošanā tiek ņemta vērā 3.1.</w:t>
      </w:r>
      <w:r w:rsidR="000800F9">
        <w:rPr>
          <w:rFonts w:eastAsia="Calibri" w:cs="Times New Roman"/>
          <w:color w:val="000000"/>
          <w:sz w:val="24"/>
        </w:rPr>
        <w:t xml:space="preserve"> </w:t>
      </w:r>
      <w:r>
        <w:rPr>
          <w:rFonts w:eastAsia="Calibri" w:cs="Times New Roman"/>
          <w:color w:val="000000"/>
          <w:sz w:val="24"/>
        </w:rPr>
        <w:t xml:space="preserve">tabulā norādītā vienreizējo pasākumu fiskālā ietekme. </w:t>
      </w:r>
    </w:p>
    <w:p w14:paraId="4BCC7DBB" w14:textId="77777777" w:rsidR="006A1FC0" w:rsidRPr="006A1FC0" w:rsidRDefault="006A1FC0" w:rsidP="006A1FC0">
      <w:pPr>
        <w:spacing w:before="240" w:after="120"/>
        <w:ind w:firstLine="0"/>
        <w:jc w:val="right"/>
        <w:rPr>
          <w:rFonts w:eastAsia="Calibri" w:cs="Times New Roman"/>
          <w:b/>
          <w:bCs/>
          <w:color w:val="000000"/>
          <w:sz w:val="24"/>
        </w:rPr>
      </w:pPr>
      <w:r w:rsidRPr="006A1FC0">
        <w:rPr>
          <w:rFonts w:eastAsia="Calibri" w:cs="Times New Roman"/>
          <w:b/>
          <w:bCs/>
          <w:color w:val="000000"/>
          <w:sz w:val="24"/>
        </w:rPr>
        <w:t>3.1. tabula. Vienreizējie pasākumi (</w:t>
      </w:r>
      <w:proofErr w:type="spellStart"/>
      <w:r w:rsidRPr="000800F9">
        <w:rPr>
          <w:rFonts w:eastAsia="Calibri" w:cs="Times New Roman"/>
          <w:b/>
          <w:bCs/>
          <w:i/>
          <w:iCs/>
          <w:color w:val="000000"/>
          <w:sz w:val="24"/>
        </w:rPr>
        <w:t>one-off</w:t>
      </w:r>
      <w:proofErr w:type="spellEnd"/>
      <w:r w:rsidRPr="006A1FC0">
        <w:rPr>
          <w:rFonts w:eastAsia="Calibri" w:cs="Times New Roman"/>
          <w:b/>
          <w:bCs/>
          <w:color w:val="000000"/>
          <w:sz w:val="24"/>
        </w:rPr>
        <w:t xml:space="preserve">), milj. </w:t>
      </w:r>
      <w:proofErr w:type="spellStart"/>
      <w:r w:rsidRPr="000800F9">
        <w:rPr>
          <w:rFonts w:eastAsia="Calibri" w:cs="Times New Roman"/>
          <w:b/>
          <w:bCs/>
          <w:i/>
          <w:iCs/>
          <w:color w:val="000000"/>
          <w:sz w:val="24"/>
        </w:rPr>
        <w:t>euro</w:t>
      </w:r>
      <w:proofErr w:type="spellEnd"/>
    </w:p>
    <w:tbl>
      <w:tblPr>
        <w:tblW w:w="9592" w:type="dxa"/>
        <w:jc w:val="center"/>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ayout w:type="fixed"/>
        <w:tblLook w:val="04A0" w:firstRow="1" w:lastRow="0" w:firstColumn="1" w:lastColumn="0" w:noHBand="0" w:noVBand="1"/>
      </w:tblPr>
      <w:tblGrid>
        <w:gridCol w:w="2689"/>
        <w:gridCol w:w="986"/>
        <w:gridCol w:w="986"/>
        <w:gridCol w:w="986"/>
        <w:gridCol w:w="18"/>
        <w:gridCol w:w="968"/>
        <w:gridCol w:w="986"/>
        <w:gridCol w:w="986"/>
        <w:gridCol w:w="987"/>
      </w:tblGrid>
      <w:tr w:rsidR="006A1FC0" w:rsidRPr="0066793B" w14:paraId="2912B073" w14:textId="77777777" w:rsidTr="000800F9">
        <w:trPr>
          <w:trHeight w:val="312"/>
          <w:jc w:val="center"/>
        </w:trPr>
        <w:tc>
          <w:tcPr>
            <w:tcW w:w="2689"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DEEAF6" w:themeFill="accent1" w:themeFillTint="33"/>
            <w:noWrap/>
            <w:vAlign w:val="center"/>
            <w:hideMark/>
          </w:tcPr>
          <w:p w14:paraId="7F004912" w14:textId="77777777" w:rsidR="006A1FC0" w:rsidRPr="00F831E6" w:rsidRDefault="006A1FC0" w:rsidP="00A834DD">
            <w:pPr>
              <w:ind w:firstLine="0"/>
              <w:jc w:val="center"/>
              <w:rPr>
                <w:rFonts w:eastAsia="Times New Roman" w:cs="Times New Roman"/>
                <w:color w:val="000000"/>
                <w:sz w:val="18"/>
                <w:szCs w:val="18"/>
                <w:lang w:eastAsia="lv-LV"/>
              </w:rPr>
            </w:pP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DEEAF6" w:themeFill="accent1" w:themeFillTint="33"/>
            <w:noWrap/>
            <w:vAlign w:val="center"/>
            <w:hideMark/>
          </w:tcPr>
          <w:p w14:paraId="49002516" w14:textId="77777777" w:rsidR="006A1FC0" w:rsidRPr="00F831E6" w:rsidRDefault="006A1FC0" w:rsidP="00A834DD">
            <w:pPr>
              <w:ind w:firstLine="0"/>
              <w:jc w:val="center"/>
              <w:rPr>
                <w:rFonts w:eastAsia="Times New Roman" w:cs="Times New Roman"/>
                <w:b/>
                <w:bCs/>
                <w:color w:val="000000"/>
                <w:sz w:val="18"/>
                <w:szCs w:val="18"/>
                <w:lang w:eastAsia="lv-LV"/>
              </w:rPr>
            </w:pPr>
            <w:r w:rsidRPr="00F831E6">
              <w:rPr>
                <w:rFonts w:eastAsia="Times New Roman" w:cs="Times New Roman"/>
                <w:b/>
                <w:bCs/>
                <w:color w:val="000000"/>
                <w:sz w:val="18"/>
                <w:szCs w:val="18"/>
                <w:lang w:eastAsia="lv-LV"/>
              </w:rPr>
              <w:t>2020</w:t>
            </w: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DEEAF6" w:themeFill="accent1" w:themeFillTint="33"/>
            <w:noWrap/>
            <w:vAlign w:val="center"/>
            <w:hideMark/>
          </w:tcPr>
          <w:p w14:paraId="259B860D" w14:textId="77777777" w:rsidR="006A1FC0" w:rsidRPr="00F831E6" w:rsidRDefault="006A1FC0" w:rsidP="00A834DD">
            <w:pPr>
              <w:ind w:firstLine="0"/>
              <w:jc w:val="center"/>
              <w:rPr>
                <w:rFonts w:eastAsia="Times New Roman" w:cs="Times New Roman"/>
                <w:b/>
                <w:bCs/>
                <w:color w:val="000000"/>
                <w:sz w:val="18"/>
                <w:szCs w:val="18"/>
                <w:lang w:eastAsia="lv-LV"/>
              </w:rPr>
            </w:pPr>
            <w:r w:rsidRPr="00F831E6">
              <w:rPr>
                <w:rFonts w:eastAsia="Times New Roman" w:cs="Times New Roman"/>
                <w:b/>
                <w:bCs/>
                <w:color w:val="000000"/>
                <w:sz w:val="18"/>
                <w:szCs w:val="18"/>
                <w:lang w:eastAsia="lv-LV"/>
              </w:rPr>
              <w:t>2021</w:t>
            </w: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DEEAF6" w:themeFill="accent1" w:themeFillTint="33"/>
            <w:noWrap/>
            <w:vAlign w:val="center"/>
            <w:hideMark/>
          </w:tcPr>
          <w:p w14:paraId="5A725805" w14:textId="77777777" w:rsidR="006A1FC0" w:rsidRPr="00F831E6" w:rsidRDefault="006A1FC0" w:rsidP="00A834DD">
            <w:pPr>
              <w:ind w:firstLine="0"/>
              <w:jc w:val="center"/>
              <w:rPr>
                <w:rFonts w:eastAsia="Times New Roman" w:cs="Times New Roman"/>
                <w:b/>
                <w:bCs/>
                <w:color w:val="000000"/>
                <w:sz w:val="18"/>
                <w:szCs w:val="18"/>
                <w:lang w:eastAsia="lv-LV"/>
              </w:rPr>
            </w:pPr>
            <w:r w:rsidRPr="00F831E6">
              <w:rPr>
                <w:rFonts w:eastAsia="Times New Roman" w:cs="Times New Roman"/>
                <w:b/>
                <w:bCs/>
                <w:color w:val="000000"/>
                <w:sz w:val="18"/>
                <w:szCs w:val="18"/>
                <w:lang w:eastAsia="lv-LV"/>
              </w:rPr>
              <w:t>2022</w:t>
            </w:r>
          </w:p>
        </w:tc>
        <w:tc>
          <w:tcPr>
            <w:tcW w:w="986" w:type="dxa"/>
            <w:gridSpan w:val="2"/>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DEEAF6" w:themeFill="accent1" w:themeFillTint="33"/>
            <w:noWrap/>
            <w:vAlign w:val="center"/>
            <w:hideMark/>
          </w:tcPr>
          <w:p w14:paraId="6FA7939A" w14:textId="77777777" w:rsidR="006A1FC0" w:rsidRPr="00F831E6" w:rsidRDefault="006A1FC0" w:rsidP="00A834DD">
            <w:pPr>
              <w:ind w:firstLine="0"/>
              <w:jc w:val="center"/>
              <w:rPr>
                <w:rFonts w:eastAsia="Times New Roman" w:cs="Times New Roman"/>
                <w:b/>
                <w:bCs/>
                <w:color w:val="000000"/>
                <w:sz w:val="18"/>
                <w:szCs w:val="18"/>
                <w:lang w:eastAsia="lv-LV"/>
              </w:rPr>
            </w:pPr>
            <w:r w:rsidRPr="00F831E6">
              <w:rPr>
                <w:rFonts w:eastAsia="Times New Roman" w:cs="Times New Roman"/>
                <w:b/>
                <w:bCs/>
                <w:color w:val="000000"/>
                <w:sz w:val="18"/>
                <w:szCs w:val="18"/>
                <w:lang w:eastAsia="lv-LV"/>
              </w:rPr>
              <w:t>2023</w:t>
            </w: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DEEAF6" w:themeFill="accent1" w:themeFillTint="33"/>
            <w:noWrap/>
            <w:vAlign w:val="center"/>
            <w:hideMark/>
          </w:tcPr>
          <w:p w14:paraId="0AD66858" w14:textId="77777777" w:rsidR="006A1FC0" w:rsidRPr="00F831E6" w:rsidRDefault="006A1FC0" w:rsidP="00A834DD">
            <w:pPr>
              <w:ind w:firstLine="0"/>
              <w:jc w:val="center"/>
              <w:rPr>
                <w:rFonts w:eastAsia="Times New Roman" w:cs="Times New Roman"/>
                <w:b/>
                <w:bCs/>
                <w:color w:val="000000"/>
                <w:sz w:val="18"/>
                <w:szCs w:val="18"/>
                <w:lang w:eastAsia="lv-LV"/>
              </w:rPr>
            </w:pPr>
            <w:r w:rsidRPr="00F831E6">
              <w:rPr>
                <w:rFonts w:eastAsia="Times New Roman" w:cs="Times New Roman"/>
                <w:b/>
                <w:bCs/>
                <w:color w:val="000000"/>
                <w:sz w:val="18"/>
                <w:szCs w:val="18"/>
                <w:lang w:eastAsia="lv-LV"/>
              </w:rPr>
              <w:t>2024</w:t>
            </w: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DEEAF6" w:themeFill="accent1" w:themeFillTint="33"/>
            <w:noWrap/>
            <w:vAlign w:val="center"/>
            <w:hideMark/>
          </w:tcPr>
          <w:p w14:paraId="5E6DB2F0" w14:textId="77777777" w:rsidR="006A1FC0" w:rsidRPr="00F831E6" w:rsidRDefault="006A1FC0" w:rsidP="00A834DD">
            <w:pPr>
              <w:ind w:firstLine="0"/>
              <w:jc w:val="center"/>
              <w:rPr>
                <w:rFonts w:eastAsia="Times New Roman" w:cs="Times New Roman"/>
                <w:b/>
                <w:bCs/>
                <w:color w:val="000000"/>
                <w:sz w:val="18"/>
                <w:szCs w:val="18"/>
                <w:lang w:eastAsia="lv-LV"/>
              </w:rPr>
            </w:pPr>
            <w:r w:rsidRPr="00F831E6">
              <w:rPr>
                <w:rFonts w:eastAsia="Times New Roman" w:cs="Times New Roman"/>
                <w:b/>
                <w:bCs/>
                <w:color w:val="000000"/>
                <w:sz w:val="18"/>
                <w:szCs w:val="18"/>
                <w:lang w:eastAsia="lv-LV"/>
              </w:rPr>
              <w:t>2025</w:t>
            </w:r>
          </w:p>
        </w:tc>
        <w:tc>
          <w:tcPr>
            <w:tcW w:w="98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DEEAF6" w:themeFill="accent1" w:themeFillTint="33"/>
            <w:vAlign w:val="center"/>
          </w:tcPr>
          <w:p w14:paraId="31767928" w14:textId="77777777" w:rsidR="006A1FC0" w:rsidRPr="00F831E6" w:rsidRDefault="006A1FC0" w:rsidP="00A834DD">
            <w:pPr>
              <w:ind w:firstLine="0"/>
              <w:jc w:val="center"/>
              <w:rPr>
                <w:rFonts w:eastAsia="Times New Roman" w:cs="Times New Roman"/>
                <w:b/>
                <w:bCs/>
                <w:color w:val="000000"/>
                <w:sz w:val="18"/>
                <w:szCs w:val="18"/>
                <w:lang w:eastAsia="lv-LV"/>
              </w:rPr>
            </w:pPr>
            <w:r w:rsidRPr="00F831E6">
              <w:rPr>
                <w:rFonts w:eastAsia="Times New Roman" w:cs="Times New Roman"/>
                <w:b/>
                <w:bCs/>
                <w:color w:val="000000"/>
                <w:sz w:val="18"/>
                <w:szCs w:val="18"/>
                <w:lang w:eastAsia="lv-LV"/>
              </w:rPr>
              <w:t>2026</w:t>
            </w:r>
          </w:p>
        </w:tc>
      </w:tr>
      <w:tr w:rsidR="006A1FC0" w:rsidRPr="0066793B" w14:paraId="5627B48E" w14:textId="77777777" w:rsidTr="000800F9">
        <w:trPr>
          <w:trHeight w:val="312"/>
          <w:jc w:val="center"/>
        </w:trPr>
        <w:tc>
          <w:tcPr>
            <w:tcW w:w="2689"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bottom"/>
            <w:hideMark/>
          </w:tcPr>
          <w:p w14:paraId="4D07F91A" w14:textId="77777777" w:rsidR="006A1FC0" w:rsidRPr="00F831E6" w:rsidRDefault="006A1FC0" w:rsidP="00A834DD">
            <w:pPr>
              <w:ind w:firstLine="0"/>
              <w:jc w:val="left"/>
              <w:rPr>
                <w:rFonts w:eastAsia="Times New Roman" w:cs="Times New Roman"/>
                <w:color w:val="000000"/>
                <w:sz w:val="18"/>
                <w:szCs w:val="18"/>
                <w:lang w:eastAsia="lv-LV"/>
              </w:rPr>
            </w:pPr>
            <w:r w:rsidRPr="00F831E6">
              <w:rPr>
                <w:rFonts w:eastAsia="Times New Roman" w:cs="Times New Roman"/>
                <w:color w:val="000000"/>
                <w:sz w:val="18"/>
                <w:szCs w:val="18"/>
                <w:lang w:eastAsia="lv-LV"/>
              </w:rPr>
              <w:t xml:space="preserve">IKP </w:t>
            </w:r>
            <w:r w:rsidRPr="0066793B">
              <w:rPr>
                <w:rFonts w:eastAsia="Times New Roman" w:cs="Times New Roman"/>
                <w:color w:val="000000"/>
                <w:sz w:val="18"/>
                <w:szCs w:val="18"/>
                <w:lang w:eastAsia="lv-LV"/>
              </w:rPr>
              <w:t xml:space="preserve">(milj. </w:t>
            </w:r>
            <w:proofErr w:type="spellStart"/>
            <w:r w:rsidRPr="0066793B">
              <w:rPr>
                <w:rFonts w:eastAsia="Times New Roman" w:cs="Times New Roman"/>
                <w:i/>
                <w:iCs/>
                <w:color w:val="000000"/>
                <w:sz w:val="18"/>
                <w:szCs w:val="18"/>
                <w:lang w:eastAsia="lv-LV"/>
              </w:rPr>
              <w:t>euro</w:t>
            </w:r>
            <w:proofErr w:type="spellEnd"/>
            <w:r w:rsidRPr="0066793B">
              <w:rPr>
                <w:rFonts w:eastAsia="Times New Roman" w:cs="Times New Roman"/>
                <w:color w:val="000000"/>
                <w:sz w:val="18"/>
                <w:szCs w:val="18"/>
                <w:lang w:eastAsia="lv-LV"/>
              </w:rPr>
              <w:t>)</w:t>
            </w: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hideMark/>
          </w:tcPr>
          <w:p w14:paraId="45EC45AB" w14:textId="77777777" w:rsidR="006A1FC0" w:rsidRPr="00F831E6" w:rsidRDefault="006A1FC0" w:rsidP="00A834DD">
            <w:pPr>
              <w:ind w:firstLine="0"/>
              <w:jc w:val="center"/>
              <w:rPr>
                <w:rFonts w:eastAsia="Times New Roman" w:cs="Times New Roman"/>
                <w:color w:val="000000"/>
                <w:sz w:val="18"/>
                <w:szCs w:val="18"/>
                <w:lang w:eastAsia="lv-LV"/>
              </w:rPr>
            </w:pPr>
            <w:r w:rsidRPr="00F831E6">
              <w:rPr>
                <w:rFonts w:eastAsia="Times New Roman" w:cs="Times New Roman"/>
                <w:color w:val="000000"/>
                <w:sz w:val="18"/>
                <w:szCs w:val="18"/>
                <w:lang w:eastAsia="lv-LV"/>
              </w:rPr>
              <w:t>30 294</w:t>
            </w: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hideMark/>
          </w:tcPr>
          <w:p w14:paraId="14398831" w14:textId="77777777" w:rsidR="006A1FC0" w:rsidRPr="00F831E6" w:rsidRDefault="006A1FC0" w:rsidP="00A834DD">
            <w:pPr>
              <w:ind w:firstLine="0"/>
              <w:jc w:val="center"/>
              <w:rPr>
                <w:rFonts w:eastAsia="Times New Roman" w:cs="Times New Roman"/>
                <w:color w:val="000000"/>
                <w:sz w:val="18"/>
                <w:szCs w:val="18"/>
                <w:lang w:eastAsia="lv-LV"/>
              </w:rPr>
            </w:pPr>
            <w:r w:rsidRPr="00F831E6">
              <w:rPr>
                <w:rFonts w:eastAsia="Times New Roman" w:cs="Times New Roman"/>
                <w:color w:val="000000"/>
                <w:sz w:val="18"/>
                <w:szCs w:val="18"/>
                <w:lang w:eastAsia="lv-LV"/>
              </w:rPr>
              <w:t>33 588</w:t>
            </w: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hideMark/>
          </w:tcPr>
          <w:p w14:paraId="7E2A75D2" w14:textId="77777777" w:rsidR="006A1FC0" w:rsidRPr="00F831E6" w:rsidRDefault="006A1FC0" w:rsidP="00A834DD">
            <w:pPr>
              <w:ind w:firstLine="0"/>
              <w:jc w:val="center"/>
              <w:rPr>
                <w:rFonts w:eastAsia="Times New Roman" w:cs="Times New Roman"/>
                <w:color w:val="000000"/>
                <w:sz w:val="18"/>
                <w:szCs w:val="18"/>
                <w:lang w:eastAsia="lv-LV"/>
              </w:rPr>
            </w:pPr>
            <w:r w:rsidRPr="00F831E6">
              <w:rPr>
                <w:rFonts w:eastAsia="Times New Roman" w:cs="Times New Roman"/>
                <w:color w:val="000000"/>
                <w:sz w:val="18"/>
                <w:szCs w:val="18"/>
                <w:lang w:eastAsia="lv-LV"/>
              </w:rPr>
              <w:t>39 081</w:t>
            </w:r>
          </w:p>
        </w:tc>
        <w:tc>
          <w:tcPr>
            <w:tcW w:w="986" w:type="dxa"/>
            <w:gridSpan w:val="2"/>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hideMark/>
          </w:tcPr>
          <w:p w14:paraId="3DF6F811" w14:textId="77777777" w:rsidR="006A1FC0" w:rsidRPr="00F831E6" w:rsidRDefault="006A1FC0" w:rsidP="00A834DD">
            <w:pPr>
              <w:ind w:firstLine="0"/>
              <w:jc w:val="center"/>
              <w:rPr>
                <w:rFonts w:eastAsia="Times New Roman" w:cs="Times New Roman"/>
                <w:color w:val="000000"/>
                <w:sz w:val="18"/>
                <w:szCs w:val="18"/>
                <w:lang w:eastAsia="lv-LV"/>
              </w:rPr>
            </w:pPr>
            <w:r w:rsidRPr="00F831E6">
              <w:rPr>
                <w:rFonts w:eastAsia="Times New Roman" w:cs="Times New Roman"/>
                <w:color w:val="000000"/>
                <w:sz w:val="18"/>
                <w:szCs w:val="18"/>
                <w:lang w:eastAsia="lv-LV"/>
              </w:rPr>
              <w:t>43 637</w:t>
            </w: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hideMark/>
          </w:tcPr>
          <w:p w14:paraId="46978AE7" w14:textId="77777777" w:rsidR="006A1FC0" w:rsidRPr="00F831E6" w:rsidRDefault="006A1FC0" w:rsidP="00A834DD">
            <w:pPr>
              <w:ind w:firstLine="0"/>
              <w:jc w:val="center"/>
              <w:rPr>
                <w:rFonts w:eastAsia="Times New Roman" w:cs="Times New Roman"/>
                <w:color w:val="000000"/>
                <w:sz w:val="18"/>
                <w:szCs w:val="18"/>
                <w:lang w:eastAsia="lv-LV"/>
              </w:rPr>
            </w:pPr>
            <w:r w:rsidRPr="00F831E6">
              <w:rPr>
                <w:rFonts w:eastAsia="Times New Roman" w:cs="Times New Roman"/>
                <w:color w:val="000000"/>
                <w:sz w:val="18"/>
                <w:szCs w:val="18"/>
                <w:lang w:eastAsia="lv-LV"/>
              </w:rPr>
              <w:t>46 017</w:t>
            </w: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hideMark/>
          </w:tcPr>
          <w:p w14:paraId="3EB89AE2" w14:textId="77777777" w:rsidR="006A1FC0" w:rsidRPr="00F831E6" w:rsidRDefault="006A1FC0" w:rsidP="00A834DD">
            <w:pPr>
              <w:ind w:firstLine="0"/>
              <w:jc w:val="center"/>
              <w:rPr>
                <w:rFonts w:eastAsia="Times New Roman" w:cs="Times New Roman"/>
                <w:color w:val="000000"/>
                <w:sz w:val="18"/>
                <w:szCs w:val="18"/>
                <w:lang w:eastAsia="lv-LV"/>
              </w:rPr>
            </w:pPr>
            <w:r w:rsidRPr="00F831E6">
              <w:rPr>
                <w:rFonts w:eastAsia="Times New Roman" w:cs="Times New Roman"/>
                <w:color w:val="000000"/>
                <w:sz w:val="18"/>
                <w:szCs w:val="18"/>
                <w:lang w:eastAsia="lv-LV"/>
              </w:rPr>
              <w:t>48 642</w:t>
            </w:r>
          </w:p>
        </w:tc>
        <w:tc>
          <w:tcPr>
            <w:tcW w:w="98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tcPr>
          <w:p w14:paraId="4B1A9735" w14:textId="77777777" w:rsidR="006A1FC0" w:rsidRPr="00F831E6" w:rsidRDefault="006A1FC0" w:rsidP="00A834DD">
            <w:pPr>
              <w:ind w:firstLine="0"/>
              <w:jc w:val="center"/>
              <w:rPr>
                <w:rFonts w:eastAsia="Times New Roman" w:cs="Times New Roman"/>
                <w:color w:val="000000"/>
                <w:sz w:val="18"/>
                <w:szCs w:val="18"/>
                <w:lang w:eastAsia="lv-LV"/>
              </w:rPr>
            </w:pPr>
            <w:r w:rsidRPr="00F831E6">
              <w:rPr>
                <w:rFonts w:eastAsia="Times New Roman" w:cs="Times New Roman"/>
                <w:color w:val="000000"/>
                <w:sz w:val="18"/>
                <w:szCs w:val="18"/>
                <w:lang w:eastAsia="lv-LV"/>
              </w:rPr>
              <w:t>51 329</w:t>
            </w:r>
          </w:p>
        </w:tc>
      </w:tr>
      <w:tr w:rsidR="006A1FC0" w:rsidRPr="0066793B" w14:paraId="78C8EE81" w14:textId="77777777" w:rsidTr="000800F9">
        <w:trPr>
          <w:trHeight w:val="68"/>
          <w:jc w:val="center"/>
        </w:trPr>
        <w:tc>
          <w:tcPr>
            <w:tcW w:w="2689"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noWrap/>
            <w:vAlign w:val="bottom"/>
          </w:tcPr>
          <w:p w14:paraId="4C467F6E" w14:textId="77777777" w:rsidR="006A1FC0" w:rsidRPr="0066793B" w:rsidRDefault="006A1FC0" w:rsidP="00A834DD">
            <w:pPr>
              <w:ind w:firstLine="0"/>
              <w:jc w:val="left"/>
              <w:rPr>
                <w:rFonts w:eastAsia="Times New Roman" w:cs="Times New Roman"/>
                <w:color w:val="000000"/>
                <w:sz w:val="18"/>
                <w:szCs w:val="18"/>
                <w:lang w:eastAsia="lv-LV"/>
              </w:rPr>
            </w:pPr>
          </w:p>
        </w:tc>
        <w:tc>
          <w:tcPr>
            <w:tcW w:w="2976" w:type="dxa"/>
            <w:gridSpan w:val="4"/>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noWrap/>
            <w:vAlign w:val="center"/>
          </w:tcPr>
          <w:p w14:paraId="4793829E" w14:textId="77777777" w:rsidR="006A1FC0" w:rsidRPr="0066793B" w:rsidRDefault="006A1FC0" w:rsidP="00A834DD">
            <w:pPr>
              <w:ind w:firstLine="0"/>
              <w:jc w:val="center"/>
              <w:rPr>
                <w:rFonts w:eastAsia="Times New Roman" w:cs="Times New Roman"/>
                <w:color w:val="000000"/>
                <w:sz w:val="18"/>
                <w:szCs w:val="18"/>
                <w:lang w:eastAsia="lv-LV"/>
              </w:rPr>
            </w:pPr>
            <w:r>
              <w:rPr>
                <w:rFonts w:eastAsia="Times New Roman" w:cs="Times New Roman"/>
                <w:color w:val="000000"/>
                <w:sz w:val="18"/>
                <w:szCs w:val="18"/>
                <w:lang w:eastAsia="lv-LV"/>
              </w:rPr>
              <w:t>fakts/novērtējums</w:t>
            </w:r>
          </w:p>
        </w:tc>
        <w:tc>
          <w:tcPr>
            <w:tcW w:w="3927" w:type="dxa"/>
            <w:gridSpan w:val="4"/>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noWrap/>
            <w:vAlign w:val="center"/>
          </w:tcPr>
          <w:p w14:paraId="0106B135" w14:textId="77777777" w:rsidR="006A1FC0" w:rsidRPr="0066793B" w:rsidRDefault="006A1FC0" w:rsidP="00A834DD">
            <w:pPr>
              <w:ind w:firstLine="0"/>
              <w:jc w:val="center"/>
              <w:rPr>
                <w:rFonts w:eastAsia="Times New Roman" w:cs="Times New Roman"/>
                <w:color w:val="000000"/>
                <w:sz w:val="18"/>
                <w:szCs w:val="18"/>
                <w:lang w:eastAsia="lv-LV"/>
              </w:rPr>
            </w:pPr>
            <w:r>
              <w:rPr>
                <w:rFonts w:eastAsia="Times New Roman" w:cs="Times New Roman"/>
                <w:color w:val="000000"/>
                <w:sz w:val="18"/>
                <w:szCs w:val="18"/>
                <w:lang w:eastAsia="lv-LV"/>
              </w:rPr>
              <w:t>prognoze</w:t>
            </w:r>
          </w:p>
        </w:tc>
      </w:tr>
      <w:tr w:rsidR="006A1FC0" w:rsidRPr="00805038" w14:paraId="298105E8" w14:textId="77777777" w:rsidTr="000800F9">
        <w:trPr>
          <w:trHeight w:val="312"/>
          <w:jc w:val="center"/>
        </w:trPr>
        <w:tc>
          <w:tcPr>
            <w:tcW w:w="2689"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DEEAF6" w:themeFill="accent1" w:themeFillTint="33"/>
            <w:noWrap/>
            <w:vAlign w:val="bottom"/>
            <w:hideMark/>
          </w:tcPr>
          <w:p w14:paraId="4F72CA2B" w14:textId="77777777" w:rsidR="006A1FC0" w:rsidRPr="00F831E6" w:rsidRDefault="006A1FC0" w:rsidP="00A834DD">
            <w:pPr>
              <w:ind w:firstLine="0"/>
              <w:jc w:val="left"/>
              <w:rPr>
                <w:rFonts w:eastAsia="Times New Roman" w:cs="Times New Roman"/>
                <w:b/>
                <w:bCs/>
                <w:color w:val="000000"/>
                <w:sz w:val="18"/>
                <w:szCs w:val="18"/>
                <w:lang w:eastAsia="lv-LV"/>
              </w:rPr>
            </w:pPr>
            <w:proofErr w:type="spellStart"/>
            <w:r w:rsidRPr="00F831E6">
              <w:rPr>
                <w:rFonts w:eastAsia="Times New Roman" w:cs="Times New Roman"/>
                <w:b/>
                <w:bCs/>
                <w:i/>
                <w:iCs/>
                <w:color w:val="000000"/>
                <w:sz w:val="18"/>
                <w:szCs w:val="18"/>
                <w:lang w:eastAsia="lv-LV"/>
              </w:rPr>
              <w:t>One-off</w:t>
            </w:r>
            <w:proofErr w:type="spellEnd"/>
            <w:r w:rsidRPr="00F831E6">
              <w:rPr>
                <w:rFonts w:eastAsia="Times New Roman" w:cs="Times New Roman"/>
                <w:b/>
                <w:bCs/>
                <w:color w:val="000000"/>
                <w:sz w:val="18"/>
                <w:szCs w:val="18"/>
                <w:lang w:eastAsia="lv-LV"/>
              </w:rPr>
              <w:t xml:space="preserve"> un citi īslaicīgie pasākumi</w:t>
            </w:r>
            <w:r w:rsidRPr="00805038">
              <w:rPr>
                <w:rFonts w:eastAsia="Times New Roman" w:cs="Times New Roman"/>
                <w:b/>
                <w:bCs/>
                <w:color w:val="000000"/>
                <w:sz w:val="18"/>
                <w:szCs w:val="18"/>
                <w:lang w:eastAsia="lv-LV"/>
              </w:rPr>
              <w:t xml:space="preserve"> </w:t>
            </w:r>
            <w:r w:rsidRPr="00F831E6">
              <w:rPr>
                <w:rFonts w:eastAsia="Times New Roman" w:cs="Times New Roman"/>
                <w:b/>
                <w:bCs/>
                <w:color w:val="000000"/>
                <w:sz w:val="18"/>
                <w:szCs w:val="18"/>
                <w:lang w:eastAsia="lv-LV"/>
              </w:rPr>
              <w:t xml:space="preserve"> </w:t>
            </w:r>
            <w:r w:rsidRPr="00805038">
              <w:rPr>
                <w:rFonts w:eastAsia="Times New Roman" w:cs="Times New Roman"/>
                <w:b/>
                <w:bCs/>
                <w:color w:val="000000"/>
                <w:sz w:val="18"/>
                <w:szCs w:val="18"/>
                <w:lang w:eastAsia="lv-LV"/>
              </w:rPr>
              <w:t>(</w:t>
            </w:r>
            <w:r w:rsidRPr="00F831E6">
              <w:rPr>
                <w:rFonts w:eastAsia="Times New Roman" w:cs="Times New Roman"/>
                <w:b/>
                <w:bCs/>
                <w:color w:val="000000"/>
                <w:sz w:val="18"/>
                <w:szCs w:val="18"/>
                <w:lang w:eastAsia="lv-LV"/>
              </w:rPr>
              <w:t xml:space="preserve">milj. </w:t>
            </w:r>
            <w:proofErr w:type="spellStart"/>
            <w:r w:rsidRPr="00F831E6">
              <w:rPr>
                <w:rFonts w:eastAsia="Times New Roman" w:cs="Times New Roman"/>
                <w:b/>
                <w:bCs/>
                <w:i/>
                <w:iCs/>
                <w:color w:val="000000"/>
                <w:sz w:val="18"/>
                <w:szCs w:val="18"/>
                <w:lang w:eastAsia="lv-LV"/>
              </w:rPr>
              <w:t>euro</w:t>
            </w:r>
            <w:proofErr w:type="spellEnd"/>
            <w:r w:rsidRPr="00805038">
              <w:rPr>
                <w:rFonts w:eastAsia="Times New Roman" w:cs="Times New Roman"/>
                <w:b/>
                <w:bCs/>
                <w:i/>
                <w:iCs/>
                <w:color w:val="000000"/>
                <w:sz w:val="18"/>
                <w:szCs w:val="18"/>
                <w:lang w:eastAsia="lv-LV"/>
              </w:rPr>
              <w:t>)</w:t>
            </w:r>
            <w:r w:rsidRPr="00F831E6">
              <w:rPr>
                <w:rFonts w:eastAsia="Times New Roman" w:cs="Times New Roman"/>
                <w:b/>
                <w:bCs/>
                <w:color w:val="000000"/>
                <w:sz w:val="18"/>
                <w:szCs w:val="18"/>
                <w:lang w:eastAsia="lv-LV"/>
              </w:rPr>
              <w:t>, tai skaitā</w:t>
            </w: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DEEAF6" w:themeFill="accent1" w:themeFillTint="33"/>
            <w:noWrap/>
            <w:vAlign w:val="center"/>
          </w:tcPr>
          <w:p w14:paraId="01C2AA04" w14:textId="77777777" w:rsidR="006A1FC0" w:rsidRPr="00F831E6" w:rsidRDefault="006A1FC0" w:rsidP="00A834DD">
            <w:pPr>
              <w:ind w:firstLine="0"/>
              <w:jc w:val="center"/>
              <w:rPr>
                <w:rFonts w:eastAsia="Times New Roman" w:cs="Times New Roman"/>
                <w:b/>
                <w:bCs/>
                <w:color w:val="000000"/>
                <w:sz w:val="20"/>
                <w:szCs w:val="20"/>
                <w:lang w:eastAsia="lv-LV"/>
              </w:rPr>
            </w:pPr>
            <w:r w:rsidRPr="00805038">
              <w:rPr>
                <w:b/>
                <w:bCs/>
                <w:sz w:val="20"/>
                <w:szCs w:val="20"/>
              </w:rPr>
              <w:t>-1 018,7</w:t>
            </w: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DEEAF6" w:themeFill="accent1" w:themeFillTint="33"/>
            <w:noWrap/>
            <w:vAlign w:val="center"/>
          </w:tcPr>
          <w:p w14:paraId="24011F7D" w14:textId="77777777" w:rsidR="006A1FC0" w:rsidRPr="00F831E6" w:rsidRDefault="006A1FC0" w:rsidP="00A834DD">
            <w:pPr>
              <w:ind w:firstLine="0"/>
              <w:jc w:val="center"/>
              <w:rPr>
                <w:rFonts w:eastAsia="Times New Roman" w:cs="Times New Roman"/>
                <w:b/>
                <w:bCs/>
                <w:color w:val="000000"/>
                <w:sz w:val="20"/>
                <w:szCs w:val="20"/>
                <w:lang w:eastAsia="lv-LV"/>
              </w:rPr>
            </w:pPr>
            <w:r w:rsidRPr="00805038">
              <w:rPr>
                <w:b/>
                <w:bCs/>
                <w:sz w:val="20"/>
                <w:szCs w:val="20"/>
              </w:rPr>
              <w:t>-2 054,7</w:t>
            </w: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DEEAF6" w:themeFill="accent1" w:themeFillTint="33"/>
            <w:noWrap/>
            <w:vAlign w:val="center"/>
          </w:tcPr>
          <w:p w14:paraId="5A21D58E" w14:textId="77777777" w:rsidR="006A1FC0" w:rsidRPr="00F831E6" w:rsidRDefault="006A1FC0" w:rsidP="00A834DD">
            <w:pPr>
              <w:ind w:firstLine="0"/>
              <w:jc w:val="center"/>
              <w:rPr>
                <w:rFonts w:eastAsia="Times New Roman" w:cs="Times New Roman"/>
                <w:b/>
                <w:bCs/>
                <w:color w:val="000000"/>
                <w:sz w:val="20"/>
                <w:szCs w:val="20"/>
                <w:lang w:eastAsia="lv-LV"/>
              </w:rPr>
            </w:pPr>
            <w:r w:rsidRPr="00805038">
              <w:rPr>
                <w:b/>
                <w:bCs/>
                <w:color w:val="000000"/>
                <w:sz w:val="20"/>
                <w:szCs w:val="20"/>
              </w:rPr>
              <w:t>-1 878,6</w:t>
            </w:r>
          </w:p>
        </w:tc>
        <w:tc>
          <w:tcPr>
            <w:tcW w:w="986" w:type="dxa"/>
            <w:gridSpan w:val="2"/>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DEEAF6" w:themeFill="accent1" w:themeFillTint="33"/>
            <w:noWrap/>
            <w:vAlign w:val="center"/>
          </w:tcPr>
          <w:p w14:paraId="5F0A7C94" w14:textId="77777777" w:rsidR="006A1FC0" w:rsidRPr="00F831E6" w:rsidRDefault="006A1FC0" w:rsidP="00A834DD">
            <w:pPr>
              <w:ind w:firstLine="0"/>
              <w:jc w:val="center"/>
              <w:rPr>
                <w:rFonts w:eastAsia="Times New Roman" w:cs="Times New Roman"/>
                <w:b/>
                <w:bCs/>
                <w:color w:val="000000"/>
                <w:sz w:val="20"/>
                <w:szCs w:val="20"/>
                <w:lang w:eastAsia="lv-LV"/>
              </w:rPr>
            </w:pPr>
            <w:r w:rsidRPr="00805038">
              <w:rPr>
                <w:b/>
                <w:bCs/>
                <w:color w:val="000000"/>
                <w:sz w:val="20"/>
                <w:szCs w:val="20"/>
              </w:rPr>
              <w:t>-1 307,1</w:t>
            </w: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DEEAF6" w:themeFill="accent1" w:themeFillTint="33"/>
            <w:noWrap/>
            <w:vAlign w:val="center"/>
          </w:tcPr>
          <w:p w14:paraId="305A2B5C" w14:textId="77777777" w:rsidR="006A1FC0" w:rsidRPr="00F831E6" w:rsidRDefault="006A1FC0" w:rsidP="00A834DD">
            <w:pPr>
              <w:ind w:firstLine="0"/>
              <w:jc w:val="center"/>
              <w:rPr>
                <w:rFonts w:eastAsia="Times New Roman" w:cs="Times New Roman"/>
                <w:b/>
                <w:bCs/>
                <w:color w:val="000000"/>
                <w:sz w:val="20"/>
                <w:szCs w:val="20"/>
                <w:lang w:eastAsia="lv-LV"/>
              </w:rPr>
            </w:pPr>
            <w:r w:rsidRPr="00805038">
              <w:rPr>
                <w:b/>
                <w:bCs/>
                <w:color w:val="000000"/>
                <w:sz w:val="20"/>
                <w:szCs w:val="20"/>
              </w:rPr>
              <w:t>-687,1</w:t>
            </w: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DEEAF6" w:themeFill="accent1" w:themeFillTint="33"/>
            <w:noWrap/>
            <w:vAlign w:val="center"/>
          </w:tcPr>
          <w:p w14:paraId="0E3E29FD" w14:textId="77777777" w:rsidR="006A1FC0" w:rsidRPr="00F831E6" w:rsidRDefault="006A1FC0" w:rsidP="00A834DD">
            <w:pPr>
              <w:ind w:firstLine="0"/>
              <w:jc w:val="center"/>
              <w:rPr>
                <w:rFonts w:eastAsia="Times New Roman" w:cs="Times New Roman"/>
                <w:b/>
                <w:bCs/>
                <w:color w:val="000000"/>
                <w:sz w:val="20"/>
                <w:szCs w:val="20"/>
                <w:lang w:eastAsia="lv-LV"/>
              </w:rPr>
            </w:pPr>
            <w:r w:rsidRPr="00805038">
              <w:rPr>
                <w:b/>
                <w:bCs/>
                <w:color w:val="000000"/>
                <w:sz w:val="20"/>
                <w:szCs w:val="20"/>
              </w:rPr>
              <w:t>-709,4</w:t>
            </w:r>
          </w:p>
        </w:tc>
        <w:tc>
          <w:tcPr>
            <w:tcW w:w="98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DEEAF6" w:themeFill="accent1" w:themeFillTint="33"/>
            <w:vAlign w:val="center"/>
          </w:tcPr>
          <w:p w14:paraId="01DD7FEB" w14:textId="77777777" w:rsidR="006A1FC0" w:rsidRPr="00F831E6" w:rsidRDefault="006A1FC0" w:rsidP="00A834DD">
            <w:pPr>
              <w:ind w:firstLine="0"/>
              <w:jc w:val="center"/>
              <w:rPr>
                <w:rFonts w:eastAsia="Times New Roman" w:cs="Times New Roman"/>
                <w:b/>
                <w:bCs/>
                <w:color w:val="000000"/>
                <w:sz w:val="20"/>
                <w:szCs w:val="20"/>
                <w:lang w:eastAsia="lv-LV"/>
              </w:rPr>
            </w:pPr>
            <w:r w:rsidRPr="00805038">
              <w:rPr>
                <w:b/>
                <w:bCs/>
                <w:color w:val="000000"/>
                <w:sz w:val="20"/>
                <w:szCs w:val="20"/>
              </w:rPr>
              <w:t>-348,1</w:t>
            </w:r>
          </w:p>
        </w:tc>
      </w:tr>
      <w:tr w:rsidR="006A1FC0" w:rsidRPr="0066793B" w14:paraId="0C83F4D7" w14:textId="77777777" w:rsidTr="000800F9">
        <w:trPr>
          <w:trHeight w:val="312"/>
          <w:jc w:val="center"/>
        </w:trPr>
        <w:tc>
          <w:tcPr>
            <w:tcW w:w="2689"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bottom"/>
            <w:hideMark/>
          </w:tcPr>
          <w:p w14:paraId="55CC5D37" w14:textId="77777777" w:rsidR="006A1FC0" w:rsidRPr="00F831E6" w:rsidRDefault="006A1FC0" w:rsidP="00A834DD">
            <w:pPr>
              <w:ind w:firstLine="0"/>
              <w:jc w:val="left"/>
              <w:rPr>
                <w:rFonts w:eastAsia="Times New Roman" w:cs="Times New Roman"/>
                <w:color w:val="000000"/>
                <w:sz w:val="18"/>
                <w:szCs w:val="18"/>
                <w:lang w:eastAsia="lv-LV"/>
              </w:rPr>
            </w:pPr>
            <w:r w:rsidRPr="00F831E6">
              <w:rPr>
                <w:rFonts w:eastAsia="Times New Roman" w:cs="Times New Roman"/>
                <w:color w:val="000000"/>
                <w:sz w:val="18"/>
                <w:szCs w:val="18"/>
                <w:lang w:eastAsia="lv-LV"/>
              </w:rPr>
              <w:t>COVID -19 pandēmijas mazināšanas pasākumi</w:t>
            </w: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1C20DFD9" w14:textId="77777777" w:rsidR="006A1FC0" w:rsidRPr="00F831E6" w:rsidRDefault="006A1FC0" w:rsidP="00A834DD">
            <w:pPr>
              <w:ind w:firstLine="0"/>
              <w:jc w:val="center"/>
              <w:rPr>
                <w:rFonts w:eastAsia="Times New Roman" w:cs="Times New Roman"/>
                <w:color w:val="000000"/>
                <w:sz w:val="20"/>
                <w:szCs w:val="20"/>
                <w:lang w:eastAsia="lv-LV"/>
              </w:rPr>
            </w:pPr>
            <w:r w:rsidRPr="0066793B">
              <w:rPr>
                <w:sz w:val="20"/>
                <w:szCs w:val="20"/>
              </w:rPr>
              <w:t>-960,8</w:t>
            </w: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34384BA5" w14:textId="77777777" w:rsidR="006A1FC0" w:rsidRPr="00F831E6" w:rsidRDefault="006A1FC0" w:rsidP="00A834DD">
            <w:pPr>
              <w:ind w:firstLine="0"/>
              <w:jc w:val="center"/>
              <w:rPr>
                <w:rFonts w:eastAsia="Times New Roman" w:cs="Times New Roman"/>
                <w:color w:val="000000"/>
                <w:sz w:val="20"/>
                <w:szCs w:val="20"/>
                <w:lang w:eastAsia="lv-LV"/>
              </w:rPr>
            </w:pPr>
            <w:r w:rsidRPr="0066793B">
              <w:rPr>
                <w:sz w:val="20"/>
                <w:szCs w:val="20"/>
              </w:rPr>
              <w:t>-2 102,8</w:t>
            </w: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6EBABB2D" w14:textId="77777777" w:rsidR="006A1FC0" w:rsidRPr="00F831E6" w:rsidRDefault="006A1FC0" w:rsidP="00A834DD">
            <w:pPr>
              <w:ind w:firstLine="0"/>
              <w:jc w:val="center"/>
              <w:rPr>
                <w:rFonts w:eastAsia="Times New Roman" w:cs="Times New Roman"/>
                <w:color w:val="000000"/>
                <w:sz w:val="20"/>
                <w:szCs w:val="20"/>
                <w:lang w:eastAsia="lv-LV"/>
              </w:rPr>
            </w:pPr>
            <w:r w:rsidRPr="0066793B">
              <w:rPr>
                <w:sz w:val="20"/>
                <w:szCs w:val="20"/>
              </w:rPr>
              <w:t>-796,4</w:t>
            </w:r>
          </w:p>
        </w:tc>
        <w:tc>
          <w:tcPr>
            <w:tcW w:w="986" w:type="dxa"/>
            <w:gridSpan w:val="2"/>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0CAB9D12" w14:textId="77777777" w:rsidR="006A1FC0" w:rsidRPr="00F831E6" w:rsidRDefault="006A1FC0" w:rsidP="00A834DD">
            <w:pPr>
              <w:ind w:firstLine="0"/>
              <w:jc w:val="center"/>
              <w:rPr>
                <w:rFonts w:eastAsia="Times New Roman" w:cs="Times New Roman"/>
                <w:color w:val="000000"/>
                <w:sz w:val="20"/>
                <w:szCs w:val="20"/>
                <w:lang w:eastAsia="lv-LV"/>
              </w:rPr>
            </w:pPr>
            <w:r w:rsidRPr="0066793B">
              <w:rPr>
                <w:sz w:val="20"/>
                <w:szCs w:val="20"/>
              </w:rPr>
              <w:t>-102,7</w:t>
            </w: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2EB5686C" w14:textId="77777777" w:rsidR="006A1FC0" w:rsidRPr="00F831E6" w:rsidRDefault="006A1FC0" w:rsidP="00A834DD">
            <w:pPr>
              <w:ind w:firstLine="0"/>
              <w:jc w:val="center"/>
              <w:rPr>
                <w:rFonts w:eastAsia="Times New Roman" w:cs="Times New Roman"/>
                <w:color w:val="000000"/>
                <w:sz w:val="20"/>
                <w:szCs w:val="20"/>
                <w:lang w:eastAsia="lv-LV"/>
              </w:rPr>
            </w:pPr>
            <w:r w:rsidRPr="0066793B">
              <w:rPr>
                <w:sz w:val="20"/>
                <w:szCs w:val="20"/>
              </w:rPr>
              <w:t>0,1</w:t>
            </w: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0073C983" w14:textId="77777777" w:rsidR="006A1FC0" w:rsidRPr="00F831E6" w:rsidRDefault="006A1FC0" w:rsidP="00A834DD">
            <w:pPr>
              <w:ind w:firstLine="0"/>
              <w:jc w:val="center"/>
              <w:rPr>
                <w:rFonts w:eastAsia="Times New Roman" w:cs="Times New Roman"/>
                <w:color w:val="000000"/>
                <w:sz w:val="20"/>
                <w:szCs w:val="20"/>
                <w:lang w:eastAsia="lv-LV"/>
              </w:rPr>
            </w:pPr>
            <w:r w:rsidRPr="0066793B">
              <w:rPr>
                <w:color w:val="000000"/>
                <w:sz w:val="20"/>
                <w:szCs w:val="20"/>
              </w:rPr>
              <w:t>0,0</w:t>
            </w:r>
          </w:p>
        </w:tc>
        <w:tc>
          <w:tcPr>
            <w:tcW w:w="98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tcPr>
          <w:p w14:paraId="750644A2" w14:textId="77777777" w:rsidR="006A1FC0" w:rsidRPr="00F831E6" w:rsidRDefault="006A1FC0" w:rsidP="00A834DD">
            <w:pPr>
              <w:ind w:firstLine="0"/>
              <w:jc w:val="center"/>
              <w:rPr>
                <w:rFonts w:eastAsia="Times New Roman" w:cs="Times New Roman"/>
                <w:color w:val="000000"/>
                <w:sz w:val="20"/>
                <w:szCs w:val="20"/>
                <w:lang w:eastAsia="lv-LV"/>
              </w:rPr>
            </w:pPr>
            <w:r w:rsidRPr="0066793B">
              <w:rPr>
                <w:color w:val="000000"/>
                <w:sz w:val="20"/>
                <w:szCs w:val="20"/>
              </w:rPr>
              <w:t>0,0</w:t>
            </w:r>
          </w:p>
        </w:tc>
      </w:tr>
      <w:tr w:rsidR="006A1FC0" w:rsidRPr="0066793B" w14:paraId="48F67D1B" w14:textId="77777777" w:rsidTr="000800F9">
        <w:trPr>
          <w:trHeight w:val="312"/>
          <w:jc w:val="center"/>
        </w:trPr>
        <w:tc>
          <w:tcPr>
            <w:tcW w:w="2689"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bottom"/>
            <w:hideMark/>
          </w:tcPr>
          <w:p w14:paraId="3D549008" w14:textId="77777777" w:rsidR="006A1FC0" w:rsidRPr="00F831E6" w:rsidRDefault="006A1FC0" w:rsidP="00A834DD">
            <w:pPr>
              <w:ind w:firstLine="0"/>
              <w:jc w:val="left"/>
              <w:rPr>
                <w:rFonts w:eastAsia="Times New Roman" w:cs="Times New Roman"/>
                <w:color w:val="000000"/>
                <w:sz w:val="18"/>
                <w:szCs w:val="18"/>
                <w:lang w:eastAsia="lv-LV"/>
              </w:rPr>
            </w:pPr>
            <w:r w:rsidRPr="00F831E6">
              <w:rPr>
                <w:rFonts w:eastAsia="Times New Roman" w:cs="Times New Roman"/>
                <w:color w:val="000000"/>
                <w:sz w:val="18"/>
                <w:szCs w:val="18"/>
                <w:lang w:eastAsia="lv-LV"/>
              </w:rPr>
              <w:t>enerģijas cenas pieauguma mazināšanas pasākumi</w:t>
            </w: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70265806" w14:textId="77777777" w:rsidR="006A1FC0" w:rsidRPr="00F831E6" w:rsidRDefault="006A1FC0" w:rsidP="00A834DD">
            <w:pPr>
              <w:ind w:firstLine="0"/>
              <w:jc w:val="center"/>
              <w:rPr>
                <w:rFonts w:eastAsia="Times New Roman" w:cs="Times New Roman"/>
                <w:color w:val="000000"/>
                <w:sz w:val="20"/>
                <w:szCs w:val="20"/>
                <w:lang w:eastAsia="lv-LV"/>
              </w:rPr>
            </w:pP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0A0BC536" w14:textId="77777777" w:rsidR="006A1FC0" w:rsidRPr="00F831E6" w:rsidRDefault="006A1FC0" w:rsidP="00A834DD">
            <w:pPr>
              <w:ind w:firstLine="0"/>
              <w:jc w:val="center"/>
              <w:rPr>
                <w:rFonts w:eastAsia="Times New Roman" w:cs="Times New Roman"/>
                <w:color w:val="000000"/>
                <w:sz w:val="20"/>
                <w:szCs w:val="20"/>
                <w:lang w:eastAsia="lv-LV"/>
              </w:rPr>
            </w:pPr>
            <w:r w:rsidRPr="0066793B">
              <w:rPr>
                <w:sz w:val="20"/>
                <w:szCs w:val="20"/>
              </w:rPr>
              <w:t>-1,9</w:t>
            </w: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009952CE" w14:textId="77777777" w:rsidR="006A1FC0" w:rsidRPr="00F831E6" w:rsidRDefault="006A1FC0" w:rsidP="00A834DD">
            <w:pPr>
              <w:ind w:firstLine="0"/>
              <w:jc w:val="center"/>
              <w:rPr>
                <w:rFonts w:eastAsia="Times New Roman" w:cs="Times New Roman"/>
                <w:color w:val="000000"/>
                <w:sz w:val="20"/>
                <w:szCs w:val="20"/>
                <w:lang w:eastAsia="lv-LV"/>
              </w:rPr>
            </w:pPr>
            <w:r w:rsidRPr="0066793B">
              <w:rPr>
                <w:sz w:val="20"/>
                <w:szCs w:val="20"/>
              </w:rPr>
              <w:t>-1 001,2</w:t>
            </w:r>
          </w:p>
        </w:tc>
        <w:tc>
          <w:tcPr>
            <w:tcW w:w="986" w:type="dxa"/>
            <w:gridSpan w:val="2"/>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150A666E" w14:textId="77777777" w:rsidR="006A1FC0" w:rsidRPr="00F831E6" w:rsidRDefault="006A1FC0" w:rsidP="00A834DD">
            <w:pPr>
              <w:ind w:firstLine="0"/>
              <w:jc w:val="center"/>
              <w:rPr>
                <w:rFonts w:eastAsia="Times New Roman" w:cs="Times New Roman"/>
                <w:color w:val="000000"/>
                <w:sz w:val="20"/>
                <w:szCs w:val="20"/>
                <w:lang w:eastAsia="lv-LV"/>
              </w:rPr>
            </w:pPr>
            <w:r w:rsidRPr="0066793B">
              <w:rPr>
                <w:sz w:val="20"/>
                <w:szCs w:val="20"/>
              </w:rPr>
              <w:t>-606,8</w:t>
            </w: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4B084947" w14:textId="77777777" w:rsidR="006A1FC0" w:rsidRPr="00F831E6" w:rsidRDefault="006A1FC0" w:rsidP="00A834DD">
            <w:pPr>
              <w:ind w:firstLine="0"/>
              <w:jc w:val="center"/>
              <w:rPr>
                <w:rFonts w:eastAsia="Times New Roman" w:cs="Times New Roman"/>
                <w:color w:val="000000"/>
                <w:sz w:val="20"/>
                <w:szCs w:val="20"/>
                <w:lang w:eastAsia="lv-LV"/>
              </w:rPr>
            </w:pP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17EFFA6E" w14:textId="77777777" w:rsidR="006A1FC0" w:rsidRPr="00F831E6" w:rsidRDefault="006A1FC0" w:rsidP="00A834DD">
            <w:pPr>
              <w:ind w:firstLine="0"/>
              <w:jc w:val="center"/>
              <w:rPr>
                <w:rFonts w:eastAsia="Times New Roman" w:cs="Times New Roman"/>
                <w:color w:val="000000"/>
                <w:sz w:val="20"/>
                <w:szCs w:val="20"/>
                <w:lang w:eastAsia="lv-LV"/>
              </w:rPr>
            </w:pPr>
          </w:p>
        </w:tc>
        <w:tc>
          <w:tcPr>
            <w:tcW w:w="98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tcPr>
          <w:p w14:paraId="6C6710A5" w14:textId="77777777" w:rsidR="006A1FC0" w:rsidRPr="00F831E6" w:rsidRDefault="006A1FC0" w:rsidP="00A834DD">
            <w:pPr>
              <w:ind w:firstLine="0"/>
              <w:jc w:val="center"/>
              <w:rPr>
                <w:rFonts w:eastAsia="Times New Roman" w:cs="Times New Roman"/>
                <w:color w:val="000000"/>
                <w:sz w:val="20"/>
                <w:szCs w:val="20"/>
                <w:lang w:eastAsia="lv-LV"/>
              </w:rPr>
            </w:pPr>
          </w:p>
        </w:tc>
      </w:tr>
      <w:tr w:rsidR="006A1FC0" w:rsidRPr="0066793B" w14:paraId="7A3AEEB9" w14:textId="77777777" w:rsidTr="000800F9">
        <w:trPr>
          <w:trHeight w:val="312"/>
          <w:jc w:val="center"/>
        </w:trPr>
        <w:tc>
          <w:tcPr>
            <w:tcW w:w="2689"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bottom"/>
            <w:hideMark/>
          </w:tcPr>
          <w:p w14:paraId="332A55B1" w14:textId="77777777" w:rsidR="006A1FC0" w:rsidRPr="00F831E6" w:rsidRDefault="006A1FC0" w:rsidP="00A834DD">
            <w:pPr>
              <w:ind w:firstLine="0"/>
              <w:jc w:val="left"/>
              <w:rPr>
                <w:rFonts w:eastAsia="Times New Roman" w:cs="Times New Roman"/>
                <w:color w:val="000000"/>
                <w:sz w:val="18"/>
                <w:szCs w:val="18"/>
                <w:lang w:eastAsia="lv-LV"/>
              </w:rPr>
            </w:pPr>
            <w:r w:rsidRPr="00F831E6">
              <w:rPr>
                <w:rFonts w:eastAsia="Times New Roman" w:cs="Times New Roman"/>
                <w:color w:val="000000"/>
                <w:sz w:val="18"/>
                <w:szCs w:val="18"/>
                <w:lang w:eastAsia="lv-LV"/>
              </w:rPr>
              <w:t>aizsardzības un iekšējās drošības finansējums</w:t>
            </w: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7A263BD1" w14:textId="77777777" w:rsidR="006A1FC0" w:rsidRPr="00F831E6" w:rsidRDefault="006A1FC0" w:rsidP="00A834DD">
            <w:pPr>
              <w:ind w:firstLine="0"/>
              <w:jc w:val="center"/>
              <w:rPr>
                <w:rFonts w:eastAsia="Times New Roman" w:cs="Times New Roman"/>
                <w:color w:val="000000"/>
                <w:sz w:val="20"/>
                <w:szCs w:val="20"/>
                <w:lang w:eastAsia="lv-LV"/>
              </w:rPr>
            </w:pP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27D1BCEF" w14:textId="77777777" w:rsidR="006A1FC0" w:rsidRPr="00F831E6" w:rsidRDefault="006A1FC0" w:rsidP="00A834DD">
            <w:pPr>
              <w:ind w:firstLine="0"/>
              <w:jc w:val="center"/>
              <w:rPr>
                <w:rFonts w:eastAsia="Times New Roman" w:cs="Times New Roman"/>
                <w:color w:val="000000"/>
                <w:sz w:val="20"/>
                <w:szCs w:val="20"/>
                <w:lang w:eastAsia="lv-LV"/>
              </w:rPr>
            </w:pP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3449E7FA" w14:textId="77777777" w:rsidR="006A1FC0" w:rsidRPr="00F831E6" w:rsidRDefault="006A1FC0" w:rsidP="00A834DD">
            <w:pPr>
              <w:ind w:firstLine="0"/>
              <w:jc w:val="center"/>
              <w:rPr>
                <w:rFonts w:eastAsia="Times New Roman" w:cs="Times New Roman"/>
                <w:color w:val="000000"/>
                <w:sz w:val="20"/>
                <w:szCs w:val="20"/>
                <w:lang w:eastAsia="lv-LV"/>
              </w:rPr>
            </w:pPr>
          </w:p>
        </w:tc>
        <w:tc>
          <w:tcPr>
            <w:tcW w:w="986" w:type="dxa"/>
            <w:gridSpan w:val="2"/>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125542C8" w14:textId="77777777" w:rsidR="006A1FC0" w:rsidRPr="00F831E6" w:rsidRDefault="006A1FC0" w:rsidP="00A834DD">
            <w:pPr>
              <w:ind w:firstLine="0"/>
              <w:jc w:val="center"/>
              <w:rPr>
                <w:rFonts w:eastAsia="Times New Roman" w:cs="Times New Roman"/>
                <w:color w:val="000000"/>
                <w:sz w:val="20"/>
                <w:szCs w:val="20"/>
                <w:lang w:eastAsia="lv-LV"/>
              </w:rPr>
            </w:pPr>
            <w:r w:rsidRPr="0066793B">
              <w:rPr>
                <w:sz w:val="20"/>
                <w:szCs w:val="20"/>
              </w:rPr>
              <w:t>-194,7</w:t>
            </w: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6BEFA7C7" w14:textId="77777777" w:rsidR="006A1FC0" w:rsidRPr="00F831E6" w:rsidRDefault="006A1FC0" w:rsidP="00A834DD">
            <w:pPr>
              <w:ind w:firstLine="0"/>
              <w:jc w:val="center"/>
              <w:rPr>
                <w:rFonts w:eastAsia="Times New Roman" w:cs="Times New Roman"/>
                <w:color w:val="000000"/>
                <w:sz w:val="20"/>
                <w:szCs w:val="20"/>
                <w:lang w:eastAsia="lv-LV"/>
              </w:rPr>
            </w:pPr>
            <w:r w:rsidRPr="0066793B">
              <w:rPr>
                <w:sz w:val="20"/>
                <w:szCs w:val="20"/>
              </w:rPr>
              <w:t>-302,7</w:t>
            </w: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6404752D" w14:textId="77777777" w:rsidR="006A1FC0" w:rsidRPr="00F831E6" w:rsidRDefault="006A1FC0" w:rsidP="00A834DD">
            <w:pPr>
              <w:ind w:firstLine="0"/>
              <w:jc w:val="center"/>
              <w:rPr>
                <w:rFonts w:eastAsia="Times New Roman" w:cs="Times New Roman"/>
                <w:color w:val="000000"/>
                <w:sz w:val="20"/>
                <w:szCs w:val="20"/>
                <w:lang w:eastAsia="lv-LV"/>
              </w:rPr>
            </w:pPr>
            <w:r w:rsidRPr="0066793B">
              <w:rPr>
                <w:sz w:val="20"/>
                <w:szCs w:val="20"/>
              </w:rPr>
              <w:t>-358,8</w:t>
            </w:r>
          </w:p>
        </w:tc>
        <w:tc>
          <w:tcPr>
            <w:tcW w:w="98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tcPr>
          <w:p w14:paraId="1A10312B" w14:textId="77777777" w:rsidR="006A1FC0" w:rsidRPr="00F831E6" w:rsidRDefault="006A1FC0" w:rsidP="00A834DD">
            <w:pPr>
              <w:ind w:firstLine="0"/>
              <w:jc w:val="center"/>
              <w:rPr>
                <w:rFonts w:eastAsia="Times New Roman" w:cs="Times New Roman"/>
                <w:color w:val="000000"/>
                <w:sz w:val="20"/>
                <w:szCs w:val="20"/>
                <w:lang w:eastAsia="lv-LV"/>
              </w:rPr>
            </w:pPr>
            <w:r w:rsidRPr="0066793B">
              <w:rPr>
                <w:sz w:val="20"/>
                <w:szCs w:val="20"/>
              </w:rPr>
              <w:t>-348,1</w:t>
            </w:r>
          </w:p>
        </w:tc>
      </w:tr>
      <w:tr w:rsidR="006A1FC0" w:rsidRPr="0066793B" w14:paraId="532B884D" w14:textId="77777777" w:rsidTr="000800F9">
        <w:trPr>
          <w:trHeight w:val="312"/>
          <w:jc w:val="center"/>
        </w:trPr>
        <w:tc>
          <w:tcPr>
            <w:tcW w:w="2689"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bottom"/>
            <w:hideMark/>
          </w:tcPr>
          <w:p w14:paraId="41E52093" w14:textId="77777777" w:rsidR="006A1FC0" w:rsidRPr="00F831E6" w:rsidRDefault="006A1FC0" w:rsidP="00A834DD">
            <w:pPr>
              <w:ind w:firstLine="0"/>
              <w:jc w:val="left"/>
              <w:rPr>
                <w:rFonts w:eastAsia="Times New Roman" w:cs="Times New Roman"/>
                <w:color w:val="000000"/>
                <w:sz w:val="18"/>
                <w:szCs w:val="18"/>
                <w:lang w:eastAsia="lv-LV"/>
              </w:rPr>
            </w:pPr>
            <w:r w:rsidRPr="00F831E6">
              <w:rPr>
                <w:rFonts w:eastAsia="Times New Roman" w:cs="Times New Roman"/>
                <w:color w:val="000000"/>
                <w:sz w:val="18"/>
                <w:szCs w:val="18"/>
                <w:lang w:eastAsia="lv-LV"/>
              </w:rPr>
              <w:t>atbalsts bēgļiem no Ukrainas</w:t>
            </w: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0E1F7A80" w14:textId="77777777" w:rsidR="006A1FC0" w:rsidRPr="00F831E6" w:rsidRDefault="006A1FC0" w:rsidP="00A834DD">
            <w:pPr>
              <w:ind w:firstLine="0"/>
              <w:jc w:val="center"/>
              <w:rPr>
                <w:rFonts w:eastAsia="Times New Roman" w:cs="Times New Roman"/>
                <w:color w:val="000000"/>
                <w:sz w:val="20"/>
                <w:szCs w:val="20"/>
                <w:lang w:eastAsia="lv-LV"/>
              </w:rPr>
            </w:pP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68AB44D5" w14:textId="77777777" w:rsidR="006A1FC0" w:rsidRPr="00F831E6" w:rsidRDefault="006A1FC0" w:rsidP="00A834DD">
            <w:pPr>
              <w:ind w:firstLine="0"/>
              <w:jc w:val="center"/>
              <w:rPr>
                <w:rFonts w:eastAsia="Times New Roman" w:cs="Times New Roman"/>
                <w:color w:val="000000"/>
                <w:sz w:val="20"/>
                <w:szCs w:val="20"/>
                <w:lang w:eastAsia="lv-LV"/>
              </w:rPr>
            </w:pP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0D7C9266" w14:textId="77777777" w:rsidR="006A1FC0" w:rsidRPr="00F831E6" w:rsidRDefault="006A1FC0" w:rsidP="00A834DD">
            <w:pPr>
              <w:ind w:firstLine="0"/>
              <w:jc w:val="center"/>
              <w:rPr>
                <w:rFonts w:eastAsia="Times New Roman" w:cs="Times New Roman"/>
                <w:color w:val="000000"/>
                <w:sz w:val="20"/>
                <w:szCs w:val="20"/>
                <w:lang w:eastAsia="lv-LV"/>
              </w:rPr>
            </w:pPr>
            <w:r w:rsidRPr="0066793B">
              <w:rPr>
                <w:sz w:val="20"/>
                <w:szCs w:val="20"/>
              </w:rPr>
              <w:t>-81,0</w:t>
            </w:r>
          </w:p>
        </w:tc>
        <w:tc>
          <w:tcPr>
            <w:tcW w:w="986" w:type="dxa"/>
            <w:gridSpan w:val="2"/>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7F08FF8F" w14:textId="77777777" w:rsidR="006A1FC0" w:rsidRPr="00F831E6" w:rsidRDefault="006A1FC0" w:rsidP="00A834DD">
            <w:pPr>
              <w:ind w:firstLine="0"/>
              <w:jc w:val="center"/>
              <w:rPr>
                <w:rFonts w:eastAsia="Times New Roman" w:cs="Times New Roman"/>
                <w:color w:val="000000"/>
                <w:sz w:val="20"/>
                <w:szCs w:val="20"/>
                <w:lang w:eastAsia="lv-LV"/>
              </w:rPr>
            </w:pPr>
            <w:r w:rsidRPr="0066793B">
              <w:rPr>
                <w:sz w:val="20"/>
                <w:szCs w:val="20"/>
              </w:rPr>
              <w:t>-102,0</w:t>
            </w: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17410D1C" w14:textId="77777777" w:rsidR="006A1FC0" w:rsidRPr="00F831E6" w:rsidRDefault="006A1FC0" w:rsidP="00A834DD">
            <w:pPr>
              <w:ind w:firstLine="0"/>
              <w:jc w:val="center"/>
              <w:rPr>
                <w:rFonts w:eastAsia="Times New Roman" w:cs="Times New Roman"/>
                <w:color w:val="000000"/>
                <w:sz w:val="20"/>
                <w:szCs w:val="20"/>
                <w:lang w:eastAsia="lv-LV"/>
              </w:rPr>
            </w:pP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35A09DE6" w14:textId="77777777" w:rsidR="006A1FC0" w:rsidRPr="00F831E6" w:rsidRDefault="006A1FC0" w:rsidP="00A834DD">
            <w:pPr>
              <w:ind w:firstLine="0"/>
              <w:jc w:val="center"/>
              <w:rPr>
                <w:rFonts w:eastAsia="Times New Roman" w:cs="Times New Roman"/>
                <w:color w:val="000000"/>
                <w:sz w:val="20"/>
                <w:szCs w:val="20"/>
                <w:lang w:eastAsia="lv-LV"/>
              </w:rPr>
            </w:pPr>
          </w:p>
        </w:tc>
        <w:tc>
          <w:tcPr>
            <w:tcW w:w="98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tcPr>
          <w:p w14:paraId="6DD65944" w14:textId="77777777" w:rsidR="006A1FC0" w:rsidRPr="00F831E6" w:rsidRDefault="006A1FC0" w:rsidP="00A834DD">
            <w:pPr>
              <w:ind w:firstLine="0"/>
              <w:jc w:val="center"/>
              <w:rPr>
                <w:rFonts w:eastAsia="Times New Roman" w:cs="Times New Roman"/>
                <w:color w:val="000000"/>
                <w:sz w:val="20"/>
                <w:szCs w:val="20"/>
                <w:lang w:eastAsia="lv-LV"/>
              </w:rPr>
            </w:pPr>
          </w:p>
        </w:tc>
      </w:tr>
      <w:tr w:rsidR="006A1FC0" w:rsidRPr="0066793B" w14:paraId="55152EE0" w14:textId="77777777" w:rsidTr="000800F9">
        <w:trPr>
          <w:trHeight w:val="312"/>
          <w:jc w:val="center"/>
        </w:trPr>
        <w:tc>
          <w:tcPr>
            <w:tcW w:w="2689"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bottom"/>
            <w:hideMark/>
          </w:tcPr>
          <w:p w14:paraId="4818E2E4" w14:textId="77777777" w:rsidR="006A1FC0" w:rsidRPr="00F831E6" w:rsidRDefault="006A1FC0" w:rsidP="00A834DD">
            <w:pPr>
              <w:ind w:firstLine="0"/>
              <w:jc w:val="left"/>
              <w:rPr>
                <w:rFonts w:eastAsia="Times New Roman" w:cs="Times New Roman"/>
                <w:color w:val="000000"/>
                <w:sz w:val="18"/>
                <w:szCs w:val="18"/>
                <w:lang w:eastAsia="lv-LV"/>
              </w:rPr>
            </w:pPr>
            <w:r w:rsidRPr="00F831E6">
              <w:rPr>
                <w:rFonts w:eastAsia="Times New Roman" w:cs="Times New Roman"/>
                <w:color w:val="000000"/>
                <w:sz w:val="18"/>
                <w:szCs w:val="18"/>
                <w:lang w:eastAsia="lv-LV"/>
              </w:rPr>
              <w:t>citi</w:t>
            </w: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7DC51466" w14:textId="77777777" w:rsidR="006A1FC0" w:rsidRPr="00F831E6" w:rsidRDefault="006A1FC0" w:rsidP="00A834DD">
            <w:pPr>
              <w:ind w:firstLine="0"/>
              <w:jc w:val="center"/>
              <w:rPr>
                <w:rFonts w:eastAsia="Times New Roman" w:cs="Times New Roman"/>
                <w:color w:val="000000"/>
                <w:sz w:val="20"/>
                <w:szCs w:val="20"/>
                <w:lang w:eastAsia="lv-LV"/>
              </w:rPr>
            </w:pPr>
            <w:r w:rsidRPr="0066793B">
              <w:rPr>
                <w:sz w:val="20"/>
                <w:szCs w:val="20"/>
              </w:rPr>
              <w:t>-57,9</w:t>
            </w: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0CAC8984" w14:textId="77777777" w:rsidR="006A1FC0" w:rsidRPr="00F831E6" w:rsidRDefault="006A1FC0" w:rsidP="00A834DD">
            <w:pPr>
              <w:ind w:firstLine="0"/>
              <w:jc w:val="center"/>
              <w:rPr>
                <w:rFonts w:eastAsia="Times New Roman" w:cs="Times New Roman"/>
                <w:color w:val="000000"/>
                <w:sz w:val="20"/>
                <w:szCs w:val="20"/>
                <w:lang w:eastAsia="lv-LV"/>
              </w:rPr>
            </w:pPr>
            <w:r w:rsidRPr="0066793B">
              <w:rPr>
                <w:sz w:val="20"/>
                <w:szCs w:val="20"/>
              </w:rPr>
              <w:t>49,9</w:t>
            </w: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52243530" w14:textId="77777777" w:rsidR="006A1FC0" w:rsidRPr="00F831E6" w:rsidRDefault="006A1FC0" w:rsidP="00A834DD">
            <w:pPr>
              <w:ind w:firstLine="0"/>
              <w:jc w:val="center"/>
              <w:rPr>
                <w:rFonts w:eastAsia="Times New Roman" w:cs="Times New Roman"/>
                <w:color w:val="000000"/>
                <w:sz w:val="20"/>
                <w:szCs w:val="20"/>
                <w:lang w:eastAsia="lv-LV"/>
              </w:rPr>
            </w:pPr>
          </w:p>
        </w:tc>
        <w:tc>
          <w:tcPr>
            <w:tcW w:w="986" w:type="dxa"/>
            <w:gridSpan w:val="2"/>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52196108" w14:textId="77777777" w:rsidR="006A1FC0" w:rsidRPr="00F831E6" w:rsidRDefault="006A1FC0" w:rsidP="00A834DD">
            <w:pPr>
              <w:ind w:firstLine="0"/>
              <w:jc w:val="center"/>
              <w:rPr>
                <w:rFonts w:eastAsia="Times New Roman" w:cs="Times New Roman"/>
                <w:color w:val="000000"/>
                <w:sz w:val="20"/>
                <w:szCs w:val="20"/>
                <w:lang w:eastAsia="lv-LV"/>
              </w:rPr>
            </w:pPr>
            <w:r w:rsidRPr="0066793B">
              <w:rPr>
                <w:sz w:val="20"/>
                <w:szCs w:val="20"/>
              </w:rPr>
              <w:t>-300,8</w:t>
            </w: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32AC4DA5" w14:textId="77777777" w:rsidR="006A1FC0" w:rsidRPr="00F831E6" w:rsidRDefault="006A1FC0" w:rsidP="00A834DD">
            <w:pPr>
              <w:ind w:firstLine="0"/>
              <w:jc w:val="center"/>
              <w:rPr>
                <w:rFonts w:eastAsia="Times New Roman" w:cs="Times New Roman"/>
                <w:color w:val="000000"/>
                <w:sz w:val="20"/>
                <w:szCs w:val="20"/>
                <w:lang w:eastAsia="lv-LV"/>
              </w:rPr>
            </w:pPr>
            <w:r w:rsidRPr="0066793B">
              <w:rPr>
                <w:sz w:val="20"/>
                <w:szCs w:val="20"/>
              </w:rPr>
              <w:t>-384,5</w:t>
            </w: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172B6F56" w14:textId="77777777" w:rsidR="006A1FC0" w:rsidRPr="00F831E6" w:rsidRDefault="006A1FC0" w:rsidP="00A834DD">
            <w:pPr>
              <w:ind w:firstLine="0"/>
              <w:jc w:val="center"/>
              <w:rPr>
                <w:rFonts w:eastAsia="Times New Roman" w:cs="Times New Roman"/>
                <w:color w:val="000000"/>
                <w:sz w:val="20"/>
                <w:szCs w:val="20"/>
                <w:lang w:eastAsia="lv-LV"/>
              </w:rPr>
            </w:pPr>
            <w:r w:rsidRPr="0066793B">
              <w:rPr>
                <w:sz w:val="20"/>
                <w:szCs w:val="20"/>
              </w:rPr>
              <w:t>-350,6</w:t>
            </w:r>
          </w:p>
        </w:tc>
        <w:tc>
          <w:tcPr>
            <w:tcW w:w="98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tcPr>
          <w:p w14:paraId="785AF926" w14:textId="77777777" w:rsidR="006A1FC0" w:rsidRPr="00F831E6" w:rsidRDefault="006A1FC0" w:rsidP="00A834DD">
            <w:pPr>
              <w:ind w:firstLine="0"/>
              <w:jc w:val="center"/>
              <w:rPr>
                <w:rFonts w:eastAsia="Times New Roman" w:cs="Times New Roman"/>
                <w:color w:val="000000"/>
                <w:sz w:val="20"/>
                <w:szCs w:val="20"/>
                <w:lang w:eastAsia="lv-LV"/>
              </w:rPr>
            </w:pPr>
          </w:p>
        </w:tc>
      </w:tr>
      <w:tr w:rsidR="006A1FC0" w:rsidRPr="0066793B" w14:paraId="62834B13" w14:textId="77777777" w:rsidTr="000800F9">
        <w:trPr>
          <w:trHeight w:val="103"/>
          <w:jc w:val="center"/>
        </w:trPr>
        <w:tc>
          <w:tcPr>
            <w:tcW w:w="2689"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noWrap/>
            <w:vAlign w:val="bottom"/>
          </w:tcPr>
          <w:p w14:paraId="28B41BD2" w14:textId="77777777" w:rsidR="006A1FC0" w:rsidRPr="0066793B" w:rsidRDefault="006A1FC0" w:rsidP="00A834DD">
            <w:pPr>
              <w:ind w:firstLine="0"/>
              <w:jc w:val="left"/>
              <w:rPr>
                <w:rFonts w:eastAsia="Times New Roman" w:cs="Times New Roman"/>
                <w:color w:val="000000"/>
                <w:sz w:val="18"/>
                <w:szCs w:val="18"/>
                <w:lang w:eastAsia="lv-LV"/>
              </w:rPr>
            </w:pPr>
          </w:p>
        </w:tc>
        <w:tc>
          <w:tcPr>
            <w:tcW w:w="2976" w:type="dxa"/>
            <w:gridSpan w:val="4"/>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noWrap/>
            <w:vAlign w:val="center"/>
          </w:tcPr>
          <w:p w14:paraId="209C15F7" w14:textId="77777777" w:rsidR="006A1FC0" w:rsidRPr="0066793B" w:rsidRDefault="006A1FC0" w:rsidP="00A834DD">
            <w:pPr>
              <w:ind w:firstLine="0"/>
              <w:jc w:val="center"/>
              <w:rPr>
                <w:rFonts w:eastAsia="Times New Roman" w:cs="Times New Roman"/>
                <w:color w:val="000000"/>
                <w:sz w:val="20"/>
                <w:szCs w:val="20"/>
                <w:lang w:eastAsia="lv-LV"/>
              </w:rPr>
            </w:pPr>
            <w:r>
              <w:rPr>
                <w:rFonts w:eastAsia="Times New Roman" w:cs="Times New Roman"/>
                <w:color w:val="000000"/>
                <w:sz w:val="20"/>
                <w:szCs w:val="20"/>
                <w:lang w:eastAsia="lv-LV"/>
              </w:rPr>
              <w:t>fakts/novērtējums</w:t>
            </w:r>
          </w:p>
        </w:tc>
        <w:tc>
          <w:tcPr>
            <w:tcW w:w="3927" w:type="dxa"/>
            <w:gridSpan w:val="4"/>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noWrap/>
            <w:vAlign w:val="center"/>
          </w:tcPr>
          <w:p w14:paraId="1F0373EF" w14:textId="77777777" w:rsidR="006A1FC0" w:rsidRPr="0066793B" w:rsidRDefault="006A1FC0" w:rsidP="00A834DD">
            <w:pPr>
              <w:ind w:firstLine="0"/>
              <w:jc w:val="center"/>
              <w:rPr>
                <w:rFonts w:eastAsia="Times New Roman" w:cs="Times New Roman"/>
                <w:color w:val="000000"/>
                <w:sz w:val="20"/>
                <w:szCs w:val="20"/>
                <w:lang w:eastAsia="lv-LV"/>
              </w:rPr>
            </w:pPr>
            <w:r>
              <w:rPr>
                <w:rFonts w:eastAsia="Times New Roman" w:cs="Times New Roman"/>
                <w:color w:val="000000"/>
                <w:sz w:val="20"/>
                <w:szCs w:val="20"/>
                <w:lang w:eastAsia="lv-LV"/>
              </w:rPr>
              <w:t>prognoze</w:t>
            </w:r>
          </w:p>
        </w:tc>
      </w:tr>
      <w:tr w:rsidR="006A1FC0" w:rsidRPr="00805038" w14:paraId="25EE8980" w14:textId="77777777" w:rsidTr="000800F9">
        <w:trPr>
          <w:trHeight w:val="312"/>
          <w:jc w:val="center"/>
        </w:trPr>
        <w:tc>
          <w:tcPr>
            <w:tcW w:w="2689"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DEEAF6" w:themeFill="accent1" w:themeFillTint="33"/>
            <w:noWrap/>
            <w:vAlign w:val="bottom"/>
            <w:hideMark/>
          </w:tcPr>
          <w:p w14:paraId="61E3FB08" w14:textId="77777777" w:rsidR="006A1FC0" w:rsidRPr="00F831E6" w:rsidRDefault="006A1FC0" w:rsidP="00A834DD">
            <w:pPr>
              <w:ind w:firstLine="0"/>
              <w:jc w:val="left"/>
              <w:rPr>
                <w:rFonts w:eastAsia="Times New Roman" w:cs="Times New Roman"/>
                <w:b/>
                <w:bCs/>
                <w:color w:val="000000"/>
                <w:sz w:val="18"/>
                <w:szCs w:val="18"/>
                <w:lang w:eastAsia="lv-LV"/>
              </w:rPr>
            </w:pPr>
            <w:proofErr w:type="spellStart"/>
            <w:r w:rsidRPr="00F831E6">
              <w:rPr>
                <w:rFonts w:eastAsia="Times New Roman" w:cs="Times New Roman"/>
                <w:b/>
                <w:bCs/>
                <w:i/>
                <w:iCs/>
                <w:color w:val="000000"/>
                <w:sz w:val="18"/>
                <w:szCs w:val="18"/>
                <w:lang w:eastAsia="lv-LV"/>
              </w:rPr>
              <w:t>One-off</w:t>
            </w:r>
            <w:proofErr w:type="spellEnd"/>
            <w:r w:rsidRPr="00F831E6">
              <w:rPr>
                <w:rFonts w:eastAsia="Times New Roman" w:cs="Times New Roman"/>
                <w:b/>
                <w:bCs/>
                <w:color w:val="000000"/>
                <w:sz w:val="18"/>
                <w:szCs w:val="18"/>
                <w:lang w:eastAsia="lv-LV"/>
              </w:rPr>
              <w:t xml:space="preserve"> un citi īslaicīgie pasākumi, % no IKP, tai skaitā</w:t>
            </w: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DEEAF6" w:themeFill="accent1" w:themeFillTint="33"/>
            <w:noWrap/>
            <w:vAlign w:val="center"/>
          </w:tcPr>
          <w:p w14:paraId="022247AA" w14:textId="77777777" w:rsidR="006A1FC0" w:rsidRPr="00F831E6" w:rsidRDefault="006A1FC0" w:rsidP="00A834DD">
            <w:pPr>
              <w:ind w:firstLine="0"/>
              <w:jc w:val="center"/>
              <w:rPr>
                <w:rFonts w:eastAsia="Times New Roman" w:cs="Times New Roman"/>
                <w:b/>
                <w:bCs/>
                <w:color w:val="000000"/>
                <w:sz w:val="20"/>
                <w:szCs w:val="20"/>
                <w:lang w:eastAsia="lv-LV"/>
              </w:rPr>
            </w:pPr>
            <w:r w:rsidRPr="00805038">
              <w:rPr>
                <w:b/>
                <w:bCs/>
                <w:sz w:val="20"/>
                <w:szCs w:val="20"/>
              </w:rPr>
              <w:t>-3,4</w:t>
            </w: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DEEAF6" w:themeFill="accent1" w:themeFillTint="33"/>
            <w:noWrap/>
            <w:vAlign w:val="center"/>
          </w:tcPr>
          <w:p w14:paraId="7823EB7E" w14:textId="77777777" w:rsidR="006A1FC0" w:rsidRPr="00F831E6" w:rsidRDefault="006A1FC0" w:rsidP="00A834DD">
            <w:pPr>
              <w:ind w:firstLine="0"/>
              <w:jc w:val="center"/>
              <w:rPr>
                <w:rFonts w:eastAsia="Times New Roman" w:cs="Times New Roman"/>
                <w:b/>
                <w:bCs/>
                <w:color w:val="000000"/>
                <w:sz w:val="20"/>
                <w:szCs w:val="20"/>
                <w:lang w:eastAsia="lv-LV"/>
              </w:rPr>
            </w:pPr>
            <w:r w:rsidRPr="00805038">
              <w:rPr>
                <w:b/>
                <w:bCs/>
                <w:sz w:val="20"/>
                <w:szCs w:val="20"/>
              </w:rPr>
              <w:t>-6,1</w:t>
            </w: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DEEAF6" w:themeFill="accent1" w:themeFillTint="33"/>
            <w:noWrap/>
            <w:vAlign w:val="center"/>
          </w:tcPr>
          <w:p w14:paraId="150E3D76" w14:textId="77777777" w:rsidR="006A1FC0" w:rsidRPr="00F831E6" w:rsidRDefault="006A1FC0" w:rsidP="00A834DD">
            <w:pPr>
              <w:ind w:firstLine="0"/>
              <w:jc w:val="center"/>
              <w:rPr>
                <w:rFonts w:eastAsia="Times New Roman" w:cs="Times New Roman"/>
                <w:b/>
                <w:bCs/>
                <w:color w:val="000000"/>
                <w:sz w:val="20"/>
                <w:szCs w:val="20"/>
                <w:lang w:eastAsia="lv-LV"/>
              </w:rPr>
            </w:pPr>
            <w:r w:rsidRPr="00805038">
              <w:rPr>
                <w:b/>
                <w:bCs/>
                <w:color w:val="000000"/>
                <w:sz w:val="20"/>
                <w:szCs w:val="20"/>
              </w:rPr>
              <w:t>-4,8</w:t>
            </w:r>
          </w:p>
        </w:tc>
        <w:tc>
          <w:tcPr>
            <w:tcW w:w="986" w:type="dxa"/>
            <w:gridSpan w:val="2"/>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DEEAF6" w:themeFill="accent1" w:themeFillTint="33"/>
            <w:noWrap/>
            <w:vAlign w:val="center"/>
          </w:tcPr>
          <w:p w14:paraId="5E5885A6" w14:textId="77777777" w:rsidR="006A1FC0" w:rsidRPr="00F831E6" w:rsidRDefault="006A1FC0" w:rsidP="00A834DD">
            <w:pPr>
              <w:ind w:firstLine="0"/>
              <w:jc w:val="center"/>
              <w:rPr>
                <w:rFonts w:eastAsia="Times New Roman" w:cs="Times New Roman"/>
                <w:b/>
                <w:bCs/>
                <w:color w:val="000000"/>
                <w:sz w:val="20"/>
                <w:szCs w:val="20"/>
                <w:lang w:eastAsia="lv-LV"/>
              </w:rPr>
            </w:pPr>
            <w:r w:rsidRPr="00805038">
              <w:rPr>
                <w:b/>
                <w:bCs/>
                <w:color w:val="000000"/>
                <w:sz w:val="20"/>
                <w:szCs w:val="20"/>
              </w:rPr>
              <w:t>-3,0</w:t>
            </w: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DEEAF6" w:themeFill="accent1" w:themeFillTint="33"/>
            <w:noWrap/>
            <w:vAlign w:val="center"/>
          </w:tcPr>
          <w:p w14:paraId="050C0A79" w14:textId="77777777" w:rsidR="006A1FC0" w:rsidRPr="00F831E6" w:rsidRDefault="006A1FC0" w:rsidP="00A834DD">
            <w:pPr>
              <w:ind w:firstLine="0"/>
              <w:jc w:val="center"/>
              <w:rPr>
                <w:rFonts w:eastAsia="Times New Roman" w:cs="Times New Roman"/>
                <w:b/>
                <w:bCs/>
                <w:color w:val="000000"/>
                <w:sz w:val="20"/>
                <w:szCs w:val="20"/>
                <w:lang w:eastAsia="lv-LV"/>
              </w:rPr>
            </w:pPr>
            <w:r w:rsidRPr="00805038">
              <w:rPr>
                <w:b/>
                <w:bCs/>
                <w:color w:val="000000"/>
                <w:sz w:val="20"/>
                <w:szCs w:val="20"/>
              </w:rPr>
              <w:t>-1,5</w:t>
            </w: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DEEAF6" w:themeFill="accent1" w:themeFillTint="33"/>
            <w:noWrap/>
            <w:vAlign w:val="center"/>
          </w:tcPr>
          <w:p w14:paraId="39FA7D47" w14:textId="77777777" w:rsidR="006A1FC0" w:rsidRPr="00F831E6" w:rsidRDefault="006A1FC0" w:rsidP="00A834DD">
            <w:pPr>
              <w:ind w:firstLine="0"/>
              <w:jc w:val="center"/>
              <w:rPr>
                <w:rFonts w:eastAsia="Times New Roman" w:cs="Times New Roman"/>
                <w:b/>
                <w:bCs/>
                <w:color w:val="000000"/>
                <w:sz w:val="20"/>
                <w:szCs w:val="20"/>
                <w:lang w:eastAsia="lv-LV"/>
              </w:rPr>
            </w:pPr>
            <w:r w:rsidRPr="00805038">
              <w:rPr>
                <w:b/>
                <w:bCs/>
                <w:color w:val="000000"/>
                <w:sz w:val="20"/>
                <w:szCs w:val="20"/>
              </w:rPr>
              <w:t>-1,5</w:t>
            </w:r>
          </w:p>
        </w:tc>
        <w:tc>
          <w:tcPr>
            <w:tcW w:w="98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DEEAF6" w:themeFill="accent1" w:themeFillTint="33"/>
            <w:vAlign w:val="center"/>
          </w:tcPr>
          <w:p w14:paraId="59A4E4E8" w14:textId="77777777" w:rsidR="006A1FC0" w:rsidRPr="00F831E6" w:rsidRDefault="006A1FC0" w:rsidP="00A834DD">
            <w:pPr>
              <w:ind w:firstLine="0"/>
              <w:jc w:val="center"/>
              <w:rPr>
                <w:rFonts w:eastAsia="Times New Roman" w:cs="Times New Roman"/>
                <w:b/>
                <w:bCs/>
                <w:color w:val="000000"/>
                <w:sz w:val="20"/>
                <w:szCs w:val="20"/>
                <w:lang w:eastAsia="lv-LV"/>
              </w:rPr>
            </w:pPr>
            <w:r w:rsidRPr="00805038">
              <w:rPr>
                <w:b/>
                <w:bCs/>
                <w:color w:val="000000"/>
                <w:sz w:val="20"/>
                <w:szCs w:val="20"/>
              </w:rPr>
              <w:t>-0,7</w:t>
            </w:r>
          </w:p>
        </w:tc>
      </w:tr>
      <w:tr w:rsidR="006A1FC0" w:rsidRPr="0066793B" w14:paraId="60C4AA24" w14:textId="77777777" w:rsidTr="000800F9">
        <w:trPr>
          <w:trHeight w:val="312"/>
          <w:jc w:val="center"/>
        </w:trPr>
        <w:tc>
          <w:tcPr>
            <w:tcW w:w="2689"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bottom"/>
            <w:hideMark/>
          </w:tcPr>
          <w:p w14:paraId="4B1DB895" w14:textId="77777777" w:rsidR="006A1FC0" w:rsidRPr="00F831E6" w:rsidRDefault="006A1FC0" w:rsidP="00A834DD">
            <w:pPr>
              <w:ind w:firstLine="0"/>
              <w:jc w:val="left"/>
              <w:rPr>
                <w:rFonts w:eastAsia="Times New Roman" w:cs="Times New Roman"/>
                <w:color w:val="000000"/>
                <w:sz w:val="18"/>
                <w:szCs w:val="18"/>
                <w:lang w:eastAsia="lv-LV"/>
              </w:rPr>
            </w:pPr>
            <w:r w:rsidRPr="00F831E6">
              <w:rPr>
                <w:rFonts w:eastAsia="Times New Roman" w:cs="Times New Roman"/>
                <w:color w:val="000000"/>
                <w:sz w:val="18"/>
                <w:szCs w:val="18"/>
                <w:lang w:eastAsia="lv-LV"/>
              </w:rPr>
              <w:t>COVID -19 pandēmijas mazināšanas pasākumi</w:t>
            </w: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4E3F181A" w14:textId="77777777" w:rsidR="006A1FC0" w:rsidRPr="00F831E6" w:rsidRDefault="006A1FC0" w:rsidP="00A834DD">
            <w:pPr>
              <w:ind w:firstLine="0"/>
              <w:jc w:val="center"/>
              <w:rPr>
                <w:rFonts w:eastAsia="Times New Roman" w:cs="Times New Roman"/>
                <w:color w:val="000000"/>
                <w:sz w:val="20"/>
                <w:szCs w:val="20"/>
                <w:lang w:eastAsia="lv-LV"/>
              </w:rPr>
            </w:pPr>
            <w:r w:rsidRPr="0066793B">
              <w:rPr>
                <w:sz w:val="20"/>
                <w:szCs w:val="20"/>
              </w:rPr>
              <w:t>-3,2</w:t>
            </w: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658C6D77" w14:textId="77777777" w:rsidR="006A1FC0" w:rsidRPr="00F831E6" w:rsidRDefault="006A1FC0" w:rsidP="00A834DD">
            <w:pPr>
              <w:ind w:firstLine="0"/>
              <w:jc w:val="center"/>
              <w:rPr>
                <w:rFonts w:eastAsia="Times New Roman" w:cs="Times New Roman"/>
                <w:color w:val="000000"/>
                <w:sz w:val="20"/>
                <w:szCs w:val="20"/>
                <w:lang w:eastAsia="lv-LV"/>
              </w:rPr>
            </w:pPr>
            <w:r w:rsidRPr="0066793B">
              <w:rPr>
                <w:sz w:val="20"/>
                <w:szCs w:val="20"/>
              </w:rPr>
              <w:t>-6,3</w:t>
            </w: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57506E22" w14:textId="77777777" w:rsidR="006A1FC0" w:rsidRPr="00F831E6" w:rsidRDefault="006A1FC0" w:rsidP="00A834DD">
            <w:pPr>
              <w:ind w:firstLine="0"/>
              <w:jc w:val="center"/>
              <w:rPr>
                <w:rFonts w:eastAsia="Times New Roman" w:cs="Times New Roman"/>
                <w:color w:val="000000"/>
                <w:sz w:val="20"/>
                <w:szCs w:val="20"/>
                <w:lang w:eastAsia="lv-LV"/>
              </w:rPr>
            </w:pPr>
            <w:r w:rsidRPr="0066793B">
              <w:rPr>
                <w:sz w:val="20"/>
                <w:szCs w:val="20"/>
              </w:rPr>
              <w:t>-2,0</w:t>
            </w:r>
          </w:p>
        </w:tc>
        <w:tc>
          <w:tcPr>
            <w:tcW w:w="986" w:type="dxa"/>
            <w:gridSpan w:val="2"/>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439DEA83" w14:textId="77777777" w:rsidR="006A1FC0" w:rsidRPr="00F831E6" w:rsidRDefault="006A1FC0" w:rsidP="00A834DD">
            <w:pPr>
              <w:ind w:firstLine="0"/>
              <w:jc w:val="center"/>
              <w:rPr>
                <w:rFonts w:eastAsia="Times New Roman" w:cs="Times New Roman"/>
                <w:color w:val="000000"/>
                <w:sz w:val="20"/>
                <w:szCs w:val="20"/>
                <w:lang w:eastAsia="lv-LV"/>
              </w:rPr>
            </w:pPr>
            <w:r w:rsidRPr="0066793B">
              <w:rPr>
                <w:sz w:val="20"/>
                <w:szCs w:val="20"/>
              </w:rPr>
              <w:t>-0,2</w:t>
            </w: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1C3A8D77" w14:textId="77777777" w:rsidR="006A1FC0" w:rsidRPr="00F831E6" w:rsidRDefault="006A1FC0" w:rsidP="00A834DD">
            <w:pPr>
              <w:ind w:firstLine="0"/>
              <w:jc w:val="center"/>
              <w:rPr>
                <w:rFonts w:eastAsia="Times New Roman" w:cs="Times New Roman"/>
                <w:color w:val="000000"/>
                <w:sz w:val="20"/>
                <w:szCs w:val="20"/>
                <w:lang w:eastAsia="lv-LV"/>
              </w:rPr>
            </w:pPr>
            <w:r w:rsidRPr="0066793B">
              <w:rPr>
                <w:sz w:val="20"/>
                <w:szCs w:val="20"/>
              </w:rPr>
              <w:t>0,0</w:t>
            </w: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0D51DAF6" w14:textId="77777777" w:rsidR="006A1FC0" w:rsidRPr="00F831E6" w:rsidRDefault="006A1FC0" w:rsidP="00A834DD">
            <w:pPr>
              <w:ind w:firstLine="0"/>
              <w:jc w:val="center"/>
              <w:rPr>
                <w:rFonts w:eastAsia="Times New Roman" w:cs="Times New Roman"/>
                <w:color w:val="000000"/>
                <w:sz w:val="20"/>
                <w:szCs w:val="20"/>
                <w:lang w:eastAsia="lv-LV"/>
              </w:rPr>
            </w:pPr>
            <w:r w:rsidRPr="0066793B">
              <w:rPr>
                <w:sz w:val="20"/>
                <w:szCs w:val="20"/>
              </w:rPr>
              <w:t>0,0</w:t>
            </w:r>
          </w:p>
        </w:tc>
        <w:tc>
          <w:tcPr>
            <w:tcW w:w="98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tcPr>
          <w:p w14:paraId="1849C2D8" w14:textId="77777777" w:rsidR="006A1FC0" w:rsidRPr="00F831E6" w:rsidRDefault="006A1FC0" w:rsidP="00A834DD">
            <w:pPr>
              <w:ind w:firstLine="0"/>
              <w:jc w:val="center"/>
              <w:rPr>
                <w:rFonts w:eastAsia="Times New Roman" w:cs="Times New Roman"/>
                <w:color w:val="000000"/>
                <w:sz w:val="20"/>
                <w:szCs w:val="20"/>
                <w:lang w:eastAsia="lv-LV"/>
              </w:rPr>
            </w:pPr>
            <w:r w:rsidRPr="0066793B">
              <w:rPr>
                <w:sz w:val="20"/>
                <w:szCs w:val="20"/>
              </w:rPr>
              <w:t>0,0</w:t>
            </w:r>
          </w:p>
        </w:tc>
      </w:tr>
      <w:tr w:rsidR="006A1FC0" w:rsidRPr="0066793B" w14:paraId="6F173D6E" w14:textId="77777777" w:rsidTr="000800F9">
        <w:trPr>
          <w:trHeight w:val="312"/>
          <w:jc w:val="center"/>
        </w:trPr>
        <w:tc>
          <w:tcPr>
            <w:tcW w:w="2689"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bottom"/>
            <w:hideMark/>
          </w:tcPr>
          <w:p w14:paraId="73C00077" w14:textId="77777777" w:rsidR="006A1FC0" w:rsidRPr="00F831E6" w:rsidRDefault="006A1FC0" w:rsidP="00A834DD">
            <w:pPr>
              <w:ind w:firstLine="0"/>
              <w:jc w:val="left"/>
              <w:rPr>
                <w:rFonts w:eastAsia="Times New Roman" w:cs="Times New Roman"/>
                <w:color w:val="000000"/>
                <w:sz w:val="18"/>
                <w:szCs w:val="18"/>
                <w:lang w:eastAsia="lv-LV"/>
              </w:rPr>
            </w:pPr>
            <w:r w:rsidRPr="00F831E6">
              <w:rPr>
                <w:rFonts w:eastAsia="Times New Roman" w:cs="Times New Roman"/>
                <w:color w:val="000000"/>
                <w:sz w:val="18"/>
                <w:szCs w:val="18"/>
                <w:lang w:eastAsia="lv-LV"/>
              </w:rPr>
              <w:t>enerģijas cenas pieauguma mazināšanas pasākumi</w:t>
            </w: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27DEC9D2" w14:textId="77777777" w:rsidR="006A1FC0" w:rsidRPr="00F831E6" w:rsidRDefault="006A1FC0" w:rsidP="00A834DD">
            <w:pPr>
              <w:ind w:firstLine="0"/>
              <w:jc w:val="center"/>
              <w:rPr>
                <w:rFonts w:eastAsia="Times New Roman" w:cs="Times New Roman"/>
                <w:color w:val="000000"/>
                <w:sz w:val="20"/>
                <w:szCs w:val="20"/>
                <w:lang w:eastAsia="lv-LV"/>
              </w:rPr>
            </w:pPr>
            <w:r w:rsidRPr="0066793B">
              <w:rPr>
                <w:sz w:val="20"/>
                <w:szCs w:val="20"/>
              </w:rPr>
              <w:t> </w:t>
            </w: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28F1490B" w14:textId="77777777" w:rsidR="006A1FC0" w:rsidRPr="00F831E6" w:rsidRDefault="006A1FC0" w:rsidP="00A834DD">
            <w:pPr>
              <w:ind w:firstLine="0"/>
              <w:jc w:val="center"/>
              <w:rPr>
                <w:rFonts w:eastAsia="Times New Roman" w:cs="Times New Roman"/>
                <w:color w:val="000000"/>
                <w:sz w:val="20"/>
                <w:szCs w:val="20"/>
                <w:lang w:eastAsia="lv-LV"/>
              </w:rPr>
            </w:pPr>
            <w:r w:rsidRPr="0066793B">
              <w:rPr>
                <w:sz w:val="20"/>
                <w:szCs w:val="20"/>
              </w:rPr>
              <w:t>0,0</w:t>
            </w: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4B8BF6F9" w14:textId="77777777" w:rsidR="006A1FC0" w:rsidRPr="00F831E6" w:rsidRDefault="006A1FC0" w:rsidP="00A834DD">
            <w:pPr>
              <w:ind w:firstLine="0"/>
              <w:jc w:val="center"/>
              <w:rPr>
                <w:rFonts w:eastAsia="Times New Roman" w:cs="Times New Roman"/>
                <w:color w:val="000000"/>
                <w:sz w:val="20"/>
                <w:szCs w:val="20"/>
                <w:lang w:eastAsia="lv-LV"/>
              </w:rPr>
            </w:pPr>
            <w:r w:rsidRPr="0066793B">
              <w:rPr>
                <w:sz w:val="20"/>
                <w:szCs w:val="20"/>
              </w:rPr>
              <w:t>-2,6</w:t>
            </w:r>
          </w:p>
        </w:tc>
        <w:tc>
          <w:tcPr>
            <w:tcW w:w="986" w:type="dxa"/>
            <w:gridSpan w:val="2"/>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538E8F57" w14:textId="77777777" w:rsidR="006A1FC0" w:rsidRPr="00F831E6" w:rsidRDefault="006A1FC0" w:rsidP="00A834DD">
            <w:pPr>
              <w:ind w:firstLine="0"/>
              <w:jc w:val="center"/>
              <w:rPr>
                <w:rFonts w:eastAsia="Times New Roman" w:cs="Times New Roman"/>
                <w:color w:val="000000"/>
                <w:sz w:val="20"/>
                <w:szCs w:val="20"/>
                <w:lang w:eastAsia="lv-LV"/>
              </w:rPr>
            </w:pPr>
            <w:r w:rsidRPr="0066793B">
              <w:rPr>
                <w:sz w:val="20"/>
                <w:szCs w:val="20"/>
              </w:rPr>
              <w:t>-1,4</w:t>
            </w: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1F1DD120" w14:textId="77777777" w:rsidR="006A1FC0" w:rsidRPr="00F831E6" w:rsidRDefault="006A1FC0" w:rsidP="00A834DD">
            <w:pPr>
              <w:ind w:firstLine="0"/>
              <w:jc w:val="center"/>
              <w:rPr>
                <w:rFonts w:eastAsia="Times New Roman" w:cs="Times New Roman"/>
                <w:color w:val="000000"/>
                <w:sz w:val="20"/>
                <w:szCs w:val="20"/>
                <w:lang w:eastAsia="lv-LV"/>
              </w:rPr>
            </w:pPr>
            <w:r w:rsidRPr="0066793B">
              <w:rPr>
                <w:sz w:val="20"/>
                <w:szCs w:val="20"/>
              </w:rPr>
              <w:t> </w:t>
            </w: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55EC8E44" w14:textId="77777777" w:rsidR="006A1FC0" w:rsidRPr="00F831E6" w:rsidRDefault="006A1FC0" w:rsidP="00A834DD">
            <w:pPr>
              <w:ind w:firstLine="0"/>
              <w:jc w:val="center"/>
              <w:rPr>
                <w:rFonts w:eastAsia="Times New Roman" w:cs="Times New Roman"/>
                <w:color w:val="000000"/>
                <w:sz w:val="20"/>
                <w:szCs w:val="20"/>
                <w:lang w:eastAsia="lv-LV"/>
              </w:rPr>
            </w:pPr>
            <w:r w:rsidRPr="0066793B">
              <w:rPr>
                <w:sz w:val="20"/>
                <w:szCs w:val="20"/>
              </w:rPr>
              <w:t> </w:t>
            </w:r>
          </w:p>
        </w:tc>
        <w:tc>
          <w:tcPr>
            <w:tcW w:w="98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bottom"/>
          </w:tcPr>
          <w:p w14:paraId="6F1AB824" w14:textId="77777777" w:rsidR="006A1FC0" w:rsidRPr="00F831E6" w:rsidRDefault="006A1FC0" w:rsidP="00A834DD">
            <w:pPr>
              <w:ind w:firstLine="0"/>
              <w:jc w:val="center"/>
              <w:rPr>
                <w:rFonts w:eastAsia="Times New Roman" w:cs="Times New Roman"/>
                <w:color w:val="000000"/>
                <w:sz w:val="20"/>
                <w:szCs w:val="20"/>
                <w:lang w:eastAsia="lv-LV"/>
              </w:rPr>
            </w:pPr>
            <w:r w:rsidRPr="0066793B">
              <w:rPr>
                <w:color w:val="000000"/>
              </w:rPr>
              <w:t> </w:t>
            </w:r>
          </w:p>
        </w:tc>
      </w:tr>
      <w:tr w:rsidR="006A1FC0" w:rsidRPr="0066793B" w14:paraId="7CB21B86" w14:textId="77777777" w:rsidTr="000800F9">
        <w:trPr>
          <w:trHeight w:val="312"/>
          <w:jc w:val="center"/>
        </w:trPr>
        <w:tc>
          <w:tcPr>
            <w:tcW w:w="2689"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bottom"/>
            <w:hideMark/>
          </w:tcPr>
          <w:p w14:paraId="699C84A4" w14:textId="77777777" w:rsidR="006A1FC0" w:rsidRPr="00F831E6" w:rsidRDefault="006A1FC0" w:rsidP="00A834DD">
            <w:pPr>
              <w:ind w:firstLine="0"/>
              <w:jc w:val="left"/>
              <w:rPr>
                <w:rFonts w:eastAsia="Times New Roman" w:cs="Times New Roman"/>
                <w:color w:val="000000"/>
                <w:sz w:val="18"/>
                <w:szCs w:val="18"/>
                <w:lang w:eastAsia="lv-LV"/>
              </w:rPr>
            </w:pPr>
            <w:r w:rsidRPr="00F831E6">
              <w:rPr>
                <w:rFonts w:eastAsia="Times New Roman" w:cs="Times New Roman"/>
                <w:color w:val="000000"/>
                <w:sz w:val="18"/>
                <w:szCs w:val="18"/>
                <w:lang w:eastAsia="lv-LV"/>
              </w:rPr>
              <w:t>aizsardzības un iekšējās drošības finansējums</w:t>
            </w: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34998622" w14:textId="77777777" w:rsidR="006A1FC0" w:rsidRPr="00F831E6" w:rsidRDefault="006A1FC0" w:rsidP="00A834DD">
            <w:pPr>
              <w:ind w:firstLine="0"/>
              <w:jc w:val="center"/>
              <w:rPr>
                <w:rFonts w:eastAsia="Times New Roman" w:cs="Times New Roman"/>
                <w:color w:val="000000"/>
                <w:sz w:val="20"/>
                <w:szCs w:val="20"/>
                <w:lang w:eastAsia="lv-LV"/>
              </w:rPr>
            </w:pPr>
            <w:r w:rsidRPr="0066793B">
              <w:rPr>
                <w:color w:val="000000"/>
                <w:sz w:val="20"/>
                <w:szCs w:val="20"/>
              </w:rPr>
              <w:t> </w:t>
            </w: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00BB982D" w14:textId="77777777" w:rsidR="006A1FC0" w:rsidRPr="00F831E6" w:rsidRDefault="006A1FC0" w:rsidP="00A834DD">
            <w:pPr>
              <w:ind w:firstLine="0"/>
              <w:jc w:val="center"/>
              <w:rPr>
                <w:rFonts w:eastAsia="Times New Roman" w:cs="Times New Roman"/>
                <w:color w:val="000000"/>
                <w:sz w:val="20"/>
                <w:szCs w:val="20"/>
                <w:lang w:eastAsia="lv-LV"/>
              </w:rPr>
            </w:pPr>
            <w:r w:rsidRPr="0066793B">
              <w:rPr>
                <w:color w:val="000000"/>
                <w:sz w:val="20"/>
                <w:szCs w:val="20"/>
              </w:rPr>
              <w:t> </w:t>
            </w: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37C9B750" w14:textId="77777777" w:rsidR="006A1FC0" w:rsidRPr="00F831E6" w:rsidRDefault="006A1FC0" w:rsidP="00A834DD">
            <w:pPr>
              <w:ind w:firstLine="0"/>
              <w:jc w:val="center"/>
              <w:rPr>
                <w:rFonts w:eastAsia="Times New Roman" w:cs="Times New Roman"/>
                <w:color w:val="000000"/>
                <w:sz w:val="20"/>
                <w:szCs w:val="20"/>
                <w:lang w:eastAsia="lv-LV"/>
              </w:rPr>
            </w:pPr>
            <w:r w:rsidRPr="0066793B">
              <w:rPr>
                <w:sz w:val="20"/>
                <w:szCs w:val="20"/>
              </w:rPr>
              <w:t> </w:t>
            </w:r>
          </w:p>
        </w:tc>
        <w:tc>
          <w:tcPr>
            <w:tcW w:w="986" w:type="dxa"/>
            <w:gridSpan w:val="2"/>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508A3E0C" w14:textId="77777777" w:rsidR="006A1FC0" w:rsidRPr="00F831E6" w:rsidRDefault="006A1FC0" w:rsidP="00A834DD">
            <w:pPr>
              <w:ind w:firstLine="0"/>
              <w:jc w:val="center"/>
              <w:rPr>
                <w:rFonts w:eastAsia="Times New Roman" w:cs="Times New Roman"/>
                <w:color w:val="000000"/>
                <w:sz w:val="20"/>
                <w:szCs w:val="20"/>
                <w:lang w:eastAsia="lv-LV"/>
              </w:rPr>
            </w:pPr>
            <w:r w:rsidRPr="0066793B">
              <w:rPr>
                <w:sz w:val="20"/>
                <w:szCs w:val="20"/>
              </w:rPr>
              <w:t>-0,4</w:t>
            </w: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627B2A53" w14:textId="77777777" w:rsidR="006A1FC0" w:rsidRPr="00F831E6" w:rsidRDefault="006A1FC0" w:rsidP="00A834DD">
            <w:pPr>
              <w:ind w:firstLine="0"/>
              <w:jc w:val="center"/>
              <w:rPr>
                <w:rFonts w:eastAsia="Times New Roman" w:cs="Times New Roman"/>
                <w:color w:val="000000"/>
                <w:sz w:val="20"/>
                <w:szCs w:val="20"/>
                <w:lang w:eastAsia="lv-LV"/>
              </w:rPr>
            </w:pPr>
            <w:r w:rsidRPr="0066793B">
              <w:rPr>
                <w:sz w:val="20"/>
                <w:szCs w:val="20"/>
              </w:rPr>
              <w:t>-0,7</w:t>
            </w: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2A13956F" w14:textId="77777777" w:rsidR="006A1FC0" w:rsidRPr="00F831E6" w:rsidRDefault="006A1FC0" w:rsidP="00A834DD">
            <w:pPr>
              <w:ind w:firstLine="0"/>
              <w:jc w:val="center"/>
              <w:rPr>
                <w:rFonts w:eastAsia="Times New Roman" w:cs="Times New Roman"/>
                <w:color w:val="000000"/>
                <w:sz w:val="20"/>
                <w:szCs w:val="20"/>
                <w:lang w:eastAsia="lv-LV"/>
              </w:rPr>
            </w:pPr>
            <w:r w:rsidRPr="0066793B">
              <w:rPr>
                <w:sz w:val="20"/>
                <w:szCs w:val="20"/>
              </w:rPr>
              <w:t>-0,7</w:t>
            </w:r>
          </w:p>
        </w:tc>
        <w:tc>
          <w:tcPr>
            <w:tcW w:w="98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tcPr>
          <w:p w14:paraId="4C5890A6" w14:textId="77777777" w:rsidR="006A1FC0" w:rsidRPr="00F831E6" w:rsidRDefault="006A1FC0" w:rsidP="00A834DD">
            <w:pPr>
              <w:ind w:firstLine="0"/>
              <w:jc w:val="center"/>
              <w:rPr>
                <w:rFonts w:eastAsia="Times New Roman" w:cs="Times New Roman"/>
                <w:color w:val="000000"/>
                <w:sz w:val="20"/>
                <w:szCs w:val="20"/>
                <w:lang w:eastAsia="lv-LV"/>
              </w:rPr>
            </w:pPr>
            <w:r w:rsidRPr="0066793B">
              <w:rPr>
                <w:sz w:val="20"/>
                <w:szCs w:val="20"/>
              </w:rPr>
              <w:t>-0,7</w:t>
            </w:r>
          </w:p>
        </w:tc>
      </w:tr>
      <w:tr w:rsidR="006A1FC0" w:rsidRPr="0066793B" w14:paraId="2B5BC041" w14:textId="77777777" w:rsidTr="000800F9">
        <w:trPr>
          <w:trHeight w:val="312"/>
          <w:jc w:val="center"/>
        </w:trPr>
        <w:tc>
          <w:tcPr>
            <w:tcW w:w="2689"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bottom"/>
            <w:hideMark/>
          </w:tcPr>
          <w:p w14:paraId="57D6E11C" w14:textId="77777777" w:rsidR="006A1FC0" w:rsidRPr="00F831E6" w:rsidRDefault="006A1FC0" w:rsidP="00A834DD">
            <w:pPr>
              <w:ind w:firstLine="0"/>
              <w:jc w:val="left"/>
              <w:rPr>
                <w:rFonts w:eastAsia="Times New Roman" w:cs="Times New Roman"/>
                <w:color w:val="000000"/>
                <w:sz w:val="18"/>
                <w:szCs w:val="18"/>
                <w:lang w:eastAsia="lv-LV"/>
              </w:rPr>
            </w:pPr>
            <w:r w:rsidRPr="00F831E6">
              <w:rPr>
                <w:rFonts w:eastAsia="Times New Roman" w:cs="Times New Roman"/>
                <w:color w:val="000000"/>
                <w:sz w:val="18"/>
                <w:szCs w:val="18"/>
                <w:lang w:eastAsia="lv-LV"/>
              </w:rPr>
              <w:t>atbalsts bēgļiem no Ukrainas</w:t>
            </w: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6986CBB5" w14:textId="77777777" w:rsidR="006A1FC0" w:rsidRPr="00F831E6" w:rsidRDefault="006A1FC0" w:rsidP="00A834DD">
            <w:pPr>
              <w:ind w:firstLine="0"/>
              <w:jc w:val="center"/>
              <w:rPr>
                <w:rFonts w:eastAsia="Times New Roman" w:cs="Times New Roman"/>
                <w:color w:val="000000"/>
                <w:sz w:val="20"/>
                <w:szCs w:val="20"/>
                <w:lang w:eastAsia="lv-LV"/>
              </w:rPr>
            </w:pPr>
            <w:r w:rsidRPr="0066793B">
              <w:rPr>
                <w:color w:val="000000"/>
                <w:sz w:val="20"/>
                <w:szCs w:val="20"/>
              </w:rPr>
              <w:t> </w:t>
            </w: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7341C51A" w14:textId="77777777" w:rsidR="006A1FC0" w:rsidRPr="00F831E6" w:rsidRDefault="006A1FC0" w:rsidP="00A834DD">
            <w:pPr>
              <w:ind w:firstLine="0"/>
              <w:jc w:val="center"/>
              <w:rPr>
                <w:rFonts w:eastAsia="Times New Roman" w:cs="Times New Roman"/>
                <w:color w:val="000000"/>
                <w:sz w:val="20"/>
                <w:szCs w:val="20"/>
                <w:lang w:eastAsia="lv-LV"/>
              </w:rPr>
            </w:pPr>
            <w:r w:rsidRPr="0066793B">
              <w:rPr>
                <w:color w:val="000000"/>
                <w:sz w:val="20"/>
                <w:szCs w:val="20"/>
              </w:rPr>
              <w:t> </w:t>
            </w: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3D337B4B" w14:textId="77777777" w:rsidR="006A1FC0" w:rsidRPr="00F831E6" w:rsidRDefault="006A1FC0" w:rsidP="00A834DD">
            <w:pPr>
              <w:ind w:firstLine="0"/>
              <w:jc w:val="center"/>
              <w:rPr>
                <w:rFonts w:eastAsia="Times New Roman" w:cs="Times New Roman"/>
                <w:color w:val="000000"/>
                <w:sz w:val="20"/>
                <w:szCs w:val="20"/>
                <w:lang w:eastAsia="lv-LV"/>
              </w:rPr>
            </w:pPr>
            <w:r w:rsidRPr="0066793B">
              <w:rPr>
                <w:sz w:val="20"/>
                <w:szCs w:val="20"/>
              </w:rPr>
              <w:t>-0,2</w:t>
            </w:r>
          </w:p>
        </w:tc>
        <w:tc>
          <w:tcPr>
            <w:tcW w:w="986" w:type="dxa"/>
            <w:gridSpan w:val="2"/>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7B0DC808" w14:textId="77777777" w:rsidR="006A1FC0" w:rsidRPr="00F831E6" w:rsidRDefault="006A1FC0" w:rsidP="00A834DD">
            <w:pPr>
              <w:ind w:firstLine="0"/>
              <w:jc w:val="center"/>
              <w:rPr>
                <w:rFonts w:eastAsia="Times New Roman" w:cs="Times New Roman"/>
                <w:color w:val="000000"/>
                <w:sz w:val="20"/>
                <w:szCs w:val="20"/>
                <w:lang w:eastAsia="lv-LV"/>
              </w:rPr>
            </w:pPr>
            <w:r w:rsidRPr="0066793B">
              <w:rPr>
                <w:sz w:val="20"/>
                <w:szCs w:val="20"/>
              </w:rPr>
              <w:t>-0,2</w:t>
            </w: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5ABFC84D" w14:textId="77777777" w:rsidR="006A1FC0" w:rsidRPr="00F831E6" w:rsidRDefault="006A1FC0" w:rsidP="00A834DD">
            <w:pPr>
              <w:ind w:firstLine="0"/>
              <w:jc w:val="center"/>
              <w:rPr>
                <w:rFonts w:eastAsia="Times New Roman" w:cs="Times New Roman"/>
                <w:color w:val="000000"/>
                <w:sz w:val="20"/>
                <w:szCs w:val="20"/>
                <w:lang w:eastAsia="lv-LV"/>
              </w:rPr>
            </w:pPr>
            <w:r w:rsidRPr="0066793B">
              <w:rPr>
                <w:sz w:val="20"/>
                <w:szCs w:val="20"/>
              </w:rPr>
              <w:t> </w:t>
            </w: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0A74134F" w14:textId="77777777" w:rsidR="006A1FC0" w:rsidRPr="00F831E6" w:rsidRDefault="006A1FC0" w:rsidP="00A834DD">
            <w:pPr>
              <w:ind w:firstLine="0"/>
              <w:jc w:val="center"/>
              <w:rPr>
                <w:rFonts w:eastAsia="Times New Roman" w:cs="Times New Roman"/>
                <w:color w:val="000000"/>
                <w:sz w:val="20"/>
                <w:szCs w:val="20"/>
                <w:lang w:eastAsia="lv-LV"/>
              </w:rPr>
            </w:pPr>
            <w:r w:rsidRPr="0066793B">
              <w:rPr>
                <w:sz w:val="20"/>
                <w:szCs w:val="20"/>
              </w:rPr>
              <w:t> </w:t>
            </w:r>
          </w:p>
        </w:tc>
        <w:tc>
          <w:tcPr>
            <w:tcW w:w="98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bottom"/>
          </w:tcPr>
          <w:p w14:paraId="22156F4E" w14:textId="77777777" w:rsidR="006A1FC0" w:rsidRPr="00F831E6" w:rsidRDefault="006A1FC0" w:rsidP="00A834DD">
            <w:pPr>
              <w:ind w:firstLine="0"/>
              <w:jc w:val="center"/>
              <w:rPr>
                <w:rFonts w:eastAsia="Times New Roman" w:cs="Times New Roman"/>
                <w:color w:val="000000"/>
                <w:sz w:val="20"/>
                <w:szCs w:val="20"/>
                <w:lang w:eastAsia="lv-LV"/>
              </w:rPr>
            </w:pPr>
            <w:r w:rsidRPr="0066793B">
              <w:rPr>
                <w:color w:val="000000"/>
              </w:rPr>
              <w:t> </w:t>
            </w:r>
          </w:p>
        </w:tc>
      </w:tr>
      <w:tr w:rsidR="006A1FC0" w:rsidRPr="00F831E6" w14:paraId="28383664" w14:textId="77777777" w:rsidTr="000800F9">
        <w:trPr>
          <w:trHeight w:val="312"/>
          <w:jc w:val="center"/>
        </w:trPr>
        <w:tc>
          <w:tcPr>
            <w:tcW w:w="2689"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bottom"/>
            <w:hideMark/>
          </w:tcPr>
          <w:p w14:paraId="79EB4AF0" w14:textId="77777777" w:rsidR="006A1FC0" w:rsidRPr="00F831E6" w:rsidRDefault="006A1FC0" w:rsidP="00A834DD">
            <w:pPr>
              <w:ind w:firstLine="0"/>
              <w:jc w:val="left"/>
              <w:rPr>
                <w:rFonts w:eastAsia="Times New Roman" w:cs="Times New Roman"/>
                <w:color w:val="000000"/>
                <w:sz w:val="18"/>
                <w:szCs w:val="18"/>
                <w:lang w:eastAsia="lv-LV"/>
              </w:rPr>
            </w:pPr>
            <w:r w:rsidRPr="00F831E6">
              <w:rPr>
                <w:rFonts w:eastAsia="Times New Roman" w:cs="Times New Roman"/>
                <w:color w:val="000000"/>
                <w:sz w:val="18"/>
                <w:szCs w:val="18"/>
                <w:lang w:eastAsia="lv-LV"/>
              </w:rPr>
              <w:t>citi</w:t>
            </w: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52A6C469" w14:textId="77777777" w:rsidR="006A1FC0" w:rsidRPr="00F831E6" w:rsidRDefault="006A1FC0" w:rsidP="00A834DD">
            <w:pPr>
              <w:ind w:firstLine="0"/>
              <w:jc w:val="center"/>
              <w:rPr>
                <w:rFonts w:eastAsia="Times New Roman" w:cs="Times New Roman"/>
                <w:color w:val="000000"/>
                <w:sz w:val="20"/>
                <w:szCs w:val="20"/>
                <w:lang w:eastAsia="lv-LV"/>
              </w:rPr>
            </w:pPr>
            <w:r w:rsidRPr="0066793B">
              <w:rPr>
                <w:color w:val="000000"/>
                <w:sz w:val="20"/>
                <w:szCs w:val="20"/>
              </w:rPr>
              <w:t>-0,2</w:t>
            </w: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62C9C749" w14:textId="77777777" w:rsidR="006A1FC0" w:rsidRPr="00F831E6" w:rsidRDefault="006A1FC0" w:rsidP="00A834DD">
            <w:pPr>
              <w:ind w:firstLine="0"/>
              <w:jc w:val="center"/>
              <w:rPr>
                <w:rFonts w:eastAsia="Times New Roman" w:cs="Times New Roman"/>
                <w:color w:val="000000"/>
                <w:sz w:val="20"/>
                <w:szCs w:val="20"/>
                <w:lang w:eastAsia="lv-LV"/>
              </w:rPr>
            </w:pPr>
            <w:r w:rsidRPr="0066793B">
              <w:rPr>
                <w:color w:val="000000"/>
                <w:sz w:val="20"/>
                <w:szCs w:val="20"/>
              </w:rPr>
              <w:t>0,1</w:t>
            </w: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71EF1EDF" w14:textId="77777777" w:rsidR="006A1FC0" w:rsidRPr="00F831E6" w:rsidRDefault="006A1FC0" w:rsidP="00A834DD">
            <w:pPr>
              <w:ind w:firstLine="0"/>
              <w:jc w:val="center"/>
              <w:rPr>
                <w:rFonts w:eastAsia="Times New Roman" w:cs="Times New Roman"/>
                <w:color w:val="000000"/>
                <w:sz w:val="20"/>
                <w:szCs w:val="20"/>
                <w:lang w:eastAsia="lv-LV"/>
              </w:rPr>
            </w:pPr>
            <w:r w:rsidRPr="0066793B">
              <w:rPr>
                <w:sz w:val="20"/>
                <w:szCs w:val="20"/>
              </w:rPr>
              <w:t> </w:t>
            </w:r>
          </w:p>
        </w:tc>
        <w:tc>
          <w:tcPr>
            <w:tcW w:w="986" w:type="dxa"/>
            <w:gridSpan w:val="2"/>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7D804BAA" w14:textId="77777777" w:rsidR="006A1FC0" w:rsidRPr="00F831E6" w:rsidRDefault="006A1FC0" w:rsidP="00A834DD">
            <w:pPr>
              <w:ind w:firstLine="0"/>
              <w:jc w:val="center"/>
              <w:rPr>
                <w:rFonts w:eastAsia="Times New Roman" w:cs="Times New Roman"/>
                <w:color w:val="000000"/>
                <w:sz w:val="20"/>
                <w:szCs w:val="20"/>
                <w:lang w:eastAsia="lv-LV"/>
              </w:rPr>
            </w:pPr>
            <w:r w:rsidRPr="0066793B">
              <w:rPr>
                <w:sz w:val="20"/>
                <w:szCs w:val="20"/>
              </w:rPr>
              <w:t>-0,7</w:t>
            </w: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3DE3C64C" w14:textId="77777777" w:rsidR="006A1FC0" w:rsidRPr="00F831E6" w:rsidRDefault="006A1FC0" w:rsidP="00A834DD">
            <w:pPr>
              <w:ind w:firstLine="0"/>
              <w:jc w:val="center"/>
              <w:rPr>
                <w:rFonts w:eastAsia="Times New Roman" w:cs="Times New Roman"/>
                <w:color w:val="000000"/>
                <w:sz w:val="20"/>
                <w:szCs w:val="20"/>
                <w:lang w:eastAsia="lv-LV"/>
              </w:rPr>
            </w:pPr>
            <w:r w:rsidRPr="0066793B">
              <w:rPr>
                <w:sz w:val="20"/>
                <w:szCs w:val="20"/>
              </w:rPr>
              <w:t>-0,8</w:t>
            </w:r>
          </w:p>
        </w:tc>
        <w:tc>
          <w:tcPr>
            <w:tcW w:w="98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center"/>
          </w:tcPr>
          <w:p w14:paraId="663B3018" w14:textId="77777777" w:rsidR="006A1FC0" w:rsidRPr="00F831E6" w:rsidRDefault="006A1FC0" w:rsidP="00A834DD">
            <w:pPr>
              <w:ind w:firstLine="0"/>
              <w:jc w:val="center"/>
              <w:rPr>
                <w:rFonts w:eastAsia="Times New Roman" w:cs="Times New Roman"/>
                <w:color w:val="000000"/>
                <w:sz w:val="20"/>
                <w:szCs w:val="20"/>
                <w:lang w:eastAsia="lv-LV"/>
              </w:rPr>
            </w:pPr>
            <w:r w:rsidRPr="0066793B">
              <w:rPr>
                <w:sz w:val="20"/>
                <w:szCs w:val="20"/>
              </w:rPr>
              <w:t>-0,7</w:t>
            </w:r>
          </w:p>
        </w:tc>
        <w:tc>
          <w:tcPr>
            <w:tcW w:w="98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bottom"/>
          </w:tcPr>
          <w:p w14:paraId="07B0E46F" w14:textId="77777777" w:rsidR="006A1FC0" w:rsidRPr="00F831E6" w:rsidRDefault="006A1FC0" w:rsidP="00A834DD">
            <w:pPr>
              <w:ind w:firstLine="0"/>
              <w:jc w:val="center"/>
              <w:rPr>
                <w:rFonts w:eastAsia="Times New Roman" w:cs="Times New Roman"/>
                <w:color w:val="000000"/>
                <w:sz w:val="20"/>
                <w:szCs w:val="20"/>
                <w:lang w:eastAsia="lv-LV"/>
              </w:rPr>
            </w:pPr>
            <w:r w:rsidRPr="0066793B">
              <w:rPr>
                <w:color w:val="000000"/>
              </w:rPr>
              <w:t> </w:t>
            </w:r>
          </w:p>
        </w:tc>
      </w:tr>
    </w:tbl>
    <w:p w14:paraId="0F8B596C" w14:textId="77777777" w:rsidR="006A1FC0" w:rsidRDefault="006A1FC0" w:rsidP="006A1FC0">
      <w:pPr>
        <w:ind w:firstLine="709"/>
        <w:rPr>
          <w:rFonts w:eastAsia="Calibri" w:cs="Times New Roman"/>
          <w:color w:val="000000"/>
          <w:sz w:val="24"/>
        </w:rPr>
      </w:pPr>
    </w:p>
    <w:p w14:paraId="40AD400D" w14:textId="4EBC5E7B" w:rsidR="006A1FC0" w:rsidRPr="006A1FC0" w:rsidRDefault="006A1FC0" w:rsidP="000800F9">
      <w:pPr>
        <w:spacing w:after="120"/>
        <w:ind w:firstLine="0"/>
        <w:rPr>
          <w:rFonts w:eastAsia="Calibri" w:cs="Times New Roman"/>
          <w:color w:val="000000"/>
          <w:sz w:val="24"/>
        </w:rPr>
      </w:pPr>
      <w:r>
        <w:rPr>
          <w:rFonts w:eastAsia="Calibri" w:cs="Times New Roman"/>
          <w:color w:val="000000"/>
          <w:sz w:val="24"/>
        </w:rPr>
        <w:tab/>
      </w:r>
      <w:r w:rsidRPr="00E66D48">
        <w:rPr>
          <w:rFonts w:eastAsia="Calibri" w:cs="Times New Roman"/>
          <w:color w:val="000000"/>
          <w:sz w:val="24"/>
        </w:rPr>
        <w:t xml:space="preserve"> </w:t>
      </w:r>
      <w:r w:rsidRPr="00C652A3">
        <w:rPr>
          <w:rFonts w:eastAsia="Calibri" w:cs="Times New Roman"/>
          <w:b/>
          <w:bCs/>
          <w:color w:val="000000"/>
          <w:sz w:val="24"/>
        </w:rPr>
        <w:t>Uzkrāto bilanču starpības</w:t>
      </w:r>
    </w:p>
    <w:p w14:paraId="517F1C12" w14:textId="77777777" w:rsidR="006A1FC0" w:rsidRPr="00C652A3" w:rsidRDefault="006A1FC0" w:rsidP="006A1FC0">
      <w:pPr>
        <w:ind w:firstLine="709"/>
        <w:rPr>
          <w:rFonts w:eastAsia="Calibri" w:cs="Times New Roman"/>
          <w:color w:val="000000"/>
          <w:sz w:val="24"/>
        </w:rPr>
      </w:pPr>
      <w:r w:rsidRPr="00C652A3">
        <w:rPr>
          <w:rFonts w:eastAsia="Calibri" w:cs="Times New Roman"/>
          <w:color w:val="000000"/>
          <w:sz w:val="24"/>
        </w:rPr>
        <w:t xml:space="preserve">FDL 11. pants nosaka automātisko </w:t>
      </w:r>
      <w:proofErr w:type="spellStart"/>
      <w:r w:rsidRPr="00C652A3">
        <w:rPr>
          <w:rFonts w:eastAsia="Calibri" w:cs="Times New Roman"/>
          <w:i/>
          <w:iCs/>
          <w:color w:val="000000"/>
          <w:sz w:val="24"/>
        </w:rPr>
        <w:t>ex</w:t>
      </w:r>
      <w:proofErr w:type="spellEnd"/>
      <w:r w:rsidRPr="00C652A3">
        <w:rPr>
          <w:rFonts w:eastAsia="Calibri" w:cs="Times New Roman"/>
          <w:i/>
          <w:iCs/>
          <w:color w:val="000000"/>
          <w:sz w:val="24"/>
        </w:rPr>
        <w:t>-post</w:t>
      </w:r>
      <w:r w:rsidRPr="00C652A3">
        <w:rPr>
          <w:rFonts w:eastAsia="Calibri" w:cs="Times New Roman"/>
          <w:color w:val="000000"/>
          <w:sz w:val="24"/>
        </w:rPr>
        <w:t xml:space="preserve"> korekcijas mehānismu, t.i. minimālās plānojamās vispārējās valdības budžeta strukturālās bilances koriģēšanu, lai nodrošinātu to, ka iepriekšējo gadu faktiskās novirzes no bilances nosacījuma (FDL  10. pants) neietekmē budžeta sabalansētību. Uzkrātās bilanču starpības ir  attēlotas 3.</w:t>
      </w:r>
      <w:r>
        <w:rPr>
          <w:rFonts w:eastAsia="Calibri" w:cs="Times New Roman"/>
          <w:color w:val="000000"/>
          <w:sz w:val="24"/>
        </w:rPr>
        <w:t>2</w:t>
      </w:r>
      <w:r w:rsidRPr="00C652A3">
        <w:rPr>
          <w:rFonts w:eastAsia="Calibri" w:cs="Times New Roman"/>
          <w:color w:val="000000"/>
          <w:sz w:val="24"/>
        </w:rPr>
        <w:t>. tabulā.</w:t>
      </w:r>
    </w:p>
    <w:p w14:paraId="66FD8F78" w14:textId="77777777" w:rsidR="000800F9" w:rsidRDefault="000800F9" w:rsidP="006A1FC0">
      <w:pPr>
        <w:spacing w:before="240" w:after="120"/>
        <w:ind w:firstLine="0"/>
        <w:jc w:val="right"/>
        <w:rPr>
          <w:rFonts w:eastAsia="Calibri" w:cs="Times New Roman"/>
          <w:b/>
          <w:bCs/>
          <w:color w:val="000000"/>
          <w:sz w:val="24"/>
        </w:rPr>
      </w:pPr>
    </w:p>
    <w:p w14:paraId="1464C738" w14:textId="42BCFB32" w:rsidR="006A1FC0" w:rsidRPr="00CA2CB6" w:rsidRDefault="006A1FC0" w:rsidP="006A1FC0">
      <w:pPr>
        <w:spacing w:before="240" w:after="120"/>
        <w:ind w:firstLine="0"/>
        <w:jc w:val="right"/>
        <w:rPr>
          <w:rFonts w:eastAsia="Calibri" w:cs="Times New Roman"/>
          <w:b/>
          <w:bCs/>
          <w:color w:val="000000" w:themeColor="text1"/>
          <w:sz w:val="24"/>
        </w:rPr>
      </w:pPr>
      <w:r w:rsidRPr="00CA2CB6">
        <w:rPr>
          <w:rFonts w:eastAsia="Calibri" w:cs="Times New Roman"/>
          <w:b/>
          <w:bCs/>
          <w:color w:val="000000" w:themeColor="text1"/>
          <w:sz w:val="24"/>
        </w:rPr>
        <w:lastRenderedPageBreak/>
        <w:t>3.2. tabula. Uzkrāto bilanču starpības</w:t>
      </w:r>
    </w:p>
    <w:tbl>
      <w:tblPr>
        <w:tblStyle w:val="GridTable6Colorful-Accent1131"/>
        <w:tblW w:w="9636" w:type="dxa"/>
        <w:tblLayout w:type="fixed"/>
        <w:tblLook w:val="04A0" w:firstRow="1" w:lastRow="0" w:firstColumn="1" w:lastColumn="0" w:noHBand="0" w:noVBand="1"/>
      </w:tblPr>
      <w:tblGrid>
        <w:gridCol w:w="706"/>
        <w:gridCol w:w="1559"/>
        <w:gridCol w:w="819"/>
        <w:gridCol w:w="819"/>
        <w:gridCol w:w="819"/>
        <w:gridCol w:w="819"/>
        <w:gridCol w:w="819"/>
        <w:gridCol w:w="819"/>
        <w:gridCol w:w="819"/>
        <w:gridCol w:w="819"/>
        <w:gridCol w:w="819"/>
      </w:tblGrid>
      <w:tr w:rsidR="00CA2CB6" w:rsidRPr="00CA2CB6" w14:paraId="0E99D99C" w14:textId="77777777" w:rsidTr="00CA2CB6">
        <w:trPr>
          <w:cnfStyle w:val="100000000000" w:firstRow="1" w:lastRow="0" w:firstColumn="0" w:lastColumn="0" w:oddVBand="0" w:evenVBand="0" w:oddHBand="0"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706" w:type="dxa"/>
            <w:hideMark/>
          </w:tcPr>
          <w:p w14:paraId="793B594D" w14:textId="77777777" w:rsidR="006A1FC0" w:rsidRPr="00CA2CB6" w:rsidRDefault="006A1FC0" w:rsidP="00A834DD">
            <w:pPr>
              <w:ind w:firstLine="0"/>
              <w:jc w:val="center"/>
              <w:rPr>
                <w:rFonts w:eastAsia="Times New Roman" w:cs="Times New Roman"/>
                <w:b w:val="0"/>
                <w:bCs w:val="0"/>
                <w:i/>
                <w:iCs/>
                <w:color w:val="000000" w:themeColor="text1"/>
                <w:sz w:val="16"/>
                <w:szCs w:val="16"/>
                <w:lang w:eastAsia="lv-LV"/>
              </w:rPr>
            </w:pPr>
            <w:r w:rsidRPr="00CA2CB6">
              <w:rPr>
                <w:rFonts w:eastAsia="Times New Roman" w:cs="Times New Roman"/>
                <w:i/>
                <w:iCs/>
                <w:color w:val="000000" w:themeColor="text1"/>
                <w:sz w:val="16"/>
                <w:szCs w:val="16"/>
                <w:lang w:eastAsia="lv-LV"/>
              </w:rPr>
              <w:t> </w:t>
            </w:r>
          </w:p>
        </w:tc>
        <w:tc>
          <w:tcPr>
            <w:tcW w:w="1559" w:type="dxa"/>
            <w:hideMark/>
          </w:tcPr>
          <w:p w14:paraId="74DDD462" w14:textId="77777777" w:rsidR="006A1FC0" w:rsidRPr="00CA2CB6" w:rsidRDefault="006A1FC0" w:rsidP="00A834DD">
            <w:pPr>
              <w:ind w:firstLine="0"/>
              <w:jc w:val="lef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18"/>
                <w:szCs w:val="18"/>
                <w:lang w:eastAsia="lv-LV"/>
              </w:rPr>
            </w:pPr>
            <w:r w:rsidRPr="00CA2CB6">
              <w:rPr>
                <w:rFonts w:eastAsia="Times New Roman" w:cs="Times New Roman"/>
                <w:color w:val="000000" w:themeColor="text1"/>
                <w:sz w:val="18"/>
                <w:szCs w:val="18"/>
                <w:lang w:eastAsia="lv-LV"/>
              </w:rPr>
              <w:t> </w:t>
            </w:r>
          </w:p>
        </w:tc>
        <w:tc>
          <w:tcPr>
            <w:tcW w:w="819" w:type="dxa"/>
            <w:hideMark/>
          </w:tcPr>
          <w:p w14:paraId="7D29A5B7" w14:textId="77777777" w:rsidR="006A1FC0" w:rsidRPr="00CA2CB6" w:rsidRDefault="006A1FC0" w:rsidP="00A834DD">
            <w:pPr>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 w:val="18"/>
                <w:szCs w:val="18"/>
                <w:lang w:eastAsia="lv-LV"/>
              </w:rPr>
            </w:pPr>
            <w:r w:rsidRPr="00CA2CB6">
              <w:rPr>
                <w:rFonts w:eastAsia="Times New Roman" w:cs="Times New Roman"/>
                <w:color w:val="000000" w:themeColor="text1"/>
                <w:sz w:val="18"/>
                <w:szCs w:val="18"/>
                <w:lang w:eastAsia="lv-LV"/>
              </w:rPr>
              <w:t>2013</w:t>
            </w:r>
          </w:p>
        </w:tc>
        <w:tc>
          <w:tcPr>
            <w:tcW w:w="819" w:type="dxa"/>
            <w:hideMark/>
          </w:tcPr>
          <w:p w14:paraId="41C74FE5" w14:textId="77777777" w:rsidR="006A1FC0" w:rsidRPr="00CA2CB6" w:rsidRDefault="006A1FC0" w:rsidP="00A834DD">
            <w:pPr>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 w:val="18"/>
                <w:szCs w:val="18"/>
                <w:lang w:eastAsia="lv-LV"/>
              </w:rPr>
            </w:pPr>
            <w:r w:rsidRPr="00CA2CB6">
              <w:rPr>
                <w:rFonts w:eastAsia="Times New Roman" w:cs="Times New Roman"/>
                <w:color w:val="000000" w:themeColor="text1"/>
                <w:sz w:val="18"/>
                <w:szCs w:val="18"/>
                <w:lang w:eastAsia="lv-LV"/>
              </w:rPr>
              <w:t>2014</w:t>
            </w:r>
          </w:p>
        </w:tc>
        <w:tc>
          <w:tcPr>
            <w:tcW w:w="819" w:type="dxa"/>
            <w:hideMark/>
          </w:tcPr>
          <w:p w14:paraId="1650EC1F" w14:textId="77777777" w:rsidR="006A1FC0" w:rsidRPr="00CA2CB6" w:rsidRDefault="006A1FC0" w:rsidP="00A834DD">
            <w:pPr>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 w:val="18"/>
                <w:szCs w:val="18"/>
                <w:lang w:eastAsia="lv-LV"/>
              </w:rPr>
            </w:pPr>
            <w:r w:rsidRPr="00CA2CB6">
              <w:rPr>
                <w:rFonts w:eastAsia="Times New Roman" w:cs="Times New Roman"/>
                <w:color w:val="000000" w:themeColor="text1"/>
                <w:sz w:val="18"/>
                <w:szCs w:val="18"/>
                <w:lang w:eastAsia="lv-LV"/>
              </w:rPr>
              <w:t>2015</w:t>
            </w:r>
          </w:p>
        </w:tc>
        <w:tc>
          <w:tcPr>
            <w:tcW w:w="819" w:type="dxa"/>
            <w:hideMark/>
          </w:tcPr>
          <w:p w14:paraId="397F1244" w14:textId="77777777" w:rsidR="006A1FC0" w:rsidRPr="00CA2CB6" w:rsidRDefault="006A1FC0" w:rsidP="00A834DD">
            <w:pPr>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 w:val="18"/>
                <w:szCs w:val="18"/>
                <w:lang w:eastAsia="lv-LV"/>
              </w:rPr>
            </w:pPr>
            <w:r w:rsidRPr="00CA2CB6">
              <w:rPr>
                <w:rFonts w:eastAsia="Times New Roman" w:cs="Times New Roman"/>
                <w:color w:val="000000" w:themeColor="text1"/>
                <w:sz w:val="18"/>
                <w:szCs w:val="18"/>
                <w:lang w:eastAsia="lv-LV"/>
              </w:rPr>
              <w:t>2016</w:t>
            </w:r>
          </w:p>
        </w:tc>
        <w:tc>
          <w:tcPr>
            <w:tcW w:w="819" w:type="dxa"/>
            <w:hideMark/>
          </w:tcPr>
          <w:p w14:paraId="5AEC8C99" w14:textId="77777777" w:rsidR="006A1FC0" w:rsidRPr="00CA2CB6" w:rsidRDefault="006A1FC0" w:rsidP="00A834DD">
            <w:pPr>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 w:val="18"/>
                <w:szCs w:val="18"/>
                <w:lang w:eastAsia="lv-LV"/>
              </w:rPr>
            </w:pPr>
            <w:r w:rsidRPr="00CA2CB6">
              <w:rPr>
                <w:rFonts w:eastAsia="Times New Roman" w:cs="Times New Roman"/>
                <w:color w:val="000000" w:themeColor="text1"/>
                <w:sz w:val="18"/>
                <w:szCs w:val="18"/>
                <w:lang w:eastAsia="lv-LV"/>
              </w:rPr>
              <w:t>2017</w:t>
            </w:r>
          </w:p>
        </w:tc>
        <w:tc>
          <w:tcPr>
            <w:tcW w:w="819" w:type="dxa"/>
            <w:hideMark/>
          </w:tcPr>
          <w:p w14:paraId="3FDAB7E0" w14:textId="77777777" w:rsidR="006A1FC0" w:rsidRPr="00CA2CB6" w:rsidRDefault="006A1FC0" w:rsidP="00A834DD">
            <w:pPr>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 w:val="18"/>
                <w:szCs w:val="18"/>
                <w:lang w:eastAsia="lv-LV"/>
              </w:rPr>
            </w:pPr>
            <w:r w:rsidRPr="00CA2CB6">
              <w:rPr>
                <w:rFonts w:eastAsia="Times New Roman" w:cs="Times New Roman"/>
                <w:color w:val="000000" w:themeColor="text1"/>
                <w:sz w:val="18"/>
                <w:szCs w:val="18"/>
                <w:lang w:eastAsia="lv-LV"/>
              </w:rPr>
              <w:t>2018</w:t>
            </w:r>
          </w:p>
        </w:tc>
        <w:tc>
          <w:tcPr>
            <w:tcW w:w="819" w:type="dxa"/>
            <w:hideMark/>
          </w:tcPr>
          <w:p w14:paraId="44CCF49A" w14:textId="77777777" w:rsidR="006A1FC0" w:rsidRPr="00CA2CB6" w:rsidRDefault="006A1FC0" w:rsidP="00A834DD">
            <w:pPr>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 w:val="18"/>
                <w:szCs w:val="18"/>
                <w:lang w:eastAsia="lv-LV"/>
              </w:rPr>
            </w:pPr>
            <w:r w:rsidRPr="00CA2CB6">
              <w:rPr>
                <w:rFonts w:eastAsia="Times New Roman" w:cs="Times New Roman"/>
                <w:color w:val="000000" w:themeColor="text1"/>
                <w:sz w:val="18"/>
                <w:szCs w:val="18"/>
                <w:lang w:eastAsia="lv-LV"/>
              </w:rPr>
              <w:t>2019</w:t>
            </w:r>
          </w:p>
        </w:tc>
        <w:tc>
          <w:tcPr>
            <w:tcW w:w="819" w:type="dxa"/>
            <w:hideMark/>
          </w:tcPr>
          <w:p w14:paraId="05D084D3" w14:textId="77777777" w:rsidR="006A1FC0" w:rsidRPr="00CA2CB6" w:rsidRDefault="006A1FC0" w:rsidP="00A834DD">
            <w:pPr>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 w:val="18"/>
                <w:szCs w:val="18"/>
                <w:lang w:eastAsia="lv-LV"/>
              </w:rPr>
            </w:pPr>
            <w:r w:rsidRPr="00CA2CB6">
              <w:rPr>
                <w:rFonts w:eastAsia="Times New Roman" w:cs="Times New Roman"/>
                <w:color w:val="000000" w:themeColor="text1"/>
                <w:sz w:val="18"/>
                <w:szCs w:val="18"/>
                <w:lang w:eastAsia="lv-LV"/>
              </w:rPr>
              <w:t>2020</w:t>
            </w:r>
          </w:p>
        </w:tc>
        <w:tc>
          <w:tcPr>
            <w:tcW w:w="819" w:type="dxa"/>
          </w:tcPr>
          <w:p w14:paraId="2B845411" w14:textId="77777777" w:rsidR="006A1FC0" w:rsidRPr="00CA2CB6" w:rsidRDefault="006A1FC0" w:rsidP="00A834DD">
            <w:pPr>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 w:val="18"/>
                <w:szCs w:val="18"/>
                <w:lang w:eastAsia="lv-LV"/>
              </w:rPr>
            </w:pPr>
            <w:r w:rsidRPr="00CA2CB6">
              <w:rPr>
                <w:rFonts w:eastAsia="Times New Roman" w:cs="Times New Roman"/>
                <w:color w:val="000000" w:themeColor="text1"/>
                <w:sz w:val="18"/>
                <w:szCs w:val="18"/>
                <w:lang w:eastAsia="lv-LV"/>
              </w:rPr>
              <w:t>2021</w:t>
            </w:r>
          </w:p>
        </w:tc>
      </w:tr>
      <w:tr w:rsidR="00CA2CB6" w:rsidRPr="00CA2CB6" w14:paraId="0F6C4D79" w14:textId="77777777" w:rsidTr="00CA2CB6">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706" w:type="dxa"/>
            <w:hideMark/>
          </w:tcPr>
          <w:p w14:paraId="3F3DE973" w14:textId="77777777" w:rsidR="006A1FC0" w:rsidRPr="00CA2CB6" w:rsidRDefault="006A1FC0" w:rsidP="00A834DD">
            <w:pPr>
              <w:ind w:firstLine="0"/>
              <w:jc w:val="right"/>
              <w:rPr>
                <w:rFonts w:eastAsia="Times New Roman" w:cs="Times New Roman"/>
                <w:i/>
                <w:iCs/>
                <w:color w:val="000000" w:themeColor="text1"/>
                <w:sz w:val="16"/>
                <w:szCs w:val="16"/>
                <w:lang w:eastAsia="lv-LV"/>
              </w:rPr>
            </w:pPr>
            <w:r w:rsidRPr="00CA2CB6">
              <w:rPr>
                <w:rFonts w:eastAsia="Times New Roman" w:cs="Times New Roman"/>
                <w:i/>
                <w:iCs/>
                <w:color w:val="000000" w:themeColor="text1"/>
                <w:sz w:val="16"/>
                <w:szCs w:val="16"/>
                <w:lang w:eastAsia="lv-LV"/>
              </w:rPr>
              <w:t>1</w:t>
            </w:r>
          </w:p>
        </w:tc>
        <w:tc>
          <w:tcPr>
            <w:tcW w:w="1559" w:type="dxa"/>
            <w:hideMark/>
          </w:tcPr>
          <w:p w14:paraId="4531A7F6" w14:textId="77777777" w:rsidR="006A1FC0" w:rsidRPr="00CA2CB6" w:rsidRDefault="006A1FC0" w:rsidP="00A834DD">
            <w:pPr>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16"/>
                <w:szCs w:val="16"/>
                <w:lang w:eastAsia="lv-LV"/>
              </w:rPr>
            </w:pPr>
            <w:r w:rsidRPr="00CA2CB6">
              <w:rPr>
                <w:rFonts w:eastAsia="Times New Roman" w:cs="Times New Roman"/>
                <w:color w:val="000000" w:themeColor="text1"/>
                <w:sz w:val="16"/>
                <w:szCs w:val="16"/>
                <w:lang w:eastAsia="lv-LV"/>
              </w:rPr>
              <w:t xml:space="preserve">IKP (faktiskajās cenās), milj. </w:t>
            </w:r>
            <w:proofErr w:type="spellStart"/>
            <w:r w:rsidRPr="00CA2CB6">
              <w:rPr>
                <w:rFonts w:eastAsia="Times New Roman" w:cs="Times New Roman"/>
                <w:i/>
                <w:iCs/>
                <w:color w:val="000000" w:themeColor="text1"/>
                <w:sz w:val="16"/>
                <w:szCs w:val="16"/>
                <w:lang w:eastAsia="lv-LV"/>
              </w:rPr>
              <w:t>euro</w:t>
            </w:r>
            <w:proofErr w:type="spellEnd"/>
          </w:p>
        </w:tc>
        <w:tc>
          <w:tcPr>
            <w:tcW w:w="819" w:type="dxa"/>
          </w:tcPr>
          <w:p w14:paraId="1D055146" w14:textId="77777777" w:rsidR="006A1FC0" w:rsidRPr="00CA2CB6" w:rsidRDefault="006A1FC0" w:rsidP="00A834DD">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16"/>
                <w:szCs w:val="16"/>
                <w:lang w:eastAsia="lv-LV"/>
              </w:rPr>
            </w:pPr>
            <w:r w:rsidRPr="00CA2CB6">
              <w:rPr>
                <w:rFonts w:cs="Times New Roman"/>
                <w:color w:val="000000" w:themeColor="text1"/>
                <w:sz w:val="16"/>
                <w:szCs w:val="16"/>
              </w:rPr>
              <w:t>22 749</w:t>
            </w:r>
          </w:p>
        </w:tc>
        <w:tc>
          <w:tcPr>
            <w:tcW w:w="819" w:type="dxa"/>
          </w:tcPr>
          <w:p w14:paraId="700BBA27" w14:textId="77777777" w:rsidR="006A1FC0" w:rsidRPr="00CA2CB6" w:rsidRDefault="006A1FC0" w:rsidP="00A834DD">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16"/>
                <w:szCs w:val="16"/>
                <w:lang w:eastAsia="lv-LV"/>
              </w:rPr>
            </w:pPr>
            <w:r w:rsidRPr="00CA2CB6">
              <w:rPr>
                <w:rFonts w:cs="Times New Roman"/>
                <w:color w:val="000000" w:themeColor="text1"/>
                <w:sz w:val="16"/>
                <w:szCs w:val="16"/>
              </w:rPr>
              <w:t>23 626</w:t>
            </w:r>
          </w:p>
        </w:tc>
        <w:tc>
          <w:tcPr>
            <w:tcW w:w="819" w:type="dxa"/>
          </w:tcPr>
          <w:p w14:paraId="0CF14E33" w14:textId="77777777" w:rsidR="006A1FC0" w:rsidRPr="00CA2CB6" w:rsidRDefault="006A1FC0" w:rsidP="00A834DD">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16"/>
                <w:szCs w:val="16"/>
                <w:lang w:eastAsia="lv-LV"/>
              </w:rPr>
            </w:pPr>
            <w:r w:rsidRPr="00CA2CB6">
              <w:rPr>
                <w:rFonts w:cs="Times New Roman"/>
                <w:color w:val="000000" w:themeColor="text1"/>
                <w:sz w:val="16"/>
                <w:szCs w:val="16"/>
              </w:rPr>
              <w:t>24 572</w:t>
            </w:r>
          </w:p>
        </w:tc>
        <w:tc>
          <w:tcPr>
            <w:tcW w:w="819" w:type="dxa"/>
          </w:tcPr>
          <w:p w14:paraId="2051C0E3" w14:textId="77777777" w:rsidR="006A1FC0" w:rsidRPr="00CA2CB6" w:rsidRDefault="006A1FC0" w:rsidP="00A834DD">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16"/>
                <w:szCs w:val="16"/>
                <w:lang w:eastAsia="lv-LV"/>
              </w:rPr>
            </w:pPr>
            <w:r w:rsidRPr="00CA2CB6">
              <w:rPr>
                <w:rFonts w:cs="Times New Roman"/>
                <w:color w:val="000000" w:themeColor="text1"/>
                <w:sz w:val="16"/>
                <w:szCs w:val="16"/>
              </w:rPr>
              <w:t>25 371</w:t>
            </w:r>
          </w:p>
        </w:tc>
        <w:tc>
          <w:tcPr>
            <w:tcW w:w="819" w:type="dxa"/>
          </w:tcPr>
          <w:p w14:paraId="7B618D71" w14:textId="77777777" w:rsidR="006A1FC0" w:rsidRPr="00CA2CB6" w:rsidRDefault="006A1FC0" w:rsidP="00A834DD">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16"/>
                <w:szCs w:val="16"/>
                <w:lang w:eastAsia="lv-LV"/>
              </w:rPr>
            </w:pPr>
            <w:r w:rsidRPr="00CA2CB6">
              <w:rPr>
                <w:rFonts w:cs="Times New Roman"/>
                <w:color w:val="000000" w:themeColor="text1"/>
                <w:sz w:val="16"/>
                <w:szCs w:val="16"/>
              </w:rPr>
              <w:t>26 984</w:t>
            </w:r>
          </w:p>
        </w:tc>
        <w:tc>
          <w:tcPr>
            <w:tcW w:w="819" w:type="dxa"/>
          </w:tcPr>
          <w:p w14:paraId="687C251B" w14:textId="77777777" w:rsidR="006A1FC0" w:rsidRPr="00CA2CB6" w:rsidRDefault="006A1FC0" w:rsidP="00A834DD">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16"/>
                <w:szCs w:val="16"/>
                <w:lang w:eastAsia="lv-LV"/>
              </w:rPr>
            </w:pPr>
            <w:r w:rsidRPr="00CA2CB6">
              <w:rPr>
                <w:rFonts w:cs="Times New Roman"/>
                <w:color w:val="000000" w:themeColor="text1"/>
                <w:sz w:val="16"/>
                <w:szCs w:val="16"/>
              </w:rPr>
              <w:t>29 154</w:t>
            </w:r>
          </w:p>
        </w:tc>
        <w:tc>
          <w:tcPr>
            <w:tcW w:w="819" w:type="dxa"/>
          </w:tcPr>
          <w:p w14:paraId="7DA85CCA" w14:textId="77777777" w:rsidR="006A1FC0" w:rsidRPr="00CA2CB6" w:rsidRDefault="006A1FC0" w:rsidP="00A834DD">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16"/>
                <w:szCs w:val="16"/>
                <w:lang w:eastAsia="lv-LV"/>
              </w:rPr>
            </w:pPr>
            <w:r w:rsidRPr="00CA2CB6">
              <w:rPr>
                <w:rFonts w:cs="Times New Roman"/>
                <w:color w:val="000000" w:themeColor="text1"/>
                <w:sz w:val="16"/>
                <w:szCs w:val="16"/>
              </w:rPr>
              <w:t>30 679</w:t>
            </w:r>
          </w:p>
        </w:tc>
        <w:tc>
          <w:tcPr>
            <w:tcW w:w="819" w:type="dxa"/>
          </w:tcPr>
          <w:p w14:paraId="3EFCA55F" w14:textId="77777777" w:rsidR="006A1FC0" w:rsidRPr="00CA2CB6" w:rsidRDefault="006A1FC0" w:rsidP="00A834DD">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16"/>
                <w:szCs w:val="16"/>
                <w:lang w:eastAsia="lv-LV"/>
              </w:rPr>
            </w:pPr>
            <w:r w:rsidRPr="00CA2CB6">
              <w:rPr>
                <w:rFonts w:cs="Times New Roman"/>
                <w:color w:val="000000" w:themeColor="text1"/>
                <w:sz w:val="16"/>
                <w:szCs w:val="16"/>
              </w:rPr>
              <w:t>30 294</w:t>
            </w:r>
          </w:p>
        </w:tc>
        <w:tc>
          <w:tcPr>
            <w:tcW w:w="819" w:type="dxa"/>
          </w:tcPr>
          <w:p w14:paraId="7D610E3E" w14:textId="77777777" w:rsidR="006A1FC0" w:rsidRPr="00CA2CB6" w:rsidRDefault="006A1FC0" w:rsidP="00A834DD">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16"/>
                <w:szCs w:val="16"/>
                <w:lang w:eastAsia="lv-LV"/>
              </w:rPr>
            </w:pPr>
            <w:r w:rsidRPr="00CA2CB6">
              <w:rPr>
                <w:rFonts w:cs="Times New Roman"/>
                <w:color w:val="000000" w:themeColor="text1"/>
                <w:sz w:val="16"/>
                <w:szCs w:val="16"/>
              </w:rPr>
              <w:t>33 588</w:t>
            </w:r>
          </w:p>
        </w:tc>
      </w:tr>
      <w:tr w:rsidR="00CA2CB6" w:rsidRPr="00CA2CB6" w14:paraId="4A9DC029" w14:textId="77777777" w:rsidTr="00CA2CB6">
        <w:trPr>
          <w:trHeight w:val="680"/>
        </w:trPr>
        <w:tc>
          <w:tcPr>
            <w:cnfStyle w:val="001000000000" w:firstRow="0" w:lastRow="0" w:firstColumn="1" w:lastColumn="0" w:oddVBand="0" w:evenVBand="0" w:oddHBand="0" w:evenHBand="0" w:firstRowFirstColumn="0" w:firstRowLastColumn="0" w:lastRowFirstColumn="0" w:lastRowLastColumn="0"/>
            <w:tcW w:w="706" w:type="dxa"/>
            <w:hideMark/>
          </w:tcPr>
          <w:p w14:paraId="48E4D2A1" w14:textId="77777777" w:rsidR="006A1FC0" w:rsidRPr="00CA2CB6" w:rsidRDefault="006A1FC0" w:rsidP="00A834DD">
            <w:pPr>
              <w:ind w:firstLine="0"/>
              <w:jc w:val="right"/>
              <w:rPr>
                <w:rFonts w:eastAsia="Times New Roman" w:cs="Times New Roman"/>
                <w:i/>
                <w:iCs/>
                <w:color w:val="000000" w:themeColor="text1"/>
                <w:sz w:val="16"/>
                <w:szCs w:val="16"/>
                <w:lang w:eastAsia="lv-LV"/>
              </w:rPr>
            </w:pPr>
            <w:r w:rsidRPr="00CA2CB6">
              <w:rPr>
                <w:rFonts w:eastAsia="Times New Roman" w:cs="Times New Roman"/>
                <w:i/>
                <w:iCs/>
                <w:color w:val="000000" w:themeColor="text1"/>
                <w:sz w:val="16"/>
                <w:szCs w:val="16"/>
                <w:lang w:eastAsia="lv-LV"/>
              </w:rPr>
              <w:t>2</w:t>
            </w:r>
          </w:p>
        </w:tc>
        <w:tc>
          <w:tcPr>
            <w:tcW w:w="1559" w:type="dxa"/>
            <w:hideMark/>
          </w:tcPr>
          <w:p w14:paraId="0D7142C2" w14:textId="77777777" w:rsidR="006A1FC0" w:rsidRPr="00CA2CB6" w:rsidRDefault="006A1FC0" w:rsidP="00A834DD">
            <w:pPr>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16"/>
                <w:szCs w:val="16"/>
                <w:lang w:eastAsia="lv-LV"/>
              </w:rPr>
            </w:pPr>
            <w:r w:rsidRPr="00CA2CB6">
              <w:rPr>
                <w:rFonts w:eastAsia="Times New Roman" w:cs="Times New Roman"/>
                <w:color w:val="000000" w:themeColor="text1"/>
                <w:sz w:val="16"/>
                <w:szCs w:val="16"/>
                <w:lang w:eastAsia="lv-LV"/>
              </w:rPr>
              <w:t>Faktiskā vispārējās valdības budžeta strukturālā bilance, % no IKP</w:t>
            </w:r>
          </w:p>
        </w:tc>
        <w:tc>
          <w:tcPr>
            <w:tcW w:w="819" w:type="dxa"/>
          </w:tcPr>
          <w:p w14:paraId="4D1ABEE7" w14:textId="77777777" w:rsidR="006A1FC0" w:rsidRPr="00CA2CB6" w:rsidRDefault="006A1FC0" w:rsidP="00A834DD">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lang w:eastAsia="lv-LV"/>
              </w:rPr>
            </w:pPr>
            <w:r w:rsidRPr="00CA2CB6">
              <w:rPr>
                <w:rFonts w:cs="Times New Roman"/>
                <w:b/>
                <w:bCs/>
                <w:color w:val="000000" w:themeColor="text1"/>
                <w:sz w:val="16"/>
                <w:szCs w:val="16"/>
              </w:rPr>
              <w:t>-0,3</w:t>
            </w:r>
          </w:p>
        </w:tc>
        <w:tc>
          <w:tcPr>
            <w:tcW w:w="819" w:type="dxa"/>
          </w:tcPr>
          <w:p w14:paraId="161A8720" w14:textId="77777777" w:rsidR="006A1FC0" w:rsidRPr="00CA2CB6" w:rsidRDefault="006A1FC0" w:rsidP="00A834DD">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lang w:eastAsia="lv-LV"/>
              </w:rPr>
            </w:pPr>
            <w:r w:rsidRPr="00CA2CB6">
              <w:rPr>
                <w:rFonts w:cs="Times New Roman"/>
                <w:b/>
                <w:bCs/>
                <w:color w:val="000000" w:themeColor="text1"/>
                <w:sz w:val="16"/>
                <w:szCs w:val="16"/>
              </w:rPr>
              <w:t>-0,9</w:t>
            </w:r>
          </w:p>
        </w:tc>
        <w:tc>
          <w:tcPr>
            <w:tcW w:w="819" w:type="dxa"/>
          </w:tcPr>
          <w:p w14:paraId="12BE9CFC" w14:textId="77777777" w:rsidR="006A1FC0" w:rsidRPr="00CA2CB6" w:rsidRDefault="006A1FC0" w:rsidP="00A834DD">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lang w:eastAsia="lv-LV"/>
              </w:rPr>
            </w:pPr>
            <w:r w:rsidRPr="00CA2CB6">
              <w:rPr>
                <w:rFonts w:cs="Times New Roman"/>
                <w:b/>
                <w:bCs/>
                <w:color w:val="000000" w:themeColor="text1"/>
                <w:sz w:val="16"/>
                <w:szCs w:val="16"/>
              </w:rPr>
              <w:t>-1,5</w:t>
            </w:r>
          </w:p>
        </w:tc>
        <w:tc>
          <w:tcPr>
            <w:tcW w:w="819" w:type="dxa"/>
          </w:tcPr>
          <w:p w14:paraId="35993887" w14:textId="77777777" w:rsidR="006A1FC0" w:rsidRPr="00CA2CB6" w:rsidRDefault="006A1FC0" w:rsidP="00A834DD">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lang w:eastAsia="lv-LV"/>
              </w:rPr>
            </w:pPr>
            <w:r w:rsidRPr="00CA2CB6">
              <w:rPr>
                <w:rFonts w:cs="Times New Roman"/>
                <w:b/>
                <w:bCs/>
                <w:color w:val="000000" w:themeColor="text1"/>
                <w:sz w:val="16"/>
                <w:szCs w:val="16"/>
              </w:rPr>
              <w:t>-0,4</w:t>
            </w:r>
          </w:p>
        </w:tc>
        <w:tc>
          <w:tcPr>
            <w:tcW w:w="819" w:type="dxa"/>
          </w:tcPr>
          <w:p w14:paraId="521A69BC" w14:textId="77777777" w:rsidR="006A1FC0" w:rsidRPr="00CA2CB6" w:rsidRDefault="006A1FC0" w:rsidP="00A834DD">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lang w:eastAsia="lv-LV"/>
              </w:rPr>
            </w:pPr>
            <w:r w:rsidRPr="00CA2CB6">
              <w:rPr>
                <w:rFonts w:cs="Times New Roman"/>
                <w:b/>
                <w:bCs/>
                <w:color w:val="000000" w:themeColor="text1"/>
                <w:sz w:val="16"/>
                <w:szCs w:val="16"/>
              </w:rPr>
              <w:t>-1,6</w:t>
            </w:r>
          </w:p>
        </w:tc>
        <w:tc>
          <w:tcPr>
            <w:tcW w:w="819" w:type="dxa"/>
          </w:tcPr>
          <w:p w14:paraId="5A573134" w14:textId="77777777" w:rsidR="006A1FC0" w:rsidRPr="00CA2CB6" w:rsidRDefault="006A1FC0" w:rsidP="00A834DD">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lang w:eastAsia="lv-LV"/>
              </w:rPr>
            </w:pPr>
            <w:r w:rsidRPr="00CA2CB6">
              <w:rPr>
                <w:rFonts w:cs="Times New Roman"/>
                <w:b/>
                <w:bCs/>
                <w:color w:val="000000" w:themeColor="text1"/>
                <w:sz w:val="16"/>
                <w:szCs w:val="16"/>
              </w:rPr>
              <w:t>-2,2</w:t>
            </w:r>
          </w:p>
        </w:tc>
        <w:tc>
          <w:tcPr>
            <w:tcW w:w="819" w:type="dxa"/>
          </w:tcPr>
          <w:p w14:paraId="5E0784E9" w14:textId="77777777" w:rsidR="006A1FC0" w:rsidRPr="00CA2CB6" w:rsidRDefault="006A1FC0" w:rsidP="00A834DD">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lang w:eastAsia="lv-LV"/>
              </w:rPr>
            </w:pPr>
            <w:r w:rsidRPr="00CA2CB6">
              <w:rPr>
                <w:rFonts w:cs="Times New Roman"/>
                <w:b/>
                <w:bCs/>
                <w:color w:val="000000" w:themeColor="text1"/>
                <w:sz w:val="16"/>
                <w:szCs w:val="16"/>
              </w:rPr>
              <w:t>-1,5</w:t>
            </w:r>
          </w:p>
        </w:tc>
        <w:tc>
          <w:tcPr>
            <w:tcW w:w="819" w:type="dxa"/>
          </w:tcPr>
          <w:p w14:paraId="6182C37F" w14:textId="77777777" w:rsidR="006A1FC0" w:rsidRPr="00CA2CB6" w:rsidRDefault="006A1FC0" w:rsidP="00A834DD">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lang w:eastAsia="lv-LV"/>
              </w:rPr>
            </w:pPr>
            <w:r w:rsidRPr="00CA2CB6">
              <w:rPr>
                <w:rFonts w:cs="Times New Roman"/>
                <w:b/>
                <w:bCs/>
                <w:color w:val="000000" w:themeColor="text1"/>
                <w:sz w:val="16"/>
                <w:szCs w:val="16"/>
              </w:rPr>
              <w:t>-0,5</w:t>
            </w:r>
          </w:p>
        </w:tc>
        <w:tc>
          <w:tcPr>
            <w:tcW w:w="819" w:type="dxa"/>
          </w:tcPr>
          <w:p w14:paraId="7092CBB5" w14:textId="77777777" w:rsidR="006A1FC0" w:rsidRPr="00CA2CB6" w:rsidRDefault="006A1FC0" w:rsidP="00A834DD">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lang w:eastAsia="lv-LV"/>
              </w:rPr>
            </w:pPr>
            <w:r w:rsidRPr="00CA2CB6">
              <w:rPr>
                <w:rFonts w:cs="Times New Roman"/>
                <w:b/>
                <w:bCs/>
                <w:color w:val="000000" w:themeColor="text1"/>
                <w:sz w:val="16"/>
                <w:szCs w:val="16"/>
              </w:rPr>
              <w:t>-1,2</w:t>
            </w:r>
          </w:p>
        </w:tc>
      </w:tr>
      <w:tr w:rsidR="00CA2CB6" w:rsidRPr="00CA2CB6" w14:paraId="3190BA88" w14:textId="77777777" w:rsidTr="00CA2CB6">
        <w:trPr>
          <w:cnfStyle w:val="000000100000" w:firstRow="0" w:lastRow="0" w:firstColumn="0" w:lastColumn="0" w:oddVBand="0" w:evenVBand="0" w:oddHBand="1" w:evenHBand="0" w:firstRowFirstColumn="0" w:firstRowLastColumn="0" w:lastRowFirstColumn="0" w:lastRowLastColumn="0"/>
          <w:trHeight w:val="686"/>
        </w:trPr>
        <w:tc>
          <w:tcPr>
            <w:cnfStyle w:val="001000000000" w:firstRow="0" w:lastRow="0" w:firstColumn="1" w:lastColumn="0" w:oddVBand="0" w:evenVBand="0" w:oddHBand="0" w:evenHBand="0" w:firstRowFirstColumn="0" w:firstRowLastColumn="0" w:lastRowFirstColumn="0" w:lastRowLastColumn="0"/>
            <w:tcW w:w="706" w:type="dxa"/>
            <w:hideMark/>
          </w:tcPr>
          <w:p w14:paraId="20E1C3D5" w14:textId="77777777" w:rsidR="006A1FC0" w:rsidRPr="00CA2CB6" w:rsidRDefault="006A1FC0" w:rsidP="00A834DD">
            <w:pPr>
              <w:ind w:firstLine="0"/>
              <w:jc w:val="right"/>
              <w:rPr>
                <w:rFonts w:eastAsia="Times New Roman" w:cs="Times New Roman"/>
                <w:i/>
                <w:iCs/>
                <w:color w:val="000000" w:themeColor="text1"/>
                <w:sz w:val="16"/>
                <w:szCs w:val="16"/>
                <w:lang w:eastAsia="lv-LV"/>
              </w:rPr>
            </w:pPr>
            <w:r w:rsidRPr="00CA2CB6">
              <w:rPr>
                <w:rFonts w:eastAsia="Times New Roman" w:cs="Times New Roman"/>
                <w:i/>
                <w:iCs/>
                <w:color w:val="000000" w:themeColor="text1"/>
                <w:sz w:val="16"/>
                <w:szCs w:val="16"/>
                <w:lang w:eastAsia="lv-LV"/>
              </w:rPr>
              <w:t>3.</w:t>
            </w:r>
          </w:p>
          <w:p w14:paraId="10227B2E" w14:textId="77777777" w:rsidR="006A1FC0" w:rsidRPr="00CA2CB6" w:rsidRDefault="006A1FC0" w:rsidP="00A834DD">
            <w:pPr>
              <w:ind w:firstLine="0"/>
              <w:jc w:val="right"/>
              <w:rPr>
                <w:rFonts w:eastAsia="Times New Roman" w:cs="Times New Roman"/>
                <w:i/>
                <w:iCs/>
                <w:color w:val="000000" w:themeColor="text1"/>
                <w:sz w:val="16"/>
                <w:szCs w:val="16"/>
                <w:lang w:eastAsia="lv-LV"/>
              </w:rPr>
            </w:pPr>
            <w:r w:rsidRPr="00CA2CB6">
              <w:rPr>
                <w:rFonts w:eastAsia="Times New Roman" w:cs="Times New Roman"/>
                <w:i/>
                <w:iCs/>
                <w:color w:val="000000" w:themeColor="text1"/>
                <w:sz w:val="16"/>
                <w:szCs w:val="16"/>
                <w:lang w:eastAsia="lv-LV"/>
              </w:rPr>
              <w:t>(1.×2.)</w:t>
            </w:r>
          </w:p>
        </w:tc>
        <w:tc>
          <w:tcPr>
            <w:tcW w:w="1559" w:type="dxa"/>
            <w:hideMark/>
          </w:tcPr>
          <w:p w14:paraId="15DC3B0D" w14:textId="77777777" w:rsidR="006A1FC0" w:rsidRPr="00CA2CB6" w:rsidRDefault="006A1FC0" w:rsidP="00A834DD">
            <w:pPr>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16"/>
                <w:szCs w:val="16"/>
                <w:lang w:eastAsia="lv-LV"/>
              </w:rPr>
            </w:pPr>
            <w:r w:rsidRPr="00CA2CB6">
              <w:rPr>
                <w:rFonts w:eastAsia="Times New Roman" w:cs="Times New Roman"/>
                <w:color w:val="000000" w:themeColor="text1"/>
                <w:sz w:val="16"/>
                <w:szCs w:val="16"/>
                <w:lang w:eastAsia="lv-LV"/>
              </w:rPr>
              <w:t xml:space="preserve">Faktiskā vispārējās valdības budžeta strukturālā bilance, milj. </w:t>
            </w:r>
            <w:proofErr w:type="spellStart"/>
            <w:r w:rsidRPr="00CA2CB6">
              <w:rPr>
                <w:rFonts w:eastAsia="Times New Roman" w:cs="Times New Roman"/>
                <w:i/>
                <w:iCs/>
                <w:color w:val="000000" w:themeColor="text1"/>
                <w:sz w:val="16"/>
                <w:szCs w:val="16"/>
                <w:lang w:eastAsia="lv-LV"/>
              </w:rPr>
              <w:t>euro</w:t>
            </w:r>
            <w:proofErr w:type="spellEnd"/>
          </w:p>
        </w:tc>
        <w:tc>
          <w:tcPr>
            <w:tcW w:w="819" w:type="dxa"/>
          </w:tcPr>
          <w:p w14:paraId="3CD22310" w14:textId="77777777" w:rsidR="006A1FC0" w:rsidRPr="00CA2CB6" w:rsidRDefault="006A1FC0" w:rsidP="00A834DD">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16"/>
                <w:szCs w:val="16"/>
                <w:lang w:eastAsia="lv-LV"/>
              </w:rPr>
            </w:pPr>
            <w:r w:rsidRPr="00CA2CB6">
              <w:rPr>
                <w:rFonts w:cs="Times New Roman"/>
                <w:color w:val="000000" w:themeColor="text1"/>
                <w:sz w:val="16"/>
                <w:szCs w:val="16"/>
              </w:rPr>
              <w:t>-68,2</w:t>
            </w:r>
          </w:p>
        </w:tc>
        <w:tc>
          <w:tcPr>
            <w:tcW w:w="819" w:type="dxa"/>
          </w:tcPr>
          <w:p w14:paraId="6497DF46" w14:textId="77777777" w:rsidR="006A1FC0" w:rsidRPr="00CA2CB6" w:rsidRDefault="006A1FC0" w:rsidP="00A834DD">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16"/>
                <w:szCs w:val="16"/>
                <w:lang w:eastAsia="lv-LV"/>
              </w:rPr>
            </w:pPr>
            <w:r w:rsidRPr="00CA2CB6">
              <w:rPr>
                <w:rFonts w:cs="Times New Roman"/>
                <w:color w:val="000000" w:themeColor="text1"/>
                <w:sz w:val="16"/>
                <w:szCs w:val="16"/>
              </w:rPr>
              <w:t>-224,0</w:t>
            </w:r>
          </w:p>
        </w:tc>
        <w:tc>
          <w:tcPr>
            <w:tcW w:w="819" w:type="dxa"/>
          </w:tcPr>
          <w:p w14:paraId="315D5EB1" w14:textId="77777777" w:rsidR="006A1FC0" w:rsidRPr="00CA2CB6" w:rsidRDefault="006A1FC0" w:rsidP="00A834DD">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16"/>
                <w:szCs w:val="16"/>
                <w:lang w:eastAsia="lv-LV"/>
              </w:rPr>
            </w:pPr>
            <w:r w:rsidRPr="00CA2CB6">
              <w:rPr>
                <w:rFonts w:cs="Times New Roman"/>
                <w:color w:val="000000" w:themeColor="text1"/>
                <w:sz w:val="16"/>
                <w:szCs w:val="16"/>
              </w:rPr>
              <w:t>-365,1</w:t>
            </w:r>
          </w:p>
        </w:tc>
        <w:tc>
          <w:tcPr>
            <w:tcW w:w="819" w:type="dxa"/>
          </w:tcPr>
          <w:p w14:paraId="6606731B" w14:textId="77777777" w:rsidR="006A1FC0" w:rsidRPr="00CA2CB6" w:rsidRDefault="006A1FC0" w:rsidP="00A834DD">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16"/>
                <w:szCs w:val="16"/>
                <w:lang w:eastAsia="lv-LV"/>
              </w:rPr>
            </w:pPr>
            <w:r w:rsidRPr="00CA2CB6">
              <w:rPr>
                <w:rFonts w:cs="Times New Roman"/>
                <w:color w:val="000000" w:themeColor="text1"/>
                <w:sz w:val="16"/>
                <w:szCs w:val="16"/>
              </w:rPr>
              <w:t>-103,8</w:t>
            </w:r>
          </w:p>
        </w:tc>
        <w:tc>
          <w:tcPr>
            <w:tcW w:w="819" w:type="dxa"/>
          </w:tcPr>
          <w:p w14:paraId="207AC59A" w14:textId="77777777" w:rsidR="006A1FC0" w:rsidRPr="00CA2CB6" w:rsidRDefault="006A1FC0" w:rsidP="00A834DD">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16"/>
                <w:szCs w:val="16"/>
                <w:lang w:eastAsia="lv-LV"/>
              </w:rPr>
            </w:pPr>
            <w:r w:rsidRPr="00CA2CB6">
              <w:rPr>
                <w:rFonts w:cs="Times New Roman"/>
                <w:color w:val="000000" w:themeColor="text1"/>
                <w:sz w:val="16"/>
                <w:szCs w:val="16"/>
              </w:rPr>
              <w:t>-427,3</w:t>
            </w:r>
          </w:p>
        </w:tc>
        <w:tc>
          <w:tcPr>
            <w:tcW w:w="819" w:type="dxa"/>
          </w:tcPr>
          <w:p w14:paraId="20FB62EA" w14:textId="77777777" w:rsidR="006A1FC0" w:rsidRPr="00CA2CB6" w:rsidRDefault="006A1FC0" w:rsidP="00A834DD">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16"/>
                <w:szCs w:val="16"/>
                <w:lang w:eastAsia="lv-LV"/>
              </w:rPr>
            </w:pPr>
            <w:r w:rsidRPr="00CA2CB6">
              <w:rPr>
                <w:rFonts w:cs="Times New Roman"/>
                <w:color w:val="000000" w:themeColor="text1"/>
                <w:sz w:val="16"/>
                <w:szCs w:val="16"/>
              </w:rPr>
              <w:t>-640,2</w:t>
            </w:r>
          </w:p>
        </w:tc>
        <w:tc>
          <w:tcPr>
            <w:tcW w:w="819" w:type="dxa"/>
          </w:tcPr>
          <w:p w14:paraId="670E66CC" w14:textId="77777777" w:rsidR="006A1FC0" w:rsidRPr="00CA2CB6" w:rsidRDefault="006A1FC0" w:rsidP="00A834DD">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16"/>
                <w:szCs w:val="16"/>
                <w:lang w:eastAsia="lv-LV"/>
              </w:rPr>
            </w:pPr>
            <w:r w:rsidRPr="00CA2CB6">
              <w:rPr>
                <w:rFonts w:cs="Times New Roman"/>
                <w:color w:val="000000" w:themeColor="text1"/>
                <w:sz w:val="16"/>
                <w:szCs w:val="16"/>
              </w:rPr>
              <w:t>-455,2</w:t>
            </w:r>
          </w:p>
        </w:tc>
        <w:tc>
          <w:tcPr>
            <w:tcW w:w="819" w:type="dxa"/>
          </w:tcPr>
          <w:p w14:paraId="2E8A9E5D" w14:textId="77777777" w:rsidR="006A1FC0" w:rsidRPr="00CA2CB6" w:rsidRDefault="006A1FC0" w:rsidP="00A834DD">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16"/>
                <w:szCs w:val="16"/>
                <w:lang w:eastAsia="lv-LV"/>
              </w:rPr>
            </w:pPr>
            <w:r w:rsidRPr="00CA2CB6">
              <w:rPr>
                <w:rFonts w:cs="Times New Roman"/>
                <w:color w:val="000000" w:themeColor="text1"/>
                <w:sz w:val="16"/>
                <w:szCs w:val="16"/>
              </w:rPr>
              <w:t>-166,0</w:t>
            </w:r>
          </w:p>
        </w:tc>
        <w:tc>
          <w:tcPr>
            <w:tcW w:w="819" w:type="dxa"/>
          </w:tcPr>
          <w:p w14:paraId="16EA321A" w14:textId="77777777" w:rsidR="006A1FC0" w:rsidRPr="00CA2CB6" w:rsidRDefault="006A1FC0" w:rsidP="00A834DD">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16"/>
                <w:szCs w:val="16"/>
                <w:lang w:eastAsia="lv-LV"/>
              </w:rPr>
            </w:pPr>
            <w:r w:rsidRPr="00CA2CB6">
              <w:rPr>
                <w:rFonts w:cs="Times New Roman"/>
                <w:color w:val="000000" w:themeColor="text1"/>
                <w:sz w:val="16"/>
                <w:szCs w:val="16"/>
              </w:rPr>
              <w:t>-399,6</w:t>
            </w:r>
          </w:p>
        </w:tc>
      </w:tr>
      <w:tr w:rsidR="00CA2CB6" w:rsidRPr="00CA2CB6" w14:paraId="0F6AD95D" w14:textId="77777777" w:rsidTr="00CA2CB6">
        <w:trPr>
          <w:trHeight w:val="686"/>
        </w:trPr>
        <w:tc>
          <w:tcPr>
            <w:cnfStyle w:val="001000000000" w:firstRow="0" w:lastRow="0" w:firstColumn="1" w:lastColumn="0" w:oddVBand="0" w:evenVBand="0" w:oddHBand="0" w:evenHBand="0" w:firstRowFirstColumn="0" w:firstRowLastColumn="0" w:lastRowFirstColumn="0" w:lastRowLastColumn="0"/>
            <w:tcW w:w="706" w:type="dxa"/>
            <w:hideMark/>
          </w:tcPr>
          <w:p w14:paraId="1850B7E5" w14:textId="77777777" w:rsidR="006A1FC0" w:rsidRPr="00CA2CB6" w:rsidRDefault="006A1FC0" w:rsidP="00A834DD">
            <w:pPr>
              <w:ind w:firstLine="0"/>
              <w:jc w:val="right"/>
              <w:rPr>
                <w:rFonts w:eastAsia="Times New Roman" w:cs="Times New Roman"/>
                <w:i/>
                <w:iCs/>
                <w:color w:val="000000" w:themeColor="text1"/>
                <w:sz w:val="16"/>
                <w:szCs w:val="16"/>
                <w:lang w:eastAsia="lv-LV"/>
              </w:rPr>
            </w:pPr>
            <w:r w:rsidRPr="00CA2CB6">
              <w:rPr>
                <w:rFonts w:eastAsia="Times New Roman" w:cs="Times New Roman"/>
                <w:i/>
                <w:iCs/>
                <w:color w:val="000000" w:themeColor="text1"/>
                <w:sz w:val="16"/>
                <w:szCs w:val="16"/>
                <w:lang w:eastAsia="lv-LV"/>
              </w:rPr>
              <w:t>4</w:t>
            </w:r>
          </w:p>
        </w:tc>
        <w:tc>
          <w:tcPr>
            <w:tcW w:w="1559" w:type="dxa"/>
            <w:hideMark/>
          </w:tcPr>
          <w:p w14:paraId="6BAB806A" w14:textId="77777777" w:rsidR="006A1FC0" w:rsidRPr="00CA2CB6" w:rsidRDefault="006A1FC0" w:rsidP="00A834DD">
            <w:pPr>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16"/>
                <w:szCs w:val="16"/>
                <w:lang w:eastAsia="lv-LV"/>
              </w:rPr>
            </w:pPr>
            <w:r w:rsidRPr="00CA2CB6">
              <w:rPr>
                <w:rFonts w:eastAsia="Times New Roman" w:cs="Times New Roman"/>
                <w:color w:val="000000" w:themeColor="text1"/>
                <w:sz w:val="16"/>
                <w:szCs w:val="16"/>
                <w:lang w:eastAsia="lv-LV"/>
              </w:rPr>
              <w:t>Minimālā plānojamā vispārējās valdības budžeta strukturālā bilance, % no IKP</w:t>
            </w:r>
          </w:p>
        </w:tc>
        <w:tc>
          <w:tcPr>
            <w:tcW w:w="819" w:type="dxa"/>
          </w:tcPr>
          <w:p w14:paraId="2D6A5380" w14:textId="77777777" w:rsidR="006A1FC0" w:rsidRPr="00CA2CB6" w:rsidRDefault="006A1FC0" w:rsidP="00A834DD">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lang w:eastAsia="lv-LV"/>
              </w:rPr>
            </w:pPr>
            <w:r w:rsidRPr="00CA2CB6">
              <w:rPr>
                <w:rFonts w:cs="Times New Roman"/>
                <w:b/>
                <w:bCs/>
                <w:color w:val="000000" w:themeColor="text1"/>
                <w:sz w:val="16"/>
                <w:szCs w:val="16"/>
              </w:rPr>
              <w:t>-1,3</w:t>
            </w:r>
          </w:p>
        </w:tc>
        <w:tc>
          <w:tcPr>
            <w:tcW w:w="819" w:type="dxa"/>
          </w:tcPr>
          <w:p w14:paraId="63122C0A" w14:textId="77777777" w:rsidR="006A1FC0" w:rsidRPr="00CA2CB6" w:rsidRDefault="006A1FC0" w:rsidP="00A834DD">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lang w:eastAsia="lv-LV"/>
              </w:rPr>
            </w:pPr>
            <w:r w:rsidRPr="00CA2CB6">
              <w:rPr>
                <w:rFonts w:cs="Times New Roman"/>
                <w:b/>
                <w:bCs/>
                <w:color w:val="000000" w:themeColor="text1"/>
                <w:sz w:val="16"/>
                <w:szCs w:val="16"/>
              </w:rPr>
              <w:t>-1,0</w:t>
            </w:r>
          </w:p>
        </w:tc>
        <w:tc>
          <w:tcPr>
            <w:tcW w:w="819" w:type="dxa"/>
          </w:tcPr>
          <w:p w14:paraId="4B3073F8" w14:textId="77777777" w:rsidR="006A1FC0" w:rsidRPr="00CA2CB6" w:rsidRDefault="006A1FC0" w:rsidP="00A834DD">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lang w:eastAsia="lv-LV"/>
              </w:rPr>
            </w:pPr>
            <w:r w:rsidRPr="00CA2CB6">
              <w:rPr>
                <w:rFonts w:cs="Times New Roman"/>
                <w:b/>
                <w:bCs/>
                <w:color w:val="000000" w:themeColor="text1"/>
                <w:sz w:val="16"/>
                <w:szCs w:val="16"/>
              </w:rPr>
              <w:t>-1,0</w:t>
            </w:r>
          </w:p>
        </w:tc>
        <w:tc>
          <w:tcPr>
            <w:tcW w:w="819" w:type="dxa"/>
          </w:tcPr>
          <w:p w14:paraId="1CDDBFFF" w14:textId="77777777" w:rsidR="006A1FC0" w:rsidRPr="00CA2CB6" w:rsidRDefault="006A1FC0" w:rsidP="00A834DD">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lang w:eastAsia="lv-LV"/>
              </w:rPr>
            </w:pPr>
            <w:r w:rsidRPr="00CA2CB6">
              <w:rPr>
                <w:rFonts w:cs="Times New Roman"/>
                <w:b/>
                <w:bCs/>
                <w:color w:val="000000" w:themeColor="text1"/>
                <w:sz w:val="16"/>
                <w:szCs w:val="16"/>
              </w:rPr>
              <w:t>-0,9</w:t>
            </w:r>
          </w:p>
        </w:tc>
        <w:tc>
          <w:tcPr>
            <w:tcW w:w="819" w:type="dxa"/>
          </w:tcPr>
          <w:p w14:paraId="021B5762" w14:textId="77777777" w:rsidR="006A1FC0" w:rsidRPr="00CA2CB6" w:rsidRDefault="006A1FC0" w:rsidP="00A834DD">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lang w:eastAsia="lv-LV"/>
              </w:rPr>
            </w:pPr>
            <w:r w:rsidRPr="00CA2CB6">
              <w:rPr>
                <w:rFonts w:cs="Times New Roman"/>
                <w:b/>
                <w:bCs/>
                <w:color w:val="000000" w:themeColor="text1"/>
                <w:sz w:val="16"/>
                <w:szCs w:val="16"/>
              </w:rPr>
              <w:t>-1,0</w:t>
            </w:r>
          </w:p>
        </w:tc>
        <w:tc>
          <w:tcPr>
            <w:tcW w:w="819" w:type="dxa"/>
          </w:tcPr>
          <w:p w14:paraId="6DF3F17D" w14:textId="77777777" w:rsidR="006A1FC0" w:rsidRPr="00CA2CB6" w:rsidRDefault="006A1FC0" w:rsidP="00A834DD">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lang w:eastAsia="lv-LV"/>
              </w:rPr>
            </w:pPr>
            <w:r w:rsidRPr="00CA2CB6">
              <w:rPr>
                <w:rFonts w:cs="Times New Roman"/>
                <w:b/>
                <w:bCs/>
                <w:color w:val="000000" w:themeColor="text1"/>
                <w:sz w:val="16"/>
                <w:szCs w:val="16"/>
              </w:rPr>
              <w:t>-1,2</w:t>
            </w:r>
          </w:p>
        </w:tc>
        <w:tc>
          <w:tcPr>
            <w:tcW w:w="819" w:type="dxa"/>
          </w:tcPr>
          <w:p w14:paraId="42842CAB" w14:textId="77777777" w:rsidR="006A1FC0" w:rsidRPr="00CA2CB6" w:rsidRDefault="006A1FC0" w:rsidP="00A834DD">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lang w:eastAsia="lv-LV"/>
              </w:rPr>
            </w:pPr>
            <w:r w:rsidRPr="00CA2CB6">
              <w:rPr>
                <w:rFonts w:cs="Times New Roman"/>
                <w:b/>
                <w:bCs/>
                <w:color w:val="000000" w:themeColor="text1"/>
                <w:sz w:val="16"/>
                <w:szCs w:val="16"/>
              </w:rPr>
              <w:t>-0,6</w:t>
            </w:r>
          </w:p>
        </w:tc>
        <w:tc>
          <w:tcPr>
            <w:tcW w:w="819" w:type="dxa"/>
          </w:tcPr>
          <w:p w14:paraId="63B26806" w14:textId="77777777" w:rsidR="006A1FC0" w:rsidRPr="00CA2CB6" w:rsidRDefault="006A1FC0" w:rsidP="00A834DD">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lang w:eastAsia="lv-LV"/>
              </w:rPr>
            </w:pPr>
            <w:r w:rsidRPr="00CA2CB6">
              <w:rPr>
                <w:rFonts w:cs="Times New Roman"/>
                <w:b/>
                <w:bCs/>
                <w:color w:val="000000" w:themeColor="text1"/>
                <w:sz w:val="16"/>
                <w:szCs w:val="16"/>
              </w:rPr>
              <w:t>-0,5</w:t>
            </w:r>
          </w:p>
        </w:tc>
        <w:tc>
          <w:tcPr>
            <w:tcW w:w="819" w:type="dxa"/>
          </w:tcPr>
          <w:p w14:paraId="4E4D8818" w14:textId="77777777" w:rsidR="006A1FC0" w:rsidRPr="00CA2CB6" w:rsidRDefault="006A1FC0" w:rsidP="00A834DD">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lang w:eastAsia="lv-LV"/>
              </w:rPr>
            </w:pPr>
            <w:r w:rsidRPr="00CA2CB6">
              <w:rPr>
                <w:rFonts w:cs="Times New Roman"/>
                <w:b/>
                <w:bCs/>
                <w:color w:val="000000" w:themeColor="text1"/>
                <w:sz w:val="16"/>
                <w:szCs w:val="16"/>
              </w:rPr>
              <w:t>-2,1</w:t>
            </w:r>
          </w:p>
        </w:tc>
      </w:tr>
      <w:tr w:rsidR="00CA2CB6" w:rsidRPr="00CA2CB6" w14:paraId="01AC55E7" w14:textId="77777777" w:rsidTr="00CA2CB6">
        <w:trPr>
          <w:cnfStyle w:val="000000100000" w:firstRow="0" w:lastRow="0" w:firstColumn="0" w:lastColumn="0" w:oddVBand="0" w:evenVBand="0" w:oddHBand="1" w:evenHBand="0" w:firstRowFirstColumn="0" w:firstRowLastColumn="0" w:lastRowFirstColumn="0" w:lastRowLastColumn="0"/>
          <w:trHeight w:val="686"/>
        </w:trPr>
        <w:tc>
          <w:tcPr>
            <w:cnfStyle w:val="001000000000" w:firstRow="0" w:lastRow="0" w:firstColumn="1" w:lastColumn="0" w:oddVBand="0" w:evenVBand="0" w:oddHBand="0" w:evenHBand="0" w:firstRowFirstColumn="0" w:firstRowLastColumn="0" w:lastRowFirstColumn="0" w:lastRowLastColumn="0"/>
            <w:tcW w:w="706" w:type="dxa"/>
            <w:hideMark/>
          </w:tcPr>
          <w:p w14:paraId="112173B2" w14:textId="77777777" w:rsidR="006A1FC0" w:rsidRPr="00CA2CB6" w:rsidRDefault="006A1FC0" w:rsidP="00A834DD">
            <w:pPr>
              <w:ind w:firstLine="0"/>
              <w:jc w:val="right"/>
              <w:rPr>
                <w:rFonts w:eastAsia="Times New Roman" w:cs="Times New Roman"/>
                <w:i/>
                <w:iCs/>
                <w:color w:val="000000" w:themeColor="text1"/>
                <w:sz w:val="16"/>
                <w:szCs w:val="16"/>
                <w:lang w:eastAsia="lv-LV"/>
              </w:rPr>
            </w:pPr>
            <w:r w:rsidRPr="00CA2CB6">
              <w:rPr>
                <w:rFonts w:eastAsia="Times New Roman" w:cs="Times New Roman"/>
                <w:i/>
                <w:iCs/>
                <w:color w:val="000000" w:themeColor="text1"/>
                <w:sz w:val="16"/>
                <w:szCs w:val="16"/>
                <w:lang w:eastAsia="lv-LV"/>
              </w:rPr>
              <w:t>5.</w:t>
            </w:r>
          </w:p>
          <w:p w14:paraId="4B601BE6" w14:textId="77777777" w:rsidR="006A1FC0" w:rsidRPr="00CA2CB6" w:rsidRDefault="006A1FC0" w:rsidP="00A834DD">
            <w:pPr>
              <w:ind w:firstLine="0"/>
              <w:jc w:val="right"/>
              <w:rPr>
                <w:rFonts w:eastAsia="Times New Roman" w:cs="Times New Roman"/>
                <w:i/>
                <w:iCs/>
                <w:color w:val="000000" w:themeColor="text1"/>
                <w:sz w:val="16"/>
                <w:szCs w:val="16"/>
                <w:lang w:eastAsia="lv-LV"/>
              </w:rPr>
            </w:pPr>
            <w:r w:rsidRPr="00CA2CB6">
              <w:rPr>
                <w:rFonts w:eastAsia="Times New Roman" w:cs="Times New Roman"/>
                <w:i/>
                <w:iCs/>
                <w:color w:val="000000" w:themeColor="text1"/>
                <w:sz w:val="16"/>
                <w:szCs w:val="16"/>
                <w:lang w:eastAsia="lv-LV"/>
              </w:rPr>
              <w:t>(1.×4.)</w:t>
            </w:r>
          </w:p>
        </w:tc>
        <w:tc>
          <w:tcPr>
            <w:tcW w:w="1559" w:type="dxa"/>
            <w:hideMark/>
          </w:tcPr>
          <w:p w14:paraId="411B3526" w14:textId="77777777" w:rsidR="006A1FC0" w:rsidRPr="00CA2CB6" w:rsidRDefault="006A1FC0" w:rsidP="00A834DD">
            <w:pPr>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16"/>
                <w:szCs w:val="16"/>
                <w:lang w:eastAsia="lv-LV"/>
              </w:rPr>
            </w:pPr>
            <w:r w:rsidRPr="00CA2CB6">
              <w:rPr>
                <w:rFonts w:eastAsia="Times New Roman" w:cs="Times New Roman"/>
                <w:color w:val="000000" w:themeColor="text1"/>
                <w:sz w:val="16"/>
                <w:szCs w:val="16"/>
                <w:lang w:eastAsia="lv-LV"/>
              </w:rPr>
              <w:t xml:space="preserve">Minimālā plānojamā vispārējās valdības budžeta strukturālā bilance, milj. </w:t>
            </w:r>
            <w:proofErr w:type="spellStart"/>
            <w:r w:rsidRPr="00CA2CB6">
              <w:rPr>
                <w:rFonts w:eastAsia="Times New Roman" w:cs="Times New Roman"/>
                <w:i/>
                <w:iCs/>
                <w:color w:val="000000" w:themeColor="text1"/>
                <w:sz w:val="16"/>
                <w:szCs w:val="16"/>
                <w:lang w:eastAsia="lv-LV"/>
              </w:rPr>
              <w:t>euro</w:t>
            </w:r>
            <w:proofErr w:type="spellEnd"/>
          </w:p>
        </w:tc>
        <w:tc>
          <w:tcPr>
            <w:tcW w:w="819" w:type="dxa"/>
          </w:tcPr>
          <w:p w14:paraId="4BD2D08A" w14:textId="77777777" w:rsidR="006A1FC0" w:rsidRPr="00CA2CB6" w:rsidRDefault="006A1FC0" w:rsidP="00A834DD">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16"/>
                <w:szCs w:val="16"/>
                <w:lang w:eastAsia="lv-LV"/>
              </w:rPr>
            </w:pPr>
            <w:r w:rsidRPr="00CA2CB6">
              <w:rPr>
                <w:rFonts w:cs="Times New Roman"/>
                <w:color w:val="000000" w:themeColor="text1"/>
                <w:sz w:val="16"/>
                <w:szCs w:val="16"/>
              </w:rPr>
              <w:t>-295,7</w:t>
            </w:r>
          </w:p>
        </w:tc>
        <w:tc>
          <w:tcPr>
            <w:tcW w:w="819" w:type="dxa"/>
          </w:tcPr>
          <w:p w14:paraId="719720E3" w14:textId="77777777" w:rsidR="006A1FC0" w:rsidRPr="00CA2CB6" w:rsidRDefault="006A1FC0" w:rsidP="00A834DD">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16"/>
                <w:szCs w:val="16"/>
                <w:lang w:eastAsia="lv-LV"/>
              </w:rPr>
            </w:pPr>
            <w:r w:rsidRPr="00CA2CB6">
              <w:rPr>
                <w:rFonts w:cs="Times New Roman"/>
                <w:color w:val="000000" w:themeColor="text1"/>
                <w:sz w:val="16"/>
                <w:szCs w:val="16"/>
              </w:rPr>
              <w:t>-236,3</w:t>
            </w:r>
          </w:p>
        </w:tc>
        <w:tc>
          <w:tcPr>
            <w:tcW w:w="819" w:type="dxa"/>
          </w:tcPr>
          <w:p w14:paraId="4DD58DBD" w14:textId="77777777" w:rsidR="006A1FC0" w:rsidRPr="00CA2CB6" w:rsidRDefault="006A1FC0" w:rsidP="00A834DD">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16"/>
                <w:szCs w:val="16"/>
                <w:lang w:eastAsia="lv-LV"/>
              </w:rPr>
            </w:pPr>
            <w:r w:rsidRPr="00CA2CB6">
              <w:rPr>
                <w:rFonts w:cs="Times New Roman"/>
                <w:color w:val="000000" w:themeColor="text1"/>
                <w:sz w:val="16"/>
                <w:szCs w:val="16"/>
              </w:rPr>
              <w:t>-245,7</w:t>
            </w:r>
          </w:p>
        </w:tc>
        <w:tc>
          <w:tcPr>
            <w:tcW w:w="819" w:type="dxa"/>
          </w:tcPr>
          <w:p w14:paraId="14AB6D72" w14:textId="77777777" w:rsidR="006A1FC0" w:rsidRPr="00CA2CB6" w:rsidRDefault="006A1FC0" w:rsidP="00A834DD">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16"/>
                <w:szCs w:val="16"/>
                <w:lang w:eastAsia="lv-LV"/>
              </w:rPr>
            </w:pPr>
            <w:r w:rsidRPr="00CA2CB6">
              <w:rPr>
                <w:rFonts w:cs="Times New Roman"/>
                <w:color w:val="000000" w:themeColor="text1"/>
                <w:sz w:val="16"/>
                <w:szCs w:val="16"/>
              </w:rPr>
              <w:t>-228,3</w:t>
            </w:r>
          </w:p>
        </w:tc>
        <w:tc>
          <w:tcPr>
            <w:tcW w:w="819" w:type="dxa"/>
          </w:tcPr>
          <w:p w14:paraId="0F926377" w14:textId="77777777" w:rsidR="006A1FC0" w:rsidRPr="00CA2CB6" w:rsidRDefault="006A1FC0" w:rsidP="00A834DD">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16"/>
                <w:szCs w:val="16"/>
                <w:lang w:eastAsia="lv-LV"/>
              </w:rPr>
            </w:pPr>
            <w:r w:rsidRPr="00CA2CB6">
              <w:rPr>
                <w:rFonts w:cs="Times New Roman"/>
                <w:color w:val="000000" w:themeColor="text1"/>
                <w:sz w:val="16"/>
                <w:szCs w:val="16"/>
              </w:rPr>
              <w:t>-269,8</w:t>
            </w:r>
          </w:p>
        </w:tc>
        <w:tc>
          <w:tcPr>
            <w:tcW w:w="819" w:type="dxa"/>
          </w:tcPr>
          <w:p w14:paraId="7DFE96C8" w14:textId="77777777" w:rsidR="006A1FC0" w:rsidRPr="00CA2CB6" w:rsidRDefault="006A1FC0" w:rsidP="00A834DD">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16"/>
                <w:szCs w:val="16"/>
                <w:lang w:eastAsia="lv-LV"/>
              </w:rPr>
            </w:pPr>
            <w:r w:rsidRPr="00CA2CB6">
              <w:rPr>
                <w:rFonts w:cs="Times New Roman"/>
                <w:color w:val="000000" w:themeColor="text1"/>
                <w:sz w:val="16"/>
                <w:szCs w:val="16"/>
              </w:rPr>
              <w:t>-349,8</w:t>
            </w:r>
          </w:p>
        </w:tc>
        <w:tc>
          <w:tcPr>
            <w:tcW w:w="819" w:type="dxa"/>
          </w:tcPr>
          <w:p w14:paraId="2AEB6C98" w14:textId="77777777" w:rsidR="006A1FC0" w:rsidRPr="00CA2CB6" w:rsidRDefault="006A1FC0" w:rsidP="00A834DD">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16"/>
                <w:szCs w:val="16"/>
                <w:lang w:eastAsia="lv-LV"/>
              </w:rPr>
            </w:pPr>
            <w:r w:rsidRPr="00CA2CB6">
              <w:rPr>
                <w:rFonts w:cs="Times New Roman"/>
                <w:color w:val="000000" w:themeColor="text1"/>
                <w:sz w:val="16"/>
                <w:szCs w:val="16"/>
              </w:rPr>
              <w:t>-173,8</w:t>
            </w:r>
          </w:p>
        </w:tc>
        <w:tc>
          <w:tcPr>
            <w:tcW w:w="819" w:type="dxa"/>
          </w:tcPr>
          <w:p w14:paraId="24B1D977" w14:textId="77777777" w:rsidR="006A1FC0" w:rsidRPr="00CA2CB6" w:rsidRDefault="006A1FC0" w:rsidP="00A834DD">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16"/>
                <w:szCs w:val="16"/>
                <w:lang w:eastAsia="lv-LV"/>
              </w:rPr>
            </w:pPr>
            <w:r w:rsidRPr="00CA2CB6">
              <w:rPr>
                <w:rFonts w:cs="Times New Roman"/>
                <w:color w:val="000000" w:themeColor="text1"/>
                <w:sz w:val="16"/>
                <w:szCs w:val="16"/>
              </w:rPr>
              <w:t>-140,8</w:t>
            </w:r>
          </w:p>
        </w:tc>
        <w:tc>
          <w:tcPr>
            <w:tcW w:w="819" w:type="dxa"/>
          </w:tcPr>
          <w:p w14:paraId="55F06054" w14:textId="77777777" w:rsidR="006A1FC0" w:rsidRPr="00CA2CB6" w:rsidRDefault="006A1FC0" w:rsidP="00A834DD">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16"/>
                <w:szCs w:val="16"/>
                <w:lang w:eastAsia="lv-LV"/>
              </w:rPr>
            </w:pPr>
            <w:r w:rsidRPr="00CA2CB6">
              <w:rPr>
                <w:rFonts w:cs="Times New Roman"/>
                <w:color w:val="000000" w:themeColor="text1"/>
                <w:sz w:val="16"/>
                <w:szCs w:val="16"/>
              </w:rPr>
              <w:t>-705,3</w:t>
            </w:r>
          </w:p>
        </w:tc>
      </w:tr>
      <w:tr w:rsidR="00CA2CB6" w:rsidRPr="00CA2CB6" w14:paraId="21F42756" w14:textId="77777777" w:rsidTr="00CA2CB6">
        <w:trPr>
          <w:trHeight w:val="460"/>
        </w:trPr>
        <w:tc>
          <w:tcPr>
            <w:cnfStyle w:val="001000000000" w:firstRow="0" w:lastRow="0" w:firstColumn="1" w:lastColumn="0" w:oddVBand="0" w:evenVBand="0" w:oddHBand="0" w:evenHBand="0" w:firstRowFirstColumn="0" w:firstRowLastColumn="0" w:lastRowFirstColumn="0" w:lastRowLastColumn="0"/>
            <w:tcW w:w="706" w:type="dxa"/>
            <w:hideMark/>
          </w:tcPr>
          <w:p w14:paraId="4B683B29" w14:textId="77777777" w:rsidR="006A1FC0" w:rsidRPr="00CA2CB6" w:rsidRDefault="006A1FC0" w:rsidP="00A834DD">
            <w:pPr>
              <w:ind w:firstLine="0"/>
              <w:jc w:val="right"/>
              <w:rPr>
                <w:rFonts w:eastAsia="Times New Roman" w:cs="Times New Roman"/>
                <w:i/>
                <w:iCs/>
                <w:color w:val="000000" w:themeColor="text1"/>
                <w:sz w:val="16"/>
                <w:szCs w:val="16"/>
                <w:lang w:eastAsia="lv-LV"/>
              </w:rPr>
            </w:pPr>
            <w:r w:rsidRPr="00CA2CB6">
              <w:rPr>
                <w:rFonts w:eastAsia="Times New Roman" w:cs="Times New Roman"/>
                <w:i/>
                <w:iCs/>
                <w:color w:val="000000" w:themeColor="text1"/>
                <w:sz w:val="16"/>
                <w:szCs w:val="16"/>
                <w:lang w:eastAsia="lv-LV"/>
              </w:rPr>
              <w:t>6.</w:t>
            </w:r>
          </w:p>
          <w:p w14:paraId="78B26F3B" w14:textId="77777777" w:rsidR="006A1FC0" w:rsidRPr="00CA2CB6" w:rsidRDefault="006A1FC0" w:rsidP="00A834DD">
            <w:pPr>
              <w:ind w:firstLine="0"/>
              <w:jc w:val="right"/>
              <w:rPr>
                <w:rFonts w:eastAsia="Times New Roman" w:cs="Times New Roman"/>
                <w:i/>
                <w:iCs/>
                <w:color w:val="000000" w:themeColor="text1"/>
                <w:sz w:val="16"/>
                <w:szCs w:val="16"/>
                <w:lang w:eastAsia="lv-LV"/>
              </w:rPr>
            </w:pPr>
            <w:r w:rsidRPr="00CA2CB6">
              <w:rPr>
                <w:rFonts w:eastAsia="Times New Roman" w:cs="Times New Roman"/>
                <w:i/>
                <w:iCs/>
                <w:color w:val="000000" w:themeColor="text1"/>
                <w:sz w:val="16"/>
                <w:szCs w:val="16"/>
                <w:lang w:eastAsia="lv-LV"/>
              </w:rPr>
              <w:t>(3.-5.)</w:t>
            </w:r>
          </w:p>
        </w:tc>
        <w:tc>
          <w:tcPr>
            <w:tcW w:w="1559" w:type="dxa"/>
            <w:hideMark/>
          </w:tcPr>
          <w:p w14:paraId="70622B62" w14:textId="77777777" w:rsidR="006A1FC0" w:rsidRPr="00CA2CB6" w:rsidRDefault="006A1FC0" w:rsidP="00A834DD">
            <w:pPr>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16"/>
                <w:szCs w:val="16"/>
                <w:lang w:eastAsia="lv-LV"/>
              </w:rPr>
            </w:pPr>
            <w:r w:rsidRPr="00CA2CB6">
              <w:rPr>
                <w:rFonts w:eastAsia="Times New Roman" w:cs="Times New Roman"/>
                <w:color w:val="000000" w:themeColor="text1"/>
                <w:sz w:val="16"/>
                <w:szCs w:val="16"/>
                <w:lang w:eastAsia="lv-LV"/>
              </w:rPr>
              <w:t xml:space="preserve">Saimnieciskā gada bilanču starpība, milj. </w:t>
            </w:r>
            <w:proofErr w:type="spellStart"/>
            <w:r w:rsidRPr="00CA2CB6">
              <w:rPr>
                <w:rFonts w:eastAsia="Times New Roman" w:cs="Times New Roman"/>
                <w:i/>
                <w:iCs/>
                <w:color w:val="000000" w:themeColor="text1"/>
                <w:sz w:val="16"/>
                <w:szCs w:val="16"/>
                <w:lang w:eastAsia="lv-LV"/>
              </w:rPr>
              <w:t>euro</w:t>
            </w:r>
            <w:proofErr w:type="spellEnd"/>
            <w:r w:rsidRPr="00CA2CB6">
              <w:rPr>
                <w:rFonts w:eastAsia="Times New Roman" w:cs="Times New Roman"/>
                <w:color w:val="000000" w:themeColor="text1"/>
                <w:sz w:val="16"/>
                <w:szCs w:val="16"/>
                <w:lang w:eastAsia="lv-LV"/>
              </w:rPr>
              <w:t xml:space="preserve"> </w:t>
            </w:r>
          </w:p>
        </w:tc>
        <w:tc>
          <w:tcPr>
            <w:tcW w:w="819" w:type="dxa"/>
          </w:tcPr>
          <w:p w14:paraId="01273FAC" w14:textId="77777777" w:rsidR="006A1FC0" w:rsidRPr="00CA2CB6" w:rsidRDefault="006A1FC0" w:rsidP="00A834DD">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16"/>
                <w:szCs w:val="16"/>
                <w:lang w:eastAsia="lv-LV"/>
              </w:rPr>
            </w:pPr>
            <w:r w:rsidRPr="00CA2CB6">
              <w:rPr>
                <w:rFonts w:cs="Times New Roman"/>
                <w:color w:val="000000" w:themeColor="text1"/>
                <w:sz w:val="16"/>
                <w:szCs w:val="16"/>
              </w:rPr>
              <w:t>227,5</w:t>
            </w:r>
          </w:p>
        </w:tc>
        <w:tc>
          <w:tcPr>
            <w:tcW w:w="819" w:type="dxa"/>
          </w:tcPr>
          <w:p w14:paraId="59C260B5" w14:textId="77777777" w:rsidR="006A1FC0" w:rsidRPr="00CA2CB6" w:rsidRDefault="006A1FC0" w:rsidP="00A834DD">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16"/>
                <w:szCs w:val="16"/>
                <w:lang w:eastAsia="lv-LV"/>
              </w:rPr>
            </w:pPr>
            <w:r w:rsidRPr="00CA2CB6">
              <w:rPr>
                <w:rFonts w:cs="Times New Roman"/>
                <w:color w:val="000000" w:themeColor="text1"/>
                <w:sz w:val="16"/>
                <w:szCs w:val="16"/>
              </w:rPr>
              <w:t>12,3</w:t>
            </w:r>
          </w:p>
        </w:tc>
        <w:tc>
          <w:tcPr>
            <w:tcW w:w="819" w:type="dxa"/>
          </w:tcPr>
          <w:p w14:paraId="1104D494" w14:textId="77777777" w:rsidR="006A1FC0" w:rsidRPr="00CA2CB6" w:rsidRDefault="006A1FC0" w:rsidP="00A834DD">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16"/>
                <w:szCs w:val="16"/>
                <w:lang w:eastAsia="lv-LV"/>
              </w:rPr>
            </w:pPr>
            <w:r w:rsidRPr="00CA2CB6">
              <w:rPr>
                <w:rFonts w:cs="Times New Roman"/>
                <w:color w:val="000000" w:themeColor="text1"/>
                <w:sz w:val="16"/>
                <w:szCs w:val="16"/>
              </w:rPr>
              <w:t>-119,3</w:t>
            </w:r>
          </w:p>
        </w:tc>
        <w:tc>
          <w:tcPr>
            <w:tcW w:w="819" w:type="dxa"/>
          </w:tcPr>
          <w:p w14:paraId="015BE206" w14:textId="77777777" w:rsidR="006A1FC0" w:rsidRPr="00CA2CB6" w:rsidRDefault="006A1FC0" w:rsidP="00A834DD">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16"/>
                <w:szCs w:val="16"/>
                <w:lang w:eastAsia="lv-LV"/>
              </w:rPr>
            </w:pPr>
            <w:r w:rsidRPr="00CA2CB6">
              <w:rPr>
                <w:rFonts w:cs="Times New Roman"/>
                <w:color w:val="000000" w:themeColor="text1"/>
                <w:sz w:val="16"/>
                <w:szCs w:val="16"/>
              </w:rPr>
              <w:t>124,5</w:t>
            </w:r>
          </w:p>
        </w:tc>
        <w:tc>
          <w:tcPr>
            <w:tcW w:w="819" w:type="dxa"/>
          </w:tcPr>
          <w:p w14:paraId="3CFAB2C2" w14:textId="77777777" w:rsidR="006A1FC0" w:rsidRPr="00CA2CB6" w:rsidRDefault="006A1FC0" w:rsidP="00A834DD">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16"/>
                <w:szCs w:val="16"/>
                <w:lang w:eastAsia="lv-LV"/>
              </w:rPr>
            </w:pPr>
            <w:r w:rsidRPr="00CA2CB6">
              <w:rPr>
                <w:rFonts w:cs="Times New Roman"/>
                <w:color w:val="000000" w:themeColor="text1"/>
                <w:sz w:val="16"/>
                <w:szCs w:val="16"/>
              </w:rPr>
              <w:t>-157,5</w:t>
            </w:r>
          </w:p>
        </w:tc>
        <w:tc>
          <w:tcPr>
            <w:tcW w:w="819" w:type="dxa"/>
          </w:tcPr>
          <w:p w14:paraId="78A88741" w14:textId="77777777" w:rsidR="006A1FC0" w:rsidRPr="00CA2CB6" w:rsidRDefault="006A1FC0" w:rsidP="00A834DD">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16"/>
                <w:szCs w:val="16"/>
                <w:lang w:eastAsia="lv-LV"/>
              </w:rPr>
            </w:pPr>
            <w:r w:rsidRPr="00CA2CB6">
              <w:rPr>
                <w:rFonts w:cs="Times New Roman"/>
                <w:color w:val="000000" w:themeColor="text1"/>
                <w:sz w:val="16"/>
                <w:szCs w:val="16"/>
              </w:rPr>
              <w:t>-290,4</w:t>
            </w:r>
          </w:p>
        </w:tc>
        <w:tc>
          <w:tcPr>
            <w:tcW w:w="819" w:type="dxa"/>
          </w:tcPr>
          <w:p w14:paraId="7459B88E" w14:textId="77777777" w:rsidR="006A1FC0" w:rsidRPr="00CA2CB6" w:rsidRDefault="006A1FC0" w:rsidP="00A834DD">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16"/>
                <w:szCs w:val="16"/>
                <w:lang w:eastAsia="lv-LV"/>
              </w:rPr>
            </w:pPr>
            <w:r w:rsidRPr="00CA2CB6">
              <w:rPr>
                <w:rFonts w:cs="Times New Roman"/>
                <w:color w:val="000000" w:themeColor="text1"/>
                <w:sz w:val="16"/>
                <w:szCs w:val="16"/>
              </w:rPr>
              <w:t>-281,4</w:t>
            </w:r>
          </w:p>
        </w:tc>
        <w:tc>
          <w:tcPr>
            <w:tcW w:w="819" w:type="dxa"/>
          </w:tcPr>
          <w:p w14:paraId="310A07D0" w14:textId="77777777" w:rsidR="006A1FC0" w:rsidRPr="00CA2CB6" w:rsidRDefault="006A1FC0" w:rsidP="00A834DD">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16"/>
                <w:szCs w:val="16"/>
                <w:lang w:eastAsia="lv-LV"/>
              </w:rPr>
            </w:pPr>
            <w:r w:rsidRPr="00CA2CB6">
              <w:rPr>
                <w:rFonts w:cs="Times New Roman"/>
                <w:color w:val="000000" w:themeColor="text1"/>
                <w:sz w:val="16"/>
                <w:szCs w:val="16"/>
              </w:rPr>
              <w:t>-25,1</w:t>
            </w:r>
          </w:p>
        </w:tc>
        <w:tc>
          <w:tcPr>
            <w:tcW w:w="819" w:type="dxa"/>
          </w:tcPr>
          <w:p w14:paraId="68DA8383" w14:textId="77777777" w:rsidR="006A1FC0" w:rsidRPr="00CA2CB6" w:rsidRDefault="006A1FC0" w:rsidP="00A834DD">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16"/>
                <w:szCs w:val="16"/>
                <w:lang w:eastAsia="lv-LV"/>
              </w:rPr>
            </w:pPr>
            <w:r w:rsidRPr="00CA2CB6">
              <w:rPr>
                <w:rFonts w:cs="Times New Roman"/>
                <w:color w:val="000000" w:themeColor="text1"/>
                <w:sz w:val="16"/>
                <w:szCs w:val="16"/>
              </w:rPr>
              <w:t>305,7</w:t>
            </w:r>
          </w:p>
        </w:tc>
      </w:tr>
      <w:tr w:rsidR="00CA2CB6" w:rsidRPr="00CA2CB6" w14:paraId="3381154F" w14:textId="77777777" w:rsidTr="00CA2CB6">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706" w:type="dxa"/>
            <w:hideMark/>
          </w:tcPr>
          <w:p w14:paraId="2E95D38D" w14:textId="77777777" w:rsidR="006A1FC0" w:rsidRPr="00CA2CB6" w:rsidRDefault="006A1FC0" w:rsidP="00A834DD">
            <w:pPr>
              <w:ind w:firstLine="0"/>
              <w:jc w:val="right"/>
              <w:rPr>
                <w:rFonts w:eastAsia="Times New Roman" w:cs="Times New Roman"/>
                <w:i/>
                <w:iCs/>
                <w:color w:val="000000" w:themeColor="text1"/>
                <w:sz w:val="16"/>
                <w:szCs w:val="16"/>
                <w:lang w:eastAsia="lv-LV"/>
              </w:rPr>
            </w:pPr>
            <w:r w:rsidRPr="00CA2CB6">
              <w:rPr>
                <w:rFonts w:eastAsia="Times New Roman" w:cs="Times New Roman"/>
                <w:i/>
                <w:iCs/>
                <w:color w:val="000000" w:themeColor="text1"/>
                <w:sz w:val="16"/>
                <w:szCs w:val="16"/>
                <w:lang w:eastAsia="lv-LV"/>
              </w:rPr>
              <w:t>7.</w:t>
            </w:r>
          </w:p>
          <w:p w14:paraId="44E1A2BC" w14:textId="77777777" w:rsidR="006A1FC0" w:rsidRPr="00CA2CB6" w:rsidRDefault="006A1FC0" w:rsidP="00A834DD">
            <w:pPr>
              <w:ind w:firstLine="0"/>
              <w:jc w:val="right"/>
              <w:rPr>
                <w:rFonts w:eastAsia="Times New Roman" w:cs="Times New Roman"/>
                <w:i/>
                <w:iCs/>
                <w:color w:val="000000" w:themeColor="text1"/>
                <w:sz w:val="16"/>
                <w:szCs w:val="16"/>
                <w:lang w:eastAsia="lv-LV"/>
              </w:rPr>
            </w:pPr>
            <w:r w:rsidRPr="00CA2CB6">
              <w:rPr>
                <w:rFonts w:eastAsia="Times New Roman" w:cs="Times New Roman"/>
                <w:i/>
                <w:iCs/>
                <w:color w:val="000000" w:themeColor="text1"/>
                <w:sz w:val="16"/>
                <w:szCs w:val="16"/>
                <w:lang w:eastAsia="lv-LV"/>
              </w:rPr>
              <w:t>((6.:1.)</w:t>
            </w:r>
          </w:p>
          <w:p w14:paraId="1F2CF053" w14:textId="77777777" w:rsidR="006A1FC0" w:rsidRPr="00CA2CB6" w:rsidRDefault="006A1FC0" w:rsidP="00A834DD">
            <w:pPr>
              <w:ind w:firstLine="0"/>
              <w:jc w:val="right"/>
              <w:rPr>
                <w:rFonts w:eastAsia="Times New Roman" w:cs="Times New Roman"/>
                <w:i/>
                <w:iCs/>
                <w:color w:val="000000" w:themeColor="text1"/>
                <w:sz w:val="16"/>
                <w:szCs w:val="16"/>
                <w:lang w:eastAsia="lv-LV"/>
              </w:rPr>
            </w:pPr>
            <w:r w:rsidRPr="00CA2CB6">
              <w:rPr>
                <w:rFonts w:eastAsia="Times New Roman" w:cs="Times New Roman"/>
                <w:i/>
                <w:iCs/>
                <w:color w:val="000000" w:themeColor="text1"/>
                <w:sz w:val="16"/>
                <w:szCs w:val="16"/>
                <w:lang w:eastAsia="lv-LV"/>
              </w:rPr>
              <w:t>×100)</w:t>
            </w:r>
          </w:p>
        </w:tc>
        <w:tc>
          <w:tcPr>
            <w:tcW w:w="1559" w:type="dxa"/>
            <w:hideMark/>
          </w:tcPr>
          <w:p w14:paraId="1A0C5474" w14:textId="77777777" w:rsidR="006A1FC0" w:rsidRPr="00CA2CB6" w:rsidRDefault="006A1FC0" w:rsidP="00A834DD">
            <w:pPr>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16"/>
                <w:szCs w:val="16"/>
                <w:lang w:eastAsia="lv-LV"/>
              </w:rPr>
            </w:pPr>
            <w:r w:rsidRPr="00CA2CB6">
              <w:rPr>
                <w:rFonts w:eastAsia="Times New Roman" w:cs="Times New Roman"/>
                <w:color w:val="000000" w:themeColor="text1"/>
                <w:sz w:val="16"/>
                <w:szCs w:val="16"/>
                <w:lang w:eastAsia="lv-LV"/>
              </w:rPr>
              <w:t>Saimnieciskā gada bilanču starpība, % no IKP</w:t>
            </w:r>
          </w:p>
        </w:tc>
        <w:tc>
          <w:tcPr>
            <w:tcW w:w="819" w:type="dxa"/>
          </w:tcPr>
          <w:p w14:paraId="6610B7BC" w14:textId="77777777" w:rsidR="006A1FC0" w:rsidRPr="00CA2CB6" w:rsidRDefault="006A1FC0" w:rsidP="00A834DD">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16"/>
                <w:szCs w:val="16"/>
                <w:lang w:eastAsia="lv-LV"/>
              </w:rPr>
            </w:pPr>
            <w:r w:rsidRPr="00CA2CB6">
              <w:rPr>
                <w:rFonts w:cs="Times New Roman"/>
                <w:b/>
                <w:bCs/>
                <w:color w:val="000000" w:themeColor="text1"/>
                <w:sz w:val="16"/>
                <w:szCs w:val="16"/>
              </w:rPr>
              <w:t>1,0</w:t>
            </w:r>
          </w:p>
        </w:tc>
        <w:tc>
          <w:tcPr>
            <w:tcW w:w="819" w:type="dxa"/>
          </w:tcPr>
          <w:p w14:paraId="2A65A015" w14:textId="77777777" w:rsidR="006A1FC0" w:rsidRPr="00CA2CB6" w:rsidRDefault="006A1FC0" w:rsidP="00A834DD">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16"/>
                <w:szCs w:val="16"/>
                <w:lang w:eastAsia="lv-LV"/>
              </w:rPr>
            </w:pPr>
            <w:r w:rsidRPr="00CA2CB6">
              <w:rPr>
                <w:rFonts w:cs="Times New Roman"/>
                <w:b/>
                <w:bCs/>
                <w:color w:val="000000" w:themeColor="text1"/>
                <w:sz w:val="16"/>
                <w:szCs w:val="16"/>
              </w:rPr>
              <w:t>0,1</w:t>
            </w:r>
          </w:p>
        </w:tc>
        <w:tc>
          <w:tcPr>
            <w:tcW w:w="819" w:type="dxa"/>
          </w:tcPr>
          <w:p w14:paraId="17BB17FA" w14:textId="77777777" w:rsidR="006A1FC0" w:rsidRPr="00CA2CB6" w:rsidRDefault="006A1FC0" w:rsidP="00A834DD">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16"/>
                <w:szCs w:val="16"/>
                <w:lang w:eastAsia="lv-LV"/>
              </w:rPr>
            </w:pPr>
            <w:r w:rsidRPr="00CA2CB6">
              <w:rPr>
                <w:rFonts w:cs="Times New Roman"/>
                <w:b/>
                <w:bCs/>
                <w:color w:val="000000" w:themeColor="text1"/>
                <w:sz w:val="16"/>
                <w:szCs w:val="16"/>
              </w:rPr>
              <w:t>-0,5</w:t>
            </w:r>
          </w:p>
        </w:tc>
        <w:tc>
          <w:tcPr>
            <w:tcW w:w="819" w:type="dxa"/>
          </w:tcPr>
          <w:p w14:paraId="7F939D32" w14:textId="77777777" w:rsidR="006A1FC0" w:rsidRPr="00CA2CB6" w:rsidRDefault="006A1FC0" w:rsidP="00A834DD">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16"/>
                <w:szCs w:val="16"/>
                <w:lang w:eastAsia="lv-LV"/>
              </w:rPr>
            </w:pPr>
            <w:r w:rsidRPr="00CA2CB6">
              <w:rPr>
                <w:rFonts w:cs="Times New Roman"/>
                <w:b/>
                <w:bCs/>
                <w:color w:val="000000" w:themeColor="text1"/>
                <w:sz w:val="16"/>
                <w:szCs w:val="16"/>
              </w:rPr>
              <w:t>0,5</w:t>
            </w:r>
          </w:p>
        </w:tc>
        <w:tc>
          <w:tcPr>
            <w:tcW w:w="819" w:type="dxa"/>
          </w:tcPr>
          <w:p w14:paraId="5D027D06" w14:textId="77777777" w:rsidR="006A1FC0" w:rsidRPr="00CA2CB6" w:rsidRDefault="006A1FC0" w:rsidP="00A834DD">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16"/>
                <w:szCs w:val="16"/>
                <w:lang w:eastAsia="lv-LV"/>
              </w:rPr>
            </w:pPr>
            <w:r w:rsidRPr="00CA2CB6">
              <w:rPr>
                <w:rFonts w:cs="Times New Roman"/>
                <w:b/>
                <w:bCs/>
                <w:color w:val="000000" w:themeColor="text1"/>
                <w:sz w:val="16"/>
                <w:szCs w:val="16"/>
              </w:rPr>
              <w:t>-0,6</w:t>
            </w:r>
          </w:p>
        </w:tc>
        <w:tc>
          <w:tcPr>
            <w:tcW w:w="819" w:type="dxa"/>
          </w:tcPr>
          <w:p w14:paraId="438344BE" w14:textId="77777777" w:rsidR="006A1FC0" w:rsidRPr="00CA2CB6" w:rsidRDefault="006A1FC0" w:rsidP="00A834DD">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16"/>
                <w:szCs w:val="16"/>
                <w:lang w:eastAsia="lv-LV"/>
              </w:rPr>
            </w:pPr>
            <w:r w:rsidRPr="00CA2CB6">
              <w:rPr>
                <w:rFonts w:cs="Times New Roman"/>
                <w:b/>
                <w:bCs/>
                <w:color w:val="000000" w:themeColor="text1"/>
                <w:sz w:val="16"/>
                <w:szCs w:val="16"/>
              </w:rPr>
              <w:t>-1,0</w:t>
            </w:r>
          </w:p>
        </w:tc>
        <w:tc>
          <w:tcPr>
            <w:tcW w:w="819" w:type="dxa"/>
          </w:tcPr>
          <w:p w14:paraId="1DF106A4" w14:textId="77777777" w:rsidR="006A1FC0" w:rsidRPr="00CA2CB6" w:rsidRDefault="006A1FC0" w:rsidP="00A834DD">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16"/>
                <w:szCs w:val="16"/>
                <w:lang w:eastAsia="lv-LV"/>
              </w:rPr>
            </w:pPr>
            <w:r w:rsidRPr="00CA2CB6">
              <w:rPr>
                <w:rFonts w:cs="Times New Roman"/>
                <w:b/>
                <w:bCs/>
                <w:color w:val="000000" w:themeColor="text1"/>
                <w:sz w:val="16"/>
                <w:szCs w:val="16"/>
              </w:rPr>
              <w:t>-0,9</w:t>
            </w:r>
          </w:p>
        </w:tc>
        <w:tc>
          <w:tcPr>
            <w:tcW w:w="819" w:type="dxa"/>
          </w:tcPr>
          <w:p w14:paraId="42987E58" w14:textId="77777777" w:rsidR="006A1FC0" w:rsidRPr="00CA2CB6" w:rsidRDefault="006A1FC0" w:rsidP="00A834DD">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16"/>
                <w:szCs w:val="16"/>
                <w:lang w:eastAsia="lv-LV"/>
              </w:rPr>
            </w:pPr>
            <w:r w:rsidRPr="00CA2CB6">
              <w:rPr>
                <w:rFonts w:cs="Times New Roman"/>
                <w:b/>
                <w:bCs/>
                <w:color w:val="000000" w:themeColor="text1"/>
                <w:sz w:val="16"/>
                <w:szCs w:val="16"/>
              </w:rPr>
              <w:t>-0,1</w:t>
            </w:r>
          </w:p>
        </w:tc>
        <w:tc>
          <w:tcPr>
            <w:tcW w:w="819" w:type="dxa"/>
          </w:tcPr>
          <w:p w14:paraId="6F33DBB8" w14:textId="77777777" w:rsidR="006A1FC0" w:rsidRPr="00CA2CB6" w:rsidRDefault="006A1FC0" w:rsidP="00A834DD">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16"/>
                <w:szCs w:val="16"/>
                <w:lang w:eastAsia="lv-LV"/>
              </w:rPr>
            </w:pPr>
            <w:r w:rsidRPr="00CA2CB6">
              <w:rPr>
                <w:rFonts w:cs="Times New Roman"/>
                <w:b/>
                <w:bCs/>
                <w:color w:val="000000" w:themeColor="text1"/>
                <w:sz w:val="16"/>
                <w:szCs w:val="16"/>
              </w:rPr>
              <w:t>0,9</w:t>
            </w:r>
          </w:p>
        </w:tc>
      </w:tr>
      <w:tr w:rsidR="00CA2CB6" w:rsidRPr="00CA2CB6" w14:paraId="7218BEFF" w14:textId="77777777" w:rsidTr="00CA2CB6">
        <w:trPr>
          <w:trHeight w:val="460"/>
        </w:trPr>
        <w:tc>
          <w:tcPr>
            <w:cnfStyle w:val="001000000000" w:firstRow="0" w:lastRow="0" w:firstColumn="1" w:lastColumn="0" w:oddVBand="0" w:evenVBand="0" w:oddHBand="0" w:evenHBand="0" w:firstRowFirstColumn="0" w:firstRowLastColumn="0" w:lastRowFirstColumn="0" w:lastRowLastColumn="0"/>
            <w:tcW w:w="706" w:type="dxa"/>
            <w:hideMark/>
          </w:tcPr>
          <w:p w14:paraId="7A1B4E17" w14:textId="77777777" w:rsidR="006A1FC0" w:rsidRPr="00CA2CB6" w:rsidRDefault="006A1FC0" w:rsidP="00A834DD">
            <w:pPr>
              <w:ind w:firstLine="0"/>
              <w:jc w:val="right"/>
              <w:rPr>
                <w:rFonts w:eastAsia="Times New Roman" w:cs="Times New Roman"/>
                <w:i/>
                <w:iCs/>
                <w:color w:val="000000" w:themeColor="text1"/>
                <w:sz w:val="16"/>
                <w:szCs w:val="16"/>
                <w:lang w:eastAsia="lv-LV"/>
              </w:rPr>
            </w:pPr>
            <w:r w:rsidRPr="00CA2CB6">
              <w:rPr>
                <w:rFonts w:eastAsia="Times New Roman" w:cs="Times New Roman"/>
                <w:i/>
                <w:iCs/>
                <w:color w:val="000000" w:themeColor="text1"/>
                <w:sz w:val="16"/>
                <w:szCs w:val="16"/>
                <w:lang w:eastAsia="lv-LV"/>
              </w:rPr>
              <w:t>8.</w:t>
            </w:r>
          </w:p>
          <w:p w14:paraId="048FB2C2" w14:textId="77777777" w:rsidR="006A1FC0" w:rsidRPr="00CA2CB6" w:rsidRDefault="006A1FC0" w:rsidP="00A834DD">
            <w:pPr>
              <w:ind w:firstLine="0"/>
              <w:jc w:val="right"/>
              <w:rPr>
                <w:rFonts w:eastAsia="Times New Roman" w:cs="Times New Roman"/>
                <w:i/>
                <w:iCs/>
                <w:color w:val="000000" w:themeColor="text1"/>
                <w:sz w:val="16"/>
                <w:szCs w:val="16"/>
                <w:lang w:eastAsia="lv-LV"/>
              </w:rPr>
            </w:pPr>
            <w:r w:rsidRPr="00CA2CB6">
              <w:rPr>
                <w:rFonts w:eastAsia="Times New Roman" w:cs="Times New Roman"/>
                <w:i/>
                <w:iCs/>
                <w:color w:val="000000" w:themeColor="text1"/>
                <w:sz w:val="16"/>
                <w:szCs w:val="16"/>
                <w:lang w:eastAsia="lv-LV"/>
              </w:rPr>
              <w:t>(Σ(6.))</w:t>
            </w:r>
          </w:p>
        </w:tc>
        <w:tc>
          <w:tcPr>
            <w:tcW w:w="1559" w:type="dxa"/>
            <w:hideMark/>
          </w:tcPr>
          <w:p w14:paraId="17C96D42" w14:textId="77777777" w:rsidR="006A1FC0" w:rsidRPr="00CA2CB6" w:rsidRDefault="006A1FC0" w:rsidP="00A834DD">
            <w:pPr>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16"/>
                <w:szCs w:val="16"/>
                <w:lang w:eastAsia="lv-LV"/>
              </w:rPr>
            </w:pPr>
            <w:r w:rsidRPr="00CA2CB6">
              <w:rPr>
                <w:rFonts w:eastAsia="Times New Roman" w:cs="Times New Roman"/>
                <w:color w:val="000000" w:themeColor="text1"/>
                <w:sz w:val="16"/>
                <w:szCs w:val="16"/>
                <w:lang w:eastAsia="lv-LV"/>
              </w:rPr>
              <w:t xml:space="preserve">Uzkrāto bilanču starpības summa (kumulatīvi), milj. </w:t>
            </w:r>
            <w:proofErr w:type="spellStart"/>
            <w:r w:rsidRPr="00CA2CB6">
              <w:rPr>
                <w:rFonts w:eastAsia="Times New Roman" w:cs="Times New Roman"/>
                <w:i/>
                <w:iCs/>
                <w:color w:val="000000" w:themeColor="text1"/>
                <w:sz w:val="16"/>
                <w:szCs w:val="16"/>
                <w:lang w:eastAsia="lv-LV"/>
              </w:rPr>
              <w:t>euro</w:t>
            </w:r>
            <w:proofErr w:type="spellEnd"/>
            <w:r w:rsidRPr="00CA2CB6">
              <w:rPr>
                <w:rFonts w:eastAsia="Times New Roman" w:cs="Times New Roman"/>
                <w:i/>
                <w:iCs/>
                <w:color w:val="000000" w:themeColor="text1"/>
                <w:sz w:val="16"/>
                <w:szCs w:val="16"/>
                <w:lang w:eastAsia="lv-LV"/>
              </w:rPr>
              <w:t xml:space="preserve"> </w:t>
            </w:r>
          </w:p>
        </w:tc>
        <w:tc>
          <w:tcPr>
            <w:tcW w:w="819" w:type="dxa"/>
          </w:tcPr>
          <w:p w14:paraId="257139F8" w14:textId="77777777" w:rsidR="006A1FC0" w:rsidRPr="00CA2CB6" w:rsidRDefault="006A1FC0" w:rsidP="00A834DD">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16"/>
                <w:szCs w:val="16"/>
                <w:lang w:eastAsia="lv-LV"/>
              </w:rPr>
            </w:pPr>
            <w:r w:rsidRPr="00CA2CB6">
              <w:rPr>
                <w:rFonts w:cs="Times New Roman"/>
                <w:color w:val="000000" w:themeColor="text1"/>
                <w:sz w:val="16"/>
                <w:szCs w:val="16"/>
              </w:rPr>
              <w:t>227,5</w:t>
            </w:r>
          </w:p>
        </w:tc>
        <w:tc>
          <w:tcPr>
            <w:tcW w:w="819" w:type="dxa"/>
          </w:tcPr>
          <w:p w14:paraId="03C9B364" w14:textId="77777777" w:rsidR="006A1FC0" w:rsidRPr="00CA2CB6" w:rsidRDefault="006A1FC0" w:rsidP="00A834DD">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16"/>
                <w:szCs w:val="16"/>
                <w:lang w:eastAsia="lv-LV"/>
              </w:rPr>
            </w:pPr>
            <w:r w:rsidRPr="00CA2CB6">
              <w:rPr>
                <w:rFonts w:cs="Times New Roman"/>
                <w:color w:val="000000" w:themeColor="text1"/>
                <w:sz w:val="16"/>
                <w:szCs w:val="16"/>
              </w:rPr>
              <w:t>239,8</w:t>
            </w:r>
          </w:p>
        </w:tc>
        <w:tc>
          <w:tcPr>
            <w:tcW w:w="819" w:type="dxa"/>
          </w:tcPr>
          <w:p w14:paraId="6BF3C410" w14:textId="77777777" w:rsidR="006A1FC0" w:rsidRPr="00CA2CB6" w:rsidRDefault="006A1FC0" w:rsidP="00A834DD">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16"/>
                <w:szCs w:val="16"/>
                <w:lang w:eastAsia="lv-LV"/>
              </w:rPr>
            </w:pPr>
            <w:r w:rsidRPr="00CA2CB6">
              <w:rPr>
                <w:rFonts w:cs="Times New Roman"/>
                <w:color w:val="000000" w:themeColor="text1"/>
                <w:sz w:val="16"/>
                <w:szCs w:val="16"/>
              </w:rPr>
              <w:t>120,5</w:t>
            </w:r>
          </w:p>
        </w:tc>
        <w:tc>
          <w:tcPr>
            <w:tcW w:w="819" w:type="dxa"/>
          </w:tcPr>
          <w:p w14:paraId="01B5979F" w14:textId="77777777" w:rsidR="006A1FC0" w:rsidRPr="00CA2CB6" w:rsidRDefault="006A1FC0" w:rsidP="00A834DD">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16"/>
                <w:szCs w:val="16"/>
                <w:lang w:eastAsia="lv-LV"/>
              </w:rPr>
            </w:pPr>
            <w:r w:rsidRPr="00CA2CB6">
              <w:rPr>
                <w:rFonts w:cs="Times New Roman"/>
                <w:color w:val="000000" w:themeColor="text1"/>
                <w:sz w:val="16"/>
                <w:szCs w:val="16"/>
              </w:rPr>
              <w:t>245,0</w:t>
            </w:r>
          </w:p>
        </w:tc>
        <w:tc>
          <w:tcPr>
            <w:tcW w:w="819" w:type="dxa"/>
          </w:tcPr>
          <w:p w14:paraId="2E866157" w14:textId="77777777" w:rsidR="006A1FC0" w:rsidRPr="00CA2CB6" w:rsidRDefault="006A1FC0" w:rsidP="00A834DD">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16"/>
                <w:szCs w:val="16"/>
                <w:lang w:eastAsia="lv-LV"/>
              </w:rPr>
            </w:pPr>
            <w:r w:rsidRPr="00CA2CB6">
              <w:rPr>
                <w:rFonts w:cs="Times New Roman"/>
                <w:color w:val="000000" w:themeColor="text1"/>
                <w:sz w:val="16"/>
                <w:szCs w:val="16"/>
              </w:rPr>
              <w:t>87,6</w:t>
            </w:r>
          </w:p>
        </w:tc>
        <w:tc>
          <w:tcPr>
            <w:tcW w:w="819" w:type="dxa"/>
          </w:tcPr>
          <w:p w14:paraId="74511162" w14:textId="77777777" w:rsidR="006A1FC0" w:rsidRPr="00CA2CB6" w:rsidRDefault="006A1FC0" w:rsidP="00A834DD">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16"/>
                <w:szCs w:val="16"/>
                <w:lang w:eastAsia="lv-LV"/>
              </w:rPr>
            </w:pPr>
            <w:r w:rsidRPr="00CA2CB6">
              <w:rPr>
                <w:rFonts w:cs="Times New Roman"/>
                <w:color w:val="000000" w:themeColor="text1"/>
                <w:sz w:val="16"/>
                <w:szCs w:val="16"/>
              </w:rPr>
              <w:t>-202,8</w:t>
            </w:r>
          </w:p>
        </w:tc>
        <w:tc>
          <w:tcPr>
            <w:tcW w:w="819" w:type="dxa"/>
          </w:tcPr>
          <w:p w14:paraId="6514D815" w14:textId="77777777" w:rsidR="006A1FC0" w:rsidRPr="00CA2CB6" w:rsidRDefault="006A1FC0" w:rsidP="00A834DD">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16"/>
                <w:szCs w:val="16"/>
                <w:lang w:eastAsia="lv-LV"/>
              </w:rPr>
            </w:pPr>
            <w:r w:rsidRPr="00CA2CB6">
              <w:rPr>
                <w:rFonts w:cs="Times New Roman"/>
                <w:color w:val="000000" w:themeColor="text1"/>
                <w:sz w:val="16"/>
                <w:szCs w:val="16"/>
              </w:rPr>
              <w:t>-484,2</w:t>
            </w:r>
          </w:p>
        </w:tc>
        <w:tc>
          <w:tcPr>
            <w:tcW w:w="819" w:type="dxa"/>
          </w:tcPr>
          <w:p w14:paraId="6BB284A7" w14:textId="77777777" w:rsidR="006A1FC0" w:rsidRPr="00CA2CB6" w:rsidRDefault="006A1FC0" w:rsidP="00A834DD">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16"/>
                <w:szCs w:val="16"/>
                <w:lang w:eastAsia="lv-LV"/>
              </w:rPr>
            </w:pPr>
            <w:r w:rsidRPr="00CA2CB6">
              <w:rPr>
                <w:rFonts w:cs="Times New Roman"/>
                <w:color w:val="000000" w:themeColor="text1"/>
                <w:sz w:val="16"/>
                <w:szCs w:val="16"/>
              </w:rPr>
              <w:t>-509,4</w:t>
            </w:r>
          </w:p>
        </w:tc>
        <w:tc>
          <w:tcPr>
            <w:tcW w:w="819" w:type="dxa"/>
          </w:tcPr>
          <w:p w14:paraId="3A97F181" w14:textId="77777777" w:rsidR="006A1FC0" w:rsidRPr="00CA2CB6" w:rsidRDefault="006A1FC0" w:rsidP="00A834DD">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16"/>
                <w:szCs w:val="16"/>
                <w:lang w:eastAsia="lv-LV"/>
              </w:rPr>
            </w:pPr>
            <w:r w:rsidRPr="00CA2CB6">
              <w:rPr>
                <w:rFonts w:cs="Times New Roman"/>
                <w:color w:val="000000" w:themeColor="text1"/>
                <w:sz w:val="16"/>
                <w:szCs w:val="16"/>
              </w:rPr>
              <w:t>-203,7</w:t>
            </w:r>
          </w:p>
        </w:tc>
      </w:tr>
      <w:tr w:rsidR="00CA2CB6" w:rsidRPr="00CA2CB6" w14:paraId="5FD4E6E1" w14:textId="77777777" w:rsidTr="00CA2CB6">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706" w:type="dxa"/>
            <w:hideMark/>
          </w:tcPr>
          <w:p w14:paraId="3A64345F" w14:textId="77777777" w:rsidR="006A1FC0" w:rsidRPr="00CA2CB6" w:rsidRDefault="006A1FC0" w:rsidP="00A834DD">
            <w:pPr>
              <w:ind w:firstLine="0"/>
              <w:jc w:val="right"/>
              <w:rPr>
                <w:rFonts w:eastAsia="Times New Roman" w:cs="Times New Roman"/>
                <w:i/>
                <w:iCs/>
                <w:color w:val="000000" w:themeColor="text1"/>
                <w:sz w:val="16"/>
                <w:szCs w:val="16"/>
                <w:lang w:eastAsia="lv-LV"/>
              </w:rPr>
            </w:pPr>
            <w:r w:rsidRPr="00CA2CB6">
              <w:rPr>
                <w:rFonts w:eastAsia="Times New Roman" w:cs="Times New Roman"/>
                <w:i/>
                <w:iCs/>
                <w:color w:val="000000" w:themeColor="text1"/>
                <w:sz w:val="16"/>
                <w:szCs w:val="16"/>
                <w:lang w:eastAsia="lv-LV"/>
              </w:rPr>
              <w:t>9.</w:t>
            </w:r>
          </w:p>
          <w:p w14:paraId="313A048B" w14:textId="77777777" w:rsidR="006A1FC0" w:rsidRPr="00CA2CB6" w:rsidRDefault="006A1FC0" w:rsidP="00A834DD">
            <w:pPr>
              <w:ind w:firstLine="0"/>
              <w:jc w:val="right"/>
              <w:rPr>
                <w:rFonts w:eastAsia="Times New Roman" w:cs="Times New Roman"/>
                <w:i/>
                <w:iCs/>
                <w:color w:val="000000" w:themeColor="text1"/>
                <w:sz w:val="16"/>
                <w:szCs w:val="16"/>
                <w:lang w:eastAsia="lv-LV"/>
              </w:rPr>
            </w:pPr>
            <w:r w:rsidRPr="00CA2CB6">
              <w:rPr>
                <w:rFonts w:eastAsia="Times New Roman" w:cs="Times New Roman"/>
                <w:i/>
                <w:iCs/>
                <w:color w:val="000000" w:themeColor="text1"/>
                <w:sz w:val="16"/>
                <w:szCs w:val="16"/>
                <w:lang w:eastAsia="lv-LV"/>
              </w:rPr>
              <w:t>((8./1.)</w:t>
            </w:r>
          </w:p>
          <w:p w14:paraId="19CD0EC8" w14:textId="77777777" w:rsidR="006A1FC0" w:rsidRPr="00CA2CB6" w:rsidRDefault="006A1FC0" w:rsidP="00A834DD">
            <w:pPr>
              <w:ind w:firstLine="0"/>
              <w:jc w:val="right"/>
              <w:rPr>
                <w:rFonts w:eastAsia="Times New Roman" w:cs="Times New Roman"/>
                <w:i/>
                <w:iCs/>
                <w:color w:val="000000" w:themeColor="text1"/>
                <w:sz w:val="16"/>
                <w:szCs w:val="16"/>
                <w:lang w:eastAsia="lv-LV"/>
              </w:rPr>
            </w:pPr>
            <w:r w:rsidRPr="00CA2CB6">
              <w:rPr>
                <w:rFonts w:eastAsia="Times New Roman" w:cs="Times New Roman"/>
                <w:i/>
                <w:iCs/>
                <w:color w:val="000000" w:themeColor="text1"/>
                <w:sz w:val="16"/>
                <w:szCs w:val="16"/>
                <w:lang w:eastAsia="lv-LV"/>
              </w:rPr>
              <w:t>×100)</w:t>
            </w:r>
          </w:p>
        </w:tc>
        <w:tc>
          <w:tcPr>
            <w:tcW w:w="1559" w:type="dxa"/>
            <w:hideMark/>
          </w:tcPr>
          <w:p w14:paraId="6ABCD0AA" w14:textId="77777777" w:rsidR="006A1FC0" w:rsidRPr="00CA2CB6" w:rsidRDefault="006A1FC0" w:rsidP="00A834DD">
            <w:pPr>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16"/>
                <w:szCs w:val="16"/>
                <w:lang w:eastAsia="lv-LV"/>
              </w:rPr>
            </w:pPr>
            <w:r w:rsidRPr="00CA2CB6">
              <w:rPr>
                <w:rFonts w:eastAsia="Times New Roman" w:cs="Times New Roman"/>
                <w:color w:val="000000" w:themeColor="text1"/>
                <w:sz w:val="16"/>
                <w:szCs w:val="16"/>
                <w:lang w:eastAsia="lv-LV"/>
              </w:rPr>
              <w:t>Uzkrāto bilanču starpības summa, % no IKP</w:t>
            </w:r>
          </w:p>
        </w:tc>
        <w:tc>
          <w:tcPr>
            <w:tcW w:w="819" w:type="dxa"/>
          </w:tcPr>
          <w:p w14:paraId="689E0AEF" w14:textId="77777777" w:rsidR="006A1FC0" w:rsidRPr="00CA2CB6" w:rsidRDefault="006A1FC0" w:rsidP="00A834DD">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16"/>
                <w:szCs w:val="16"/>
                <w:lang w:eastAsia="lv-LV"/>
              </w:rPr>
            </w:pPr>
            <w:r w:rsidRPr="00CA2CB6">
              <w:rPr>
                <w:rFonts w:cs="Times New Roman"/>
                <w:b/>
                <w:bCs/>
                <w:color w:val="000000" w:themeColor="text1"/>
                <w:sz w:val="16"/>
                <w:szCs w:val="16"/>
              </w:rPr>
              <w:t>1,0</w:t>
            </w:r>
          </w:p>
        </w:tc>
        <w:tc>
          <w:tcPr>
            <w:tcW w:w="819" w:type="dxa"/>
          </w:tcPr>
          <w:p w14:paraId="1216525C" w14:textId="77777777" w:rsidR="006A1FC0" w:rsidRPr="00CA2CB6" w:rsidRDefault="006A1FC0" w:rsidP="00A834DD">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16"/>
                <w:szCs w:val="16"/>
                <w:lang w:eastAsia="lv-LV"/>
              </w:rPr>
            </w:pPr>
            <w:r w:rsidRPr="00CA2CB6">
              <w:rPr>
                <w:rFonts w:cs="Times New Roman"/>
                <w:b/>
                <w:bCs/>
                <w:color w:val="000000" w:themeColor="text1"/>
                <w:sz w:val="16"/>
                <w:szCs w:val="16"/>
              </w:rPr>
              <w:t>1,0</w:t>
            </w:r>
          </w:p>
        </w:tc>
        <w:tc>
          <w:tcPr>
            <w:tcW w:w="819" w:type="dxa"/>
          </w:tcPr>
          <w:p w14:paraId="7D625D99" w14:textId="77777777" w:rsidR="006A1FC0" w:rsidRPr="00CA2CB6" w:rsidRDefault="006A1FC0" w:rsidP="00A834DD">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16"/>
                <w:szCs w:val="16"/>
                <w:lang w:eastAsia="lv-LV"/>
              </w:rPr>
            </w:pPr>
            <w:r w:rsidRPr="00CA2CB6">
              <w:rPr>
                <w:rFonts w:cs="Times New Roman"/>
                <w:b/>
                <w:bCs/>
                <w:color w:val="000000" w:themeColor="text1"/>
                <w:sz w:val="16"/>
                <w:szCs w:val="16"/>
              </w:rPr>
              <w:t>0,5</w:t>
            </w:r>
          </w:p>
        </w:tc>
        <w:tc>
          <w:tcPr>
            <w:tcW w:w="819" w:type="dxa"/>
          </w:tcPr>
          <w:p w14:paraId="41ADB00B" w14:textId="77777777" w:rsidR="006A1FC0" w:rsidRPr="00CA2CB6" w:rsidRDefault="006A1FC0" w:rsidP="00A834DD">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16"/>
                <w:szCs w:val="16"/>
                <w:lang w:eastAsia="lv-LV"/>
              </w:rPr>
            </w:pPr>
            <w:r w:rsidRPr="00CA2CB6">
              <w:rPr>
                <w:rFonts w:cs="Times New Roman"/>
                <w:b/>
                <w:bCs/>
                <w:color w:val="000000" w:themeColor="text1"/>
                <w:sz w:val="16"/>
                <w:szCs w:val="16"/>
              </w:rPr>
              <w:t>1,0</w:t>
            </w:r>
          </w:p>
        </w:tc>
        <w:tc>
          <w:tcPr>
            <w:tcW w:w="819" w:type="dxa"/>
          </w:tcPr>
          <w:p w14:paraId="3F475A68" w14:textId="77777777" w:rsidR="006A1FC0" w:rsidRPr="00CA2CB6" w:rsidRDefault="006A1FC0" w:rsidP="00A834DD">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16"/>
                <w:szCs w:val="16"/>
                <w:lang w:eastAsia="lv-LV"/>
              </w:rPr>
            </w:pPr>
            <w:r w:rsidRPr="00CA2CB6">
              <w:rPr>
                <w:rFonts w:cs="Times New Roman"/>
                <w:b/>
                <w:bCs/>
                <w:color w:val="000000" w:themeColor="text1"/>
                <w:sz w:val="16"/>
                <w:szCs w:val="16"/>
              </w:rPr>
              <w:t>0,3</w:t>
            </w:r>
          </w:p>
        </w:tc>
        <w:tc>
          <w:tcPr>
            <w:tcW w:w="819" w:type="dxa"/>
          </w:tcPr>
          <w:p w14:paraId="2F641B67" w14:textId="77777777" w:rsidR="006A1FC0" w:rsidRPr="00CA2CB6" w:rsidRDefault="006A1FC0" w:rsidP="00A834DD">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16"/>
                <w:szCs w:val="16"/>
                <w:lang w:eastAsia="lv-LV"/>
              </w:rPr>
            </w:pPr>
            <w:r w:rsidRPr="00CA2CB6">
              <w:rPr>
                <w:rFonts w:cs="Times New Roman"/>
                <w:b/>
                <w:bCs/>
                <w:color w:val="000000" w:themeColor="text1"/>
                <w:sz w:val="16"/>
                <w:szCs w:val="16"/>
              </w:rPr>
              <w:t>-0,7</w:t>
            </w:r>
          </w:p>
        </w:tc>
        <w:tc>
          <w:tcPr>
            <w:tcW w:w="819" w:type="dxa"/>
          </w:tcPr>
          <w:p w14:paraId="2E7C0D2B" w14:textId="77777777" w:rsidR="006A1FC0" w:rsidRPr="00CA2CB6" w:rsidRDefault="006A1FC0" w:rsidP="00A834DD">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16"/>
                <w:szCs w:val="16"/>
                <w:lang w:eastAsia="lv-LV"/>
              </w:rPr>
            </w:pPr>
            <w:r w:rsidRPr="00CA2CB6">
              <w:rPr>
                <w:rFonts w:cs="Times New Roman"/>
                <w:b/>
                <w:bCs/>
                <w:color w:val="000000" w:themeColor="text1"/>
                <w:sz w:val="16"/>
                <w:szCs w:val="16"/>
              </w:rPr>
              <w:t>-1,6</w:t>
            </w:r>
          </w:p>
        </w:tc>
        <w:tc>
          <w:tcPr>
            <w:tcW w:w="819" w:type="dxa"/>
          </w:tcPr>
          <w:p w14:paraId="681200C9" w14:textId="77777777" w:rsidR="006A1FC0" w:rsidRPr="00CA2CB6" w:rsidRDefault="006A1FC0" w:rsidP="00A834DD">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16"/>
                <w:szCs w:val="16"/>
                <w:lang w:eastAsia="lv-LV"/>
              </w:rPr>
            </w:pPr>
            <w:r w:rsidRPr="00CA2CB6">
              <w:rPr>
                <w:rFonts w:cs="Times New Roman"/>
                <w:b/>
                <w:bCs/>
                <w:color w:val="000000" w:themeColor="text1"/>
                <w:sz w:val="16"/>
                <w:szCs w:val="16"/>
              </w:rPr>
              <w:t>-1,7</w:t>
            </w:r>
          </w:p>
        </w:tc>
        <w:tc>
          <w:tcPr>
            <w:tcW w:w="819" w:type="dxa"/>
          </w:tcPr>
          <w:p w14:paraId="15B51AE1" w14:textId="77777777" w:rsidR="006A1FC0" w:rsidRPr="00CA2CB6" w:rsidRDefault="006A1FC0" w:rsidP="00A834DD">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16"/>
                <w:szCs w:val="16"/>
                <w:lang w:eastAsia="lv-LV"/>
              </w:rPr>
            </w:pPr>
            <w:r w:rsidRPr="00CA2CB6">
              <w:rPr>
                <w:rFonts w:cs="Times New Roman"/>
                <w:b/>
                <w:bCs/>
                <w:color w:val="000000" w:themeColor="text1"/>
                <w:sz w:val="16"/>
                <w:szCs w:val="16"/>
              </w:rPr>
              <w:t>-0,6</w:t>
            </w:r>
          </w:p>
        </w:tc>
      </w:tr>
      <w:tr w:rsidR="00CA2CB6" w:rsidRPr="00CA2CB6" w14:paraId="75A49912" w14:textId="77777777" w:rsidTr="00CA2CB6">
        <w:trPr>
          <w:trHeight w:val="460"/>
        </w:trPr>
        <w:tc>
          <w:tcPr>
            <w:cnfStyle w:val="001000000000" w:firstRow="0" w:lastRow="0" w:firstColumn="1" w:lastColumn="0" w:oddVBand="0" w:evenVBand="0" w:oddHBand="0" w:evenHBand="0" w:firstRowFirstColumn="0" w:firstRowLastColumn="0" w:lastRowFirstColumn="0" w:lastRowLastColumn="0"/>
            <w:tcW w:w="706" w:type="dxa"/>
            <w:hideMark/>
          </w:tcPr>
          <w:p w14:paraId="05AA27F9" w14:textId="77777777" w:rsidR="006A1FC0" w:rsidRPr="00CA2CB6" w:rsidRDefault="006A1FC0" w:rsidP="00A834DD">
            <w:pPr>
              <w:ind w:firstLine="0"/>
              <w:jc w:val="right"/>
              <w:rPr>
                <w:rFonts w:eastAsia="Times New Roman" w:cs="Times New Roman"/>
                <w:i/>
                <w:iCs/>
                <w:color w:val="000000" w:themeColor="text1"/>
                <w:sz w:val="16"/>
                <w:szCs w:val="16"/>
                <w:lang w:eastAsia="lv-LV"/>
              </w:rPr>
            </w:pPr>
            <w:r w:rsidRPr="00CA2CB6">
              <w:rPr>
                <w:rFonts w:eastAsia="Times New Roman" w:cs="Times New Roman"/>
                <w:i/>
                <w:iCs/>
                <w:color w:val="000000" w:themeColor="text1"/>
                <w:sz w:val="16"/>
                <w:szCs w:val="16"/>
                <w:lang w:eastAsia="lv-LV"/>
              </w:rPr>
              <w:t>10</w:t>
            </w:r>
          </w:p>
        </w:tc>
        <w:tc>
          <w:tcPr>
            <w:tcW w:w="1559" w:type="dxa"/>
            <w:hideMark/>
          </w:tcPr>
          <w:p w14:paraId="6BCC33F3" w14:textId="77777777" w:rsidR="006A1FC0" w:rsidRPr="00CA2CB6" w:rsidRDefault="006A1FC0" w:rsidP="00A834DD">
            <w:pPr>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16"/>
                <w:szCs w:val="16"/>
                <w:lang w:eastAsia="lv-LV"/>
              </w:rPr>
            </w:pPr>
            <w:r w:rsidRPr="00CA2CB6">
              <w:rPr>
                <w:rFonts w:eastAsia="Times New Roman" w:cs="Times New Roman"/>
                <w:color w:val="000000" w:themeColor="text1"/>
                <w:sz w:val="16"/>
                <w:szCs w:val="16"/>
                <w:lang w:eastAsia="lv-LV"/>
              </w:rPr>
              <w:t xml:space="preserve">FDL 11. panta nosacījums, % no IKP </w:t>
            </w:r>
          </w:p>
        </w:tc>
        <w:tc>
          <w:tcPr>
            <w:tcW w:w="819" w:type="dxa"/>
          </w:tcPr>
          <w:p w14:paraId="13F1EFD6" w14:textId="77777777" w:rsidR="006A1FC0" w:rsidRPr="00CA2CB6" w:rsidRDefault="006A1FC0" w:rsidP="00A834DD">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lang w:eastAsia="lv-LV"/>
              </w:rPr>
            </w:pPr>
            <w:r w:rsidRPr="00CA2CB6">
              <w:rPr>
                <w:rFonts w:cs="Times New Roman"/>
                <w:b/>
                <w:bCs/>
                <w:color w:val="000000" w:themeColor="text1"/>
                <w:sz w:val="16"/>
                <w:szCs w:val="16"/>
              </w:rPr>
              <w:t>-0,5</w:t>
            </w:r>
          </w:p>
        </w:tc>
        <w:tc>
          <w:tcPr>
            <w:tcW w:w="819" w:type="dxa"/>
          </w:tcPr>
          <w:p w14:paraId="438A9047" w14:textId="77777777" w:rsidR="006A1FC0" w:rsidRPr="00CA2CB6" w:rsidRDefault="006A1FC0" w:rsidP="00A834DD">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lang w:eastAsia="lv-LV"/>
              </w:rPr>
            </w:pPr>
            <w:r w:rsidRPr="00CA2CB6">
              <w:rPr>
                <w:rFonts w:cs="Times New Roman"/>
                <w:b/>
                <w:bCs/>
                <w:color w:val="000000" w:themeColor="text1"/>
                <w:sz w:val="16"/>
                <w:szCs w:val="16"/>
              </w:rPr>
              <w:t>-0,5</w:t>
            </w:r>
          </w:p>
        </w:tc>
        <w:tc>
          <w:tcPr>
            <w:tcW w:w="819" w:type="dxa"/>
          </w:tcPr>
          <w:p w14:paraId="35CDBBBA" w14:textId="77777777" w:rsidR="006A1FC0" w:rsidRPr="00CA2CB6" w:rsidRDefault="006A1FC0" w:rsidP="00A834DD">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lang w:eastAsia="lv-LV"/>
              </w:rPr>
            </w:pPr>
            <w:r w:rsidRPr="00CA2CB6">
              <w:rPr>
                <w:rFonts w:cs="Times New Roman"/>
                <w:b/>
                <w:bCs/>
                <w:color w:val="000000" w:themeColor="text1"/>
                <w:sz w:val="16"/>
                <w:szCs w:val="16"/>
              </w:rPr>
              <w:t>-0,5</w:t>
            </w:r>
          </w:p>
        </w:tc>
        <w:tc>
          <w:tcPr>
            <w:tcW w:w="819" w:type="dxa"/>
          </w:tcPr>
          <w:p w14:paraId="30A7906F" w14:textId="77777777" w:rsidR="006A1FC0" w:rsidRPr="00CA2CB6" w:rsidRDefault="006A1FC0" w:rsidP="00A834DD">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lang w:eastAsia="lv-LV"/>
              </w:rPr>
            </w:pPr>
            <w:r w:rsidRPr="00CA2CB6">
              <w:rPr>
                <w:rFonts w:cs="Times New Roman"/>
                <w:b/>
                <w:bCs/>
                <w:color w:val="000000" w:themeColor="text1"/>
                <w:sz w:val="16"/>
                <w:szCs w:val="16"/>
              </w:rPr>
              <w:t>-0,5</w:t>
            </w:r>
          </w:p>
        </w:tc>
        <w:tc>
          <w:tcPr>
            <w:tcW w:w="819" w:type="dxa"/>
          </w:tcPr>
          <w:p w14:paraId="275CBF34" w14:textId="77777777" w:rsidR="006A1FC0" w:rsidRPr="00CA2CB6" w:rsidRDefault="006A1FC0" w:rsidP="00A834DD">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lang w:eastAsia="lv-LV"/>
              </w:rPr>
            </w:pPr>
            <w:r w:rsidRPr="00CA2CB6">
              <w:rPr>
                <w:rFonts w:cs="Times New Roman"/>
                <w:b/>
                <w:bCs/>
                <w:color w:val="000000" w:themeColor="text1"/>
                <w:sz w:val="16"/>
                <w:szCs w:val="16"/>
              </w:rPr>
              <w:t>-0,5</w:t>
            </w:r>
          </w:p>
        </w:tc>
        <w:tc>
          <w:tcPr>
            <w:tcW w:w="819" w:type="dxa"/>
          </w:tcPr>
          <w:p w14:paraId="2C1FEF4E" w14:textId="77777777" w:rsidR="006A1FC0" w:rsidRPr="00CA2CB6" w:rsidRDefault="006A1FC0" w:rsidP="00A834DD">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lang w:eastAsia="lv-LV"/>
              </w:rPr>
            </w:pPr>
            <w:r w:rsidRPr="00CA2CB6">
              <w:rPr>
                <w:rFonts w:cs="Times New Roman"/>
                <w:b/>
                <w:bCs/>
                <w:color w:val="000000" w:themeColor="text1"/>
                <w:sz w:val="16"/>
                <w:szCs w:val="16"/>
              </w:rPr>
              <w:t>-0,5</w:t>
            </w:r>
          </w:p>
        </w:tc>
        <w:tc>
          <w:tcPr>
            <w:tcW w:w="819" w:type="dxa"/>
          </w:tcPr>
          <w:p w14:paraId="602C4CC4" w14:textId="77777777" w:rsidR="006A1FC0" w:rsidRPr="00CA2CB6" w:rsidRDefault="006A1FC0" w:rsidP="00A834DD">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lang w:eastAsia="lv-LV"/>
              </w:rPr>
            </w:pPr>
            <w:r w:rsidRPr="00CA2CB6">
              <w:rPr>
                <w:rFonts w:cs="Times New Roman"/>
                <w:b/>
                <w:bCs/>
                <w:color w:val="000000" w:themeColor="text1"/>
                <w:sz w:val="16"/>
                <w:szCs w:val="16"/>
              </w:rPr>
              <w:t>-0,5</w:t>
            </w:r>
          </w:p>
        </w:tc>
        <w:tc>
          <w:tcPr>
            <w:tcW w:w="819" w:type="dxa"/>
          </w:tcPr>
          <w:p w14:paraId="1E89D558" w14:textId="77777777" w:rsidR="006A1FC0" w:rsidRPr="00CA2CB6" w:rsidRDefault="006A1FC0" w:rsidP="00A834DD">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lang w:eastAsia="lv-LV"/>
              </w:rPr>
            </w:pPr>
            <w:r w:rsidRPr="00CA2CB6">
              <w:rPr>
                <w:rFonts w:cs="Times New Roman"/>
                <w:b/>
                <w:bCs/>
                <w:color w:val="000000" w:themeColor="text1"/>
                <w:sz w:val="16"/>
                <w:szCs w:val="16"/>
              </w:rPr>
              <w:t>-0,5</w:t>
            </w:r>
          </w:p>
        </w:tc>
        <w:tc>
          <w:tcPr>
            <w:tcW w:w="819" w:type="dxa"/>
          </w:tcPr>
          <w:p w14:paraId="28CA5827" w14:textId="77777777" w:rsidR="006A1FC0" w:rsidRPr="00CA2CB6" w:rsidRDefault="006A1FC0" w:rsidP="00A834DD">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lang w:eastAsia="lv-LV"/>
              </w:rPr>
            </w:pPr>
            <w:r w:rsidRPr="00CA2CB6">
              <w:rPr>
                <w:rFonts w:cs="Times New Roman"/>
                <w:b/>
                <w:bCs/>
                <w:color w:val="000000" w:themeColor="text1"/>
                <w:sz w:val="16"/>
                <w:szCs w:val="16"/>
              </w:rPr>
              <w:t>-0,5</w:t>
            </w:r>
          </w:p>
        </w:tc>
      </w:tr>
      <w:tr w:rsidR="00CA2CB6" w:rsidRPr="00CA2CB6" w14:paraId="0398A9DB" w14:textId="77777777" w:rsidTr="00CA2CB6">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706" w:type="dxa"/>
            <w:hideMark/>
          </w:tcPr>
          <w:p w14:paraId="46913DA0" w14:textId="77777777" w:rsidR="006A1FC0" w:rsidRPr="00CA2CB6" w:rsidRDefault="006A1FC0" w:rsidP="00A834DD">
            <w:pPr>
              <w:ind w:firstLine="0"/>
              <w:jc w:val="right"/>
              <w:rPr>
                <w:rFonts w:eastAsia="Times New Roman" w:cs="Times New Roman"/>
                <w:i/>
                <w:iCs/>
                <w:color w:val="000000" w:themeColor="text1"/>
                <w:sz w:val="16"/>
                <w:szCs w:val="16"/>
                <w:lang w:eastAsia="lv-LV"/>
              </w:rPr>
            </w:pPr>
            <w:r w:rsidRPr="00CA2CB6">
              <w:rPr>
                <w:rFonts w:eastAsia="Times New Roman" w:cs="Times New Roman"/>
                <w:i/>
                <w:iCs/>
                <w:color w:val="000000" w:themeColor="text1"/>
                <w:sz w:val="16"/>
                <w:szCs w:val="16"/>
                <w:lang w:eastAsia="lv-LV"/>
              </w:rPr>
              <w:t>11</w:t>
            </w:r>
          </w:p>
        </w:tc>
        <w:tc>
          <w:tcPr>
            <w:tcW w:w="1559" w:type="dxa"/>
            <w:hideMark/>
          </w:tcPr>
          <w:p w14:paraId="4CF60727" w14:textId="77777777" w:rsidR="006A1FC0" w:rsidRPr="00CA2CB6" w:rsidRDefault="006A1FC0" w:rsidP="00A834DD">
            <w:pPr>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16"/>
                <w:szCs w:val="16"/>
                <w:lang w:eastAsia="lv-LV"/>
              </w:rPr>
            </w:pPr>
            <w:r w:rsidRPr="00CA2CB6">
              <w:rPr>
                <w:rFonts w:eastAsia="Times New Roman" w:cs="Times New Roman"/>
                <w:color w:val="000000" w:themeColor="text1"/>
                <w:sz w:val="16"/>
                <w:szCs w:val="16"/>
                <w:lang w:eastAsia="lv-LV"/>
              </w:rPr>
              <w:t>Ir jākoriģē, ja 9.&lt;10.</w:t>
            </w:r>
          </w:p>
        </w:tc>
        <w:tc>
          <w:tcPr>
            <w:tcW w:w="819" w:type="dxa"/>
          </w:tcPr>
          <w:p w14:paraId="157D4FD1" w14:textId="77777777" w:rsidR="006A1FC0" w:rsidRPr="00CA2CB6" w:rsidRDefault="006A1FC0" w:rsidP="00A834DD">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16"/>
                <w:szCs w:val="16"/>
                <w:lang w:eastAsia="lv-LV"/>
              </w:rPr>
            </w:pPr>
            <w:r w:rsidRPr="00CA2CB6">
              <w:rPr>
                <w:rFonts w:cs="Times New Roman"/>
                <w:color w:val="000000" w:themeColor="text1"/>
                <w:sz w:val="16"/>
                <w:szCs w:val="16"/>
              </w:rPr>
              <w:t> </w:t>
            </w:r>
          </w:p>
        </w:tc>
        <w:tc>
          <w:tcPr>
            <w:tcW w:w="819" w:type="dxa"/>
          </w:tcPr>
          <w:p w14:paraId="036BC6F1" w14:textId="77777777" w:rsidR="006A1FC0" w:rsidRPr="00CA2CB6" w:rsidRDefault="006A1FC0" w:rsidP="00A834DD">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16"/>
                <w:szCs w:val="16"/>
                <w:lang w:eastAsia="lv-LV"/>
              </w:rPr>
            </w:pPr>
            <w:r w:rsidRPr="00CA2CB6">
              <w:rPr>
                <w:rFonts w:cs="Times New Roman"/>
                <w:color w:val="000000" w:themeColor="text1"/>
                <w:sz w:val="16"/>
                <w:szCs w:val="16"/>
              </w:rPr>
              <w:t> </w:t>
            </w:r>
          </w:p>
        </w:tc>
        <w:tc>
          <w:tcPr>
            <w:tcW w:w="819" w:type="dxa"/>
          </w:tcPr>
          <w:p w14:paraId="58BBC000" w14:textId="77777777" w:rsidR="006A1FC0" w:rsidRPr="00CA2CB6" w:rsidRDefault="006A1FC0" w:rsidP="00A834DD">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16"/>
                <w:szCs w:val="16"/>
                <w:lang w:eastAsia="lv-LV"/>
              </w:rPr>
            </w:pPr>
            <w:r w:rsidRPr="00CA2CB6">
              <w:rPr>
                <w:rFonts w:cs="Times New Roman"/>
                <w:color w:val="000000" w:themeColor="text1"/>
                <w:sz w:val="16"/>
                <w:szCs w:val="16"/>
              </w:rPr>
              <w:t> </w:t>
            </w:r>
          </w:p>
        </w:tc>
        <w:tc>
          <w:tcPr>
            <w:tcW w:w="819" w:type="dxa"/>
          </w:tcPr>
          <w:p w14:paraId="35C19F89" w14:textId="77777777" w:rsidR="006A1FC0" w:rsidRPr="00CA2CB6" w:rsidRDefault="006A1FC0" w:rsidP="00A834DD">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16"/>
                <w:szCs w:val="16"/>
                <w:lang w:eastAsia="lv-LV"/>
              </w:rPr>
            </w:pPr>
            <w:r w:rsidRPr="00CA2CB6">
              <w:rPr>
                <w:rFonts w:cs="Times New Roman"/>
                <w:color w:val="000000" w:themeColor="text1"/>
                <w:sz w:val="16"/>
                <w:szCs w:val="16"/>
              </w:rPr>
              <w:t> </w:t>
            </w:r>
          </w:p>
        </w:tc>
        <w:tc>
          <w:tcPr>
            <w:tcW w:w="819" w:type="dxa"/>
          </w:tcPr>
          <w:p w14:paraId="601214F2" w14:textId="77777777" w:rsidR="006A1FC0" w:rsidRPr="00CA2CB6" w:rsidRDefault="006A1FC0" w:rsidP="00A834DD">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16"/>
                <w:szCs w:val="16"/>
                <w:lang w:eastAsia="lv-LV"/>
              </w:rPr>
            </w:pPr>
            <w:r w:rsidRPr="00CA2CB6">
              <w:rPr>
                <w:rFonts w:cs="Times New Roman"/>
                <w:color w:val="000000" w:themeColor="text1"/>
                <w:sz w:val="16"/>
                <w:szCs w:val="16"/>
              </w:rPr>
              <w:t> </w:t>
            </w:r>
          </w:p>
        </w:tc>
        <w:tc>
          <w:tcPr>
            <w:tcW w:w="819" w:type="dxa"/>
          </w:tcPr>
          <w:p w14:paraId="30BA8160" w14:textId="77777777" w:rsidR="006A1FC0" w:rsidRPr="00CA2CB6" w:rsidRDefault="006A1FC0" w:rsidP="00A834DD">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16"/>
                <w:szCs w:val="16"/>
                <w:lang w:eastAsia="lv-LV"/>
              </w:rPr>
            </w:pPr>
            <w:r w:rsidRPr="00CA2CB6">
              <w:rPr>
                <w:rFonts w:cs="Times New Roman"/>
                <w:color w:val="000000" w:themeColor="text1"/>
                <w:sz w:val="16"/>
                <w:szCs w:val="16"/>
              </w:rPr>
              <w:t> </w:t>
            </w:r>
          </w:p>
        </w:tc>
        <w:tc>
          <w:tcPr>
            <w:tcW w:w="819" w:type="dxa"/>
          </w:tcPr>
          <w:p w14:paraId="7E020435" w14:textId="77777777" w:rsidR="006A1FC0" w:rsidRPr="00CA2CB6" w:rsidRDefault="006A1FC0" w:rsidP="00A834DD">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16"/>
                <w:szCs w:val="16"/>
                <w:lang w:eastAsia="lv-LV"/>
              </w:rPr>
            </w:pPr>
            <w:r w:rsidRPr="00CA2CB6">
              <w:rPr>
                <w:rFonts w:cs="Times New Roman"/>
                <w:b/>
                <w:bCs/>
                <w:color w:val="000000" w:themeColor="text1"/>
                <w:sz w:val="16"/>
                <w:szCs w:val="16"/>
              </w:rPr>
              <w:t> </w:t>
            </w:r>
          </w:p>
        </w:tc>
        <w:tc>
          <w:tcPr>
            <w:tcW w:w="819" w:type="dxa"/>
          </w:tcPr>
          <w:p w14:paraId="2E685845" w14:textId="77777777" w:rsidR="006A1FC0" w:rsidRPr="00CA2CB6" w:rsidRDefault="006A1FC0" w:rsidP="00A834DD">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16"/>
                <w:szCs w:val="16"/>
                <w:lang w:eastAsia="lv-LV"/>
              </w:rPr>
            </w:pPr>
            <w:r w:rsidRPr="00CA2CB6">
              <w:rPr>
                <w:rFonts w:cs="Times New Roman"/>
                <w:b/>
                <w:bCs/>
                <w:color w:val="000000" w:themeColor="text1"/>
                <w:sz w:val="16"/>
                <w:szCs w:val="16"/>
              </w:rPr>
              <w:t> </w:t>
            </w:r>
          </w:p>
        </w:tc>
        <w:tc>
          <w:tcPr>
            <w:tcW w:w="819" w:type="dxa"/>
          </w:tcPr>
          <w:p w14:paraId="740F2202" w14:textId="77777777" w:rsidR="006A1FC0" w:rsidRPr="00CA2CB6" w:rsidRDefault="006A1FC0" w:rsidP="00A834DD">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16"/>
                <w:szCs w:val="16"/>
                <w:lang w:eastAsia="lv-LV"/>
              </w:rPr>
            </w:pPr>
            <w:r w:rsidRPr="00CA2CB6">
              <w:rPr>
                <w:rFonts w:cs="Times New Roman"/>
                <w:b/>
                <w:bCs/>
                <w:color w:val="000000" w:themeColor="text1"/>
                <w:sz w:val="16"/>
                <w:szCs w:val="16"/>
              </w:rPr>
              <w:t>Ir jākoriģē</w:t>
            </w:r>
          </w:p>
        </w:tc>
      </w:tr>
    </w:tbl>
    <w:p w14:paraId="12B8E53E" w14:textId="77777777" w:rsidR="006A1FC0" w:rsidRPr="00085AFE" w:rsidRDefault="006A1FC0" w:rsidP="000800F9">
      <w:pPr>
        <w:ind w:firstLine="0"/>
        <w:rPr>
          <w:rFonts w:eastAsia="Calibri" w:cs="Times New Roman"/>
          <w:color w:val="000000"/>
          <w:szCs w:val="24"/>
          <w:highlight w:val="lightGray"/>
        </w:rPr>
      </w:pPr>
    </w:p>
    <w:p w14:paraId="5A3F3538" w14:textId="552DB228" w:rsidR="006A1FC0" w:rsidRPr="007707CD" w:rsidRDefault="006A1FC0" w:rsidP="000800F9">
      <w:pPr>
        <w:rPr>
          <w:rFonts w:eastAsia="Calibri" w:cs="Times New Roman"/>
          <w:b/>
          <w:bCs/>
          <w:color w:val="000000"/>
          <w:sz w:val="24"/>
        </w:rPr>
      </w:pPr>
      <w:r w:rsidRPr="00F831E6">
        <w:rPr>
          <w:rFonts w:eastAsia="Calibri" w:cs="Times New Roman"/>
          <w:color w:val="000000"/>
          <w:sz w:val="24"/>
        </w:rPr>
        <w:t xml:space="preserve">Ja budžeta izpildes gaitā tiek konstatēts, ka </w:t>
      </w:r>
      <w:bookmarkStart w:id="23" w:name="_Hlk130919523"/>
      <w:r w:rsidRPr="00F831E6">
        <w:rPr>
          <w:rFonts w:eastAsia="Calibri" w:cs="Times New Roman"/>
          <w:color w:val="000000"/>
          <w:sz w:val="24"/>
        </w:rPr>
        <w:t xml:space="preserve">uzkrātā faktisko strukturālo bilanču novirze no plānoto bilanču apmēra ir negatīva </w:t>
      </w:r>
      <w:bookmarkEnd w:id="23"/>
      <w:r w:rsidRPr="00F831E6">
        <w:rPr>
          <w:rFonts w:eastAsia="Calibri" w:cs="Times New Roman"/>
          <w:color w:val="000000"/>
          <w:sz w:val="24"/>
        </w:rPr>
        <w:t>un sasniedz vismaz 0,5% no IKP, jāveic tās koriģēšana. Attiecīgi ņemot vērā, ka 2021. gadā uzkrātā faktisko strukturālo bilanču novirze no plānoto bilanču apmēra ir negatīva un sasniedz vērtību -0,6 apmērā, atbi</w:t>
      </w:r>
      <w:r>
        <w:rPr>
          <w:rFonts w:eastAsia="Calibri" w:cs="Times New Roman"/>
          <w:color w:val="000000"/>
          <w:sz w:val="24"/>
        </w:rPr>
        <w:t>l</w:t>
      </w:r>
      <w:r w:rsidRPr="00F831E6">
        <w:rPr>
          <w:rFonts w:eastAsia="Calibri" w:cs="Times New Roman"/>
          <w:color w:val="000000"/>
          <w:sz w:val="24"/>
        </w:rPr>
        <w:t>stoši FDL 11.</w:t>
      </w:r>
      <w:r w:rsidR="000800F9">
        <w:rPr>
          <w:rFonts w:eastAsia="Calibri" w:cs="Times New Roman"/>
          <w:color w:val="000000"/>
          <w:sz w:val="24"/>
        </w:rPr>
        <w:t xml:space="preserve"> </w:t>
      </w:r>
      <w:r w:rsidRPr="00F831E6">
        <w:rPr>
          <w:rFonts w:eastAsia="Calibri" w:cs="Times New Roman"/>
          <w:color w:val="000000"/>
          <w:sz w:val="24"/>
        </w:rPr>
        <w:t xml:space="preserve">panta piektajai daļai </w:t>
      </w:r>
      <w:r w:rsidRPr="007707CD">
        <w:rPr>
          <w:rFonts w:eastAsia="Calibri" w:cs="Times New Roman"/>
          <w:b/>
          <w:bCs/>
          <w:color w:val="000000"/>
          <w:sz w:val="24"/>
        </w:rPr>
        <w:t>nākamā vidēja termiņa budžeta ietvara trešajā gadā vispārējās valdības budžeta strukturālās bilances mērķi nosaka par 0,5% no IKP lielāku.</w:t>
      </w:r>
    </w:p>
    <w:p w14:paraId="45E979F0" w14:textId="77777777" w:rsidR="006A1FC0" w:rsidRPr="00085AFE" w:rsidRDefault="006A1FC0" w:rsidP="006A1FC0">
      <w:pPr>
        <w:ind w:firstLine="709"/>
        <w:rPr>
          <w:rFonts w:eastAsia="Calibri" w:cs="Times New Roman"/>
          <w:color w:val="000000"/>
          <w:sz w:val="24"/>
          <w:highlight w:val="lightGray"/>
        </w:rPr>
      </w:pPr>
    </w:p>
    <w:p w14:paraId="28F7C8CD" w14:textId="77777777" w:rsidR="006A1FC0" w:rsidRPr="00F851C3" w:rsidRDefault="006A1FC0" w:rsidP="006A1FC0">
      <w:pPr>
        <w:pStyle w:val="Heading3"/>
        <w:numPr>
          <w:ilvl w:val="2"/>
          <w:numId w:val="8"/>
        </w:numPr>
        <w:spacing w:before="0" w:after="120"/>
        <w:ind w:left="0" w:firstLine="0"/>
        <w:jc w:val="center"/>
        <w:rPr>
          <w:sz w:val="24"/>
          <w:szCs w:val="20"/>
        </w:rPr>
      </w:pPr>
      <w:bookmarkStart w:id="24" w:name="_Toc53154100"/>
      <w:bookmarkStart w:id="25" w:name="_Toc98250546"/>
      <w:bookmarkStart w:id="26" w:name="_Hlk98249609"/>
      <w:bookmarkStart w:id="27" w:name="_Toc131331236"/>
      <w:r w:rsidRPr="00F851C3">
        <w:rPr>
          <w:sz w:val="24"/>
          <w:szCs w:val="20"/>
        </w:rPr>
        <w:t>Fiskālo nosacījumu ievērošana vidēja termiņa fiskālās politikas plānošanā</w:t>
      </w:r>
      <w:bookmarkEnd w:id="24"/>
      <w:bookmarkEnd w:id="25"/>
      <w:bookmarkEnd w:id="26"/>
      <w:bookmarkEnd w:id="27"/>
    </w:p>
    <w:p w14:paraId="3FF88153" w14:textId="0FB5927A" w:rsidR="006A1FC0" w:rsidRDefault="006A1FC0" w:rsidP="000800F9">
      <w:pPr>
        <w:rPr>
          <w:rFonts w:eastAsia="Times New Roman" w:cs="Times New Roman"/>
          <w:sz w:val="24"/>
        </w:rPr>
      </w:pPr>
      <w:r w:rsidRPr="00F851C3">
        <w:rPr>
          <w:rFonts w:eastAsia="Times New Roman" w:cs="Times New Roman"/>
          <w:sz w:val="24"/>
        </w:rPr>
        <w:t xml:space="preserve">Vispārējā gadījumā FDL paredz, ka strukturālās bilances mērķu definēšanā tiek piemērota vairāku pakāpju metode un tai ir vienlaicīgi jānodrošina atbilstība nacionālā līmeņa fiskālajiem nosacījumiem (bilances nosacījums, izdevumu pieauguma nosacījums un izdevumu </w:t>
      </w:r>
      <w:proofErr w:type="spellStart"/>
      <w:r w:rsidRPr="00F851C3">
        <w:rPr>
          <w:rFonts w:eastAsia="Times New Roman" w:cs="Times New Roman"/>
          <w:sz w:val="24"/>
        </w:rPr>
        <w:t>pārmantojamības</w:t>
      </w:r>
      <w:proofErr w:type="spellEnd"/>
      <w:r w:rsidRPr="00F851C3">
        <w:rPr>
          <w:rFonts w:eastAsia="Times New Roman" w:cs="Times New Roman"/>
          <w:sz w:val="24"/>
        </w:rPr>
        <w:t xml:space="preserve"> nosacījums), gan arī Stabilitātes un izaugsmes pakta nosacījumiem. </w:t>
      </w:r>
      <w:r>
        <w:rPr>
          <w:rFonts w:eastAsia="Times New Roman" w:cs="Times New Roman"/>
          <w:sz w:val="24"/>
        </w:rPr>
        <w:t xml:space="preserve"> Jāatzīmē, ka FDL nosacījumi ir jāievēro vidēja termiņa </w:t>
      </w:r>
      <w:r w:rsidR="000800F9">
        <w:rPr>
          <w:rFonts w:eastAsia="Times New Roman" w:cs="Times New Roman"/>
          <w:sz w:val="24"/>
        </w:rPr>
        <w:t xml:space="preserve">budžeta </w:t>
      </w:r>
      <w:r>
        <w:rPr>
          <w:rFonts w:eastAsia="Times New Roman" w:cs="Times New Roman"/>
          <w:sz w:val="24"/>
        </w:rPr>
        <w:t xml:space="preserve">ietvara sagatavošanā, bet Stabilitātes programmas sagatavošanas posmā šo nosacījumu ievērošana nav juridiski saistoša. Šo nosacījumu ievērošanas detalizācijas pakāpe ir atkarīga no tā, cik būtiski tie ietekmē gala rezultātu un šajā kontekstā detalizācijas pakāpe ir jāsabalansē ar vienkāršošanas mērķi.     </w:t>
      </w:r>
    </w:p>
    <w:p w14:paraId="3B86293D" w14:textId="37F44819" w:rsidR="006A1FC0" w:rsidRDefault="006A1FC0" w:rsidP="000800F9">
      <w:pPr>
        <w:rPr>
          <w:rFonts w:eastAsia="Calibri" w:cs="Times New Roman"/>
          <w:color w:val="000000"/>
          <w:sz w:val="24"/>
        </w:rPr>
      </w:pPr>
      <w:r>
        <w:rPr>
          <w:rFonts w:eastAsia="Times New Roman" w:cs="Times New Roman"/>
          <w:sz w:val="24"/>
        </w:rPr>
        <w:t xml:space="preserve">Ņemot vērā, ka </w:t>
      </w:r>
      <w:r>
        <w:rPr>
          <w:rFonts w:eastAsia="Calibri" w:cs="Times New Roman"/>
          <w:color w:val="000000"/>
          <w:sz w:val="24"/>
        </w:rPr>
        <w:t>š</w:t>
      </w:r>
      <w:r w:rsidR="000E1368">
        <w:rPr>
          <w:rFonts w:eastAsia="Calibri" w:cs="Times New Roman"/>
          <w:color w:val="000000"/>
          <w:sz w:val="24"/>
        </w:rPr>
        <w:t xml:space="preserve">ā </w:t>
      </w:r>
      <w:r>
        <w:rPr>
          <w:rFonts w:eastAsia="Calibri" w:cs="Times New Roman"/>
          <w:color w:val="000000"/>
          <w:sz w:val="24"/>
        </w:rPr>
        <w:t>g</w:t>
      </w:r>
      <w:r w:rsidR="000E1368">
        <w:rPr>
          <w:rFonts w:eastAsia="Calibri" w:cs="Times New Roman"/>
          <w:color w:val="000000"/>
          <w:sz w:val="24"/>
        </w:rPr>
        <w:t>ada</w:t>
      </w:r>
      <w:r>
        <w:rPr>
          <w:rFonts w:eastAsia="Calibri" w:cs="Times New Roman"/>
          <w:color w:val="000000"/>
          <w:sz w:val="24"/>
        </w:rPr>
        <w:t xml:space="preserve"> 8.</w:t>
      </w:r>
      <w:r w:rsidR="000800F9">
        <w:rPr>
          <w:rFonts w:eastAsia="Calibri" w:cs="Times New Roman"/>
          <w:color w:val="000000"/>
          <w:sz w:val="24"/>
        </w:rPr>
        <w:t xml:space="preserve"> </w:t>
      </w:r>
      <w:r>
        <w:rPr>
          <w:rFonts w:eastAsia="Calibri" w:cs="Times New Roman"/>
          <w:color w:val="000000"/>
          <w:sz w:val="24"/>
        </w:rPr>
        <w:t xml:space="preserve">martā </w:t>
      </w:r>
      <w:r w:rsidRPr="00A10C08">
        <w:rPr>
          <w:rFonts w:eastAsia="Calibri" w:cs="Times New Roman"/>
          <w:color w:val="000000"/>
          <w:sz w:val="24"/>
        </w:rPr>
        <w:t>EK publicēja fiskālās politikas vadlīnijas 202</w:t>
      </w:r>
      <w:r>
        <w:rPr>
          <w:rFonts w:eastAsia="Calibri" w:cs="Times New Roman"/>
          <w:color w:val="000000"/>
          <w:sz w:val="24"/>
        </w:rPr>
        <w:t>4</w:t>
      </w:r>
      <w:r w:rsidRPr="00A10C08">
        <w:rPr>
          <w:rFonts w:eastAsia="Calibri" w:cs="Times New Roman"/>
          <w:color w:val="000000"/>
          <w:sz w:val="24"/>
        </w:rPr>
        <w:t>. gadam</w:t>
      </w:r>
      <w:r w:rsidR="00671881">
        <w:rPr>
          <w:rFonts w:eastAsia="Calibri" w:cs="Times New Roman"/>
          <w:color w:val="000000"/>
          <w:sz w:val="24"/>
        </w:rPr>
        <w:t>, kuras</w:t>
      </w:r>
      <w:r>
        <w:rPr>
          <w:rFonts w:eastAsia="Calibri" w:cs="Times New Roman"/>
          <w:color w:val="000000"/>
          <w:sz w:val="24"/>
        </w:rPr>
        <w:t xml:space="preserve"> </w:t>
      </w:r>
      <w:r w:rsidR="00671881">
        <w:rPr>
          <w:rFonts w:eastAsia="Calibri" w:cs="Times New Roman"/>
          <w:color w:val="000000"/>
          <w:sz w:val="24"/>
        </w:rPr>
        <w:t>nosaka</w:t>
      </w:r>
      <w:r>
        <w:rPr>
          <w:rFonts w:eastAsia="Calibri" w:cs="Times New Roman"/>
          <w:color w:val="000000"/>
          <w:sz w:val="24"/>
        </w:rPr>
        <w:t xml:space="preserve"> elastīgu pieeju Stabilitātes un izaugsmes pakta nosacījumu piemērošanai, paredzot</w:t>
      </w:r>
      <w:r w:rsidR="00671881">
        <w:rPr>
          <w:rFonts w:eastAsia="Calibri" w:cs="Times New Roman"/>
          <w:color w:val="000000"/>
          <w:sz w:val="24"/>
        </w:rPr>
        <w:t>,</w:t>
      </w:r>
      <w:r>
        <w:rPr>
          <w:rFonts w:eastAsia="Calibri" w:cs="Times New Roman"/>
          <w:color w:val="000000"/>
          <w:sz w:val="24"/>
        </w:rPr>
        <w:t xml:space="preserve"> ka galvenais fiskālo nosacījumu atbilstības rādītājs būs atbilstība Stabilitātes programmas fiskālai trajektorijai,  šajā </w:t>
      </w:r>
      <w:r w:rsidR="00671881">
        <w:rPr>
          <w:rFonts w:eastAsia="Calibri" w:cs="Times New Roman"/>
          <w:color w:val="000000"/>
          <w:sz w:val="24"/>
        </w:rPr>
        <w:t>S</w:t>
      </w:r>
      <w:r>
        <w:rPr>
          <w:rFonts w:eastAsia="Calibri" w:cs="Times New Roman"/>
          <w:color w:val="000000"/>
          <w:sz w:val="24"/>
        </w:rPr>
        <w:t>tabilitātes programmā ir  iespējams veikt vienkāršāku strukturālās bilances mērķa aprēķināšanu</w:t>
      </w:r>
      <w:r w:rsidR="00671881">
        <w:rPr>
          <w:rFonts w:eastAsia="Calibri" w:cs="Times New Roman"/>
          <w:color w:val="000000"/>
          <w:sz w:val="24"/>
        </w:rPr>
        <w:t>,</w:t>
      </w:r>
      <w:r>
        <w:rPr>
          <w:rFonts w:eastAsia="Calibri" w:cs="Times New Roman"/>
          <w:color w:val="000000"/>
          <w:sz w:val="24"/>
        </w:rPr>
        <w:t xml:space="preserve"> atsakoties no prasības vienlaicīgi nodrošināt arī </w:t>
      </w:r>
      <w:r>
        <w:rPr>
          <w:rFonts w:eastAsia="Calibri" w:cs="Times New Roman"/>
          <w:color w:val="000000"/>
          <w:sz w:val="24"/>
        </w:rPr>
        <w:lastRenderedPageBreak/>
        <w:t xml:space="preserve">izdevumu pieauguma nosacījuma izpildi. Tāpat šajā brīdī nav nepieciešams veikt izdevumu </w:t>
      </w:r>
      <w:proofErr w:type="spellStart"/>
      <w:r>
        <w:rPr>
          <w:rFonts w:eastAsia="Calibri" w:cs="Times New Roman"/>
          <w:color w:val="000000"/>
          <w:sz w:val="24"/>
        </w:rPr>
        <w:t>pārmantojamības</w:t>
      </w:r>
      <w:proofErr w:type="spellEnd"/>
      <w:r>
        <w:rPr>
          <w:rFonts w:eastAsia="Calibri" w:cs="Times New Roman"/>
          <w:color w:val="000000"/>
          <w:sz w:val="24"/>
        </w:rPr>
        <w:t xml:space="preserve"> nosacījuma pārbaudi, jo maksimālā atšķirība no šī nosacījuma nepiemērošanas nepārsniedz 0,1% no IKP, kas šajā fiskālās prognozēšanas posmā ir akceptējama novirze. </w:t>
      </w:r>
    </w:p>
    <w:p w14:paraId="3C8DD4A5" w14:textId="716AFDB5" w:rsidR="006A1FC0" w:rsidRDefault="006A1FC0" w:rsidP="006A1FC0">
      <w:pPr>
        <w:ind w:firstLine="0"/>
        <w:rPr>
          <w:rFonts w:eastAsia="Times New Roman" w:cs="Times New Roman"/>
          <w:sz w:val="24"/>
        </w:rPr>
      </w:pPr>
    </w:p>
    <w:p w14:paraId="28239323" w14:textId="386926D7" w:rsidR="006A1FC0" w:rsidRPr="00F851C3" w:rsidRDefault="006A1FC0" w:rsidP="006A1FC0">
      <w:pPr>
        <w:pStyle w:val="Heading3"/>
        <w:numPr>
          <w:ilvl w:val="2"/>
          <w:numId w:val="21"/>
        </w:numPr>
        <w:spacing w:before="0" w:after="120"/>
        <w:ind w:left="0" w:firstLine="0"/>
        <w:jc w:val="center"/>
        <w:rPr>
          <w:rFonts w:eastAsia="Times New Roman"/>
          <w:sz w:val="24"/>
          <w:szCs w:val="20"/>
        </w:rPr>
      </w:pPr>
      <w:bookmarkStart w:id="28" w:name="_Toc98250547"/>
      <w:bookmarkStart w:id="29" w:name="_Toc131331237"/>
      <w:r w:rsidRPr="001D1B17">
        <w:rPr>
          <w:rFonts w:eastAsia="Times New Roman"/>
          <w:sz w:val="24"/>
          <w:szCs w:val="20"/>
        </w:rPr>
        <w:t>2024., 2025. un</w:t>
      </w:r>
      <w:r w:rsidRPr="00F851C3">
        <w:rPr>
          <w:rFonts w:eastAsia="Times New Roman"/>
          <w:sz w:val="24"/>
          <w:szCs w:val="20"/>
        </w:rPr>
        <w:t xml:space="preserve"> 202</w:t>
      </w:r>
      <w:r>
        <w:rPr>
          <w:rFonts w:eastAsia="Times New Roman"/>
          <w:sz w:val="24"/>
          <w:szCs w:val="20"/>
        </w:rPr>
        <w:t>6</w:t>
      </w:r>
      <w:r w:rsidRPr="00F851C3">
        <w:rPr>
          <w:rFonts w:eastAsia="Times New Roman"/>
          <w:sz w:val="24"/>
          <w:szCs w:val="20"/>
        </w:rPr>
        <w:t>. gada vispārējās valdības budžeta strukturālās bilances mērķi</w:t>
      </w:r>
      <w:bookmarkEnd w:id="28"/>
      <w:r w:rsidR="00845A08">
        <w:rPr>
          <w:rFonts w:eastAsia="Times New Roman"/>
          <w:sz w:val="24"/>
          <w:szCs w:val="20"/>
        </w:rPr>
        <w:t xml:space="preserve"> </w:t>
      </w:r>
      <w:r>
        <w:rPr>
          <w:rFonts w:eastAsia="Times New Roman"/>
          <w:sz w:val="24"/>
          <w:szCs w:val="20"/>
        </w:rPr>
        <w:t>un Stabilitātes programmas fiskālā trajektorija</w:t>
      </w:r>
      <w:bookmarkEnd w:id="29"/>
    </w:p>
    <w:p w14:paraId="77D06D58" w14:textId="77777777" w:rsidR="006A1FC0" w:rsidRPr="00A46F4C" w:rsidRDefault="006A1FC0" w:rsidP="001D1B17">
      <w:pPr>
        <w:widowControl w:val="0"/>
        <w:rPr>
          <w:rFonts w:eastAsia="Times New Roman" w:cs="Times New Roman"/>
          <w:b/>
          <w:sz w:val="24"/>
          <w:u w:val="single"/>
        </w:rPr>
      </w:pPr>
      <w:r w:rsidRPr="00A46F4C">
        <w:rPr>
          <w:rFonts w:eastAsia="Times New Roman" w:cs="Times New Roman"/>
          <w:b/>
          <w:sz w:val="24"/>
          <w:u w:val="single"/>
        </w:rPr>
        <w:t>Strukturālās bilances mērķi</w:t>
      </w:r>
    </w:p>
    <w:p w14:paraId="11FFBBB0" w14:textId="77777777" w:rsidR="006A1FC0" w:rsidRDefault="006A1FC0" w:rsidP="006A1FC0">
      <w:pPr>
        <w:widowControl w:val="0"/>
        <w:rPr>
          <w:rFonts w:eastAsia="Times New Roman" w:cs="Times New Roman"/>
          <w:bCs/>
          <w:sz w:val="24"/>
        </w:rPr>
      </w:pPr>
    </w:p>
    <w:p w14:paraId="1AD00603" w14:textId="51155B9D" w:rsidR="006A1FC0" w:rsidRDefault="006A1FC0" w:rsidP="006A1FC0">
      <w:pPr>
        <w:widowControl w:val="0"/>
        <w:rPr>
          <w:rFonts w:eastAsia="Times New Roman" w:cs="Times New Roman"/>
          <w:bCs/>
          <w:sz w:val="24"/>
        </w:rPr>
      </w:pPr>
      <w:r w:rsidRPr="00F851C3">
        <w:rPr>
          <w:rFonts w:eastAsia="Times New Roman" w:cs="Times New Roman"/>
          <w:bCs/>
          <w:sz w:val="24"/>
        </w:rPr>
        <w:t>Saskaņā ar fiskālās politikas stratēģiju, strukturālās bilances mērķis 2024. – 2026.</w:t>
      </w:r>
      <w:r w:rsidR="001D1B17">
        <w:rPr>
          <w:rFonts w:eastAsia="Times New Roman" w:cs="Times New Roman"/>
          <w:bCs/>
          <w:sz w:val="24"/>
        </w:rPr>
        <w:t xml:space="preserve"> </w:t>
      </w:r>
      <w:r w:rsidRPr="00F851C3">
        <w:rPr>
          <w:rFonts w:eastAsia="Times New Roman" w:cs="Times New Roman"/>
          <w:bCs/>
          <w:sz w:val="24"/>
        </w:rPr>
        <w:t xml:space="preserve">gadiem tiek  noteikts par pamatu ņemot 2023. gada strukturālās bilances prognozi. </w:t>
      </w:r>
    </w:p>
    <w:p w14:paraId="398367F9" w14:textId="70A733E7" w:rsidR="006A1FC0" w:rsidRDefault="006A1FC0" w:rsidP="006A1FC0">
      <w:pPr>
        <w:widowControl w:val="0"/>
        <w:rPr>
          <w:rFonts w:eastAsia="Times New Roman" w:cs="Times New Roman"/>
          <w:bCs/>
          <w:sz w:val="24"/>
        </w:rPr>
      </w:pPr>
      <w:r>
        <w:rPr>
          <w:rFonts w:eastAsia="Times New Roman" w:cs="Times New Roman"/>
          <w:bCs/>
          <w:sz w:val="24"/>
        </w:rPr>
        <w:t>Atbilstoši aktualizētajām v</w:t>
      </w:r>
      <w:r w:rsidRPr="005F746F">
        <w:rPr>
          <w:rFonts w:eastAsia="Times New Roman" w:cs="Times New Roman"/>
          <w:bCs/>
          <w:sz w:val="24"/>
        </w:rPr>
        <w:t>ispārējās valdības budžeta prognoz</w:t>
      </w:r>
      <w:r>
        <w:rPr>
          <w:rFonts w:eastAsia="Times New Roman" w:cs="Times New Roman"/>
          <w:bCs/>
          <w:sz w:val="24"/>
        </w:rPr>
        <w:t>ēm</w:t>
      </w:r>
      <w:r w:rsidRPr="005F746F">
        <w:rPr>
          <w:rFonts w:eastAsia="Times New Roman" w:cs="Times New Roman"/>
          <w:bCs/>
          <w:sz w:val="24"/>
        </w:rPr>
        <w:t xml:space="preserve"> vidējam termiņam pie nemainīgas politikas</w:t>
      </w:r>
      <w:r w:rsidR="001D1B17">
        <w:rPr>
          <w:rFonts w:eastAsia="Times New Roman" w:cs="Times New Roman"/>
          <w:bCs/>
          <w:sz w:val="24"/>
        </w:rPr>
        <w:t>,</w:t>
      </w:r>
      <w:r w:rsidRPr="005F746F">
        <w:rPr>
          <w:rFonts w:eastAsia="Times New Roman" w:cs="Times New Roman"/>
          <w:bCs/>
          <w:sz w:val="24"/>
        </w:rPr>
        <w:t xml:space="preserve"> </w:t>
      </w:r>
      <w:r>
        <w:rPr>
          <w:rFonts w:eastAsia="Times New Roman" w:cs="Times New Roman"/>
          <w:bCs/>
          <w:sz w:val="24"/>
        </w:rPr>
        <w:t>2023.</w:t>
      </w:r>
      <w:r w:rsidR="001D1B17">
        <w:rPr>
          <w:rFonts w:eastAsia="Times New Roman" w:cs="Times New Roman"/>
          <w:bCs/>
          <w:sz w:val="24"/>
        </w:rPr>
        <w:t xml:space="preserve"> </w:t>
      </w:r>
      <w:r>
        <w:rPr>
          <w:rFonts w:eastAsia="Times New Roman" w:cs="Times New Roman"/>
          <w:bCs/>
          <w:sz w:val="24"/>
        </w:rPr>
        <w:t>gadā vispārējās valdības budžeta deficīts tiek novērtēts 4,0% apmērā.</w:t>
      </w:r>
    </w:p>
    <w:p w14:paraId="01388EDB" w14:textId="54FF1D10" w:rsidR="006A1FC0" w:rsidRPr="00BA03D2" w:rsidRDefault="006A1FC0" w:rsidP="006A1FC0">
      <w:pPr>
        <w:widowControl w:val="0"/>
        <w:rPr>
          <w:rFonts w:eastAsia="Times New Roman" w:cs="Times New Roman"/>
          <w:bCs/>
          <w:sz w:val="24"/>
        </w:rPr>
      </w:pPr>
      <w:r w:rsidRPr="005F746F">
        <w:rPr>
          <w:rFonts w:eastAsia="Times New Roman" w:cs="Times New Roman"/>
          <w:bCs/>
          <w:sz w:val="24"/>
        </w:rPr>
        <w:t>Ņemot vērā izlaižu starpību un vienr</w:t>
      </w:r>
      <w:r w:rsidRPr="00BA03D2">
        <w:rPr>
          <w:rFonts w:eastAsia="Times New Roman" w:cs="Times New Roman"/>
          <w:bCs/>
          <w:sz w:val="24"/>
        </w:rPr>
        <w:t>eizējo pasākumu apmēru var konstatēt, ka 2023. gada vispārēj</w:t>
      </w:r>
      <w:r w:rsidR="001D1B17" w:rsidRPr="00BA03D2">
        <w:rPr>
          <w:rFonts w:eastAsia="Times New Roman" w:cs="Times New Roman"/>
          <w:bCs/>
          <w:sz w:val="24"/>
        </w:rPr>
        <w:t>ā</w:t>
      </w:r>
      <w:r w:rsidRPr="00BA03D2">
        <w:rPr>
          <w:rFonts w:eastAsia="Times New Roman" w:cs="Times New Roman"/>
          <w:bCs/>
          <w:sz w:val="24"/>
        </w:rPr>
        <w:t>s valdības strukturālais deficīts ir -0,5 % no IKP (skat. 3.3.</w:t>
      </w:r>
      <w:r w:rsidR="001D1B17" w:rsidRPr="00BA03D2">
        <w:rPr>
          <w:rFonts w:eastAsia="Times New Roman" w:cs="Times New Roman"/>
          <w:bCs/>
          <w:sz w:val="24"/>
        </w:rPr>
        <w:t xml:space="preserve"> </w:t>
      </w:r>
      <w:r w:rsidRPr="00BA03D2">
        <w:rPr>
          <w:rFonts w:eastAsia="Times New Roman" w:cs="Times New Roman"/>
          <w:bCs/>
          <w:sz w:val="24"/>
        </w:rPr>
        <w:t>tabulu). 2023.</w:t>
      </w:r>
      <w:r w:rsidR="001D1B17" w:rsidRPr="00BA03D2">
        <w:rPr>
          <w:rFonts w:eastAsia="Times New Roman" w:cs="Times New Roman"/>
          <w:bCs/>
          <w:sz w:val="24"/>
        </w:rPr>
        <w:t xml:space="preserve"> </w:t>
      </w:r>
      <w:r w:rsidRPr="00BA03D2">
        <w:rPr>
          <w:rFonts w:eastAsia="Times New Roman" w:cs="Times New Roman"/>
          <w:bCs/>
          <w:sz w:val="24"/>
        </w:rPr>
        <w:t>gadā strukturālais deficīts pie nemainīgas politikas tiek prognozēts -0,4% no IKP. Līdz ar to tas ir zemāks par FDL noteikto vidēja termiņa mērķi, kas ir -0,5% no IKP. Ja, vispārīgā gadījumā saskaņā ar Fiskālās politikas stratēģiju</w:t>
      </w:r>
      <w:r w:rsidR="001D1B17" w:rsidRPr="00BA03D2">
        <w:rPr>
          <w:rFonts w:eastAsia="Times New Roman" w:cs="Times New Roman"/>
          <w:bCs/>
          <w:sz w:val="24"/>
        </w:rPr>
        <w:t>,</w:t>
      </w:r>
      <w:r w:rsidRPr="00BA03D2">
        <w:rPr>
          <w:rFonts w:eastAsia="Times New Roman" w:cs="Times New Roman"/>
          <w:bCs/>
          <w:sz w:val="24"/>
        </w:rPr>
        <w:t xml:space="preserve"> strukturālais deficīts būtu jāsamazina par 0,5% no IKP ik gadu līdz tas sasniedz 0,5% no IKP vērtību 2025.</w:t>
      </w:r>
      <w:r w:rsidR="001D1B17" w:rsidRPr="00BA03D2">
        <w:rPr>
          <w:rFonts w:eastAsia="Times New Roman" w:cs="Times New Roman"/>
          <w:bCs/>
          <w:sz w:val="24"/>
        </w:rPr>
        <w:t xml:space="preserve"> </w:t>
      </w:r>
      <w:r w:rsidRPr="00BA03D2">
        <w:rPr>
          <w:rFonts w:eastAsia="Times New Roman" w:cs="Times New Roman"/>
          <w:bCs/>
          <w:sz w:val="24"/>
        </w:rPr>
        <w:t>gadā, tad pie aktuālākajām prognozēm strukturālā deficīta samazināšana nav nepieciešama, to var pat palielināt un turpmāk uzturēt FDL 10.</w:t>
      </w:r>
      <w:r w:rsidR="001D1B17" w:rsidRPr="00BA03D2">
        <w:rPr>
          <w:rFonts w:eastAsia="Times New Roman" w:cs="Times New Roman"/>
          <w:bCs/>
          <w:sz w:val="24"/>
        </w:rPr>
        <w:t xml:space="preserve"> </w:t>
      </w:r>
      <w:r w:rsidRPr="00BA03D2">
        <w:rPr>
          <w:rFonts w:eastAsia="Times New Roman" w:cs="Times New Roman"/>
          <w:bCs/>
          <w:sz w:val="24"/>
        </w:rPr>
        <w:t>pantā noteiktajā maksimālajā pieļaujam</w:t>
      </w:r>
      <w:r w:rsidR="001D1B17" w:rsidRPr="00BA03D2">
        <w:rPr>
          <w:rFonts w:eastAsia="Times New Roman" w:cs="Times New Roman"/>
          <w:bCs/>
          <w:sz w:val="24"/>
        </w:rPr>
        <w:t>ajā</w:t>
      </w:r>
      <w:r w:rsidRPr="00BA03D2">
        <w:rPr>
          <w:rFonts w:eastAsia="Times New Roman" w:cs="Times New Roman"/>
          <w:bCs/>
          <w:sz w:val="24"/>
        </w:rPr>
        <w:t xml:space="preserve"> līmenī. </w:t>
      </w:r>
    </w:p>
    <w:p w14:paraId="71CD2167" w14:textId="25ABCDA9" w:rsidR="006A1FC0" w:rsidRPr="00BA03D2" w:rsidRDefault="006A1FC0" w:rsidP="006A1FC0">
      <w:pPr>
        <w:widowControl w:val="0"/>
        <w:rPr>
          <w:rFonts w:eastAsia="Times New Roman" w:cs="Times New Roman"/>
          <w:bCs/>
          <w:sz w:val="24"/>
        </w:rPr>
      </w:pPr>
      <w:r w:rsidRPr="00BA03D2">
        <w:rPr>
          <w:rFonts w:eastAsia="Times New Roman" w:cs="Times New Roman"/>
          <w:bCs/>
          <w:sz w:val="24"/>
        </w:rPr>
        <w:t>Saskaņā ar augstāk minēto un ņemot vērā uzkrātās faktisko strukturālo bilanču novirzes minimālās robežvērtības pārsniegumu un nepieciešamību to koriģēt 2026.</w:t>
      </w:r>
      <w:r w:rsidR="001D1B17" w:rsidRPr="00BA03D2">
        <w:rPr>
          <w:rFonts w:eastAsia="Times New Roman" w:cs="Times New Roman"/>
          <w:bCs/>
          <w:sz w:val="24"/>
        </w:rPr>
        <w:t xml:space="preserve"> </w:t>
      </w:r>
      <w:r w:rsidRPr="00BA03D2">
        <w:rPr>
          <w:rFonts w:eastAsia="Times New Roman" w:cs="Times New Roman"/>
          <w:bCs/>
          <w:sz w:val="24"/>
        </w:rPr>
        <w:t>gadā, vispārējās valdības budžeta  bilances  mērķis 2024. – 2026. gadiem noteikts</w:t>
      </w:r>
      <w:r w:rsidR="001D1B17" w:rsidRPr="00BA03D2">
        <w:rPr>
          <w:rFonts w:eastAsia="Times New Roman" w:cs="Times New Roman"/>
          <w:bCs/>
          <w:sz w:val="24"/>
        </w:rPr>
        <w:t>:</w:t>
      </w:r>
      <w:r w:rsidRPr="00BA03D2">
        <w:rPr>
          <w:rFonts w:eastAsia="Times New Roman" w:cs="Times New Roman"/>
          <w:bCs/>
          <w:sz w:val="24"/>
        </w:rPr>
        <w:t xml:space="preserve"> -0,5% no IKP 2024. gadam, -0,5% 2025.</w:t>
      </w:r>
      <w:r w:rsidR="001D1B17" w:rsidRPr="00BA03D2">
        <w:rPr>
          <w:rFonts w:eastAsia="Times New Roman" w:cs="Times New Roman"/>
          <w:bCs/>
          <w:sz w:val="24"/>
        </w:rPr>
        <w:t xml:space="preserve"> </w:t>
      </w:r>
      <w:r w:rsidRPr="00BA03D2">
        <w:rPr>
          <w:rFonts w:eastAsia="Times New Roman" w:cs="Times New Roman"/>
          <w:bCs/>
          <w:sz w:val="24"/>
        </w:rPr>
        <w:t>gadam un 0% 2026.</w:t>
      </w:r>
      <w:r w:rsidR="001D1B17" w:rsidRPr="00BA03D2">
        <w:rPr>
          <w:rFonts w:eastAsia="Times New Roman" w:cs="Times New Roman"/>
          <w:bCs/>
          <w:sz w:val="24"/>
        </w:rPr>
        <w:t xml:space="preserve"> </w:t>
      </w:r>
      <w:r w:rsidRPr="00BA03D2">
        <w:rPr>
          <w:rFonts w:eastAsia="Times New Roman" w:cs="Times New Roman"/>
          <w:bCs/>
          <w:sz w:val="24"/>
        </w:rPr>
        <w:t xml:space="preserve">gadam. </w:t>
      </w:r>
    </w:p>
    <w:p w14:paraId="65874EF3" w14:textId="77777777" w:rsidR="006A1FC0" w:rsidRPr="00BA03D2" w:rsidRDefault="006A1FC0" w:rsidP="006A1FC0">
      <w:pPr>
        <w:widowControl w:val="0"/>
        <w:rPr>
          <w:rFonts w:eastAsia="Times New Roman" w:cs="Times New Roman"/>
          <w:bCs/>
          <w:sz w:val="24"/>
        </w:rPr>
      </w:pPr>
    </w:p>
    <w:p w14:paraId="12ECA043" w14:textId="77777777" w:rsidR="006A1FC0" w:rsidRPr="006A1FC0" w:rsidRDefault="006A1FC0" w:rsidP="006A1FC0">
      <w:pPr>
        <w:widowControl w:val="0"/>
        <w:spacing w:after="120"/>
        <w:ind w:firstLine="0"/>
        <w:jc w:val="right"/>
        <w:rPr>
          <w:rFonts w:eastAsia="Times New Roman" w:cs="Times New Roman"/>
          <w:b/>
          <w:sz w:val="24"/>
          <w:szCs w:val="24"/>
        </w:rPr>
      </w:pPr>
      <w:r w:rsidRPr="00BA03D2">
        <w:rPr>
          <w:rFonts w:eastAsia="Times New Roman" w:cs="Times New Roman"/>
          <w:b/>
          <w:sz w:val="24"/>
          <w:szCs w:val="24"/>
        </w:rPr>
        <w:t>3.3. tabula</w:t>
      </w:r>
      <w:r w:rsidRPr="006A1FC0">
        <w:rPr>
          <w:rFonts w:eastAsia="Times New Roman" w:cs="Times New Roman"/>
          <w:b/>
          <w:sz w:val="24"/>
          <w:szCs w:val="24"/>
        </w:rPr>
        <w:t>. Vispārējās valdības strukturālās bilances mērķi</w:t>
      </w:r>
    </w:p>
    <w:tbl>
      <w:tblPr>
        <w:tblW w:w="9067"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3397"/>
        <w:gridCol w:w="1276"/>
        <w:gridCol w:w="1098"/>
        <w:gridCol w:w="1099"/>
        <w:gridCol w:w="1098"/>
        <w:gridCol w:w="1099"/>
      </w:tblGrid>
      <w:tr w:rsidR="006A1FC0" w:rsidRPr="00EB38BC" w14:paraId="52ED778F" w14:textId="77777777" w:rsidTr="006A1FC0">
        <w:trPr>
          <w:trHeight w:val="310"/>
          <w:tblHeader/>
        </w:trPr>
        <w:tc>
          <w:tcPr>
            <w:tcW w:w="3397" w:type="dxa"/>
            <w:shd w:val="clear" w:color="auto" w:fill="BDD6EE" w:themeFill="accent1" w:themeFillTint="66"/>
            <w:noWrap/>
            <w:vAlign w:val="bottom"/>
            <w:hideMark/>
          </w:tcPr>
          <w:p w14:paraId="1ACCF7F8" w14:textId="77777777" w:rsidR="006A1FC0" w:rsidRPr="00EB38BC" w:rsidRDefault="006A1FC0" w:rsidP="00A834DD">
            <w:pPr>
              <w:ind w:firstLine="0"/>
              <w:jc w:val="left"/>
              <w:rPr>
                <w:rFonts w:eastAsia="Times New Roman" w:cs="Times New Roman"/>
                <w:color w:val="000000"/>
                <w:sz w:val="18"/>
                <w:szCs w:val="18"/>
                <w:lang w:eastAsia="lv-LV"/>
              </w:rPr>
            </w:pPr>
            <w:r w:rsidRPr="00EB38BC">
              <w:rPr>
                <w:rFonts w:eastAsia="Times New Roman" w:cs="Times New Roman"/>
                <w:color w:val="000000"/>
                <w:sz w:val="18"/>
                <w:szCs w:val="18"/>
                <w:lang w:eastAsia="lv-LV"/>
              </w:rPr>
              <w:t> </w:t>
            </w:r>
          </w:p>
        </w:tc>
        <w:tc>
          <w:tcPr>
            <w:tcW w:w="1276" w:type="dxa"/>
            <w:shd w:val="clear" w:color="auto" w:fill="BDD6EE" w:themeFill="accent1" w:themeFillTint="66"/>
            <w:noWrap/>
            <w:vAlign w:val="bottom"/>
            <w:hideMark/>
          </w:tcPr>
          <w:p w14:paraId="44519F77" w14:textId="77777777" w:rsidR="006A1FC0" w:rsidRPr="00EB38BC" w:rsidRDefault="006A1FC0" w:rsidP="00A834DD">
            <w:pPr>
              <w:ind w:firstLine="0"/>
              <w:jc w:val="left"/>
              <w:rPr>
                <w:rFonts w:eastAsia="Times New Roman" w:cs="Times New Roman"/>
                <w:color w:val="000000"/>
                <w:sz w:val="16"/>
                <w:szCs w:val="16"/>
                <w:lang w:eastAsia="lv-LV"/>
              </w:rPr>
            </w:pPr>
            <w:r w:rsidRPr="00EB38BC">
              <w:rPr>
                <w:rFonts w:eastAsia="Times New Roman" w:cs="Times New Roman"/>
                <w:color w:val="000000"/>
                <w:sz w:val="16"/>
                <w:szCs w:val="16"/>
                <w:lang w:eastAsia="lv-LV"/>
              </w:rPr>
              <w:t> </w:t>
            </w:r>
          </w:p>
        </w:tc>
        <w:tc>
          <w:tcPr>
            <w:tcW w:w="1098" w:type="dxa"/>
            <w:shd w:val="clear" w:color="auto" w:fill="BDD6EE" w:themeFill="accent1" w:themeFillTint="66"/>
            <w:noWrap/>
            <w:vAlign w:val="center"/>
            <w:hideMark/>
          </w:tcPr>
          <w:p w14:paraId="0A5F5ED1" w14:textId="77777777" w:rsidR="006A1FC0" w:rsidRPr="00EB38BC" w:rsidRDefault="006A1FC0" w:rsidP="00A834DD">
            <w:pPr>
              <w:ind w:firstLine="0"/>
              <w:jc w:val="center"/>
              <w:rPr>
                <w:rFonts w:eastAsia="Times New Roman" w:cs="Times New Roman"/>
                <w:b/>
                <w:bCs/>
                <w:color w:val="000000"/>
                <w:sz w:val="18"/>
                <w:szCs w:val="18"/>
                <w:lang w:eastAsia="lv-LV"/>
              </w:rPr>
            </w:pPr>
            <w:r w:rsidRPr="00EB38BC">
              <w:rPr>
                <w:rFonts w:eastAsia="Times New Roman" w:cs="Times New Roman"/>
                <w:b/>
                <w:bCs/>
                <w:color w:val="000000"/>
                <w:sz w:val="18"/>
                <w:szCs w:val="18"/>
                <w:lang w:eastAsia="lv-LV"/>
              </w:rPr>
              <w:t>2023</w:t>
            </w:r>
          </w:p>
        </w:tc>
        <w:tc>
          <w:tcPr>
            <w:tcW w:w="1099" w:type="dxa"/>
            <w:shd w:val="clear" w:color="auto" w:fill="BDD6EE" w:themeFill="accent1" w:themeFillTint="66"/>
            <w:noWrap/>
            <w:vAlign w:val="center"/>
            <w:hideMark/>
          </w:tcPr>
          <w:p w14:paraId="07C52F74" w14:textId="77777777" w:rsidR="006A1FC0" w:rsidRPr="00EB38BC" w:rsidRDefault="006A1FC0" w:rsidP="00A834DD">
            <w:pPr>
              <w:ind w:firstLine="0"/>
              <w:jc w:val="center"/>
              <w:rPr>
                <w:rFonts w:eastAsia="Times New Roman" w:cs="Times New Roman"/>
                <w:b/>
                <w:bCs/>
                <w:color w:val="000000"/>
                <w:sz w:val="18"/>
                <w:szCs w:val="18"/>
                <w:lang w:eastAsia="lv-LV"/>
              </w:rPr>
            </w:pPr>
            <w:r w:rsidRPr="00EB38BC">
              <w:rPr>
                <w:rFonts w:eastAsia="Times New Roman" w:cs="Times New Roman"/>
                <w:b/>
                <w:bCs/>
                <w:color w:val="000000"/>
                <w:sz w:val="18"/>
                <w:szCs w:val="18"/>
                <w:lang w:eastAsia="lv-LV"/>
              </w:rPr>
              <w:t>2024</w:t>
            </w:r>
          </w:p>
        </w:tc>
        <w:tc>
          <w:tcPr>
            <w:tcW w:w="1098" w:type="dxa"/>
            <w:shd w:val="clear" w:color="auto" w:fill="BDD6EE" w:themeFill="accent1" w:themeFillTint="66"/>
            <w:noWrap/>
            <w:vAlign w:val="center"/>
            <w:hideMark/>
          </w:tcPr>
          <w:p w14:paraId="32BA191B" w14:textId="77777777" w:rsidR="006A1FC0" w:rsidRPr="00EB38BC" w:rsidRDefault="006A1FC0" w:rsidP="00A834DD">
            <w:pPr>
              <w:ind w:firstLine="0"/>
              <w:jc w:val="center"/>
              <w:rPr>
                <w:rFonts w:eastAsia="Times New Roman" w:cs="Times New Roman"/>
                <w:b/>
                <w:bCs/>
                <w:color w:val="000000"/>
                <w:sz w:val="18"/>
                <w:szCs w:val="18"/>
                <w:lang w:eastAsia="lv-LV"/>
              </w:rPr>
            </w:pPr>
            <w:r w:rsidRPr="00EB38BC">
              <w:rPr>
                <w:rFonts w:eastAsia="Times New Roman" w:cs="Times New Roman"/>
                <w:b/>
                <w:bCs/>
                <w:color w:val="000000"/>
                <w:sz w:val="18"/>
                <w:szCs w:val="18"/>
                <w:lang w:eastAsia="lv-LV"/>
              </w:rPr>
              <w:t>2025</w:t>
            </w:r>
          </w:p>
        </w:tc>
        <w:tc>
          <w:tcPr>
            <w:tcW w:w="1099" w:type="dxa"/>
            <w:shd w:val="clear" w:color="auto" w:fill="BDD6EE" w:themeFill="accent1" w:themeFillTint="66"/>
            <w:noWrap/>
            <w:vAlign w:val="center"/>
            <w:hideMark/>
          </w:tcPr>
          <w:p w14:paraId="286201D8" w14:textId="77777777" w:rsidR="006A1FC0" w:rsidRPr="00EB38BC" w:rsidRDefault="006A1FC0" w:rsidP="00A834DD">
            <w:pPr>
              <w:ind w:firstLine="0"/>
              <w:jc w:val="center"/>
              <w:rPr>
                <w:rFonts w:eastAsia="Times New Roman" w:cs="Times New Roman"/>
                <w:b/>
                <w:bCs/>
                <w:color w:val="000000"/>
                <w:sz w:val="18"/>
                <w:szCs w:val="18"/>
                <w:lang w:eastAsia="lv-LV"/>
              </w:rPr>
            </w:pPr>
            <w:r w:rsidRPr="00EB38BC">
              <w:rPr>
                <w:rFonts w:eastAsia="Times New Roman" w:cs="Times New Roman"/>
                <w:b/>
                <w:bCs/>
                <w:color w:val="000000"/>
                <w:sz w:val="18"/>
                <w:szCs w:val="18"/>
                <w:lang w:eastAsia="lv-LV"/>
              </w:rPr>
              <w:t>2026</w:t>
            </w:r>
          </w:p>
        </w:tc>
      </w:tr>
      <w:tr w:rsidR="006A1FC0" w:rsidRPr="00EB38BC" w14:paraId="5FB1A36A" w14:textId="77777777" w:rsidTr="00A834DD">
        <w:trPr>
          <w:trHeight w:val="300"/>
        </w:trPr>
        <w:tc>
          <w:tcPr>
            <w:tcW w:w="3397" w:type="dxa"/>
            <w:shd w:val="clear" w:color="auto" w:fill="auto"/>
            <w:noWrap/>
            <w:vAlign w:val="bottom"/>
          </w:tcPr>
          <w:p w14:paraId="7B109CB6" w14:textId="77777777" w:rsidR="006A1FC0" w:rsidRPr="00EB38BC" w:rsidRDefault="006A1FC0" w:rsidP="00A834DD">
            <w:pPr>
              <w:ind w:firstLine="0"/>
              <w:jc w:val="left"/>
              <w:rPr>
                <w:rFonts w:eastAsia="Times New Roman" w:cs="Times New Roman"/>
                <w:b/>
                <w:bCs/>
                <w:color w:val="000000"/>
                <w:sz w:val="18"/>
                <w:szCs w:val="18"/>
                <w:lang w:eastAsia="lv-LV"/>
              </w:rPr>
            </w:pPr>
            <w:r w:rsidRPr="00EB38BC">
              <w:rPr>
                <w:b/>
                <w:bCs/>
                <w:color w:val="000000"/>
                <w:sz w:val="20"/>
                <w:szCs w:val="20"/>
              </w:rPr>
              <w:t xml:space="preserve">IKP prognoze, milj. </w:t>
            </w:r>
            <w:proofErr w:type="spellStart"/>
            <w:r w:rsidRPr="00EB38BC">
              <w:rPr>
                <w:b/>
                <w:bCs/>
                <w:i/>
                <w:iCs/>
                <w:color w:val="000000"/>
                <w:sz w:val="20"/>
                <w:szCs w:val="20"/>
              </w:rPr>
              <w:t>euro</w:t>
            </w:r>
            <w:proofErr w:type="spellEnd"/>
          </w:p>
        </w:tc>
        <w:tc>
          <w:tcPr>
            <w:tcW w:w="1276" w:type="dxa"/>
            <w:shd w:val="clear" w:color="auto" w:fill="auto"/>
            <w:noWrap/>
            <w:vAlign w:val="bottom"/>
            <w:hideMark/>
          </w:tcPr>
          <w:p w14:paraId="4758E44F" w14:textId="77777777" w:rsidR="006A1FC0" w:rsidRPr="00EB38BC" w:rsidRDefault="006A1FC0" w:rsidP="00A834DD">
            <w:pPr>
              <w:ind w:firstLine="0"/>
              <w:jc w:val="left"/>
              <w:rPr>
                <w:rFonts w:eastAsia="Times New Roman" w:cs="Times New Roman"/>
                <w:color w:val="000000"/>
                <w:sz w:val="16"/>
                <w:szCs w:val="16"/>
                <w:lang w:eastAsia="lv-LV"/>
              </w:rPr>
            </w:pPr>
            <w:r w:rsidRPr="00EB38BC">
              <w:rPr>
                <w:rFonts w:eastAsia="Times New Roman" w:cs="Times New Roman"/>
                <w:color w:val="000000"/>
                <w:sz w:val="16"/>
                <w:szCs w:val="16"/>
                <w:lang w:eastAsia="lv-LV"/>
              </w:rPr>
              <w:t>(1)</w:t>
            </w:r>
          </w:p>
        </w:tc>
        <w:tc>
          <w:tcPr>
            <w:tcW w:w="1098" w:type="dxa"/>
            <w:shd w:val="clear" w:color="auto" w:fill="auto"/>
            <w:noWrap/>
            <w:vAlign w:val="center"/>
          </w:tcPr>
          <w:p w14:paraId="383B7DA5" w14:textId="77777777" w:rsidR="006A1FC0" w:rsidRPr="00EB38BC" w:rsidRDefault="006A1FC0" w:rsidP="00A834DD">
            <w:pPr>
              <w:ind w:firstLine="0"/>
              <w:jc w:val="center"/>
              <w:rPr>
                <w:rFonts w:eastAsia="Times New Roman" w:cs="Times New Roman"/>
                <w:b/>
                <w:bCs/>
                <w:color w:val="000000"/>
                <w:sz w:val="18"/>
                <w:szCs w:val="18"/>
                <w:lang w:eastAsia="lv-LV"/>
              </w:rPr>
            </w:pPr>
            <w:r w:rsidRPr="00EB38BC">
              <w:rPr>
                <w:b/>
                <w:bCs/>
                <w:sz w:val="20"/>
                <w:szCs w:val="20"/>
              </w:rPr>
              <w:t>43637</w:t>
            </w:r>
          </w:p>
        </w:tc>
        <w:tc>
          <w:tcPr>
            <w:tcW w:w="1099" w:type="dxa"/>
            <w:shd w:val="clear" w:color="auto" w:fill="E7E6E6" w:themeFill="background2"/>
            <w:noWrap/>
            <w:vAlign w:val="center"/>
            <w:hideMark/>
          </w:tcPr>
          <w:p w14:paraId="5D4FFFB3" w14:textId="77777777" w:rsidR="006A1FC0" w:rsidRPr="00EB38BC" w:rsidRDefault="006A1FC0" w:rsidP="00A834DD">
            <w:pPr>
              <w:ind w:firstLine="0"/>
              <w:jc w:val="center"/>
              <w:rPr>
                <w:rFonts w:eastAsia="Times New Roman" w:cs="Times New Roman"/>
                <w:color w:val="000000"/>
                <w:sz w:val="18"/>
                <w:szCs w:val="18"/>
                <w:lang w:eastAsia="lv-LV"/>
              </w:rPr>
            </w:pPr>
            <w:r w:rsidRPr="00EB38BC">
              <w:rPr>
                <w:rFonts w:eastAsia="Times New Roman" w:cs="Times New Roman"/>
                <w:color w:val="000000"/>
                <w:sz w:val="18"/>
                <w:szCs w:val="18"/>
                <w:lang w:eastAsia="lv-LV"/>
              </w:rPr>
              <w:t> </w:t>
            </w:r>
          </w:p>
        </w:tc>
        <w:tc>
          <w:tcPr>
            <w:tcW w:w="1098" w:type="dxa"/>
            <w:shd w:val="clear" w:color="auto" w:fill="E7E6E6" w:themeFill="background2"/>
            <w:noWrap/>
            <w:vAlign w:val="center"/>
            <w:hideMark/>
          </w:tcPr>
          <w:p w14:paraId="61117148" w14:textId="77777777" w:rsidR="006A1FC0" w:rsidRPr="00EB38BC" w:rsidRDefault="006A1FC0" w:rsidP="00A834DD">
            <w:pPr>
              <w:ind w:firstLine="0"/>
              <w:jc w:val="center"/>
              <w:rPr>
                <w:rFonts w:eastAsia="Times New Roman" w:cs="Times New Roman"/>
                <w:color w:val="000000"/>
                <w:sz w:val="18"/>
                <w:szCs w:val="18"/>
                <w:lang w:eastAsia="lv-LV"/>
              </w:rPr>
            </w:pPr>
            <w:r w:rsidRPr="00EB38BC">
              <w:rPr>
                <w:rFonts w:eastAsia="Times New Roman" w:cs="Times New Roman"/>
                <w:color w:val="000000"/>
                <w:sz w:val="18"/>
                <w:szCs w:val="18"/>
                <w:lang w:eastAsia="lv-LV"/>
              </w:rPr>
              <w:t> </w:t>
            </w:r>
          </w:p>
        </w:tc>
        <w:tc>
          <w:tcPr>
            <w:tcW w:w="1099" w:type="dxa"/>
            <w:shd w:val="clear" w:color="auto" w:fill="E7E6E6" w:themeFill="background2"/>
            <w:noWrap/>
            <w:vAlign w:val="center"/>
            <w:hideMark/>
          </w:tcPr>
          <w:p w14:paraId="7533CFA3" w14:textId="77777777" w:rsidR="006A1FC0" w:rsidRPr="00EB38BC" w:rsidRDefault="006A1FC0" w:rsidP="00A834DD">
            <w:pPr>
              <w:ind w:firstLine="0"/>
              <w:jc w:val="center"/>
              <w:rPr>
                <w:rFonts w:eastAsia="Times New Roman" w:cs="Times New Roman"/>
                <w:color w:val="000000"/>
                <w:sz w:val="18"/>
                <w:szCs w:val="18"/>
                <w:lang w:eastAsia="lv-LV"/>
              </w:rPr>
            </w:pPr>
            <w:r w:rsidRPr="00EB38BC">
              <w:rPr>
                <w:rFonts w:eastAsia="Times New Roman" w:cs="Times New Roman"/>
                <w:color w:val="000000"/>
                <w:sz w:val="18"/>
                <w:szCs w:val="18"/>
                <w:lang w:eastAsia="lv-LV"/>
              </w:rPr>
              <w:t> </w:t>
            </w:r>
          </w:p>
        </w:tc>
      </w:tr>
      <w:tr w:rsidR="006A1FC0" w:rsidRPr="00EB38BC" w14:paraId="120B206A" w14:textId="77777777" w:rsidTr="00A834DD">
        <w:trPr>
          <w:trHeight w:val="300"/>
        </w:trPr>
        <w:tc>
          <w:tcPr>
            <w:tcW w:w="3397" w:type="dxa"/>
            <w:shd w:val="clear" w:color="auto" w:fill="auto"/>
            <w:noWrap/>
            <w:vAlign w:val="bottom"/>
          </w:tcPr>
          <w:p w14:paraId="3CD6F572" w14:textId="77777777" w:rsidR="006A1FC0" w:rsidRPr="00EB38BC" w:rsidRDefault="006A1FC0" w:rsidP="00A834DD">
            <w:pPr>
              <w:ind w:firstLine="0"/>
              <w:jc w:val="left"/>
              <w:rPr>
                <w:rFonts w:eastAsia="Times New Roman" w:cs="Times New Roman"/>
                <w:b/>
                <w:bCs/>
                <w:color w:val="000000"/>
                <w:sz w:val="18"/>
                <w:szCs w:val="18"/>
                <w:lang w:eastAsia="lv-LV"/>
              </w:rPr>
            </w:pPr>
            <w:r w:rsidRPr="00EB38BC">
              <w:rPr>
                <w:b/>
                <w:bCs/>
                <w:color w:val="000000"/>
                <w:sz w:val="20"/>
                <w:szCs w:val="20"/>
              </w:rPr>
              <w:t xml:space="preserve">2023. gada vispārējās valdības budžeta bilance, milj. </w:t>
            </w:r>
            <w:proofErr w:type="spellStart"/>
            <w:r w:rsidRPr="00EB38BC">
              <w:rPr>
                <w:b/>
                <w:bCs/>
                <w:i/>
                <w:iCs/>
                <w:color w:val="000000"/>
                <w:sz w:val="20"/>
                <w:szCs w:val="20"/>
              </w:rPr>
              <w:t>euro</w:t>
            </w:r>
            <w:proofErr w:type="spellEnd"/>
          </w:p>
        </w:tc>
        <w:tc>
          <w:tcPr>
            <w:tcW w:w="1276" w:type="dxa"/>
            <w:shd w:val="clear" w:color="auto" w:fill="auto"/>
            <w:noWrap/>
            <w:vAlign w:val="bottom"/>
            <w:hideMark/>
          </w:tcPr>
          <w:p w14:paraId="1D92EB63" w14:textId="77777777" w:rsidR="006A1FC0" w:rsidRPr="00EB38BC" w:rsidRDefault="006A1FC0" w:rsidP="00A834DD">
            <w:pPr>
              <w:ind w:firstLine="0"/>
              <w:jc w:val="left"/>
              <w:rPr>
                <w:rFonts w:eastAsia="Times New Roman" w:cs="Times New Roman"/>
                <w:color w:val="000000"/>
                <w:sz w:val="16"/>
                <w:szCs w:val="16"/>
                <w:lang w:eastAsia="lv-LV"/>
              </w:rPr>
            </w:pPr>
            <w:r w:rsidRPr="00EB38BC">
              <w:rPr>
                <w:rFonts w:eastAsia="Times New Roman" w:cs="Times New Roman"/>
                <w:color w:val="000000"/>
                <w:sz w:val="16"/>
                <w:szCs w:val="16"/>
                <w:lang w:eastAsia="lv-LV"/>
              </w:rPr>
              <w:t>(2)</w:t>
            </w:r>
          </w:p>
        </w:tc>
        <w:tc>
          <w:tcPr>
            <w:tcW w:w="1098" w:type="dxa"/>
            <w:shd w:val="clear" w:color="auto" w:fill="auto"/>
            <w:noWrap/>
            <w:vAlign w:val="center"/>
          </w:tcPr>
          <w:p w14:paraId="285CE7B1" w14:textId="77777777" w:rsidR="006A1FC0" w:rsidRPr="00EB38BC" w:rsidRDefault="006A1FC0" w:rsidP="00A834DD">
            <w:pPr>
              <w:ind w:firstLine="0"/>
              <w:jc w:val="center"/>
              <w:rPr>
                <w:rFonts w:eastAsia="Times New Roman" w:cs="Times New Roman"/>
                <w:b/>
                <w:bCs/>
                <w:color w:val="000000"/>
                <w:sz w:val="18"/>
                <w:szCs w:val="18"/>
                <w:lang w:eastAsia="lv-LV"/>
              </w:rPr>
            </w:pPr>
            <w:r w:rsidRPr="00EB38BC">
              <w:rPr>
                <w:b/>
                <w:bCs/>
                <w:sz w:val="20"/>
                <w:szCs w:val="20"/>
              </w:rPr>
              <w:t>-1753,3</w:t>
            </w:r>
          </w:p>
        </w:tc>
        <w:tc>
          <w:tcPr>
            <w:tcW w:w="1099" w:type="dxa"/>
            <w:shd w:val="clear" w:color="auto" w:fill="E7E6E6" w:themeFill="background2"/>
            <w:noWrap/>
            <w:vAlign w:val="center"/>
            <w:hideMark/>
          </w:tcPr>
          <w:p w14:paraId="0F314A05" w14:textId="77777777" w:rsidR="006A1FC0" w:rsidRPr="00EB38BC" w:rsidRDefault="006A1FC0" w:rsidP="00A834DD">
            <w:pPr>
              <w:ind w:firstLine="0"/>
              <w:jc w:val="center"/>
              <w:rPr>
                <w:rFonts w:eastAsia="Times New Roman" w:cs="Times New Roman"/>
                <w:color w:val="000000"/>
                <w:sz w:val="18"/>
                <w:szCs w:val="18"/>
                <w:lang w:eastAsia="lv-LV"/>
              </w:rPr>
            </w:pPr>
            <w:r w:rsidRPr="00EB38BC">
              <w:rPr>
                <w:rFonts w:eastAsia="Times New Roman" w:cs="Times New Roman"/>
                <w:color w:val="000000"/>
                <w:sz w:val="18"/>
                <w:szCs w:val="18"/>
                <w:lang w:eastAsia="lv-LV"/>
              </w:rPr>
              <w:t> </w:t>
            </w:r>
          </w:p>
        </w:tc>
        <w:tc>
          <w:tcPr>
            <w:tcW w:w="1098" w:type="dxa"/>
            <w:shd w:val="clear" w:color="auto" w:fill="E7E6E6" w:themeFill="background2"/>
            <w:noWrap/>
            <w:vAlign w:val="center"/>
            <w:hideMark/>
          </w:tcPr>
          <w:p w14:paraId="70F157B0" w14:textId="77777777" w:rsidR="006A1FC0" w:rsidRPr="00EB38BC" w:rsidRDefault="006A1FC0" w:rsidP="00A834DD">
            <w:pPr>
              <w:ind w:firstLine="0"/>
              <w:jc w:val="center"/>
              <w:rPr>
                <w:rFonts w:eastAsia="Times New Roman" w:cs="Times New Roman"/>
                <w:color w:val="000000"/>
                <w:sz w:val="18"/>
                <w:szCs w:val="18"/>
                <w:lang w:eastAsia="lv-LV"/>
              </w:rPr>
            </w:pPr>
            <w:r w:rsidRPr="00EB38BC">
              <w:rPr>
                <w:rFonts w:eastAsia="Times New Roman" w:cs="Times New Roman"/>
                <w:color w:val="000000"/>
                <w:sz w:val="18"/>
                <w:szCs w:val="18"/>
                <w:lang w:eastAsia="lv-LV"/>
              </w:rPr>
              <w:t> </w:t>
            </w:r>
          </w:p>
        </w:tc>
        <w:tc>
          <w:tcPr>
            <w:tcW w:w="1099" w:type="dxa"/>
            <w:shd w:val="clear" w:color="auto" w:fill="E7E6E6" w:themeFill="background2"/>
            <w:noWrap/>
            <w:vAlign w:val="center"/>
            <w:hideMark/>
          </w:tcPr>
          <w:p w14:paraId="75BDEBC7" w14:textId="77777777" w:rsidR="006A1FC0" w:rsidRPr="00EB38BC" w:rsidRDefault="006A1FC0" w:rsidP="00A834DD">
            <w:pPr>
              <w:ind w:firstLine="0"/>
              <w:jc w:val="center"/>
              <w:rPr>
                <w:rFonts w:eastAsia="Times New Roman" w:cs="Times New Roman"/>
                <w:color w:val="000000"/>
                <w:sz w:val="18"/>
                <w:szCs w:val="18"/>
                <w:lang w:eastAsia="lv-LV"/>
              </w:rPr>
            </w:pPr>
            <w:r w:rsidRPr="00EB38BC">
              <w:rPr>
                <w:rFonts w:eastAsia="Times New Roman" w:cs="Times New Roman"/>
                <w:color w:val="000000"/>
                <w:sz w:val="18"/>
                <w:szCs w:val="18"/>
                <w:lang w:eastAsia="lv-LV"/>
              </w:rPr>
              <w:t> </w:t>
            </w:r>
          </w:p>
        </w:tc>
      </w:tr>
      <w:tr w:rsidR="006A1FC0" w:rsidRPr="00EB38BC" w14:paraId="040C7BB8" w14:textId="77777777" w:rsidTr="00A834DD">
        <w:trPr>
          <w:trHeight w:val="300"/>
        </w:trPr>
        <w:tc>
          <w:tcPr>
            <w:tcW w:w="3397" w:type="dxa"/>
            <w:shd w:val="clear" w:color="auto" w:fill="auto"/>
            <w:noWrap/>
            <w:vAlign w:val="bottom"/>
          </w:tcPr>
          <w:p w14:paraId="4FE7445E" w14:textId="77777777" w:rsidR="006A1FC0" w:rsidRPr="00EB38BC" w:rsidRDefault="006A1FC0" w:rsidP="00A834DD">
            <w:pPr>
              <w:ind w:firstLine="0"/>
              <w:jc w:val="left"/>
              <w:rPr>
                <w:rFonts w:eastAsia="Times New Roman" w:cs="Times New Roman"/>
                <w:b/>
                <w:bCs/>
                <w:color w:val="000000"/>
                <w:sz w:val="18"/>
                <w:szCs w:val="18"/>
                <w:lang w:eastAsia="lv-LV"/>
              </w:rPr>
            </w:pPr>
            <w:r w:rsidRPr="00EB38BC">
              <w:rPr>
                <w:b/>
                <w:bCs/>
                <w:color w:val="000000"/>
                <w:sz w:val="20"/>
                <w:szCs w:val="20"/>
              </w:rPr>
              <w:t>2023. gada vispārējās valdības budžeta bilance, % IKP</w:t>
            </w:r>
          </w:p>
        </w:tc>
        <w:tc>
          <w:tcPr>
            <w:tcW w:w="1276" w:type="dxa"/>
            <w:shd w:val="clear" w:color="auto" w:fill="auto"/>
            <w:noWrap/>
            <w:vAlign w:val="bottom"/>
            <w:hideMark/>
          </w:tcPr>
          <w:p w14:paraId="7636BD63" w14:textId="77777777" w:rsidR="006A1FC0" w:rsidRPr="00EB38BC" w:rsidRDefault="006A1FC0" w:rsidP="00A834DD">
            <w:pPr>
              <w:ind w:firstLine="0"/>
              <w:jc w:val="left"/>
              <w:rPr>
                <w:rFonts w:eastAsia="Times New Roman" w:cs="Times New Roman"/>
                <w:color w:val="000000"/>
                <w:sz w:val="16"/>
                <w:szCs w:val="16"/>
                <w:lang w:eastAsia="lv-LV"/>
              </w:rPr>
            </w:pPr>
            <w:r w:rsidRPr="00EB38BC">
              <w:rPr>
                <w:rFonts w:eastAsia="Times New Roman" w:cs="Times New Roman"/>
                <w:color w:val="000000"/>
                <w:sz w:val="16"/>
                <w:szCs w:val="16"/>
                <w:lang w:eastAsia="lv-LV"/>
              </w:rPr>
              <w:t>(3)=(2)/(1)*100</w:t>
            </w:r>
          </w:p>
        </w:tc>
        <w:tc>
          <w:tcPr>
            <w:tcW w:w="1098" w:type="dxa"/>
            <w:shd w:val="clear" w:color="auto" w:fill="auto"/>
            <w:noWrap/>
            <w:vAlign w:val="center"/>
          </w:tcPr>
          <w:p w14:paraId="2D0C66BE" w14:textId="77777777" w:rsidR="006A1FC0" w:rsidRPr="00EB38BC" w:rsidRDefault="006A1FC0" w:rsidP="00A834DD">
            <w:pPr>
              <w:ind w:firstLine="0"/>
              <w:jc w:val="center"/>
              <w:rPr>
                <w:rFonts w:eastAsia="Times New Roman" w:cs="Times New Roman"/>
                <w:b/>
                <w:bCs/>
                <w:color w:val="000000"/>
                <w:sz w:val="18"/>
                <w:szCs w:val="18"/>
                <w:lang w:eastAsia="lv-LV"/>
              </w:rPr>
            </w:pPr>
            <w:r w:rsidRPr="00EB38BC">
              <w:rPr>
                <w:b/>
                <w:bCs/>
                <w:sz w:val="20"/>
                <w:szCs w:val="20"/>
              </w:rPr>
              <w:t>-4,0</w:t>
            </w:r>
          </w:p>
        </w:tc>
        <w:tc>
          <w:tcPr>
            <w:tcW w:w="1099" w:type="dxa"/>
            <w:shd w:val="clear" w:color="auto" w:fill="E7E6E6" w:themeFill="background2"/>
            <w:noWrap/>
            <w:vAlign w:val="center"/>
            <w:hideMark/>
          </w:tcPr>
          <w:p w14:paraId="4FCE5087" w14:textId="77777777" w:rsidR="006A1FC0" w:rsidRPr="00EB38BC" w:rsidRDefault="006A1FC0" w:rsidP="00A834DD">
            <w:pPr>
              <w:ind w:firstLine="0"/>
              <w:jc w:val="center"/>
              <w:rPr>
                <w:rFonts w:eastAsia="Times New Roman" w:cs="Times New Roman"/>
                <w:color w:val="000000"/>
                <w:sz w:val="18"/>
                <w:szCs w:val="18"/>
                <w:lang w:eastAsia="lv-LV"/>
              </w:rPr>
            </w:pPr>
            <w:r w:rsidRPr="00EB38BC">
              <w:rPr>
                <w:rFonts w:eastAsia="Times New Roman" w:cs="Times New Roman"/>
                <w:color w:val="000000"/>
                <w:sz w:val="18"/>
                <w:szCs w:val="18"/>
                <w:lang w:eastAsia="lv-LV"/>
              </w:rPr>
              <w:t> </w:t>
            </w:r>
          </w:p>
        </w:tc>
        <w:tc>
          <w:tcPr>
            <w:tcW w:w="1098" w:type="dxa"/>
            <w:shd w:val="clear" w:color="auto" w:fill="E7E6E6" w:themeFill="background2"/>
            <w:noWrap/>
            <w:vAlign w:val="center"/>
            <w:hideMark/>
          </w:tcPr>
          <w:p w14:paraId="38F42C27" w14:textId="77777777" w:rsidR="006A1FC0" w:rsidRPr="00EB38BC" w:rsidRDefault="006A1FC0" w:rsidP="00A834DD">
            <w:pPr>
              <w:ind w:firstLine="0"/>
              <w:jc w:val="center"/>
              <w:rPr>
                <w:rFonts w:eastAsia="Times New Roman" w:cs="Times New Roman"/>
                <w:color w:val="000000"/>
                <w:sz w:val="18"/>
                <w:szCs w:val="18"/>
                <w:lang w:eastAsia="lv-LV"/>
              </w:rPr>
            </w:pPr>
            <w:r w:rsidRPr="00EB38BC">
              <w:rPr>
                <w:rFonts w:eastAsia="Times New Roman" w:cs="Times New Roman"/>
                <w:color w:val="000000"/>
                <w:sz w:val="18"/>
                <w:szCs w:val="18"/>
                <w:lang w:eastAsia="lv-LV"/>
              </w:rPr>
              <w:t> </w:t>
            </w:r>
          </w:p>
        </w:tc>
        <w:tc>
          <w:tcPr>
            <w:tcW w:w="1099" w:type="dxa"/>
            <w:shd w:val="clear" w:color="auto" w:fill="E7E6E6" w:themeFill="background2"/>
            <w:noWrap/>
            <w:vAlign w:val="center"/>
            <w:hideMark/>
          </w:tcPr>
          <w:p w14:paraId="0A4E973B" w14:textId="77777777" w:rsidR="006A1FC0" w:rsidRPr="00EB38BC" w:rsidRDefault="006A1FC0" w:rsidP="00A834DD">
            <w:pPr>
              <w:ind w:firstLine="0"/>
              <w:jc w:val="center"/>
              <w:rPr>
                <w:rFonts w:eastAsia="Times New Roman" w:cs="Times New Roman"/>
                <w:color w:val="000000"/>
                <w:sz w:val="18"/>
                <w:szCs w:val="18"/>
                <w:lang w:eastAsia="lv-LV"/>
              </w:rPr>
            </w:pPr>
            <w:r w:rsidRPr="00EB38BC">
              <w:rPr>
                <w:rFonts w:eastAsia="Times New Roman" w:cs="Times New Roman"/>
                <w:color w:val="000000"/>
                <w:sz w:val="18"/>
                <w:szCs w:val="18"/>
                <w:lang w:eastAsia="lv-LV"/>
              </w:rPr>
              <w:t> </w:t>
            </w:r>
          </w:p>
        </w:tc>
      </w:tr>
      <w:tr w:rsidR="006A1FC0" w:rsidRPr="00EB38BC" w14:paraId="1ABBE117" w14:textId="77777777" w:rsidTr="00A834DD">
        <w:trPr>
          <w:trHeight w:val="300"/>
        </w:trPr>
        <w:tc>
          <w:tcPr>
            <w:tcW w:w="3397" w:type="dxa"/>
            <w:shd w:val="clear" w:color="auto" w:fill="auto"/>
            <w:noWrap/>
            <w:vAlign w:val="bottom"/>
          </w:tcPr>
          <w:p w14:paraId="6DF2E7AE" w14:textId="77777777" w:rsidR="006A1FC0" w:rsidRPr="00EB38BC" w:rsidRDefault="006A1FC0" w:rsidP="00A834DD">
            <w:pPr>
              <w:ind w:firstLine="0"/>
              <w:jc w:val="left"/>
              <w:rPr>
                <w:rFonts w:eastAsia="Times New Roman" w:cs="Times New Roman"/>
                <w:b/>
                <w:bCs/>
                <w:color w:val="000000"/>
                <w:sz w:val="18"/>
                <w:szCs w:val="18"/>
                <w:lang w:eastAsia="lv-LV"/>
              </w:rPr>
            </w:pPr>
            <w:r w:rsidRPr="00EB38BC">
              <w:rPr>
                <w:b/>
                <w:bCs/>
                <w:color w:val="000000"/>
                <w:sz w:val="20"/>
                <w:szCs w:val="20"/>
              </w:rPr>
              <w:t>Izlaižu starpība, % no potenciālā IKP</w:t>
            </w:r>
          </w:p>
        </w:tc>
        <w:tc>
          <w:tcPr>
            <w:tcW w:w="1276" w:type="dxa"/>
            <w:shd w:val="clear" w:color="auto" w:fill="auto"/>
            <w:noWrap/>
            <w:vAlign w:val="bottom"/>
            <w:hideMark/>
          </w:tcPr>
          <w:p w14:paraId="1AAEF400" w14:textId="77777777" w:rsidR="006A1FC0" w:rsidRPr="00EB38BC" w:rsidRDefault="006A1FC0" w:rsidP="00A834DD">
            <w:pPr>
              <w:ind w:firstLine="0"/>
              <w:jc w:val="left"/>
              <w:rPr>
                <w:rFonts w:eastAsia="Times New Roman" w:cs="Times New Roman"/>
                <w:color w:val="000000"/>
                <w:sz w:val="16"/>
                <w:szCs w:val="16"/>
                <w:lang w:eastAsia="lv-LV"/>
              </w:rPr>
            </w:pPr>
            <w:r w:rsidRPr="00EB38BC">
              <w:rPr>
                <w:rFonts w:eastAsia="Times New Roman" w:cs="Times New Roman"/>
                <w:color w:val="000000"/>
                <w:sz w:val="16"/>
                <w:szCs w:val="16"/>
                <w:lang w:eastAsia="lv-LV"/>
              </w:rPr>
              <w:t>(4)</w:t>
            </w:r>
          </w:p>
        </w:tc>
        <w:tc>
          <w:tcPr>
            <w:tcW w:w="1098" w:type="dxa"/>
            <w:shd w:val="clear" w:color="auto" w:fill="auto"/>
            <w:noWrap/>
            <w:vAlign w:val="center"/>
          </w:tcPr>
          <w:p w14:paraId="44D36C28" w14:textId="77777777" w:rsidR="006A1FC0" w:rsidRPr="00EB38BC" w:rsidRDefault="006A1FC0" w:rsidP="00A834DD">
            <w:pPr>
              <w:ind w:firstLine="0"/>
              <w:jc w:val="center"/>
              <w:rPr>
                <w:rFonts w:eastAsia="Times New Roman" w:cs="Times New Roman"/>
                <w:b/>
                <w:bCs/>
                <w:color w:val="000000"/>
                <w:sz w:val="18"/>
                <w:szCs w:val="18"/>
                <w:lang w:eastAsia="lv-LV"/>
              </w:rPr>
            </w:pPr>
            <w:r w:rsidRPr="00EB38BC">
              <w:rPr>
                <w:b/>
                <w:bCs/>
                <w:sz w:val="20"/>
                <w:szCs w:val="20"/>
              </w:rPr>
              <w:t>-1,5</w:t>
            </w:r>
          </w:p>
        </w:tc>
        <w:tc>
          <w:tcPr>
            <w:tcW w:w="1099" w:type="dxa"/>
            <w:shd w:val="clear" w:color="auto" w:fill="E7E6E6" w:themeFill="background2"/>
            <w:noWrap/>
            <w:vAlign w:val="center"/>
            <w:hideMark/>
          </w:tcPr>
          <w:p w14:paraId="7DE9114B" w14:textId="77777777" w:rsidR="006A1FC0" w:rsidRPr="00EB38BC" w:rsidRDefault="006A1FC0" w:rsidP="00A834DD">
            <w:pPr>
              <w:ind w:firstLine="0"/>
              <w:jc w:val="center"/>
              <w:rPr>
                <w:rFonts w:eastAsia="Times New Roman" w:cs="Times New Roman"/>
                <w:color w:val="000000"/>
                <w:sz w:val="18"/>
                <w:szCs w:val="18"/>
                <w:lang w:eastAsia="lv-LV"/>
              </w:rPr>
            </w:pPr>
            <w:r w:rsidRPr="00EB38BC">
              <w:rPr>
                <w:rFonts w:eastAsia="Times New Roman" w:cs="Times New Roman"/>
                <w:color w:val="000000"/>
                <w:sz w:val="18"/>
                <w:szCs w:val="18"/>
                <w:lang w:eastAsia="lv-LV"/>
              </w:rPr>
              <w:t> </w:t>
            </w:r>
          </w:p>
        </w:tc>
        <w:tc>
          <w:tcPr>
            <w:tcW w:w="1098" w:type="dxa"/>
            <w:shd w:val="clear" w:color="auto" w:fill="E7E6E6" w:themeFill="background2"/>
            <w:noWrap/>
            <w:vAlign w:val="center"/>
            <w:hideMark/>
          </w:tcPr>
          <w:p w14:paraId="7149777C" w14:textId="77777777" w:rsidR="006A1FC0" w:rsidRPr="00EB38BC" w:rsidRDefault="006A1FC0" w:rsidP="00A834DD">
            <w:pPr>
              <w:ind w:firstLine="0"/>
              <w:jc w:val="center"/>
              <w:rPr>
                <w:rFonts w:eastAsia="Times New Roman" w:cs="Times New Roman"/>
                <w:color w:val="000000"/>
                <w:sz w:val="18"/>
                <w:szCs w:val="18"/>
                <w:lang w:eastAsia="lv-LV"/>
              </w:rPr>
            </w:pPr>
            <w:r w:rsidRPr="00EB38BC">
              <w:rPr>
                <w:rFonts w:eastAsia="Times New Roman" w:cs="Times New Roman"/>
                <w:color w:val="000000"/>
                <w:sz w:val="18"/>
                <w:szCs w:val="18"/>
                <w:lang w:eastAsia="lv-LV"/>
              </w:rPr>
              <w:t> </w:t>
            </w:r>
          </w:p>
        </w:tc>
        <w:tc>
          <w:tcPr>
            <w:tcW w:w="1099" w:type="dxa"/>
            <w:shd w:val="clear" w:color="auto" w:fill="E7E6E6" w:themeFill="background2"/>
            <w:noWrap/>
            <w:vAlign w:val="center"/>
            <w:hideMark/>
          </w:tcPr>
          <w:p w14:paraId="2A79B906" w14:textId="77777777" w:rsidR="006A1FC0" w:rsidRPr="00EB38BC" w:rsidRDefault="006A1FC0" w:rsidP="00A834DD">
            <w:pPr>
              <w:ind w:firstLine="0"/>
              <w:jc w:val="center"/>
              <w:rPr>
                <w:rFonts w:eastAsia="Times New Roman" w:cs="Times New Roman"/>
                <w:color w:val="000000"/>
                <w:sz w:val="18"/>
                <w:szCs w:val="18"/>
                <w:lang w:eastAsia="lv-LV"/>
              </w:rPr>
            </w:pPr>
            <w:r w:rsidRPr="00EB38BC">
              <w:rPr>
                <w:rFonts w:eastAsia="Times New Roman" w:cs="Times New Roman"/>
                <w:color w:val="000000"/>
                <w:sz w:val="18"/>
                <w:szCs w:val="18"/>
                <w:lang w:eastAsia="lv-LV"/>
              </w:rPr>
              <w:t> </w:t>
            </w:r>
          </w:p>
        </w:tc>
      </w:tr>
      <w:tr w:rsidR="006A1FC0" w:rsidRPr="00EB38BC" w14:paraId="4B748E29" w14:textId="77777777" w:rsidTr="00A834DD">
        <w:trPr>
          <w:trHeight w:val="300"/>
        </w:trPr>
        <w:tc>
          <w:tcPr>
            <w:tcW w:w="3397" w:type="dxa"/>
            <w:shd w:val="clear" w:color="auto" w:fill="auto"/>
            <w:noWrap/>
            <w:vAlign w:val="bottom"/>
          </w:tcPr>
          <w:p w14:paraId="34B6F4E4" w14:textId="77777777" w:rsidR="006A1FC0" w:rsidRPr="00EB38BC" w:rsidRDefault="006A1FC0" w:rsidP="00A834DD">
            <w:pPr>
              <w:ind w:firstLine="0"/>
              <w:jc w:val="left"/>
              <w:rPr>
                <w:rFonts w:eastAsia="Times New Roman" w:cs="Times New Roman"/>
                <w:b/>
                <w:bCs/>
                <w:color w:val="000000"/>
                <w:sz w:val="18"/>
                <w:szCs w:val="18"/>
                <w:lang w:eastAsia="lv-LV"/>
              </w:rPr>
            </w:pPr>
            <w:r w:rsidRPr="00EB38BC">
              <w:rPr>
                <w:b/>
                <w:bCs/>
                <w:color w:val="000000"/>
                <w:sz w:val="20"/>
                <w:szCs w:val="20"/>
              </w:rPr>
              <w:t>Bilances cikliskā komponente, % no IKP</w:t>
            </w:r>
          </w:p>
        </w:tc>
        <w:tc>
          <w:tcPr>
            <w:tcW w:w="1276" w:type="dxa"/>
            <w:shd w:val="clear" w:color="auto" w:fill="auto"/>
            <w:noWrap/>
            <w:vAlign w:val="bottom"/>
            <w:hideMark/>
          </w:tcPr>
          <w:p w14:paraId="69DD97E2" w14:textId="77777777" w:rsidR="006A1FC0" w:rsidRPr="00EB38BC" w:rsidRDefault="006A1FC0" w:rsidP="00A834DD">
            <w:pPr>
              <w:ind w:firstLine="0"/>
              <w:jc w:val="left"/>
              <w:rPr>
                <w:rFonts w:eastAsia="Times New Roman" w:cs="Times New Roman"/>
                <w:color w:val="000000"/>
                <w:sz w:val="16"/>
                <w:szCs w:val="16"/>
                <w:lang w:eastAsia="lv-LV"/>
              </w:rPr>
            </w:pPr>
            <w:r w:rsidRPr="00EB38BC">
              <w:rPr>
                <w:rFonts w:eastAsia="Times New Roman" w:cs="Times New Roman"/>
                <w:color w:val="000000"/>
                <w:sz w:val="16"/>
                <w:szCs w:val="16"/>
                <w:lang w:eastAsia="lv-LV"/>
              </w:rPr>
              <w:t>(5)=0,378*(4)</w:t>
            </w:r>
          </w:p>
        </w:tc>
        <w:tc>
          <w:tcPr>
            <w:tcW w:w="1098" w:type="dxa"/>
            <w:shd w:val="clear" w:color="auto" w:fill="auto"/>
            <w:noWrap/>
            <w:vAlign w:val="center"/>
          </w:tcPr>
          <w:p w14:paraId="751896C2" w14:textId="77777777" w:rsidR="006A1FC0" w:rsidRPr="00EB38BC" w:rsidRDefault="006A1FC0" w:rsidP="00A834DD">
            <w:pPr>
              <w:ind w:firstLine="0"/>
              <w:jc w:val="center"/>
              <w:rPr>
                <w:rFonts w:eastAsia="Times New Roman" w:cs="Times New Roman"/>
                <w:b/>
                <w:bCs/>
                <w:color w:val="000000"/>
                <w:sz w:val="18"/>
                <w:szCs w:val="18"/>
                <w:lang w:eastAsia="lv-LV"/>
              </w:rPr>
            </w:pPr>
            <w:r w:rsidRPr="00EB38BC">
              <w:rPr>
                <w:b/>
                <w:bCs/>
                <w:sz w:val="20"/>
                <w:szCs w:val="20"/>
              </w:rPr>
              <w:t>-0,5</w:t>
            </w:r>
          </w:p>
        </w:tc>
        <w:tc>
          <w:tcPr>
            <w:tcW w:w="1099" w:type="dxa"/>
            <w:shd w:val="clear" w:color="auto" w:fill="E7E6E6" w:themeFill="background2"/>
            <w:noWrap/>
            <w:vAlign w:val="center"/>
            <w:hideMark/>
          </w:tcPr>
          <w:p w14:paraId="4B5C92A0" w14:textId="77777777" w:rsidR="006A1FC0" w:rsidRPr="00EB38BC" w:rsidRDefault="006A1FC0" w:rsidP="00A834DD">
            <w:pPr>
              <w:ind w:firstLine="0"/>
              <w:jc w:val="center"/>
              <w:rPr>
                <w:rFonts w:eastAsia="Times New Roman" w:cs="Times New Roman"/>
                <w:color w:val="000000"/>
                <w:sz w:val="18"/>
                <w:szCs w:val="18"/>
                <w:lang w:eastAsia="lv-LV"/>
              </w:rPr>
            </w:pPr>
            <w:r w:rsidRPr="00EB38BC">
              <w:rPr>
                <w:rFonts w:eastAsia="Times New Roman" w:cs="Times New Roman"/>
                <w:color w:val="000000"/>
                <w:sz w:val="18"/>
                <w:szCs w:val="18"/>
                <w:lang w:eastAsia="lv-LV"/>
              </w:rPr>
              <w:t> </w:t>
            </w:r>
          </w:p>
        </w:tc>
        <w:tc>
          <w:tcPr>
            <w:tcW w:w="1098" w:type="dxa"/>
            <w:shd w:val="clear" w:color="auto" w:fill="E7E6E6" w:themeFill="background2"/>
            <w:noWrap/>
            <w:vAlign w:val="center"/>
            <w:hideMark/>
          </w:tcPr>
          <w:p w14:paraId="3971F199" w14:textId="77777777" w:rsidR="006A1FC0" w:rsidRPr="00EB38BC" w:rsidRDefault="006A1FC0" w:rsidP="00A834DD">
            <w:pPr>
              <w:ind w:firstLine="0"/>
              <w:jc w:val="center"/>
              <w:rPr>
                <w:rFonts w:eastAsia="Times New Roman" w:cs="Times New Roman"/>
                <w:color w:val="000000"/>
                <w:sz w:val="18"/>
                <w:szCs w:val="18"/>
                <w:lang w:eastAsia="lv-LV"/>
              </w:rPr>
            </w:pPr>
            <w:r w:rsidRPr="00EB38BC">
              <w:rPr>
                <w:rFonts w:eastAsia="Times New Roman" w:cs="Times New Roman"/>
                <w:color w:val="000000"/>
                <w:sz w:val="18"/>
                <w:szCs w:val="18"/>
                <w:lang w:eastAsia="lv-LV"/>
              </w:rPr>
              <w:t> </w:t>
            </w:r>
          </w:p>
        </w:tc>
        <w:tc>
          <w:tcPr>
            <w:tcW w:w="1099" w:type="dxa"/>
            <w:shd w:val="clear" w:color="auto" w:fill="E7E6E6" w:themeFill="background2"/>
            <w:noWrap/>
            <w:vAlign w:val="center"/>
            <w:hideMark/>
          </w:tcPr>
          <w:p w14:paraId="634E3C84" w14:textId="77777777" w:rsidR="006A1FC0" w:rsidRPr="00EB38BC" w:rsidRDefault="006A1FC0" w:rsidP="00A834DD">
            <w:pPr>
              <w:ind w:firstLine="0"/>
              <w:jc w:val="center"/>
              <w:rPr>
                <w:rFonts w:eastAsia="Times New Roman" w:cs="Times New Roman"/>
                <w:color w:val="000000"/>
                <w:sz w:val="18"/>
                <w:szCs w:val="18"/>
                <w:lang w:eastAsia="lv-LV"/>
              </w:rPr>
            </w:pPr>
            <w:r w:rsidRPr="00EB38BC">
              <w:rPr>
                <w:rFonts w:eastAsia="Times New Roman" w:cs="Times New Roman"/>
                <w:color w:val="000000"/>
                <w:sz w:val="18"/>
                <w:szCs w:val="18"/>
                <w:lang w:eastAsia="lv-LV"/>
              </w:rPr>
              <w:t> </w:t>
            </w:r>
          </w:p>
        </w:tc>
      </w:tr>
      <w:tr w:rsidR="006A1FC0" w:rsidRPr="00EB38BC" w14:paraId="74D9D0C6" w14:textId="77777777" w:rsidTr="00A834DD">
        <w:trPr>
          <w:trHeight w:val="300"/>
        </w:trPr>
        <w:tc>
          <w:tcPr>
            <w:tcW w:w="3397" w:type="dxa"/>
            <w:shd w:val="clear" w:color="auto" w:fill="auto"/>
            <w:noWrap/>
            <w:vAlign w:val="bottom"/>
          </w:tcPr>
          <w:p w14:paraId="517E9E8C" w14:textId="77777777" w:rsidR="006A1FC0" w:rsidRPr="00EB38BC" w:rsidRDefault="006A1FC0" w:rsidP="00A834DD">
            <w:pPr>
              <w:ind w:firstLine="0"/>
              <w:jc w:val="left"/>
              <w:rPr>
                <w:rFonts w:eastAsia="Times New Roman" w:cs="Times New Roman"/>
                <w:b/>
                <w:bCs/>
                <w:color w:val="000000"/>
                <w:sz w:val="18"/>
                <w:szCs w:val="18"/>
                <w:lang w:eastAsia="lv-LV"/>
              </w:rPr>
            </w:pPr>
            <w:proofErr w:type="spellStart"/>
            <w:r w:rsidRPr="00EB38BC">
              <w:rPr>
                <w:b/>
                <w:bCs/>
                <w:color w:val="000000"/>
                <w:sz w:val="20"/>
                <w:szCs w:val="20"/>
              </w:rPr>
              <w:t>One-off</w:t>
            </w:r>
            <w:proofErr w:type="spellEnd"/>
            <w:r w:rsidRPr="00EB38BC">
              <w:rPr>
                <w:b/>
                <w:bCs/>
                <w:color w:val="000000"/>
                <w:sz w:val="20"/>
                <w:szCs w:val="20"/>
              </w:rPr>
              <w:t xml:space="preserve"> un citi īslaicīgie pasākumi, % no IKP, tai skaitā</w:t>
            </w:r>
          </w:p>
        </w:tc>
        <w:tc>
          <w:tcPr>
            <w:tcW w:w="1276" w:type="dxa"/>
            <w:shd w:val="clear" w:color="auto" w:fill="auto"/>
            <w:noWrap/>
            <w:vAlign w:val="bottom"/>
            <w:hideMark/>
          </w:tcPr>
          <w:p w14:paraId="01955108" w14:textId="77777777" w:rsidR="006A1FC0" w:rsidRPr="00EB38BC" w:rsidRDefault="006A1FC0" w:rsidP="00A834DD">
            <w:pPr>
              <w:ind w:firstLine="0"/>
              <w:jc w:val="left"/>
              <w:rPr>
                <w:rFonts w:eastAsia="Times New Roman" w:cs="Times New Roman"/>
                <w:b/>
                <w:bCs/>
                <w:color w:val="000000"/>
                <w:sz w:val="16"/>
                <w:szCs w:val="16"/>
                <w:lang w:eastAsia="lv-LV"/>
              </w:rPr>
            </w:pPr>
            <w:r w:rsidRPr="00EB38BC">
              <w:rPr>
                <w:rFonts w:eastAsia="Times New Roman" w:cs="Times New Roman"/>
                <w:b/>
                <w:bCs/>
                <w:color w:val="000000"/>
                <w:sz w:val="16"/>
                <w:szCs w:val="16"/>
                <w:lang w:eastAsia="lv-LV"/>
              </w:rPr>
              <w:t>(6)=(7)+(8)+(9)</w:t>
            </w:r>
          </w:p>
          <w:p w14:paraId="58525029" w14:textId="77777777" w:rsidR="006A1FC0" w:rsidRPr="00EB38BC" w:rsidRDefault="006A1FC0" w:rsidP="00A834DD">
            <w:pPr>
              <w:ind w:firstLine="0"/>
              <w:jc w:val="left"/>
              <w:rPr>
                <w:rFonts w:eastAsia="Times New Roman" w:cs="Times New Roman"/>
                <w:b/>
                <w:bCs/>
                <w:color w:val="000000"/>
                <w:sz w:val="16"/>
                <w:szCs w:val="16"/>
                <w:lang w:eastAsia="lv-LV"/>
              </w:rPr>
            </w:pPr>
            <w:r w:rsidRPr="00EB38BC">
              <w:rPr>
                <w:rFonts w:eastAsia="Times New Roman" w:cs="Times New Roman"/>
                <w:b/>
                <w:bCs/>
                <w:color w:val="000000"/>
                <w:sz w:val="16"/>
                <w:szCs w:val="16"/>
                <w:lang w:eastAsia="lv-LV"/>
              </w:rPr>
              <w:t>+(10)+(11)</w:t>
            </w:r>
          </w:p>
        </w:tc>
        <w:tc>
          <w:tcPr>
            <w:tcW w:w="1098" w:type="dxa"/>
            <w:shd w:val="clear" w:color="auto" w:fill="auto"/>
            <w:noWrap/>
            <w:vAlign w:val="center"/>
          </w:tcPr>
          <w:p w14:paraId="68DA0DD5" w14:textId="77777777" w:rsidR="006A1FC0" w:rsidRPr="00EB38BC" w:rsidRDefault="006A1FC0" w:rsidP="00A834DD">
            <w:pPr>
              <w:ind w:firstLine="0"/>
              <w:jc w:val="center"/>
              <w:rPr>
                <w:rFonts w:eastAsia="Times New Roman" w:cs="Times New Roman"/>
                <w:b/>
                <w:bCs/>
                <w:color w:val="000000"/>
                <w:sz w:val="18"/>
                <w:szCs w:val="18"/>
                <w:lang w:eastAsia="lv-LV"/>
              </w:rPr>
            </w:pPr>
            <w:r w:rsidRPr="00EB38BC">
              <w:rPr>
                <w:b/>
                <w:bCs/>
                <w:sz w:val="20"/>
                <w:szCs w:val="20"/>
              </w:rPr>
              <w:t>-3,0</w:t>
            </w:r>
          </w:p>
        </w:tc>
        <w:tc>
          <w:tcPr>
            <w:tcW w:w="1099" w:type="dxa"/>
            <w:shd w:val="clear" w:color="auto" w:fill="E7E6E6" w:themeFill="background2"/>
            <w:noWrap/>
            <w:vAlign w:val="center"/>
            <w:hideMark/>
          </w:tcPr>
          <w:p w14:paraId="1051A0FD" w14:textId="77777777" w:rsidR="006A1FC0" w:rsidRPr="00EB38BC" w:rsidRDefault="006A1FC0" w:rsidP="00A834DD">
            <w:pPr>
              <w:ind w:firstLine="0"/>
              <w:jc w:val="center"/>
              <w:rPr>
                <w:rFonts w:eastAsia="Times New Roman" w:cs="Times New Roman"/>
                <w:b/>
                <w:bCs/>
                <w:color w:val="000000"/>
                <w:sz w:val="18"/>
                <w:szCs w:val="18"/>
                <w:lang w:eastAsia="lv-LV"/>
              </w:rPr>
            </w:pPr>
            <w:r w:rsidRPr="00EB38BC">
              <w:rPr>
                <w:rFonts w:eastAsia="Times New Roman" w:cs="Times New Roman"/>
                <w:b/>
                <w:bCs/>
                <w:color w:val="000000"/>
                <w:sz w:val="18"/>
                <w:szCs w:val="18"/>
                <w:lang w:eastAsia="lv-LV"/>
              </w:rPr>
              <w:t> </w:t>
            </w:r>
          </w:p>
        </w:tc>
        <w:tc>
          <w:tcPr>
            <w:tcW w:w="1098" w:type="dxa"/>
            <w:shd w:val="clear" w:color="auto" w:fill="E7E6E6" w:themeFill="background2"/>
            <w:noWrap/>
            <w:vAlign w:val="center"/>
            <w:hideMark/>
          </w:tcPr>
          <w:p w14:paraId="2699C003" w14:textId="77777777" w:rsidR="006A1FC0" w:rsidRPr="00EB38BC" w:rsidRDefault="006A1FC0" w:rsidP="00A834DD">
            <w:pPr>
              <w:ind w:firstLine="0"/>
              <w:jc w:val="center"/>
              <w:rPr>
                <w:rFonts w:eastAsia="Times New Roman" w:cs="Times New Roman"/>
                <w:b/>
                <w:bCs/>
                <w:color w:val="000000"/>
                <w:sz w:val="18"/>
                <w:szCs w:val="18"/>
                <w:lang w:eastAsia="lv-LV"/>
              </w:rPr>
            </w:pPr>
            <w:r w:rsidRPr="00EB38BC">
              <w:rPr>
                <w:rFonts w:eastAsia="Times New Roman" w:cs="Times New Roman"/>
                <w:b/>
                <w:bCs/>
                <w:color w:val="000000"/>
                <w:sz w:val="18"/>
                <w:szCs w:val="18"/>
                <w:lang w:eastAsia="lv-LV"/>
              </w:rPr>
              <w:t> </w:t>
            </w:r>
          </w:p>
        </w:tc>
        <w:tc>
          <w:tcPr>
            <w:tcW w:w="1099" w:type="dxa"/>
            <w:shd w:val="clear" w:color="auto" w:fill="E7E6E6" w:themeFill="background2"/>
            <w:noWrap/>
            <w:vAlign w:val="center"/>
            <w:hideMark/>
          </w:tcPr>
          <w:p w14:paraId="7367EC1C" w14:textId="77777777" w:rsidR="006A1FC0" w:rsidRPr="00EB38BC" w:rsidRDefault="006A1FC0" w:rsidP="00A834DD">
            <w:pPr>
              <w:ind w:firstLine="0"/>
              <w:jc w:val="center"/>
              <w:rPr>
                <w:rFonts w:eastAsia="Times New Roman" w:cs="Times New Roman"/>
                <w:b/>
                <w:bCs/>
                <w:color w:val="000000"/>
                <w:sz w:val="18"/>
                <w:szCs w:val="18"/>
                <w:lang w:eastAsia="lv-LV"/>
              </w:rPr>
            </w:pPr>
            <w:r w:rsidRPr="00EB38BC">
              <w:rPr>
                <w:rFonts w:eastAsia="Times New Roman" w:cs="Times New Roman"/>
                <w:b/>
                <w:bCs/>
                <w:color w:val="000000"/>
                <w:sz w:val="18"/>
                <w:szCs w:val="18"/>
                <w:lang w:eastAsia="lv-LV"/>
              </w:rPr>
              <w:t> </w:t>
            </w:r>
          </w:p>
        </w:tc>
      </w:tr>
      <w:tr w:rsidR="006A1FC0" w:rsidRPr="00EB38BC" w14:paraId="3796CD90" w14:textId="77777777" w:rsidTr="00A834DD">
        <w:trPr>
          <w:trHeight w:val="300"/>
        </w:trPr>
        <w:tc>
          <w:tcPr>
            <w:tcW w:w="3397" w:type="dxa"/>
            <w:shd w:val="clear" w:color="auto" w:fill="auto"/>
            <w:noWrap/>
            <w:vAlign w:val="bottom"/>
          </w:tcPr>
          <w:p w14:paraId="632B3DA1" w14:textId="77777777" w:rsidR="006A1FC0" w:rsidRPr="00EB38BC" w:rsidRDefault="006A1FC0" w:rsidP="00A834DD">
            <w:pPr>
              <w:ind w:firstLineChars="200" w:firstLine="400"/>
              <w:jc w:val="left"/>
              <w:rPr>
                <w:rFonts w:eastAsia="Times New Roman" w:cs="Times New Roman"/>
                <w:color w:val="000000"/>
                <w:sz w:val="18"/>
                <w:szCs w:val="18"/>
                <w:lang w:eastAsia="lv-LV"/>
              </w:rPr>
            </w:pPr>
            <w:r w:rsidRPr="00EB38BC">
              <w:rPr>
                <w:sz w:val="20"/>
                <w:szCs w:val="20"/>
              </w:rPr>
              <w:t>COVID -19 pandēmijas mazināšanas pasākumi</w:t>
            </w:r>
          </w:p>
        </w:tc>
        <w:tc>
          <w:tcPr>
            <w:tcW w:w="1276" w:type="dxa"/>
            <w:shd w:val="clear" w:color="auto" w:fill="auto"/>
            <w:noWrap/>
            <w:vAlign w:val="bottom"/>
            <w:hideMark/>
          </w:tcPr>
          <w:p w14:paraId="0CE83384" w14:textId="77777777" w:rsidR="006A1FC0" w:rsidRPr="00EB38BC" w:rsidRDefault="006A1FC0" w:rsidP="00A834DD">
            <w:pPr>
              <w:ind w:firstLine="0"/>
              <w:jc w:val="left"/>
              <w:rPr>
                <w:rFonts w:eastAsia="Times New Roman" w:cs="Times New Roman"/>
                <w:color w:val="000000"/>
                <w:sz w:val="16"/>
                <w:szCs w:val="16"/>
                <w:lang w:eastAsia="lv-LV"/>
              </w:rPr>
            </w:pPr>
            <w:r w:rsidRPr="00EB38BC">
              <w:rPr>
                <w:rFonts w:eastAsia="Times New Roman" w:cs="Times New Roman"/>
                <w:color w:val="000000"/>
                <w:sz w:val="16"/>
                <w:szCs w:val="16"/>
                <w:lang w:eastAsia="lv-LV"/>
              </w:rPr>
              <w:t> (7)</w:t>
            </w:r>
          </w:p>
        </w:tc>
        <w:tc>
          <w:tcPr>
            <w:tcW w:w="1098" w:type="dxa"/>
            <w:shd w:val="clear" w:color="auto" w:fill="auto"/>
            <w:noWrap/>
            <w:vAlign w:val="center"/>
          </w:tcPr>
          <w:p w14:paraId="430D0341" w14:textId="77777777" w:rsidR="006A1FC0" w:rsidRPr="00EB38BC" w:rsidRDefault="006A1FC0" w:rsidP="00A834DD">
            <w:pPr>
              <w:ind w:firstLine="0"/>
              <w:jc w:val="center"/>
              <w:rPr>
                <w:rFonts w:eastAsia="Times New Roman" w:cs="Times New Roman"/>
                <w:color w:val="000000"/>
                <w:sz w:val="18"/>
                <w:szCs w:val="18"/>
                <w:lang w:eastAsia="lv-LV"/>
              </w:rPr>
            </w:pPr>
            <w:r w:rsidRPr="00EB38BC">
              <w:rPr>
                <w:sz w:val="20"/>
                <w:szCs w:val="20"/>
              </w:rPr>
              <w:t>-0,2</w:t>
            </w:r>
          </w:p>
        </w:tc>
        <w:tc>
          <w:tcPr>
            <w:tcW w:w="1099" w:type="dxa"/>
            <w:shd w:val="clear" w:color="auto" w:fill="E7E6E6" w:themeFill="background2"/>
            <w:noWrap/>
            <w:vAlign w:val="center"/>
            <w:hideMark/>
          </w:tcPr>
          <w:p w14:paraId="6542A635" w14:textId="77777777" w:rsidR="006A1FC0" w:rsidRPr="00EB38BC" w:rsidRDefault="006A1FC0" w:rsidP="00A834DD">
            <w:pPr>
              <w:ind w:firstLine="0"/>
              <w:jc w:val="center"/>
              <w:rPr>
                <w:rFonts w:eastAsia="Times New Roman" w:cs="Times New Roman"/>
                <w:color w:val="000000"/>
                <w:sz w:val="18"/>
                <w:szCs w:val="18"/>
                <w:lang w:eastAsia="lv-LV"/>
              </w:rPr>
            </w:pPr>
            <w:r w:rsidRPr="00EB38BC">
              <w:rPr>
                <w:rFonts w:eastAsia="Times New Roman" w:cs="Times New Roman"/>
                <w:color w:val="000000"/>
                <w:sz w:val="18"/>
                <w:szCs w:val="18"/>
                <w:lang w:eastAsia="lv-LV"/>
              </w:rPr>
              <w:t> </w:t>
            </w:r>
          </w:p>
        </w:tc>
        <w:tc>
          <w:tcPr>
            <w:tcW w:w="1098" w:type="dxa"/>
            <w:shd w:val="clear" w:color="auto" w:fill="E7E6E6" w:themeFill="background2"/>
            <w:noWrap/>
            <w:vAlign w:val="center"/>
            <w:hideMark/>
          </w:tcPr>
          <w:p w14:paraId="48EF380A" w14:textId="77777777" w:rsidR="006A1FC0" w:rsidRPr="00EB38BC" w:rsidRDefault="006A1FC0" w:rsidP="00A834DD">
            <w:pPr>
              <w:ind w:firstLine="0"/>
              <w:jc w:val="center"/>
              <w:rPr>
                <w:rFonts w:eastAsia="Times New Roman" w:cs="Times New Roman"/>
                <w:color w:val="000000"/>
                <w:sz w:val="18"/>
                <w:szCs w:val="18"/>
                <w:lang w:eastAsia="lv-LV"/>
              </w:rPr>
            </w:pPr>
            <w:r w:rsidRPr="00EB38BC">
              <w:rPr>
                <w:rFonts w:eastAsia="Times New Roman" w:cs="Times New Roman"/>
                <w:color w:val="000000"/>
                <w:sz w:val="18"/>
                <w:szCs w:val="18"/>
                <w:lang w:eastAsia="lv-LV"/>
              </w:rPr>
              <w:t> </w:t>
            </w:r>
          </w:p>
        </w:tc>
        <w:tc>
          <w:tcPr>
            <w:tcW w:w="1099" w:type="dxa"/>
            <w:shd w:val="clear" w:color="auto" w:fill="E7E6E6" w:themeFill="background2"/>
            <w:noWrap/>
            <w:vAlign w:val="center"/>
            <w:hideMark/>
          </w:tcPr>
          <w:p w14:paraId="1C45A9FB" w14:textId="77777777" w:rsidR="006A1FC0" w:rsidRPr="00EB38BC" w:rsidRDefault="006A1FC0" w:rsidP="00A834DD">
            <w:pPr>
              <w:ind w:firstLine="0"/>
              <w:jc w:val="center"/>
              <w:rPr>
                <w:rFonts w:eastAsia="Times New Roman" w:cs="Times New Roman"/>
                <w:color w:val="000000"/>
                <w:sz w:val="18"/>
                <w:szCs w:val="18"/>
                <w:lang w:eastAsia="lv-LV"/>
              </w:rPr>
            </w:pPr>
            <w:r w:rsidRPr="00EB38BC">
              <w:rPr>
                <w:rFonts w:eastAsia="Times New Roman" w:cs="Times New Roman"/>
                <w:color w:val="000000"/>
                <w:sz w:val="18"/>
                <w:szCs w:val="18"/>
                <w:lang w:eastAsia="lv-LV"/>
              </w:rPr>
              <w:t> </w:t>
            </w:r>
          </w:p>
        </w:tc>
      </w:tr>
      <w:tr w:rsidR="006A1FC0" w:rsidRPr="00EB38BC" w14:paraId="4AF76FD5" w14:textId="77777777" w:rsidTr="00A834DD">
        <w:trPr>
          <w:trHeight w:val="427"/>
        </w:trPr>
        <w:tc>
          <w:tcPr>
            <w:tcW w:w="3397" w:type="dxa"/>
            <w:shd w:val="clear" w:color="auto" w:fill="auto"/>
            <w:noWrap/>
            <w:vAlign w:val="bottom"/>
          </w:tcPr>
          <w:p w14:paraId="2F58DCD0" w14:textId="77777777" w:rsidR="006A1FC0" w:rsidRPr="00EB38BC" w:rsidRDefault="006A1FC0" w:rsidP="00A834DD">
            <w:pPr>
              <w:ind w:firstLineChars="200" w:firstLine="400"/>
              <w:jc w:val="left"/>
              <w:rPr>
                <w:rFonts w:eastAsia="Times New Roman" w:cs="Times New Roman"/>
                <w:color w:val="000000"/>
                <w:sz w:val="18"/>
                <w:szCs w:val="18"/>
                <w:lang w:eastAsia="lv-LV"/>
              </w:rPr>
            </w:pPr>
            <w:r w:rsidRPr="00EB38BC">
              <w:rPr>
                <w:sz w:val="20"/>
                <w:szCs w:val="20"/>
              </w:rPr>
              <w:t>enerģijas cenas pieauguma mazināšanas pasākumi</w:t>
            </w:r>
          </w:p>
        </w:tc>
        <w:tc>
          <w:tcPr>
            <w:tcW w:w="1276" w:type="dxa"/>
            <w:shd w:val="clear" w:color="auto" w:fill="auto"/>
            <w:noWrap/>
            <w:vAlign w:val="bottom"/>
            <w:hideMark/>
          </w:tcPr>
          <w:p w14:paraId="7F1BE6AF" w14:textId="77777777" w:rsidR="006A1FC0" w:rsidRPr="00EB38BC" w:rsidRDefault="006A1FC0" w:rsidP="00A834DD">
            <w:pPr>
              <w:ind w:firstLine="0"/>
              <w:jc w:val="left"/>
              <w:rPr>
                <w:rFonts w:eastAsia="Times New Roman" w:cs="Times New Roman"/>
                <w:color w:val="000000"/>
                <w:sz w:val="16"/>
                <w:szCs w:val="16"/>
                <w:lang w:eastAsia="lv-LV"/>
              </w:rPr>
            </w:pPr>
            <w:r w:rsidRPr="00EB38BC">
              <w:rPr>
                <w:rFonts w:eastAsia="Times New Roman" w:cs="Times New Roman"/>
                <w:color w:val="000000"/>
                <w:sz w:val="16"/>
                <w:szCs w:val="16"/>
                <w:lang w:eastAsia="lv-LV"/>
              </w:rPr>
              <w:t> (8)</w:t>
            </w:r>
          </w:p>
        </w:tc>
        <w:tc>
          <w:tcPr>
            <w:tcW w:w="1098" w:type="dxa"/>
            <w:shd w:val="clear" w:color="auto" w:fill="auto"/>
            <w:noWrap/>
            <w:vAlign w:val="center"/>
          </w:tcPr>
          <w:p w14:paraId="6C6DC095" w14:textId="77777777" w:rsidR="006A1FC0" w:rsidRPr="00EB38BC" w:rsidRDefault="006A1FC0" w:rsidP="00A834DD">
            <w:pPr>
              <w:ind w:firstLine="0"/>
              <w:jc w:val="center"/>
              <w:rPr>
                <w:rFonts w:eastAsia="Times New Roman" w:cs="Times New Roman"/>
                <w:color w:val="000000"/>
                <w:sz w:val="18"/>
                <w:szCs w:val="18"/>
                <w:lang w:eastAsia="lv-LV"/>
              </w:rPr>
            </w:pPr>
            <w:r w:rsidRPr="00EB38BC">
              <w:rPr>
                <w:sz w:val="20"/>
                <w:szCs w:val="20"/>
              </w:rPr>
              <w:t>-1,4</w:t>
            </w:r>
          </w:p>
        </w:tc>
        <w:tc>
          <w:tcPr>
            <w:tcW w:w="1099" w:type="dxa"/>
            <w:shd w:val="clear" w:color="auto" w:fill="E7E6E6" w:themeFill="background2"/>
            <w:noWrap/>
            <w:vAlign w:val="center"/>
            <w:hideMark/>
          </w:tcPr>
          <w:p w14:paraId="4981FB74" w14:textId="77777777" w:rsidR="006A1FC0" w:rsidRPr="00EB38BC" w:rsidRDefault="006A1FC0" w:rsidP="00A834DD">
            <w:pPr>
              <w:ind w:firstLine="0"/>
              <w:jc w:val="center"/>
              <w:rPr>
                <w:rFonts w:eastAsia="Times New Roman" w:cs="Times New Roman"/>
                <w:color w:val="000000"/>
                <w:sz w:val="18"/>
                <w:szCs w:val="18"/>
                <w:lang w:eastAsia="lv-LV"/>
              </w:rPr>
            </w:pPr>
            <w:r w:rsidRPr="00EB38BC">
              <w:rPr>
                <w:rFonts w:eastAsia="Times New Roman" w:cs="Times New Roman"/>
                <w:color w:val="000000"/>
                <w:sz w:val="18"/>
                <w:szCs w:val="18"/>
                <w:lang w:eastAsia="lv-LV"/>
              </w:rPr>
              <w:t> </w:t>
            </w:r>
          </w:p>
        </w:tc>
        <w:tc>
          <w:tcPr>
            <w:tcW w:w="1098" w:type="dxa"/>
            <w:shd w:val="clear" w:color="auto" w:fill="E7E6E6" w:themeFill="background2"/>
            <w:noWrap/>
            <w:vAlign w:val="center"/>
            <w:hideMark/>
          </w:tcPr>
          <w:p w14:paraId="1A987D91" w14:textId="77777777" w:rsidR="006A1FC0" w:rsidRPr="00EB38BC" w:rsidRDefault="006A1FC0" w:rsidP="00A834DD">
            <w:pPr>
              <w:ind w:firstLine="0"/>
              <w:jc w:val="center"/>
              <w:rPr>
                <w:rFonts w:eastAsia="Times New Roman" w:cs="Times New Roman"/>
                <w:color w:val="000000"/>
                <w:sz w:val="18"/>
                <w:szCs w:val="18"/>
                <w:lang w:eastAsia="lv-LV"/>
              </w:rPr>
            </w:pPr>
            <w:r w:rsidRPr="00EB38BC">
              <w:rPr>
                <w:rFonts w:eastAsia="Times New Roman" w:cs="Times New Roman"/>
                <w:color w:val="000000"/>
                <w:sz w:val="18"/>
                <w:szCs w:val="18"/>
                <w:lang w:eastAsia="lv-LV"/>
              </w:rPr>
              <w:t> </w:t>
            </w:r>
          </w:p>
        </w:tc>
        <w:tc>
          <w:tcPr>
            <w:tcW w:w="1099" w:type="dxa"/>
            <w:shd w:val="clear" w:color="auto" w:fill="E7E6E6" w:themeFill="background2"/>
            <w:noWrap/>
            <w:vAlign w:val="center"/>
            <w:hideMark/>
          </w:tcPr>
          <w:p w14:paraId="6715D0C8" w14:textId="77777777" w:rsidR="006A1FC0" w:rsidRPr="00EB38BC" w:rsidRDefault="006A1FC0" w:rsidP="00A834DD">
            <w:pPr>
              <w:ind w:firstLine="0"/>
              <w:jc w:val="center"/>
              <w:rPr>
                <w:rFonts w:eastAsia="Times New Roman" w:cs="Times New Roman"/>
                <w:color w:val="000000"/>
                <w:sz w:val="18"/>
                <w:szCs w:val="18"/>
                <w:lang w:eastAsia="lv-LV"/>
              </w:rPr>
            </w:pPr>
            <w:r w:rsidRPr="00EB38BC">
              <w:rPr>
                <w:rFonts w:eastAsia="Times New Roman" w:cs="Times New Roman"/>
                <w:color w:val="000000"/>
                <w:sz w:val="18"/>
                <w:szCs w:val="18"/>
                <w:lang w:eastAsia="lv-LV"/>
              </w:rPr>
              <w:t> </w:t>
            </w:r>
          </w:p>
        </w:tc>
      </w:tr>
      <w:tr w:rsidR="006A1FC0" w:rsidRPr="00EB38BC" w14:paraId="13E89962" w14:textId="77777777" w:rsidTr="00A834DD">
        <w:trPr>
          <w:trHeight w:val="427"/>
        </w:trPr>
        <w:tc>
          <w:tcPr>
            <w:tcW w:w="3397" w:type="dxa"/>
            <w:shd w:val="clear" w:color="auto" w:fill="auto"/>
            <w:noWrap/>
            <w:vAlign w:val="bottom"/>
          </w:tcPr>
          <w:p w14:paraId="118A1CCB" w14:textId="77777777" w:rsidR="006A1FC0" w:rsidRPr="00EB38BC" w:rsidRDefault="006A1FC0" w:rsidP="00A834DD">
            <w:pPr>
              <w:ind w:firstLineChars="200" w:firstLine="400"/>
              <w:jc w:val="left"/>
              <w:rPr>
                <w:rFonts w:eastAsia="Times New Roman" w:cs="Times New Roman"/>
                <w:color w:val="000000"/>
                <w:sz w:val="18"/>
                <w:szCs w:val="18"/>
                <w:lang w:eastAsia="lv-LV"/>
              </w:rPr>
            </w:pPr>
            <w:r w:rsidRPr="00EB38BC">
              <w:rPr>
                <w:sz w:val="20"/>
                <w:szCs w:val="20"/>
              </w:rPr>
              <w:t>aizsardzības un iekšējās drošības finansējums</w:t>
            </w:r>
          </w:p>
        </w:tc>
        <w:tc>
          <w:tcPr>
            <w:tcW w:w="1276" w:type="dxa"/>
            <w:shd w:val="clear" w:color="auto" w:fill="auto"/>
            <w:noWrap/>
            <w:vAlign w:val="bottom"/>
          </w:tcPr>
          <w:p w14:paraId="7A7F4620" w14:textId="77777777" w:rsidR="006A1FC0" w:rsidRPr="00EB38BC" w:rsidRDefault="006A1FC0" w:rsidP="00A834DD">
            <w:pPr>
              <w:ind w:firstLine="0"/>
              <w:jc w:val="left"/>
              <w:rPr>
                <w:rFonts w:eastAsia="Times New Roman" w:cs="Times New Roman"/>
                <w:color w:val="000000"/>
                <w:sz w:val="16"/>
                <w:szCs w:val="16"/>
                <w:lang w:eastAsia="lv-LV"/>
              </w:rPr>
            </w:pPr>
            <w:r w:rsidRPr="00EB38BC">
              <w:rPr>
                <w:rFonts w:eastAsia="Times New Roman" w:cs="Times New Roman"/>
                <w:color w:val="000000"/>
                <w:sz w:val="16"/>
                <w:szCs w:val="16"/>
                <w:lang w:eastAsia="lv-LV"/>
              </w:rPr>
              <w:t>(9)</w:t>
            </w:r>
          </w:p>
        </w:tc>
        <w:tc>
          <w:tcPr>
            <w:tcW w:w="1098" w:type="dxa"/>
            <w:shd w:val="clear" w:color="auto" w:fill="auto"/>
            <w:noWrap/>
            <w:vAlign w:val="center"/>
          </w:tcPr>
          <w:p w14:paraId="7FB2242B" w14:textId="77777777" w:rsidR="006A1FC0" w:rsidRPr="00EB38BC" w:rsidRDefault="006A1FC0" w:rsidP="00A834DD">
            <w:pPr>
              <w:ind w:firstLine="0"/>
              <w:jc w:val="center"/>
              <w:rPr>
                <w:rFonts w:eastAsia="Times New Roman" w:cs="Times New Roman"/>
                <w:color w:val="000000"/>
                <w:sz w:val="18"/>
                <w:szCs w:val="18"/>
                <w:lang w:eastAsia="lv-LV"/>
              </w:rPr>
            </w:pPr>
            <w:r w:rsidRPr="00EB38BC">
              <w:rPr>
                <w:sz w:val="20"/>
                <w:szCs w:val="20"/>
              </w:rPr>
              <w:t>-0,4</w:t>
            </w:r>
          </w:p>
        </w:tc>
        <w:tc>
          <w:tcPr>
            <w:tcW w:w="1099" w:type="dxa"/>
            <w:shd w:val="clear" w:color="auto" w:fill="E7E6E6" w:themeFill="background2"/>
            <w:noWrap/>
            <w:vAlign w:val="center"/>
          </w:tcPr>
          <w:p w14:paraId="70229136" w14:textId="77777777" w:rsidR="006A1FC0" w:rsidRPr="00EB38BC" w:rsidRDefault="006A1FC0" w:rsidP="00A834DD">
            <w:pPr>
              <w:ind w:firstLine="0"/>
              <w:jc w:val="center"/>
              <w:rPr>
                <w:rFonts w:eastAsia="Times New Roman" w:cs="Times New Roman"/>
                <w:color w:val="000000"/>
                <w:sz w:val="18"/>
                <w:szCs w:val="18"/>
                <w:lang w:eastAsia="lv-LV"/>
              </w:rPr>
            </w:pPr>
          </w:p>
        </w:tc>
        <w:tc>
          <w:tcPr>
            <w:tcW w:w="1098" w:type="dxa"/>
            <w:shd w:val="clear" w:color="auto" w:fill="E7E6E6" w:themeFill="background2"/>
            <w:noWrap/>
            <w:vAlign w:val="center"/>
          </w:tcPr>
          <w:p w14:paraId="7929ADBD" w14:textId="77777777" w:rsidR="006A1FC0" w:rsidRPr="00EB38BC" w:rsidRDefault="006A1FC0" w:rsidP="00A834DD">
            <w:pPr>
              <w:ind w:firstLine="0"/>
              <w:jc w:val="center"/>
              <w:rPr>
                <w:rFonts w:eastAsia="Times New Roman" w:cs="Times New Roman"/>
                <w:color w:val="000000"/>
                <w:sz w:val="18"/>
                <w:szCs w:val="18"/>
                <w:lang w:eastAsia="lv-LV"/>
              </w:rPr>
            </w:pPr>
          </w:p>
        </w:tc>
        <w:tc>
          <w:tcPr>
            <w:tcW w:w="1099" w:type="dxa"/>
            <w:shd w:val="clear" w:color="auto" w:fill="E7E6E6" w:themeFill="background2"/>
            <w:noWrap/>
            <w:vAlign w:val="center"/>
          </w:tcPr>
          <w:p w14:paraId="4EFB25DE" w14:textId="77777777" w:rsidR="006A1FC0" w:rsidRPr="00EB38BC" w:rsidRDefault="006A1FC0" w:rsidP="00A834DD">
            <w:pPr>
              <w:ind w:firstLine="0"/>
              <w:jc w:val="center"/>
              <w:rPr>
                <w:rFonts w:eastAsia="Times New Roman" w:cs="Times New Roman"/>
                <w:color w:val="000000"/>
                <w:sz w:val="18"/>
                <w:szCs w:val="18"/>
                <w:lang w:eastAsia="lv-LV"/>
              </w:rPr>
            </w:pPr>
          </w:p>
        </w:tc>
      </w:tr>
      <w:tr w:rsidR="006A1FC0" w:rsidRPr="00EB38BC" w14:paraId="37E0AF83" w14:textId="77777777" w:rsidTr="00A834DD">
        <w:trPr>
          <w:trHeight w:val="427"/>
        </w:trPr>
        <w:tc>
          <w:tcPr>
            <w:tcW w:w="3397" w:type="dxa"/>
            <w:shd w:val="clear" w:color="auto" w:fill="auto"/>
            <w:noWrap/>
            <w:vAlign w:val="bottom"/>
          </w:tcPr>
          <w:p w14:paraId="5D50EF02" w14:textId="77777777" w:rsidR="006A1FC0" w:rsidRPr="00EB38BC" w:rsidRDefault="006A1FC0" w:rsidP="00A834DD">
            <w:pPr>
              <w:ind w:firstLineChars="200" w:firstLine="400"/>
              <w:jc w:val="left"/>
              <w:rPr>
                <w:rFonts w:eastAsia="Times New Roman" w:cs="Times New Roman"/>
                <w:color w:val="000000"/>
                <w:sz w:val="18"/>
                <w:szCs w:val="18"/>
                <w:lang w:eastAsia="lv-LV"/>
              </w:rPr>
            </w:pPr>
            <w:r w:rsidRPr="00EB38BC">
              <w:rPr>
                <w:sz w:val="20"/>
                <w:szCs w:val="20"/>
              </w:rPr>
              <w:t>atbalsts bēgļiem no Ukrainas</w:t>
            </w:r>
          </w:p>
        </w:tc>
        <w:tc>
          <w:tcPr>
            <w:tcW w:w="1276" w:type="dxa"/>
            <w:shd w:val="clear" w:color="auto" w:fill="auto"/>
            <w:noWrap/>
            <w:vAlign w:val="bottom"/>
          </w:tcPr>
          <w:p w14:paraId="04EE1897" w14:textId="77777777" w:rsidR="006A1FC0" w:rsidRPr="00EB38BC" w:rsidRDefault="006A1FC0" w:rsidP="00A834DD">
            <w:pPr>
              <w:ind w:firstLine="0"/>
              <w:jc w:val="left"/>
              <w:rPr>
                <w:rFonts w:eastAsia="Times New Roman" w:cs="Times New Roman"/>
                <w:color w:val="000000"/>
                <w:sz w:val="16"/>
                <w:szCs w:val="16"/>
                <w:lang w:eastAsia="lv-LV"/>
              </w:rPr>
            </w:pPr>
            <w:r w:rsidRPr="00EB38BC">
              <w:rPr>
                <w:rFonts w:eastAsia="Times New Roman" w:cs="Times New Roman"/>
                <w:color w:val="000000"/>
                <w:sz w:val="16"/>
                <w:szCs w:val="16"/>
                <w:lang w:eastAsia="lv-LV"/>
              </w:rPr>
              <w:t>(10)</w:t>
            </w:r>
          </w:p>
        </w:tc>
        <w:tc>
          <w:tcPr>
            <w:tcW w:w="1098" w:type="dxa"/>
            <w:shd w:val="clear" w:color="auto" w:fill="auto"/>
            <w:noWrap/>
            <w:vAlign w:val="center"/>
          </w:tcPr>
          <w:p w14:paraId="3D320BCF" w14:textId="77777777" w:rsidR="006A1FC0" w:rsidRPr="00EB38BC" w:rsidRDefault="006A1FC0" w:rsidP="00A834DD">
            <w:pPr>
              <w:ind w:firstLine="0"/>
              <w:jc w:val="center"/>
              <w:rPr>
                <w:rFonts w:eastAsia="Times New Roman" w:cs="Times New Roman"/>
                <w:color w:val="000000"/>
                <w:sz w:val="18"/>
                <w:szCs w:val="18"/>
                <w:lang w:eastAsia="lv-LV"/>
              </w:rPr>
            </w:pPr>
            <w:r w:rsidRPr="00EB38BC">
              <w:rPr>
                <w:sz w:val="20"/>
                <w:szCs w:val="20"/>
              </w:rPr>
              <w:t>-0,2</w:t>
            </w:r>
          </w:p>
        </w:tc>
        <w:tc>
          <w:tcPr>
            <w:tcW w:w="1099" w:type="dxa"/>
            <w:shd w:val="clear" w:color="auto" w:fill="E7E6E6" w:themeFill="background2"/>
            <w:noWrap/>
            <w:vAlign w:val="center"/>
          </w:tcPr>
          <w:p w14:paraId="43FBCB75" w14:textId="77777777" w:rsidR="006A1FC0" w:rsidRPr="00EB38BC" w:rsidRDefault="006A1FC0" w:rsidP="00A834DD">
            <w:pPr>
              <w:ind w:firstLine="0"/>
              <w:jc w:val="center"/>
              <w:rPr>
                <w:rFonts w:eastAsia="Times New Roman" w:cs="Times New Roman"/>
                <w:color w:val="000000"/>
                <w:sz w:val="18"/>
                <w:szCs w:val="18"/>
                <w:lang w:eastAsia="lv-LV"/>
              </w:rPr>
            </w:pPr>
          </w:p>
        </w:tc>
        <w:tc>
          <w:tcPr>
            <w:tcW w:w="1098" w:type="dxa"/>
            <w:shd w:val="clear" w:color="auto" w:fill="E7E6E6" w:themeFill="background2"/>
            <w:noWrap/>
            <w:vAlign w:val="center"/>
          </w:tcPr>
          <w:p w14:paraId="2DB91761" w14:textId="77777777" w:rsidR="006A1FC0" w:rsidRPr="00EB38BC" w:rsidRDefault="006A1FC0" w:rsidP="00A834DD">
            <w:pPr>
              <w:ind w:firstLine="0"/>
              <w:jc w:val="center"/>
              <w:rPr>
                <w:rFonts w:eastAsia="Times New Roman" w:cs="Times New Roman"/>
                <w:color w:val="000000"/>
                <w:sz w:val="18"/>
                <w:szCs w:val="18"/>
                <w:lang w:eastAsia="lv-LV"/>
              </w:rPr>
            </w:pPr>
          </w:p>
        </w:tc>
        <w:tc>
          <w:tcPr>
            <w:tcW w:w="1099" w:type="dxa"/>
            <w:shd w:val="clear" w:color="auto" w:fill="E7E6E6" w:themeFill="background2"/>
            <w:noWrap/>
            <w:vAlign w:val="center"/>
          </w:tcPr>
          <w:p w14:paraId="30C2AFD8" w14:textId="77777777" w:rsidR="006A1FC0" w:rsidRPr="00EB38BC" w:rsidRDefault="006A1FC0" w:rsidP="00A834DD">
            <w:pPr>
              <w:ind w:firstLine="0"/>
              <w:jc w:val="center"/>
              <w:rPr>
                <w:rFonts w:eastAsia="Times New Roman" w:cs="Times New Roman"/>
                <w:color w:val="000000"/>
                <w:sz w:val="18"/>
                <w:szCs w:val="18"/>
                <w:lang w:eastAsia="lv-LV"/>
              </w:rPr>
            </w:pPr>
          </w:p>
        </w:tc>
      </w:tr>
      <w:tr w:rsidR="006A1FC0" w:rsidRPr="00EB38BC" w14:paraId="54E6A16A" w14:textId="77777777" w:rsidTr="00A834DD">
        <w:trPr>
          <w:trHeight w:val="511"/>
        </w:trPr>
        <w:tc>
          <w:tcPr>
            <w:tcW w:w="3397" w:type="dxa"/>
            <w:shd w:val="clear" w:color="auto" w:fill="auto"/>
            <w:noWrap/>
            <w:vAlign w:val="center"/>
          </w:tcPr>
          <w:p w14:paraId="41B9F75A" w14:textId="77777777" w:rsidR="006A1FC0" w:rsidRPr="00EB38BC" w:rsidRDefault="006A1FC0" w:rsidP="00A834DD">
            <w:pPr>
              <w:ind w:firstLineChars="200" w:firstLine="400"/>
              <w:jc w:val="left"/>
              <w:rPr>
                <w:rFonts w:eastAsia="Times New Roman" w:cs="Times New Roman"/>
                <w:color w:val="000000"/>
                <w:sz w:val="18"/>
                <w:szCs w:val="18"/>
                <w:lang w:eastAsia="lv-LV"/>
              </w:rPr>
            </w:pPr>
            <w:r w:rsidRPr="00EB38BC">
              <w:rPr>
                <w:sz w:val="20"/>
                <w:szCs w:val="20"/>
              </w:rPr>
              <w:t>vienreizējie izdevumi valsts aizsardzībai un iekšējai drošībai</w:t>
            </w:r>
          </w:p>
        </w:tc>
        <w:tc>
          <w:tcPr>
            <w:tcW w:w="1276" w:type="dxa"/>
            <w:shd w:val="clear" w:color="auto" w:fill="auto"/>
            <w:noWrap/>
            <w:vAlign w:val="bottom"/>
          </w:tcPr>
          <w:p w14:paraId="16530B78" w14:textId="77777777" w:rsidR="006A1FC0" w:rsidRPr="00EB38BC" w:rsidRDefault="006A1FC0" w:rsidP="00A834DD">
            <w:pPr>
              <w:ind w:firstLine="0"/>
              <w:jc w:val="left"/>
              <w:rPr>
                <w:rFonts w:eastAsia="Times New Roman" w:cs="Times New Roman"/>
                <w:color w:val="000000"/>
                <w:sz w:val="16"/>
                <w:szCs w:val="16"/>
                <w:lang w:eastAsia="lv-LV"/>
              </w:rPr>
            </w:pPr>
            <w:r w:rsidRPr="00EB38BC">
              <w:rPr>
                <w:rFonts w:eastAsia="Times New Roman" w:cs="Times New Roman"/>
                <w:color w:val="000000"/>
                <w:sz w:val="16"/>
                <w:szCs w:val="16"/>
                <w:lang w:eastAsia="lv-LV"/>
              </w:rPr>
              <w:t>(11)</w:t>
            </w:r>
          </w:p>
        </w:tc>
        <w:tc>
          <w:tcPr>
            <w:tcW w:w="1098" w:type="dxa"/>
            <w:shd w:val="clear" w:color="auto" w:fill="auto"/>
            <w:noWrap/>
            <w:vAlign w:val="center"/>
          </w:tcPr>
          <w:p w14:paraId="0AEBB0EC" w14:textId="77777777" w:rsidR="006A1FC0" w:rsidRPr="00EB38BC" w:rsidRDefault="006A1FC0" w:rsidP="00A834DD">
            <w:pPr>
              <w:ind w:firstLine="0"/>
              <w:jc w:val="center"/>
              <w:rPr>
                <w:rFonts w:eastAsia="Times New Roman" w:cs="Times New Roman"/>
                <w:color w:val="000000"/>
                <w:sz w:val="18"/>
                <w:szCs w:val="18"/>
                <w:lang w:eastAsia="lv-LV"/>
              </w:rPr>
            </w:pPr>
            <w:r w:rsidRPr="00EB38BC">
              <w:rPr>
                <w:sz w:val="20"/>
                <w:szCs w:val="20"/>
              </w:rPr>
              <w:t>-0,7</w:t>
            </w:r>
          </w:p>
        </w:tc>
        <w:tc>
          <w:tcPr>
            <w:tcW w:w="1099" w:type="dxa"/>
            <w:shd w:val="clear" w:color="auto" w:fill="E7E6E6" w:themeFill="background2"/>
            <w:noWrap/>
            <w:vAlign w:val="center"/>
          </w:tcPr>
          <w:p w14:paraId="0EEEF54D" w14:textId="77777777" w:rsidR="006A1FC0" w:rsidRPr="00EB38BC" w:rsidRDefault="006A1FC0" w:rsidP="00A834DD">
            <w:pPr>
              <w:ind w:firstLine="0"/>
              <w:jc w:val="center"/>
              <w:rPr>
                <w:rFonts w:eastAsia="Times New Roman" w:cs="Times New Roman"/>
                <w:color w:val="000000"/>
                <w:sz w:val="18"/>
                <w:szCs w:val="18"/>
                <w:lang w:eastAsia="lv-LV"/>
              </w:rPr>
            </w:pPr>
          </w:p>
        </w:tc>
        <w:tc>
          <w:tcPr>
            <w:tcW w:w="1098" w:type="dxa"/>
            <w:shd w:val="clear" w:color="auto" w:fill="E7E6E6" w:themeFill="background2"/>
            <w:noWrap/>
            <w:vAlign w:val="center"/>
          </w:tcPr>
          <w:p w14:paraId="00453ADB" w14:textId="77777777" w:rsidR="006A1FC0" w:rsidRPr="00EB38BC" w:rsidRDefault="006A1FC0" w:rsidP="00A834DD">
            <w:pPr>
              <w:ind w:firstLine="0"/>
              <w:jc w:val="center"/>
              <w:rPr>
                <w:rFonts w:eastAsia="Times New Roman" w:cs="Times New Roman"/>
                <w:color w:val="000000"/>
                <w:sz w:val="18"/>
                <w:szCs w:val="18"/>
                <w:lang w:eastAsia="lv-LV"/>
              </w:rPr>
            </w:pPr>
          </w:p>
        </w:tc>
        <w:tc>
          <w:tcPr>
            <w:tcW w:w="1099" w:type="dxa"/>
            <w:shd w:val="clear" w:color="auto" w:fill="E7E6E6" w:themeFill="background2"/>
            <w:noWrap/>
            <w:vAlign w:val="center"/>
          </w:tcPr>
          <w:p w14:paraId="7AEF99A7" w14:textId="77777777" w:rsidR="006A1FC0" w:rsidRPr="00EB38BC" w:rsidRDefault="006A1FC0" w:rsidP="00A834DD">
            <w:pPr>
              <w:ind w:firstLine="0"/>
              <w:jc w:val="center"/>
              <w:rPr>
                <w:rFonts w:eastAsia="Times New Roman" w:cs="Times New Roman"/>
                <w:color w:val="000000"/>
                <w:sz w:val="18"/>
                <w:szCs w:val="18"/>
                <w:lang w:eastAsia="lv-LV"/>
              </w:rPr>
            </w:pPr>
          </w:p>
        </w:tc>
      </w:tr>
      <w:tr w:rsidR="006A1FC0" w:rsidRPr="00EB38BC" w14:paraId="1EA481B1" w14:textId="77777777" w:rsidTr="00A834DD">
        <w:trPr>
          <w:trHeight w:val="310"/>
        </w:trPr>
        <w:tc>
          <w:tcPr>
            <w:tcW w:w="3397" w:type="dxa"/>
            <w:shd w:val="clear" w:color="auto" w:fill="DEEAF6" w:themeFill="accent1" w:themeFillTint="33"/>
            <w:noWrap/>
            <w:vAlign w:val="bottom"/>
            <w:hideMark/>
          </w:tcPr>
          <w:p w14:paraId="2ECB5093" w14:textId="77777777" w:rsidR="006A1FC0" w:rsidRPr="00EB38BC" w:rsidRDefault="006A1FC0" w:rsidP="00A834DD">
            <w:pPr>
              <w:ind w:firstLine="0"/>
              <w:jc w:val="left"/>
              <w:rPr>
                <w:rFonts w:eastAsia="Times New Roman" w:cs="Times New Roman"/>
                <w:b/>
                <w:bCs/>
                <w:color w:val="000000"/>
                <w:sz w:val="18"/>
                <w:szCs w:val="18"/>
                <w:lang w:eastAsia="lv-LV"/>
              </w:rPr>
            </w:pPr>
            <w:r w:rsidRPr="00EB38BC">
              <w:rPr>
                <w:b/>
                <w:bCs/>
                <w:color w:val="000000"/>
                <w:sz w:val="20"/>
                <w:szCs w:val="20"/>
              </w:rPr>
              <w:lastRenderedPageBreak/>
              <w:t>vispārējās valdības strukturālās bilances prognoze un mērķi, % no IKP</w:t>
            </w:r>
          </w:p>
        </w:tc>
        <w:tc>
          <w:tcPr>
            <w:tcW w:w="1276" w:type="dxa"/>
            <w:shd w:val="clear" w:color="auto" w:fill="DEEAF6" w:themeFill="accent1" w:themeFillTint="33"/>
            <w:noWrap/>
            <w:vAlign w:val="center"/>
            <w:hideMark/>
          </w:tcPr>
          <w:p w14:paraId="48DEF4EA" w14:textId="77777777" w:rsidR="006A1FC0" w:rsidRPr="00EB38BC" w:rsidRDefault="006A1FC0" w:rsidP="00A834DD">
            <w:pPr>
              <w:ind w:firstLine="0"/>
              <w:jc w:val="left"/>
              <w:rPr>
                <w:rFonts w:eastAsia="Times New Roman" w:cs="Times New Roman"/>
                <w:b/>
                <w:bCs/>
                <w:color w:val="000000"/>
                <w:sz w:val="16"/>
                <w:szCs w:val="16"/>
                <w:lang w:eastAsia="lv-LV"/>
              </w:rPr>
            </w:pPr>
            <w:r w:rsidRPr="00EB38BC">
              <w:rPr>
                <w:rFonts w:eastAsia="Times New Roman" w:cs="Times New Roman"/>
                <w:b/>
                <w:bCs/>
                <w:color w:val="000000"/>
                <w:sz w:val="16"/>
                <w:szCs w:val="16"/>
                <w:lang w:eastAsia="lv-LV"/>
              </w:rPr>
              <w:t>(12)=(3)-(5)-(6)</w:t>
            </w:r>
          </w:p>
        </w:tc>
        <w:tc>
          <w:tcPr>
            <w:tcW w:w="1098" w:type="dxa"/>
            <w:shd w:val="clear" w:color="auto" w:fill="DEEAF6" w:themeFill="accent1" w:themeFillTint="33"/>
            <w:noWrap/>
            <w:vAlign w:val="center"/>
          </w:tcPr>
          <w:p w14:paraId="2C6682DC" w14:textId="77777777" w:rsidR="006A1FC0" w:rsidRPr="00EB38BC" w:rsidRDefault="006A1FC0" w:rsidP="00A834DD">
            <w:pPr>
              <w:ind w:firstLine="0"/>
              <w:jc w:val="center"/>
              <w:rPr>
                <w:rFonts w:eastAsia="Times New Roman" w:cs="Times New Roman"/>
                <w:b/>
                <w:bCs/>
                <w:color w:val="000000"/>
                <w:sz w:val="18"/>
                <w:szCs w:val="18"/>
                <w:lang w:eastAsia="lv-LV"/>
              </w:rPr>
            </w:pPr>
            <w:r w:rsidRPr="00EB38BC">
              <w:rPr>
                <w:b/>
                <w:bCs/>
                <w:sz w:val="20"/>
                <w:szCs w:val="20"/>
              </w:rPr>
              <w:t>-0,5</w:t>
            </w:r>
          </w:p>
        </w:tc>
        <w:tc>
          <w:tcPr>
            <w:tcW w:w="1099" w:type="dxa"/>
            <w:shd w:val="clear" w:color="auto" w:fill="DEEAF6" w:themeFill="accent1" w:themeFillTint="33"/>
            <w:noWrap/>
            <w:vAlign w:val="center"/>
          </w:tcPr>
          <w:p w14:paraId="73B70131" w14:textId="77777777" w:rsidR="006A1FC0" w:rsidRPr="00EB38BC" w:rsidRDefault="006A1FC0" w:rsidP="00A834DD">
            <w:pPr>
              <w:ind w:firstLine="0"/>
              <w:jc w:val="center"/>
              <w:rPr>
                <w:rFonts w:eastAsia="Times New Roman" w:cs="Times New Roman"/>
                <w:b/>
                <w:bCs/>
                <w:color w:val="000000"/>
                <w:sz w:val="18"/>
                <w:szCs w:val="18"/>
                <w:lang w:eastAsia="lv-LV"/>
              </w:rPr>
            </w:pPr>
            <w:r w:rsidRPr="00EB38BC">
              <w:rPr>
                <w:b/>
                <w:bCs/>
                <w:sz w:val="20"/>
                <w:szCs w:val="20"/>
              </w:rPr>
              <w:t>-0,5</w:t>
            </w:r>
          </w:p>
        </w:tc>
        <w:tc>
          <w:tcPr>
            <w:tcW w:w="1098" w:type="dxa"/>
            <w:shd w:val="clear" w:color="auto" w:fill="DEEAF6" w:themeFill="accent1" w:themeFillTint="33"/>
            <w:noWrap/>
            <w:vAlign w:val="center"/>
          </w:tcPr>
          <w:p w14:paraId="4EB5BBBF" w14:textId="77777777" w:rsidR="006A1FC0" w:rsidRPr="00EB38BC" w:rsidRDefault="006A1FC0" w:rsidP="00A834DD">
            <w:pPr>
              <w:ind w:firstLine="0"/>
              <w:jc w:val="center"/>
              <w:rPr>
                <w:rFonts w:eastAsia="Times New Roman" w:cs="Times New Roman"/>
                <w:b/>
                <w:bCs/>
                <w:color w:val="000000"/>
                <w:sz w:val="18"/>
                <w:szCs w:val="18"/>
                <w:lang w:eastAsia="lv-LV"/>
              </w:rPr>
            </w:pPr>
            <w:r w:rsidRPr="00EB38BC">
              <w:rPr>
                <w:b/>
                <w:bCs/>
                <w:sz w:val="20"/>
                <w:szCs w:val="20"/>
              </w:rPr>
              <w:t>-0,5</w:t>
            </w:r>
          </w:p>
        </w:tc>
        <w:tc>
          <w:tcPr>
            <w:tcW w:w="1099" w:type="dxa"/>
            <w:shd w:val="clear" w:color="auto" w:fill="DEEAF6" w:themeFill="accent1" w:themeFillTint="33"/>
            <w:noWrap/>
            <w:vAlign w:val="center"/>
          </w:tcPr>
          <w:p w14:paraId="2CF06D79" w14:textId="77777777" w:rsidR="006A1FC0" w:rsidRPr="00EB38BC" w:rsidRDefault="006A1FC0" w:rsidP="00A834DD">
            <w:pPr>
              <w:ind w:firstLine="0"/>
              <w:jc w:val="center"/>
              <w:rPr>
                <w:rFonts w:eastAsia="Times New Roman" w:cs="Times New Roman"/>
                <w:b/>
                <w:bCs/>
                <w:color w:val="000000"/>
                <w:sz w:val="18"/>
                <w:szCs w:val="18"/>
                <w:lang w:eastAsia="lv-LV"/>
              </w:rPr>
            </w:pPr>
            <w:r w:rsidRPr="00EB38BC">
              <w:rPr>
                <w:b/>
                <w:bCs/>
                <w:sz w:val="20"/>
                <w:szCs w:val="20"/>
              </w:rPr>
              <w:t>0,0</w:t>
            </w:r>
          </w:p>
        </w:tc>
      </w:tr>
    </w:tbl>
    <w:p w14:paraId="4CB1E98C" w14:textId="77777777" w:rsidR="006A1FC0" w:rsidRPr="006A1FC0" w:rsidRDefault="006A1FC0" w:rsidP="001D1B17">
      <w:pPr>
        <w:ind w:firstLine="0"/>
        <w:rPr>
          <w:noProof/>
          <w:sz w:val="24"/>
          <w:szCs w:val="20"/>
          <w:highlight w:val="yellow"/>
          <w:lang w:eastAsia="lv-LV"/>
        </w:rPr>
      </w:pPr>
      <w:bookmarkStart w:id="30" w:name="_Toc98250548"/>
    </w:p>
    <w:p w14:paraId="202ED27B" w14:textId="474DAAEC" w:rsidR="006A1FC0" w:rsidRPr="006A1FC0" w:rsidRDefault="006A1FC0" w:rsidP="006A1FC0">
      <w:pPr>
        <w:spacing w:after="120"/>
        <w:rPr>
          <w:rFonts w:cs="Times New Roman"/>
          <w:b/>
          <w:bCs/>
          <w:sz w:val="24"/>
          <w:szCs w:val="24"/>
          <w:u w:val="single"/>
        </w:rPr>
      </w:pPr>
      <w:r>
        <w:rPr>
          <w:rFonts w:cs="Times New Roman"/>
          <w:b/>
          <w:bCs/>
          <w:sz w:val="24"/>
          <w:szCs w:val="24"/>
          <w:u w:val="single"/>
        </w:rPr>
        <w:t>Stabilitātes programmas fiskālā trajektorija</w:t>
      </w:r>
    </w:p>
    <w:p w14:paraId="6A22C51B" w14:textId="53F6B896" w:rsidR="006A1FC0" w:rsidRPr="001D1B17" w:rsidRDefault="006A1FC0" w:rsidP="001D1B17">
      <w:pPr>
        <w:spacing w:after="120"/>
        <w:rPr>
          <w:rFonts w:cs="Times New Roman"/>
          <w:sz w:val="24"/>
          <w:szCs w:val="24"/>
        </w:rPr>
      </w:pPr>
      <w:r>
        <w:rPr>
          <w:rFonts w:cs="Times New Roman"/>
          <w:sz w:val="24"/>
          <w:szCs w:val="24"/>
        </w:rPr>
        <w:t xml:space="preserve">Ņemot vērā, ka saskaņā ar ES </w:t>
      </w:r>
      <w:r w:rsidRPr="00D560FE">
        <w:rPr>
          <w:rFonts w:cs="Times New Roman"/>
          <w:sz w:val="24"/>
          <w:szCs w:val="24"/>
        </w:rPr>
        <w:t>metodoloģiju 3.1. tabulā</w:t>
      </w:r>
      <w:r>
        <w:rPr>
          <w:rFonts w:cs="Times New Roman"/>
          <w:sz w:val="24"/>
          <w:szCs w:val="24"/>
        </w:rPr>
        <w:t xml:space="preserve"> norādītie izdevumi netiek izslēgti no strukturālās bilances aprēķina, 2023. gada vispārējās valdības </w:t>
      </w:r>
      <w:r w:rsidR="001D1B17">
        <w:rPr>
          <w:rFonts w:cs="Times New Roman"/>
          <w:sz w:val="24"/>
          <w:szCs w:val="24"/>
        </w:rPr>
        <w:t>strukturālā</w:t>
      </w:r>
      <w:r>
        <w:rPr>
          <w:rFonts w:cs="Times New Roman"/>
          <w:sz w:val="24"/>
          <w:szCs w:val="24"/>
        </w:rPr>
        <w:t xml:space="preserve"> bilance ir -3,5% no IKP</w:t>
      </w:r>
      <w:r w:rsidR="001D1B17" w:rsidRPr="001D1B17">
        <w:rPr>
          <w:rFonts w:cs="Times New Roman"/>
          <w:sz w:val="24"/>
          <w:szCs w:val="24"/>
        </w:rPr>
        <w:t xml:space="preserve"> </w:t>
      </w:r>
      <w:r w:rsidR="001D1B17">
        <w:rPr>
          <w:rFonts w:cs="Times New Roman"/>
          <w:sz w:val="24"/>
          <w:szCs w:val="24"/>
        </w:rPr>
        <w:t>(saskaņā ar ES metodoloģiju)</w:t>
      </w:r>
      <w:r>
        <w:rPr>
          <w:rFonts w:cs="Times New Roman"/>
          <w:sz w:val="24"/>
          <w:szCs w:val="24"/>
        </w:rPr>
        <w:t>.</w:t>
      </w:r>
    </w:p>
    <w:p w14:paraId="784C4092" w14:textId="438C5D0C" w:rsidR="001D1B17" w:rsidRPr="001D1B17" w:rsidRDefault="001D1B17" w:rsidP="001D1B17">
      <w:pPr>
        <w:widowControl w:val="0"/>
        <w:spacing w:before="240" w:after="120"/>
        <w:ind w:firstLine="0"/>
        <w:jc w:val="right"/>
        <w:rPr>
          <w:rFonts w:eastAsia="Times New Roman" w:cs="Times New Roman"/>
          <w:b/>
          <w:sz w:val="24"/>
          <w:szCs w:val="24"/>
        </w:rPr>
      </w:pPr>
      <w:r w:rsidRPr="001D1B17">
        <w:rPr>
          <w:rFonts w:eastAsia="Times New Roman" w:cs="Times New Roman"/>
          <w:b/>
          <w:sz w:val="24"/>
          <w:szCs w:val="24"/>
        </w:rPr>
        <w:t>3.4. tabula. Vispārējās valdības strukturālās bilances mērķi</w:t>
      </w:r>
      <w:r w:rsidR="00ED52DF">
        <w:rPr>
          <w:rFonts w:eastAsia="Times New Roman" w:cs="Times New Roman"/>
          <w:b/>
          <w:sz w:val="24"/>
          <w:szCs w:val="24"/>
        </w:rPr>
        <w:t xml:space="preserve"> (ES metodoloģija)</w:t>
      </w:r>
    </w:p>
    <w:tbl>
      <w:tblPr>
        <w:tblW w:w="9067"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3397"/>
        <w:gridCol w:w="1276"/>
        <w:gridCol w:w="1098"/>
        <w:gridCol w:w="1099"/>
        <w:gridCol w:w="1098"/>
        <w:gridCol w:w="1099"/>
      </w:tblGrid>
      <w:tr w:rsidR="001D1B17" w:rsidRPr="001D1B17" w14:paraId="57E2D17E" w14:textId="77777777" w:rsidTr="00A834DD">
        <w:trPr>
          <w:trHeight w:val="310"/>
        </w:trPr>
        <w:tc>
          <w:tcPr>
            <w:tcW w:w="3397" w:type="dxa"/>
            <w:shd w:val="clear" w:color="auto" w:fill="BDD6EE" w:themeFill="accent1" w:themeFillTint="66"/>
            <w:noWrap/>
            <w:vAlign w:val="bottom"/>
            <w:hideMark/>
          </w:tcPr>
          <w:p w14:paraId="20561541" w14:textId="77777777" w:rsidR="001D1B17" w:rsidRPr="001D1B17" w:rsidRDefault="001D1B17" w:rsidP="00A834DD">
            <w:pPr>
              <w:ind w:firstLine="0"/>
              <w:jc w:val="left"/>
              <w:rPr>
                <w:rFonts w:eastAsia="Times New Roman" w:cs="Times New Roman"/>
                <w:color w:val="000000"/>
                <w:sz w:val="18"/>
                <w:szCs w:val="18"/>
                <w:lang w:eastAsia="lv-LV"/>
              </w:rPr>
            </w:pPr>
            <w:r w:rsidRPr="001D1B17">
              <w:rPr>
                <w:rFonts w:eastAsia="Times New Roman" w:cs="Times New Roman"/>
                <w:color w:val="000000"/>
                <w:sz w:val="18"/>
                <w:szCs w:val="18"/>
                <w:lang w:eastAsia="lv-LV"/>
              </w:rPr>
              <w:t> </w:t>
            </w:r>
          </w:p>
        </w:tc>
        <w:tc>
          <w:tcPr>
            <w:tcW w:w="1276" w:type="dxa"/>
            <w:shd w:val="clear" w:color="auto" w:fill="BDD6EE" w:themeFill="accent1" w:themeFillTint="66"/>
            <w:noWrap/>
            <w:vAlign w:val="bottom"/>
            <w:hideMark/>
          </w:tcPr>
          <w:p w14:paraId="217A2DF7" w14:textId="77777777" w:rsidR="001D1B17" w:rsidRPr="001D1B17" w:rsidRDefault="001D1B17" w:rsidP="00A834DD">
            <w:pPr>
              <w:ind w:firstLine="0"/>
              <w:jc w:val="left"/>
              <w:rPr>
                <w:rFonts w:eastAsia="Times New Roman" w:cs="Times New Roman"/>
                <w:color w:val="000000"/>
                <w:sz w:val="16"/>
                <w:szCs w:val="16"/>
                <w:lang w:eastAsia="lv-LV"/>
              </w:rPr>
            </w:pPr>
            <w:r w:rsidRPr="001D1B17">
              <w:rPr>
                <w:rFonts w:eastAsia="Times New Roman" w:cs="Times New Roman"/>
                <w:color w:val="000000"/>
                <w:sz w:val="16"/>
                <w:szCs w:val="16"/>
                <w:lang w:eastAsia="lv-LV"/>
              </w:rPr>
              <w:t> </w:t>
            </w:r>
          </w:p>
        </w:tc>
        <w:tc>
          <w:tcPr>
            <w:tcW w:w="1098" w:type="dxa"/>
            <w:shd w:val="clear" w:color="auto" w:fill="BDD6EE" w:themeFill="accent1" w:themeFillTint="66"/>
            <w:noWrap/>
            <w:vAlign w:val="center"/>
            <w:hideMark/>
          </w:tcPr>
          <w:p w14:paraId="67421DEA" w14:textId="77777777" w:rsidR="001D1B17" w:rsidRPr="001D1B17" w:rsidRDefault="001D1B17" w:rsidP="00A834DD">
            <w:pPr>
              <w:ind w:firstLine="0"/>
              <w:jc w:val="center"/>
              <w:rPr>
                <w:rFonts w:eastAsia="Times New Roman" w:cs="Times New Roman"/>
                <w:b/>
                <w:bCs/>
                <w:color w:val="000000"/>
                <w:sz w:val="18"/>
                <w:szCs w:val="18"/>
                <w:lang w:eastAsia="lv-LV"/>
              </w:rPr>
            </w:pPr>
            <w:r w:rsidRPr="001D1B17">
              <w:rPr>
                <w:rFonts w:eastAsia="Times New Roman" w:cs="Times New Roman"/>
                <w:b/>
                <w:bCs/>
                <w:color w:val="000000"/>
                <w:sz w:val="18"/>
                <w:szCs w:val="18"/>
                <w:lang w:eastAsia="lv-LV"/>
              </w:rPr>
              <w:t>2023</w:t>
            </w:r>
          </w:p>
        </w:tc>
        <w:tc>
          <w:tcPr>
            <w:tcW w:w="1099" w:type="dxa"/>
            <w:shd w:val="clear" w:color="auto" w:fill="BDD6EE" w:themeFill="accent1" w:themeFillTint="66"/>
            <w:noWrap/>
            <w:vAlign w:val="center"/>
            <w:hideMark/>
          </w:tcPr>
          <w:p w14:paraId="6E829B42" w14:textId="77777777" w:rsidR="001D1B17" w:rsidRPr="001D1B17" w:rsidRDefault="001D1B17" w:rsidP="00A834DD">
            <w:pPr>
              <w:ind w:firstLine="0"/>
              <w:jc w:val="center"/>
              <w:rPr>
                <w:rFonts w:eastAsia="Times New Roman" w:cs="Times New Roman"/>
                <w:b/>
                <w:bCs/>
                <w:color w:val="000000"/>
                <w:sz w:val="18"/>
                <w:szCs w:val="18"/>
                <w:lang w:eastAsia="lv-LV"/>
              </w:rPr>
            </w:pPr>
            <w:r w:rsidRPr="001D1B17">
              <w:rPr>
                <w:rFonts w:eastAsia="Times New Roman" w:cs="Times New Roman"/>
                <w:b/>
                <w:bCs/>
                <w:color w:val="000000"/>
                <w:sz w:val="18"/>
                <w:szCs w:val="18"/>
                <w:lang w:eastAsia="lv-LV"/>
              </w:rPr>
              <w:t>2024</w:t>
            </w:r>
          </w:p>
        </w:tc>
        <w:tc>
          <w:tcPr>
            <w:tcW w:w="1098" w:type="dxa"/>
            <w:shd w:val="clear" w:color="auto" w:fill="BDD6EE" w:themeFill="accent1" w:themeFillTint="66"/>
            <w:noWrap/>
            <w:vAlign w:val="center"/>
            <w:hideMark/>
          </w:tcPr>
          <w:p w14:paraId="238B197B" w14:textId="77777777" w:rsidR="001D1B17" w:rsidRPr="001D1B17" w:rsidRDefault="001D1B17" w:rsidP="00A834DD">
            <w:pPr>
              <w:ind w:firstLine="0"/>
              <w:jc w:val="center"/>
              <w:rPr>
                <w:rFonts w:eastAsia="Times New Roman" w:cs="Times New Roman"/>
                <w:b/>
                <w:bCs/>
                <w:color w:val="000000"/>
                <w:sz w:val="18"/>
                <w:szCs w:val="18"/>
                <w:lang w:eastAsia="lv-LV"/>
              </w:rPr>
            </w:pPr>
            <w:r w:rsidRPr="001D1B17">
              <w:rPr>
                <w:rFonts w:eastAsia="Times New Roman" w:cs="Times New Roman"/>
                <w:b/>
                <w:bCs/>
                <w:color w:val="000000"/>
                <w:sz w:val="18"/>
                <w:szCs w:val="18"/>
                <w:lang w:eastAsia="lv-LV"/>
              </w:rPr>
              <w:t>2025</w:t>
            </w:r>
          </w:p>
        </w:tc>
        <w:tc>
          <w:tcPr>
            <w:tcW w:w="1099" w:type="dxa"/>
            <w:shd w:val="clear" w:color="auto" w:fill="BDD6EE" w:themeFill="accent1" w:themeFillTint="66"/>
            <w:noWrap/>
            <w:vAlign w:val="center"/>
            <w:hideMark/>
          </w:tcPr>
          <w:p w14:paraId="2A5D49BE" w14:textId="77777777" w:rsidR="001D1B17" w:rsidRPr="001D1B17" w:rsidRDefault="001D1B17" w:rsidP="00A834DD">
            <w:pPr>
              <w:ind w:firstLine="0"/>
              <w:jc w:val="center"/>
              <w:rPr>
                <w:rFonts w:eastAsia="Times New Roman" w:cs="Times New Roman"/>
                <w:b/>
                <w:bCs/>
                <w:color w:val="000000"/>
                <w:sz w:val="18"/>
                <w:szCs w:val="18"/>
                <w:lang w:eastAsia="lv-LV"/>
              </w:rPr>
            </w:pPr>
            <w:r w:rsidRPr="001D1B17">
              <w:rPr>
                <w:rFonts w:eastAsia="Times New Roman" w:cs="Times New Roman"/>
                <w:b/>
                <w:bCs/>
                <w:color w:val="000000"/>
                <w:sz w:val="18"/>
                <w:szCs w:val="18"/>
                <w:lang w:eastAsia="lv-LV"/>
              </w:rPr>
              <w:t>2026</w:t>
            </w:r>
          </w:p>
        </w:tc>
      </w:tr>
      <w:tr w:rsidR="001D1B17" w:rsidRPr="001D1B17" w14:paraId="54017EDA" w14:textId="77777777" w:rsidTr="00A834DD">
        <w:trPr>
          <w:trHeight w:val="300"/>
        </w:trPr>
        <w:tc>
          <w:tcPr>
            <w:tcW w:w="3397" w:type="dxa"/>
            <w:shd w:val="clear" w:color="auto" w:fill="auto"/>
            <w:noWrap/>
            <w:vAlign w:val="bottom"/>
          </w:tcPr>
          <w:p w14:paraId="338BB5F3" w14:textId="77777777" w:rsidR="001D1B17" w:rsidRPr="001D1B17" w:rsidRDefault="001D1B17" w:rsidP="00A834DD">
            <w:pPr>
              <w:ind w:firstLine="0"/>
              <w:jc w:val="left"/>
              <w:rPr>
                <w:rFonts w:eastAsia="Times New Roman" w:cs="Times New Roman"/>
                <w:b/>
                <w:bCs/>
                <w:color w:val="000000"/>
                <w:sz w:val="18"/>
                <w:szCs w:val="18"/>
                <w:lang w:eastAsia="lv-LV"/>
              </w:rPr>
            </w:pPr>
            <w:r w:rsidRPr="001D1B17">
              <w:rPr>
                <w:b/>
                <w:bCs/>
                <w:color w:val="000000"/>
                <w:sz w:val="20"/>
                <w:szCs w:val="20"/>
              </w:rPr>
              <w:t xml:space="preserve">IKP prognoze, milj. </w:t>
            </w:r>
            <w:proofErr w:type="spellStart"/>
            <w:r w:rsidRPr="001D1B17">
              <w:rPr>
                <w:b/>
                <w:bCs/>
                <w:i/>
                <w:iCs/>
                <w:color w:val="000000"/>
                <w:sz w:val="20"/>
                <w:szCs w:val="20"/>
              </w:rPr>
              <w:t>euro</w:t>
            </w:r>
            <w:proofErr w:type="spellEnd"/>
          </w:p>
        </w:tc>
        <w:tc>
          <w:tcPr>
            <w:tcW w:w="1276" w:type="dxa"/>
            <w:shd w:val="clear" w:color="auto" w:fill="auto"/>
            <w:noWrap/>
            <w:vAlign w:val="bottom"/>
            <w:hideMark/>
          </w:tcPr>
          <w:p w14:paraId="11D009B1" w14:textId="77777777" w:rsidR="001D1B17" w:rsidRPr="001D1B17" w:rsidRDefault="001D1B17" w:rsidP="00A834DD">
            <w:pPr>
              <w:ind w:firstLine="0"/>
              <w:jc w:val="left"/>
              <w:rPr>
                <w:rFonts w:eastAsia="Times New Roman" w:cs="Times New Roman"/>
                <w:color w:val="000000"/>
                <w:sz w:val="16"/>
                <w:szCs w:val="16"/>
                <w:lang w:eastAsia="lv-LV"/>
              </w:rPr>
            </w:pPr>
            <w:r w:rsidRPr="001D1B17">
              <w:rPr>
                <w:rFonts w:eastAsia="Times New Roman" w:cs="Times New Roman"/>
                <w:color w:val="000000"/>
                <w:sz w:val="16"/>
                <w:szCs w:val="16"/>
                <w:lang w:eastAsia="lv-LV"/>
              </w:rPr>
              <w:t>(1)</w:t>
            </w:r>
          </w:p>
        </w:tc>
        <w:tc>
          <w:tcPr>
            <w:tcW w:w="1098" w:type="dxa"/>
            <w:shd w:val="clear" w:color="auto" w:fill="auto"/>
            <w:noWrap/>
            <w:vAlign w:val="center"/>
          </w:tcPr>
          <w:p w14:paraId="751079AE" w14:textId="77777777" w:rsidR="001D1B17" w:rsidRPr="001D1B17" w:rsidRDefault="001D1B17" w:rsidP="00A834DD">
            <w:pPr>
              <w:ind w:firstLine="0"/>
              <w:jc w:val="center"/>
              <w:rPr>
                <w:rFonts w:eastAsia="Times New Roman" w:cs="Times New Roman"/>
                <w:b/>
                <w:bCs/>
                <w:color w:val="000000"/>
                <w:sz w:val="18"/>
                <w:szCs w:val="18"/>
                <w:lang w:eastAsia="lv-LV"/>
              </w:rPr>
            </w:pPr>
            <w:r w:rsidRPr="001D1B17">
              <w:rPr>
                <w:b/>
                <w:bCs/>
                <w:sz w:val="20"/>
                <w:szCs w:val="20"/>
              </w:rPr>
              <w:t>43637</w:t>
            </w:r>
          </w:p>
        </w:tc>
        <w:tc>
          <w:tcPr>
            <w:tcW w:w="1099" w:type="dxa"/>
            <w:shd w:val="clear" w:color="auto" w:fill="E7E6E6" w:themeFill="background2"/>
            <w:noWrap/>
            <w:vAlign w:val="center"/>
            <w:hideMark/>
          </w:tcPr>
          <w:p w14:paraId="1418F2C3" w14:textId="77777777" w:rsidR="001D1B17" w:rsidRPr="001D1B17" w:rsidRDefault="001D1B17" w:rsidP="00A834DD">
            <w:pPr>
              <w:ind w:firstLine="0"/>
              <w:jc w:val="center"/>
              <w:rPr>
                <w:rFonts w:eastAsia="Times New Roman" w:cs="Times New Roman"/>
                <w:color w:val="000000"/>
                <w:sz w:val="18"/>
                <w:szCs w:val="18"/>
                <w:lang w:eastAsia="lv-LV"/>
              </w:rPr>
            </w:pPr>
            <w:r w:rsidRPr="001D1B17">
              <w:rPr>
                <w:rFonts w:eastAsia="Times New Roman" w:cs="Times New Roman"/>
                <w:color w:val="000000"/>
                <w:sz w:val="18"/>
                <w:szCs w:val="18"/>
                <w:lang w:eastAsia="lv-LV"/>
              </w:rPr>
              <w:t> </w:t>
            </w:r>
          </w:p>
        </w:tc>
        <w:tc>
          <w:tcPr>
            <w:tcW w:w="1098" w:type="dxa"/>
            <w:shd w:val="clear" w:color="auto" w:fill="E7E6E6" w:themeFill="background2"/>
            <w:noWrap/>
            <w:vAlign w:val="center"/>
            <w:hideMark/>
          </w:tcPr>
          <w:p w14:paraId="1C25E1B5" w14:textId="77777777" w:rsidR="001D1B17" w:rsidRPr="001D1B17" w:rsidRDefault="001D1B17" w:rsidP="00A834DD">
            <w:pPr>
              <w:ind w:firstLine="0"/>
              <w:jc w:val="center"/>
              <w:rPr>
                <w:rFonts w:eastAsia="Times New Roman" w:cs="Times New Roman"/>
                <w:color w:val="000000"/>
                <w:sz w:val="18"/>
                <w:szCs w:val="18"/>
                <w:lang w:eastAsia="lv-LV"/>
              </w:rPr>
            </w:pPr>
            <w:r w:rsidRPr="001D1B17">
              <w:rPr>
                <w:rFonts w:eastAsia="Times New Roman" w:cs="Times New Roman"/>
                <w:color w:val="000000"/>
                <w:sz w:val="18"/>
                <w:szCs w:val="18"/>
                <w:lang w:eastAsia="lv-LV"/>
              </w:rPr>
              <w:t> </w:t>
            </w:r>
          </w:p>
        </w:tc>
        <w:tc>
          <w:tcPr>
            <w:tcW w:w="1099" w:type="dxa"/>
            <w:shd w:val="clear" w:color="auto" w:fill="E7E6E6" w:themeFill="background2"/>
            <w:noWrap/>
            <w:vAlign w:val="center"/>
            <w:hideMark/>
          </w:tcPr>
          <w:p w14:paraId="74509F70" w14:textId="77777777" w:rsidR="001D1B17" w:rsidRPr="001D1B17" w:rsidRDefault="001D1B17" w:rsidP="00A834DD">
            <w:pPr>
              <w:ind w:firstLine="0"/>
              <w:jc w:val="center"/>
              <w:rPr>
                <w:rFonts w:eastAsia="Times New Roman" w:cs="Times New Roman"/>
                <w:color w:val="000000"/>
                <w:sz w:val="18"/>
                <w:szCs w:val="18"/>
                <w:lang w:eastAsia="lv-LV"/>
              </w:rPr>
            </w:pPr>
            <w:r w:rsidRPr="001D1B17">
              <w:rPr>
                <w:rFonts w:eastAsia="Times New Roman" w:cs="Times New Roman"/>
                <w:color w:val="000000"/>
                <w:sz w:val="18"/>
                <w:szCs w:val="18"/>
                <w:lang w:eastAsia="lv-LV"/>
              </w:rPr>
              <w:t> </w:t>
            </w:r>
          </w:p>
        </w:tc>
      </w:tr>
      <w:tr w:rsidR="001D1B17" w:rsidRPr="001D1B17" w14:paraId="24A93AA5" w14:textId="77777777" w:rsidTr="00A834DD">
        <w:trPr>
          <w:trHeight w:val="300"/>
        </w:trPr>
        <w:tc>
          <w:tcPr>
            <w:tcW w:w="3397" w:type="dxa"/>
            <w:shd w:val="clear" w:color="auto" w:fill="auto"/>
            <w:noWrap/>
            <w:vAlign w:val="bottom"/>
          </w:tcPr>
          <w:p w14:paraId="586C5214" w14:textId="77777777" w:rsidR="001D1B17" w:rsidRPr="001D1B17" w:rsidRDefault="001D1B17" w:rsidP="00A834DD">
            <w:pPr>
              <w:ind w:firstLine="0"/>
              <w:jc w:val="left"/>
              <w:rPr>
                <w:rFonts w:eastAsia="Times New Roman" w:cs="Times New Roman"/>
                <w:b/>
                <w:bCs/>
                <w:color w:val="000000"/>
                <w:sz w:val="18"/>
                <w:szCs w:val="18"/>
                <w:lang w:eastAsia="lv-LV"/>
              </w:rPr>
            </w:pPr>
            <w:r w:rsidRPr="001D1B17">
              <w:rPr>
                <w:b/>
                <w:bCs/>
                <w:color w:val="000000"/>
                <w:sz w:val="20"/>
                <w:szCs w:val="20"/>
              </w:rPr>
              <w:t xml:space="preserve">2023. gada vispārējās valdības budžeta bilance, milj. </w:t>
            </w:r>
            <w:proofErr w:type="spellStart"/>
            <w:r w:rsidRPr="001D1B17">
              <w:rPr>
                <w:b/>
                <w:bCs/>
                <w:i/>
                <w:iCs/>
                <w:color w:val="000000"/>
                <w:sz w:val="20"/>
                <w:szCs w:val="20"/>
              </w:rPr>
              <w:t>euro</w:t>
            </w:r>
            <w:proofErr w:type="spellEnd"/>
          </w:p>
        </w:tc>
        <w:tc>
          <w:tcPr>
            <w:tcW w:w="1276" w:type="dxa"/>
            <w:shd w:val="clear" w:color="auto" w:fill="auto"/>
            <w:noWrap/>
            <w:vAlign w:val="bottom"/>
            <w:hideMark/>
          </w:tcPr>
          <w:p w14:paraId="4E959DC9" w14:textId="77777777" w:rsidR="001D1B17" w:rsidRPr="001D1B17" w:rsidRDefault="001D1B17" w:rsidP="00A834DD">
            <w:pPr>
              <w:ind w:firstLine="0"/>
              <w:jc w:val="left"/>
              <w:rPr>
                <w:rFonts w:eastAsia="Times New Roman" w:cs="Times New Roman"/>
                <w:color w:val="000000"/>
                <w:sz w:val="16"/>
                <w:szCs w:val="16"/>
                <w:lang w:eastAsia="lv-LV"/>
              </w:rPr>
            </w:pPr>
            <w:r w:rsidRPr="001D1B17">
              <w:rPr>
                <w:rFonts w:eastAsia="Times New Roman" w:cs="Times New Roman"/>
                <w:color w:val="000000"/>
                <w:sz w:val="16"/>
                <w:szCs w:val="16"/>
                <w:lang w:eastAsia="lv-LV"/>
              </w:rPr>
              <w:t>(2)</w:t>
            </w:r>
          </w:p>
        </w:tc>
        <w:tc>
          <w:tcPr>
            <w:tcW w:w="1098" w:type="dxa"/>
            <w:shd w:val="clear" w:color="auto" w:fill="auto"/>
            <w:noWrap/>
            <w:vAlign w:val="center"/>
          </w:tcPr>
          <w:p w14:paraId="5CD2FDA9" w14:textId="77777777" w:rsidR="001D1B17" w:rsidRPr="001D1B17" w:rsidRDefault="001D1B17" w:rsidP="00A834DD">
            <w:pPr>
              <w:ind w:firstLine="0"/>
              <w:jc w:val="center"/>
              <w:rPr>
                <w:rFonts w:eastAsia="Times New Roman" w:cs="Times New Roman"/>
                <w:b/>
                <w:bCs/>
                <w:color w:val="000000"/>
                <w:sz w:val="18"/>
                <w:szCs w:val="18"/>
                <w:lang w:eastAsia="lv-LV"/>
              </w:rPr>
            </w:pPr>
            <w:r w:rsidRPr="001D1B17">
              <w:rPr>
                <w:b/>
                <w:bCs/>
                <w:sz w:val="20"/>
                <w:szCs w:val="20"/>
              </w:rPr>
              <w:t>-1753,3</w:t>
            </w:r>
          </w:p>
        </w:tc>
        <w:tc>
          <w:tcPr>
            <w:tcW w:w="1099" w:type="dxa"/>
            <w:shd w:val="clear" w:color="auto" w:fill="E7E6E6" w:themeFill="background2"/>
            <w:noWrap/>
            <w:vAlign w:val="center"/>
            <w:hideMark/>
          </w:tcPr>
          <w:p w14:paraId="255A2DD7" w14:textId="77777777" w:rsidR="001D1B17" w:rsidRPr="001D1B17" w:rsidRDefault="001D1B17" w:rsidP="00A834DD">
            <w:pPr>
              <w:ind w:firstLine="0"/>
              <w:jc w:val="center"/>
              <w:rPr>
                <w:rFonts w:eastAsia="Times New Roman" w:cs="Times New Roman"/>
                <w:color w:val="000000"/>
                <w:sz w:val="18"/>
                <w:szCs w:val="18"/>
                <w:lang w:eastAsia="lv-LV"/>
              </w:rPr>
            </w:pPr>
            <w:r w:rsidRPr="001D1B17">
              <w:rPr>
                <w:rFonts w:eastAsia="Times New Roman" w:cs="Times New Roman"/>
                <w:color w:val="000000"/>
                <w:sz w:val="18"/>
                <w:szCs w:val="18"/>
                <w:lang w:eastAsia="lv-LV"/>
              </w:rPr>
              <w:t> </w:t>
            </w:r>
          </w:p>
        </w:tc>
        <w:tc>
          <w:tcPr>
            <w:tcW w:w="1098" w:type="dxa"/>
            <w:shd w:val="clear" w:color="auto" w:fill="E7E6E6" w:themeFill="background2"/>
            <w:noWrap/>
            <w:vAlign w:val="center"/>
            <w:hideMark/>
          </w:tcPr>
          <w:p w14:paraId="0F9D44BC" w14:textId="77777777" w:rsidR="001D1B17" w:rsidRPr="001D1B17" w:rsidRDefault="001D1B17" w:rsidP="00A834DD">
            <w:pPr>
              <w:ind w:firstLine="0"/>
              <w:jc w:val="center"/>
              <w:rPr>
                <w:rFonts w:eastAsia="Times New Roman" w:cs="Times New Roman"/>
                <w:color w:val="000000"/>
                <w:sz w:val="18"/>
                <w:szCs w:val="18"/>
                <w:lang w:eastAsia="lv-LV"/>
              </w:rPr>
            </w:pPr>
            <w:r w:rsidRPr="001D1B17">
              <w:rPr>
                <w:rFonts w:eastAsia="Times New Roman" w:cs="Times New Roman"/>
                <w:color w:val="000000"/>
                <w:sz w:val="18"/>
                <w:szCs w:val="18"/>
                <w:lang w:eastAsia="lv-LV"/>
              </w:rPr>
              <w:t> </w:t>
            </w:r>
          </w:p>
        </w:tc>
        <w:tc>
          <w:tcPr>
            <w:tcW w:w="1099" w:type="dxa"/>
            <w:shd w:val="clear" w:color="auto" w:fill="E7E6E6" w:themeFill="background2"/>
            <w:noWrap/>
            <w:vAlign w:val="center"/>
            <w:hideMark/>
          </w:tcPr>
          <w:p w14:paraId="1F62998B" w14:textId="77777777" w:rsidR="001D1B17" w:rsidRPr="001D1B17" w:rsidRDefault="001D1B17" w:rsidP="00A834DD">
            <w:pPr>
              <w:ind w:firstLine="0"/>
              <w:jc w:val="center"/>
              <w:rPr>
                <w:rFonts w:eastAsia="Times New Roman" w:cs="Times New Roman"/>
                <w:color w:val="000000"/>
                <w:sz w:val="18"/>
                <w:szCs w:val="18"/>
                <w:lang w:eastAsia="lv-LV"/>
              </w:rPr>
            </w:pPr>
            <w:r w:rsidRPr="001D1B17">
              <w:rPr>
                <w:rFonts w:eastAsia="Times New Roman" w:cs="Times New Roman"/>
                <w:color w:val="000000"/>
                <w:sz w:val="18"/>
                <w:szCs w:val="18"/>
                <w:lang w:eastAsia="lv-LV"/>
              </w:rPr>
              <w:t> </w:t>
            </w:r>
          </w:p>
        </w:tc>
      </w:tr>
      <w:tr w:rsidR="001D1B17" w:rsidRPr="001D1B17" w14:paraId="057FE262" w14:textId="77777777" w:rsidTr="00A834DD">
        <w:trPr>
          <w:trHeight w:val="300"/>
        </w:trPr>
        <w:tc>
          <w:tcPr>
            <w:tcW w:w="3397" w:type="dxa"/>
            <w:shd w:val="clear" w:color="auto" w:fill="auto"/>
            <w:noWrap/>
            <w:vAlign w:val="bottom"/>
          </w:tcPr>
          <w:p w14:paraId="0B3B9AEB" w14:textId="77777777" w:rsidR="001D1B17" w:rsidRPr="001D1B17" w:rsidRDefault="001D1B17" w:rsidP="00A834DD">
            <w:pPr>
              <w:ind w:firstLine="0"/>
              <w:jc w:val="left"/>
              <w:rPr>
                <w:rFonts w:eastAsia="Times New Roman" w:cs="Times New Roman"/>
                <w:b/>
                <w:bCs/>
                <w:color w:val="000000"/>
                <w:sz w:val="18"/>
                <w:szCs w:val="18"/>
                <w:lang w:eastAsia="lv-LV"/>
              </w:rPr>
            </w:pPr>
            <w:r w:rsidRPr="001D1B17">
              <w:rPr>
                <w:b/>
                <w:bCs/>
                <w:color w:val="000000"/>
                <w:sz w:val="20"/>
                <w:szCs w:val="20"/>
              </w:rPr>
              <w:t>2023. gada vispārējās valdības budžeta bilance, % IKP</w:t>
            </w:r>
          </w:p>
        </w:tc>
        <w:tc>
          <w:tcPr>
            <w:tcW w:w="1276" w:type="dxa"/>
            <w:shd w:val="clear" w:color="auto" w:fill="auto"/>
            <w:noWrap/>
            <w:vAlign w:val="bottom"/>
            <w:hideMark/>
          </w:tcPr>
          <w:p w14:paraId="08B2EE16" w14:textId="77777777" w:rsidR="001D1B17" w:rsidRPr="001D1B17" w:rsidRDefault="001D1B17" w:rsidP="00A834DD">
            <w:pPr>
              <w:ind w:firstLine="0"/>
              <w:jc w:val="left"/>
              <w:rPr>
                <w:rFonts w:eastAsia="Times New Roman" w:cs="Times New Roman"/>
                <w:color w:val="000000"/>
                <w:sz w:val="16"/>
                <w:szCs w:val="16"/>
                <w:lang w:eastAsia="lv-LV"/>
              </w:rPr>
            </w:pPr>
            <w:r w:rsidRPr="001D1B17">
              <w:rPr>
                <w:rFonts w:eastAsia="Times New Roman" w:cs="Times New Roman"/>
                <w:color w:val="000000"/>
                <w:sz w:val="16"/>
                <w:szCs w:val="16"/>
                <w:lang w:eastAsia="lv-LV"/>
              </w:rPr>
              <w:t>(3)=(2)/(1)*100</w:t>
            </w:r>
          </w:p>
        </w:tc>
        <w:tc>
          <w:tcPr>
            <w:tcW w:w="1098" w:type="dxa"/>
            <w:shd w:val="clear" w:color="auto" w:fill="auto"/>
            <w:noWrap/>
            <w:vAlign w:val="center"/>
          </w:tcPr>
          <w:p w14:paraId="536464C2" w14:textId="77777777" w:rsidR="001D1B17" w:rsidRPr="001D1B17" w:rsidRDefault="001D1B17" w:rsidP="00A834DD">
            <w:pPr>
              <w:ind w:firstLine="0"/>
              <w:jc w:val="center"/>
              <w:rPr>
                <w:rFonts w:eastAsia="Times New Roman" w:cs="Times New Roman"/>
                <w:b/>
                <w:bCs/>
                <w:color w:val="000000"/>
                <w:sz w:val="18"/>
                <w:szCs w:val="18"/>
                <w:lang w:eastAsia="lv-LV"/>
              </w:rPr>
            </w:pPr>
            <w:r w:rsidRPr="001D1B17">
              <w:rPr>
                <w:b/>
                <w:bCs/>
                <w:sz w:val="20"/>
                <w:szCs w:val="20"/>
              </w:rPr>
              <w:t>-4,0</w:t>
            </w:r>
          </w:p>
        </w:tc>
        <w:tc>
          <w:tcPr>
            <w:tcW w:w="1099" w:type="dxa"/>
            <w:shd w:val="clear" w:color="auto" w:fill="E7E6E6" w:themeFill="background2"/>
            <w:noWrap/>
            <w:vAlign w:val="center"/>
            <w:hideMark/>
          </w:tcPr>
          <w:p w14:paraId="4D7A4B1B" w14:textId="77777777" w:rsidR="001D1B17" w:rsidRPr="001D1B17" w:rsidRDefault="001D1B17" w:rsidP="00A834DD">
            <w:pPr>
              <w:ind w:firstLine="0"/>
              <w:jc w:val="center"/>
              <w:rPr>
                <w:rFonts w:eastAsia="Times New Roman" w:cs="Times New Roman"/>
                <w:color w:val="000000"/>
                <w:sz w:val="18"/>
                <w:szCs w:val="18"/>
                <w:lang w:eastAsia="lv-LV"/>
              </w:rPr>
            </w:pPr>
            <w:r w:rsidRPr="001D1B17">
              <w:rPr>
                <w:rFonts w:eastAsia="Times New Roman" w:cs="Times New Roman"/>
                <w:color w:val="000000"/>
                <w:sz w:val="18"/>
                <w:szCs w:val="18"/>
                <w:lang w:eastAsia="lv-LV"/>
              </w:rPr>
              <w:t> </w:t>
            </w:r>
          </w:p>
        </w:tc>
        <w:tc>
          <w:tcPr>
            <w:tcW w:w="1098" w:type="dxa"/>
            <w:shd w:val="clear" w:color="auto" w:fill="E7E6E6" w:themeFill="background2"/>
            <w:noWrap/>
            <w:vAlign w:val="center"/>
            <w:hideMark/>
          </w:tcPr>
          <w:p w14:paraId="67A02279" w14:textId="77777777" w:rsidR="001D1B17" w:rsidRPr="001D1B17" w:rsidRDefault="001D1B17" w:rsidP="00A834DD">
            <w:pPr>
              <w:ind w:firstLine="0"/>
              <w:jc w:val="center"/>
              <w:rPr>
                <w:rFonts w:eastAsia="Times New Roman" w:cs="Times New Roman"/>
                <w:color w:val="000000"/>
                <w:sz w:val="18"/>
                <w:szCs w:val="18"/>
                <w:lang w:eastAsia="lv-LV"/>
              </w:rPr>
            </w:pPr>
            <w:r w:rsidRPr="001D1B17">
              <w:rPr>
                <w:rFonts w:eastAsia="Times New Roman" w:cs="Times New Roman"/>
                <w:color w:val="000000"/>
                <w:sz w:val="18"/>
                <w:szCs w:val="18"/>
                <w:lang w:eastAsia="lv-LV"/>
              </w:rPr>
              <w:t> </w:t>
            </w:r>
          </w:p>
        </w:tc>
        <w:tc>
          <w:tcPr>
            <w:tcW w:w="1099" w:type="dxa"/>
            <w:shd w:val="clear" w:color="auto" w:fill="E7E6E6" w:themeFill="background2"/>
            <w:noWrap/>
            <w:vAlign w:val="center"/>
            <w:hideMark/>
          </w:tcPr>
          <w:p w14:paraId="055769BB" w14:textId="77777777" w:rsidR="001D1B17" w:rsidRPr="001D1B17" w:rsidRDefault="001D1B17" w:rsidP="00A834DD">
            <w:pPr>
              <w:ind w:firstLine="0"/>
              <w:jc w:val="center"/>
              <w:rPr>
                <w:rFonts w:eastAsia="Times New Roman" w:cs="Times New Roman"/>
                <w:color w:val="000000"/>
                <w:sz w:val="18"/>
                <w:szCs w:val="18"/>
                <w:lang w:eastAsia="lv-LV"/>
              </w:rPr>
            </w:pPr>
            <w:r w:rsidRPr="001D1B17">
              <w:rPr>
                <w:rFonts w:eastAsia="Times New Roman" w:cs="Times New Roman"/>
                <w:color w:val="000000"/>
                <w:sz w:val="18"/>
                <w:szCs w:val="18"/>
                <w:lang w:eastAsia="lv-LV"/>
              </w:rPr>
              <w:t> </w:t>
            </w:r>
          </w:p>
        </w:tc>
      </w:tr>
      <w:tr w:rsidR="001D1B17" w:rsidRPr="001D1B17" w14:paraId="52CE9FF1" w14:textId="77777777" w:rsidTr="00A834DD">
        <w:trPr>
          <w:trHeight w:val="300"/>
        </w:trPr>
        <w:tc>
          <w:tcPr>
            <w:tcW w:w="3397" w:type="dxa"/>
            <w:shd w:val="clear" w:color="auto" w:fill="auto"/>
            <w:noWrap/>
            <w:vAlign w:val="bottom"/>
          </w:tcPr>
          <w:p w14:paraId="161C8CF7" w14:textId="77777777" w:rsidR="001D1B17" w:rsidRPr="001D1B17" w:rsidRDefault="001D1B17" w:rsidP="00A834DD">
            <w:pPr>
              <w:ind w:firstLine="0"/>
              <w:jc w:val="left"/>
              <w:rPr>
                <w:rFonts w:eastAsia="Times New Roman" w:cs="Times New Roman"/>
                <w:b/>
                <w:bCs/>
                <w:color w:val="000000"/>
                <w:sz w:val="18"/>
                <w:szCs w:val="18"/>
                <w:lang w:eastAsia="lv-LV"/>
              </w:rPr>
            </w:pPr>
            <w:r w:rsidRPr="001D1B17">
              <w:rPr>
                <w:b/>
                <w:bCs/>
                <w:color w:val="000000"/>
                <w:sz w:val="20"/>
                <w:szCs w:val="20"/>
              </w:rPr>
              <w:t>Izlaižu starpība, % no potenciālā IKP</w:t>
            </w:r>
          </w:p>
        </w:tc>
        <w:tc>
          <w:tcPr>
            <w:tcW w:w="1276" w:type="dxa"/>
            <w:shd w:val="clear" w:color="auto" w:fill="auto"/>
            <w:noWrap/>
            <w:vAlign w:val="bottom"/>
            <w:hideMark/>
          </w:tcPr>
          <w:p w14:paraId="60589E85" w14:textId="77777777" w:rsidR="001D1B17" w:rsidRPr="001D1B17" w:rsidRDefault="001D1B17" w:rsidP="00A834DD">
            <w:pPr>
              <w:ind w:firstLine="0"/>
              <w:jc w:val="left"/>
              <w:rPr>
                <w:rFonts w:eastAsia="Times New Roman" w:cs="Times New Roman"/>
                <w:color w:val="000000"/>
                <w:sz w:val="16"/>
                <w:szCs w:val="16"/>
                <w:lang w:eastAsia="lv-LV"/>
              </w:rPr>
            </w:pPr>
            <w:r w:rsidRPr="001D1B17">
              <w:rPr>
                <w:rFonts w:eastAsia="Times New Roman" w:cs="Times New Roman"/>
                <w:color w:val="000000"/>
                <w:sz w:val="16"/>
                <w:szCs w:val="16"/>
                <w:lang w:eastAsia="lv-LV"/>
              </w:rPr>
              <w:t>(4)</w:t>
            </w:r>
          </w:p>
        </w:tc>
        <w:tc>
          <w:tcPr>
            <w:tcW w:w="1098" w:type="dxa"/>
            <w:shd w:val="clear" w:color="auto" w:fill="auto"/>
            <w:noWrap/>
            <w:vAlign w:val="center"/>
          </w:tcPr>
          <w:p w14:paraId="42C63666" w14:textId="77777777" w:rsidR="001D1B17" w:rsidRPr="001D1B17" w:rsidRDefault="001D1B17" w:rsidP="00A834DD">
            <w:pPr>
              <w:ind w:firstLine="0"/>
              <w:jc w:val="center"/>
              <w:rPr>
                <w:rFonts w:eastAsia="Times New Roman" w:cs="Times New Roman"/>
                <w:b/>
                <w:bCs/>
                <w:color w:val="000000"/>
                <w:sz w:val="18"/>
                <w:szCs w:val="18"/>
                <w:lang w:eastAsia="lv-LV"/>
              </w:rPr>
            </w:pPr>
            <w:r w:rsidRPr="001D1B17">
              <w:rPr>
                <w:b/>
                <w:bCs/>
                <w:sz w:val="20"/>
                <w:szCs w:val="20"/>
              </w:rPr>
              <w:t>-1,5</w:t>
            </w:r>
          </w:p>
        </w:tc>
        <w:tc>
          <w:tcPr>
            <w:tcW w:w="1099" w:type="dxa"/>
            <w:shd w:val="clear" w:color="auto" w:fill="E7E6E6" w:themeFill="background2"/>
            <w:noWrap/>
            <w:vAlign w:val="center"/>
            <w:hideMark/>
          </w:tcPr>
          <w:p w14:paraId="4921B7FA" w14:textId="77777777" w:rsidR="001D1B17" w:rsidRPr="001D1B17" w:rsidRDefault="001D1B17" w:rsidP="00A834DD">
            <w:pPr>
              <w:ind w:firstLine="0"/>
              <w:jc w:val="center"/>
              <w:rPr>
                <w:rFonts w:eastAsia="Times New Roman" w:cs="Times New Roman"/>
                <w:color w:val="000000"/>
                <w:sz w:val="18"/>
                <w:szCs w:val="18"/>
                <w:lang w:eastAsia="lv-LV"/>
              </w:rPr>
            </w:pPr>
            <w:r w:rsidRPr="001D1B17">
              <w:rPr>
                <w:rFonts w:eastAsia="Times New Roman" w:cs="Times New Roman"/>
                <w:color w:val="000000"/>
                <w:sz w:val="18"/>
                <w:szCs w:val="18"/>
                <w:lang w:eastAsia="lv-LV"/>
              </w:rPr>
              <w:t> </w:t>
            </w:r>
          </w:p>
        </w:tc>
        <w:tc>
          <w:tcPr>
            <w:tcW w:w="1098" w:type="dxa"/>
            <w:shd w:val="clear" w:color="auto" w:fill="E7E6E6" w:themeFill="background2"/>
            <w:noWrap/>
            <w:vAlign w:val="center"/>
            <w:hideMark/>
          </w:tcPr>
          <w:p w14:paraId="2D9BD241" w14:textId="77777777" w:rsidR="001D1B17" w:rsidRPr="001D1B17" w:rsidRDefault="001D1B17" w:rsidP="00A834DD">
            <w:pPr>
              <w:ind w:firstLine="0"/>
              <w:jc w:val="center"/>
              <w:rPr>
                <w:rFonts w:eastAsia="Times New Roman" w:cs="Times New Roman"/>
                <w:color w:val="000000"/>
                <w:sz w:val="18"/>
                <w:szCs w:val="18"/>
                <w:lang w:eastAsia="lv-LV"/>
              </w:rPr>
            </w:pPr>
            <w:r w:rsidRPr="001D1B17">
              <w:rPr>
                <w:rFonts w:eastAsia="Times New Roman" w:cs="Times New Roman"/>
                <w:color w:val="000000"/>
                <w:sz w:val="18"/>
                <w:szCs w:val="18"/>
                <w:lang w:eastAsia="lv-LV"/>
              </w:rPr>
              <w:t> </w:t>
            </w:r>
          </w:p>
        </w:tc>
        <w:tc>
          <w:tcPr>
            <w:tcW w:w="1099" w:type="dxa"/>
            <w:shd w:val="clear" w:color="auto" w:fill="E7E6E6" w:themeFill="background2"/>
            <w:noWrap/>
            <w:vAlign w:val="center"/>
            <w:hideMark/>
          </w:tcPr>
          <w:p w14:paraId="4DDDD8AF" w14:textId="77777777" w:rsidR="001D1B17" w:rsidRPr="001D1B17" w:rsidRDefault="001D1B17" w:rsidP="00A834DD">
            <w:pPr>
              <w:ind w:firstLine="0"/>
              <w:jc w:val="center"/>
              <w:rPr>
                <w:rFonts w:eastAsia="Times New Roman" w:cs="Times New Roman"/>
                <w:color w:val="000000"/>
                <w:sz w:val="18"/>
                <w:szCs w:val="18"/>
                <w:lang w:eastAsia="lv-LV"/>
              </w:rPr>
            </w:pPr>
            <w:r w:rsidRPr="001D1B17">
              <w:rPr>
                <w:rFonts w:eastAsia="Times New Roman" w:cs="Times New Roman"/>
                <w:color w:val="000000"/>
                <w:sz w:val="18"/>
                <w:szCs w:val="18"/>
                <w:lang w:eastAsia="lv-LV"/>
              </w:rPr>
              <w:t> </w:t>
            </w:r>
          </w:p>
        </w:tc>
      </w:tr>
      <w:tr w:rsidR="001D1B17" w:rsidRPr="001D1B17" w14:paraId="6E4CC82D" w14:textId="77777777" w:rsidTr="00A834DD">
        <w:trPr>
          <w:trHeight w:val="300"/>
        </w:trPr>
        <w:tc>
          <w:tcPr>
            <w:tcW w:w="3397" w:type="dxa"/>
            <w:shd w:val="clear" w:color="auto" w:fill="auto"/>
            <w:noWrap/>
            <w:vAlign w:val="bottom"/>
          </w:tcPr>
          <w:p w14:paraId="5BDACFBE" w14:textId="77777777" w:rsidR="001D1B17" w:rsidRPr="001D1B17" w:rsidRDefault="001D1B17" w:rsidP="00A834DD">
            <w:pPr>
              <w:ind w:firstLine="0"/>
              <w:jc w:val="left"/>
              <w:rPr>
                <w:rFonts w:eastAsia="Times New Roman" w:cs="Times New Roman"/>
                <w:b/>
                <w:bCs/>
                <w:color w:val="000000"/>
                <w:sz w:val="18"/>
                <w:szCs w:val="18"/>
                <w:lang w:eastAsia="lv-LV"/>
              </w:rPr>
            </w:pPr>
            <w:r w:rsidRPr="001D1B17">
              <w:rPr>
                <w:b/>
                <w:bCs/>
                <w:color w:val="000000"/>
                <w:sz w:val="20"/>
                <w:szCs w:val="20"/>
              </w:rPr>
              <w:t>Bilances cikliskā komponente, % no IKP</w:t>
            </w:r>
          </w:p>
        </w:tc>
        <w:tc>
          <w:tcPr>
            <w:tcW w:w="1276" w:type="dxa"/>
            <w:shd w:val="clear" w:color="auto" w:fill="auto"/>
            <w:noWrap/>
            <w:vAlign w:val="bottom"/>
            <w:hideMark/>
          </w:tcPr>
          <w:p w14:paraId="74609B24" w14:textId="77777777" w:rsidR="001D1B17" w:rsidRPr="001D1B17" w:rsidRDefault="001D1B17" w:rsidP="00A834DD">
            <w:pPr>
              <w:ind w:firstLine="0"/>
              <w:jc w:val="left"/>
              <w:rPr>
                <w:rFonts w:eastAsia="Times New Roman" w:cs="Times New Roman"/>
                <w:color w:val="000000"/>
                <w:sz w:val="16"/>
                <w:szCs w:val="16"/>
                <w:lang w:eastAsia="lv-LV"/>
              </w:rPr>
            </w:pPr>
            <w:r w:rsidRPr="001D1B17">
              <w:rPr>
                <w:rFonts w:eastAsia="Times New Roman" w:cs="Times New Roman"/>
                <w:color w:val="000000"/>
                <w:sz w:val="16"/>
                <w:szCs w:val="16"/>
                <w:lang w:eastAsia="lv-LV"/>
              </w:rPr>
              <w:t>(5)=0,378*(4)</w:t>
            </w:r>
          </w:p>
        </w:tc>
        <w:tc>
          <w:tcPr>
            <w:tcW w:w="1098" w:type="dxa"/>
            <w:shd w:val="clear" w:color="auto" w:fill="auto"/>
            <w:noWrap/>
            <w:vAlign w:val="center"/>
          </w:tcPr>
          <w:p w14:paraId="392C9C3B" w14:textId="77777777" w:rsidR="001D1B17" w:rsidRPr="001D1B17" w:rsidRDefault="001D1B17" w:rsidP="00A834DD">
            <w:pPr>
              <w:ind w:firstLine="0"/>
              <w:jc w:val="center"/>
              <w:rPr>
                <w:rFonts w:eastAsia="Times New Roman" w:cs="Times New Roman"/>
                <w:b/>
                <w:bCs/>
                <w:color w:val="000000"/>
                <w:sz w:val="18"/>
                <w:szCs w:val="18"/>
                <w:lang w:eastAsia="lv-LV"/>
              </w:rPr>
            </w:pPr>
            <w:r w:rsidRPr="001D1B17">
              <w:rPr>
                <w:b/>
                <w:bCs/>
                <w:sz w:val="20"/>
                <w:szCs w:val="20"/>
              </w:rPr>
              <w:t>-0,5</w:t>
            </w:r>
          </w:p>
        </w:tc>
        <w:tc>
          <w:tcPr>
            <w:tcW w:w="1099" w:type="dxa"/>
            <w:shd w:val="clear" w:color="auto" w:fill="E7E6E6" w:themeFill="background2"/>
            <w:noWrap/>
            <w:vAlign w:val="center"/>
            <w:hideMark/>
          </w:tcPr>
          <w:p w14:paraId="7F72497D" w14:textId="77777777" w:rsidR="001D1B17" w:rsidRPr="001D1B17" w:rsidRDefault="001D1B17" w:rsidP="00A834DD">
            <w:pPr>
              <w:ind w:firstLine="0"/>
              <w:jc w:val="center"/>
              <w:rPr>
                <w:rFonts w:eastAsia="Times New Roman" w:cs="Times New Roman"/>
                <w:color w:val="000000"/>
                <w:sz w:val="18"/>
                <w:szCs w:val="18"/>
                <w:lang w:eastAsia="lv-LV"/>
              </w:rPr>
            </w:pPr>
            <w:r w:rsidRPr="001D1B17">
              <w:rPr>
                <w:rFonts w:eastAsia="Times New Roman" w:cs="Times New Roman"/>
                <w:color w:val="000000"/>
                <w:sz w:val="18"/>
                <w:szCs w:val="18"/>
                <w:lang w:eastAsia="lv-LV"/>
              </w:rPr>
              <w:t> </w:t>
            </w:r>
          </w:p>
        </w:tc>
        <w:tc>
          <w:tcPr>
            <w:tcW w:w="1098" w:type="dxa"/>
            <w:shd w:val="clear" w:color="auto" w:fill="E7E6E6" w:themeFill="background2"/>
            <w:noWrap/>
            <w:vAlign w:val="center"/>
            <w:hideMark/>
          </w:tcPr>
          <w:p w14:paraId="5E7A3A3E" w14:textId="77777777" w:rsidR="001D1B17" w:rsidRPr="001D1B17" w:rsidRDefault="001D1B17" w:rsidP="00A834DD">
            <w:pPr>
              <w:ind w:firstLine="0"/>
              <w:jc w:val="center"/>
              <w:rPr>
                <w:rFonts w:eastAsia="Times New Roman" w:cs="Times New Roman"/>
                <w:color w:val="000000"/>
                <w:sz w:val="18"/>
                <w:szCs w:val="18"/>
                <w:lang w:eastAsia="lv-LV"/>
              </w:rPr>
            </w:pPr>
            <w:r w:rsidRPr="001D1B17">
              <w:rPr>
                <w:rFonts w:eastAsia="Times New Roman" w:cs="Times New Roman"/>
                <w:color w:val="000000"/>
                <w:sz w:val="18"/>
                <w:szCs w:val="18"/>
                <w:lang w:eastAsia="lv-LV"/>
              </w:rPr>
              <w:t> </w:t>
            </w:r>
          </w:p>
        </w:tc>
        <w:tc>
          <w:tcPr>
            <w:tcW w:w="1099" w:type="dxa"/>
            <w:shd w:val="clear" w:color="auto" w:fill="E7E6E6" w:themeFill="background2"/>
            <w:noWrap/>
            <w:vAlign w:val="center"/>
            <w:hideMark/>
          </w:tcPr>
          <w:p w14:paraId="121943DA" w14:textId="77777777" w:rsidR="001D1B17" w:rsidRPr="001D1B17" w:rsidRDefault="001D1B17" w:rsidP="00A834DD">
            <w:pPr>
              <w:ind w:firstLine="0"/>
              <w:jc w:val="center"/>
              <w:rPr>
                <w:rFonts w:eastAsia="Times New Roman" w:cs="Times New Roman"/>
                <w:color w:val="000000"/>
                <w:sz w:val="18"/>
                <w:szCs w:val="18"/>
                <w:lang w:eastAsia="lv-LV"/>
              </w:rPr>
            </w:pPr>
            <w:r w:rsidRPr="001D1B17">
              <w:rPr>
                <w:rFonts w:eastAsia="Times New Roman" w:cs="Times New Roman"/>
                <w:color w:val="000000"/>
                <w:sz w:val="18"/>
                <w:szCs w:val="18"/>
                <w:lang w:eastAsia="lv-LV"/>
              </w:rPr>
              <w:t> </w:t>
            </w:r>
          </w:p>
        </w:tc>
      </w:tr>
      <w:tr w:rsidR="001D1B17" w:rsidRPr="001D1B17" w14:paraId="7F149DD0" w14:textId="77777777" w:rsidTr="00A834DD">
        <w:trPr>
          <w:trHeight w:val="300"/>
        </w:trPr>
        <w:tc>
          <w:tcPr>
            <w:tcW w:w="3397" w:type="dxa"/>
            <w:shd w:val="clear" w:color="auto" w:fill="auto"/>
            <w:noWrap/>
            <w:vAlign w:val="bottom"/>
          </w:tcPr>
          <w:p w14:paraId="12A85937" w14:textId="77777777" w:rsidR="001D1B17" w:rsidRPr="001D1B17" w:rsidRDefault="001D1B17" w:rsidP="00A834DD">
            <w:pPr>
              <w:ind w:firstLine="0"/>
              <w:jc w:val="left"/>
              <w:rPr>
                <w:rFonts w:eastAsia="Times New Roman" w:cs="Times New Roman"/>
                <w:b/>
                <w:bCs/>
                <w:color w:val="000000"/>
                <w:sz w:val="18"/>
                <w:szCs w:val="18"/>
                <w:lang w:eastAsia="lv-LV"/>
              </w:rPr>
            </w:pPr>
            <w:proofErr w:type="spellStart"/>
            <w:r w:rsidRPr="001D1B17">
              <w:rPr>
                <w:b/>
                <w:bCs/>
                <w:color w:val="000000"/>
                <w:sz w:val="20"/>
                <w:szCs w:val="20"/>
              </w:rPr>
              <w:t>One-off</w:t>
            </w:r>
            <w:proofErr w:type="spellEnd"/>
            <w:r w:rsidRPr="001D1B17">
              <w:rPr>
                <w:b/>
                <w:bCs/>
                <w:color w:val="000000"/>
                <w:sz w:val="20"/>
                <w:szCs w:val="20"/>
              </w:rPr>
              <w:t xml:space="preserve"> un citi īslaicīgie pasākumi, % no IKP, tai skaitā</w:t>
            </w:r>
          </w:p>
        </w:tc>
        <w:tc>
          <w:tcPr>
            <w:tcW w:w="1276" w:type="dxa"/>
            <w:shd w:val="clear" w:color="auto" w:fill="auto"/>
            <w:noWrap/>
            <w:vAlign w:val="bottom"/>
            <w:hideMark/>
          </w:tcPr>
          <w:p w14:paraId="5F7357FD" w14:textId="77777777" w:rsidR="001D1B17" w:rsidRPr="001D1B17" w:rsidRDefault="001D1B17" w:rsidP="00A834DD">
            <w:pPr>
              <w:ind w:firstLine="0"/>
              <w:jc w:val="left"/>
              <w:rPr>
                <w:rFonts w:eastAsia="Times New Roman" w:cs="Times New Roman"/>
                <w:b/>
                <w:bCs/>
                <w:color w:val="000000"/>
                <w:sz w:val="16"/>
                <w:szCs w:val="16"/>
                <w:lang w:eastAsia="lv-LV"/>
              </w:rPr>
            </w:pPr>
            <w:r w:rsidRPr="001D1B17">
              <w:rPr>
                <w:rFonts w:eastAsia="Times New Roman" w:cs="Times New Roman"/>
                <w:b/>
                <w:bCs/>
                <w:color w:val="000000"/>
                <w:sz w:val="16"/>
                <w:szCs w:val="16"/>
                <w:lang w:eastAsia="lv-LV"/>
              </w:rPr>
              <w:t>(6)=(7)+(8)+(9)</w:t>
            </w:r>
          </w:p>
          <w:p w14:paraId="670369E9" w14:textId="77777777" w:rsidR="001D1B17" w:rsidRPr="001D1B17" w:rsidRDefault="001D1B17" w:rsidP="00A834DD">
            <w:pPr>
              <w:ind w:firstLine="0"/>
              <w:jc w:val="left"/>
              <w:rPr>
                <w:rFonts w:eastAsia="Times New Roman" w:cs="Times New Roman"/>
                <w:b/>
                <w:bCs/>
                <w:color w:val="000000"/>
                <w:sz w:val="16"/>
                <w:szCs w:val="16"/>
                <w:lang w:eastAsia="lv-LV"/>
              </w:rPr>
            </w:pPr>
            <w:r w:rsidRPr="001D1B17">
              <w:rPr>
                <w:rFonts w:eastAsia="Times New Roman" w:cs="Times New Roman"/>
                <w:b/>
                <w:bCs/>
                <w:color w:val="000000"/>
                <w:sz w:val="16"/>
                <w:szCs w:val="16"/>
                <w:lang w:eastAsia="lv-LV"/>
              </w:rPr>
              <w:t>+(10)+(11)</w:t>
            </w:r>
          </w:p>
        </w:tc>
        <w:tc>
          <w:tcPr>
            <w:tcW w:w="1098" w:type="dxa"/>
            <w:shd w:val="clear" w:color="auto" w:fill="auto"/>
            <w:noWrap/>
            <w:vAlign w:val="center"/>
          </w:tcPr>
          <w:p w14:paraId="09030A28" w14:textId="77777777" w:rsidR="001D1B17" w:rsidRPr="001D1B17" w:rsidRDefault="001D1B17" w:rsidP="00A834DD">
            <w:pPr>
              <w:ind w:firstLine="0"/>
              <w:jc w:val="center"/>
              <w:rPr>
                <w:rFonts w:eastAsia="Times New Roman" w:cs="Times New Roman"/>
                <w:b/>
                <w:bCs/>
                <w:color w:val="000000"/>
                <w:sz w:val="18"/>
                <w:szCs w:val="18"/>
                <w:lang w:eastAsia="lv-LV"/>
              </w:rPr>
            </w:pPr>
            <w:r w:rsidRPr="001D1B17">
              <w:rPr>
                <w:b/>
                <w:bCs/>
                <w:sz w:val="20"/>
                <w:szCs w:val="20"/>
              </w:rPr>
              <w:t>0,0</w:t>
            </w:r>
          </w:p>
        </w:tc>
        <w:tc>
          <w:tcPr>
            <w:tcW w:w="1099" w:type="dxa"/>
            <w:shd w:val="clear" w:color="auto" w:fill="E7E6E6" w:themeFill="background2"/>
            <w:noWrap/>
            <w:vAlign w:val="center"/>
            <w:hideMark/>
          </w:tcPr>
          <w:p w14:paraId="54A95355" w14:textId="77777777" w:rsidR="001D1B17" w:rsidRPr="001D1B17" w:rsidRDefault="001D1B17" w:rsidP="00A834DD">
            <w:pPr>
              <w:ind w:firstLine="0"/>
              <w:jc w:val="center"/>
              <w:rPr>
                <w:rFonts w:eastAsia="Times New Roman" w:cs="Times New Roman"/>
                <w:b/>
                <w:bCs/>
                <w:color w:val="000000"/>
                <w:sz w:val="18"/>
                <w:szCs w:val="18"/>
                <w:lang w:eastAsia="lv-LV"/>
              </w:rPr>
            </w:pPr>
            <w:r w:rsidRPr="001D1B17">
              <w:rPr>
                <w:rFonts w:eastAsia="Times New Roman" w:cs="Times New Roman"/>
                <w:b/>
                <w:bCs/>
                <w:color w:val="000000"/>
                <w:sz w:val="18"/>
                <w:szCs w:val="18"/>
                <w:lang w:eastAsia="lv-LV"/>
              </w:rPr>
              <w:t> </w:t>
            </w:r>
          </w:p>
        </w:tc>
        <w:tc>
          <w:tcPr>
            <w:tcW w:w="1098" w:type="dxa"/>
            <w:shd w:val="clear" w:color="auto" w:fill="E7E6E6" w:themeFill="background2"/>
            <w:noWrap/>
            <w:vAlign w:val="center"/>
            <w:hideMark/>
          </w:tcPr>
          <w:p w14:paraId="7EEEC38F" w14:textId="77777777" w:rsidR="001D1B17" w:rsidRPr="001D1B17" w:rsidRDefault="001D1B17" w:rsidP="00A834DD">
            <w:pPr>
              <w:ind w:firstLine="0"/>
              <w:jc w:val="center"/>
              <w:rPr>
                <w:rFonts w:eastAsia="Times New Roman" w:cs="Times New Roman"/>
                <w:b/>
                <w:bCs/>
                <w:color w:val="000000"/>
                <w:sz w:val="18"/>
                <w:szCs w:val="18"/>
                <w:lang w:eastAsia="lv-LV"/>
              </w:rPr>
            </w:pPr>
            <w:r w:rsidRPr="001D1B17">
              <w:rPr>
                <w:rFonts w:eastAsia="Times New Roman" w:cs="Times New Roman"/>
                <w:b/>
                <w:bCs/>
                <w:color w:val="000000"/>
                <w:sz w:val="18"/>
                <w:szCs w:val="18"/>
                <w:lang w:eastAsia="lv-LV"/>
              </w:rPr>
              <w:t> </w:t>
            </w:r>
          </w:p>
        </w:tc>
        <w:tc>
          <w:tcPr>
            <w:tcW w:w="1099" w:type="dxa"/>
            <w:shd w:val="clear" w:color="auto" w:fill="E7E6E6" w:themeFill="background2"/>
            <w:noWrap/>
            <w:vAlign w:val="center"/>
            <w:hideMark/>
          </w:tcPr>
          <w:p w14:paraId="28D1436E" w14:textId="77777777" w:rsidR="001D1B17" w:rsidRPr="001D1B17" w:rsidRDefault="001D1B17" w:rsidP="00A834DD">
            <w:pPr>
              <w:ind w:firstLine="0"/>
              <w:jc w:val="center"/>
              <w:rPr>
                <w:rFonts w:eastAsia="Times New Roman" w:cs="Times New Roman"/>
                <w:b/>
                <w:bCs/>
                <w:color w:val="000000"/>
                <w:sz w:val="18"/>
                <w:szCs w:val="18"/>
                <w:lang w:eastAsia="lv-LV"/>
              </w:rPr>
            </w:pPr>
            <w:r w:rsidRPr="001D1B17">
              <w:rPr>
                <w:rFonts w:eastAsia="Times New Roman" w:cs="Times New Roman"/>
                <w:b/>
                <w:bCs/>
                <w:color w:val="000000"/>
                <w:sz w:val="18"/>
                <w:szCs w:val="18"/>
                <w:lang w:eastAsia="lv-LV"/>
              </w:rPr>
              <w:t> </w:t>
            </w:r>
          </w:p>
        </w:tc>
      </w:tr>
      <w:tr w:rsidR="001D1B17" w:rsidRPr="001D1B17" w14:paraId="3E49744E" w14:textId="77777777" w:rsidTr="00A834DD">
        <w:trPr>
          <w:trHeight w:val="300"/>
        </w:trPr>
        <w:tc>
          <w:tcPr>
            <w:tcW w:w="3397" w:type="dxa"/>
            <w:shd w:val="clear" w:color="auto" w:fill="auto"/>
            <w:noWrap/>
            <w:vAlign w:val="bottom"/>
          </w:tcPr>
          <w:p w14:paraId="54F72002" w14:textId="77777777" w:rsidR="001D1B17" w:rsidRPr="001D1B17" w:rsidRDefault="001D1B17" w:rsidP="00A834DD">
            <w:pPr>
              <w:ind w:firstLineChars="200" w:firstLine="400"/>
              <w:jc w:val="left"/>
              <w:rPr>
                <w:rFonts w:eastAsia="Times New Roman" w:cs="Times New Roman"/>
                <w:color w:val="000000"/>
                <w:sz w:val="18"/>
                <w:szCs w:val="18"/>
                <w:lang w:eastAsia="lv-LV"/>
              </w:rPr>
            </w:pPr>
            <w:r w:rsidRPr="001D1B17">
              <w:rPr>
                <w:sz w:val="20"/>
                <w:szCs w:val="20"/>
              </w:rPr>
              <w:t>COVID -19 pandēmijas mazināšanas pasākumi</w:t>
            </w:r>
          </w:p>
        </w:tc>
        <w:tc>
          <w:tcPr>
            <w:tcW w:w="1276" w:type="dxa"/>
            <w:shd w:val="clear" w:color="auto" w:fill="auto"/>
            <w:noWrap/>
            <w:vAlign w:val="bottom"/>
            <w:hideMark/>
          </w:tcPr>
          <w:p w14:paraId="2793D8DA" w14:textId="77777777" w:rsidR="001D1B17" w:rsidRPr="001D1B17" w:rsidRDefault="001D1B17" w:rsidP="00A834DD">
            <w:pPr>
              <w:ind w:firstLine="0"/>
              <w:jc w:val="left"/>
              <w:rPr>
                <w:rFonts w:eastAsia="Times New Roman" w:cs="Times New Roman"/>
                <w:color w:val="000000"/>
                <w:sz w:val="16"/>
                <w:szCs w:val="16"/>
                <w:lang w:eastAsia="lv-LV"/>
              </w:rPr>
            </w:pPr>
            <w:r w:rsidRPr="001D1B17">
              <w:rPr>
                <w:rFonts w:eastAsia="Times New Roman" w:cs="Times New Roman"/>
                <w:color w:val="000000"/>
                <w:sz w:val="16"/>
                <w:szCs w:val="16"/>
                <w:lang w:eastAsia="lv-LV"/>
              </w:rPr>
              <w:t> (7)</w:t>
            </w:r>
          </w:p>
        </w:tc>
        <w:tc>
          <w:tcPr>
            <w:tcW w:w="1098" w:type="dxa"/>
            <w:shd w:val="clear" w:color="auto" w:fill="auto"/>
            <w:noWrap/>
            <w:vAlign w:val="center"/>
          </w:tcPr>
          <w:p w14:paraId="6DF2DACA" w14:textId="77777777" w:rsidR="001D1B17" w:rsidRPr="001D1B17" w:rsidRDefault="001D1B17" w:rsidP="00A834DD">
            <w:pPr>
              <w:ind w:firstLine="0"/>
              <w:jc w:val="center"/>
              <w:rPr>
                <w:rFonts w:eastAsia="Times New Roman" w:cs="Times New Roman"/>
                <w:color w:val="000000"/>
                <w:sz w:val="18"/>
                <w:szCs w:val="18"/>
                <w:lang w:eastAsia="lv-LV"/>
              </w:rPr>
            </w:pPr>
            <w:r w:rsidRPr="001D1B17">
              <w:rPr>
                <w:sz w:val="20"/>
                <w:szCs w:val="20"/>
              </w:rPr>
              <w:t>0,0</w:t>
            </w:r>
          </w:p>
        </w:tc>
        <w:tc>
          <w:tcPr>
            <w:tcW w:w="1099" w:type="dxa"/>
            <w:shd w:val="clear" w:color="auto" w:fill="E7E6E6" w:themeFill="background2"/>
            <w:noWrap/>
            <w:vAlign w:val="center"/>
            <w:hideMark/>
          </w:tcPr>
          <w:p w14:paraId="18C06F0C" w14:textId="77777777" w:rsidR="001D1B17" w:rsidRPr="001D1B17" w:rsidRDefault="001D1B17" w:rsidP="00A834DD">
            <w:pPr>
              <w:ind w:firstLine="0"/>
              <w:jc w:val="center"/>
              <w:rPr>
                <w:rFonts w:eastAsia="Times New Roman" w:cs="Times New Roman"/>
                <w:color w:val="000000"/>
                <w:sz w:val="18"/>
                <w:szCs w:val="18"/>
                <w:lang w:eastAsia="lv-LV"/>
              </w:rPr>
            </w:pPr>
            <w:r w:rsidRPr="001D1B17">
              <w:rPr>
                <w:rFonts w:eastAsia="Times New Roman" w:cs="Times New Roman"/>
                <w:color w:val="000000"/>
                <w:sz w:val="18"/>
                <w:szCs w:val="18"/>
                <w:lang w:eastAsia="lv-LV"/>
              </w:rPr>
              <w:t> </w:t>
            </w:r>
          </w:p>
        </w:tc>
        <w:tc>
          <w:tcPr>
            <w:tcW w:w="1098" w:type="dxa"/>
            <w:shd w:val="clear" w:color="auto" w:fill="E7E6E6" w:themeFill="background2"/>
            <w:noWrap/>
            <w:vAlign w:val="center"/>
            <w:hideMark/>
          </w:tcPr>
          <w:p w14:paraId="2970D5FC" w14:textId="77777777" w:rsidR="001D1B17" w:rsidRPr="001D1B17" w:rsidRDefault="001D1B17" w:rsidP="00A834DD">
            <w:pPr>
              <w:ind w:firstLine="0"/>
              <w:jc w:val="center"/>
              <w:rPr>
                <w:rFonts w:eastAsia="Times New Roman" w:cs="Times New Roman"/>
                <w:color w:val="000000"/>
                <w:sz w:val="18"/>
                <w:szCs w:val="18"/>
                <w:lang w:eastAsia="lv-LV"/>
              </w:rPr>
            </w:pPr>
            <w:r w:rsidRPr="001D1B17">
              <w:rPr>
                <w:rFonts w:eastAsia="Times New Roman" w:cs="Times New Roman"/>
                <w:color w:val="000000"/>
                <w:sz w:val="18"/>
                <w:szCs w:val="18"/>
                <w:lang w:eastAsia="lv-LV"/>
              </w:rPr>
              <w:t> </w:t>
            </w:r>
          </w:p>
        </w:tc>
        <w:tc>
          <w:tcPr>
            <w:tcW w:w="1099" w:type="dxa"/>
            <w:shd w:val="clear" w:color="auto" w:fill="E7E6E6" w:themeFill="background2"/>
            <w:noWrap/>
            <w:vAlign w:val="center"/>
            <w:hideMark/>
          </w:tcPr>
          <w:p w14:paraId="68CDE7FB" w14:textId="77777777" w:rsidR="001D1B17" w:rsidRPr="001D1B17" w:rsidRDefault="001D1B17" w:rsidP="00A834DD">
            <w:pPr>
              <w:ind w:firstLine="0"/>
              <w:jc w:val="center"/>
              <w:rPr>
                <w:rFonts w:eastAsia="Times New Roman" w:cs="Times New Roman"/>
                <w:color w:val="000000"/>
                <w:sz w:val="18"/>
                <w:szCs w:val="18"/>
                <w:lang w:eastAsia="lv-LV"/>
              </w:rPr>
            </w:pPr>
            <w:r w:rsidRPr="001D1B17">
              <w:rPr>
                <w:rFonts w:eastAsia="Times New Roman" w:cs="Times New Roman"/>
                <w:color w:val="000000"/>
                <w:sz w:val="18"/>
                <w:szCs w:val="18"/>
                <w:lang w:eastAsia="lv-LV"/>
              </w:rPr>
              <w:t> </w:t>
            </w:r>
          </w:p>
        </w:tc>
      </w:tr>
      <w:tr w:rsidR="001D1B17" w:rsidRPr="001D1B17" w14:paraId="1F25E323" w14:textId="77777777" w:rsidTr="00A834DD">
        <w:trPr>
          <w:trHeight w:val="427"/>
        </w:trPr>
        <w:tc>
          <w:tcPr>
            <w:tcW w:w="3397" w:type="dxa"/>
            <w:shd w:val="clear" w:color="auto" w:fill="auto"/>
            <w:noWrap/>
            <w:vAlign w:val="bottom"/>
          </w:tcPr>
          <w:p w14:paraId="22FFB24C" w14:textId="77777777" w:rsidR="001D1B17" w:rsidRPr="001D1B17" w:rsidRDefault="001D1B17" w:rsidP="00A834DD">
            <w:pPr>
              <w:ind w:firstLineChars="200" w:firstLine="400"/>
              <w:jc w:val="left"/>
              <w:rPr>
                <w:rFonts w:eastAsia="Times New Roman" w:cs="Times New Roman"/>
                <w:color w:val="000000"/>
                <w:sz w:val="18"/>
                <w:szCs w:val="18"/>
                <w:lang w:eastAsia="lv-LV"/>
              </w:rPr>
            </w:pPr>
            <w:r w:rsidRPr="001D1B17">
              <w:rPr>
                <w:sz w:val="20"/>
                <w:szCs w:val="20"/>
              </w:rPr>
              <w:t>enerģijas cenas pieauguma mazināšanas pasākumi</w:t>
            </w:r>
          </w:p>
        </w:tc>
        <w:tc>
          <w:tcPr>
            <w:tcW w:w="1276" w:type="dxa"/>
            <w:shd w:val="clear" w:color="auto" w:fill="auto"/>
            <w:noWrap/>
            <w:vAlign w:val="bottom"/>
            <w:hideMark/>
          </w:tcPr>
          <w:p w14:paraId="4667DEE8" w14:textId="77777777" w:rsidR="001D1B17" w:rsidRPr="001D1B17" w:rsidRDefault="001D1B17" w:rsidP="00A834DD">
            <w:pPr>
              <w:ind w:firstLine="0"/>
              <w:jc w:val="left"/>
              <w:rPr>
                <w:rFonts w:eastAsia="Times New Roman" w:cs="Times New Roman"/>
                <w:color w:val="000000"/>
                <w:sz w:val="16"/>
                <w:szCs w:val="16"/>
                <w:lang w:eastAsia="lv-LV"/>
              </w:rPr>
            </w:pPr>
            <w:r w:rsidRPr="001D1B17">
              <w:rPr>
                <w:rFonts w:eastAsia="Times New Roman" w:cs="Times New Roman"/>
                <w:color w:val="000000"/>
                <w:sz w:val="16"/>
                <w:szCs w:val="16"/>
                <w:lang w:eastAsia="lv-LV"/>
              </w:rPr>
              <w:t> (8)</w:t>
            </w:r>
          </w:p>
        </w:tc>
        <w:tc>
          <w:tcPr>
            <w:tcW w:w="1098" w:type="dxa"/>
            <w:shd w:val="clear" w:color="auto" w:fill="auto"/>
            <w:noWrap/>
            <w:vAlign w:val="center"/>
          </w:tcPr>
          <w:p w14:paraId="19DF4732" w14:textId="77777777" w:rsidR="001D1B17" w:rsidRPr="001D1B17" w:rsidRDefault="001D1B17" w:rsidP="00A834DD">
            <w:pPr>
              <w:ind w:firstLine="0"/>
              <w:jc w:val="center"/>
              <w:rPr>
                <w:rFonts w:eastAsia="Times New Roman" w:cs="Times New Roman"/>
                <w:color w:val="000000"/>
                <w:sz w:val="18"/>
                <w:szCs w:val="18"/>
                <w:lang w:eastAsia="lv-LV"/>
              </w:rPr>
            </w:pPr>
            <w:r w:rsidRPr="001D1B17">
              <w:rPr>
                <w:sz w:val="20"/>
                <w:szCs w:val="20"/>
              </w:rPr>
              <w:t>0,0</w:t>
            </w:r>
          </w:p>
        </w:tc>
        <w:tc>
          <w:tcPr>
            <w:tcW w:w="1099" w:type="dxa"/>
            <w:shd w:val="clear" w:color="auto" w:fill="E7E6E6" w:themeFill="background2"/>
            <w:noWrap/>
            <w:vAlign w:val="center"/>
            <w:hideMark/>
          </w:tcPr>
          <w:p w14:paraId="25BB05A2" w14:textId="77777777" w:rsidR="001D1B17" w:rsidRPr="001D1B17" w:rsidRDefault="001D1B17" w:rsidP="00A834DD">
            <w:pPr>
              <w:ind w:firstLine="0"/>
              <w:jc w:val="center"/>
              <w:rPr>
                <w:rFonts w:eastAsia="Times New Roman" w:cs="Times New Roman"/>
                <w:color w:val="000000"/>
                <w:sz w:val="18"/>
                <w:szCs w:val="18"/>
                <w:lang w:eastAsia="lv-LV"/>
              </w:rPr>
            </w:pPr>
            <w:r w:rsidRPr="001D1B17">
              <w:rPr>
                <w:rFonts w:eastAsia="Times New Roman" w:cs="Times New Roman"/>
                <w:color w:val="000000"/>
                <w:sz w:val="18"/>
                <w:szCs w:val="18"/>
                <w:lang w:eastAsia="lv-LV"/>
              </w:rPr>
              <w:t> </w:t>
            </w:r>
          </w:p>
        </w:tc>
        <w:tc>
          <w:tcPr>
            <w:tcW w:w="1098" w:type="dxa"/>
            <w:shd w:val="clear" w:color="auto" w:fill="E7E6E6" w:themeFill="background2"/>
            <w:noWrap/>
            <w:vAlign w:val="center"/>
            <w:hideMark/>
          </w:tcPr>
          <w:p w14:paraId="12D3E1BC" w14:textId="77777777" w:rsidR="001D1B17" w:rsidRPr="001D1B17" w:rsidRDefault="001D1B17" w:rsidP="00A834DD">
            <w:pPr>
              <w:ind w:firstLine="0"/>
              <w:jc w:val="center"/>
              <w:rPr>
                <w:rFonts w:eastAsia="Times New Roman" w:cs="Times New Roman"/>
                <w:color w:val="000000"/>
                <w:sz w:val="18"/>
                <w:szCs w:val="18"/>
                <w:lang w:eastAsia="lv-LV"/>
              </w:rPr>
            </w:pPr>
            <w:r w:rsidRPr="001D1B17">
              <w:rPr>
                <w:rFonts w:eastAsia="Times New Roman" w:cs="Times New Roman"/>
                <w:color w:val="000000"/>
                <w:sz w:val="18"/>
                <w:szCs w:val="18"/>
                <w:lang w:eastAsia="lv-LV"/>
              </w:rPr>
              <w:t> </w:t>
            </w:r>
          </w:p>
        </w:tc>
        <w:tc>
          <w:tcPr>
            <w:tcW w:w="1099" w:type="dxa"/>
            <w:shd w:val="clear" w:color="auto" w:fill="E7E6E6" w:themeFill="background2"/>
            <w:noWrap/>
            <w:vAlign w:val="center"/>
            <w:hideMark/>
          </w:tcPr>
          <w:p w14:paraId="6587A084" w14:textId="77777777" w:rsidR="001D1B17" w:rsidRPr="001D1B17" w:rsidRDefault="001D1B17" w:rsidP="00A834DD">
            <w:pPr>
              <w:ind w:firstLine="0"/>
              <w:jc w:val="center"/>
              <w:rPr>
                <w:rFonts w:eastAsia="Times New Roman" w:cs="Times New Roman"/>
                <w:color w:val="000000"/>
                <w:sz w:val="18"/>
                <w:szCs w:val="18"/>
                <w:lang w:eastAsia="lv-LV"/>
              </w:rPr>
            </w:pPr>
            <w:r w:rsidRPr="001D1B17">
              <w:rPr>
                <w:rFonts w:eastAsia="Times New Roman" w:cs="Times New Roman"/>
                <w:color w:val="000000"/>
                <w:sz w:val="18"/>
                <w:szCs w:val="18"/>
                <w:lang w:eastAsia="lv-LV"/>
              </w:rPr>
              <w:t> </w:t>
            </w:r>
          </w:p>
        </w:tc>
      </w:tr>
      <w:tr w:rsidR="001D1B17" w:rsidRPr="001D1B17" w14:paraId="71992EB5" w14:textId="77777777" w:rsidTr="00A834DD">
        <w:trPr>
          <w:trHeight w:val="427"/>
        </w:trPr>
        <w:tc>
          <w:tcPr>
            <w:tcW w:w="3397" w:type="dxa"/>
            <w:shd w:val="clear" w:color="auto" w:fill="auto"/>
            <w:noWrap/>
            <w:vAlign w:val="bottom"/>
          </w:tcPr>
          <w:p w14:paraId="0B8780DF" w14:textId="77777777" w:rsidR="001D1B17" w:rsidRPr="001D1B17" w:rsidRDefault="001D1B17" w:rsidP="00A834DD">
            <w:pPr>
              <w:ind w:firstLineChars="200" w:firstLine="400"/>
              <w:jc w:val="left"/>
              <w:rPr>
                <w:rFonts w:eastAsia="Times New Roman" w:cs="Times New Roman"/>
                <w:color w:val="000000"/>
                <w:sz w:val="18"/>
                <w:szCs w:val="18"/>
                <w:lang w:eastAsia="lv-LV"/>
              </w:rPr>
            </w:pPr>
            <w:r w:rsidRPr="001D1B17">
              <w:rPr>
                <w:sz w:val="20"/>
                <w:szCs w:val="20"/>
              </w:rPr>
              <w:t>aizsardzības un iekšējās drošības finansējums</w:t>
            </w:r>
          </w:p>
        </w:tc>
        <w:tc>
          <w:tcPr>
            <w:tcW w:w="1276" w:type="dxa"/>
            <w:shd w:val="clear" w:color="auto" w:fill="auto"/>
            <w:noWrap/>
            <w:vAlign w:val="bottom"/>
          </w:tcPr>
          <w:p w14:paraId="6867A59A" w14:textId="77777777" w:rsidR="001D1B17" w:rsidRPr="001D1B17" w:rsidRDefault="001D1B17" w:rsidP="00A834DD">
            <w:pPr>
              <w:ind w:firstLine="0"/>
              <w:jc w:val="left"/>
              <w:rPr>
                <w:rFonts w:eastAsia="Times New Roman" w:cs="Times New Roman"/>
                <w:color w:val="000000"/>
                <w:sz w:val="16"/>
                <w:szCs w:val="16"/>
                <w:lang w:eastAsia="lv-LV"/>
              </w:rPr>
            </w:pPr>
            <w:r w:rsidRPr="001D1B17">
              <w:rPr>
                <w:rFonts w:eastAsia="Times New Roman" w:cs="Times New Roman"/>
                <w:color w:val="000000"/>
                <w:sz w:val="16"/>
                <w:szCs w:val="16"/>
                <w:lang w:eastAsia="lv-LV"/>
              </w:rPr>
              <w:t>(9)</w:t>
            </w:r>
          </w:p>
        </w:tc>
        <w:tc>
          <w:tcPr>
            <w:tcW w:w="1098" w:type="dxa"/>
            <w:shd w:val="clear" w:color="auto" w:fill="auto"/>
            <w:noWrap/>
            <w:vAlign w:val="center"/>
          </w:tcPr>
          <w:p w14:paraId="6B4906CB" w14:textId="77777777" w:rsidR="001D1B17" w:rsidRPr="001D1B17" w:rsidRDefault="001D1B17" w:rsidP="00A834DD">
            <w:pPr>
              <w:ind w:firstLine="0"/>
              <w:jc w:val="center"/>
              <w:rPr>
                <w:rFonts w:eastAsia="Times New Roman" w:cs="Times New Roman"/>
                <w:color w:val="000000"/>
                <w:sz w:val="18"/>
                <w:szCs w:val="18"/>
                <w:lang w:eastAsia="lv-LV"/>
              </w:rPr>
            </w:pPr>
            <w:r w:rsidRPr="001D1B17">
              <w:rPr>
                <w:sz w:val="20"/>
                <w:szCs w:val="20"/>
              </w:rPr>
              <w:t>0,0</w:t>
            </w:r>
          </w:p>
        </w:tc>
        <w:tc>
          <w:tcPr>
            <w:tcW w:w="1099" w:type="dxa"/>
            <w:shd w:val="clear" w:color="auto" w:fill="E7E6E6" w:themeFill="background2"/>
            <w:noWrap/>
            <w:vAlign w:val="center"/>
          </w:tcPr>
          <w:p w14:paraId="6B9691A1" w14:textId="77777777" w:rsidR="001D1B17" w:rsidRPr="001D1B17" w:rsidRDefault="001D1B17" w:rsidP="00A834DD">
            <w:pPr>
              <w:ind w:firstLine="0"/>
              <w:jc w:val="center"/>
              <w:rPr>
                <w:rFonts w:eastAsia="Times New Roman" w:cs="Times New Roman"/>
                <w:color w:val="000000"/>
                <w:sz w:val="18"/>
                <w:szCs w:val="18"/>
                <w:lang w:eastAsia="lv-LV"/>
              </w:rPr>
            </w:pPr>
          </w:p>
        </w:tc>
        <w:tc>
          <w:tcPr>
            <w:tcW w:w="1098" w:type="dxa"/>
            <w:shd w:val="clear" w:color="auto" w:fill="E7E6E6" w:themeFill="background2"/>
            <w:noWrap/>
            <w:vAlign w:val="center"/>
          </w:tcPr>
          <w:p w14:paraId="0A5DBF4F" w14:textId="77777777" w:rsidR="001D1B17" w:rsidRPr="001D1B17" w:rsidRDefault="001D1B17" w:rsidP="00A834DD">
            <w:pPr>
              <w:ind w:firstLine="0"/>
              <w:jc w:val="center"/>
              <w:rPr>
                <w:rFonts w:eastAsia="Times New Roman" w:cs="Times New Roman"/>
                <w:color w:val="000000"/>
                <w:sz w:val="18"/>
                <w:szCs w:val="18"/>
                <w:lang w:eastAsia="lv-LV"/>
              </w:rPr>
            </w:pPr>
          </w:p>
        </w:tc>
        <w:tc>
          <w:tcPr>
            <w:tcW w:w="1099" w:type="dxa"/>
            <w:shd w:val="clear" w:color="auto" w:fill="E7E6E6" w:themeFill="background2"/>
            <w:noWrap/>
            <w:vAlign w:val="center"/>
          </w:tcPr>
          <w:p w14:paraId="4980E9E1" w14:textId="77777777" w:rsidR="001D1B17" w:rsidRPr="001D1B17" w:rsidRDefault="001D1B17" w:rsidP="00A834DD">
            <w:pPr>
              <w:ind w:firstLine="0"/>
              <w:jc w:val="center"/>
              <w:rPr>
                <w:rFonts w:eastAsia="Times New Roman" w:cs="Times New Roman"/>
                <w:color w:val="000000"/>
                <w:sz w:val="18"/>
                <w:szCs w:val="18"/>
                <w:lang w:eastAsia="lv-LV"/>
              </w:rPr>
            </w:pPr>
          </w:p>
        </w:tc>
      </w:tr>
      <w:tr w:rsidR="001D1B17" w:rsidRPr="001D1B17" w14:paraId="7051A986" w14:textId="77777777" w:rsidTr="00A834DD">
        <w:trPr>
          <w:trHeight w:val="427"/>
        </w:trPr>
        <w:tc>
          <w:tcPr>
            <w:tcW w:w="3397" w:type="dxa"/>
            <w:shd w:val="clear" w:color="auto" w:fill="auto"/>
            <w:noWrap/>
            <w:vAlign w:val="bottom"/>
          </w:tcPr>
          <w:p w14:paraId="1CA1CB05" w14:textId="77777777" w:rsidR="001D1B17" w:rsidRPr="001D1B17" w:rsidRDefault="001D1B17" w:rsidP="00A834DD">
            <w:pPr>
              <w:ind w:firstLineChars="200" w:firstLine="400"/>
              <w:jc w:val="left"/>
              <w:rPr>
                <w:rFonts w:eastAsia="Times New Roman" w:cs="Times New Roman"/>
                <w:color w:val="000000"/>
                <w:sz w:val="18"/>
                <w:szCs w:val="18"/>
                <w:lang w:eastAsia="lv-LV"/>
              </w:rPr>
            </w:pPr>
            <w:r w:rsidRPr="001D1B17">
              <w:rPr>
                <w:sz w:val="20"/>
                <w:szCs w:val="20"/>
              </w:rPr>
              <w:t>atbalsts bēgļiem no Ukrainas</w:t>
            </w:r>
          </w:p>
        </w:tc>
        <w:tc>
          <w:tcPr>
            <w:tcW w:w="1276" w:type="dxa"/>
            <w:shd w:val="clear" w:color="auto" w:fill="auto"/>
            <w:noWrap/>
            <w:vAlign w:val="bottom"/>
          </w:tcPr>
          <w:p w14:paraId="05F63CA3" w14:textId="77777777" w:rsidR="001D1B17" w:rsidRPr="001D1B17" w:rsidRDefault="001D1B17" w:rsidP="00A834DD">
            <w:pPr>
              <w:ind w:firstLine="0"/>
              <w:jc w:val="left"/>
              <w:rPr>
                <w:rFonts w:eastAsia="Times New Roman" w:cs="Times New Roman"/>
                <w:color w:val="000000"/>
                <w:sz w:val="16"/>
                <w:szCs w:val="16"/>
                <w:lang w:eastAsia="lv-LV"/>
              </w:rPr>
            </w:pPr>
            <w:r w:rsidRPr="001D1B17">
              <w:rPr>
                <w:rFonts w:eastAsia="Times New Roman" w:cs="Times New Roman"/>
                <w:color w:val="000000"/>
                <w:sz w:val="16"/>
                <w:szCs w:val="16"/>
                <w:lang w:eastAsia="lv-LV"/>
              </w:rPr>
              <w:t>(10)</w:t>
            </w:r>
          </w:p>
        </w:tc>
        <w:tc>
          <w:tcPr>
            <w:tcW w:w="1098" w:type="dxa"/>
            <w:shd w:val="clear" w:color="auto" w:fill="auto"/>
            <w:noWrap/>
            <w:vAlign w:val="center"/>
          </w:tcPr>
          <w:p w14:paraId="5280E712" w14:textId="77777777" w:rsidR="001D1B17" w:rsidRPr="001D1B17" w:rsidRDefault="001D1B17" w:rsidP="00A834DD">
            <w:pPr>
              <w:ind w:firstLine="0"/>
              <w:jc w:val="center"/>
              <w:rPr>
                <w:rFonts w:eastAsia="Times New Roman" w:cs="Times New Roman"/>
                <w:color w:val="000000"/>
                <w:sz w:val="18"/>
                <w:szCs w:val="18"/>
                <w:lang w:eastAsia="lv-LV"/>
              </w:rPr>
            </w:pPr>
            <w:r w:rsidRPr="001D1B17">
              <w:rPr>
                <w:sz w:val="20"/>
                <w:szCs w:val="20"/>
              </w:rPr>
              <w:t>0,0</w:t>
            </w:r>
          </w:p>
        </w:tc>
        <w:tc>
          <w:tcPr>
            <w:tcW w:w="1099" w:type="dxa"/>
            <w:shd w:val="clear" w:color="auto" w:fill="E7E6E6" w:themeFill="background2"/>
            <w:noWrap/>
            <w:vAlign w:val="center"/>
          </w:tcPr>
          <w:p w14:paraId="362D7DAC" w14:textId="77777777" w:rsidR="001D1B17" w:rsidRPr="001D1B17" w:rsidRDefault="001D1B17" w:rsidP="00A834DD">
            <w:pPr>
              <w:ind w:firstLine="0"/>
              <w:jc w:val="center"/>
              <w:rPr>
                <w:rFonts w:eastAsia="Times New Roman" w:cs="Times New Roman"/>
                <w:color w:val="000000"/>
                <w:sz w:val="18"/>
                <w:szCs w:val="18"/>
                <w:lang w:eastAsia="lv-LV"/>
              </w:rPr>
            </w:pPr>
          </w:p>
        </w:tc>
        <w:tc>
          <w:tcPr>
            <w:tcW w:w="1098" w:type="dxa"/>
            <w:shd w:val="clear" w:color="auto" w:fill="E7E6E6" w:themeFill="background2"/>
            <w:noWrap/>
            <w:vAlign w:val="center"/>
          </w:tcPr>
          <w:p w14:paraId="0A3B0B0D" w14:textId="77777777" w:rsidR="001D1B17" w:rsidRPr="001D1B17" w:rsidRDefault="001D1B17" w:rsidP="00A834DD">
            <w:pPr>
              <w:ind w:firstLine="0"/>
              <w:jc w:val="center"/>
              <w:rPr>
                <w:rFonts w:eastAsia="Times New Roman" w:cs="Times New Roman"/>
                <w:color w:val="000000"/>
                <w:sz w:val="18"/>
                <w:szCs w:val="18"/>
                <w:lang w:eastAsia="lv-LV"/>
              </w:rPr>
            </w:pPr>
          </w:p>
        </w:tc>
        <w:tc>
          <w:tcPr>
            <w:tcW w:w="1099" w:type="dxa"/>
            <w:shd w:val="clear" w:color="auto" w:fill="E7E6E6" w:themeFill="background2"/>
            <w:noWrap/>
            <w:vAlign w:val="center"/>
          </w:tcPr>
          <w:p w14:paraId="1623A3DA" w14:textId="77777777" w:rsidR="001D1B17" w:rsidRPr="001D1B17" w:rsidRDefault="001D1B17" w:rsidP="00A834DD">
            <w:pPr>
              <w:ind w:firstLine="0"/>
              <w:jc w:val="center"/>
              <w:rPr>
                <w:rFonts w:eastAsia="Times New Roman" w:cs="Times New Roman"/>
                <w:color w:val="000000"/>
                <w:sz w:val="18"/>
                <w:szCs w:val="18"/>
                <w:lang w:eastAsia="lv-LV"/>
              </w:rPr>
            </w:pPr>
          </w:p>
        </w:tc>
      </w:tr>
      <w:tr w:rsidR="001D1B17" w:rsidRPr="001D1B17" w14:paraId="220A6C74" w14:textId="77777777" w:rsidTr="00A834DD">
        <w:trPr>
          <w:trHeight w:val="511"/>
        </w:trPr>
        <w:tc>
          <w:tcPr>
            <w:tcW w:w="3397" w:type="dxa"/>
            <w:shd w:val="clear" w:color="auto" w:fill="auto"/>
            <w:noWrap/>
            <w:vAlign w:val="center"/>
          </w:tcPr>
          <w:p w14:paraId="07E176E3" w14:textId="77777777" w:rsidR="001D1B17" w:rsidRPr="001D1B17" w:rsidRDefault="001D1B17" w:rsidP="00A834DD">
            <w:pPr>
              <w:ind w:firstLineChars="200" w:firstLine="400"/>
              <w:jc w:val="left"/>
              <w:rPr>
                <w:rFonts w:eastAsia="Times New Roman" w:cs="Times New Roman"/>
                <w:color w:val="000000"/>
                <w:sz w:val="18"/>
                <w:szCs w:val="18"/>
                <w:lang w:eastAsia="lv-LV"/>
              </w:rPr>
            </w:pPr>
            <w:r w:rsidRPr="001D1B17">
              <w:rPr>
                <w:sz w:val="20"/>
                <w:szCs w:val="20"/>
              </w:rPr>
              <w:t>vienreizējie izdevumi valsts aizsardzībai un iekšējai drošībai</w:t>
            </w:r>
          </w:p>
        </w:tc>
        <w:tc>
          <w:tcPr>
            <w:tcW w:w="1276" w:type="dxa"/>
            <w:shd w:val="clear" w:color="auto" w:fill="auto"/>
            <w:noWrap/>
            <w:vAlign w:val="bottom"/>
          </w:tcPr>
          <w:p w14:paraId="6F9AAA05" w14:textId="77777777" w:rsidR="001D1B17" w:rsidRPr="001D1B17" w:rsidRDefault="001D1B17" w:rsidP="00A834DD">
            <w:pPr>
              <w:ind w:firstLine="0"/>
              <w:jc w:val="left"/>
              <w:rPr>
                <w:rFonts w:eastAsia="Times New Roman" w:cs="Times New Roman"/>
                <w:color w:val="000000"/>
                <w:sz w:val="16"/>
                <w:szCs w:val="16"/>
                <w:lang w:eastAsia="lv-LV"/>
              </w:rPr>
            </w:pPr>
            <w:r w:rsidRPr="001D1B17">
              <w:rPr>
                <w:rFonts w:eastAsia="Times New Roman" w:cs="Times New Roman"/>
                <w:color w:val="000000"/>
                <w:sz w:val="16"/>
                <w:szCs w:val="16"/>
                <w:lang w:eastAsia="lv-LV"/>
              </w:rPr>
              <w:t>(11)</w:t>
            </w:r>
          </w:p>
        </w:tc>
        <w:tc>
          <w:tcPr>
            <w:tcW w:w="1098" w:type="dxa"/>
            <w:shd w:val="clear" w:color="auto" w:fill="auto"/>
            <w:noWrap/>
            <w:vAlign w:val="center"/>
          </w:tcPr>
          <w:p w14:paraId="1B796D91" w14:textId="77777777" w:rsidR="001D1B17" w:rsidRPr="001D1B17" w:rsidRDefault="001D1B17" w:rsidP="00A834DD">
            <w:pPr>
              <w:ind w:firstLine="0"/>
              <w:jc w:val="center"/>
              <w:rPr>
                <w:rFonts w:eastAsia="Times New Roman" w:cs="Times New Roman"/>
                <w:color w:val="000000"/>
                <w:sz w:val="18"/>
                <w:szCs w:val="18"/>
                <w:lang w:eastAsia="lv-LV"/>
              </w:rPr>
            </w:pPr>
            <w:r w:rsidRPr="001D1B17">
              <w:rPr>
                <w:sz w:val="20"/>
                <w:szCs w:val="20"/>
              </w:rPr>
              <w:t>0,0</w:t>
            </w:r>
          </w:p>
        </w:tc>
        <w:tc>
          <w:tcPr>
            <w:tcW w:w="1099" w:type="dxa"/>
            <w:shd w:val="clear" w:color="auto" w:fill="E7E6E6" w:themeFill="background2"/>
            <w:noWrap/>
            <w:vAlign w:val="center"/>
          </w:tcPr>
          <w:p w14:paraId="1C6D0EF2" w14:textId="77777777" w:rsidR="001D1B17" w:rsidRPr="001D1B17" w:rsidRDefault="001D1B17" w:rsidP="00A834DD">
            <w:pPr>
              <w:ind w:firstLine="0"/>
              <w:jc w:val="center"/>
              <w:rPr>
                <w:rFonts w:eastAsia="Times New Roman" w:cs="Times New Roman"/>
                <w:color w:val="000000"/>
                <w:sz w:val="18"/>
                <w:szCs w:val="18"/>
                <w:lang w:eastAsia="lv-LV"/>
              </w:rPr>
            </w:pPr>
          </w:p>
        </w:tc>
        <w:tc>
          <w:tcPr>
            <w:tcW w:w="1098" w:type="dxa"/>
            <w:shd w:val="clear" w:color="auto" w:fill="E7E6E6" w:themeFill="background2"/>
            <w:noWrap/>
            <w:vAlign w:val="center"/>
          </w:tcPr>
          <w:p w14:paraId="1EE32764" w14:textId="77777777" w:rsidR="001D1B17" w:rsidRPr="001D1B17" w:rsidRDefault="001D1B17" w:rsidP="00A834DD">
            <w:pPr>
              <w:ind w:firstLine="0"/>
              <w:jc w:val="center"/>
              <w:rPr>
                <w:rFonts w:eastAsia="Times New Roman" w:cs="Times New Roman"/>
                <w:color w:val="000000"/>
                <w:sz w:val="18"/>
                <w:szCs w:val="18"/>
                <w:lang w:eastAsia="lv-LV"/>
              </w:rPr>
            </w:pPr>
          </w:p>
        </w:tc>
        <w:tc>
          <w:tcPr>
            <w:tcW w:w="1099" w:type="dxa"/>
            <w:shd w:val="clear" w:color="auto" w:fill="E7E6E6" w:themeFill="background2"/>
            <w:noWrap/>
            <w:vAlign w:val="center"/>
          </w:tcPr>
          <w:p w14:paraId="0B6AFA21" w14:textId="77777777" w:rsidR="001D1B17" w:rsidRPr="001D1B17" w:rsidRDefault="001D1B17" w:rsidP="00A834DD">
            <w:pPr>
              <w:ind w:firstLine="0"/>
              <w:jc w:val="center"/>
              <w:rPr>
                <w:rFonts w:eastAsia="Times New Roman" w:cs="Times New Roman"/>
                <w:color w:val="000000"/>
                <w:sz w:val="18"/>
                <w:szCs w:val="18"/>
                <w:lang w:eastAsia="lv-LV"/>
              </w:rPr>
            </w:pPr>
          </w:p>
        </w:tc>
      </w:tr>
      <w:tr w:rsidR="001D1B17" w:rsidRPr="001D1B17" w14:paraId="1375B7AD" w14:textId="77777777" w:rsidTr="00A834DD">
        <w:trPr>
          <w:trHeight w:val="310"/>
        </w:trPr>
        <w:tc>
          <w:tcPr>
            <w:tcW w:w="3397" w:type="dxa"/>
            <w:shd w:val="clear" w:color="auto" w:fill="DEEAF6" w:themeFill="accent1" w:themeFillTint="33"/>
            <w:noWrap/>
            <w:vAlign w:val="bottom"/>
            <w:hideMark/>
          </w:tcPr>
          <w:p w14:paraId="04EF54EB" w14:textId="77777777" w:rsidR="001D1B17" w:rsidRPr="001D1B17" w:rsidRDefault="001D1B17" w:rsidP="00A834DD">
            <w:pPr>
              <w:ind w:firstLine="0"/>
              <w:jc w:val="left"/>
              <w:rPr>
                <w:rFonts w:eastAsia="Times New Roman" w:cs="Times New Roman"/>
                <w:b/>
                <w:bCs/>
                <w:color w:val="000000"/>
                <w:sz w:val="18"/>
                <w:szCs w:val="18"/>
                <w:lang w:eastAsia="lv-LV"/>
              </w:rPr>
            </w:pPr>
            <w:r w:rsidRPr="001D1B17">
              <w:rPr>
                <w:b/>
                <w:bCs/>
                <w:color w:val="000000"/>
                <w:sz w:val="20"/>
                <w:szCs w:val="20"/>
              </w:rPr>
              <w:t>vispārējās valdības strukturālās bilances prognoze un mērķi, % no IKP</w:t>
            </w:r>
          </w:p>
        </w:tc>
        <w:tc>
          <w:tcPr>
            <w:tcW w:w="1276" w:type="dxa"/>
            <w:shd w:val="clear" w:color="auto" w:fill="DEEAF6" w:themeFill="accent1" w:themeFillTint="33"/>
            <w:noWrap/>
            <w:vAlign w:val="center"/>
            <w:hideMark/>
          </w:tcPr>
          <w:p w14:paraId="6C996661" w14:textId="77777777" w:rsidR="001D1B17" w:rsidRPr="001D1B17" w:rsidRDefault="001D1B17" w:rsidP="00A834DD">
            <w:pPr>
              <w:ind w:firstLine="0"/>
              <w:jc w:val="left"/>
              <w:rPr>
                <w:rFonts w:eastAsia="Times New Roman" w:cs="Times New Roman"/>
                <w:b/>
                <w:bCs/>
                <w:color w:val="000000"/>
                <w:sz w:val="16"/>
                <w:szCs w:val="16"/>
                <w:lang w:eastAsia="lv-LV"/>
              </w:rPr>
            </w:pPr>
            <w:r w:rsidRPr="001D1B17">
              <w:rPr>
                <w:rFonts w:eastAsia="Times New Roman" w:cs="Times New Roman"/>
                <w:b/>
                <w:bCs/>
                <w:color w:val="000000"/>
                <w:sz w:val="16"/>
                <w:szCs w:val="16"/>
                <w:lang w:eastAsia="lv-LV"/>
              </w:rPr>
              <w:t>(12)=(3)-(5)-(6)</w:t>
            </w:r>
          </w:p>
        </w:tc>
        <w:tc>
          <w:tcPr>
            <w:tcW w:w="1098" w:type="dxa"/>
            <w:shd w:val="clear" w:color="auto" w:fill="DEEAF6" w:themeFill="accent1" w:themeFillTint="33"/>
            <w:noWrap/>
            <w:vAlign w:val="center"/>
          </w:tcPr>
          <w:p w14:paraId="53F97B1E" w14:textId="77777777" w:rsidR="001D1B17" w:rsidRPr="001D1B17" w:rsidRDefault="001D1B17" w:rsidP="00A834DD">
            <w:pPr>
              <w:ind w:firstLine="0"/>
              <w:jc w:val="center"/>
              <w:rPr>
                <w:rFonts w:eastAsia="Times New Roman" w:cs="Times New Roman"/>
                <w:b/>
                <w:bCs/>
                <w:color w:val="000000"/>
                <w:sz w:val="18"/>
                <w:szCs w:val="18"/>
                <w:lang w:eastAsia="lv-LV"/>
              </w:rPr>
            </w:pPr>
            <w:r w:rsidRPr="001D1B17">
              <w:rPr>
                <w:b/>
                <w:bCs/>
                <w:sz w:val="20"/>
                <w:szCs w:val="20"/>
              </w:rPr>
              <w:t>-3,5</w:t>
            </w:r>
          </w:p>
        </w:tc>
        <w:tc>
          <w:tcPr>
            <w:tcW w:w="1099" w:type="dxa"/>
            <w:shd w:val="clear" w:color="auto" w:fill="DEEAF6" w:themeFill="accent1" w:themeFillTint="33"/>
            <w:noWrap/>
            <w:vAlign w:val="center"/>
          </w:tcPr>
          <w:p w14:paraId="24F50CAF" w14:textId="77777777" w:rsidR="001D1B17" w:rsidRPr="001D1B17" w:rsidRDefault="001D1B17" w:rsidP="00A834DD">
            <w:pPr>
              <w:ind w:firstLine="0"/>
              <w:jc w:val="center"/>
              <w:rPr>
                <w:rFonts w:eastAsia="Times New Roman" w:cs="Times New Roman"/>
                <w:b/>
                <w:bCs/>
                <w:color w:val="000000"/>
                <w:sz w:val="18"/>
                <w:szCs w:val="18"/>
                <w:lang w:eastAsia="lv-LV"/>
              </w:rPr>
            </w:pPr>
            <w:r w:rsidRPr="001D1B17">
              <w:rPr>
                <w:b/>
                <w:bCs/>
                <w:sz w:val="20"/>
                <w:szCs w:val="20"/>
              </w:rPr>
              <w:t>-3,0</w:t>
            </w:r>
          </w:p>
        </w:tc>
        <w:tc>
          <w:tcPr>
            <w:tcW w:w="1098" w:type="dxa"/>
            <w:shd w:val="clear" w:color="auto" w:fill="DEEAF6" w:themeFill="accent1" w:themeFillTint="33"/>
            <w:noWrap/>
            <w:vAlign w:val="center"/>
          </w:tcPr>
          <w:p w14:paraId="67F466CB" w14:textId="77777777" w:rsidR="001D1B17" w:rsidRPr="001D1B17" w:rsidRDefault="001D1B17" w:rsidP="00A834DD">
            <w:pPr>
              <w:ind w:firstLine="0"/>
              <w:jc w:val="center"/>
              <w:rPr>
                <w:rFonts w:eastAsia="Times New Roman" w:cs="Times New Roman"/>
                <w:b/>
                <w:bCs/>
                <w:color w:val="000000"/>
                <w:sz w:val="18"/>
                <w:szCs w:val="18"/>
                <w:lang w:eastAsia="lv-LV"/>
              </w:rPr>
            </w:pPr>
            <w:r w:rsidRPr="001D1B17">
              <w:rPr>
                <w:b/>
                <w:bCs/>
                <w:sz w:val="20"/>
                <w:szCs w:val="20"/>
              </w:rPr>
              <w:t>-2,5</w:t>
            </w:r>
          </w:p>
        </w:tc>
        <w:tc>
          <w:tcPr>
            <w:tcW w:w="1099" w:type="dxa"/>
            <w:shd w:val="clear" w:color="auto" w:fill="DEEAF6" w:themeFill="accent1" w:themeFillTint="33"/>
            <w:noWrap/>
            <w:vAlign w:val="center"/>
          </w:tcPr>
          <w:p w14:paraId="2618760E" w14:textId="77777777" w:rsidR="001D1B17" w:rsidRPr="001D1B17" w:rsidRDefault="001D1B17" w:rsidP="00A834DD">
            <w:pPr>
              <w:ind w:firstLine="0"/>
              <w:jc w:val="center"/>
              <w:rPr>
                <w:rFonts w:eastAsia="Times New Roman" w:cs="Times New Roman"/>
                <w:b/>
                <w:bCs/>
                <w:color w:val="000000"/>
                <w:sz w:val="18"/>
                <w:szCs w:val="18"/>
                <w:lang w:eastAsia="lv-LV"/>
              </w:rPr>
            </w:pPr>
            <w:r w:rsidRPr="001D1B17">
              <w:rPr>
                <w:b/>
                <w:bCs/>
                <w:sz w:val="20"/>
                <w:szCs w:val="20"/>
              </w:rPr>
              <w:t>-2,0</w:t>
            </w:r>
          </w:p>
        </w:tc>
      </w:tr>
    </w:tbl>
    <w:p w14:paraId="4E3EE021" w14:textId="77777777" w:rsidR="006A1FC0" w:rsidRPr="001D1B17" w:rsidRDefault="006A1FC0" w:rsidP="006A1FC0">
      <w:pPr>
        <w:rPr>
          <w:noProof/>
          <w:sz w:val="24"/>
          <w:szCs w:val="20"/>
          <w:lang w:eastAsia="lv-LV"/>
        </w:rPr>
      </w:pPr>
    </w:p>
    <w:p w14:paraId="5D293CC2" w14:textId="77777777" w:rsidR="006A1FC0" w:rsidRDefault="006A1FC0" w:rsidP="006A1FC0">
      <w:pPr>
        <w:rPr>
          <w:rFonts w:cs="Times New Roman"/>
          <w:sz w:val="24"/>
        </w:rPr>
      </w:pPr>
      <w:r w:rsidRPr="001D1B17">
        <w:rPr>
          <w:rFonts w:cs="Times New Roman"/>
          <w:sz w:val="24"/>
        </w:rPr>
        <w:t>Vienreizējo pasākumu maksimāli pieļaujamais līmenis tiek ierobežots</w:t>
      </w:r>
      <w:r>
        <w:rPr>
          <w:rFonts w:cs="Times New Roman"/>
          <w:sz w:val="24"/>
        </w:rPr>
        <w:t xml:space="preserve"> tā, lai saskaņā ar ES metodoloģiju noteiktais vispārējās valdības budžeta strukturālais deficīts samazinātos vismaz par 0,5% no IKP ik gadu līdz tas sasniedz vidēja termiņa mērķi, kas Latvijai saskaņā ar ES metodoloģiju ir noteikts -1% no IKP apmērā.</w:t>
      </w:r>
    </w:p>
    <w:p w14:paraId="120CD877" w14:textId="77777777" w:rsidR="006A1FC0" w:rsidRDefault="006A1FC0" w:rsidP="006A1FC0">
      <w:pPr>
        <w:rPr>
          <w:rFonts w:cs="Times New Roman"/>
          <w:sz w:val="24"/>
        </w:rPr>
      </w:pPr>
    </w:p>
    <w:tbl>
      <w:tblPr>
        <w:tblStyle w:val="TableGrid"/>
        <w:tblW w:w="0" w:type="auto"/>
        <w:tblLook w:val="04A0" w:firstRow="1" w:lastRow="0" w:firstColumn="1" w:lastColumn="0" w:noHBand="0" w:noVBand="1"/>
      </w:tblPr>
      <w:tblGrid>
        <w:gridCol w:w="9061"/>
      </w:tblGrid>
      <w:tr w:rsidR="006A1FC0" w14:paraId="4B538491" w14:textId="77777777" w:rsidTr="00A834DD">
        <w:tc>
          <w:tcPr>
            <w:tcW w:w="9061" w:type="dxa"/>
          </w:tcPr>
          <w:p w14:paraId="11D8F59F" w14:textId="21861984" w:rsidR="006A1FC0" w:rsidRDefault="006A1FC0" w:rsidP="00A834DD">
            <w:pPr>
              <w:ind w:firstLine="0"/>
              <w:rPr>
                <w:sz w:val="24"/>
              </w:rPr>
            </w:pPr>
            <w:r>
              <w:rPr>
                <w:sz w:val="24"/>
              </w:rPr>
              <w:t xml:space="preserve">Ņemot vērā, ka </w:t>
            </w:r>
            <w:r>
              <w:rPr>
                <w:rFonts w:eastAsia="Calibri"/>
                <w:color w:val="000000"/>
                <w:sz w:val="24"/>
              </w:rPr>
              <w:t>š</w:t>
            </w:r>
            <w:r w:rsidR="000E1368">
              <w:rPr>
                <w:rFonts w:eastAsia="Calibri"/>
                <w:color w:val="000000"/>
                <w:sz w:val="24"/>
              </w:rPr>
              <w:t xml:space="preserve">ā </w:t>
            </w:r>
            <w:r>
              <w:rPr>
                <w:rFonts w:eastAsia="Calibri"/>
                <w:color w:val="000000"/>
                <w:sz w:val="24"/>
              </w:rPr>
              <w:t>g</w:t>
            </w:r>
            <w:r w:rsidR="000E1368">
              <w:rPr>
                <w:rFonts w:eastAsia="Calibri"/>
                <w:color w:val="000000"/>
                <w:sz w:val="24"/>
              </w:rPr>
              <w:t>ada</w:t>
            </w:r>
            <w:r>
              <w:rPr>
                <w:rFonts w:eastAsia="Calibri"/>
                <w:color w:val="000000"/>
                <w:sz w:val="24"/>
              </w:rPr>
              <w:t xml:space="preserve"> 8.</w:t>
            </w:r>
            <w:r w:rsidR="00D25367">
              <w:rPr>
                <w:rFonts w:eastAsia="Calibri"/>
                <w:color w:val="000000"/>
                <w:sz w:val="24"/>
              </w:rPr>
              <w:t xml:space="preserve"> </w:t>
            </w:r>
            <w:r>
              <w:rPr>
                <w:rFonts w:eastAsia="Calibri"/>
                <w:color w:val="000000"/>
                <w:sz w:val="24"/>
              </w:rPr>
              <w:t>mart</w:t>
            </w:r>
            <w:r w:rsidR="00D25367">
              <w:rPr>
                <w:rFonts w:eastAsia="Calibri"/>
                <w:color w:val="000000"/>
                <w:sz w:val="24"/>
              </w:rPr>
              <w:t>a</w:t>
            </w:r>
            <w:r>
              <w:rPr>
                <w:rFonts w:eastAsia="Calibri"/>
                <w:color w:val="000000"/>
                <w:sz w:val="24"/>
              </w:rPr>
              <w:t xml:space="preserve"> </w:t>
            </w:r>
            <w:r w:rsidRPr="00A10C08">
              <w:rPr>
                <w:rFonts w:eastAsia="Calibri"/>
                <w:color w:val="000000"/>
                <w:sz w:val="24"/>
              </w:rPr>
              <w:t>EK publicē</w:t>
            </w:r>
            <w:r w:rsidR="00D25367">
              <w:rPr>
                <w:rFonts w:eastAsia="Calibri"/>
                <w:color w:val="000000"/>
                <w:sz w:val="24"/>
              </w:rPr>
              <w:t>tās</w:t>
            </w:r>
            <w:r w:rsidRPr="00A10C08">
              <w:rPr>
                <w:rFonts w:eastAsia="Calibri"/>
                <w:color w:val="000000"/>
                <w:sz w:val="24"/>
              </w:rPr>
              <w:t xml:space="preserve"> fiskālās politikas vadlīnijas 202</w:t>
            </w:r>
            <w:r>
              <w:rPr>
                <w:rFonts w:eastAsia="Calibri"/>
                <w:color w:val="000000"/>
                <w:sz w:val="24"/>
              </w:rPr>
              <w:t>4</w:t>
            </w:r>
            <w:r w:rsidRPr="00A10C08">
              <w:rPr>
                <w:rFonts w:eastAsia="Calibri"/>
                <w:color w:val="000000"/>
                <w:sz w:val="24"/>
              </w:rPr>
              <w:t>. gadam</w:t>
            </w:r>
            <w:r>
              <w:rPr>
                <w:rFonts w:eastAsia="Calibri"/>
                <w:color w:val="000000"/>
                <w:sz w:val="24"/>
              </w:rPr>
              <w:t xml:space="preserve"> paredz, ka fiskālās rekomendācijas valstīm tiks noteiktas atbilstoši Stabilitātes programmas fiskālajai trajektorijai, šī mērķa vajadzībām ir izmantojama fiskālā trajektorija, kas aprēķināta tā, lai nodrošinātu pēc ES metodoloģijas aprēķinātā vispārējās valdības strukturālā deficīta samazināšanu par 0,5% no IKP ik gadu, līdz tas sasniedz 1% no IKP līmeni.</w:t>
            </w:r>
          </w:p>
        </w:tc>
      </w:tr>
    </w:tbl>
    <w:p w14:paraId="61084920" w14:textId="77777777" w:rsidR="006A1FC0" w:rsidRPr="00CD6579" w:rsidRDefault="006A1FC0" w:rsidP="006A1FC0">
      <w:pPr>
        <w:ind w:firstLine="0"/>
        <w:rPr>
          <w:rFonts w:cs="Times New Roman"/>
          <w:sz w:val="24"/>
        </w:rPr>
      </w:pPr>
    </w:p>
    <w:p w14:paraId="15EA32DC" w14:textId="77777777" w:rsidR="006A1FC0" w:rsidRPr="00EB38BC" w:rsidRDefault="006A1FC0" w:rsidP="006A1FC0">
      <w:pPr>
        <w:pStyle w:val="Heading3"/>
        <w:numPr>
          <w:ilvl w:val="2"/>
          <w:numId w:val="21"/>
        </w:numPr>
        <w:spacing w:before="0" w:after="240"/>
        <w:ind w:left="0" w:firstLine="0"/>
        <w:jc w:val="center"/>
        <w:rPr>
          <w:rFonts w:cs="Times New Roman"/>
          <w:sz w:val="24"/>
          <w:szCs w:val="24"/>
        </w:rPr>
      </w:pPr>
      <w:bookmarkStart w:id="31" w:name="_Toc131331238"/>
      <w:proofErr w:type="spellStart"/>
      <w:r w:rsidRPr="00EB38BC">
        <w:rPr>
          <w:rFonts w:cs="Times New Roman"/>
          <w:sz w:val="24"/>
          <w:szCs w:val="24"/>
        </w:rPr>
        <w:t>Diskrecionārie</w:t>
      </w:r>
      <w:proofErr w:type="spellEnd"/>
      <w:r w:rsidRPr="00EB38BC">
        <w:rPr>
          <w:rFonts w:cs="Times New Roman"/>
          <w:sz w:val="24"/>
          <w:szCs w:val="24"/>
        </w:rPr>
        <w:t xml:space="preserve"> pasākumi</w:t>
      </w:r>
      <w:bookmarkEnd w:id="30"/>
      <w:bookmarkEnd w:id="31"/>
    </w:p>
    <w:p w14:paraId="54ADDA6B" w14:textId="77777777" w:rsidR="006A1FC0" w:rsidRPr="00EB38BC" w:rsidRDefault="006A1FC0" w:rsidP="006A1FC0">
      <w:pPr>
        <w:ind w:firstLine="698"/>
        <w:rPr>
          <w:rFonts w:cs="Times New Roman"/>
          <w:sz w:val="24"/>
        </w:rPr>
      </w:pPr>
      <w:r w:rsidRPr="00EB38BC">
        <w:rPr>
          <w:rFonts w:cs="Times New Roman"/>
          <w:sz w:val="24"/>
        </w:rPr>
        <w:t xml:space="preserve">Starplaikā starp Stabilitātes programmu 2022.-2025. gadam un šo Stabilitātes programmu ir pieņemti fiskālās politikas lēmumi. Tie iekļauj: </w:t>
      </w:r>
    </w:p>
    <w:p w14:paraId="613F7EE5" w14:textId="31182AA2" w:rsidR="00D25367" w:rsidRPr="00D25367" w:rsidRDefault="006A1FC0" w:rsidP="00D25367">
      <w:pPr>
        <w:pStyle w:val="ListParagraph"/>
        <w:numPr>
          <w:ilvl w:val="0"/>
          <w:numId w:val="22"/>
        </w:numPr>
        <w:rPr>
          <w:rFonts w:cs="Times New Roman"/>
          <w:sz w:val="24"/>
        </w:rPr>
      </w:pPr>
      <w:r w:rsidRPr="00EB38BC">
        <w:rPr>
          <w:rFonts w:cs="Times New Roman"/>
          <w:sz w:val="24"/>
        </w:rPr>
        <w:lastRenderedPageBreak/>
        <w:t>pasākumus, kas ietverti likumā "Par valsts budžetu 2023.</w:t>
      </w:r>
      <w:r w:rsidR="00D25367">
        <w:rPr>
          <w:rFonts w:cs="Times New Roman"/>
          <w:sz w:val="24"/>
        </w:rPr>
        <w:t xml:space="preserve"> </w:t>
      </w:r>
      <w:r w:rsidRPr="00EB38BC">
        <w:rPr>
          <w:rFonts w:cs="Times New Roman"/>
          <w:sz w:val="24"/>
        </w:rPr>
        <w:t>gadam un budžeta ietvaru 2023., 2024. un 2025.</w:t>
      </w:r>
      <w:r w:rsidR="00D25367">
        <w:rPr>
          <w:rFonts w:cs="Times New Roman"/>
          <w:sz w:val="24"/>
        </w:rPr>
        <w:t xml:space="preserve"> </w:t>
      </w:r>
      <w:r w:rsidRPr="00EB38BC">
        <w:rPr>
          <w:rFonts w:cs="Times New Roman"/>
          <w:sz w:val="24"/>
        </w:rPr>
        <w:t>gad</w:t>
      </w:r>
      <w:r w:rsidR="00D25367">
        <w:rPr>
          <w:rFonts w:cs="Times New Roman"/>
          <w:sz w:val="24"/>
        </w:rPr>
        <w:t>am</w:t>
      </w:r>
      <w:r w:rsidRPr="00EB38BC">
        <w:rPr>
          <w:rFonts w:cs="Times New Roman"/>
          <w:sz w:val="24"/>
        </w:rPr>
        <w:t xml:space="preserve">", </w:t>
      </w:r>
      <w:r w:rsidR="00D25367" w:rsidRPr="00D25367">
        <w:rPr>
          <w:rFonts w:cs="Times New Roman"/>
          <w:sz w:val="24"/>
        </w:rPr>
        <w:t>kas šajā Stabilitātes programmā netiek atsevišķi izklāstīt</w:t>
      </w:r>
      <w:r w:rsidR="00ED52DF">
        <w:rPr>
          <w:rFonts w:cs="Times New Roman"/>
          <w:sz w:val="24"/>
        </w:rPr>
        <w:t>i</w:t>
      </w:r>
      <w:r w:rsidR="00D25367" w:rsidRPr="00D25367">
        <w:rPr>
          <w:rFonts w:cs="Times New Roman"/>
          <w:sz w:val="24"/>
        </w:rPr>
        <w:t xml:space="preserve"> un ar t</w:t>
      </w:r>
      <w:r w:rsidR="00ED52DF">
        <w:rPr>
          <w:rFonts w:cs="Times New Roman"/>
          <w:sz w:val="24"/>
        </w:rPr>
        <w:t>iem</w:t>
      </w:r>
      <w:r w:rsidR="00D25367" w:rsidRPr="00D25367">
        <w:rPr>
          <w:rFonts w:cs="Times New Roman"/>
          <w:sz w:val="24"/>
        </w:rPr>
        <w:t xml:space="preserve"> var iepazīties Latvijas Vispārējās valdības budžeta plāna projektā 2023. gadam</w:t>
      </w:r>
      <w:r w:rsidR="00ED52DF">
        <w:rPr>
          <w:rFonts w:cs="Times New Roman"/>
          <w:sz w:val="24"/>
        </w:rPr>
        <w:t>;</w:t>
      </w:r>
    </w:p>
    <w:p w14:paraId="5BF3EEC8" w14:textId="62FEFEDB" w:rsidR="00D25367" w:rsidRPr="00BA03D2" w:rsidRDefault="00D25367" w:rsidP="00D25367">
      <w:pPr>
        <w:pStyle w:val="ListParagraph"/>
        <w:numPr>
          <w:ilvl w:val="0"/>
          <w:numId w:val="22"/>
        </w:numPr>
        <w:rPr>
          <w:rFonts w:cs="Times New Roman"/>
          <w:sz w:val="24"/>
        </w:rPr>
      </w:pPr>
      <w:r w:rsidRPr="00D25367">
        <w:rPr>
          <w:rFonts w:cs="Times New Roman"/>
          <w:sz w:val="24"/>
        </w:rPr>
        <w:t>grozījum</w:t>
      </w:r>
      <w:r>
        <w:rPr>
          <w:rFonts w:cs="Times New Roman"/>
          <w:sz w:val="24"/>
        </w:rPr>
        <w:t>us</w:t>
      </w:r>
      <w:r w:rsidRPr="00D25367">
        <w:rPr>
          <w:rFonts w:cs="Times New Roman"/>
          <w:sz w:val="24"/>
        </w:rPr>
        <w:t xml:space="preserve"> likumā “Par iedzīvotāju ienākuma nodokli”, kas paredz atcelt pienākumu veikt IIN avansa maksājumus no saimnieciskās darbības. To ietekme ir </w:t>
      </w:r>
      <w:r w:rsidRPr="00BA03D2">
        <w:rPr>
          <w:rFonts w:cs="Times New Roman"/>
          <w:sz w:val="24"/>
        </w:rPr>
        <w:t xml:space="preserve">norādīta 3.5. tabulā.  </w:t>
      </w:r>
    </w:p>
    <w:p w14:paraId="41859412" w14:textId="5C4E86EA" w:rsidR="00D25367" w:rsidRDefault="00D25367" w:rsidP="00D25367">
      <w:pPr>
        <w:widowControl w:val="0"/>
        <w:spacing w:before="240" w:after="120"/>
        <w:ind w:left="360" w:firstLine="0"/>
        <w:jc w:val="right"/>
        <w:rPr>
          <w:rFonts w:eastAsia="Times New Roman" w:cs="Times New Roman"/>
          <w:b/>
          <w:sz w:val="24"/>
          <w:szCs w:val="24"/>
        </w:rPr>
      </w:pPr>
      <w:r w:rsidRPr="00BA03D2">
        <w:rPr>
          <w:rFonts w:eastAsia="Times New Roman" w:cs="Times New Roman"/>
          <w:b/>
          <w:sz w:val="24"/>
          <w:szCs w:val="24"/>
        </w:rPr>
        <w:t>3.5. tabula</w:t>
      </w:r>
      <w:r w:rsidRPr="00D25367">
        <w:rPr>
          <w:rFonts w:eastAsia="Times New Roman" w:cs="Times New Roman"/>
          <w:b/>
          <w:sz w:val="24"/>
          <w:szCs w:val="24"/>
        </w:rPr>
        <w:t xml:space="preserve">. </w:t>
      </w:r>
      <w:proofErr w:type="spellStart"/>
      <w:r w:rsidRPr="00D25367">
        <w:rPr>
          <w:rFonts w:eastAsia="Times New Roman" w:cs="Times New Roman"/>
          <w:b/>
          <w:sz w:val="24"/>
          <w:szCs w:val="24"/>
        </w:rPr>
        <w:t>Diskrecionārie</w:t>
      </w:r>
      <w:proofErr w:type="spellEnd"/>
      <w:r w:rsidRPr="00D25367">
        <w:rPr>
          <w:rFonts w:eastAsia="Times New Roman" w:cs="Times New Roman"/>
          <w:b/>
          <w:sz w:val="24"/>
          <w:szCs w:val="24"/>
        </w:rPr>
        <w:t xml:space="preserve"> ieņēmumu pasākumi</w:t>
      </w:r>
    </w:p>
    <w:tbl>
      <w:tblPr>
        <w:tblW w:w="8965" w:type="dxa"/>
        <w:tblLayout w:type="fixed"/>
        <w:tblLook w:val="04A0" w:firstRow="1" w:lastRow="0" w:firstColumn="1" w:lastColumn="0" w:noHBand="0" w:noVBand="1"/>
      </w:tblPr>
      <w:tblGrid>
        <w:gridCol w:w="1975"/>
        <w:gridCol w:w="992"/>
        <w:gridCol w:w="644"/>
        <w:gridCol w:w="1105"/>
        <w:gridCol w:w="1316"/>
        <w:gridCol w:w="977"/>
        <w:gridCol w:w="977"/>
        <w:gridCol w:w="979"/>
      </w:tblGrid>
      <w:tr w:rsidR="00ED52DF" w:rsidRPr="00ED52DF" w14:paraId="44041255" w14:textId="77777777" w:rsidTr="00ED52DF">
        <w:trPr>
          <w:trHeight w:val="291"/>
        </w:trPr>
        <w:tc>
          <w:tcPr>
            <w:tcW w:w="1975" w:type="dxa"/>
            <w:vMerge w:val="restart"/>
            <w:tcBorders>
              <w:top w:val="single" w:sz="8" w:space="0" w:color="95B3D7"/>
              <w:left w:val="single" w:sz="8" w:space="0" w:color="95B3D7"/>
              <w:bottom w:val="single" w:sz="8" w:space="0" w:color="95B3D7"/>
              <w:right w:val="single" w:sz="8" w:space="0" w:color="95B3D7"/>
            </w:tcBorders>
            <w:shd w:val="clear" w:color="auto" w:fill="auto"/>
            <w:vAlign w:val="center"/>
            <w:hideMark/>
          </w:tcPr>
          <w:p w14:paraId="39F25E90" w14:textId="77777777" w:rsidR="00ED52DF" w:rsidRPr="00ED52DF" w:rsidRDefault="00ED52DF" w:rsidP="00ED52DF">
            <w:pPr>
              <w:ind w:firstLine="0"/>
              <w:jc w:val="center"/>
              <w:rPr>
                <w:rFonts w:eastAsia="Times New Roman" w:cs="Times New Roman"/>
                <w:b/>
                <w:bCs/>
                <w:sz w:val="18"/>
                <w:szCs w:val="18"/>
                <w:lang w:eastAsia="lv-LV"/>
              </w:rPr>
            </w:pPr>
            <w:r w:rsidRPr="00ED52DF">
              <w:rPr>
                <w:rFonts w:eastAsia="Times New Roman" w:cs="Times New Roman"/>
                <w:b/>
                <w:bCs/>
                <w:sz w:val="18"/>
                <w:szCs w:val="18"/>
                <w:lang w:eastAsia="lv-LV"/>
              </w:rPr>
              <w:t>Detalizēts apraksts*</w:t>
            </w:r>
          </w:p>
        </w:tc>
        <w:tc>
          <w:tcPr>
            <w:tcW w:w="992" w:type="dxa"/>
            <w:vMerge w:val="restart"/>
            <w:tcBorders>
              <w:top w:val="single" w:sz="8" w:space="0" w:color="95B3D7"/>
              <w:left w:val="single" w:sz="8" w:space="0" w:color="95B3D7"/>
              <w:bottom w:val="single" w:sz="8" w:space="0" w:color="95B3D7"/>
              <w:right w:val="single" w:sz="8" w:space="0" w:color="95B3D7"/>
            </w:tcBorders>
            <w:shd w:val="clear" w:color="auto" w:fill="auto"/>
            <w:vAlign w:val="center"/>
            <w:hideMark/>
          </w:tcPr>
          <w:p w14:paraId="22229CD8" w14:textId="77777777" w:rsidR="00ED52DF" w:rsidRPr="00ED52DF" w:rsidRDefault="00ED52DF" w:rsidP="00ED52DF">
            <w:pPr>
              <w:ind w:firstLine="0"/>
              <w:jc w:val="center"/>
              <w:rPr>
                <w:rFonts w:eastAsia="Times New Roman" w:cs="Times New Roman"/>
                <w:b/>
                <w:bCs/>
                <w:sz w:val="18"/>
                <w:szCs w:val="18"/>
                <w:lang w:eastAsia="lv-LV"/>
              </w:rPr>
            </w:pPr>
            <w:r w:rsidRPr="00ED52DF">
              <w:rPr>
                <w:rFonts w:eastAsia="Times New Roman" w:cs="Times New Roman"/>
                <w:b/>
                <w:bCs/>
                <w:sz w:val="18"/>
                <w:szCs w:val="18"/>
                <w:lang w:eastAsia="lv-LV"/>
              </w:rPr>
              <w:t>Nodokļu veids</w:t>
            </w:r>
          </w:p>
        </w:tc>
        <w:tc>
          <w:tcPr>
            <w:tcW w:w="644" w:type="dxa"/>
            <w:vMerge w:val="restart"/>
            <w:tcBorders>
              <w:top w:val="single" w:sz="8" w:space="0" w:color="95B3D7"/>
              <w:left w:val="single" w:sz="8" w:space="0" w:color="95B3D7"/>
              <w:bottom w:val="single" w:sz="8" w:space="0" w:color="95B3D7"/>
              <w:right w:val="single" w:sz="8" w:space="0" w:color="95B3D7"/>
            </w:tcBorders>
            <w:shd w:val="clear" w:color="auto" w:fill="auto"/>
            <w:vAlign w:val="center"/>
            <w:hideMark/>
          </w:tcPr>
          <w:p w14:paraId="24E7DED7" w14:textId="77777777" w:rsidR="00ED52DF" w:rsidRPr="00ED52DF" w:rsidRDefault="00ED52DF" w:rsidP="00ED52DF">
            <w:pPr>
              <w:ind w:firstLine="0"/>
              <w:jc w:val="center"/>
              <w:rPr>
                <w:rFonts w:eastAsia="Times New Roman" w:cs="Times New Roman"/>
                <w:b/>
                <w:bCs/>
                <w:sz w:val="18"/>
                <w:szCs w:val="18"/>
                <w:lang w:eastAsia="lv-LV"/>
              </w:rPr>
            </w:pPr>
            <w:r w:rsidRPr="00ED52DF">
              <w:rPr>
                <w:rFonts w:eastAsia="Times New Roman" w:cs="Times New Roman"/>
                <w:b/>
                <w:bCs/>
                <w:sz w:val="18"/>
                <w:szCs w:val="18"/>
                <w:lang w:eastAsia="lv-LV"/>
              </w:rPr>
              <w:t>ESA kods</w:t>
            </w:r>
          </w:p>
        </w:tc>
        <w:tc>
          <w:tcPr>
            <w:tcW w:w="1105" w:type="dxa"/>
            <w:vMerge w:val="restart"/>
            <w:tcBorders>
              <w:top w:val="single" w:sz="8" w:space="0" w:color="95B3D7"/>
              <w:left w:val="single" w:sz="8" w:space="0" w:color="95B3D7"/>
              <w:bottom w:val="single" w:sz="8" w:space="0" w:color="95B3D7"/>
              <w:right w:val="single" w:sz="8" w:space="0" w:color="95B3D7"/>
            </w:tcBorders>
            <w:shd w:val="clear" w:color="auto" w:fill="auto"/>
            <w:vAlign w:val="center"/>
            <w:hideMark/>
          </w:tcPr>
          <w:p w14:paraId="6E5CA5CF" w14:textId="77777777" w:rsidR="00ED52DF" w:rsidRPr="00ED52DF" w:rsidRDefault="00ED52DF" w:rsidP="00ED52DF">
            <w:pPr>
              <w:ind w:firstLine="0"/>
              <w:jc w:val="center"/>
              <w:rPr>
                <w:rFonts w:eastAsia="Times New Roman" w:cs="Times New Roman"/>
                <w:b/>
                <w:bCs/>
                <w:sz w:val="18"/>
                <w:szCs w:val="18"/>
                <w:lang w:eastAsia="lv-LV"/>
              </w:rPr>
            </w:pPr>
            <w:r w:rsidRPr="00ED52DF">
              <w:rPr>
                <w:rFonts w:eastAsia="Times New Roman" w:cs="Times New Roman"/>
                <w:b/>
                <w:bCs/>
                <w:sz w:val="18"/>
                <w:szCs w:val="18"/>
                <w:lang w:eastAsia="lv-LV"/>
              </w:rPr>
              <w:t>Uzskaites princips</w:t>
            </w:r>
          </w:p>
        </w:tc>
        <w:tc>
          <w:tcPr>
            <w:tcW w:w="1316" w:type="dxa"/>
            <w:vMerge w:val="restart"/>
            <w:tcBorders>
              <w:top w:val="single" w:sz="8" w:space="0" w:color="95B3D7"/>
              <w:left w:val="single" w:sz="8" w:space="0" w:color="95B3D7"/>
              <w:bottom w:val="single" w:sz="8" w:space="0" w:color="95B3D7"/>
              <w:right w:val="single" w:sz="8" w:space="0" w:color="95B3D7"/>
            </w:tcBorders>
            <w:shd w:val="clear" w:color="auto" w:fill="auto"/>
            <w:vAlign w:val="center"/>
            <w:hideMark/>
          </w:tcPr>
          <w:p w14:paraId="7351EFE1" w14:textId="77777777" w:rsidR="00ED52DF" w:rsidRPr="00ED52DF" w:rsidRDefault="00ED52DF" w:rsidP="00ED52DF">
            <w:pPr>
              <w:ind w:firstLine="0"/>
              <w:jc w:val="center"/>
              <w:rPr>
                <w:rFonts w:eastAsia="Times New Roman" w:cs="Times New Roman"/>
                <w:b/>
                <w:bCs/>
                <w:sz w:val="18"/>
                <w:szCs w:val="18"/>
                <w:lang w:eastAsia="lv-LV"/>
              </w:rPr>
            </w:pPr>
            <w:r w:rsidRPr="00ED52DF">
              <w:rPr>
                <w:rFonts w:eastAsia="Times New Roman" w:cs="Times New Roman"/>
                <w:b/>
                <w:bCs/>
                <w:sz w:val="18"/>
                <w:szCs w:val="18"/>
                <w:lang w:eastAsia="lv-LV"/>
              </w:rPr>
              <w:t>Pieņemšanas statuss</w:t>
            </w:r>
          </w:p>
        </w:tc>
        <w:tc>
          <w:tcPr>
            <w:tcW w:w="2933" w:type="dxa"/>
            <w:gridSpan w:val="3"/>
            <w:tcBorders>
              <w:top w:val="single" w:sz="8" w:space="0" w:color="95B3D7"/>
              <w:left w:val="nil"/>
              <w:bottom w:val="single" w:sz="12" w:space="0" w:color="95B3D7"/>
              <w:right w:val="single" w:sz="8" w:space="0" w:color="95B3D7"/>
            </w:tcBorders>
            <w:shd w:val="clear" w:color="auto" w:fill="auto"/>
            <w:noWrap/>
            <w:vAlign w:val="center"/>
            <w:hideMark/>
          </w:tcPr>
          <w:p w14:paraId="296C8A58" w14:textId="77777777" w:rsidR="00ED52DF" w:rsidRPr="00ED52DF" w:rsidRDefault="00ED52DF" w:rsidP="00ED52DF">
            <w:pPr>
              <w:ind w:firstLine="0"/>
              <w:jc w:val="center"/>
              <w:rPr>
                <w:rFonts w:eastAsia="Times New Roman" w:cs="Times New Roman"/>
                <w:b/>
                <w:bCs/>
                <w:sz w:val="18"/>
                <w:szCs w:val="18"/>
                <w:lang w:eastAsia="lv-LV"/>
              </w:rPr>
            </w:pPr>
            <w:r w:rsidRPr="00ED52DF">
              <w:rPr>
                <w:rFonts w:eastAsia="Times New Roman" w:cs="Times New Roman"/>
                <w:b/>
                <w:bCs/>
                <w:sz w:val="18"/>
                <w:szCs w:val="18"/>
                <w:lang w:eastAsia="lv-LV"/>
              </w:rPr>
              <w:t>Ietekme uz budžetu</w:t>
            </w:r>
          </w:p>
        </w:tc>
      </w:tr>
      <w:tr w:rsidR="00ED52DF" w:rsidRPr="00ED52DF" w14:paraId="0F365B39" w14:textId="77777777" w:rsidTr="00ED52DF">
        <w:trPr>
          <w:trHeight w:val="302"/>
        </w:trPr>
        <w:tc>
          <w:tcPr>
            <w:tcW w:w="1975" w:type="dxa"/>
            <w:vMerge/>
            <w:tcBorders>
              <w:top w:val="single" w:sz="8" w:space="0" w:color="95B3D7"/>
              <w:left w:val="single" w:sz="8" w:space="0" w:color="95B3D7"/>
              <w:bottom w:val="single" w:sz="8" w:space="0" w:color="95B3D7"/>
              <w:right w:val="single" w:sz="8" w:space="0" w:color="95B3D7"/>
            </w:tcBorders>
            <w:vAlign w:val="center"/>
            <w:hideMark/>
          </w:tcPr>
          <w:p w14:paraId="6B4021D7" w14:textId="77777777" w:rsidR="00ED52DF" w:rsidRPr="00ED52DF" w:rsidRDefault="00ED52DF" w:rsidP="00ED52DF">
            <w:pPr>
              <w:ind w:firstLine="0"/>
              <w:jc w:val="left"/>
              <w:rPr>
                <w:rFonts w:eastAsia="Times New Roman" w:cs="Times New Roman"/>
                <w:b/>
                <w:bCs/>
                <w:sz w:val="18"/>
                <w:szCs w:val="18"/>
                <w:lang w:eastAsia="lv-LV"/>
              </w:rPr>
            </w:pPr>
          </w:p>
        </w:tc>
        <w:tc>
          <w:tcPr>
            <w:tcW w:w="992" w:type="dxa"/>
            <w:vMerge/>
            <w:tcBorders>
              <w:top w:val="single" w:sz="8" w:space="0" w:color="95B3D7"/>
              <w:left w:val="single" w:sz="8" w:space="0" w:color="95B3D7"/>
              <w:bottom w:val="single" w:sz="8" w:space="0" w:color="95B3D7"/>
              <w:right w:val="single" w:sz="8" w:space="0" w:color="95B3D7"/>
            </w:tcBorders>
            <w:vAlign w:val="center"/>
            <w:hideMark/>
          </w:tcPr>
          <w:p w14:paraId="165F2294" w14:textId="77777777" w:rsidR="00ED52DF" w:rsidRPr="00ED52DF" w:rsidRDefault="00ED52DF" w:rsidP="00ED52DF">
            <w:pPr>
              <w:ind w:firstLine="0"/>
              <w:jc w:val="left"/>
              <w:rPr>
                <w:rFonts w:eastAsia="Times New Roman" w:cs="Times New Roman"/>
                <w:b/>
                <w:bCs/>
                <w:sz w:val="18"/>
                <w:szCs w:val="18"/>
                <w:lang w:eastAsia="lv-LV"/>
              </w:rPr>
            </w:pPr>
          </w:p>
        </w:tc>
        <w:tc>
          <w:tcPr>
            <w:tcW w:w="644" w:type="dxa"/>
            <w:vMerge/>
            <w:tcBorders>
              <w:top w:val="single" w:sz="8" w:space="0" w:color="95B3D7"/>
              <w:left w:val="single" w:sz="8" w:space="0" w:color="95B3D7"/>
              <w:bottom w:val="single" w:sz="8" w:space="0" w:color="95B3D7"/>
              <w:right w:val="single" w:sz="8" w:space="0" w:color="95B3D7"/>
            </w:tcBorders>
            <w:vAlign w:val="center"/>
            <w:hideMark/>
          </w:tcPr>
          <w:p w14:paraId="5ABE49C7" w14:textId="77777777" w:rsidR="00ED52DF" w:rsidRPr="00ED52DF" w:rsidRDefault="00ED52DF" w:rsidP="00ED52DF">
            <w:pPr>
              <w:ind w:firstLine="0"/>
              <w:jc w:val="left"/>
              <w:rPr>
                <w:rFonts w:eastAsia="Times New Roman" w:cs="Times New Roman"/>
                <w:b/>
                <w:bCs/>
                <w:sz w:val="18"/>
                <w:szCs w:val="18"/>
                <w:lang w:eastAsia="lv-LV"/>
              </w:rPr>
            </w:pPr>
          </w:p>
        </w:tc>
        <w:tc>
          <w:tcPr>
            <w:tcW w:w="1105" w:type="dxa"/>
            <w:vMerge/>
            <w:tcBorders>
              <w:top w:val="single" w:sz="8" w:space="0" w:color="95B3D7"/>
              <w:left w:val="single" w:sz="8" w:space="0" w:color="95B3D7"/>
              <w:bottom w:val="single" w:sz="8" w:space="0" w:color="95B3D7"/>
              <w:right w:val="single" w:sz="8" w:space="0" w:color="95B3D7"/>
            </w:tcBorders>
            <w:vAlign w:val="center"/>
            <w:hideMark/>
          </w:tcPr>
          <w:p w14:paraId="5121321B" w14:textId="77777777" w:rsidR="00ED52DF" w:rsidRPr="00ED52DF" w:rsidRDefault="00ED52DF" w:rsidP="00ED52DF">
            <w:pPr>
              <w:ind w:firstLine="0"/>
              <w:jc w:val="left"/>
              <w:rPr>
                <w:rFonts w:eastAsia="Times New Roman" w:cs="Times New Roman"/>
                <w:b/>
                <w:bCs/>
                <w:sz w:val="18"/>
                <w:szCs w:val="18"/>
                <w:lang w:eastAsia="lv-LV"/>
              </w:rPr>
            </w:pPr>
          </w:p>
        </w:tc>
        <w:tc>
          <w:tcPr>
            <w:tcW w:w="1316" w:type="dxa"/>
            <w:vMerge/>
            <w:tcBorders>
              <w:top w:val="single" w:sz="8" w:space="0" w:color="95B3D7"/>
              <w:left w:val="single" w:sz="8" w:space="0" w:color="95B3D7"/>
              <w:bottom w:val="single" w:sz="8" w:space="0" w:color="95B3D7"/>
              <w:right w:val="single" w:sz="8" w:space="0" w:color="95B3D7"/>
            </w:tcBorders>
            <w:vAlign w:val="center"/>
            <w:hideMark/>
          </w:tcPr>
          <w:p w14:paraId="018C1559" w14:textId="77777777" w:rsidR="00ED52DF" w:rsidRPr="00ED52DF" w:rsidRDefault="00ED52DF" w:rsidP="00ED52DF">
            <w:pPr>
              <w:ind w:firstLine="0"/>
              <w:jc w:val="left"/>
              <w:rPr>
                <w:rFonts w:eastAsia="Times New Roman" w:cs="Times New Roman"/>
                <w:b/>
                <w:bCs/>
                <w:sz w:val="18"/>
                <w:szCs w:val="18"/>
                <w:lang w:eastAsia="lv-LV"/>
              </w:rPr>
            </w:pPr>
          </w:p>
        </w:tc>
        <w:tc>
          <w:tcPr>
            <w:tcW w:w="977" w:type="dxa"/>
            <w:tcBorders>
              <w:top w:val="nil"/>
              <w:left w:val="nil"/>
              <w:bottom w:val="single" w:sz="8" w:space="0" w:color="95B3D7"/>
              <w:right w:val="single" w:sz="8" w:space="0" w:color="95B3D7"/>
            </w:tcBorders>
            <w:shd w:val="clear" w:color="000000" w:fill="DDEBF7"/>
            <w:vAlign w:val="center"/>
            <w:hideMark/>
          </w:tcPr>
          <w:p w14:paraId="761B9B25" w14:textId="77777777" w:rsidR="00ED52DF" w:rsidRPr="00ED52DF" w:rsidRDefault="00ED52DF" w:rsidP="00ED52DF">
            <w:pPr>
              <w:ind w:firstLine="0"/>
              <w:jc w:val="center"/>
              <w:rPr>
                <w:rFonts w:eastAsia="Times New Roman" w:cs="Times New Roman"/>
                <w:b/>
                <w:bCs/>
                <w:sz w:val="18"/>
                <w:szCs w:val="18"/>
                <w:lang w:eastAsia="lv-LV"/>
              </w:rPr>
            </w:pPr>
            <w:r w:rsidRPr="00ED52DF">
              <w:rPr>
                <w:rFonts w:eastAsia="Times New Roman" w:cs="Times New Roman"/>
                <w:b/>
                <w:bCs/>
                <w:sz w:val="18"/>
                <w:szCs w:val="18"/>
                <w:lang w:eastAsia="lv-LV"/>
              </w:rPr>
              <w:t>2023</w:t>
            </w:r>
          </w:p>
        </w:tc>
        <w:tc>
          <w:tcPr>
            <w:tcW w:w="977" w:type="dxa"/>
            <w:tcBorders>
              <w:top w:val="nil"/>
              <w:left w:val="nil"/>
              <w:bottom w:val="single" w:sz="8" w:space="0" w:color="95B3D7"/>
              <w:right w:val="single" w:sz="8" w:space="0" w:color="95B3D7"/>
            </w:tcBorders>
            <w:shd w:val="clear" w:color="000000" w:fill="DDEBF7"/>
            <w:vAlign w:val="center"/>
            <w:hideMark/>
          </w:tcPr>
          <w:p w14:paraId="1C1BD3E7" w14:textId="77777777" w:rsidR="00ED52DF" w:rsidRPr="00ED52DF" w:rsidRDefault="00ED52DF" w:rsidP="00ED52DF">
            <w:pPr>
              <w:ind w:firstLine="0"/>
              <w:jc w:val="center"/>
              <w:rPr>
                <w:rFonts w:eastAsia="Times New Roman" w:cs="Times New Roman"/>
                <w:b/>
                <w:bCs/>
                <w:sz w:val="18"/>
                <w:szCs w:val="18"/>
                <w:lang w:eastAsia="lv-LV"/>
              </w:rPr>
            </w:pPr>
            <w:r w:rsidRPr="00ED52DF">
              <w:rPr>
                <w:rFonts w:eastAsia="Times New Roman" w:cs="Times New Roman"/>
                <w:b/>
                <w:bCs/>
                <w:sz w:val="18"/>
                <w:szCs w:val="18"/>
                <w:lang w:eastAsia="lv-LV"/>
              </w:rPr>
              <w:t>2024</w:t>
            </w:r>
          </w:p>
        </w:tc>
        <w:tc>
          <w:tcPr>
            <w:tcW w:w="979" w:type="dxa"/>
            <w:tcBorders>
              <w:top w:val="nil"/>
              <w:left w:val="nil"/>
              <w:bottom w:val="single" w:sz="8" w:space="0" w:color="95B3D7"/>
              <w:right w:val="single" w:sz="8" w:space="0" w:color="95B3D7"/>
            </w:tcBorders>
            <w:shd w:val="clear" w:color="000000" w:fill="DDEBF7"/>
            <w:vAlign w:val="center"/>
            <w:hideMark/>
          </w:tcPr>
          <w:p w14:paraId="729D14DD" w14:textId="77777777" w:rsidR="00ED52DF" w:rsidRPr="00ED52DF" w:rsidRDefault="00ED52DF" w:rsidP="00ED52DF">
            <w:pPr>
              <w:ind w:firstLine="0"/>
              <w:jc w:val="center"/>
              <w:rPr>
                <w:rFonts w:eastAsia="Times New Roman" w:cs="Times New Roman"/>
                <w:b/>
                <w:bCs/>
                <w:sz w:val="18"/>
                <w:szCs w:val="18"/>
                <w:lang w:eastAsia="lv-LV"/>
              </w:rPr>
            </w:pPr>
            <w:r w:rsidRPr="00ED52DF">
              <w:rPr>
                <w:rFonts w:eastAsia="Times New Roman" w:cs="Times New Roman"/>
                <w:b/>
                <w:bCs/>
                <w:sz w:val="18"/>
                <w:szCs w:val="18"/>
                <w:lang w:eastAsia="lv-LV"/>
              </w:rPr>
              <w:t>2025</w:t>
            </w:r>
          </w:p>
        </w:tc>
      </w:tr>
      <w:tr w:rsidR="00ED52DF" w:rsidRPr="00ED52DF" w14:paraId="2A83CF6E" w14:textId="77777777" w:rsidTr="00ED52DF">
        <w:trPr>
          <w:trHeight w:val="291"/>
        </w:trPr>
        <w:tc>
          <w:tcPr>
            <w:tcW w:w="1975" w:type="dxa"/>
            <w:vMerge/>
            <w:tcBorders>
              <w:top w:val="single" w:sz="8" w:space="0" w:color="95B3D7"/>
              <w:left w:val="single" w:sz="8" w:space="0" w:color="95B3D7"/>
              <w:bottom w:val="single" w:sz="8" w:space="0" w:color="95B3D7"/>
              <w:right w:val="single" w:sz="8" w:space="0" w:color="95B3D7"/>
            </w:tcBorders>
            <w:vAlign w:val="center"/>
            <w:hideMark/>
          </w:tcPr>
          <w:p w14:paraId="335653C7" w14:textId="77777777" w:rsidR="00ED52DF" w:rsidRPr="00ED52DF" w:rsidRDefault="00ED52DF" w:rsidP="00ED52DF">
            <w:pPr>
              <w:ind w:firstLine="0"/>
              <w:jc w:val="left"/>
              <w:rPr>
                <w:rFonts w:eastAsia="Times New Roman" w:cs="Times New Roman"/>
                <w:b/>
                <w:bCs/>
                <w:sz w:val="18"/>
                <w:szCs w:val="18"/>
                <w:lang w:eastAsia="lv-LV"/>
              </w:rPr>
            </w:pPr>
          </w:p>
        </w:tc>
        <w:tc>
          <w:tcPr>
            <w:tcW w:w="992" w:type="dxa"/>
            <w:vMerge/>
            <w:tcBorders>
              <w:top w:val="single" w:sz="8" w:space="0" w:color="95B3D7"/>
              <w:left w:val="single" w:sz="8" w:space="0" w:color="95B3D7"/>
              <w:bottom w:val="single" w:sz="8" w:space="0" w:color="95B3D7"/>
              <w:right w:val="single" w:sz="8" w:space="0" w:color="95B3D7"/>
            </w:tcBorders>
            <w:vAlign w:val="center"/>
            <w:hideMark/>
          </w:tcPr>
          <w:p w14:paraId="11D8CA5E" w14:textId="77777777" w:rsidR="00ED52DF" w:rsidRPr="00ED52DF" w:rsidRDefault="00ED52DF" w:rsidP="00ED52DF">
            <w:pPr>
              <w:ind w:firstLine="0"/>
              <w:jc w:val="left"/>
              <w:rPr>
                <w:rFonts w:eastAsia="Times New Roman" w:cs="Times New Roman"/>
                <w:b/>
                <w:bCs/>
                <w:sz w:val="18"/>
                <w:szCs w:val="18"/>
                <w:lang w:eastAsia="lv-LV"/>
              </w:rPr>
            </w:pPr>
          </w:p>
        </w:tc>
        <w:tc>
          <w:tcPr>
            <w:tcW w:w="644" w:type="dxa"/>
            <w:vMerge/>
            <w:tcBorders>
              <w:top w:val="single" w:sz="8" w:space="0" w:color="95B3D7"/>
              <w:left w:val="single" w:sz="8" w:space="0" w:color="95B3D7"/>
              <w:bottom w:val="single" w:sz="8" w:space="0" w:color="95B3D7"/>
              <w:right w:val="single" w:sz="8" w:space="0" w:color="95B3D7"/>
            </w:tcBorders>
            <w:vAlign w:val="center"/>
            <w:hideMark/>
          </w:tcPr>
          <w:p w14:paraId="44D84028" w14:textId="77777777" w:rsidR="00ED52DF" w:rsidRPr="00ED52DF" w:rsidRDefault="00ED52DF" w:rsidP="00ED52DF">
            <w:pPr>
              <w:ind w:firstLine="0"/>
              <w:jc w:val="left"/>
              <w:rPr>
                <w:rFonts w:eastAsia="Times New Roman" w:cs="Times New Roman"/>
                <w:b/>
                <w:bCs/>
                <w:sz w:val="18"/>
                <w:szCs w:val="18"/>
                <w:lang w:eastAsia="lv-LV"/>
              </w:rPr>
            </w:pPr>
          </w:p>
        </w:tc>
        <w:tc>
          <w:tcPr>
            <w:tcW w:w="1105" w:type="dxa"/>
            <w:vMerge/>
            <w:tcBorders>
              <w:top w:val="single" w:sz="8" w:space="0" w:color="95B3D7"/>
              <w:left w:val="single" w:sz="8" w:space="0" w:color="95B3D7"/>
              <w:bottom w:val="single" w:sz="8" w:space="0" w:color="95B3D7"/>
              <w:right w:val="single" w:sz="8" w:space="0" w:color="95B3D7"/>
            </w:tcBorders>
            <w:vAlign w:val="center"/>
            <w:hideMark/>
          </w:tcPr>
          <w:p w14:paraId="3722075D" w14:textId="77777777" w:rsidR="00ED52DF" w:rsidRPr="00ED52DF" w:rsidRDefault="00ED52DF" w:rsidP="00ED52DF">
            <w:pPr>
              <w:ind w:firstLine="0"/>
              <w:jc w:val="left"/>
              <w:rPr>
                <w:rFonts w:eastAsia="Times New Roman" w:cs="Times New Roman"/>
                <w:b/>
                <w:bCs/>
                <w:sz w:val="18"/>
                <w:szCs w:val="18"/>
                <w:lang w:eastAsia="lv-LV"/>
              </w:rPr>
            </w:pPr>
          </w:p>
        </w:tc>
        <w:tc>
          <w:tcPr>
            <w:tcW w:w="1316" w:type="dxa"/>
            <w:vMerge/>
            <w:tcBorders>
              <w:top w:val="single" w:sz="8" w:space="0" w:color="95B3D7"/>
              <w:left w:val="single" w:sz="8" w:space="0" w:color="95B3D7"/>
              <w:bottom w:val="single" w:sz="8" w:space="0" w:color="95B3D7"/>
              <w:right w:val="single" w:sz="8" w:space="0" w:color="95B3D7"/>
            </w:tcBorders>
            <w:vAlign w:val="center"/>
            <w:hideMark/>
          </w:tcPr>
          <w:p w14:paraId="2F81438B" w14:textId="77777777" w:rsidR="00ED52DF" w:rsidRPr="00ED52DF" w:rsidRDefault="00ED52DF" w:rsidP="00ED52DF">
            <w:pPr>
              <w:ind w:firstLine="0"/>
              <w:jc w:val="left"/>
              <w:rPr>
                <w:rFonts w:eastAsia="Times New Roman" w:cs="Times New Roman"/>
                <w:b/>
                <w:bCs/>
                <w:sz w:val="18"/>
                <w:szCs w:val="18"/>
                <w:lang w:eastAsia="lv-LV"/>
              </w:rPr>
            </w:pPr>
          </w:p>
        </w:tc>
        <w:tc>
          <w:tcPr>
            <w:tcW w:w="2933" w:type="dxa"/>
            <w:gridSpan w:val="3"/>
            <w:tcBorders>
              <w:top w:val="single" w:sz="8" w:space="0" w:color="95B3D7"/>
              <w:left w:val="nil"/>
              <w:bottom w:val="single" w:sz="8" w:space="0" w:color="95B3D7"/>
              <w:right w:val="single" w:sz="8" w:space="0" w:color="95B3D7"/>
            </w:tcBorders>
            <w:shd w:val="clear" w:color="auto" w:fill="auto"/>
            <w:vAlign w:val="center"/>
            <w:hideMark/>
          </w:tcPr>
          <w:p w14:paraId="0D08ED49" w14:textId="77777777" w:rsidR="00ED52DF" w:rsidRPr="00ED52DF" w:rsidRDefault="00ED52DF" w:rsidP="00ED52DF">
            <w:pPr>
              <w:ind w:firstLine="0"/>
              <w:jc w:val="center"/>
              <w:rPr>
                <w:rFonts w:eastAsia="Times New Roman" w:cs="Times New Roman"/>
                <w:sz w:val="18"/>
                <w:szCs w:val="18"/>
                <w:lang w:eastAsia="lv-LV"/>
              </w:rPr>
            </w:pPr>
            <w:r w:rsidRPr="00ED52DF">
              <w:rPr>
                <w:rFonts w:eastAsia="Times New Roman" w:cs="Times New Roman"/>
                <w:sz w:val="18"/>
                <w:szCs w:val="18"/>
                <w:lang w:eastAsia="lv-LV"/>
              </w:rPr>
              <w:t>% no IKP</w:t>
            </w:r>
          </w:p>
        </w:tc>
      </w:tr>
      <w:tr w:rsidR="00ED52DF" w:rsidRPr="00ED52DF" w14:paraId="5A81DF52" w14:textId="77777777" w:rsidTr="00ED52DF">
        <w:trPr>
          <w:trHeight w:val="486"/>
        </w:trPr>
        <w:tc>
          <w:tcPr>
            <w:tcW w:w="1975" w:type="dxa"/>
            <w:tcBorders>
              <w:top w:val="nil"/>
              <w:left w:val="single" w:sz="8" w:space="0" w:color="95B3D7"/>
              <w:bottom w:val="single" w:sz="8" w:space="0" w:color="95B3D7"/>
              <w:right w:val="single" w:sz="8" w:space="0" w:color="95B3D7"/>
            </w:tcBorders>
            <w:shd w:val="clear" w:color="000000" w:fill="DDEBF7"/>
            <w:vAlign w:val="center"/>
            <w:hideMark/>
          </w:tcPr>
          <w:p w14:paraId="1DB9747F" w14:textId="77777777" w:rsidR="00ED52DF" w:rsidRPr="00ED52DF" w:rsidRDefault="00ED52DF" w:rsidP="00ED52DF">
            <w:pPr>
              <w:ind w:firstLine="0"/>
              <w:jc w:val="left"/>
              <w:rPr>
                <w:rFonts w:eastAsia="Times New Roman" w:cs="Times New Roman"/>
                <w:sz w:val="18"/>
                <w:szCs w:val="18"/>
                <w:lang w:eastAsia="lv-LV"/>
              </w:rPr>
            </w:pPr>
            <w:r w:rsidRPr="00ED52DF">
              <w:rPr>
                <w:rFonts w:eastAsia="Times New Roman" w:cs="Times New Roman"/>
                <w:sz w:val="18"/>
                <w:szCs w:val="18"/>
                <w:lang w:eastAsia="lv-LV"/>
              </w:rPr>
              <w:t>IIN avansa maksājumu atcelšana (pastāvīga norma), kopā</w:t>
            </w:r>
          </w:p>
        </w:tc>
        <w:tc>
          <w:tcPr>
            <w:tcW w:w="992" w:type="dxa"/>
            <w:tcBorders>
              <w:top w:val="nil"/>
              <w:left w:val="nil"/>
              <w:bottom w:val="nil"/>
              <w:right w:val="single" w:sz="8" w:space="0" w:color="95B3D7"/>
            </w:tcBorders>
            <w:shd w:val="clear" w:color="000000" w:fill="DDEBF7"/>
            <w:vAlign w:val="center"/>
            <w:hideMark/>
          </w:tcPr>
          <w:p w14:paraId="6EB6F530" w14:textId="77777777" w:rsidR="00ED52DF" w:rsidRPr="00ED52DF" w:rsidRDefault="00ED52DF" w:rsidP="00ED52DF">
            <w:pPr>
              <w:ind w:firstLine="0"/>
              <w:jc w:val="center"/>
              <w:rPr>
                <w:rFonts w:eastAsia="Times New Roman" w:cs="Times New Roman"/>
                <w:sz w:val="18"/>
                <w:szCs w:val="18"/>
                <w:lang w:eastAsia="lv-LV"/>
              </w:rPr>
            </w:pPr>
            <w:r w:rsidRPr="00ED52DF">
              <w:rPr>
                <w:rFonts w:eastAsia="Times New Roman" w:cs="Times New Roman"/>
                <w:sz w:val="18"/>
                <w:szCs w:val="18"/>
                <w:lang w:eastAsia="lv-LV"/>
              </w:rPr>
              <w:t>IIN</w:t>
            </w:r>
          </w:p>
        </w:tc>
        <w:tc>
          <w:tcPr>
            <w:tcW w:w="644" w:type="dxa"/>
            <w:tcBorders>
              <w:top w:val="nil"/>
              <w:left w:val="nil"/>
              <w:bottom w:val="nil"/>
              <w:right w:val="single" w:sz="8" w:space="0" w:color="95B3D7"/>
            </w:tcBorders>
            <w:shd w:val="clear" w:color="000000" w:fill="DDEBF7"/>
            <w:vAlign w:val="center"/>
            <w:hideMark/>
          </w:tcPr>
          <w:p w14:paraId="7BE93675" w14:textId="77777777" w:rsidR="00ED52DF" w:rsidRPr="00ED52DF" w:rsidRDefault="00ED52DF" w:rsidP="00ED52DF">
            <w:pPr>
              <w:ind w:firstLine="0"/>
              <w:jc w:val="center"/>
              <w:rPr>
                <w:rFonts w:eastAsia="Times New Roman" w:cs="Times New Roman"/>
                <w:sz w:val="18"/>
                <w:szCs w:val="18"/>
                <w:lang w:eastAsia="lv-LV"/>
              </w:rPr>
            </w:pPr>
            <w:r w:rsidRPr="00ED52DF">
              <w:rPr>
                <w:rFonts w:eastAsia="Times New Roman" w:cs="Times New Roman"/>
                <w:sz w:val="18"/>
                <w:szCs w:val="18"/>
                <w:lang w:eastAsia="lv-LV"/>
              </w:rPr>
              <w:t>D.5</w:t>
            </w:r>
          </w:p>
        </w:tc>
        <w:tc>
          <w:tcPr>
            <w:tcW w:w="1105" w:type="dxa"/>
            <w:tcBorders>
              <w:top w:val="nil"/>
              <w:left w:val="nil"/>
              <w:bottom w:val="nil"/>
              <w:right w:val="single" w:sz="8" w:space="0" w:color="95B3D7"/>
            </w:tcBorders>
            <w:shd w:val="clear" w:color="000000" w:fill="DDEBF7"/>
            <w:vAlign w:val="center"/>
            <w:hideMark/>
          </w:tcPr>
          <w:p w14:paraId="3CDB28CE" w14:textId="77777777" w:rsidR="00ED52DF" w:rsidRPr="00ED52DF" w:rsidRDefault="00ED52DF" w:rsidP="00ED52DF">
            <w:pPr>
              <w:ind w:firstLine="0"/>
              <w:jc w:val="center"/>
              <w:rPr>
                <w:rFonts w:eastAsia="Times New Roman" w:cs="Times New Roman"/>
                <w:sz w:val="18"/>
                <w:szCs w:val="18"/>
                <w:lang w:eastAsia="lv-LV"/>
              </w:rPr>
            </w:pPr>
            <w:r w:rsidRPr="00ED52DF">
              <w:rPr>
                <w:rFonts w:eastAsia="Times New Roman" w:cs="Times New Roman"/>
                <w:sz w:val="18"/>
                <w:szCs w:val="18"/>
                <w:lang w:eastAsia="lv-LV"/>
              </w:rPr>
              <w:t>Uzkrājuma</w:t>
            </w:r>
          </w:p>
        </w:tc>
        <w:tc>
          <w:tcPr>
            <w:tcW w:w="1316" w:type="dxa"/>
            <w:tcBorders>
              <w:top w:val="nil"/>
              <w:left w:val="nil"/>
              <w:bottom w:val="nil"/>
              <w:right w:val="single" w:sz="8" w:space="0" w:color="95B3D7"/>
            </w:tcBorders>
            <w:shd w:val="clear" w:color="000000" w:fill="DDEBF7"/>
            <w:vAlign w:val="center"/>
            <w:hideMark/>
          </w:tcPr>
          <w:p w14:paraId="3EB93BE1" w14:textId="77777777" w:rsidR="00ED52DF" w:rsidRPr="00ED52DF" w:rsidRDefault="00ED52DF" w:rsidP="00ED52DF">
            <w:pPr>
              <w:ind w:firstLine="0"/>
              <w:jc w:val="center"/>
              <w:rPr>
                <w:rFonts w:eastAsia="Times New Roman" w:cs="Times New Roman"/>
                <w:sz w:val="18"/>
                <w:szCs w:val="18"/>
                <w:lang w:eastAsia="lv-LV"/>
              </w:rPr>
            </w:pPr>
            <w:r w:rsidRPr="00ED52DF">
              <w:rPr>
                <w:rFonts w:eastAsia="Times New Roman" w:cs="Times New Roman"/>
                <w:sz w:val="18"/>
                <w:szCs w:val="18"/>
                <w:lang w:eastAsia="lv-LV"/>
              </w:rPr>
              <w:t>Daļēji pieņemts</w:t>
            </w:r>
          </w:p>
        </w:tc>
        <w:tc>
          <w:tcPr>
            <w:tcW w:w="977" w:type="dxa"/>
            <w:tcBorders>
              <w:top w:val="nil"/>
              <w:left w:val="nil"/>
              <w:bottom w:val="nil"/>
              <w:right w:val="single" w:sz="8" w:space="0" w:color="95B3D7"/>
            </w:tcBorders>
            <w:shd w:val="clear" w:color="000000" w:fill="DDEBF7"/>
            <w:noWrap/>
            <w:vAlign w:val="center"/>
            <w:hideMark/>
          </w:tcPr>
          <w:p w14:paraId="633B06CB" w14:textId="77777777" w:rsidR="00ED52DF" w:rsidRPr="00ED52DF" w:rsidRDefault="00ED52DF" w:rsidP="00ED52DF">
            <w:pPr>
              <w:ind w:firstLine="0"/>
              <w:jc w:val="center"/>
              <w:rPr>
                <w:rFonts w:eastAsia="Times New Roman" w:cs="Times New Roman"/>
                <w:sz w:val="18"/>
                <w:szCs w:val="18"/>
                <w:lang w:eastAsia="lv-LV"/>
              </w:rPr>
            </w:pPr>
            <w:r w:rsidRPr="00ED52DF">
              <w:rPr>
                <w:rFonts w:eastAsia="Times New Roman" w:cs="Times New Roman"/>
                <w:sz w:val="18"/>
                <w:szCs w:val="18"/>
                <w:lang w:eastAsia="lv-LV"/>
              </w:rPr>
              <w:t>-0,07</w:t>
            </w:r>
          </w:p>
        </w:tc>
        <w:tc>
          <w:tcPr>
            <w:tcW w:w="977" w:type="dxa"/>
            <w:tcBorders>
              <w:top w:val="nil"/>
              <w:left w:val="nil"/>
              <w:bottom w:val="nil"/>
              <w:right w:val="single" w:sz="8" w:space="0" w:color="95B3D7"/>
            </w:tcBorders>
            <w:shd w:val="clear" w:color="000000" w:fill="DDEBF7"/>
            <w:noWrap/>
            <w:vAlign w:val="center"/>
            <w:hideMark/>
          </w:tcPr>
          <w:p w14:paraId="6A8094B3" w14:textId="77777777" w:rsidR="00ED52DF" w:rsidRPr="00ED52DF" w:rsidRDefault="00ED52DF" w:rsidP="00ED52DF">
            <w:pPr>
              <w:ind w:firstLine="0"/>
              <w:jc w:val="center"/>
              <w:rPr>
                <w:rFonts w:eastAsia="Times New Roman" w:cs="Times New Roman"/>
                <w:sz w:val="18"/>
                <w:szCs w:val="18"/>
                <w:lang w:eastAsia="lv-LV"/>
              </w:rPr>
            </w:pPr>
            <w:r w:rsidRPr="00ED52DF">
              <w:rPr>
                <w:rFonts w:eastAsia="Times New Roman" w:cs="Times New Roman"/>
                <w:sz w:val="18"/>
                <w:szCs w:val="18"/>
                <w:lang w:eastAsia="lv-LV"/>
              </w:rPr>
              <w:t>0,07</w:t>
            </w:r>
          </w:p>
        </w:tc>
        <w:tc>
          <w:tcPr>
            <w:tcW w:w="979" w:type="dxa"/>
            <w:tcBorders>
              <w:top w:val="nil"/>
              <w:left w:val="nil"/>
              <w:bottom w:val="nil"/>
              <w:right w:val="single" w:sz="8" w:space="0" w:color="95B3D7"/>
            </w:tcBorders>
            <w:shd w:val="clear" w:color="000000" w:fill="DDEBF7"/>
            <w:noWrap/>
            <w:vAlign w:val="center"/>
            <w:hideMark/>
          </w:tcPr>
          <w:p w14:paraId="61D59A00" w14:textId="77777777" w:rsidR="00ED52DF" w:rsidRPr="00ED52DF" w:rsidRDefault="00ED52DF" w:rsidP="00ED52DF">
            <w:pPr>
              <w:ind w:firstLine="0"/>
              <w:jc w:val="center"/>
              <w:rPr>
                <w:rFonts w:eastAsia="Times New Roman" w:cs="Times New Roman"/>
                <w:sz w:val="18"/>
                <w:szCs w:val="18"/>
                <w:lang w:eastAsia="lv-LV"/>
              </w:rPr>
            </w:pPr>
            <w:r w:rsidRPr="00ED52DF">
              <w:rPr>
                <w:rFonts w:eastAsia="Times New Roman" w:cs="Times New Roman"/>
                <w:sz w:val="18"/>
                <w:szCs w:val="18"/>
                <w:lang w:eastAsia="lv-LV"/>
              </w:rPr>
              <w:t>0,00</w:t>
            </w:r>
          </w:p>
        </w:tc>
      </w:tr>
      <w:tr w:rsidR="00ED52DF" w:rsidRPr="00ED52DF" w14:paraId="35A2545B" w14:textId="77777777" w:rsidTr="00ED52DF">
        <w:trPr>
          <w:trHeight w:val="291"/>
        </w:trPr>
        <w:tc>
          <w:tcPr>
            <w:tcW w:w="1975" w:type="dxa"/>
            <w:tcBorders>
              <w:top w:val="nil"/>
              <w:left w:val="single" w:sz="8" w:space="0" w:color="95B3D7"/>
              <w:bottom w:val="single" w:sz="8" w:space="0" w:color="95B3D7"/>
              <w:right w:val="single" w:sz="8" w:space="0" w:color="95B3D7"/>
            </w:tcBorders>
            <w:shd w:val="clear" w:color="auto" w:fill="auto"/>
            <w:vAlign w:val="center"/>
            <w:hideMark/>
          </w:tcPr>
          <w:p w14:paraId="43612727" w14:textId="77777777" w:rsidR="00ED52DF" w:rsidRPr="00ED52DF" w:rsidRDefault="00ED52DF" w:rsidP="00ED52DF">
            <w:pPr>
              <w:ind w:firstLine="0"/>
              <w:jc w:val="left"/>
              <w:rPr>
                <w:rFonts w:eastAsia="Times New Roman" w:cs="Times New Roman"/>
                <w:sz w:val="18"/>
                <w:szCs w:val="18"/>
                <w:lang w:eastAsia="lv-LV"/>
              </w:rPr>
            </w:pPr>
            <w:r w:rsidRPr="00ED52DF">
              <w:rPr>
                <w:rFonts w:eastAsia="Times New Roman" w:cs="Times New Roman"/>
                <w:sz w:val="18"/>
                <w:szCs w:val="18"/>
                <w:lang w:eastAsia="lv-LV"/>
              </w:rPr>
              <w:t>t.sk. valsts pamatbudžets</w:t>
            </w:r>
          </w:p>
        </w:tc>
        <w:tc>
          <w:tcPr>
            <w:tcW w:w="4057" w:type="dxa"/>
            <w:gridSpan w:val="4"/>
            <w:vMerge w:val="restart"/>
            <w:tcBorders>
              <w:top w:val="single" w:sz="8" w:space="0" w:color="95B3D7"/>
              <w:left w:val="single" w:sz="8" w:space="0" w:color="95B3D7"/>
              <w:bottom w:val="single" w:sz="8" w:space="0" w:color="95B3D7"/>
              <w:right w:val="single" w:sz="8" w:space="0" w:color="95B3D7"/>
            </w:tcBorders>
            <w:shd w:val="clear" w:color="auto" w:fill="auto"/>
            <w:vAlign w:val="center"/>
            <w:hideMark/>
          </w:tcPr>
          <w:p w14:paraId="0127DF42" w14:textId="77777777" w:rsidR="00ED52DF" w:rsidRPr="00ED52DF" w:rsidRDefault="00ED52DF" w:rsidP="00ED52DF">
            <w:pPr>
              <w:ind w:firstLine="0"/>
              <w:jc w:val="center"/>
              <w:rPr>
                <w:rFonts w:eastAsia="Times New Roman" w:cs="Times New Roman"/>
                <w:sz w:val="18"/>
                <w:szCs w:val="18"/>
                <w:lang w:eastAsia="lv-LV"/>
              </w:rPr>
            </w:pPr>
            <w:r w:rsidRPr="00ED52DF">
              <w:rPr>
                <w:rFonts w:eastAsia="Times New Roman" w:cs="Times New Roman"/>
                <w:sz w:val="18"/>
                <w:szCs w:val="18"/>
                <w:lang w:eastAsia="lv-LV"/>
              </w:rPr>
              <w:t> </w:t>
            </w:r>
          </w:p>
        </w:tc>
        <w:tc>
          <w:tcPr>
            <w:tcW w:w="977" w:type="dxa"/>
            <w:tcBorders>
              <w:top w:val="single" w:sz="8" w:space="0" w:color="95B3D7"/>
              <w:left w:val="nil"/>
              <w:bottom w:val="nil"/>
              <w:right w:val="single" w:sz="8" w:space="0" w:color="95B3D7"/>
            </w:tcBorders>
            <w:shd w:val="clear" w:color="auto" w:fill="auto"/>
            <w:noWrap/>
            <w:vAlign w:val="center"/>
            <w:hideMark/>
          </w:tcPr>
          <w:p w14:paraId="71ACA384" w14:textId="77777777" w:rsidR="00ED52DF" w:rsidRPr="00ED52DF" w:rsidRDefault="00ED52DF" w:rsidP="00ED52DF">
            <w:pPr>
              <w:ind w:firstLine="0"/>
              <w:jc w:val="center"/>
              <w:rPr>
                <w:rFonts w:eastAsia="Times New Roman" w:cs="Times New Roman"/>
                <w:sz w:val="18"/>
                <w:szCs w:val="18"/>
                <w:lang w:eastAsia="lv-LV"/>
              </w:rPr>
            </w:pPr>
            <w:r w:rsidRPr="00ED52DF">
              <w:rPr>
                <w:rFonts w:eastAsia="Times New Roman" w:cs="Times New Roman"/>
                <w:sz w:val="18"/>
                <w:szCs w:val="18"/>
                <w:lang w:eastAsia="lv-LV"/>
              </w:rPr>
              <w:t>-0,02</w:t>
            </w:r>
          </w:p>
        </w:tc>
        <w:tc>
          <w:tcPr>
            <w:tcW w:w="977" w:type="dxa"/>
            <w:tcBorders>
              <w:top w:val="single" w:sz="8" w:space="0" w:color="95B3D7"/>
              <w:left w:val="nil"/>
              <w:bottom w:val="nil"/>
              <w:right w:val="single" w:sz="8" w:space="0" w:color="95B3D7"/>
            </w:tcBorders>
            <w:shd w:val="clear" w:color="auto" w:fill="auto"/>
            <w:noWrap/>
            <w:vAlign w:val="center"/>
            <w:hideMark/>
          </w:tcPr>
          <w:p w14:paraId="0709F62B" w14:textId="77777777" w:rsidR="00ED52DF" w:rsidRPr="00ED52DF" w:rsidRDefault="00ED52DF" w:rsidP="00ED52DF">
            <w:pPr>
              <w:ind w:firstLine="0"/>
              <w:jc w:val="center"/>
              <w:rPr>
                <w:rFonts w:eastAsia="Times New Roman" w:cs="Times New Roman"/>
                <w:sz w:val="18"/>
                <w:szCs w:val="18"/>
                <w:lang w:eastAsia="lv-LV"/>
              </w:rPr>
            </w:pPr>
            <w:r w:rsidRPr="00ED52DF">
              <w:rPr>
                <w:rFonts w:eastAsia="Times New Roman" w:cs="Times New Roman"/>
                <w:sz w:val="18"/>
                <w:szCs w:val="18"/>
                <w:lang w:eastAsia="lv-LV"/>
              </w:rPr>
              <w:t>0,02</w:t>
            </w:r>
          </w:p>
        </w:tc>
        <w:tc>
          <w:tcPr>
            <w:tcW w:w="979" w:type="dxa"/>
            <w:tcBorders>
              <w:top w:val="single" w:sz="8" w:space="0" w:color="95B3D7"/>
              <w:left w:val="nil"/>
              <w:bottom w:val="nil"/>
              <w:right w:val="single" w:sz="8" w:space="0" w:color="95B3D7"/>
            </w:tcBorders>
            <w:shd w:val="clear" w:color="auto" w:fill="auto"/>
            <w:noWrap/>
            <w:vAlign w:val="center"/>
            <w:hideMark/>
          </w:tcPr>
          <w:p w14:paraId="24358E57" w14:textId="77777777" w:rsidR="00ED52DF" w:rsidRPr="00ED52DF" w:rsidRDefault="00ED52DF" w:rsidP="00ED52DF">
            <w:pPr>
              <w:ind w:firstLine="0"/>
              <w:jc w:val="center"/>
              <w:rPr>
                <w:rFonts w:eastAsia="Times New Roman" w:cs="Times New Roman"/>
                <w:sz w:val="18"/>
                <w:szCs w:val="18"/>
                <w:lang w:eastAsia="lv-LV"/>
              </w:rPr>
            </w:pPr>
            <w:r w:rsidRPr="00ED52DF">
              <w:rPr>
                <w:rFonts w:eastAsia="Times New Roman" w:cs="Times New Roman"/>
                <w:sz w:val="18"/>
                <w:szCs w:val="18"/>
                <w:lang w:eastAsia="lv-LV"/>
              </w:rPr>
              <w:t>0,00</w:t>
            </w:r>
          </w:p>
        </w:tc>
      </w:tr>
      <w:tr w:rsidR="00ED52DF" w:rsidRPr="00ED52DF" w14:paraId="61EA7038" w14:textId="77777777" w:rsidTr="00ED52DF">
        <w:trPr>
          <w:trHeight w:val="291"/>
        </w:trPr>
        <w:tc>
          <w:tcPr>
            <w:tcW w:w="1975" w:type="dxa"/>
            <w:tcBorders>
              <w:top w:val="nil"/>
              <w:left w:val="single" w:sz="8" w:space="0" w:color="95B3D7"/>
              <w:bottom w:val="single" w:sz="8" w:space="0" w:color="95B3D7"/>
              <w:right w:val="single" w:sz="8" w:space="0" w:color="95B3D7"/>
            </w:tcBorders>
            <w:shd w:val="clear" w:color="auto" w:fill="auto"/>
            <w:vAlign w:val="center"/>
            <w:hideMark/>
          </w:tcPr>
          <w:p w14:paraId="2F8AFC1B" w14:textId="77777777" w:rsidR="00ED52DF" w:rsidRPr="00ED52DF" w:rsidRDefault="00ED52DF" w:rsidP="00ED52DF">
            <w:pPr>
              <w:ind w:firstLine="0"/>
              <w:jc w:val="left"/>
              <w:rPr>
                <w:rFonts w:eastAsia="Times New Roman" w:cs="Times New Roman"/>
                <w:sz w:val="18"/>
                <w:szCs w:val="18"/>
                <w:lang w:eastAsia="lv-LV"/>
              </w:rPr>
            </w:pPr>
            <w:r w:rsidRPr="00ED52DF">
              <w:rPr>
                <w:rFonts w:eastAsia="Times New Roman" w:cs="Times New Roman"/>
                <w:sz w:val="18"/>
                <w:szCs w:val="18"/>
                <w:lang w:eastAsia="lv-LV"/>
              </w:rPr>
              <w:t>t.sk. pašvaldību budžets</w:t>
            </w:r>
          </w:p>
        </w:tc>
        <w:tc>
          <w:tcPr>
            <w:tcW w:w="4057" w:type="dxa"/>
            <w:gridSpan w:val="4"/>
            <w:vMerge/>
            <w:tcBorders>
              <w:top w:val="nil"/>
              <w:left w:val="single" w:sz="8" w:space="0" w:color="95B3D7"/>
              <w:bottom w:val="single" w:sz="8" w:space="0" w:color="95B3D7"/>
              <w:right w:val="single" w:sz="8" w:space="0" w:color="95B3D7"/>
            </w:tcBorders>
            <w:vAlign w:val="center"/>
            <w:hideMark/>
          </w:tcPr>
          <w:p w14:paraId="01F65182" w14:textId="77777777" w:rsidR="00ED52DF" w:rsidRPr="00ED52DF" w:rsidRDefault="00ED52DF" w:rsidP="00ED52DF">
            <w:pPr>
              <w:ind w:firstLine="0"/>
              <w:jc w:val="left"/>
              <w:rPr>
                <w:rFonts w:eastAsia="Times New Roman" w:cs="Times New Roman"/>
                <w:sz w:val="18"/>
                <w:szCs w:val="18"/>
                <w:lang w:eastAsia="lv-LV"/>
              </w:rPr>
            </w:pPr>
          </w:p>
        </w:tc>
        <w:tc>
          <w:tcPr>
            <w:tcW w:w="977" w:type="dxa"/>
            <w:tcBorders>
              <w:top w:val="single" w:sz="8" w:space="0" w:color="95B3D7"/>
              <w:left w:val="nil"/>
              <w:bottom w:val="single" w:sz="8" w:space="0" w:color="95B3D7"/>
              <w:right w:val="single" w:sz="8" w:space="0" w:color="95B3D7"/>
            </w:tcBorders>
            <w:shd w:val="clear" w:color="auto" w:fill="auto"/>
            <w:noWrap/>
            <w:vAlign w:val="center"/>
            <w:hideMark/>
          </w:tcPr>
          <w:p w14:paraId="61A19675" w14:textId="77777777" w:rsidR="00ED52DF" w:rsidRPr="00ED52DF" w:rsidRDefault="00ED52DF" w:rsidP="00ED52DF">
            <w:pPr>
              <w:ind w:firstLine="0"/>
              <w:jc w:val="center"/>
              <w:rPr>
                <w:rFonts w:eastAsia="Times New Roman" w:cs="Times New Roman"/>
                <w:sz w:val="18"/>
                <w:szCs w:val="18"/>
                <w:lang w:eastAsia="lv-LV"/>
              </w:rPr>
            </w:pPr>
            <w:r w:rsidRPr="00ED52DF">
              <w:rPr>
                <w:rFonts w:eastAsia="Times New Roman" w:cs="Times New Roman"/>
                <w:sz w:val="18"/>
                <w:szCs w:val="18"/>
                <w:lang w:eastAsia="lv-LV"/>
              </w:rPr>
              <w:t>-0,05</w:t>
            </w:r>
          </w:p>
        </w:tc>
        <w:tc>
          <w:tcPr>
            <w:tcW w:w="977" w:type="dxa"/>
            <w:tcBorders>
              <w:top w:val="single" w:sz="8" w:space="0" w:color="95B3D7"/>
              <w:left w:val="nil"/>
              <w:bottom w:val="single" w:sz="8" w:space="0" w:color="95B3D7"/>
              <w:right w:val="single" w:sz="8" w:space="0" w:color="95B3D7"/>
            </w:tcBorders>
            <w:shd w:val="clear" w:color="auto" w:fill="auto"/>
            <w:noWrap/>
            <w:vAlign w:val="center"/>
            <w:hideMark/>
          </w:tcPr>
          <w:p w14:paraId="0F15E31F" w14:textId="77777777" w:rsidR="00ED52DF" w:rsidRPr="00ED52DF" w:rsidRDefault="00ED52DF" w:rsidP="00ED52DF">
            <w:pPr>
              <w:ind w:firstLine="0"/>
              <w:jc w:val="center"/>
              <w:rPr>
                <w:rFonts w:eastAsia="Times New Roman" w:cs="Times New Roman"/>
                <w:sz w:val="18"/>
                <w:szCs w:val="18"/>
                <w:lang w:eastAsia="lv-LV"/>
              </w:rPr>
            </w:pPr>
            <w:r w:rsidRPr="00ED52DF">
              <w:rPr>
                <w:rFonts w:eastAsia="Times New Roman" w:cs="Times New Roman"/>
                <w:sz w:val="18"/>
                <w:szCs w:val="18"/>
                <w:lang w:eastAsia="lv-LV"/>
              </w:rPr>
              <w:t>0,05</w:t>
            </w:r>
          </w:p>
        </w:tc>
        <w:tc>
          <w:tcPr>
            <w:tcW w:w="979" w:type="dxa"/>
            <w:tcBorders>
              <w:top w:val="single" w:sz="8" w:space="0" w:color="95B3D7"/>
              <w:left w:val="nil"/>
              <w:bottom w:val="single" w:sz="8" w:space="0" w:color="95B3D7"/>
              <w:right w:val="single" w:sz="8" w:space="0" w:color="95B3D7"/>
            </w:tcBorders>
            <w:shd w:val="clear" w:color="auto" w:fill="auto"/>
            <w:noWrap/>
            <w:vAlign w:val="center"/>
            <w:hideMark/>
          </w:tcPr>
          <w:p w14:paraId="55B6D3DC" w14:textId="77777777" w:rsidR="00ED52DF" w:rsidRPr="00ED52DF" w:rsidRDefault="00ED52DF" w:rsidP="00ED52DF">
            <w:pPr>
              <w:ind w:firstLine="0"/>
              <w:jc w:val="center"/>
              <w:rPr>
                <w:rFonts w:eastAsia="Times New Roman" w:cs="Times New Roman"/>
                <w:sz w:val="18"/>
                <w:szCs w:val="18"/>
                <w:lang w:eastAsia="lv-LV"/>
              </w:rPr>
            </w:pPr>
            <w:r w:rsidRPr="00ED52DF">
              <w:rPr>
                <w:rFonts w:eastAsia="Times New Roman" w:cs="Times New Roman"/>
                <w:sz w:val="18"/>
                <w:szCs w:val="18"/>
                <w:lang w:eastAsia="lv-LV"/>
              </w:rPr>
              <w:t>0,00</w:t>
            </w:r>
          </w:p>
        </w:tc>
      </w:tr>
    </w:tbl>
    <w:p w14:paraId="4B9AB120" w14:textId="77777777" w:rsidR="00ED52DF" w:rsidRPr="00D25367" w:rsidRDefault="00ED52DF" w:rsidP="00D560FE">
      <w:pPr>
        <w:widowControl w:val="0"/>
        <w:ind w:left="357" w:right="-142" w:firstLine="0"/>
        <w:jc w:val="right"/>
        <w:rPr>
          <w:rFonts w:eastAsia="Times New Roman" w:cs="Times New Roman"/>
          <w:b/>
          <w:sz w:val="24"/>
          <w:szCs w:val="24"/>
          <w:highlight w:val="yellow"/>
        </w:rPr>
      </w:pPr>
    </w:p>
    <w:p w14:paraId="24F68954" w14:textId="644B25A1" w:rsidR="00BF4753" w:rsidRPr="00247690" w:rsidRDefault="006A1FC0" w:rsidP="00D25367">
      <w:pPr>
        <w:pStyle w:val="Heading2"/>
        <w:numPr>
          <w:ilvl w:val="0"/>
          <w:numId w:val="0"/>
        </w:numPr>
        <w:tabs>
          <w:tab w:val="center" w:pos="4535"/>
        </w:tabs>
        <w:spacing w:before="240"/>
        <w:jc w:val="both"/>
        <w:rPr>
          <w:rFonts w:eastAsia="Calibri"/>
          <w:sz w:val="28"/>
          <w:szCs w:val="24"/>
        </w:rPr>
      </w:pPr>
      <w:r>
        <w:rPr>
          <w:rFonts w:eastAsia="Calibri"/>
          <w:sz w:val="28"/>
          <w:szCs w:val="24"/>
        </w:rPr>
        <w:tab/>
      </w:r>
      <w:bookmarkStart w:id="32" w:name="_Toc131331239"/>
      <w:r w:rsidR="00BF4753" w:rsidRPr="00247690">
        <w:rPr>
          <w:rFonts w:eastAsia="Calibri"/>
          <w:sz w:val="28"/>
          <w:szCs w:val="24"/>
        </w:rPr>
        <w:t>3.2. Pašreizējā fiskālā situācija</w:t>
      </w:r>
      <w:bookmarkEnd w:id="32"/>
    </w:p>
    <w:p w14:paraId="20FF30DC" w14:textId="77777777" w:rsidR="00BF4753" w:rsidRPr="00085AFE" w:rsidRDefault="00BF4753" w:rsidP="00BF4753">
      <w:pPr>
        <w:ind w:firstLine="709"/>
        <w:rPr>
          <w:rFonts w:eastAsia="Calibri" w:cs="Times New Roman"/>
          <w:color w:val="000000"/>
          <w:sz w:val="24"/>
          <w:szCs w:val="24"/>
          <w:highlight w:val="lightGray"/>
        </w:rPr>
      </w:pPr>
    </w:p>
    <w:p w14:paraId="1679053C" w14:textId="3C1AF51E" w:rsidR="00247690" w:rsidRPr="00247690" w:rsidRDefault="00247690" w:rsidP="00247690">
      <w:pPr>
        <w:pStyle w:val="teksts"/>
        <w:spacing w:after="0"/>
        <w:ind w:firstLine="720"/>
        <w:rPr>
          <w:rFonts w:ascii="Times New Roman" w:eastAsia="Calibri" w:hAnsi="Times New Roman"/>
          <w:szCs w:val="24"/>
        </w:rPr>
      </w:pPr>
      <w:r w:rsidRPr="00247690">
        <w:rPr>
          <w:rFonts w:ascii="Times New Roman" w:eastAsia="Calibri" w:hAnsi="Times New Roman"/>
          <w:szCs w:val="24"/>
        </w:rPr>
        <w:t xml:space="preserve">Atbilstoši </w:t>
      </w:r>
      <w:r w:rsidRPr="00247690">
        <w:rPr>
          <w:rFonts w:ascii="Times New Roman" w:eastAsia="Calibri" w:hAnsi="Times New Roman"/>
          <w:noProof/>
          <w:szCs w:val="24"/>
        </w:rPr>
        <w:t>FM novērtējumam</w:t>
      </w:r>
      <w:r w:rsidRPr="00247690">
        <w:rPr>
          <w:rFonts w:ascii="Times New Roman" w:eastAsia="Calibri" w:hAnsi="Times New Roman"/>
          <w:szCs w:val="24"/>
        </w:rPr>
        <w:t xml:space="preserve"> vispārējās valdības budžetā 2022. gadā bija deficīts -1 838,8 milj. </w:t>
      </w:r>
      <w:proofErr w:type="spellStart"/>
      <w:r w:rsidRPr="00247690">
        <w:rPr>
          <w:rFonts w:ascii="Times New Roman" w:eastAsia="Calibri" w:hAnsi="Times New Roman"/>
          <w:i/>
          <w:szCs w:val="24"/>
        </w:rPr>
        <w:t>euro</w:t>
      </w:r>
      <w:proofErr w:type="spellEnd"/>
      <w:r w:rsidRPr="00247690">
        <w:rPr>
          <w:rFonts w:ascii="Times New Roman" w:eastAsia="Calibri" w:hAnsi="Times New Roman"/>
          <w:szCs w:val="24"/>
        </w:rPr>
        <w:t xml:space="preserve"> apmērā jeb 4,7% no IKP. </w:t>
      </w:r>
      <w:r w:rsidRPr="00247690">
        <w:rPr>
          <w:rFonts w:ascii="Times New Roman" w:hAnsi="Times New Roman"/>
        </w:rPr>
        <w:t xml:space="preserve">Oficiālie dati būs pieejami šā gada aprīļa beigās, kad </w:t>
      </w:r>
      <w:proofErr w:type="spellStart"/>
      <w:r w:rsidRPr="00247690">
        <w:rPr>
          <w:rFonts w:ascii="Times New Roman" w:hAnsi="Times New Roman"/>
          <w:i/>
        </w:rPr>
        <w:t>Eurostat</w:t>
      </w:r>
      <w:proofErr w:type="spellEnd"/>
      <w:r w:rsidRPr="00247690">
        <w:rPr>
          <w:rFonts w:ascii="Times New Roman" w:hAnsi="Times New Roman"/>
        </w:rPr>
        <w:t xml:space="preserve"> publicēs vispārējās valdības budžeta deficīta un parāda datus par 2022. gadu.</w:t>
      </w:r>
    </w:p>
    <w:p w14:paraId="507AACC4" w14:textId="282999BB" w:rsidR="00D25367" w:rsidRDefault="00247690" w:rsidP="00D25367">
      <w:r w:rsidRPr="00247690">
        <w:rPr>
          <w:rFonts w:eastAsia="Calibri" w:cs="Times New Roman"/>
          <w:sz w:val="24"/>
          <w:szCs w:val="24"/>
        </w:rPr>
        <w:t>Salīdzinot ar 2021. gadu, vērojama bilances uzlabošanās, taču tā joprojām ir būtiski augstāka nekā pirms pandēmijas un pirmajā pandēmijas gadā, t.i., 2020. gadā. Straujā bilances pasliktināšanās 2020. un 2021. gadā skaidrojama ar nozīmīgu atbalstu Covid-19 pandēmijas seku mazināšanai, savukārt 2022. gadā šim atbalstam mazinoties, nākuši klāt atbalsta pasākumi energoresursu cenu pieauguma samazināšanai un atbalsts Ukrainas bēgļiem. Ja kopējā atbalsta ietekme uz deficītu 2020. gadā veidoja ap 1 mljrd</w:t>
      </w:r>
      <w:r w:rsidR="006866D8">
        <w:rPr>
          <w:rFonts w:eastAsia="Calibri" w:cs="Times New Roman"/>
          <w:sz w:val="24"/>
          <w:szCs w:val="24"/>
        </w:rPr>
        <w:t>.</w:t>
      </w:r>
      <w:r w:rsidRPr="00247690">
        <w:rPr>
          <w:rFonts w:eastAsia="Calibri" w:cs="Times New Roman"/>
          <w:i/>
          <w:iCs/>
          <w:sz w:val="24"/>
          <w:szCs w:val="24"/>
        </w:rPr>
        <w:t xml:space="preserve"> </w:t>
      </w:r>
      <w:proofErr w:type="spellStart"/>
      <w:r w:rsidRPr="00247690">
        <w:rPr>
          <w:rFonts w:eastAsia="Calibri" w:cs="Times New Roman"/>
          <w:i/>
          <w:iCs/>
          <w:sz w:val="24"/>
          <w:szCs w:val="24"/>
        </w:rPr>
        <w:t>euro</w:t>
      </w:r>
      <w:proofErr w:type="spellEnd"/>
      <w:r w:rsidRPr="00247690">
        <w:rPr>
          <w:rFonts w:eastAsia="Calibri" w:cs="Times New Roman"/>
          <w:sz w:val="24"/>
          <w:szCs w:val="24"/>
        </w:rPr>
        <w:t xml:space="preserve"> jeb 3,2% no IKP un 2021. gadā tā palielinājās līdz 2,1 mljrd</w:t>
      </w:r>
      <w:r w:rsidR="006866D8">
        <w:rPr>
          <w:rFonts w:eastAsia="Calibri" w:cs="Times New Roman"/>
          <w:sz w:val="24"/>
          <w:szCs w:val="24"/>
        </w:rPr>
        <w:t>.</w:t>
      </w:r>
      <w:r w:rsidRPr="00247690">
        <w:rPr>
          <w:rFonts w:eastAsia="Calibri" w:cs="Times New Roman"/>
          <w:sz w:val="24"/>
          <w:szCs w:val="24"/>
        </w:rPr>
        <w:t xml:space="preserve"> </w:t>
      </w:r>
      <w:proofErr w:type="spellStart"/>
      <w:r w:rsidRPr="00247690">
        <w:rPr>
          <w:rFonts w:eastAsia="Calibri" w:cs="Times New Roman"/>
          <w:i/>
          <w:iCs/>
          <w:sz w:val="24"/>
          <w:szCs w:val="24"/>
        </w:rPr>
        <w:t>euro</w:t>
      </w:r>
      <w:proofErr w:type="spellEnd"/>
      <w:r w:rsidRPr="00247690">
        <w:rPr>
          <w:rFonts w:eastAsia="Calibri" w:cs="Times New Roman"/>
          <w:sz w:val="24"/>
          <w:szCs w:val="24"/>
        </w:rPr>
        <w:t xml:space="preserve"> jeb 6,3% no IKP, tad 2022. gadā pēc FM novērtējuma kopējais atbalsts palielināja vispārējās valdības budžeta deficītu par 1,5 mljrd</w:t>
      </w:r>
      <w:r w:rsidR="006866D8">
        <w:rPr>
          <w:rFonts w:eastAsia="Calibri" w:cs="Times New Roman"/>
          <w:sz w:val="24"/>
          <w:szCs w:val="24"/>
        </w:rPr>
        <w:t>.</w:t>
      </w:r>
      <w:r w:rsidRPr="00247690">
        <w:rPr>
          <w:rFonts w:eastAsia="Calibri" w:cs="Times New Roman"/>
          <w:sz w:val="24"/>
          <w:szCs w:val="24"/>
        </w:rPr>
        <w:t xml:space="preserve"> </w:t>
      </w:r>
      <w:proofErr w:type="spellStart"/>
      <w:r w:rsidRPr="00247690">
        <w:rPr>
          <w:rFonts w:eastAsia="Calibri" w:cs="Times New Roman"/>
          <w:i/>
          <w:iCs/>
          <w:sz w:val="24"/>
          <w:szCs w:val="24"/>
        </w:rPr>
        <w:t>euro</w:t>
      </w:r>
      <w:proofErr w:type="spellEnd"/>
      <w:r w:rsidRPr="00247690">
        <w:rPr>
          <w:rFonts w:eastAsia="Calibri" w:cs="Times New Roman"/>
          <w:sz w:val="24"/>
          <w:szCs w:val="24"/>
        </w:rPr>
        <w:t xml:space="preserve"> jeb 3,8% no IKP, no kā gandrīz pusi veidoja </w:t>
      </w:r>
      <w:proofErr w:type="spellStart"/>
      <w:r w:rsidRPr="00247690">
        <w:rPr>
          <w:rFonts w:eastAsia="Calibri" w:cs="Times New Roman"/>
          <w:sz w:val="24"/>
          <w:szCs w:val="24"/>
        </w:rPr>
        <w:t>energoatbalsts</w:t>
      </w:r>
      <w:proofErr w:type="spellEnd"/>
      <w:r w:rsidRPr="00247690">
        <w:rPr>
          <w:rFonts w:eastAsia="Calibri" w:cs="Times New Roman"/>
          <w:sz w:val="24"/>
          <w:szCs w:val="24"/>
        </w:rPr>
        <w:t xml:space="preserve"> un atbalsts Ukrainas civiliedzīvotājiem. Jāatzīmē, ka 2022. gadā rudenī 430 milj.</w:t>
      </w:r>
      <w:r w:rsidRPr="00247690">
        <w:rPr>
          <w:rFonts w:eastAsia="Calibri" w:cs="Times New Roman"/>
          <w:i/>
          <w:iCs/>
          <w:sz w:val="24"/>
          <w:szCs w:val="24"/>
        </w:rPr>
        <w:t xml:space="preserve"> </w:t>
      </w:r>
      <w:proofErr w:type="spellStart"/>
      <w:r w:rsidRPr="00247690">
        <w:rPr>
          <w:rFonts w:eastAsia="Calibri" w:cs="Times New Roman"/>
          <w:i/>
          <w:iCs/>
          <w:sz w:val="24"/>
          <w:szCs w:val="24"/>
        </w:rPr>
        <w:t>euro</w:t>
      </w:r>
      <w:proofErr w:type="spellEnd"/>
      <w:r w:rsidRPr="00247690">
        <w:rPr>
          <w:rFonts w:eastAsia="Calibri" w:cs="Times New Roman"/>
          <w:sz w:val="24"/>
          <w:szCs w:val="24"/>
        </w:rPr>
        <w:t xml:space="preserve"> jeb 1,1% no IKP no valsts budžeta tika izlietoti dabasgāzes rezervju iegādei, ko vienlaikus ar atbalsta pasākumiem var uzskatīt par vienreizējiem izdevumiem. Detalizētu aprakstu par valdības sniegto atbalstu krīzes seku mazināšanai skatīt Stabilitātes programmas 3.3. </w:t>
      </w:r>
      <w:r w:rsidRPr="00247690">
        <w:rPr>
          <w:rFonts w:eastAsia="Calibri" w:cs="Times New Roman"/>
          <w:color w:val="000000"/>
          <w:sz w:val="24"/>
          <w:szCs w:val="24"/>
        </w:rPr>
        <w:t>sadaļā.</w:t>
      </w:r>
      <w:r w:rsidR="00D25367" w:rsidRPr="00D25367">
        <w:t xml:space="preserve"> </w:t>
      </w:r>
    </w:p>
    <w:p w14:paraId="326AFEF8" w14:textId="572EB6C0" w:rsidR="00D25367" w:rsidRDefault="00D25367" w:rsidP="00D25367">
      <w:pPr>
        <w:rPr>
          <w:rFonts w:eastAsia="Calibri" w:cs="Times New Roman"/>
          <w:sz w:val="24"/>
          <w:szCs w:val="24"/>
        </w:rPr>
      </w:pPr>
      <w:r w:rsidRPr="00D25367">
        <w:rPr>
          <w:rFonts w:eastAsia="Calibri" w:cs="Times New Roman"/>
          <w:color w:val="000000"/>
          <w:sz w:val="24"/>
          <w:szCs w:val="24"/>
        </w:rPr>
        <w:t xml:space="preserve">Lielākajam izdevumu slogam gulstoties uz centrālo valdību, 2022. gads šajā vispārējās valdības </w:t>
      </w:r>
      <w:proofErr w:type="spellStart"/>
      <w:r w:rsidRPr="00D25367">
        <w:rPr>
          <w:rFonts w:eastAsia="Calibri" w:cs="Times New Roman"/>
          <w:color w:val="000000"/>
          <w:sz w:val="24"/>
          <w:szCs w:val="24"/>
        </w:rPr>
        <w:t>apakšsektorā</w:t>
      </w:r>
      <w:proofErr w:type="spellEnd"/>
      <w:r w:rsidRPr="00D25367">
        <w:rPr>
          <w:rFonts w:eastAsia="Calibri" w:cs="Times New Roman"/>
          <w:color w:val="000000"/>
          <w:sz w:val="24"/>
          <w:szCs w:val="24"/>
        </w:rPr>
        <w:t xml:space="preserve"> noslēgts ar 2,2 mljrd</w:t>
      </w:r>
      <w:r w:rsidR="006866D8">
        <w:rPr>
          <w:rFonts w:eastAsia="Calibri" w:cs="Times New Roman"/>
          <w:color w:val="000000"/>
          <w:sz w:val="24"/>
          <w:szCs w:val="24"/>
        </w:rPr>
        <w:t>.</w:t>
      </w:r>
      <w:r w:rsidRPr="00D25367">
        <w:rPr>
          <w:rFonts w:eastAsia="Calibri" w:cs="Times New Roman"/>
          <w:color w:val="000000"/>
          <w:sz w:val="24"/>
          <w:szCs w:val="24"/>
        </w:rPr>
        <w:t xml:space="preserve"> </w:t>
      </w:r>
      <w:proofErr w:type="spellStart"/>
      <w:r w:rsidRPr="0076551C">
        <w:rPr>
          <w:rFonts w:eastAsia="Calibri" w:cs="Times New Roman"/>
          <w:i/>
          <w:iCs/>
          <w:color w:val="000000"/>
          <w:sz w:val="24"/>
          <w:szCs w:val="24"/>
        </w:rPr>
        <w:t>euro</w:t>
      </w:r>
      <w:proofErr w:type="spellEnd"/>
      <w:r w:rsidRPr="00D25367">
        <w:rPr>
          <w:rFonts w:eastAsia="Calibri" w:cs="Times New Roman"/>
          <w:color w:val="000000"/>
          <w:sz w:val="24"/>
          <w:szCs w:val="24"/>
        </w:rPr>
        <w:t xml:space="preserve"> jeb 5,5% no IKP deficītu, savukārt, pateicoties ievērojamam nodokļu ieņēmumu kāpumam, vietējās valdības budžetā veidojās pārpalikums 0,1% no IKP un sociālās nodrošināšanas fondā saglabājās budžeta pārpalikums 0,7% no IKP (skat. 3.1. attēlu)</w:t>
      </w:r>
      <w:r>
        <w:rPr>
          <w:rFonts w:eastAsia="Calibri" w:cs="Times New Roman"/>
          <w:color w:val="000000"/>
          <w:sz w:val="24"/>
          <w:szCs w:val="24"/>
        </w:rPr>
        <w:t>.</w:t>
      </w:r>
    </w:p>
    <w:p w14:paraId="3865F044" w14:textId="7A1EF905" w:rsidR="00D25367" w:rsidRDefault="0076551C" w:rsidP="00D25367">
      <w:pPr>
        <w:rPr>
          <w:rFonts w:eastAsia="Times New Roman" w:cs="Times New Roman"/>
          <w:noProof/>
          <w:sz w:val="24"/>
          <w:szCs w:val="24"/>
        </w:rPr>
      </w:pPr>
      <w:r w:rsidRPr="00247690">
        <w:rPr>
          <w:rFonts w:ascii="Garamond" w:eastAsia="Times New Roman" w:hAnsi="Garamond" w:cs="Times New Roman"/>
          <w:noProof/>
          <w:sz w:val="24"/>
          <w:szCs w:val="20"/>
        </w:rPr>
        <w:lastRenderedPageBreak/>
        <w:drawing>
          <wp:anchor distT="0" distB="0" distL="114300" distR="114300" simplePos="0" relativeHeight="251678720" behindDoc="0" locked="0" layoutInCell="1" allowOverlap="1" wp14:anchorId="6C737583" wp14:editId="11443BD7">
            <wp:simplePos x="0" y="0"/>
            <wp:positionH relativeFrom="margin">
              <wp:align>right</wp:align>
            </wp:positionH>
            <wp:positionV relativeFrom="paragraph">
              <wp:posOffset>0</wp:posOffset>
            </wp:positionV>
            <wp:extent cx="2856230" cy="2447925"/>
            <wp:effectExtent l="0" t="0" r="1270" b="9525"/>
            <wp:wrapSquare wrapText="bothSides"/>
            <wp:docPr id="10" name="Picture 10"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ar chart&#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56230" cy="2447925"/>
                    </a:xfrm>
                    <a:prstGeom prst="rect">
                      <a:avLst/>
                    </a:prstGeom>
                  </pic:spPr>
                </pic:pic>
              </a:graphicData>
            </a:graphic>
            <wp14:sizeRelH relativeFrom="margin">
              <wp14:pctWidth>0</wp14:pctWidth>
            </wp14:sizeRelH>
            <wp14:sizeRelV relativeFrom="margin">
              <wp14:pctHeight>0</wp14:pctHeight>
            </wp14:sizeRelV>
          </wp:anchor>
        </w:drawing>
      </w:r>
      <w:r w:rsidRPr="00247690">
        <w:rPr>
          <w:rFonts w:eastAsia="Times New Roman" w:cs="Times New Roman"/>
          <w:noProof/>
          <w:sz w:val="24"/>
          <w:szCs w:val="24"/>
        </w:rPr>
        <w:drawing>
          <wp:anchor distT="0" distB="0" distL="114300" distR="114300" simplePos="0" relativeHeight="251677696" behindDoc="0" locked="0" layoutInCell="1" allowOverlap="1" wp14:anchorId="7A10D8CD" wp14:editId="0CC9CE61">
            <wp:simplePos x="0" y="0"/>
            <wp:positionH relativeFrom="margin">
              <wp:posOffset>-38100</wp:posOffset>
            </wp:positionH>
            <wp:positionV relativeFrom="paragraph">
              <wp:posOffset>0</wp:posOffset>
            </wp:positionV>
            <wp:extent cx="2872105" cy="2562225"/>
            <wp:effectExtent l="0" t="0" r="4445" b="9525"/>
            <wp:wrapSquare wrapText="bothSides"/>
            <wp:docPr id="14" name="Picture 14"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waterfall chart&#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72105" cy="2562225"/>
                    </a:xfrm>
                    <a:prstGeom prst="rect">
                      <a:avLst/>
                    </a:prstGeom>
                  </pic:spPr>
                </pic:pic>
              </a:graphicData>
            </a:graphic>
          </wp:anchor>
        </w:drawing>
      </w:r>
    </w:p>
    <w:p w14:paraId="51693628" w14:textId="01B866E0" w:rsidR="00247690" w:rsidRPr="00247690" w:rsidRDefault="00247690" w:rsidP="00247690">
      <w:pPr>
        <w:ind w:firstLine="0"/>
        <w:rPr>
          <w:rFonts w:eastAsia="Times New Roman" w:cs="Times New Roman"/>
          <w:noProof/>
          <w:sz w:val="24"/>
          <w:szCs w:val="24"/>
          <w:highlight w:val="yellow"/>
        </w:rPr>
        <w:sectPr w:rsidR="00247690" w:rsidRPr="00247690" w:rsidSect="00795CD8">
          <w:headerReference w:type="default" r:id="rId22"/>
          <w:footerReference w:type="default" r:id="rId23"/>
          <w:type w:val="continuous"/>
          <w:pgSz w:w="11906" w:h="16838"/>
          <w:pgMar w:top="1418" w:right="1134" w:bottom="568" w:left="1701" w:header="1417" w:footer="1134" w:gutter="0"/>
          <w:cols w:space="709"/>
          <w:titlePg/>
          <w:docGrid w:linePitch="360"/>
        </w:sectPr>
      </w:pPr>
    </w:p>
    <w:p w14:paraId="1F7CEC30" w14:textId="12B44BD6" w:rsidR="00247690" w:rsidRPr="0076551C" w:rsidRDefault="00247690" w:rsidP="0076551C">
      <w:pPr>
        <w:spacing w:after="120"/>
        <w:ind w:firstLine="0"/>
        <w:jc w:val="center"/>
        <w:rPr>
          <w:rFonts w:eastAsia="Calibri" w:cs="Times New Roman"/>
          <w:b/>
          <w:i/>
          <w:iCs/>
          <w:noProof/>
          <w:sz w:val="24"/>
          <w:szCs w:val="24"/>
        </w:rPr>
      </w:pPr>
      <w:r w:rsidRPr="00247690">
        <w:rPr>
          <w:rFonts w:eastAsia="Calibri" w:cs="Times New Roman"/>
          <w:b/>
          <w:i/>
          <w:iCs/>
          <w:sz w:val="24"/>
          <w:szCs w:val="24"/>
        </w:rPr>
        <w:t xml:space="preserve">3.1.att. Vispārējās valdības budžeta bilance </w:t>
      </w:r>
      <w:r w:rsidRPr="00247690">
        <w:rPr>
          <w:rFonts w:eastAsia="Calibri" w:cs="Times New Roman"/>
          <w:b/>
          <w:i/>
          <w:iCs/>
          <w:noProof/>
          <w:sz w:val="24"/>
          <w:szCs w:val="24"/>
        </w:rPr>
        <w:t xml:space="preserve">sadalījumā pa apakšsektoriem, </w:t>
      </w:r>
      <w:r w:rsidRPr="00247690">
        <w:rPr>
          <w:rFonts w:eastAsia="Calibri" w:cs="Times New Roman"/>
          <w:b/>
          <w:i/>
          <w:iCs/>
          <w:noProof/>
          <w:sz w:val="24"/>
          <w:szCs w:val="24"/>
        </w:rPr>
        <w:br/>
        <w:t>% no IKP (Datu avots: Eurostat, FM)</w:t>
      </w:r>
    </w:p>
    <w:p w14:paraId="167DA077" w14:textId="7BB16876" w:rsidR="00247690" w:rsidRPr="00247690" w:rsidRDefault="00247690" w:rsidP="00247690">
      <w:pPr>
        <w:ind w:firstLine="0"/>
        <w:jc w:val="center"/>
        <w:rPr>
          <w:rFonts w:eastAsia="Times New Roman" w:cs="Times New Roman"/>
          <w:i/>
          <w:iCs/>
          <w:noProof/>
          <w:sz w:val="24"/>
          <w:szCs w:val="24"/>
        </w:rPr>
        <w:sectPr w:rsidR="00247690" w:rsidRPr="00247690" w:rsidSect="00795CD8">
          <w:type w:val="continuous"/>
          <w:pgSz w:w="11906" w:h="16838"/>
          <w:pgMar w:top="1418" w:right="1134" w:bottom="568" w:left="1701" w:header="1417" w:footer="1134" w:gutter="0"/>
          <w:cols w:num="2" w:space="709"/>
          <w:titlePg/>
          <w:docGrid w:linePitch="360"/>
        </w:sectPr>
      </w:pPr>
      <w:r w:rsidRPr="00247690">
        <w:rPr>
          <w:rFonts w:eastAsia="Calibri" w:cs="Times New Roman"/>
          <w:b/>
          <w:i/>
          <w:iCs/>
          <w:sz w:val="24"/>
          <w:szCs w:val="24"/>
        </w:rPr>
        <w:t>3.2.att. Vispārējās valdības ieņēmumi un izdevumi</w:t>
      </w:r>
      <w:r w:rsidRPr="00247690">
        <w:rPr>
          <w:rFonts w:eastAsia="Calibri" w:cs="Times New Roman"/>
          <w:b/>
          <w:i/>
          <w:iCs/>
          <w:noProof/>
          <w:sz w:val="24"/>
          <w:szCs w:val="24"/>
        </w:rPr>
        <w:t>,  % no IKP</w:t>
      </w:r>
      <w:r w:rsidRPr="00247690">
        <w:rPr>
          <w:rFonts w:eastAsia="Calibri" w:cs="Times New Roman"/>
          <w:b/>
          <w:i/>
          <w:iCs/>
          <w:noProof/>
          <w:sz w:val="24"/>
          <w:szCs w:val="24"/>
        </w:rPr>
        <w:br/>
        <w:t>(Datu avots: Eurostat, FM)</w:t>
      </w:r>
    </w:p>
    <w:p w14:paraId="5FAFC813" w14:textId="77777777" w:rsidR="0076551C" w:rsidRDefault="0076551C" w:rsidP="0076551C">
      <w:pPr>
        <w:rPr>
          <w:rFonts w:eastAsia="Calibri" w:cs="Times New Roman"/>
          <w:sz w:val="24"/>
          <w:szCs w:val="24"/>
        </w:rPr>
      </w:pPr>
    </w:p>
    <w:p w14:paraId="6C81C374" w14:textId="29CE0558" w:rsidR="00247690" w:rsidRPr="00247690" w:rsidRDefault="00247690" w:rsidP="0076551C">
      <w:pPr>
        <w:rPr>
          <w:rFonts w:eastAsia="Calibri" w:cs="Times New Roman"/>
          <w:sz w:val="24"/>
          <w:szCs w:val="24"/>
        </w:rPr>
      </w:pPr>
      <w:r w:rsidRPr="00247690">
        <w:rPr>
          <w:rFonts w:eastAsia="Calibri" w:cs="Times New Roman"/>
          <w:sz w:val="24"/>
          <w:szCs w:val="24"/>
        </w:rPr>
        <w:t xml:space="preserve">2022. gadā, salīdzinot ar 2021. gadu, vispārējās valdības budžeta ieņēmumi pieauguši par 1 654,6 milj. </w:t>
      </w:r>
      <w:proofErr w:type="spellStart"/>
      <w:r w:rsidRPr="00247690">
        <w:rPr>
          <w:rFonts w:eastAsia="Calibri" w:cs="Times New Roman"/>
          <w:i/>
          <w:sz w:val="24"/>
          <w:szCs w:val="24"/>
        </w:rPr>
        <w:t>euro</w:t>
      </w:r>
      <w:proofErr w:type="spellEnd"/>
      <w:r w:rsidRPr="00247690">
        <w:rPr>
          <w:rFonts w:eastAsia="Calibri" w:cs="Times New Roman"/>
          <w:sz w:val="24"/>
          <w:szCs w:val="24"/>
        </w:rPr>
        <w:t xml:space="preserve"> jeb 13,3%, sasniedzot 14,1 mljrd. </w:t>
      </w:r>
      <w:proofErr w:type="spellStart"/>
      <w:r w:rsidRPr="00247690">
        <w:rPr>
          <w:rFonts w:eastAsia="Calibri" w:cs="Times New Roman"/>
          <w:i/>
          <w:sz w:val="24"/>
          <w:szCs w:val="24"/>
        </w:rPr>
        <w:t>euro</w:t>
      </w:r>
      <w:proofErr w:type="spellEnd"/>
      <w:r w:rsidRPr="00247690">
        <w:rPr>
          <w:rFonts w:eastAsia="Calibri" w:cs="Times New Roman"/>
          <w:sz w:val="24"/>
          <w:szCs w:val="24"/>
        </w:rPr>
        <w:t xml:space="preserve"> jeb 36,1% no IKP (skat. 3.2. attēlu). Vispārējās valdības budžeta ieņēmumu īpatsvars </w:t>
      </w:r>
      <w:r w:rsidR="00020C1F">
        <w:rPr>
          <w:rFonts w:eastAsia="Calibri" w:cs="Times New Roman"/>
          <w:sz w:val="24"/>
          <w:szCs w:val="24"/>
        </w:rPr>
        <w:t>IKP</w:t>
      </w:r>
      <w:r w:rsidRPr="00247690">
        <w:rPr>
          <w:rFonts w:eastAsia="Calibri" w:cs="Times New Roman"/>
          <w:sz w:val="24"/>
          <w:szCs w:val="24"/>
        </w:rPr>
        <w:t xml:space="preserve"> 2022. gadā samazinājās par 1 procentpunktu. Ja nomināli vispārējās valdības ieņēmumi pieauga, tad to īpatsvars IKP samazinājās, kas ir skaidrojams ar straujāku IKP pieauguma tempu faktiskajās cenās kā vispārējās valdības budžeta ieņēmumu pieaugumu. Augstākus ieņēmumus pagājušajā gadā nozīmīgi ietekmēja ekonomiskās aktivitātes kāpums gada sākumā, kā arī strauji  pieaugušās cenas visa veida precēm un pakalpojumiem. </w:t>
      </w:r>
    </w:p>
    <w:p w14:paraId="49342B42" w14:textId="77777777" w:rsidR="00247690" w:rsidRPr="00247690" w:rsidRDefault="00247690" w:rsidP="00247690">
      <w:pPr>
        <w:rPr>
          <w:rFonts w:eastAsia="Calibri" w:cs="Times New Roman"/>
          <w:color w:val="000000"/>
          <w:sz w:val="24"/>
          <w:szCs w:val="24"/>
        </w:rPr>
      </w:pPr>
      <w:r w:rsidRPr="00247690">
        <w:rPr>
          <w:rFonts w:eastAsia="Calibri" w:cs="Times New Roman"/>
          <w:color w:val="000000"/>
          <w:sz w:val="24"/>
          <w:szCs w:val="24"/>
        </w:rPr>
        <w:t>Nodokļu ieņēmumi</w:t>
      </w:r>
      <w:r w:rsidRPr="00247690">
        <w:rPr>
          <w:rFonts w:eastAsia="Calibri" w:cs="Times New Roman"/>
          <w:sz w:val="20"/>
          <w:szCs w:val="20"/>
          <w:vertAlign w:val="superscript"/>
        </w:rPr>
        <w:footnoteReference w:id="6"/>
      </w:r>
      <w:r w:rsidRPr="00247690">
        <w:rPr>
          <w:rFonts w:eastAsia="Calibri" w:cs="Times New Roman"/>
          <w:color w:val="000000"/>
          <w:sz w:val="24"/>
          <w:szCs w:val="24"/>
        </w:rPr>
        <w:t xml:space="preserve"> veido lielāko ieņēmumu daļu, un 2022. gadā tie sasniedza 30,3% no IKP, kas ir par 0,6 procentpunktiem mazāk kā 2021. gadā, ņemot vērā straujo IKP pieaugumu faktiskajās cenās. Nomināli nodokļu ieņēmumi pieauga par 1 471,8 </w:t>
      </w:r>
      <w:r w:rsidRPr="00247690">
        <w:rPr>
          <w:rFonts w:eastAsia="Calibri" w:cs="Times New Roman"/>
          <w:sz w:val="24"/>
          <w:szCs w:val="24"/>
        </w:rPr>
        <w:t xml:space="preserve">milj. </w:t>
      </w:r>
      <w:proofErr w:type="spellStart"/>
      <w:r w:rsidRPr="00247690">
        <w:rPr>
          <w:rFonts w:eastAsia="Calibri" w:cs="Times New Roman"/>
          <w:i/>
          <w:sz w:val="24"/>
          <w:szCs w:val="24"/>
        </w:rPr>
        <w:t>euro</w:t>
      </w:r>
      <w:proofErr w:type="spellEnd"/>
      <w:r w:rsidRPr="00247690">
        <w:rPr>
          <w:rFonts w:eastAsia="Calibri" w:cs="Times New Roman"/>
          <w:color w:val="000000"/>
          <w:sz w:val="24"/>
          <w:szCs w:val="24"/>
        </w:rPr>
        <w:t xml:space="preserve"> jeb 14,2%, no kuriem ražošanas un importa nodokļi (D.2) pieauga par 705,3 milj. </w:t>
      </w:r>
      <w:proofErr w:type="spellStart"/>
      <w:r w:rsidRPr="00247690">
        <w:rPr>
          <w:rFonts w:eastAsia="Calibri" w:cs="Times New Roman"/>
          <w:i/>
          <w:iCs/>
          <w:color w:val="000000"/>
          <w:sz w:val="24"/>
          <w:szCs w:val="24"/>
        </w:rPr>
        <w:t>euro</w:t>
      </w:r>
      <w:proofErr w:type="spellEnd"/>
      <w:r w:rsidRPr="00247690">
        <w:rPr>
          <w:rFonts w:eastAsia="Calibri" w:cs="Times New Roman"/>
          <w:color w:val="000000"/>
          <w:sz w:val="24"/>
          <w:szCs w:val="24"/>
        </w:rPr>
        <w:t xml:space="preserve"> jeb 15,6%.</w:t>
      </w:r>
      <w:r w:rsidRPr="00247690">
        <w:rPr>
          <w:rFonts w:eastAsia="Times New Roman" w:cs="Times New Roman"/>
          <w:sz w:val="24"/>
          <w:szCs w:val="20"/>
        </w:rPr>
        <w:t xml:space="preserve"> Pievienotās vērtības nodokļa (PVN) ieņēmumi veidoja 3,6 mljrd. </w:t>
      </w:r>
      <w:proofErr w:type="spellStart"/>
      <w:r w:rsidRPr="00247690">
        <w:rPr>
          <w:rFonts w:eastAsia="Times New Roman" w:cs="Times New Roman"/>
          <w:i/>
          <w:iCs/>
          <w:sz w:val="24"/>
          <w:szCs w:val="20"/>
        </w:rPr>
        <w:t>euro</w:t>
      </w:r>
      <w:proofErr w:type="spellEnd"/>
      <w:r w:rsidRPr="00247690">
        <w:rPr>
          <w:rFonts w:eastAsia="Times New Roman" w:cs="Times New Roman"/>
          <w:sz w:val="24"/>
          <w:szCs w:val="20"/>
        </w:rPr>
        <w:t xml:space="preserve">, kas bija par 796,2 milj. </w:t>
      </w:r>
      <w:proofErr w:type="spellStart"/>
      <w:r w:rsidRPr="00247690">
        <w:rPr>
          <w:rFonts w:eastAsia="Times New Roman" w:cs="Times New Roman"/>
          <w:i/>
          <w:iCs/>
          <w:sz w:val="24"/>
          <w:szCs w:val="20"/>
        </w:rPr>
        <w:t>euro</w:t>
      </w:r>
      <w:proofErr w:type="spellEnd"/>
      <w:r w:rsidRPr="00247690">
        <w:rPr>
          <w:rFonts w:eastAsia="Times New Roman" w:cs="Times New Roman"/>
          <w:sz w:val="24"/>
          <w:szCs w:val="20"/>
        </w:rPr>
        <w:t xml:space="preserve"> jeb 28,8% vairāk kā 2021. gadā. Straujais PVN ieņēmumu  kāpums 2022. gadā pamatā saistāms ar samaksātajiem nodokļiem tirdzniecības nozarē, ņemot vērā gan iekšējā pieprasījuma palielināšanos, gan patēriņa cenu straujo pieaugumu, inflācijai palielinoties par 17,3% vidēji pērnā gada laikā. Strauji augošais energoresursu cenu kāpums veicināja augstākus samaksātos nodokļus elektroenerģijas, gāzes apgādes un siltumapgādes nozarē. </w:t>
      </w:r>
    </w:p>
    <w:p w14:paraId="716C4F07" w14:textId="1869C911" w:rsidR="00247690" w:rsidRPr="00247690" w:rsidRDefault="00247690" w:rsidP="00247690">
      <w:pPr>
        <w:rPr>
          <w:rFonts w:eastAsia="Calibri" w:cs="Times New Roman"/>
          <w:color w:val="000000"/>
          <w:sz w:val="24"/>
          <w:szCs w:val="24"/>
        </w:rPr>
      </w:pPr>
      <w:r w:rsidRPr="00247690">
        <w:rPr>
          <w:rFonts w:eastAsia="Calibri" w:cs="Times New Roman"/>
          <w:color w:val="000000"/>
          <w:sz w:val="24"/>
          <w:szCs w:val="24"/>
        </w:rPr>
        <w:t xml:space="preserve">Ienākuma un mantas kārtējie nodokļi (D.5) pieauga par 347,9 milj. </w:t>
      </w:r>
      <w:proofErr w:type="spellStart"/>
      <w:r w:rsidRPr="00247690">
        <w:rPr>
          <w:rFonts w:eastAsia="Calibri" w:cs="Times New Roman"/>
          <w:i/>
          <w:color w:val="000000"/>
          <w:sz w:val="24"/>
          <w:szCs w:val="24"/>
        </w:rPr>
        <w:t>euro</w:t>
      </w:r>
      <w:proofErr w:type="spellEnd"/>
      <w:r w:rsidRPr="00247690">
        <w:rPr>
          <w:rFonts w:eastAsia="Calibri" w:cs="Times New Roman"/>
          <w:color w:val="000000"/>
          <w:sz w:val="24"/>
          <w:szCs w:val="24"/>
        </w:rPr>
        <w:t xml:space="preserve"> jeb 14,7%, salīdzinot ar 2021. gadu. Uzņēmuma ienākuma nodoklis 2022. gadā, palielinoties sadalāmās peļņas apmēriem, pieauga par 97,7 milj. </w:t>
      </w:r>
      <w:proofErr w:type="spellStart"/>
      <w:r w:rsidRPr="00247690">
        <w:rPr>
          <w:rFonts w:eastAsia="Calibri" w:cs="Times New Roman"/>
          <w:i/>
          <w:iCs/>
          <w:color w:val="000000"/>
          <w:sz w:val="24"/>
          <w:szCs w:val="24"/>
        </w:rPr>
        <w:t>euro</w:t>
      </w:r>
      <w:proofErr w:type="spellEnd"/>
      <w:r w:rsidRPr="00247690">
        <w:rPr>
          <w:rFonts w:eastAsia="Calibri" w:cs="Times New Roman"/>
          <w:color w:val="000000"/>
          <w:sz w:val="24"/>
          <w:szCs w:val="24"/>
        </w:rPr>
        <w:t xml:space="preserve"> jeb 34,7%, sasniedzot 378,8 milj. </w:t>
      </w:r>
      <w:proofErr w:type="spellStart"/>
      <w:r w:rsidRPr="00247690">
        <w:rPr>
          <w:rFonts w:eastAsia="Calibri" w:cs="Times New Roman"/>
          <w:i/>
          <w:iCs/>
          <w:color w:val="000000"/>
          <w:sz w:val="24"/>
          <w:szCs w:val="24"/>
        </w:rPr>
        <w:t>euro</w:t>
      </w:r>
      <w:proofErr w:type="spellEnd"/>
      <w:r w:rsidRPr="00247690">
        <w:rPr>
          <w:rFonts w:eastAsia="Calibri" w:cs="Times New Roman"/>
          <w:color w:val="000000"/>
          <w:sz w:val="24"/>
          <w:szCs w:val="24"/>
        </w:rPr>
        <w:t xml:space="preserve">. </w:t>
      </w:r>
    </w:p>
    <w:p w14:paraId="6320A764" w14:textId="77777777" w:rsidR="00247690" w:rsidRPr="00247690" w:rsidRDefault="00247690" w:rsidP="00247690">
      <w:pPr>
        <w:rPr>
          <w:rFonts w:eastAsia="Calibri" w:cs="Times New Roman"/>
          <w:color w:val="000000"/>
          <w:sz w:val="24"/>
          <w:szCs w:val="24"/>
        </w:rPr>
      </w:pPr>
      <w:r w:rsidRPr="00247690">
        <w:rPr>
          <w:rFonts w:eastAsia="Calibri" w:cs="Times New Roman"/>
          <w:color w:val="000000"/>
          <w:sz w:val="24"/>
          <w:szCs w:val="24"/>
        </w:rPr>
        <w:t xml:space="preserve">Tautsaimniecībā nodarbināto vidējā bruto darba samaksa 2022. gadā pieauga par 7,5% un sasniedza 1373 </w:t>
      </w:r>
      <w:proofErr w:type="spellStart"/>
      <w:r w:rsidRPr="00247690">
        <w:rPr>
          <w:rFonts w:eastAsia="Calibri" w:cs="Times New Roman"/>
          <w:i/>
          <w:iCs/>
          <w:color w:val="000000"/>
          <w:sz w:val="24"/>
          <w:szCs w:val="24"/>
        </w:rPr>
        <w:t>euro</w:t>
      </w:r>
      <w:proofErr w:type="spellEnd"/>
      <w:r w:rsidRPr="00247690">
        <w:rPr>
          <w:rFonts w:eastAsia="Calibri" w:cs="Times New Roman"/>
          <w:color w:val="000000"/>
          <w:sz w:val="24"/>
          <w:szCs w:val="24"/>
        </w:rPr>
        <w:t xml:space="preserve">, un bezdarbs samazinājās līdz 6,9% no ekonomiski aktīvajiem iedzīvotājiem, kas nodrošināja IIN ieņēmumu pieaugumu par 335,2 milj. </w:t>
      </w:r>
      <w:proofErr w:type="spellStart"/>
      <w:r w:rsidRPr="00247690">
        <w:rPr>
          <w:rFonts w:eastAsia="Calibri" w:cs="Times New Roman"/>
          <w:i/>
          <w:iCs/>
          <w:color w:val="000000"/>
          <w:sz w:val="24"/>
          <w:szCs w:val="24"/>
        </w:rPr>
        <w:t>euro</w:t>
      </w:r>
      <w:proofErr w:type="spellEnd"/>
      <w:r w:rsidRPr="00247690">
        <w:rPr>
          <w:rFonts w:eastAsia="Calibri" w:cs="Times New Roman"/>
          <w:color w:val="000000"/>
          <w:sz w:val="24"/>
          <w:szCs w:val="24"/>
        </w:rPr>
        <w:t xml:space="preserve"> jeb 17,4%. Pozitīva situācija darba tirgū ietekmēja arī sociālo iemaksu ieņēmumus (D.61), kas, salīdzinot ar 2021. gadu, pieauga par 387,4 milj. </w:t>
      </w:r>
      <w:proofErr w:type="spellStart"/>
      <w:r w:rsidRPr="00247690">
        <w:rPr>
          <w:rFonts w:eastAsia="Calibri" w:cs="Times New Roman"/>
          <w:i/>
          <w:color w:val="000000"/>
          <w:sz w:val="24"/>
          <w:szCs w:val="24"/>
        </w:rPr>
        <w:t>euro</w:t>
      </w:r>
      <w:proofErr w:type="spellEnd"/>
      <w:r w:rsidRPr="00247690">
        <w:rPr>
          <w:rFonts w:eastAsia="Calibri" w:cs="Times New Roman"/>
          <w:color w:val="000000"/>
          <w:sz w:val="24"/>
          <w:szCs w:val="24"/>
        </w:rPr>
        <w:t xml:space="preserve"> jeb 11,4%.</w:t>
      </w:r>
    </w:p>
    <w:p w14:paraId="76C29E3C" w14:textId="77777777" w:rsidR="00247690" w:rsidRPr="00247690" w:rsidRDefault="00247690" w:rsidP="00917FC8">
      <w:pPr>
        <w:rPr>
          <w:rFonts w:eastAsia="Calibri" w:cs="Times New Roman"/>
          <w:sz w:val="24"/>
          <w:szCs w:val="24"/>
        </w:rPr>
      </w:pPr>
      <w:r w:rsidRPr="00247690">
        <w:rPr>
          <w:rFonts w:eastAsia="Calibri" w:cs="Times New Roman"/>
          <w:sz w:val="24"/>
          <w:szCs w:val="24"/>
        </w:rPr>
        <w:t xml:space="preserve">Ieņēmumi no īpašuma ienākuma (D.4) 0,7% no IKP apmērā saglabājās 2021. gada līmenī, savukārt, citi ieņēmumi 2022. gadā bija 5,3% no IKP, kas ir par 0,4 procentpunktiem </w:t>
      </w:r>
      <w:r w:rsidRPr="00247690">
        <w:rPr>
          <w:rFonts w:eastAsia="Calibri" w:cs="Times New Roman"/>
          <w:sz w:val="24"/>
          <w:szCs w:val="24"/>
        </w:rPr>
        <w:lastRenderedPageBreak/>
        <w:t>zemāki nekā 2021. gadā (skat. 3.3. attēlu). Īpašuma ienākumu nodrošināja valsts budžetā saņemtās dividendes, savukārt citu ieņēmumu samazinājums skaidrojams ar</w:t>
      </w:r>
      <w:r w:rsidRPr="00247690">
        <w:rPr>
          <w:rFonts w:ascii="Calibri" w:eastAsia="Times New Roman" w:hAnsi="Calibri" w:cs="Times New Roman"/>
          <w:sz w:val="22"/>
        </w:rPr>
        <w:t xml:space="preserve"> </w:t>
      </w:r>
      <w:r w:rsidRPr="00247690">
        <w:rPr>
          <w:rFonts w:eastAsia="Calibri" w:cs="Times New Roman"/>
          <w:sz w:val="24"/>
          <w:szCs w:val="24"/>
        </w:rPr>
        <w:t xml:space="preserve">zemākiem investīciju </w:t>
      </w:r>
      <w:proofErr w:type="spellStart"/>
      <w:r w:rsidRPr="00247690">
        <w:rPr>
          <w:rFonts w:eastAsia="Calibri" w:cs="Times New Roman"/>
          <w:sz w:val="24"/>
          <w:szCs w:val="24"/>
        </w:rPr>
        <w:t>grantiem</w:t>
      </w:r>
      <w:proofErr w:type="spellEnd"/>
      <w:r w:rsidRPr="00247690">
        <w:rPr>
          <w:rFonts w:eastAsia="Calibri" w:cs="Times New Roman"/>
          <w:sz w:val="24"/>
          <w:szCs w:val="24"/>
        </w:rPr>
        <w:t>, tostarp no ārvalstu finanšu palīdzības programmu īstenošanas.</w:t>
      </w:r>
    </w:p>
    <w:p w14:paraId="233D6E1E" w14:textId="2B7F0D6A" w:rsidR="00247690" w:rsidRPr="00247690" w:rsidRDefault="00247690" w:rsidP="00917FC8">
      <w:pPr>
        <w:rPr>
          <w:rFonts w:eastAsia="Times New Roman" w:cs="Times New Roman"/>
          <w:sz w:val="24"/>
          <w:szCs w:val="24"/>
          <w:lang w:eastAsia="lv-LV"/>
        </w:rPr>
      </w:pPr>
      <w:r w:rsidRPr="00247690">
        <w:rPr>
          <w:rFonts w:eastAsia="Times New Roman" w:cs="Times New Roman"/>
          <w:sz w:val="24"/>
          <w:szCs w:val="24"/>
          <w:lang w:eastAsia="lv-LV"/>
        </w:rPr>
        <w:t xml:space="preserve">2023. gada pirmajos divos mēnešos konsolidētā kopbudžeta ieņēmumi (atbilstoši naudas plūsmas metodoloģijai) bija par 246 milj. </w:t>
      </w:r>
      <w:proofErr w:type="spellStart"/>
      <w:r w:rsidRPr="00247690">
        <w:rPr>
          <w:rFonts w:eastAsia="Times New Roman" w:cs="Times New Roman"/>
          <w:i/>
          <w:iCs/>
          <w:sz w:val="24"/>
          <w:szCs w:val="24"/>
          <w:lang w:eastAsia="lv-LV"/>
        </w:rPr>
        <w:t>euro</w:t>
      </w:r>
      <w:proofErr w:type="spellEnd"/>
      <w:r w:rsidRPr="00247690">
        <w:rPr>
          <w:rFonts w:eastAsia="Times New Roman" w:cs="Times New Roman"/>
          <w:sz w:val="24"/>
          <w:szCs w:val="24"/>
          <w:lang w:eastAsia="lv-LV"/>
        </w:rPr>
        <w:t xml:space="preserve"> jeb 10,3% augstāki kā pērn attiecīgajā periodā, veidojot 2,6 mljrd. </w:t>
      </w:r>
      <w:proofErr w:type="spellStart"/>
      <w:r w:rsidRPr="00247690">
        <w:rPr>
          <w:rFonts w:eastAsia="Times New Roman" w:cs="Times New Roman"/>
          <w:i/>
          <w:iCs/>
          <w:sz w:val="24"/>
          <w:szCs w:val="24"/>
          <w:lang w:eastAsia="lv-LV"/>
        </w:rPr>
        <w:t>euro</w:t>
      </w:r>
      <w:proofErr w:type="spellEnd"/>
      <w:r w:rsidRPr="00247690">
        <w:rPr>
          <w:rFonts w:eastAsia="Times New Roman" w:cs="Times New Roman"/>
          <w:sz w:val="24"/>
          <w:szCs w:val="24"/>
          <w:lang w:eastAsia="lv-LV"/>
        </w:rPr>
        <w:t xml:space="preserve">. Kopbudžeta ieņēmumu pieaugums galvenokārt saistīts ar augstākiem nodokļu ieņēmumiem, kas šā gada janvārī-februārī 2 mljrd. </w:t>
      </w:r>
      <w:proofErr w:type="spellStart"/>
      <w:r w:rsidRPr="00247690">
        <w:rPr>
          <w:rFonts w:eastAsia="Times New Roman" w:cs="Times New Roman"/>
          <w:i/>
          <w:iCs/>
          <w:sz w:val="24"/>
          <w:szCs w:val="24"/>
          <w:lang w:eastAsia="lv-LV"/>
        </w:rPr>
        <w:t>euro</w:t>
      </w:r>
      <w:proofErr w:type="spellEnd"/>
      <w:r w:rsidRPr="00247690">
        <w:rPr>
          <w:rFonts w:eastAsia="Times New Roman" w:cs="Times New Roman"/>
          <w:i/>
          <w:iCs/>
          <w:sz w:val="24"/>
          <w:szCs w:val="24"/>
          <w:lang w:eastAsia="lv-LV"/>
        </w:rPr>
        <w:t xml:space="preserve"> </w:t>
      </w:r>
      <w:r w:rsidRPr="00247690">
        <w:rPr>
          <w:rFonts w:eastAsia="Times New Roman" w:cs="Times New Roman"/>
          <w:sz w:val="24"/>
          <w:szCs w:val="24"/>
          <w:lang w:eastAsia="lv-LV"/>
        </w:rPr>
        <w:t xml:space="preserve">apmērā bija par 248,1milj. </w:t>
      </w:r>
      <w:proofErr w:type="spellStart"/>
      <w:r w:rsidRPr="00247690">
        <w:rPr>
          <w:rFonts w:eastAsia="Times New Roman" w:cs="Times New Roman"/>
          <w:i/>
          <w:iCs/>
          <w:sz w:val="24"/>
          <w:szCs w:val="24"/>
          <w:lang w:eastAsia="lv-LV"/>
        </w:rPr>
        <w:t>euro</w:t>
      </w:r>
      <w:proofErr w:type="spellEnd"/>
      <w:r w:rsidRPr="00247690">
        <w:rPr>
          <w:rFonts w:eastAsia="Times New Roman" w:cs="Times New Roman"/>
          <w:sz w:val="24"/>
          <w:szCs w:val="24"/>
          <w:lang w:eastAsia="lv-LV"/>
        </w:rPr>
        <w:t xml:space="preserve"> jeb 13,7% vairāk kā pirmajos divos mēnešos pērn. Kopbudžetā būtiski palielinājušies ieņēmumi gan no darbaspēka nodokļiem, gan no patēriņa nodokļiem. Turpinoties iepriekšējā gada pieauguma tendencēm darba samaksas fondā, augsti pieaugumi vērojami darbaspēka nodokļu ieņēmumos. Savukārt straujais PVN ieņēmumu kāpums pamatā saistāms ar samaksātajiem nodokļiem tirdzniecības nozarē, ņemot vērā patēriņa cenu straujo pieaugumu, gada vidējai inflācijai februārī sasniedzot 20,3%. Strauji augošais energoresursu cenu kāpums veicināja augstākus samaksātos nodokļus elektroenerģijas, gāzes apgādes un siltumapgādes nozarē.</w:t>
      </w:r>
    </w:p>
    <w:p w14:paraId="1703A7DC" w14:textId="10672274" w:rsidR="00247690" w:rsidRPr="00917FC8" w:rsidRDefault="001147FB" w:rsidP="00917FC8">
      <w:pPr>
        <w:spacing w:before="120" w:after="120" w:line="259" w:lineRule="auto"/>
        <w:rPr>
          <w:rFonts w:eastAsia="Times New Roman" w:cs="Times New Roman"/>
          <w:sz w:val="24"/>
          <w:szCs w:val="24"/>
          <w:lang w:eastAsia="lv-LV"/>
        </w:rPr>
        <w:sectPr w:rsidR="00247690" w:rsidRPr="00917FC8" w:rsidSect="00CE41C2">
          <w:type w:val="continuous"/>
          <w:pgSz w:w="11906" w:h="16838"/>
          <w:pgMar w:top="1418" w:right="1134" w:bottom="568" w:left="1701" w:header="1417" w:footer="1134" w:gutter="0"/>
          <w:cols w:space="709"/>
          <w:titlePg/>
          <w:docGrid w:linePitch="360"/>
        </w:sectPr>
      </w:pPr>
      <w:r w:rsidRPr="00501B94">
        <w:rPr>
          <w:noProof/>
        </w:rPr>
        <w:drawing>
          <wp:anchor distT="0" distB="0" distL="114300" distR="114300" simplePos="0" relativeHeight="251698176" behindDoc="0" locked="0" layoutInCell="1" allowOverlap="1" wp14:anchorId="555F51FA" wp14:editId="5FA16C2B">
            <wp:simplePos x="0" y="0"/>
            <wp:positionH relativeFrom="margin">
              <wp:align>right</wp:align>
            </wp:positionH>
            <wp:positionV relativeFrom="page">
              <wp:posOffset>3740785</wp:posOffset>
            </wp:positionV>
            <wp:extent cx="2719070" cy="2879725"/>
            <wp:effectExtent l="0" t="0" r="5080"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3307" t="4233" r="37824"/>
                    <a:stretch/>
                  </pic:blipFill>
                  <pic:spPr bwMode="auto">
                    <a:xfrm>
                      <a:off x="0" y="0"/>
                      <a:ext cx="2719070" cy="2879725"/>
                    </a:xfrm>
                    <a:prstGeom prst="rect">
                      <a:avLst/>
                    </a:prstGeom>
                    <a:noFill/>
                    <a:ln>
                      <a:noFill/>
                    </a:ln>
                    <a:extLst>
                      <a:ext uri="{53640926-AAD7-44D8-BBD7-CCE9431645EC}">
                        <a14:shadowObscured xmlns:a14="http://schemas.microsoft.com/office/drawing/2010/main"/>
                      </a:ext>
                    </a:extLst>
                  </pic:spPr>
                </pic:pic>
              </a:graphicData>
            </a:graphic>
          </wp:anchor>
        </w:drawing>
      </w:r>
      <w:r w:rsidRPr="00501B94">
        <w:rPr>
          <w:noProof/>
        </w:rPr>
        <w:drawing>
          <wp:anchor distT="0" distB="0" distL="114300" distR="114300" simplePos="0" relativeHeight="251696128" behindDoc="0" locked="0" layoutInCell="1" allowOverlap="1" wp14:anchorId="40A9F6FA" wp14:editId="56ECDA0B">
            <wp:simplePos x="0" y="0"/>
            <wp:positionH relativeFrom="margin">
              <wp:posOffset>-57150</wp:posOffset>
            </wp:positionH>
            <wp:positionV relativeFrom="page">
              <wp:posOffset>3734435</wp:posOffset>
            </wp:positionV>
            <wp:extent cx="3041650" cy="2879725"/>
            <wp:effectExtent l="0" t="0" r="6350"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r="33745" b="3641"/>
                    <a:stretch/>
                  </pic:blipFill>
                  <pic:spPr bwMode="auto">
                    <a:xfrm>
                      <a:off x="0" y="0"/>
                      <a:ext cx="3041650" cy="2879725"/>
                    </a:xfrm>
                    <a:prstGeom prst="rect">
                      <a:avLst/>
                    </a:prstGeom>
                    <a:noFill/>
                    <a:ln>
                      <a:noFill/>
                    </a:ln>
                    <a:extLst>
                      <a:ext uri="{53640926-AAD7-44D8-BBD7-CCE9431645EC}">
                        <a14:shadowObscured xmlns:a14="http://schemas.microsoft.com/office/drawing/2010/main"/>
                      </a:ext>
                    </a:extLst>
                  </pic:spPr>
                </pic:pic>
              </a:graphicData>
            </a:graphic>
          </wp:anchor>
        </w:drawing>
      </w:r>
    </w:p>
    <w:p w14:paraId="024B4EC2" w14:textId="1233CC5C" w:rsidR="00247690" w:rsidRPr="00247690" w:rsidRDefault="00247690" w:rsidP="00247690">
      <w:pPr>
        <w:ind w:firstLine="0"/>
        <w:jc w:val="center"/>
        <w:rPr>
          <w:rFonts w:eastAsia="Times New Roman" w:cs="Times New Roman"/>
          <w:b/>
          <w:i/>
          <w:iCs/>
          <w:sz w:val="24"/>
          <w:szCs w:val="24"/>
        </w:rPr>
      </w:pPr>
      <w:r w:rsidRPr="00247690">
        <w:rPr>
          <w:rFonts w:eastAsia="Calibri" w:cs="Times New Roman"/>
          <w:b/>
          <w:i/>
          <w:iCs/>
          <w:sz w:val="24"/>
          <w:szCs w:val="24"/>
        </w:rPr>
        <w:t>3.3.att. Vispārējās valdības ieņēmumu struktūra, % no IKP</w:t>
      </w:r>
      <w:r w:rsidRPr="00247690">
        <w:rPr>
          <w:rFonts w:eastAsia="Calibri" w:cs="Times New Roman"/>
          <w:b/>
          <w:i/>
          <w:iCs/>
          <w:sz w:val="24"/>
          <w:szCs w:val="24"/>
        </w:rPr>
        <w:br/>
        <w:t xml:space="preserve">(Datu </w:t>
      </w:r>
      <w:r w:rsidRPr="00247690">
        <w:rPr>
          <w:rFonts w:eastAsia="Calibri" w:cs="Times New Roman"/>
          <w:b/>
          <w:i/>
          <w:iCs/>
          <w:noProof/>
          <w:sz w:val="24"/>
          <w:szCs w:val="24"/>
        </w:rPr>
        <w:t>avots: Eurostat, FM</w:t>
      </w:r>
      <w:r w:rsidRPr="00247690">
        <w:rPr>
          <w:rFonts w:eastAsia="Calibri" w:cs="Times New Roman"/>
          <w:b/>
          <w:i/>
          <w:iCs/>
          <w:sz w:val="24"/>
          <w:szCs w:val="24"/>
        </w:rPr>
        <w:t>)</w:t>
      </w:r>
    </w:p>
    <w:p w14:paraId="1E1925EC" w14:textId="616DE076" w:rsidR="00247690" w:rsidRPr="00247690" w:rsidRDefault="00247690" w:rsidP="00247690">
      <w:pPr>
        <w:ind w:firstLine="0"/>
        <w:jc w:val="center"/>
        <w:rPr>
          <w:rFonts w:eastAsia="Calibri" w:cs="Times New Roman"/>
          <w:b/>
          <w:i/>
          <w:iCs/>
          <w:sz w:val="24"/>
          <w:szCs w:val="24"/>
        </w:rPr>
        <w:sectPr w:rsidR="00247690" w:rsidRPr="00247690" w:rsidSect="00CE41C2">
          <w:type w:val="continuous"/>
          <w:pgSz w:w="11906" w:h="16838"/>
          <w:pgMar w:top="1418" w:right="1134" w:bottom="568" w:left="1701" w:header="1417" w:footer="1134" w:gutter="0"/>
          <w:cols w:num="2" w:space="709"/>
          <w:titlePg/>
          <w:docGrid w:linePitch="360"/>
        </w:sectPr>
      </w:pPr>
      <w:r w:rsidRPr="00247690">
        <w:rPr>
          <w:rFonts w:eastAsia="Calibri" w:cs="Times New Roman"/>
          <w:b/>
          <w:i/>
          <w:iCs/>
          <w:sz w:val="24"/>
          <w:szCs w:val="24"/>
        </w:rPr>
        <w:t>3.4.att. Vispārējās valdības izdevumu struktūra, % no IKP</w:t>
      </w:r>
      <w:r w:rsidRPr="00247690">
        <w:rPr>
          <w:rFonts w:eastAsia="Calibri" w:cs="Times New Roman"/>
          <w:b/>
          <w:i/>
          <w:iCs/>
          <w:sz w:val="24"/>
          <w:szCs w:val="24"/>
        </w:rPr>
        <w:br/>
        <w:t xml:space="preserve">(Datu </w:t>
      </w:r>
      <w:r w:rsidRPr="00247690">
        <w:rPr>
          <w:rFonts w:eastAsia="Calibri" w:cs="Times New Roman"/>
          <w:b/>
          <w:i/>
          <w:iCs/>
          <w:noProof/>
          <w:sz w:val="24"/>
          <w:szCs w:val="24"/>
        </w:rPr>
        <w:t>avots: Eurostat, FM</w:t>
      </w:r>
      <w:r w:rsidRPr="00247690">
        <w:rPr>
          <w:rFonts w:eastAsia="Calibri" w:cs="Times New Roman"/>
          <w:b/>
          <w:i/>
          <w:iCs/>
          <w:sz w:val="24"/>
          <w:szCs w:val="24"/>
        </w:rPr>
        <w:t>)</w:t>
      </w:r>
    </w:p>
    <w:p w14:paraId="45D0801D" w14:textId="77777777" w:rsidR="00247690" w:rsidRPr="00247690" w:rsidRDefault="00247690" w:rsidP="00247690">
      <w:pPr>
        <w:ind w:firstLine="0"/>
        <w:jc w:val="center"/>
        <w:rPr>
          <w:rFonts w:eastAsia="Times New Roman" w:cs="Times New Roman"/>
          <w:b/>
          <w:sz w:val="24"/>
          <w:szCs w:val="24"/>
        </w:rPr>
        <w:sectPr w:rsidR="00247690" w:rsidRPr="00247690" w:rsidSect="00CE41C2">
          <w:type w:val="continuous"/>
          <w:pgSz w:w="11906" w:h="16838"/>
          <w:pgMar w:top="1418" w:right="1134" w:bottom="568" w:left="1701" w:header="1417" w:footer="1134" w:gutter="0"/>
          <w:cols w:space="709"/>
          <w:titlePg/>
          <w:docGrid w:linePitch="360"/>
        </w:sectPr>
      </w:pPr>
    </w:p>
    <w:p w14:paraId="6ACFBDE9" w14:textId="41C5E098" w:rsidR="00247690" w:rsidRPr="00247690" w:rsidRDefault="00247690" w:rsidP="00247690">
      <w:pPr>
        <w:rPr>
          <w:rFonts w:eastAsia="Times New Roman" w:cs="Times New Roman"/>
          <w:sz w:val="24"/>
          <w:szCs w:val="24"/>
          <w:highlight w:val="white"/>
        </w:rPr>
      </w:pPr>
      <w:r w:rsidRPr="00247690">
        <w:rPr>
          <w:rFonts w:eastAsia="Times New Roman" w:cs="Times New Roman"/>
          <w:sz w:val="24"/>
          <w:szCs w:val="24"/>
          <w:highlight w:val="white"/>
        </w:rPr>
        <w:t xml:space="preserve">Vispārējās valdības budžeta izdevumi pieauga par </w:t>
      </w:r>
      <w:r w:rsidRPr="00247690">
        <w:rPr>
          <w:rFonts w:eastAsia="Times New Roman" w:cs="Times New Roman"/>
          <w:sz w:val="24"/>
          <w:szCs w:val="24"/>
        </w:rPr>
        <w:t xml:space="preserve">1 142,8 </w:t>
      </w:r>
      <w:r w:rsidRPr="00247690">
        <w:rPr>
          <w:rFonts w:eastAsia="Times New Roman" w:cs="Times New Roman"/>
          <w:sz w:val="24"/>
          <w:szCs w:val="24"/>
          <w:highlight w:val="white"/>
        </w:rPr>
        <w:t xml:space="preserve">milj. </w:t>
      </w:r>
      <w:proofErr w:type="spellStart"/>
      <w:r w:rsidRPr="00247690">
        <w:rPr>
          <w:rFonts w:eastAsia="Calibri" w:cs="Times New Roman"/>
          <w:i/>
          <w:sz w:val="24"/>
          <w:szCs w:val="24"/>
        </w:rPr>
        <w:t>euro</w:t>
      </w:r>
      <w:proofErr w:type="spellEnd"/>
      <w:r w:rsidRPr="00247690">
        <w:rPr>
          <w:rFonts w:eastAsia="Times New Roman" w:cs="Times New Roman"/>
          <w:sz w:val="24"/>
          <w:szCs w:val="24"/>
          <w:highlight w:val="white"/>
        </w:rPr>
        <w:t xml:space="preserve"> jeb 7,7%, sasniedzot 15,9 mljrd. </w:t>
      </w:r>
      <w:proofErr w:type="spellStart"/>
      <w:r w:rsidRPr="00247690">
        <w:rPr>
          <w:rFonts w:eastAsia="Calibri" w:cs="Times New Roman"/>
          <w:i/>
          <w:sz w:val="24"/>
          <w:szCs w:val="24"/>
        </w:rPr>
        <w:t>euro</w:t>
      </w:r>
      <w:proofErr w:type="spellEnd"/>
      <w:r w:rsidRPr="00247690">
        <w:rPr>
          <w:rFonts w:eastAsia="Times New Roman" w:cs="Times New Roman"/>
          <w:sz w:val="24"/>
          <w:szCs w:val="24"/>
          <w:highlight w:val="white"/>
        </w:rPr>
        <w:t xml:space="preserve"> jeb 40,8% no IKP </w:t>
      </w:r>
      <w:r w:rsidRPr="00247690">
        <w:rPr>
          <w:rFonts w:eastAsia="Times New Roman" w:cs="Times New Roman"/>
          <w:sz w:val="24"/>
          <w:szCs w:val="24"/>
        </w:rPr>
        <w:t>(skat. 3.4. attēlu)</w:t>
      </w:r>
      <w:r w:rsidRPr="00247690">
        <w:rPr>
          <w:rFonts w:eastAsia="Times New Roman" w:cs="Times New Roman"/>
          <w:sz w:val="24"/>
          <w:szCs w:val="24"/>
          <w:highlight w:val="white"/>
        </w:rPr>
        <w:t xml:space="preserve">. Lielāko pieaugumu nodrošināja pārējo kārtējo </w:t>
      </w:r>
      <w:proofErr w:type="spellStart"/>
      <w:r w:rsidRPr="00247690">
        <w:rPr>
          <w:rFonts w:eastAsia="Times New Roman" w:cs="Times New Roman"/>
          <w:sz w:val="24"/>
          <w:szCs w:val="24"/>
          <w:highlight w:val="white"/>
        </w:rPr>
        <w:t>transfertu</w:t>
      </w:r>
      <w:proofErr w:type="spellEnd"/>
      <w:r w:rsidRPr="00247690">
        <w:rPr>
          <w:rFonts w:eastAsia="Times New Roman" w:cs="Times New Roman"/>
          <w:sz w:val="24"/>
          <w:szCs w:val="24"/>
          <w:highlight w:val="white"/>
        </w:rPr>
        <w:t xml:space="preserve"> pieaugums, kas bija par </w:t>
      </w:r>
      <w:r w:rsidRPr="00247690">
        <w:rPr>
          <w:rFonts w:eastAsia="Times New Roman" w:cs="Times New Roman"/>
          <w:sz w:val="24"/>
          <w:szCs w:val="24"/>
        </w:rPr>
        <w:t xml:space="preserve">734,1 </w:t>
      </w:r>
      <w:r w:rsidRPr="00247690">
        <w:rPr>
          <w:rFonts w:eastAsia="Times New Roman" w:cs="Times New Roman"/>
          <w:sz w:val="24"/>
          <w:szCs w:val="24"/>
          <w:highlight w:val="white"/>
        </w:rPr>
        <w:t xml:space="preserve">milj.  </w:t>
      </w:r>
      <w:proofErr w:type="spellStart"/>
      <w:r w:rsidRPr="00247690">
        <w:rPr>
          <w:rFonts w:eastAsia="Calibri" w:cs="Times New Roman"/>
          <w:i/>
          <w:sz w:val="24"/>
          <w:szCs w:val="24"/>
        </w:rPr>
        <w:t>euro</w:t>
      </w:r>
      <w:proofErr w:type="spellEnd"/>
      <w:r w:rsidRPr="00247690">
        <w:rPr>
          <w:rFonts w:eastAsia="Times New Roman" w:cs="Times New Roman"/>
          <w:sz w:val="24"/>
          <w:szCs w:val="24"/>
          <w:highlight w:val="white"/>
        </w:rPr>
        <w:t xml:space="preserve"> jeb 78,2% lielāki kā 2021. gadā, ņemot vērā subsīdiju palielināšanos veselības nozarei un satiksmes nozarei, kā arī pieaugot finansējumam </w:t>
      </w:r>
      <w:proofErr w:type="spellStart"/>
      <w:r w:rsidRPr="00247690">
        <w:rPr>
          <w:rFonts w:eastAsia="Times New Roman" w:cs="Times New Roman"/>
          <w:sz w:val="24"/>
          <w:szCs w:val="24"/>
          <w:highlight w:val="white"/>
        </w:rPr>
        <w:t>iekšlietu</w:t>
      </w:r>
      <w:proofErr w:type="spellEnd"/>
      <w:r w:rsidRPr="00247690">
        <w:rPr>
          <w:rFonts w:eastAsia="Times New Roman" w:cs="Times New Roman"/>
          <w:sz w:val="24"/>
          <w:szCs w:val="24"/>
          <w:highlight w:val="white"/>
        </w:rPr>
        <w:t xml:space="preserve"> nozarei un ekonomikas attīstībai.</w:t>
      </w:r>
      <w:r w:rsidRPr="00247690">
        <w:rPr>
          <w:rFonts w:eastAsia="Times New Roman" w:cs="Times New Roman"/>
          <w:sz w:val="24"/>
          <w:szCs w:val="24"/>
        </w:rPr>
        <w:t xml:space="preserve"> Jāatzīmē, ka vispārējās valdības budžeta izdevumu īpatsvars </w:t>
      </w:r>
      <w:r w:rsidR="00020C1F">
        <w:rPr>
          <w:rFonts w:eastAsia="Times New Roman" w:cs="Times New Roman"/>
          <w:sz w:val="24"/>
          <w:szCs w:val="24"/>
        </w:rPr>
        <w:t>IKP</w:t>
      </w:r>
      <w:r w:rsidRPr="00247690">
        <w:rPr>
          <w:rFonts w:eastAsia="Times New Roman" w:cs="Times New Roman"/>
          <w:sz w:val="24"/>
          <w:szCs w:val="24"/>
        </w:rPr>
        <w:t xml:space="preserve"> 2022. gadā samazinājās par 3,3 procentpunktiem, ko ietekmēja mazāki izdevumi atbalsta pasākumiem, beidzoties apjomīgām Covid-19 atbalsta programmām.</w:t>
      </w:r>
    </w:p>
    <w:p w14:paraId="3EB58AA2" w14:textId="77777777" w:rsidR="00247690" w:rsidRPr="00247690" w:rsidRDefault="00247690" w:rsidP="00247690">
      <w:pPr>
        <w:rPr>
          <w:rFonts w:eastAsia="Times New Roman" w:cs="Times New Roman"/>
          <w:sz w:val="24"/>
          <w:szCs w:val="24"/>
        </w:rPr>
      </w:pPr>
      <w:r w:rsidRPr="00247690">
        <w:rPr>
          <w:rFonts w:eastAsia="Times New Roman" w:cs="Times New Roman"/>
          <w:sz w:val="24"/>
          <w:szCs w:val="24"/>
          <w:highlight w:val="white"/>
        </w:rPr>
        <w:t xml:space="preserve">Kopējie izdevumi </w:t>
      </w:r>
      <w:r w:rsidRPr="00247690">
        <w:rPr>
          <w:rFonts w:eastAsia="Times New Roman" w:cs="Times New Roman"/>
          <w:sz w:val="24"/>
          <w:szCs w:val="24"/>
        </w:rPr>
        <w:t>atalgojumam</w:t>
      </w:r>
      <w:r w:rsidRPr="00247690">
        <w:rPr>
          <w:rFonts w:eastAsia="Times New Roman" w:cs="Times New Roman"/>
          <w:sz w:val="24"/>
          <w:szCs w:val="24"/>
          <w:highlight w:val="white"/>
        </w:rPr>
        <w:t xml:space="preserve"> (D.1) 2022.gadā pieauguši par </w:t>
      </w:r>
      <w:r w:rsidRPr="00247690">
        <w:rPr>
          <w:rFonts w:eastAsia="Times New Roman" w:cs="Times New Roman"/>
          <w:sz w:val="24"/>
          <w:szCs w:val="24"/>
        </w:rPr>
        <w:t xml:space="preserve">100,2 </w:t>
      </w:r>
      <w:r w:rsidRPr="00247690">
        <w:rPr>
          <w:rFonts w:eastAsia="Times New Roman" w:cs="Times New Roman"/>
          <w:sz w:val="24"/>
          <w:szCs w:val="24"/>
          <w:highlight w:val="white"/>
        </w:rPr>
        <w:t xml:space="preserve">milj. </w:t>
      </w:r>
      <w:proofErr w:type="spellStart"/>
      <w:r w:rsidRPr="00247690">
        <w:rPr>
          <w:rFonts w:eastAsia="Calibri" w:cs="Times New Roman"/>
          <w:i/>
          <w:sz w:val="24"/>
          <w:szCs w:val="24"/>
        </w:rPr>
        <w:t>euro</w:t>
      </w:r>
      <w:proofErr w:type="spellEnd"/>
      <w:r w:rsidRPr="00247690">
        <w:rPr>
          <w:rFonts w:eastAsia="Times New Roman" w:cs="Times New Roman"/>
          <w:sz w:val="24"/>
          <w:szCs w:val="24"/>
          <w:highlight w:val="white"/>
        </w:rPr>
        <w:t xml:space="preserve"> jeb 2,6%</w:t>
      </w:r>
      <w:r w:rsidRPr="00247690">
        <w:rPr>
          <w:rFonts w:eastAsia="Times New Roman" w:cs="Times New Roman"/>
          <w:sz w:val="24"/>
          <w:szCs w:val="24"/>
        </w:rPr>
        <w:t xml:space="preserve">. Lielākais kāpums vērojams vietējās valdības budžetā, tostarp, pedagogu darba samaksas celšanai. Tāpat palielinājušies arī centrālas valdības izdevumi atalgojumam, galvenokārt, aizsardzības un </w:t>
      </w:r>
      <w:proofErr w:type="spellStart"/>
      <w:r w:rsidRPr="00247690">
        <w:rPr>
          <w:rFonts w:eastAsia="Times New Roman" w:cs="Times New Roman"/>
          <w:sz w:val="24"/>
          <w:szCs w:val="24"/>
        </w:rPr>
        <w:t>iekšlietu</w:t>
      </w:r>
      <w:proofErr w:type="spellEnd"/>
      <w:r w:rsidRPr="00247690">
        <w:rPr>
          <w:rFonts w:eastAsia="Times New Roman" w:cs="Times New Roman"/>
          <w:sz w:val="24"/>
          <w:szCs w:val="24"/>
        </w:rPr>
        <w:t xml:space="preserve"> struktūrās.</w:t>
      </w:r>
    </w:p>
    <w:p w14:paraId="55942D69" w14:textId="7782865F" w:rsidR="00247690" w:rsidRPr="00247690" w:rsidRDefault="00247690" w:rsidP="00247690">
      <w:pPr>
        <w:rPr>
          <w:rFonts w:eastAsia="Times New Roman" w:cs="Times New Roman"/>
          <w:sz w:val="24"/>
          <w:szCs w:val="24"/>
          <w:highlight w:val="white"/>
        </w:rPr>
      </w:pPr>
      <w:r w:rsidRPr="00247690">
        <w:rPr>
          <w:rFonts w:eastAsia="Times New Roman" w:cs="Times New Roman"/>
          <w:sz w:val="24"/>
          <w:szCs w:val="24"/>
          <w:highlight w:val="white"/>
        </w:rPr>
        <w:t xml:space="preserve">Izdevumi sociālajiem pabalstiem (D.632 un D.62) pieauguši par </w:t>
      </w:r>
      <w:r w:rsidRPr="00247690">
        <w:rPr>
          <w:rFonts w:eastAsia="Times New Roman" w:cs="Times New Roman"/>
          <w:sz w:val="24"/>
          <w:szCs w:val="24"/>
        </w:rPr>
        <w:t xml:space="preserve">271,3 </w:t>
      </w:r>
      <w:r w:rsidRPr="00247690">
        <w:rPr>
          <w:rFonts w:eastAsia="Times New Roman" w:cs="Times New Roman"/>
          <w:sz w:val="24"/>
          <w:szCs w:val="24"/>
          <w:highlight w:val="white"/>
        </w:rPr>
        <w:t xml:space="preserve">milj. </w:t>
      </w:r>
      <w:proofErr w:type="spellStart"/>
      <w:r w:rsidRPr="00247690">
        <w:rPr>
          <w:rFonts w:eastAsia="Calibri" w:cs="Times New Roman"/>
          <w:i/>
          <w:sz w:val="24"/>
          <w:szCs w:val="24"/>
        </w:rPr>
        <w:t>euro</w:t>
      </w:r>
      <w:proofErr w:type="spellEnd"/>
      <w:r w:rsidRPr="00247690">
        <w:rPr>
          <w:rFonts w:eastAsia="Times New Roman" w:cs="Times New Roman"/>
          <w:sz w:val="24"/>
          <w:szCs w:val="24"/>
          <w:highlight w:val="white"/>
        </w:rPr>
        <w:t xml:space="preserve"> jeb 5,4%. </w:t>
      </w:r>
      <w:r w:rsidRPr="00247690">
        <w:rPr>
          <w:rFonts w:eastAsia="Times New Roman" w:cs="Times New Roman"/>
          <w:sz w:val="24"/>
          <w:szCs w:val="24"/>
        </w:rPr>
        <w:t xml:space="preserve">Taču situācija pa vispārējās valdības budžeta </w:t>
      </w:r>
      <w:proofErr w:type="spellStart"/>
      <w:r w:rsidRPr="00247690">
        <w:rPr>
          <w:rFonts w:eastAsia="Times New Roman" w:cs="Times New Roman"/>
          <w:sz w:val="24"/>
          <w:szCs w:val="24"/>
        </w:rPr>
        <w:t>apakš</w:t>
      </w:r>
      <w:r w:rsidR="00020C1F">
        <w:rPr>
          <w:rFonts w:eastAsia="Times New Roman" w:cs="Times New Roman"/>
          <w:sz w:val="24"/>
          <w:szCs w:val="24"/>
        </w:rPr>
        <w:t>s</w:t>
      </w:r>
      <w:r w:rsidRPr="00247690">
        <w:rPr>
          <w:rFonts w:eastAsia="Times New Roman" w:cs="Times New Roman"/>
          <w:sz w:val="24"/>
          <w:szCs w:val="24"/>
        </w:rPr>
        <w:t>ektoriem</w:t>
      </w:r>
      <w:proofErr w:type="spellEnd"/>
      <w:r w:rsidRPr="00247690">
        <w:rPr>
          <w:rFonts w:eastAsia="Times New Roman" w:cs="Times New Roman"/>
          <w:sz w:val="24"/>
          <w:szCs w:val="24"/>
        </w:rPr>
        <w:t xml:space="preserve"> bija atšķirīga – kamēr </w:t>
      </w:r>
      <w:r w:rsidRPr="00247690">
        <w:rPr>
          <w:rFonts w:eastAsia="Times New Roman" w:cs="Times New Roman"/>
          <w:sz w:val="24"/>
          <w:szCs w:val="24"/>
        </w:rPr>
        <w:lastRenderedPageBreak/>
        <w:t xml:space="preserve">centrālās valdības izdevumi sociāla rakstura maksājumiem samazinājušies par 150,9 milj. </w:t>
      </w:r>
      <w:proofErr w:type="spellStart"/>
      <w:r w:rsidRPr="00247690">
        <w:rPr>
          <w:rFonts w:eastAsia="Times New Roman" w:cs="Times New Roman"/>
          <w:i/>
          <w:iCs/>
          <w:sz w:val="24"/>
          <w:szCs w:val="24"/>
        </w:rPr>
        <w:t>euro</w:t>
      </w:r>
      <w:proofErr w:type="spellEnd"/>
      <w:r w:rsidRPr="00247690">
        <w:rPr>
          <w:rFonts w:eastAsia="Times New Roman" w:cs="Times New Roman"/>
          <w:sz w:val="24"/>
          <w:szCs w:val="24"/>
        </w:rPr>
        <w:t xml:space="preserve"> jeb 8,8%, speciālajā budžetā vērojams izdevumu kāpums par 366,4 milj. </w:t>
      </w:r>
      <w:proofErr w:type="spellStart"/>
      <w:r w:rsidRPr="00247690">
        <w:rPr>
          <w:rFonts w:eastAsia="Times New Roman" w:cs="Times New Roman"/>
          <w:i/>
          <w:iCs/>
          <w:sz w:val="24"/>
          <w:szCs w:val="24"/>
        </w:rPr>
        <w:t>euro</w:t>
      </w:r>
      <w:proofErr w:type="spellEnd"/>
      <w:r w:rsidRPr="00247690">
        <w:rPr>
          <w:rFonts w:eastAsia="Times New Roman" w:cs="Times New Roman"/>
          <w:sz w:val="24"/>
          <w:szCs w:val="24"/>
        </w:rPr>
        <w:t xml:space="preserve"> jeb 11,5%. Mazāki centrālās valdības izdevumi skaidrojami ar ievērojami augstāku izdevumu bāzi 2021. gada attiecīgajā periodā, Covid-19 sakarā izmaksājot dīkstāves pabalstus, vienreizējus pabalstus senioriem un ģimenēm ar bērniem. Turpretī, speciālajā budžetā, ņemot vērā 2022. gada ļoti augsto pensiju indeksācijas koeficientu, vērojami augstāki izdevumi vecuma pensijām. Tāpat gada sākumā strauji pieaugošais slimības gadījumu skaits Covid-19 vīrusa omikrona paveida </w:t>
      </w:r>
      <w:r w:rsidR="00020C1F" w:rsidRPr="00020C1F">
        <w:rPr>
          <w:rFonts w:eastAsia="Times New Roman" w:cs="Times New Roman"/>
          <w:sz w:val="24"/>
          <w:szCs w:val="24"/>
        </w:rPr>
        <w:t xml:space="preserve">dēļ </w:t>
      </w:r>
      <w:r w:rsidRPr="00247690">
        <w:rPr>
          <w:rFonts w:eastAsia="Times New Roman" w:cs="Times New Roman"/>
          <w:sz w:val="24"/>
          <w:szCs w:val="24"/>
        </w:rPr>
        <w:t>veicināja izdevumu kāpumu slimības pabalstiem.</w:t>
      </w:r>
    </w:p>
    <w:p w14:paraId="309EF6B4" w14:textId="6569DD13" w:rsidR="00247690" w:rsidRPr="00247690" w:rsidRDefault="00247690" w:rsidP="00247690">
      <w:pPr>
        <w:rPr>
          <w:rFonts w:eastAsia="Times New Roman" w:cs="Times New Roman"/>
          <w:color w:val="000000"/>
          <w:sz w:val="24"/>
          <w:szCs w:val="24"/>
        </w:rPr>
      </w:pPr>
      <w:r w:rsidRPr="00247690">
        <w:rPr>
          <w:rFonts w:eastAsia="Times New Roman" w:cs="Times New Roman"/>
          <w:sz w:val="24"/>
          <w:szCs w:val="24"/>
          <w:highlight w:val="white"/>
        </w:rPr>
        <w:t>Vispārējās valdības izdevumi bruto pamatkapitāla veidošanai (P.51G) 2022.</w:t>
      </w:r>
      <w:r w:rsidR="00020C1F">
        <w:rPr>
          <w:rFonts w:eastAsia="Times New Roman" w:cs="Times New Roman"/>
          <w:sz w:val="24"/>
          <w:szCs w:val="24"/>
          <w:highlight w:val="white"/>
        </w:rPr>
        <w:t xml:space="preserve"> </w:t>
      </w:r>
      <w:r w:rsidRPr="00247690">
        <w:rPr>
          <w:rFonts w:eastAsia="Times New Roman" w:cs="Times New Roman"/>
          <w:sz w:val="24"/>
          <w:szCs w:val="24"/>
          <w:highlight w:val="white"/>
        </w:rPr>
        <w:t xml:space="preserve">gadā samazinājušies par 40,8 milj. </w:t>
      </w:r>
      <w:proofErr w:type="spellStart"/>
      <w:r w:rsidRPr="00247690">
        <w:rPr>
          <w:rFonts w:eastAsia="Calibri" w:cs="Times New Roman"/>
          <w:i/>
          <w:sz w:val="24"/>
          <w:szCs w:val="24"/>
        </w:rPr>
        <w:t>euro</w:t>
      </w:r>
      <w:proofErr w:type="spellEnd"/>
      <w:r w:rsidRPr="00247690">
        <w:rPr>
          <w:rFonts w:eastAsia="Times New Roman" w:cs="Times New Roman"/>
          <w:sz w:val="24"/>
          <w:szCs w:val="24"/>
          <w:highlight w:val="white"/>
        </w:rPr>
        <w:t xml:space="preserve"> jeb 2,3%. </w:t>
      </w:r>
      <w:r w:rsidRPr="00247690">
        <w:rPr>
          <w:rFonts w:eastAsia="Times New Roman" w:cs="Times New Roman"/>
          <w:color w:val="000000"/>
          <w:sz w:val="24"/>
          <w:szCs w:val="24"/>
        </w:rPr>
        <w:t xml:space="preserve">Bruto pamatkapitāla veidošanas apmērus ietekmēja zemākas aplēses par vispārējās valdības pieklasificēto komersantu veiktajiem investīciju projektiem.  </w:t>
      </w:r>
    </w:p>
    <w:p w14:paraId="5D6B1DE6" w14:textId="77777777" w:rsidR="00247690" w:rsidRPr="00247690" w:rsidRDefault="00247690" w:rsidP="00247690">
      <w:pPr>
        <w:rPr>
          <w:rFonts w:eastAsia="Times New Roman" w:cs="Times New Roman"/>
          <w:sz w:val="24"/>
          <w:szCs w:val="24"/>
        </w:rPr>
      </w:pPr>
      <w:r w:rsidRPr="00247690">
        <w:rPr>
          <w:rFonts w:eastAsia="Times New Roman" w:cs="Times New Roman"/>
          <w:sz w:val="24"/>
          <w:szCs w:val="24"/>
          <w:highlight w:val="white"/>
        </w:rPr>
        <w:t xml:space="preserve">Izdevumi starppatēriņam (P.2) </w:t>
      </w:r>
      <w:r w:rsidRPr="00247690">
        <w:rPr>
          <w:rFonts w:eastAsia="Times New Roman" w:cs="Times New Roman"/>
          <w:sz w:val="24"/>
          <w:szCs w:val="24"/>
        </w:rPr>
        <w:t xml:space="preserve">pērn pieauguši par 691,9 milj. </w:t>
      </w:r>
      <w:proofErr w:type="spellStart"/>
      <w:r w:rsidRPr="00247690">
        <w:rPr>
          <w:rFonts w:eastAsia="Times New Roman" w:cs="Times New Roman"/>
          <w:i/>
          <w:iCs/>
          <w:sz w:val="24"/>
          <w:szCs w:val="24"/>
        </w:rPr>
        <w:t>euro</w:t>
      </w:r>
      <w:proofErr w:type="spellEnd"/>
      <w:r w:rsidRPr="00247690">
        <w:rPr>
          <w:rFonts w:eastAsia="Times New Roman" w:cs="Times New Roman"/>
          <w:i/>
          <w:iCs/>
          <w:sz w:val="24"/>
          <w:szCs w:val="24"/>
        </w:rPr>
        <w:t xml:space="preserve"> </w:t>
      </w:r>
      <w:r w:rsidRPr="00247690">
        <w:rPr>
          <w:rFonts w:eastAsia="Times New Roman" w:cs="Times New Roman"/>
          <w:sz w:val="24"/>
          <w:szCs w:val="24"/>
        </w:rPr>
        <w:t>jeb 34%,</w:t>
      </w:r>
      <w:r w:rsidRPr="00247690">
        <w:rPr>
          <w:rFonts w:eastAsia="Times New Roman" w:cs="Times New Roman"/>
          <w:sz w:val="24"/>
          <w:szCs w:val="20"/>
        </w:rPr>
        <w:t xml:space="preserve"> kas lielā mērā skaidrojams ar dabasgāzes rezervju iegādi pagājušā gada rudenī, tāpat arī pieaugošajām energoresursu cenām, kāpinot izdevumus par komunālajiem pakalpojumiem</w:t>
      </w:r>
      <w:r w:rsidRPr="00247690">
        <w:rPr>
          <w:rFonts w:eastAsia="Times New Roman" w:cs="Times New Roman"/>
          <w:sz w:val="24"/>
          <w:szCs w:val="24"/>
        </w:rPr>
        <w:t>.</w:t>
      </w:r>
    </w:p>
    <w:p w14:paraId="6E14ADC2" w14:textId="3A88C7F0" w:rsidR="00A735D7" w:rsidRDefault="00247690" w:rsidP="00247690">
      <w:pPr>
        <w:rPr>
          <w:rFonts w:eastAsia="Times New Roman" w:cs="Times New Roman"/>
          <w:sz w:val="24"/>
        </w:rPr>
      </w:pPr>
      <w:r w:rsidRPr="00247690">
        <w:rPr>
          <w:rFonts w:eastAsia="Times New Roman" w:cs="Times New Roman"/>
          <w:sz w:val="24"/>
        </w:rPr>
        <w:t>2023. gada pirmajos divos mēnešos konsolidētā kopbudžeta izdevumi (atbilstoši naudas plūsmas metodoloģijai) 2,5 mljrd</w:t>
      </w:r>
      <w:r w:rsidR="006866D8">
        <w:rPr>
          <w:rFonts w:eastAsia="Times New Roman" w:cs="Times New Roman"/>
          <w:sz w:val="24"/>
        </w:rPr>
        <w:t>.</w:t>
      </w:r>
      <w:r w:rsidRPr="00247690">
        <w:rPr>
          <w:rFonts w:eastAsia="Times New Roman" w:cs="Times New Roman"/>
          <w:sz w:val="24"/>
        </w:rPr>
        <w:t xml:space="preserve"> </w:t>
      </w:r>
      <w:proofErr w:type="spellStart"/>
      <w:r w:rsidRPr="00247690">
        <w:rPr>
          <w:rFonts w:eastAsia="Times New Roman" w:cs="Times New Roman"/>
          <w:i/>
          <w:iCs/>
          <w:sz w:val="24"/>
        </w:rPr>
        <w:t>euro</w:t>
      </w:r>
      <w:proofErr w:type="spellEnd"/>
      <w:r w:rsidRPr="00247690">
        <w:rPr>
          <w:rFonts w:eastAsia="Times New Roman" w:cs="Times New Roman"/>
          <w:sz w:val="24"/>
        </w:rPr>
        <w:t xml:space="preserve"> apmērā bija par 308,9 milj. </w:t>
      </w:r>
      <w:proofErr w:type="spellStart"/>
      <w:r w:rsidRPr="00247690">
        <w:rPr>
          <w:rFonts w:eastAsia="Times New Roman" w:cs="Times New Roman"/>
          <w:i/>
          <w:iCs/>
          <w:sz w:val="24"/>
        </w:rPr>
        <w:t>euro</w:t>
      </w:r>
      <w:proofErr w:type="spellEnd"/>
      <w:r w:rsidRPr="00247690">
        <w:rPr>
          <w:rFonts w:eastAsia="Times New Roman" w:cs="Times New Roman"/>
          <w:sz w:val="24"/>
        </w:rPr>
        <w:t xml:space="preserve"> jeb 14,1% augstāki nekā gadu iepriekš. Straujš izdevumu kāpums vērojams subsīdijām un dotācijām, kas 662 milj.</w:t>
      </w:r>
      <w:r w:rsidR="00206480">
        <w:rPr>
          <w:rFonts w:eastAsia="Times New Roman" w:cs="Times New Roman"/>
          <w:sz w:val="24"/>
        </w:rPr>
        <w:t xml:space="preserve"> </w:t>
      </w:r>
      <w:proofErr w:type="spellStart"/>
      <w:r w:rsidRPr="00247690">
        <w:rPr>
          <w:rFonts w:eastAsia="Times New Roman" w:cs="Times New Roman"/>
          <w:i/>
          <w:iCs/>
          <w:sz w:val="24"/>
        </w:rPr>
        <w:t>euro</w:t>
      </w:r>
      <w:proofErr w:type="spellEnd"/>
      <w:r w:rsidRPr="00247690">
        <w:rPr>
          <w:rFonts w:eastAsia="Times New Roman" w:cs="Times New Roman"/>
          <w:sz w:val="24"/>
        </w:rPr>
        <w:t xml:space="preserve"> apmērā bija par 127,9 milj.</w:t>
      </w:r>
      <w:r>
        <w:rPr>
          <w:rFonts w:eastAsia="Times New Roman" w:cs="Times New Roman"/>
          <w:sz w:val="24"/>
        </w:rPr>
        <w:t xml:space="preserve"> </w:t>
      </w:r>
      <w:proofErr w:type="spellStart"/>
      <w:r w:rsidRPr="00247690">
        <w:rPr>
          <w:rFonts w:eastAsia="Times New Roman" w:cs="Times New Roman"/>
          <w:i/>
          <w:iCs/>
          <w:sz w:val="24"/>
        </w:rPr>
        <w:t>euro</w:t>
      </w:r>
      <w:proofErr w:type="spellEnd"/>
      <w:r w:rsidRPr="00247690">
        <w:rPr>
          <w:rFonts w:eastAsia="Times New Roman" w:cs="Times New Roman"/>
          <w:sz w:val="24"/>
        </w:rPr>
        <w:t xml:space="preserve"> jeb 24% augstāki nekā gadu iepriekš, kas skaidrojams ar izdevumiem atbalsta pasākumiem energoresursu cenu kāpuma mazināšanai, kas pērn gada sākumā tika izmaksāti mazākā apmērā, kā arī ar augstākiem izdevumiem ES fondu projektu īstenošanai. Atlīdzībai kopbudžetā 2023.</w:t>
      </w:r>
      <w:r w:rsidR="00206480">
        <w:rPr>
          <w:rFonts w:eastAsia="Times New Roman" w:cs="Times New Roman"/>
          <w:sz w:val="24"/>
        </w:rPr>
        <w:t xml:space="preserve"> </w:t>
      </w:r>
      <w:r w:rsidRPr="00247690">
        <w:rPr>
          <w:rFonts w:eastAsia="Times New Roman" w:cs="Times New Roman"/>
          <w:sz w:val="24"/>
        </w:rPr>
        <w:t>gada divos mēnešos tērēts par 52,2 milj.</w:t>
      </w:r>
      <w:r w:rsidR="00206480">
        <w:rPr>
          <w:rFonts w:eastAsia="Times New Roman" w:cs="Times New Roman"/>
          <w:sz w:val="24"/>
        </w:rPr>
        <w:t xml:space="preserve"> </w:t>
      </w:r>
      <w:proofErr w:type="spellStart"/>
      <w:r w:rsidRPr="00247690">
        <w:rPr>
          <w:rFonts w:eastAsia="Times New Roman" w:cs="Times New Roman"/>
          <w:i/>
          <w:iCs/>
          <w:sz w:val="24"/>
        </w:rPr>
        <w:t>euro</w:t>
      </w:r>
      <w:proofErr w:type="spellEnd"/>
      <w:r w:rsidRPr="00247690">
        <w:rPr>
          <w:rFonts w:eastAsia="Times New Roman" w:cs="Times New Roman"/>
          <w:sz w:val="24"/>
        </w:rPr>
        <w:t xml:space="preserve"> jeb 13,8% vairāk nekā gadu iepriekš. Pieaugums saistāms ar būtisku minimālās algas celšanu valstī, kas no 2023. gada 1. janvāra ir 620 </w:t>
      </w:r>
      <w:proofErr w:type="spellStart"/>
      <w:r w:rsidRPr="00247690">
        <w:rPr>
          <w:rFonts w:eastAsia="Times New Roman" w:cs="Times New Roman"/>
          <w:i/>
          <w:iCs/>
          <w:sz w:val="24"/>
        </w:rPr>
        <w:t>euro</w:t>
      </w:r>
      <w:proofErr w:type="spellEnd"/>
      <w:r w:rsidRPr="00247690">
        <w:rPr>
          <w:rFonts w:eastAsia="Times New Roman" w:cs="Times New Roman"/>
          <w:sz w:val="24"/>
        </w:rPr>
        <w:t xml:space="preserve"> mēnesī, kā arī ar valsts budžeta izdevumu pieaugumu sabiedriskā sektora darbinieku algām, tostarp aizsardzības un izglītības nozarēs. Lielāki nekā 2022.</w:t>
      </w:r>
      <w:r w:rsidR="00206480">
        <w:rPr>
          <w:rFonts w:eastAsia="Times New Roman" w:cs="Times New Roman"/>
          <w:sz w:val="24"/>
        </w:rPr>
        <w:t xml:space="preserve"> </w:t>
      </w:r>
      <w:r w:rsidRPr="00247690">
        <w:rPr>
          <w:rFonts w:eastAsia="Times New Roman" w:cs="Times New Roman"/>
          <w:sz w:val="24"/>
        </w:rPr>
        <w:t>gada janvārī-februārī bija arī izdevumi precēm un pakalpojumiem, kur cenu kāpuma ietekmē vairāk tērēts par siltumenerģiju, elektroenerģiju, kurināmo, kā arī autoceļu uzturēšanai.</w:t>
      </w:r>
      <w:r w:rsidRPr="00247690">
        <w:rPr>
          <w:rFonts w:ascii="Calibri" w:eastAsia="Times New Roman" w:hAnsi="Calibri" w:cs="Times New Roman"/>
          <w:sz w:val="22"/>
        </w:rPr>
        <w:t xml:space="preserve"> </w:t>
      </w:r>
      <w:r w:rsidRPr="00247690">
        <w:rPr>
          <w:rFonts w:eastAsia="Times New Roman" w:cs="Times New Roman"/>
          <w:sz w:val="24"/>
        </w:rPr>
        <w:t>Izdevumi sociāla rakstura maksājumiem kopbudžetā 2023.</w:t>
      </w:r>
      <w:r w:rsidR="00206480">
        <w:rPr>
          <w:rFonts w:eastAsia="Times New Roman" w:cs="Times New Roman"/>
          <w:sz w:val="24"/>
        </w:rPr>
        <w:t xml:space="preserve"> </w:t>
      </w:r>
      <w:r w:rsidRPr="00247690">
        <w:rPr>
          <w:rFonts w:eastAsia="Times New Roman" w:cs="Times New Roman"/>
          <w:sz w:val="24"/>
        </w:rPr>
        <w:t xml:space="preserve">gada divos mēnešos bija par 46,9 milj. </w:t>
      </w:r>
      <w:proofErr w:type="spellStart"/>
      <w:r w:rsidRPr="00247690">
        <w:rPr>
          <w:rFonts w:eastAsia="Times New Roman" w:cs="Times New Roman"/>
          <w:i/>
          <w:iCs/>
          <w:sz w:val="24"/>
        </w:rPr>
        <w:t>euro</w:t>
      </w:r>
      <w:proofErr w:type="spellEnd"/>
      <w:r w:rsidRPr="00247690">
        <w:rPr>
          <w:rFonts w:eastAsia="Times New Roman" w:cs="Times New Roman"/>
          <w:sz w:val="24"/>
        </w:rPr>
        <w:t xml:space="preserve"> jeb 5,9% vairāk kā 2022. gada janvārī-februārī. Taču situācija pa budžeta līmeņiem bija atšķirīga – kamēr valsts pamatbudžetā izdevumi sociāla rakstura maksājumiem samazinājušies par 104,5 milj. </w:t>
      </w:r>
      <w:proofErr w:type="spellStart"/>
      <w:r w:rsidRPr="00247690">
        <w:rPr>
          <w:rFonts w:eastAsia="Times New Roman" w:cs="Times New Roman"/>
          <w:i/>
          <w:iCs/>
          <w:sz w:val="24"/>
        </w:rPr>
        <w:t>euro</w:t>
      </w:r>
      <w:proofErr w:type="spellEnd"/>
      <w:r w:rsidRPr="00247690">
        <w:rPr>
          <w:rFonts w:eastAsia="Times New Roman" w:cs="Times New Roman"/>
          <w:i/>
          <w:iCs/>
          <w:sz w:val="24"/>
        </w:rPr>
        <w:t xml:space="preserve"> </w:t>
      </w:r>
      <w:r w:rsidRPr="00247690">
        <w:rPr>
          <w:rFonts w:eastAsia="Times New Roman" w:cs="Times New Roman"/>
          <w:sz w:val="24"/>
        </w:rPr>
        <w:t xml:space="preserve">jeb 51,5%, valsts speciālā budžetā vērojams izdevumu kāpums par 137,1 milj. </w:t>
      </w:r>
      <w:proofErr w:type="spellStart"/>
      <w:r w:rsidRPr="00247690">
        <w:rPr>
          <w:rFonts w:eastAsia="Times New Roman" w:cs="Times New Roman"/>
          <w:i/>
          <w:iCs/>
          <w:sz w:val="24"/>
        </w:rPr>
        <w:t>euro</w:t>
      </w:r>
      <w:proofErr w:type="spellEnd"/>
      <w:r w:rsidRPr="00247690">
        <w:rPr>
          <w:rFonts w:eastAsia="Times New Roman" w:cs="Times New Roman"/>
          <w:sz w:val="24"/>
        </w:rPr>
        <w:t xml:space="preserve"> jeb 24,3%. Mazāki izdevumi pamatbudžetā skaidrojami ar ievērojami augstāku izdevumu bāzi 2022. gada attiecīgajā periodā, vienreizējā pabalsta izmaksāšanas dēļ 50 </w:t>
      </w:r>
      <w:proofErr w:type="spellStart"/>
      <w:r w:rsidRPr="00247690">
        <w:rPr>
          <w:rFonts w:eastAsia="Times New Roman" w:cs="Times New Roman"/>
          <w:i/>
          <w:iCs/>
          <w:sz w:val="24"/>
        </w:rPr>
        <w:t>euro</w:t>
      </w:r>
      <w:proofErr w:type="spellEnd"/>
      <w:r w:rsidRPr="00247690">
        <w:rPr>
          <w:rFonts w:eastAsia="Times New Roman" w:cs="Times New Roman"/>
          <w:sz w:val="24"/>
        </w:rPr>
        <w:t xml:space="preserve"> apmērā ģimenēm ar bērniem un 20 </w:t>
      </w:r>
      <w:proofErr w:type="spellStart"/>
      <w:r w:rsidRPr="00247690">
        <w:rPr>
          <w:rFonts w:eastAsia="Times New Roman" w:cs="Times New Roman"/>
          <w:i/>
          <w:iCs/>
          <w:sz w:val="24"/>
        </w:rPr>
        <w:t>euro</w:t>
      </w:r>
      <w:proofErr w:type="spellEnd"/>
      <w:r w:rsidRPr="00247690">
        <w:rPr>
          <w:rFonts w:eastAsia="Times New Roman" w:cs="Times New Roman"/>
          <w:sz w:val="24"/>
        </w:rPr>
        <w:t xml:space="preserve"> apmērā senioriem, lai kompensētu negatīvo efektu no energoresursu cenu pieauguma. Turpretī, speciālajā budžetā, ņemot vērā ļoti augsto pensiju indeksāciju, vērojami par 115,7 milj. </w:t>
      </w:r>
      <w:proofErr w:type="spellStart"/>
      <w:r w:rsidRPr="00247690">
        <w:rPr>
          <w:rFonts w:eastAsia="Times New Roman" w:cs="Times New Roman"/>
          <w:i/>
          <w:iCs/>
          <w:sz w:val="24"/>
        </w:rPr>
        <w:t>euro</w:t>
      </w:r>
      <w:proofErr w:type="spellEnd"/>
      <w:r w:rsidRPr="00247690">
        <w:rPr>
          <w:rFonts w:eastAsia="Times New Roman" w:cs="Times New Roman"/>
          <w:sz w:val="24"/>
        </w:rPr>
        <w:t xml:space="preserve"> jeb 30,4% augstāki izdevumi vecuma pensijām.</w:t>
      </w:r>
    </w:p>
    <w:p w14:paraId="78EFDF38" w14:textId="77777777" w:rsidR="00247690" w:rsidRPr="00247690" w:rsidRDefault="00247690" w:rsidP="00247690">
      <w:pPr>
        <w:rPr>
          <w:rFonts w:eastAsia="Times New Roman" w:cs="Times New Roman"/>
          <w:sz w:val="24"/>
        </w:rPr>
      </w:pPr>
    </w:p>
    <w:p w14:paraId="634D654E" w14:textId="4184BC26" w:rsidR="00581441" w:rsidRPr="00B6285A" w:rsidRDefault="00581441" w:rsidP="00247690">
      <w:pPr>
        <w:pStyle w:val="Heading2"/>
        <w:numPr>
          <w:ilvl w:val="0"/>
          <w:numId w:val="0"/>
        </w:numPr>
        <w:spacing w:before="0" w:after="240"/>
        <w:rPr>
          <w:noProof/>
          <w:sz w:val="28"/>
        </w:rPr>
      </w:pPr>
      <w:bookmarkStart w:id="33" w:name="_Toc131331240"/>
      <w:r w:rsidRPr="00B6285A">
        <w:rPr>
          <w:bCs w:val="0"/>
          <w:noProof/>
          <w:sz w:val="28"/>
        </w:rPr>
        <w:t>3.</w:t>
      </w:r>
      <w:r w:rsidRPr="00B6285A">
        <w:rPr>
          <w:noProof/>
          <w:sz w:val="28"/>
        </w:rPr>
        <w:t xml:space="preserve">3. </w:t>
      </w:r>
      <w:r w:rsidR="00E9430A" w:rsidRPr="00B6285A">
        <w:rPr>
          <w:rFonts w:cs="Times New Roman"/>
          <w:sz w:val="28"/>
        </w:rPr>
        <w:t>Atbalsta pasākumi krīžu seku mazināšanai</w:t>
      </w:r>
      <w:bookmarkEnd w:id="33"/>
    </w:p>
    <w:p w14:paraId="07A30AFD" w14:textId="64A9F494" w:rsidR="00B6285A" w:rsidRDefault="00B6285A" w:rsidP="00B6285A">
      <w:pPr>
        <w:ind w:firstLine="709"/>
        <w:rPr>
          <w:rFonts w:eastAsia="Calibri" w:cs="Times New Roman"/>
          <w:sz w:val="24"/>
          <w:szCs w:val="24"/>
        </w:rPr>
      </w:pPr>
      <w:bookmarkStart w:id="34" w:name="_Toc5627371"/>
      <w:r w:rsidRPr="00B6285A">
        <w:rPr>
          <w:rFonts w:eastAsia="Calibri" w:cs="Times New Roman"/>
          <w:color w:val="000000"/>
          <w:sz w:val="24"/>
          <w:szCs w:val="24"/>
        </w:rPr>
        <w:t xml:space="preserve">Pēdējos gados Latvijā līdzīgi kā pārējās reģiona valstīs bijusi nepieciešamība papildus regulārajiem izdevumiem atvēlēt finansējumu Covid-19 pandēmijas radīto seku mazināšanai, savukārt kopš 2022. gada arī energoresursu cenu pieauguma ietekmes mazināšanai un Ukrainas bēgļu atbalstam. </w:t>
      </w:r>
      <w:r w:rsidR="00CC2E39" w:rsidRPr="00B6285A">
        <w:rPr>
          <w:rFonts w:eastAsia="Calibri" w:cs="Times New Roman"/>
          <w:sz w:val="24"/>
          <w:szCs w:val="24"/>
        </w:rPr>
        <w:t>Turpinoties straujam cenu pieaugumam arī 2023. gadā, nepieciešams turpināt pasākumus maznodrošināto iedzīvotāju atbalstam, lai mazinātu augsto energoresursu cenu ietekmi. Šogad tiks turpināts arī atbalsts Ukrainas kara bēgļiem.</w:t>
      </w:r>
    </w:p>
    <w:p w14:paraId="6718BBF0" w14:textId="77777777" w:rsidR="00CC2E39" w:rsidRPr="00B6285A" w:rsidRDefault="00CC2E39" w:rsidP="00B6285A">
      <w:pPr>
        <w:ind w:firstLine="709"/>
        <w:rPr>
          <w:rFonts w:eastAsia="Calibri" w:cs="Times New Roman"/>
          <w:color w:val="000000"/>
          <w:sz w:val="24"/>
          <w:szCs w:val="24"/>
        </w:rPr>
      </w:pPr>
    </w:p>
    <w:p w14:paraId="1F451B18" w14:textId="77777777" w:rsidR="004A34F0" w:rsidRDefault="004A34F0" w:rsidP="00B6285A">
      <w:pPr>
        <w:spacing w:after="120"/>
        <w:rPr>
          <w:rFonts w:eastAsia="Times New Roman" w:cs="Times New Roman"/>
          <w:b/>
          <w:bCs/>
          <w:color w:val="000000"/>
          <w:sz w:val="24"/>
          <w:szCs w:val="24"/>
        </w:rPr>
      </w:pPr>
    </w:p>
    <w:p w14:paraId="5DEFF89A" w14:textId="77777777" w:rsidR="004A34F0" w:rsidRDefault="004A34F0" w:rsidP="00B6285A">
      <w:pPr>
        <w:spacing w:after="120"/>
        <w:rPr>
          <w:rFonts w:eastAsia="Times New Roman" w:cs="Times New Roman"/>
          <w:b/>
          <w:bCs/>
          <w:color w:val="000000"/>
          <w:sz w:val="24"/>
          <w:szCs w:val="24"/>
        </w:rPr>
      </w:pPr>
    </w:p>
    <w:p w14:paraId="14E94229" w14:textId="120ED437" w:rsidR="00B6285A" w:rsidRPr="00B6285A" w:rsidRDefault="00B6285A" w:rsidP="00B6285A">
      <w:pPr>
        <w:spacing w:after="120"/>
        <w:rPr>
          <w:rFonts w:eastAsia="Times New Roman" w:cs="Times New Roman"/>
          <w:color w:val="000000"/>
          <w:sz w:val="24"/>
          <w:szCs w:val="24"/>
        </w:rPr>
      </w:pPr>
      <w:r w:rsidRPr="00B6285A">
        <w:rPr>
          <w:rFonts w:eastAsia="Times New Roman" w:cs="Times New Roman"/>
          <w:b/>
          <w:bCs/>
          <w:color w:val="000000"/>
          <w:sz w:val="24"/>
          <w:szCs w:val="24"/>
        </w:rPr>
        <w:lastRenderedPageBreak/>
        <w:t>Covid-19 atbalsts</w:t>
      </w:r>
    </w:p>
    <w:p w14:paraId="539BE5DA" w14:textId="0412DF79" w:rsidR="00B6285A" w:rsidRPr="00B6285A" w:rsidRDefault="00B6285A" w:rsidP="00B6285A">
      <w:pPr>
        <w:spacing w:after="160"/>
        <w:ind w:firstLine="709"/>
        <w:rPr>
          <w:rFonts w:eastAsia="Calibri" w:cs="Times New Roman"/>
          <w:color w:val="000000"/>
          <w:sz w:val="24"/>
          <w:szCs w:val="24"/>
        </w:rPr>
      </w:pPr>
      <w:r w:rsidRPr="00B6285A">
        <w:rPr>
          <w:rFonts w:eastAsia="Calibri" w:cs="Times New Roman"/>
          <w:color w:val="000000"/>
          <w:sz w:val="24"/>
          <w:szCs w:val="24"/>
        </w:rPr>
        <w:t>2023. gadā Covid-19 atbalsta finansējums tiek plānots jau būtiski mazākā apmērā kā iepriekšējos gados (skat. 3.</w:t>
      </w:r>
      <w:r w:rsidR="00BA03D2">
        <w:rPr>
          <w:rFonts w:eastAsia="Calibri" w:cs="Times New Roman"/>
          <w:color w:val="000000"/>
          <w:sz w:val="24"/>
          <w:szCs w:val="24"/>
        </w:rPr>
        <w:t>6</w:t>
      </w:r>
      <w:r w:rsidRPr="00B6285A">
        <w:rPr>
          <w:rFonts w:eastAsia="Calibri" w:cs="Times New Roman"/>
          <w:color w:val="000000"/>
          <w:sz w:val="24"/>
          <w:szCs w:val="24"/>
        </w:rPr>
        <w:t>. tabulu), faktiski turpinoties tikai atsevišķiem uzsāktajiem investīciju projektiem un paredzot finansējumu Covid-19 vakcīnu iegādei, kas iepriekš pasūtītas, kā arī turpinoties finanšu institūcijas ALTUM programmu īstenošanai ar ietekmi līdz pat 2026</w:t>
      </w:r>
      <w:r w:rsidRPr="00B6285A">
        <w:rPr>
          <w:rFonts w:eastAsia="Calibri" w:cs="Times New Roman"/>
          <w:sz w:val="24"/>
          <w:szCs w:val="24"/>
        </w:rPr>
        <w:t xml:space="preserve">. gadam, kas izriet no programmu realizācijas rādītājiem. </w:t>
      </w:r>
    </w:p>
    <w:p w14:paraId="1ECDB690" w14:textId="1C3B7AAF" w:rsidR="00B6285A" w:rsidRPr="00B6285A" w:rsidRDefault="00B6285A" w:rsidP="00B6285A">
      <w:pPr>
        <w:spacing w:after="120"/>
        <w:ind w:firstLine="0"/>
        <w:jc w:val="right"/>
        <w:rPr>
          <w:rFonts w:eastAsia="Times New Roman" w:cs="Times New Roman"/>
          <w:b/>
          <w:sz w:val="24"/>
          <w:szCs w:val="24"/>
        </w:rPr>
      </w:pPr>
      <w:r w:rsidRPr="00B6285A">
        <w:rPr>
          <w:rFonts w:eastAsia="Times New Roman" w:cs="Times New Roman"/>
          <w:b/>
          <w:sz w:val="24"/>
          <w:szCs w:val="24"/>
        </w:rPr>
        <w:t>3.</w:t>
      </w:r>
      <w:r w:rsidR="00BA03D2">
        <w:rPr>
          <w:rFonts w:eastAsia="Times New Roman" w:cs="Times New Roman"/>
          <w:b/>
          <w:sz w:val="24"/>
          <w:szCs w:val="24"/>
        </w:rPr>
        <w:t>6</w:t>
      </w:r>
      <w:r w:rsidRPr="00B6285A">
        <w:rPr>
          <w:rFonts w:eastAsia="Times New Roman" w:cs="Times New Roman"/>
          <w:b/>
          <w:sz w:val="24"/>
          <w:szCs w:val="24"/>
        </w:rPr>
        <w:t>. tabula. Valdības apstiprinātā atbalsta Covid-19 seku mazināšanai</w:t>
      </w:r>
      <w:r w:rsidRPr="00B6285A">
        <w:rPr>
          <w:rFonts w:eastAsia="Times New Roman" w:cs="Times New Roman"/>
          <w:b/>
          <w:sz w:val="24"/>
          <w:szCs w:val="24"/>
        </w:rPr>
        <w:br/>
        <w:t xml:space="preserve">ietekme uz vispārējās valdības budžeta bilanci, milj. </w:t>
      </w:r>
      <w:proofErr w:type="spellStart"/>
      <w:r w:rsidRPr="00B6285A">
        <w:rPr>
          <w:rFonts w:eastAsia="Times New Roman" w:cs="Times New Roman"/>
          <w:b/>
          <w:i/>
          <w:sz w:val="24"/>
          <w:szCs w:val="24"/>
        </w:rPr>
        <w:t>euro</w:t>
      </w:r>
      <w:proofErr w:type="spellEnd"/>
    </w:p>
    <w:tbl>
      <w:tblPr>
        <w:tblStyle w:val="TableGrid"/>
        <w:tblW w:w="0" w:type="auto"/>
        <w:tblLook w:val="04A0" w:firstRow="1" w:lastRow="0" w:firstColumn="1" w:lastColumn="0" w:noHBand="0" w:noVBand="1"/>
      </w:tblPr>
      <w:tblGrid>
        <w:gridCol w:w="3114"/>
        <w:gridCol w:w="847"/>
        <w:gridCol w:w="848"/>
        <w:gridCol w:w="847"/>
        <w:gridCol w:w="848"/>
        <w:gridCol w:w="847"/>
        <w:gridCol w:w="848"/>
        <w:gridCol w:w="848"/>
      </w:tblGrid>
      <w:tr w:rsidR="00B6285A" w:rsidRPr="00B6285A" w14:paraId="31CE0645" w14:textId="77777777" w:rsidTr="00B6285A">
        <w:trPr>
          <w:trHeight w:val="167"/>
        </w:trPr>
        <w:tc>
          <w:tcPr>
            <w:tcW w:w="3114" w:type="dxa"/>
            <w:vMerge w:val="restart"/>
            <w:shd w:val="clear" w:color="auto" w:fill="BDD6EE"/>
          </w:tcPr>
          <w:p w14:paraId="54E16809" w14:textId="77777777" w:rsidR="00B6285A" w:rsidRPr="00B6285A" w:rsidRDefault="00B6285A" w:rsidP="00B6285A">
            <w:pPr>
              <w:ind w:firstLine="0"/>
              <w:jc w:val="right"/>
              <w:rPr>
                <w:rFonts w:eastAsia="Calibri"/>
                <w:noProof/>
                <w:sz w:val="20"/>
              </w:rPr>
            </w:pPr>
          </w:p>
        </w:tc>
        <w:tc>
          <w:tcPr>
            <w:tcW w:w="847" w:type="dxa"/>
            <w:shd w:val="clear" w:color="auto" w:fill="BDD6EE"/>
          </w:tcPr>
          <w:p w14:paraId="6661042C" w14:textId="77777777" w:rsidR="00B6285A" w:rsidRPr="00B6285A" w:rsidRDefault="00B6285A" w:rsidP="00B6285A">
            <w:pPr>
              <w:ind w:firstLine="0"/>
              <w:jc w:val="center"/>
              <w:rPr>
                <w:rFonts w:eastAsia="Calibri"/>
                <w:b/>
                <w:bCs/>
                <w:noProof/>
                <w:sz w:val="20"/>
              </w:rPr>
            </w:pPr>
            <w:r w:rsidRPr="00B6285A">
              <w:rPr>
                <w:rFonts w:eastAsia="Calibri"/>
                <w:b/>
                <w:bCs/>
                <w:noProof/>
                <w:sz w:val="20"/>
              </w:rPr>
              <w:t>2020</w:t>
            </w:r>
          </w:p>
        </w:tc>
        <w:tc>
          <w:tcPr>
            <w:tcW w:w="848" w:type="dxa"/>
            <w:shd w:val="clear" w:color="auto" w:fill="BDD6EE"/>
          </w:tcPr>
          <w:p w14:paraId="32EA0332" w14:textId="77777777" w:rsidR="00B6285A" w:rsidRPr="00B6285A" w:rsidRDefault="00B6285A" w:rsidP="00B6285A">
            <w:pPr>
              <w:ind w:firstLine="0"/>
              <w:jc w:val="center"/>
              <w:rPr>
                <w:rFonts w:eastAsia="Calibri"/>
                <w:b/>
                <w:bCs/>
                <w:noProof/>
                <w:sz w:val="20"/>
              </w:rPr>
            </w:pPr>
            <w:r w:rsidRPr="00B6285A">
              <w:rPr>
                <w:rFonts w:eastAsia="Calibri"/>
                <w:b/>
                <w:bCs/>
                <w:noProof/>
                <w:sz w:val="20"/>
              </w:rPr>
              <w:t>2021</w:t>
            </w:r>
          </w:p>
        </w:tc>
        <w:tc>
          <w:tcPr>
            <w:tcW w:w="847" w:type="dxa"/>
            <w:shd w:val="clear" w:color="auto" w:fill="BDD6EE"/>
          </w:tcPr>
          <w:p w14:paraId="56896EA1" w14:textId="77777777" w:rsidR="00B6285A" w:rsidRPr="00B6285A" w:rsidRDefault="00B6285A" w:rsidP="00B6285A">
            <w:pPr>
              <w:ind w:firstLine="0"/>
              <w:jc w:val="center"/>
              <w:rPr>
                <w:rFonts w:eastAsia="Calibri"/>
                <w:b/>
                <w:bCs/>
                <w:noProof/>
                <w:sz w:val="20"/>
              </w:rPr>
            </w:pPr>
            <w:r w:rsidRPr="00B6285A">
              <w:rPr>
                <w:rFonts w:eastAsia="Calibri"/>
                <w:b/>
                <w:bCs/>
                <w:noProof/>
                <w:sz w:val="20"/>
              </w:rPr>
              <w:t>2022</w:t>
            </w:r>
          </w:p>
        </w:tc>
        <w:tc>
          <w:tcPr>
            <w:tcW w:w="848" w:type="dxa"/>
            <w:shd w:val="clear" w:color="auto" w:fill="BDD6EE"/>
          </w:tcPr>
          <w:p w14:paraId="7165EBAE" w14:textId="77777777" w:rsidR="00B6285A" w:rsidRPr="00B6285A" w:rsidRDefault="00B6285A" w:rsidP="00B6285A">
            <w:pPr>
              <w:ind w:firstLine="0"/>
              <w:jc w:val="center"/>
              <w:rPr>
                <w:rFonts w:eastAsia="Calibri"/>
                <w:b/>
                <w:bCs/>
                <w:noProof/>
                <w:sz w:val="20"/>
              </w:rPr>
            </w:pPr>
            <w:r w:rsidRPr="00B6285A">
              <w:rPr>
                <w:rFonts w:eastAsia="Calibri"/>
                <w:b/>
                <w:bCs/>
                <w:noProof/>
                <w:sz w:val="20"/>
              </w:rPr>
              <w:t>2023</w:t>
            </w:r>
          </w:p>
        </w:tc>
        <w:tc>
          <w:tcPr>
            <w:tcW w:w="847" w:type="dxa"/>
            <w:shd w:val="clear" w:color="auto" w:fill="BDD6EE"/>
          </w:tcPr>
          <w:p w14:paraId="6E0F6034" w14:textId="77777777" w:rsidR="00B6285A" w:rsidRPr="00B6285A" w:rsidRDefault="00B6285A" w:rsidP="00B6285A">
            <w:pPr>
              <w:ind w:firstLine="0"/>
              <w:jc w:val="center"/>
              <w:rPr>
                <w:rFonts w:eastAsia="Calibri"/>
                <w:b/>
                <w:bCs/>
                <w:noProof/>
                <w:sz w:val="20"/>
              </w:rPr>
            </w:pPr>
            <w:r w:rsidRPr="00B6285A">
              <w:rPr>
                <w:rFonts w:eastAsia="Calibri"/>
                <w:b/>
                <w:bCs/>
                <w:noProof/>
                <w:sz w:val="20"/>
              </w:rPr>
              <w:t>2024</w:t>
            </w:r>
          </w:p>
        </w:tc>
        <w:tc>
          <w:tcPr>
            <w:tcW w:w="848" w:type="dxa"/>
            <w:shd w:val="clear" w:color="auto" w:fill="BDD6EE"/>
          </w:tcPr>
          <w:p w14:paraId="5EEA9D9B" w14:textId="77777777" w:rsidR="00B6285A" w:rsidRPr="00B6285A" w:rsidRDefault="00B6285A" w:rsidP="00B6285A">
            <w:pPr>
              <w:ind w:firstLine="0"/>
              <w:jc w:val="center"/>
              <w:rPr>
                <w:rFonts w:eastAsia="Calibri"/>
                <w:b/>
                <w:bCs/>
                <w:noProof/>
                <w:sz w:val="20"/>
              </w:rPr>
            </w:pPr>
            <w:r w:rsidRPr="00B6285A">
              <w:rPr>
                <w:rFonts w:eastAsia="Calibri"/>
                <w:b/>
                <w:bCs/>
                <w:noProof/>
                <w:sz w:val="20"/>
              </w:rPr>
              <w:t>2025</w:t>
            </w:r>
          </w:p>
        </w:tc>
        <w:tc>
          <w:tcPr>
            <w:tcW w:w="848" w:type="dxa"/>
            <w:shd w:val="clear" w:color="auto" w:fill="BDD6EE"/>
          </w:tcPr>
          <w:p w14:paraId="69AD20BE" w14:textId="77777777" w:rsidR="00B6285A" w:rsidRPr="00B6285A" w:rsidRDefault="00B6285A" w:rsidP="00B6285A">
            <w:pPr>
              <w:ind w:firstLine="0"/>
              <w:jc w:val="center"/>
              <w:rPr>
                <w:rFonts w:eastAsia="Calibri"/>
                <w:b/>
                <w:bCs/>
                <w:noProof/>
                <w:sz w:val="20"/>
              </w:rPr>
            </w:pPr>
            <w:r w:rsidRPr="00B6285A">
              <w:rPr>
                <w:rFonts w:eastAsia="Calibri"/>
                <w:b/>
                <w:bCs/>
                <w:noProof/>
                <w:sz w:val="20"/>
              </w:rPr>
              <w:t>2026</w:t>
            </w:r>
          </w:p>
        </w:tc>
      </w:tr>
      <w:tr w:rsidR="00B6285A" w:rsidRPr="00B6285A" w14:paraId="5D0864B1" w14:textId="77777777" w:rsidTr="00B6285A">
        <w:trPr>
          <w:trHeight w:val="77"/>
        </w:trPr>
        <w:tc>
          <w:tcPr>
            <w:tcW w:w="3114" w:type="dxa"/>
            <w:vMerge/>
            <w:shd w:val="clear" w:color="auto" w:fill="BDD6EE"/>
          </w:tcPr>
          <w:p w14:paraId="47D35876" w14:textId="77777777" w:rsidR="00B6285A" w:rsidRPr="00B6285A" w:rsidRDefault="00B6285A" w:rsidP="00B6285A">
            <w:pPr>
              <w:ind w:firstLine="0"/>
              <w:jc w:val="right"/>
              <w:rPr>
                <w:rFonts w:eastAsia="Calibri"/>
                <w:noProof/>
                <w:sz w:val="20"/>
              </w:rPr>
            </w:pPr>
          </w:p>
        </w:tc>
        <w:tc>
          <w:tcPr>
            <w:tcW w:w="2542" w:type="dxa"/>
            <w:gridSpan w:val="3"/>
            <w:shd w:val="clear" w:color="auto" w:fill="BDD6EE"/>
            <w:vAlign w:val="center"/>
          </w:tcPr>
          <w:p w14:paraId="11F58714" w14:textId="77777777" w:rsidR="00B6285A" w:rsidRPr="00B6285A" w:rsidRDefault="00B6285A" w:rsidP="00B6285A">
            <w:pPr>
              <w:ind w:firstLine="0"/>
              <w:jc w:val="center"/>
              <w:rPr>
                <w:rFonts w:eastAsia="Calibri"/>
                <w:noProof/>
                <w:sz w:val="20"/>
              </w:rPr>
            </w:pPr>
            <w:r w:rsidRPr="00B6285A">
              <w:rPr>
                <w:rFonts w:eastAsia="Calibri"/>
                <w:noProof/>
                <w:sz w:val="20"/>
              </w:rPr>
              <w:t>Izpilde</w:t>
            </w:r>
          </w:p>
        </w:tc>
        <w:tc>
          <w:tcPr>
            <w:tcW w:w="3391" w:type="dxa"/>
            <w:gridSpan w:val="4"/>
            <w:shd w:val="clear" w:color="auto" w:fill="BDD6EE"/>
            <w:vAlign w:val="center"/>
          </w:tcPr>
          <w:p w14:paraId="134BC670" w14:textId="77777777" w:rsidR="00B6285A" w:rsidRPr="00B6285A" w:rsidRDefault="00B6285A" w:rsidP="00B6285A">
            <w:pPr>
              <w:ind w:firstLine="0"/>
              <w:jc w:val="center"/>
              <w:rPr>
                <w:rFonts w:eastAsia="Calibri"/>
                <w:noProof/>
                <w:sz w:val="20"/>
              </w:rPr>
            </w:pPr>
            <w:r w:rsidRPr="00B6285A">
              <w:rPr>
                <w:rFonts w:eastAsia="Calibri"/>
                <w:noProof/>
                <w:sz w:val="20"/>
              </w:rPr>
              <w:t>Prognoze</w:t>
            </w:r>
          </w:p>
        </w:tc>
      </w:tr>
      <w:tr w:rsidR="00B6285A" w:rsidRPr="00B6285A" w14:paraId="69E3CCA0" w14:textId="77777777" w:rsidTr="00143408">
        <w:trPr>
          <w:trHeight w:val="77"/>
        </w:trPr>
        <w:tc>
          <w:tcPr>
            <w:tcW w:w="3114" w:type="dxa"/>
          </w:tcPr>
          <w:p w14:paraId="260BC85F" w14:textId="77777777" w:rsidR="00B6285A" w:rsidRPr="00B6285A" w:rsidRDefault="00B6285A" w:rsidP="00B6285A">
            <w:pPr>
              <w:ind w:firstLine="0"/>
              <w:jc w:val="right"/>
              <w:rPr>
                <w:rFonts w:eastAsia="Calibri"/>
                <w:noProof/>
                <w:sz w:val="20"/>
              </w:rPr>
            </w:pPr>
            <w:r w:rsidRPr="00B6285A">
              <w:rPr>
                <w:rFonts w:eastAsia="Calibri"/>
                <w:noProof/>
                <w:sz w:val="20"/>
              </w:rPr>
              <w:t>Atbalsts nodokļu jomā</w:t>
            </w:r>
          </w:p>
        </w:tc>
        <w:tc>
          <w:tcPr>
            <w:tcW w:w="847" w:type="dxa"/>
            <w:vAlign w:val="center"/>
          </w:tcPr>
          <w:p w14:paraId="2D12B7D5" w14:textId="77777777" w:rsidR="00B6285A" w:rsidRPr="00B6285A" w:rsidRDefault="00B6285A" w:rsidP="00B6285A">
            <w:pPr>
              <w:ind w:firstLine="0"/>
              <w:jc w:val="right"/>
              <w:rPr>
                <w:rFonts w:eastAsia="Calibri"/>
                <w:noProof/>
                <w:sz w:val="20"/>
              </w:rPr>
            </w:pPr>
            <w:r w:rsidRPr="00B6285A">
              <w:rPr>
                <w:rFonts w:eastAsia="Calibri"/>
                <w:noProof/>
                <w:sz w:val="20"/>
              </w:rPr>
              <w:t>-127,1</w:t>
            </w:r>
          </w:p>
        </w:tc>
        <w:tc>
          <w:tcPr>
            <w:tcW w:w="848" w:type="dxa"/>
            <w:vAlign w:val="center"/>
          </w:tcPr>
          <w:p w14:paraId="42233F9E" w14:textId="77777777" w:rsidR="00B6285A" w:rsidRPr="00B6285A" w:rsidRDefault="00B6285A" w:rsidP="00B6285A">
            <w:pPr>
              <w:ind w:firstLine="0"/>
              <w:jc w:val="right"/>
              <w:rPr>
                <w:rFonts w:eastAsia="Calibri"/>
                <w:noProof/>
                <w:sz w:val="20"/>
              </w:rPr>
            </w:pPr>
            <w:r w:rsidRPr="00B6285A">
              <w:rPr>
                <w:rFonts w:eastAsia="Calibri"/>
                <w:noProof/>
                <w:sz w:val="20"/>
              </w:rPr>
              <w:t>-12,8</w:t>
            </w:r>
          </w:p>
        </w:tc>
        <w:tc>
          <w:tcPr>
            <w:tcW w:w="847" w:type="dxa"/>
            <w:vAlign w:val="center"/>
          </w:tcPr>
          <w:p w14:paraId="5D4C770C" w14:textId="77777777" w:rsidR="00B6285A" w:rsidRPr="00B6285A" w:rsidRDefault="00B6285A" w:rsidP="00B6285A">
            <w:pPr>
              <w:ind w:firstLine="0"/>
              <w:jc w:val="right"/>
              <w:rPr>
                <w:rFonts w:eastAsia="Calibri"/>
                <w:noProof/>
                <w:sz w:val="20"/>
              </w:rPr>
            </w:pPr>
            <w:r w:rsidRPr="00B6285A">
              <w:rPr>
                <w:rFonts w:eastAsia="Calibri"/>
                <w:noProof/>
                <w:sz w:val="20"/>
              </w:rPr>
              <w:t>-5,7</w:t>
            </w:r>
          </w:p>
        </w:tc>
        <w:tc>
          <w:tcPr>
            <w:tcW w:w="848" w:type="dxa"/>
            <w:vAlign w:val="center"/>
          </w:tcPr>
          <w:p w14:paraId="598001B7" w14:textId="77777777" w:rsidR="00B6285A" w:rsidRPr="00B6285A" w:rsidRDefault="00B6285A" w:rsidP="00B6285A">
            <w:pPr>
              <w:ind w:firstLine="0"/>
              <w:jc w:val="right"/>
              <w:rPr>
                <w:rFonts w:eastAsia="Calibri"/>
                <w:noProof/>
                <w:sz w:val="20"/>
              </w:rPr>
            </w:pPr>
            <w:r w:rsidRPr="00B6285A">
              <w:rPr>
                <w:rFonts w:eastAsia="Calibri"/>
                <w:noProof/>
                <w:sz w:val="20"/>
              </w:rPr>
              <w:t>-4,9</w:t>
            </w:r>
          </w:p>
        </w:tc>
        <w:tc>
          <w:tcPr>
            <w:tcW w:w="847" w:type="dxa"/>
            <w:vAlign w:val="center"/>
          </w:tcPr>
          <w:p w14:paraId="1ECEBB13" w14:textId="77777777" w:rsidR="00B6285A" w:rsidRPr="00B6285A" w:rsidRDefault="00B6285A" w:rsidP="00B6285A">
            <w:pPr>
              <w:ind w:firstLine="0"/>
              <w:jc w:val="right"/>
              <w:rPr>
                <w:rFonts w:eastAsia="Calibri"/>
                <w:noProof/>
                <w:sz w:val="20"/>
              </w:rPr>
            </w:pPr>
            <w:r w:rsidRPr="00B6285A">
              <w:rPr>
                <w:rFonts w:eastAsia="Calibri"/>
                <w:noProof/>
                <w:sz w:val="20"/>
              </w:rPr>
              <w:t>0,1</w:t>
            </w:r>
          </w:p>
        </w:tc>
        <w:tc>
          <w:tcPr>
            <w:tcW w:w="848" w:type="dxa"/>
            <w:vAlign w:val="center"/>
          </w:tcPr>
          <w:p w14:paraId="7BEB8976" w14:textId="77777777" w:rsidR="00B6285A" w:rsidRPr="00B6285A" w:rsidRDefault="00B6285A" w:rsidP="00B6285A">
            <w:pPr>
              <w:ind w:firstLine="0"/>
              <w:jc w:val="right"/>
              <w:rPr>
                <w:rFonts w:eastAsia="Calibri"/>
                <w:noProof/>
                <w:sz w:val="20"/>
              </w:rPr>
            </w:pPr>
            <w:r w:rsidRPr="00B6285A">
              <w:rPr>
                <w:rFonts w:eastAsia="Calibri"/>
                <w:noProof/>
                <w:sz w:val="20"/>
              </w:rPr>
              <w:t>-</w:t>
            </w:r>
          </w:p>
        </w:tc>
        <w:tc>
          <w:tcPr>
            <w:tcW w:w="848" w:type="dxa"/>
            <w:vAlign w:val="center"/>
          </w:tcPr>
          <w:p w14:paraId="1605719A" w14:textId="77777777" w:rsidR="00B6285A" w:rsidRPr="00B6285A" w:rsidRDefault="00B6285A" w:rsidP="00B6285A">
            <w:pPr>
              <w:ind w:firstLine="0"/>
              <w:jc w:val="right"/>
              <w:rPr>
                <w:rFonts w:eastAsia="Calibri"/>
                <w:noProof/>
                <w:sz w:val="20"/>
              </w:rPr>
            </w:pPr>
            <w:r w:rsidRPr="00B6285A">
              <w:rPr>
                <w:rFonts w:eastAsia="Calibri"/>
                <w:noProof/>
                <w:sz w:val="20"/>
              </w:rPr>
              <w:t>-</w:t>
            </w:r>
          </w:p>
        </w:tc>
      </w:tr>
      <w:tr w:rsidR="00B6285A" w:rsidRPr="00B6285A" w14:paraId="1B6EBC60" w14:textId="77777777" w:rsidTr="00143408">
        <w:trPr>
          <w:trHeight w:val="103"/>
        </w:trPr>
        <w:tc>
          <w:tcPr>
            <w:tcW w:w="3114" w:type="dxa"/>
          </w:tcPr>
          <w:p w14:paraId="632E125B" w14:textId="77777777" w:rsidR="00B6285A" w:rsidRPr="00B6285A" w:rsidRDefault="00B6285A" w:rsidP="00B6285A">
            <w:pPr>
              <w:ind w:firstLine="0"/>
              <w:jc w:val="right"/>
              <w:rPr>
                <w:rFonts w:eastAsia="Calibri"/>
                <w:noProof/>
                <w:sz w:val="20"/>
              </w:rPr>
            </w:pPr>
            <w:r w:rsidRPr="00B6285A">
              <w:rPr>
                <w:rFonts w:eastAsia="Calibri"/>
                <w:noProof/>
                <w:sz w:val="20"/>
              </w:rPr>
              <w:t>Atbalsts pabalstu jomā</w:t>
            </w:r>
          </w:p>
        </w:tc>
        <w:tc>
          <w:tcPr>
            <w:tcW w:w="847" w:type="dxa"/>
            <w:vAlign w:val="center"/>
          </w:tcPr>
          <w:p w14:paraId="79830D0A" w14:textId="77777777" w:rsidR="00B6285A" w:rsidRPr="00B6285A" w:rsidRDefault="00B6285A" w:rsidP="00B6285A">
            <w:pPr>
              <w:ind w:firstLine="0"/>
              <w:jc w:val="right"/>
              <w:rPr>
                <w:rFonts w:eastAsia="Calibri"/>
                <w:noProof/>
                <w:sz w:val="20"/>
              </w:rPr>
            </w:pPr>
            <w:r w:rsidRPr="00B6285A">
              <w:rPr>
                <w:rFonts w:eastAsia="Calibri"/>
                <w:noProof/>
                <w:sz w:val="20"/>
              </w:rPr>
              <w:t>-129,6</w:t>
            </w:r>
          </w:p>
        </w:tc>
        <w:tc>
          <w:tcPr>
            <w:tcW w:w="848" w:type="dxa"/>
            <w:vAlign w:val="center"/>
          </w:tcPr>
          <w:p w14:paraId="33982C9F" w14:textId="77777777" w:rsidR="00B6285A" w:rsidRPr="00B6285A" w:rsidRDefault="00B6285A" w:rsidP="00B6285A">
            <w:pPr>
              <w:ind w:firstLine="0"/>
              <w:jc w:val="right"/>
              <w:rPr>
                <w:rFonts w:eastAsia="Calibri"/>
                <w:noProof/>
                <w:sz w:val="20"/>
              </w:rPr>
            </w:pPr>
            <w:r w:rsidRPr="00B6285A">
              <w:rPr>
                <w:rFonts w:eastAsia="Calibri"/>
                <w:noProof/>
                <w:sz w:val="20"/>
              </w:rPr>
              <w:t>-533,5</w:t>
            </w:r>
          </w:p>
        </w:tc>
        <w:tc>
          <w:tcPr>
            <w:tcW w:w="847" w:type="dxa"/>
            <w:vAlign w:val="center"/>
          </w:tcPr>
          <w:p w14:paraId="6FF4B07E" w14:textId="77777777" w:rsidR="00B6285A" w:rsidRPr="00B6285A" w:rsidRDefault="00B6285A" w:rsidP="00B6285A">
            <w:pPr>
              <w:ind w:firstLine="0"/>
              <w:jc w:val="right"/>
              <w:rPr>
                <w:rFonts w:eastAsia="Calibri"/>
                <w:noProof/>
                <w:sz w:val="20"/>
              </w:rPr>
            </w:pPr>
            <w:r w:rsidRPr="00B6285A">
              <w:rPr>
                <w:rFonts w:eastAsia="Calibri"/>
                <w:noProof/>
                <w:sz w:val="20"/>
              </w:rPr>
              <w:t>-87,1</w:t>
            </w:r>
          </w:p>
        </w:tc>
        <w:tc>
          <w:tcPr>
            <w:tcW w:w="848" w:type="dxa"/>
            <w:vAlign w:val="center"/>
          </w:tcPr>
          <w:p w14:paraId="1923BEB9" w14:textId="77777777" w:rsidR="00B6285A" w:rsidRPr="00B6285A" w:rsidRDefault="00B6285A" w:rsidP="00B6285A">
            <w:pPr>
              <w:ind w:firstLine="0"/>
              <w:jc w:val="right"/>
              <w:rPr>
                <w:rFonts w:eastAsia="Calibri"/>
                <w:noProof/>
                <w:sz w:val="20"/>
              </w:rPr>
            </w:pPr>
            <w:r w:rsidRPr="00B6285A">
              <w:rPr>
                <w:rFonts w:eastAsia="Calibri"/>
                <w:noProof/>
                <w:sz w:val="20"/>
              </w:rPr>
              <w:t>-</w:t>
            </w:r>
          </w:p>
        </w:tc>
        <w:tc>
          <w:tcPr>
            <w:tcW w:w="847" w:type="dxa"/>
            <w:vAlign w:val="center"/>
          </w:tcPr>
          <w:p w14:paraId="0B5876E2" w14:textId="77777777" w:rsidR="00B6285A" w:rsidRPr="00B6285A" w:rsidRDefault="00B6285A" w:rsidP="00B6285A">
            <w:pPr>
              <w:ind w:firstLine="0"/>
              <w:jc w:val="right"/>
              <w:rPr>
                <w:rFonts w:eastAsia="Calibri"/>
                <w:noProof/>
                <w:sz w:val="20"/>
              </w:rPr>
            </w:pPr>
            <w:r w:rsidRPr="00B6285A">
              <w:rPr>
                <w:rFonts w:eastAsia="Calibri"/>
                <w:noProof/>
                <w:sz w:val="20"/>
              </w:rPr>
              <w:t>-</w:t>
            </w:r>
          </w:p>
        </w:tc>
        <w:tc>
          <w:tcPr>
            <w:tcW w:w="848" w:type="dxa"/>
            <w:vAlign w:val="center"/>
          </w:tcPr>
          <w:p w14:paraId="5BD56E01" w14:textId="77777777" w:rsidR="00B6285A" w:rsidRPr="00B6285A" w:rsidRDefault="00B6285A" w:rsidP="00B6285A">
            <w:pPr>
              <w:ind w:firstLine="0"/>
              <w:jc w:val="right"/>
              <w:rPr>
                <w:rFonts w:eastAsia="Calibri"/>
                <w:noProof/>
                <w:sz w:val="20"/>
              </w:rPr>
            </w:pPr>
            <w:r w:rsidRPr="00B6285A">
              <w:rPr>
                <w:rFonts w:eastAsia="Calibri"/>
                <w:noProof/>
                <w:sz w:val="20"/>
              </w:rPr>
              <w:t>-</w:t>
            </w:r>
          </w:p>
        </w:tc>
        <w:tc>
          <w:tcPr>
            <w:tcW w:w="848" w:type="dxa"/>
            <w:vAlign w:val="center"/>
          </w:tcPr>
          <w:p w14:paraId="25E9F528" w14:textId="77777777" w:rsidR="00B6285A" w:rsidRPr="00B6285A" w:rsidRDefault="00B6285A" w:rsidP="00B6285A">
            <w:pPr>
              <w:ind w:firstLine="0"/>
              <w:jc w:val="right"/>
              <w:rPr>
                <w:rFonts w:eastAsia="Calibri"/>
                <w:noProof/>
                <w:sz w:val="20"/>
              </w:rPr>
            </w:pPr>
            <w:r w:rsidRPr="00B6285A">
              <w:rPr>
                <w:rFonts w:eastAsia="Calibri"/>
                <w:noProof/>
                <w:sz w:val="20"/>
              </w:rPr>
              <w:t>-</w:t>
            </w:r>
          </w:p>
        </w:tc>
      </w:tr>
      <w:tr w:rsidR="00B6285A" w:rsidRPr="00B6285A" w14:paraId="006D7B2B" w14:textId="77777777" w:rsidTr="00143408">
        <w:trPr>
          <w:trHeight w:val="77"/>
        </w:trPr>
        <w:tc>
          <w:tcPr>
            <w:tcW w:w="3114" w:type="dxa"/>
          </w:tcPr>
          <w:p w14:paraId="023D753D" w14:textId="77777777" w:rsidR="00B6285A" w:rsidRPr="00B6285A" w:rsidRDefault="00B6285A" w:rsidP="00B6285A">
            <w:pPr>
              <w:ind w:firstLine="0"/>
              <w:jc w:val="right"/>
              <w:rPr>
                <w:rFonts w:eastAsia="Calibri"/>
                <w:noProof/>
                <w:sz w:val="20"/>
              </w:rPr>
            </w:pPr>
            <w:r w:rsidRPr="00B6285A">
              <w:rPr>
                <w:rFonts w:eastAsia="Calibri"/>
                <w:noProof/>
                <w:sz w:val="20"/>
              </w:rPr>
              <w:t>Atbalsts aizdevumu un garantiju jomā</w:t>
            </w:r>
          </w:p>
        </w:tc>
        <w:tc>
          <w:tcPr>
            <w:tcW w:w="847" w:type="dxa"/>
            <w:vAlign w:val="center"/>
          </w:tcPr>
          <w:p w14:paraId="0AC747C8" w14:textId="77777777" w:rsidR="00B6285A" w:rsidRPr="00B6285A" w:rsidRDefault="00B6285A" w:rsidP="00B6285A">
            <w:pPr>
              <w:ind w:firstLine="0"/>
              <w:jc w:val="right"/>
              <w:rPr>
                <w:rFonts w:eastAsia="Calibri"/>
                <w:noProof/>
                <w:sz w:val="20"/>
              </w:rPr>
            </w:pPr>
            <w:r w:rsidRPr="00B6285A">
              <w:rPr>
                <w:rFonts w:eastAsia="Calibri"/>
                <w:noProof/>
                <w:sz w:val="20"/>
              </w:rPr>
              <w:t>-81,7</w:t>
            </w:r>
          </w:p>
        </w:tc>
        <w:tc>
          <w:tcPr>
            <w:tcW w:w="848" w:type="dxa"/>
            <w:vAlign w:val="center"/>
          </w:tcPr>
          <w:p w14:paraId="1A1973FD" w14:textId="77777777" w:rsidR="00B6285A" w:rsidRPr="00B6285A" w:rsidRDefault="00B6285A" w:rsidP="00B6285A">
            <w:pPr>
              <w:ind w:firstLine="0"/>
              <w:jc w:val="right"/>
              <w:rPr>
                <w:rFonts w:eastAsia="Calibri"/>
                <w:noProof/>
                <w:sz w:val="20"/>
              </w:rPr>
            </w:pPr>
            <w:r w:rsidRPr="00B6285A">
              <w:rPr>
                <w:rFonts w:eastAsia="Calibri"/>
                <w:noProof/>
                <w:sz w:val="20"/>
              </w:rPr>
              <w:t>-91,7</w:t>
            </w:r>
          </w:p>
        </w:tc>
        <w:tc>
          <w:tcPr>
            <w:tcW w:w="847" w:type="dxa"/>
            <w:vAlign w:val="center"/>
          </w:tcPr>
          <w:p w14:paraId="5D838172" w14:textId="77777777" w:rsidR="00B6285A" w:rsidRPr="00B6285A" w:rsidRDefault="00B6285A" w:rsidP="00B6285A">
            <w:pPr>
              <w:ind w:firstLine="0"/>
              <w:jc w:val="right"/>
              <w:rPr>
                <w:rFonts w:eastAsia="Calibri"/>
                <w:noProof/>
                <w:sz w:val="20"/>
              </w:rPr>
            </w:pPr>
            <w:r w:rsidRPr="00B6285A">
              <w:rPr>
                <w:rFonts w:eastAsia="Calibri"/>
                <w:noProof/>
                <w:sz w:val="20"/>
              </w:rPr>
              <w:t>-72,8</w:t>
            </w:r>
          </w:p>
        </w:tc>
        <w:tc>
          <w:tcPr>
            <w:tcW w:w="848" w:type="dxa"/>
            <w:shd w:val="clear" w:color="auto" w:fill="auto"/>
            <w:vAlign w:val="center"/>
          </w:tcPr>
          <w:p w14:paraId="1909ED7D" w14:textId="77777777" w:rsidR="00B6285A" w:rsidRPr="00B6285A" w:rsidRDefault="00B6285A" w:rsidP="00B6285A">
            <w:pPr>
              <w:ind w:firstLine="0"/>
              <w:jc w:val="right"/>
              <w:rPr>
                <w:rFonts w:eastAsia="Calibri"/>
                <w:noProof/>
                <w:sz w:val="20"/>
              </w:rPr>
            </w:pPr>
            <w:r w:rsidRPr="00B6285A">
              <w:rPr>
                <w:rFonts w:eastAsia="Calibri"/>
                <w:noProof/>
                <w:sz w:val="20"/>
              </w:rPr>
              <w:t>-30,5</w:t>
            </w:r>
          </w:p>
        </w:tc>
        <w:tc>
          <w:tcPr>
            <w:tcW w:w="847" w:type="dxa"/>
            <w:shd w:val="clear" w:color="auto" w:fill="auto"/>
            <w:vAlign w:val="center"/>
          </w:tcPr>
          <w:p w14:paraId="2CE881F8" w14:textId="77777777" w:rsidR="00B6285A" w:rsidRPr="00B6285A" w:rsidRDefault="00B6285A" w:rsidP="00B6285A">
            <w:pPr>
              <w:ind w:firstLine="0"/>
              <w:jc w:val="right"/>
              <w:rPr>
                <w:rFonts w:eastAsia="Calibri"/>
                <w:noProof/>
                <w:sz w:val="20"/>
              </w:rPr>
            </w:pPr>
            <w:r w:rsidRPr="00B6285A">
              <w:rPr>
                <w:rFonts w:eastAsia="Calibri"/>
                <w:noProof/>
                <w:sz w:val="20"/>
              </w:rPr>
              <w:t>-11,3</w:t>
            </w:r>
          </w:p>
        </w:tc>
        <w:tc>
          <w:tcPr>
            <w:tcW w:w="848" w:type="dxa"/>
            <w:shd w:val="clear" w:color="auto" w:fill="auto"/>
            <w:vAlign w:val="center"/>
          </w:tcPr>
          <w:p w14:paraId="6ECECB5A" w14:textId="77777777" w:rsidR="00B6285A" w:rsidRPr="00B6285A" w:rsidRDefault="00B6285A" w:rsidP="00B6285A">
            <w:pPr>
              <w:ind w:firstLine="0"/>
              <w:jc w:val="right"/>
              <w:rPr>
                <w:rFonts w:eastAsia="Calibri"/>
                <w:noProof/>
                <w:sz w:val="20"/>
              </w:rPr>
            </w:pPr>
            <w:r w:rsidRPr="00B6285A">
              <w:rPr>
                <w:rFonts w:eastAsia="Calibri"/>
                <w:noProof/>
                <w:sz w:val="20"/>
              </w:rPr>
              <w:t>-8,7</w:t>
            </w:r>
          </w:p>
        </w:tc>
        <w:tc>
          <w:tcPr>
            <w:tcW w:w="848" w:type="dxa"/>
            <w:shd w:val="clear" w:color="auto" w:fill="auto"/>
            <w:vAlign w:val="center"/>
          </w:tcPr>
          <w:p w14:paraId="0E5C27BF" w14:textId="77777777" w:rsidR="00B6285A" w:rsidRPr="00B6285A" w:rsidRDefault="00B6285A" w:rsidP="00B6285A">
            <w:pPr>
              <w:ind w:firstLine="0"/>
              <w:jc w:val="right"/>
              <w:rPr>
                <w:rFonts w:eastAsia="Calibri"/>
                <w:noProof/>
                <w:sz w:val="20"/>
              </w:rPr>
            </w:pPr>
            <w:r w:rsidRPr="00B6285A">
              <w:rPr>
                <w:rFonts w:eastAsia="Calibri"/>
                <w:noProof/>
                <w:sz w:val="20"/>
              </w:rPr>
              <w:t>-7,0</w:t>
            </w:r>
          </w:p>
        </w:tc>
      </w:tr>
      <w:tr w:rsidR="00B6285A" w:rsidRPr="00B6285A" w14:paraId="0074AD90" w14:textId="77777777" w:rsidTr="00143408">
        <w:trPr>
          <w:trHeight w:val="77"/>
        </w:trPr>
        <w:tc>
          <w:tcPr>
            <w:tcW w:w="3114" w:type="dxa"/>
          </w:tcPr>
          <w:p w14:paraId="031ADD9E" w14:textId="77777777" w:rsidR="00B6285A" w:rsidRPr="00B6285A" w:rsidRDefault="00B6285A" w:rsidP="00B6285A">
            <w:pPr>
              <w:ind w:firstLine="0"/>
              <w:jc w:val="right"/>
              <w:rPr>
                <w:rFonts w:eastAsia="Calibri"/>
                <w:noProof/>
                <w:sz w:val="20"/>
              </w:rPr>
            </w:pPr>
            <w:r w:rsidRPr="00B6285A">
              <w:rPr>
                <w:rFonts w:eastAsia="Calibri"/>
                <w:noProof/>
                <w:sz w:val="20"/>
              </w:rPr>
              <w:t>Atbalsts nozarēm</w:t>
            </w:r>
          </w:p>
        </w:tc>
        <w:tc>
          <w:tcPr>
            <w:tcW w:w="847" w:type="dxa"/>
            <w:vAlign w:val="center"/>
          </w:tcPr>
          <w:p w14:paraId="38B4A455" w14:textId="77777777" w:rsidR="00B6285A" w:rsidRPr="00B6285A" w:rsidRDefault="00B6285A" w:rsidP="00B6285A">
            <w:pPr>
              <w:ind w:firstLine="0"/>
              <w:jc w:val="right"/>
              <w:rPr>
                <w:rFonts w:eastAsia="Calibri"/>
                <w:noProof/>
                <w:sz w:val="20"/>
              </w:rPr>
            </w:pPr>
            <w:r w:rsidRPr="00B6285A">
              <w:rPr>
                <w:rFonts w:eastAsia="Calibri"/>
                <w:noProof/>
                <w:sz w:val="20"/>
              </w:rPr>
              <w:t>-622,4</w:t>
            </w:r>
          </w:p>
        </w:tc>
        <w:tc>
          <w:tcPr>
            <w:tcW w:w="848" w:type="dxa"/>
            <w:vAlign w:val="center"/>
          </w:tcPr>
          <w:p w14:paraId="05111D1F" w14:textId="77777777" w:rsidR="00B6285A" w:rsidRPr="00B6285A" w:rsidRDefault="00B6285A" w:rsidP="00B6285A">
            <w:pPr>
              <w:ind w:firstLine="0"/>
              <w:jc w:val="right"/>
              <w:rPr>
                <w:rFonts w:eastAsia="Calibri"/>
                <w:noProof/>
                <w:sz w:val="20"/>
              </w:rPr>
            </w:pPr>
            <w:r w:rsidRPr="00B6285A">
              <w:rPr>
                <w:rFonts w:eastAsia="Calibri"/>
                <w:noProof/>
                <w:sz w:val="20"/>
              </w:rPr>
              <w:t>-1456,3</w:t>
            </w:r>
          </w:p>
        </w:tc>
        <w:tc>
          <w:tcPr>
            <w:tcW w:w="847" w:type="dxa"/>
            <w:vAlign w:val="center"/>
          </w:tcPr>
          <w:p w14:paraId="7C96D705" w14:textId="77777777" w:rsidR="00B6285A" w:rsidRPr="00B6285A" w:rsidRDefault="00B6285A" w:rsidP="00B6285A">
            <w:pPr>
              <w:ind w:firstLine="0"/>
              <w:jc w:val="right"/>
              <w:rPr>
                <w:rFonts w:eastAsia="Calibri"/>
                <w:noProof/>
                <w:sz w:val="20"/>
              </w:rPr>
            </w:pPr>
            <w:r w:rsidRPr="00B6285A">
              <w:rPr>
                <w:rFonts w:eastAsia="Calibri"/>
                <w:noProof/>
                <w:sz w:val="20"/>
              </w:rPr>
              <w:t>-624,0</w:t>
            </w:r>
          </w:p>
        </w:tc>
        <w:tc>
          <w:tcPr>
            <w:tcW w:w="848" w:type="dxa"/>
            <w:vAlign w:val="center"/>
          </w:tcPr>
          <w:p w14:paraId="41C3D3D3" w14:textId="77777777" w:rsidR="00B6285A" w:rsidRPr="00B6285A" w:rsidRDefault="00B6285A" w:rsidP="00B6285A">
            <w:pPr>
              <w:ind w:firstLine="0"/>
              <w:jc w:val="right"/>
              <w:rPr>
                <w:rFonts w:eastAsia="Calibri"/>
                <w:noProof/>
                <w:sz w:val="20"/>
              </w:rPr>
            </w:pPr>
            <w:r w:rsidRPr="00B6285A">
              <w:rPr>
                <w:rFonts w:eastAsia="Calibri"/>
                <w:noProof/>
                <w:sz w:val="20"/>
              </w:rPr>
              <w:t>-97,3</w:t>
            </w:r>
          </w:p>
        </w:tc>
        <w:tc>
          <w:tcPr>
            <w:tcW w:w="847" w:type="dxa"/>
            <w:vAlign w:val="center"/>
          </w:tcPr>
          <w:p w14:paraId="10A22CFB" w14:textId="77777777" w:rsidR="00B6285A" w:rsidRPr="00B6285A" w:rsidRDefault="00B6285A" w:rsidP="00B6285A">
            <w:pPr>
              <w:ind w:firstLine="0"/>
              <w:jc w:val="right"/>
              <w:rPr>
                <w:rFonts w:eastAsia="Calibri"/>
                <w:noProof/>
                <w:sz w:val="20"/>
              </w:rPr>
            </w:pPr>
            <w:r w:rsidRPr="00B6285A">
              <w:rPr>
                <w:rFonts w:eastAsia="Calibri"/>
                <w:noProof/>
                <w:sz w:val="20"/>
              </w:rPr>
              <w:t>-</w:t>
            </w:r>
          </w:p>
        </w:tc>
        <w:tc>
          <w:tcPr>
            <w:tcW w:w="848" w:type="dxa"/>
            <w:vAlign w:val="center"/>
          </w:tcPr>
          <w:p w14:paraId="38A45F2B" w14:textId="77777777" w:rsidR="00B6285A" w:rsidRPr="00B6285A" w:rsidRDefault="00B6285A" w:rsidP="00B6285A">
            <w:pPr>
              <w:ind w:firstLine="0"/>
              <w:jc w:val="right"/>
              <w:rPr>
                <w:rFonts w:eastAsia="Calibri"/>
                <w:noProof/>
                <w:sz w:val="20"/>
              </w:rPr>
            </w:pPr>
            <w:r w:rsidRPr="00B6285A">
              <w:rPr>
                <w:rFonts w:eastAsia="Calibri"/>
                <w:noProof/>
                <w:sz w:val="20"/>
              </w:rPr>
              <w:t>-</w:t>
            </w:r>
          </w:p>
        </w:tc>
        <w:tc>
          <w:tcPr>
            <w:tcW w:w="848" w:type="dxa"/>
            <w:vAlign w:val="center"/>
          </w:tcPr>
          <w:p w14:paraId="14E3C120" w14:textId="77777777" w:rsidR="00B6285A" w:rsidRPr="00B6285A" w:rsidRDefault="00B6285A" w:rsidP="00B6285A">
            <w:pPr>
              <w:ind w:firstLine="0"/>
              <w:jc w:val="right"/>
              <w:rPr>
                <w:rFonts w:eastAsia="Calibri"/>
                <w:noProof/>
                <w:sz w:val="20"/>
              </w:rPr>
            </w:pPr>
            <w:r w:rsidRPr="00B6285A">
              <w:rPr>
                <w:rFonts w:eastAsia="Calibri"/>
                <w:noProof/>
                <w:sz w:val="20"/>
              </w:rPr>
              <w:t>-</w:t>
            </w:r>
          </w:p>
        </w:tc>
      </w:tr>
      <w:tr w:rsidR="00B6285A" w:rsidRPr="00B6285A" w14:paraId="2309E42B" w14:textId="77777777" w:rsidTr="00143408">
        <w:trPr>
          <w:trHeight w:val="77"/>
        </w:trPr>
        <w:tc>
          <w:tcPr>
            <w:tcW w:w="3114" w:type="dxa"/>
          </w:tcPr>
          <w:p w14:paraId="173324FD" w14:textId="77777777" w:rsidR="00B6285A" w:rsidRPr="00B6285A" w:rsidRDefault="00B6285A" w:rsidP="00B6285A">
            <w:pPr>
              <w:ind w:firstLine="0"/>
              <w:jc w:val="right"/>
              <w:rPr>
                <w:rFonts w:eastAsia="Calibri"/>
                <w:noProof/>
                <w:sz w:val="20"/>
              </w:rPr>
            </w:pPr>
            <w:r w:rsidRPr="00B6285A">
              <w:rPr>
                <w:rFonts w:eastAsia="Calibri"/>
                <w:noProof/>
                <w:sz w:val="20"/>
              </w:rPr>
              <w:t>ES fondu finansējuma atbalsts</w:t>
            </w:r>
          </w:p>
        </w:tc>
        <w:tc>
          <w:tcPr>
            <w:tcW w:w="847" w:type="dxa"/>
            <w:vAlign w:val="center"/>
          </w:tcPr>
          <w:p w14:paraId="201EAFD1" w14:textId="77777777" w:rsidR="00B6285A" w:rsidRPr="00B6285A" w:rsidRDefault="00B6285A" w:rsidP="00B6285A">
            <w:pPr>
              <w:ind w:firstLine="0"/>
              <w:jc w:val="right"/>
              <w:rPr>
                <w:rFonts w:eastAsia="Calibri"/>
                <w:noProof/>
                <w:sz w:val="20"/>
              </w:rPr>
            </w:pPr>
            <w:r w:rsidRPr="00B6285A">
              <w:rPr>
                <w:rFonts w:eastAsia="Calibri"/>
                <w:noProof/>
                <w:sz w:val="20"/>
              </w:rPr>
              <w:t>-</w:t>
            </w:r>
          </w:p>
        </w:tc>
        <w:tc>
          <w:tcPr>
            <w:tcW w:w="848" w:type="dxa"/>
            <w:vAlign w:val="center"/>
          </w:tcPr>
          <w:p w14:paraId="544BA2DA" w14:textId="77777777" w:rsidR="00B6285A" w:rsidRPr="00B6285A" w:rsidRDefault="00B6285A" w:rsidP="00B6285A">
            <w:pPr>
              <w:ind w:firstLine="0"/>
              <w:jc w:val="right"/>
              <w:rPr>
                <w:rFonts w:eastAsia="Calibri"/>
                <w:noProof/>
                <w:sz w:val="20"/>
              </w:rPr>
            </w:pPr>
            <w:r w:rsidRPr="00B6285A">
              <w:rPr>
                <w:rFonts w:eastAsia="Calibri"/>
                <w:noProof/>
                <w:sz w:val="20"/>
              </w:rPr>
              <w:t>-8,6</w:t>
            </w:r>
          </w:p>
        </w:tc>
        <w:tc>
          <w:tcPr>
            <w:tcW w:w="847" w:type="dxa"/>
            <w:vAlign w:val="center"/>
          </w:tcPr>
          <w:p w14:paraId="74B3770C" w14:textId="77777777" w:rsidR="00B6285A" w:rsidRPr="00B6285A" w:rsidRDefault="00B6285A" w:rsidP="00B6285A">
            <w:pPr>
              <w:ind w:firstLine="0"/>
              <w:jc w:val="right"/>
              <w:rPr>
                <w:rFonts w:eastAsia="Calibri"/>
                <w:noProof/>
                <w:sz w:val="20"/>
              </w:rPr>
            </w:pPr>
            <w:r w:rsidRPr="00B6285A">
              <w:rPr>
                <w:rFonts w:eastAsia="Calibri"/>
                <w:noProof/>
                <w:sz w:val="20"/>
              </w:rPr>
              <w:t>-6,9</w:t>
            </w:r>
          </w:p>
        </w:tc>
        <w:tc>
          <w:tcPr>
            <w:tcW w:w="848" w:type="dxa"/>
            <w:vAlign w:val="center"/>
          </w:tcPr>
          <w:p w14:paraId="23EAF475" w14:textId="77777777" w:rsidR="00B6285A" w:rsidRPr="00B6285A" w:rsidRDefault="00B6285A" w:rsidP="00B6285A">
            <w:pPr>
              <w:ind w:firstLine="0"/>
              <w:jc w:val="right"/>
              <w:rPr>
                <w:rFonts w:eastAsia="Calibri"/>
                <w:noProof/>
                <w:sz w:val="20"/>
              </w:rPr>
            </w:pPr>
            <w:r w:rsidRPr="00B6285A">
              <w:rPr>
                <w:rFonts w:eastAsia="Calibri"/>
                <w:noProof/>
                <w:sz w:val="20"/>
              </w:rPr>
              <w:t>-</w:t>
            </w:r>
          </w:p>
        </w:tc>
        <w:tc>
          <w:tcPr>
            <w:tcW w:w="847" w:type="dxa"/>
            <w:vAlign w:val="center"/>
          </w:tcPr>
          <w:p w14:paraId="07B0F1F7" w14:textId="77777777" w:rsidR="00B6285A" w:rsidRPr="00B6285A" w:rsidRDefault="00B6285A" w:rsidP="00B6285A">
            <w:pPr>
              <w:ind w:firstLine="0"/>
              <w:jc w:val="right"/>
              <w:rPr>
                <w:rFonts w:eastAsia="Calibri"/>
                <w:noProof/>
                <w:sz w:val="20"/>
              </w:rPr>
            </w:pPr>
            <w:r w:rsidRPr="00B6285A">
              <w:rPr>
                <w:rFonts w:eastAsia="Calibri"/>
                <w:noProof/>
                <w:sz w:val="20"/>
              </w:rPr>
              <w:t>-</w:t>
            </w:r>
          </w:p>
        </w:tc>
        <w:tc>
          <w:tcPr>
            <w:tcW w:w="848" w:type="dxa"/>
            <w:vAlign w:val="center"/>
          </w:tcPr>
          <w:p w14:paraId="2A3F52D2" w14:textId="77777777" w:rsidR="00B6285A" w:rsidRPr="00B6285A" w:rsidRDefault="00B6285A" w:rsidP="00B6285A">
            <w:pPr>
              <w:ind w:firstLine="0"/>
              <w:jc w:val="right"/>
              <w:rPr>
                <w:rFonts w:eastAsia="Calibri"/>
                <w:noProof/>
                <w:sz w:val="20"/>
              </w:rPr>
            </w:pPr>
            <w:r w:rsidRPr="00B6285A">
              <w:rPr>
                <w:rFonts w:eastAsia="Calibri"/>
                <w:noProof/>
                <w:sz w:val="20"/>
              </w:rPr>
              <w:t>-</w:t>
            </w:r>
          </w:p>
        </w:tc>
        <w:tc>
          <w:tcPr>
            <w:tcW w:w="848" w:type="dxa"/>
            <w:vAlign w:val="center"/>
          </w:tcPr>
          <w:p w14:paraId="5A58FDB5" w14:textId="77777777" w:rsidR="00B6285A" w:rsidRPr="00B6285A" w:rsidRDefault="00B6285A" w:rsidP="00B6285A">
            <w:pPr>
              <w:ind w:firstLine="0"/>
              <w:jc w:val="right"/>
              <w:rPr>
                <w:rFonts w:eastAsia="Calibri"/>
                <w:noProof/>
                <w:sz w:val="20"/>
              </w:rPr>
            </w:pPr>
            <w:r w:rsidRPr="00B6285A">
              <w:rPr>
                <w:rFonts w:eastAsia="Calibri"/>
                <w:noProof/>
                <w:sz w:val="20"/>
              </w:rPr>
              <w:t>-</w:t>
            </w:r>
          </w:p>
        </w:tc>
      </w:tr>
      <w:tr w:rsidR="00B6285A" w:rsidRPr="00B6285A" w14:paraId="200BFEE1" w14:textId="77777777" w:rsidTr="00B6285A">
        <w:trPr>
          <w:trHeight w:val="77"/>
        </w:trPr>
        <w:tc>
          <w:tcPr>
            <w:tcW w:w="3114" w:type="dxa"/>
            <w:shd w:val="clear" w:color="auto" w:fill="BDD6EE"/>
          </w:tcPr>
          <w:p w14:paraId="4D83102D" w14:textId="77777777" w:rsidR="00B6285A" w:rsidRPr="00B6285A" w:rsidRDefault="00B6285A" w:rsidP="00B6285A">
            <w:pPr>
              <w:ind w:firstLine="0"/>
              <w:jc w:val="right"/>
              <w:rPr>
                <w:rFonts w:eastAsia="Calibri"/>
                <w:b/>
                <w:bCs/>
                <w:noProof/>
                <w:sz w:val="20"/>
              </w:rPr>
            </w:pPr>
            <w:r w:rsidRPr="00B6285A">
              <w:rPr>
                <w:rFonts w:eastAsia="Calibri"/>
                <w:b/>
                <w:bCs/>
                <w:noProof/>
                <w:sz w:val="20"/>
              </w:rPr>
              <w:t>KOPĀ</w:t>
            </w:r>
          </w:p>
        </w:tc>
        <w:tc>
          <w:tcPr>
            <w:tcW w:w="847" w:type="dxa"/>
            <w:shd w:val="clear" w:color="auto" w:fill="BDD6EE"/>
            <w:vAlign w:val="center"/>
          </w:tcPr>
          <w:p w14:paraId="38105DEC" w14:textId="77777777" w:rsidR="00B6285A" w:rsidRPr="00B6285A" w:rsidRDefault="00B6285A" w:rsidP="00B6285A">
            <w:pPr>
              <w:ind w:firstLine="0"/>
              <w:jc w:val="right"/>
              <w:rPr>
                <w:rFonts w:eastAsia="Calibri"/>
                <w:b/>
                <w:bCs/>
                <w:noProof/>
                <w:sz w:val="20"/>
              </w:rPr>
            </w:pPr>
            <w:r w:rsidRPr="00B6285A">
              <w:rPr>
                <w:rFonts w:eastAsia="Calibri"/>
                <w:b/>
                <w:bCs/>
                <w:noProof/>
                <w:sz w:val="20"/>
              </w:rPr>
              <w:t>-960,8</w:t>
            </w:r>
          </w:p>
        </w:tc>
        <w:tc>
          <w:tcPr>
            <w:tcW w:w="848" w:type="dxa"/>
            <w:shd w:val="clear" w:color="auto" w:fill="BDD6EE"/>
            <w:vAlign w:val="center"/>
          </w:tcPr>
          <w:p w14:paraId="66EFFCD3" w14:textId="77777777" w:rsidR="00B6285A" w:rsidRPr="00B6285A" w:rsidRDefault="00B6285A" w:rsidP="00B6285A">
            <w:pPr>
              <w:ind w:firstLine="0"/>
              <w:jc w:val="right"/>
              <w:rPr>
                <w:rFonts w:eastAsia="Calibri"/>
                <w:b/>
                <w:bCs/>
                <w:noProof/>
                <w:sz w:val="20"/>
              </w:rPr>
            </w:pPr>
            <w:r w:rsidRPr="00B6285A">
              <w:rPr>
                <w:rFonts w:eastAsia="Calibri"/>
                <w:b/>
                <w:bCs/>
                <w:noProof/>
                <w:sz w:val="20"/>
              </w:rPr>
              <w:t>-2102,8</w:t>
            </w:r>
          </w:p>
        </w:tc>
        <w:tc>
          <w:tcPr>
            <w:tcW w:w="847" w:type="dxa"/>
            <w:shd w:val="clear" w:color="auto" w:fill="BDD6EE"/>
            <w:vAlign w:val="center"/>
          </w:tcPr>
          <w:p w14:paraId="1FC31F8B" w14:textId="77777777" w:rsidR="00B6285A" w:rsidRPr="00B6285A" w:rsidRDefault="00B6285A" w:rsidP="00B6285A">
            <w:pPr>
              <w:ind w:firstLine="0"/>
              <w:jc w:val="right"/>
              <w:rPr>
                <w:rFonts w:eastAsia="Calibri"/>
                <w:b/>
                <w:bCs/>
                <w:noProof/>
                <w:sz w:val="20"/>
              </w:rPr>
            </w:pPr>
            <w:r w:rsidRPr="00B6285A">
              <w:rPr>
                <w:rFonts w:eastAsia="Calibri"/>
                <w:b/>
                <w:bCs/>
                <w:noProof/>
                <w:sz w:val="20"/>
              </w:rPr>
              <w:t>-796,4</w:t>
            </w:r>
          </w:p>
        </w:tc>
        <w:tc>
          <w:tcPr>
            <w:tcW w:w="848" w:type="dxa"/>
            <w:shd w:val="clear" w:color="auto" w:fill="BDD6EE"/>
            <w:vAlign w:val="center"/>
          </w:tcPr>
          <w:p w14:paraId="1B9DD8C3" w14:textId="77777777" w:rsidR="00B6285A" w:rsidRPr="00B6285A" w:rsidRDefault="00B6285A" w:rsidP="00B6285A">
            <w:pPr>
              <w:ind w:firstLine="0"/>
              <w:jc w:val="right"/>
              <w:rPr>
                <w:rFonts w:eastAsia="Calibri"/>
                <w:b/>
                <w:bCs/>
                <w:noProof/>
                <w:sz w:val="20"/>
              </w:rPr>
            </w:pPr>
            <w:r w:rsidRPr="00B6285A">
              <w:rPr>
                <w:rFonts w:eastAsia="Calibri"/>
                <w:b/>
                <w:bCs/>
                <w:noProof/>
                <w:sz w:val="20"/>
              </w:rPr>
              <w:t>-132,7</w:t>
            </w:r>
          </w:p>
        </w:tc>
        <w:tc>
          <w:tcPr>
            <w:tcW w:w="847" w:type="dxa"/>
            <w:shd w:val="clear" w:color="auto" w:fill="BDD6EE"/>
            <w:vAlign w:val="center"/>
          </w:tcPr>
          <w:p w14:paraId="11916C56" w14:textId="77777777" w:rsidR="00B6285A" w:rsidRPr="00B6285A" w:rsidRDefault="00B6285A" w:rsidP="00B6285A">
            <w:pPr>
              <w:ind w:firstLine="0"/>
              <w:jc w:val="right"/>
              <w:rPr>
                <w:rFonts w:eastAsia="Calibri"/>
                <w:b/>
                <w:bCs/>
                <w:noProof/>
                <w:sz w:val="20"/>
              </w:rPr>
            </w:pPr>
            <w:r w:rsidRPr="00B6285A">
              <w:rPr>
                <w:rFonts w:eastAsia="Calibri"/>
                <w:b/>
                <w:bCs/>
                <w:noProof/>
                <w:sz w:val="20"/>
              </w:rPr>
              <w:t>-11,2</w:t>
            </w:r>
          </w:p>
        </w:tc>
        <w:tc>
          <w:tcPr>
            <w:tcW w:w="848" w:type="dxa"/>
            <w:shd w:val="clear" w:color="auto" w:fill="BDD6EE"/>
            <w:vAlign w:val="center"/>
          </w:tcPr>
          <w:p w14:paraId="12F5DB43" w14:textId="77777777" w:rsidR="00B6285A" w:rsidRPr="00B6285A" w:rsidRDefault="00B6285A" w:rsidP="00B6285A">
            <w:pPr>
              <w:ind w:firstLine="0"/>
              <w:jc w:val="right"/>
              <w:rPr>
                <w:rFonts w:eastAsia="Calibri"/>
                <w:b/>
                <w:bCs/>
                <w:noProof/>
                <w:sz w:val="20"/>
              </w:rPr>
            </w:pPr>
            <w:r w:rsidRPr="00B6285A">
              <w:rPr>
                <w:rFonts w:eastAsia="Calibri"/>
                <w:b/>
                <w:bCs/>
                <w:noProof/>
                <w:sz w:val="20"/>
              </w:rPr>
              <w:t>-8,7</w:t>
            </w:r>
          </w:p>
        </w:tc>
        <w:tc>
          <w:tcPr>
            <w:tcW w:w="848" w:type="dxa"/>
            <w:shd w:val="clear" w:color="auto" w:fill="BDD6EE"/>
            <w:vAlign w:val="center"/>
          </w:tcPr>
          <w:p w14:paraId="7CE95FC5" w14:textId="77777777" w:rsidR="00B6285A" w:rsidRPr="00B6285A" w:rsidRDefault="00B6285A" w:rsidP="00B6285A">
            <w:pPr>
              <w:ind w:firstLine="0"/>
              <w:jc w:val="right"/>
              <w:rPr>
                <w:rFonts w:eastAsia="Calibri"/>
                <w:b/>
                <w:bCs/>
                <w:noProof/>
                <w:sz w:val="20"/>
              </w:rPr>
            </w:pPr>
            <w:r w:rsidRPr="00B6285A">
              <w:rPr>
                <w:rFonts w:eastAsia="Calibri"/>
                <w:b/>
                <w:bCs/>
                <w:noProof/>
                <w:sz w:val="20"/>
              </w:rPr>
              <w:t>-7,0</w:t>
            </w:r>
          </w:p>
        </w:tc>
      </w:tr>
      <w:tr w:rsidR="00B6285A" w:rsidRPr="00B6285A" w14:paraId="6574EBC8" w14:textId="77777777" w:rsidTr="00B6285A">
        <w:trPr>
          <w:trHeight w:val="77"/>
        </w:trPr>
        <w:tc>
          <w:tcPr>
            <w:tcW w:w="3114" w:type="dxa"/>
            <w:shd w:val="clear" w:color="auto" w:fill="BDD6EE"/>
          </w:tcPr>
          <w:p w14:paraId="073DD063" w14:textId="77777777" w:rsidR="00B6285A" w:rsidRPr="00B6285A" w:rsidRDefault="00B6285A" w:rsidP="00B6285A">
            <w:pPr>
              <w:ind w:firstLine="0"/>
              <w:jc w:val="right"/>
              <w:rPr>
                <w:rFonts w:eastAsia="Calibri"/>
                <w:b/>
                <w:bCs/>
                <w:noProof/>
                <w:sz w:val="20"/>
              </w:rPr>
            </w:pPr>
            <w:r w:rsidRPr="00B6285A">
              <w:rPr>
                <w:rFonts w:eastAsia="Calibri"/>
                <w:b/>
                <w:bCs/>
                <w:noProof/>
                <w:sz w:val="20"/>
              </w:rPr>
              <w:t>% no IKP</w:t>
            </w:r>
          </w:p>
        </w:tc>
        <w:tc>
          <w:tcPr>
            <w:tcW w:w="847" w:type="dxa"/>
            <w:shd w:val="clear" w:color="auto" w:fill="BDD6EE"/>
            <w:vAlign w:val="center"/>
          </w:tcPr>
          <w:p w14:paraId="697026DA" w14:textId="77777777" w:rsidR="00B6285A" w:rsidRPr="00B6285A" w:rsidRDefault="00B6285A" w:rsidP="00B6285A">
            <w:pPr>
              <w:ind w:firstLine="0"/>
              <w:jc w:val="right"/>
              <w:rPr>
                <w:rFonts w:eastAsia="Calibri"/>
                <w:b/>
                <w:bCs/>
                <w:noProof/>
                <w:sz w:val="20"/>
              </w:rPr>
            </w:pPr>
            <w:r w:rsidRPr="00B6285A">
              <w:rPr>
                <w:rFonts w:eastAsia="Calibri"/>
                <w:b/>
                <w:bCs/>
                <w:noProof/>
                <w:sz w:val="20"/>
              </w:rPr>
              <w:t>-3,2</w:t>
            </w:r>
          </w:p>
        </w:tc>
        <w:tc>
          <w:tcPr>
            <w:tcW w:w="848" w:type="dxa"/>
            <w:shd w:val="clear" w:color="auto" w:fill="BDD6EE"/>
            <w:vAlign w:val="center"/>
          </w:tcPr>
          <w:p w14:paraId="0E8F5E94" w14:textId="77777777" w:rsidR="00B6285A" w:rsidRPr="00B6285A" w:rsidRDefault="00B6285A" w:rsidP="00B6285A">
            <w:pPr>
              <w:ind w:firstLine="0"/>
              <w:jc w:val="right"/>
              <w:rPr>
                <w:rFonts w:eastAsia="Calibri"/>
                <w:b/>
                <w:bCs/>
                <w:noProof/>
                <w:sz w:val="20"/>
              </w:rPr>
            </w:pPr>
            <w:r w:rsidRPr="00B6285A">
              <w:rPr>
                <w:rFonts w:eastAsia="Calibri"/>
                <w:b/>
                <w:bCs/>
                <w:noProof/>
                <w:sz w:val="20"/>
              </w:rPr>
              <w:t>-6,3</w:t>
            </w:r>
          </w:p>
        </w:tc>
        <w:tc>
          <w:tcPr>
            <w:tcW w:w="847" w:type="dxa"/>
            <w:shd w:val="clear" w:color="auto" w:fill="BDD6EE"/>
            <w:vAlign w:val="center"/>
          </w:tcPr>
          <w:p w14:paraId="2D2BFE07" w14:textId="77777777" w:rsidR="00B6285A" w:rsidRPr="00B6285A" w:rsidRDefault="00B6285A" w:rsidP="00B6285A">
            <w:pPr>
              <w:ind w:firstLine="0"/>
              <w:jc w:val="right"/>
              <w:rPr>
                <w:rFonts w:eastAsia="Calibri"/>
                <w:b/>
                <w:bCs/>
                <w:noProof/>
                <w:sz w:val="20"/>
              </w:rPr>
            </w:pPr>
            <w:r w:rsidRPr="00B6285A">
              <w:rPr>
                <w:rFonts w:eastAsia="Calibri"/>
                <w:b/>
                <w:bCs/>
                <w:noProof/>
                <w:sz w:val="20"/>
              </w:rPr>
              <w:t>-2,0</w:t>
            </w:r>
          </w:p>
        </w:tc>
        <w:tc>
          <w:tcPr>
            <w:tcW w:w="848" w:type="dxa"/>
            <w:shd w:val="clear" w:color="auto" w:fill="BDD6EE"/>
            <w:vAlign w:val="center"/>
          </w:tcPr>
          <w:p w14:paraId="0BBD171B" w14:textId="77777777" w:rsidR="00B6285A" w:rsidRPr="00B6285A" w:rsidRDefault="00B6285A" w:rsidP="00B6285A">
            <w:pPr>
              <w:ind w:firstLine="0"/>
              <w:jc w:val="right"/>
              <w:rPr>
                <w:rFonts w:eastAsia="Calibri"/>
                <w:b/>
                <w:bCs/>
                <w:noProof/>
                <w:sz w:val="20"/>
              </w:rPr>
            </w:pPr>
            <w:r w:rsidRPr="00B6285A">
              <w:rPr>
                <w:rFonts w:eastAsia="Calibri"/>
                <w:b/>
                <w:bCs/>
                <w:noProof/>
                <w:sz w:val="20"/>
              </w:rPr>
              <w:t>-0,3</w:t>
            </w:r>
          </w:p>
        </w:tc>
        <w:tc>
          <w:tcPr>
            <w:tcW w:w="847" w:type="dxa"/>
            <w:shd w:val="clear" w:color="auto" w:fill="BDD6EE"/>
            <w:vAlign w:val="center"/>
          </w:tcPr>
          <w:p w14:paraId="702C2200" w14:textId="77777777" w:rsidR="00B6285A" w:rsidRPr="00B6285A" w:rsidRDefault="00B6285A" w:rsidP="00B6285A">
            <w:pPr>
              <w:ind w:firstLine="0"/>
              <w:jc w:val="right"/>
              <w:rPr>
                <w:rFonts w:eastAsia="Calibri"/>
                <w:b/>
                <w:bCs/>
                <w:noProof/>
                <w:sz w:val="20"/>
              </w:rPr>
            </w:pPr>
            <w:r w:rsidRPr="00B6285A">
              <w:rPr>
                <w:rFonts w:eastAsia="Calibri"/>
                <w:b/>
                <w:bCs/>
                <w:noProof/>
                <w:sz w:val="20"/>
              </w:rPr>
              <w:t>-0,0</w:t>
            </w:r>
          </w:p>
        </w:tc>
        <w:tc>
          <w:tcPr>
            <w:tcW w:w="848" w:type="dxa"/>
            <w:shd w:val="clear" w:color="auto" w:fill="BDD6EE"/>
            <w:vAlign w:val="center"/>
          </w:tcPr>
          <w:p w14:paraId="682146DE" w14:textId="77777777" w:rsidR="00B6285A" w:rsidRPr="00B6285A" w:rsidRDefault="00B6285A" w:rsidP="00B6285A">
            <w:pPr>
              <w:ind w:firstLine="0"/>
              <w:jc w:val="right"/>
              <w:rPr>
                <w:rFonts w:eastAsia="Calibri"/>
                <w:b/>
                <w:bCs/>
                <w:noProof/>
                <w:sz w:val="20"/>
              </w:rPr>
            </w:pPr>
            <w:r w:rsidRPr="00B6285A">
              <w:rPr>
                <w:rFonts w:eastAsia="Calibri"/>
                <w:b/>
                <w:bCs/>
                <w:noProof/>
                <w:sz w:val="20"/>
              </w:rPr>
              <w:t>-0,0</w:t>
            </w:r>
          </w:p>
        </w:tc>
        <w:tc>
          <w:tcPr>
            <w:tcW w:w="848" w:type="dxa"/>
            <w:shd w:val="clear" w:color="auto" w:fill="BDD6EE"/>
            <w:vAlign w:val="center"/>
          </w:tcPr>
          <w:p w14:paraId="5FA8B000" w14:textId="77777777" w:rsidR="00B6285A" w:rsidRPr="00B6285A" w:rsidRDefault="00B6285A" w:rsidP="00B6285A">
            <w:pPr>
              <w:ind w:firstLine="0"/>
              <w:jc w:val="right"/>
              <w:rPr>
                <w:rFonts w:eastAsia="Calibri"/>
                <w:b/>
                <w:bCs/>
                <w:noProof/>
                <w:sz w:val="20"/>
              </w:rPr>
            </w:pPr>
            <w:r w:rsidRPr="00B6285A">
              <w:rPr>
                <w:rFonts w:eastAsia="Calibri"/>
                <w:b/>
                <w:bCs/>
                <w:noProof/>
                <w:sz w:val="20"/>
              </w:rPr>
              <w:t>-0,0</w:t>
            </w:r>
          </w:p>
        </w:tc>
      </w:tr>
    </w:tbl>
    <w:p w14:paraId="51863431" w14:textId="77777777" w:rsidR="00B6285A" w:rsidRPr="00B6285A" w:rsidRDefault="00B6285A" w:rsidP="00B6285A">
      <w:pPr>
        <w:ind w:firstLine="0"/>
        <w:jc w:val="right"/>
        <w:rPr>
          <w:rFonts w:ascii="Calibri" w:eastAsia="Times New Roman" w:hAnsi="Calibri" w:cs="Times New Roman"/>
          <w:noProof/>
          <w:sz w:val="22"/>
        </w:rPr>
      </w:pPr>
    </w:p>
    <w:p w14:paraId="248D2228" w14:textId="77777777" w:rsidR="00B6285A" w:rsidRPr="00B6285A" w:rsidRDefault="00B6285A" w:rsidP="00B6285A">
      <w:pPr>
        <w:spacing w:after="120"/>
        <w:rPr>
          <w:rFonts w:eastAsia="Times New Roman" w:cs="Times New Roman"/>
          <w:color w:val="000000"/>
          <w:sz w:val="24"/>
          <w:szCs w:val="24"/>
        </w:rPr>
      </w:pPr>
      <w:proofErr w:type="spellStart"/>
      <w:r w:rsidRPr="00B6285A">
        <w:rPr>
          <w:rFonts w:eastAsia="Times New Roman" w:cs="Times New Roman"/>
          <w:b/>
          <w:bCs/>
          <w:color w:val="000000"/>
          <w:sz w:val="24"/>
          <w:szCs w:val="24"/>
        </w:rPr>
        <w:t>Energoatbalsts</w:t>
      </w:r>
      <w:proofErr w:type="spellEnd"/>
    </w:p>
    <w:p w14:paraId="3806C18F" w14:textId="5DFF6F86" w:rsidR="00B6285A" w:rsidRPr="00A8405C" w:rsidRDefault="00B6285A" w:rsidP="00A8405C">
      <w:pPr>
        <w:spacing w:after="120"/>
        <w:rPr>
          <w:rFonts w:eastAsia="Times New Roman" w:cs="Times New Roman"/>
          <w:color w:val="000000"/>
          <w:sz w:val="24"/>
          <w:szCs w:val="28"/>
        </w:rPr>
      </w:pPr>
      <w:r w:rsidRPr="00B6285A">
        <w:rPr>
          <w:rFonts w:eastAsia="Times New Roman" w:cs="Times New Roman"/>
          <w:color w:val="000000"/>
          <w:sz w:val="24"/>
          <w:szCs w:val="28"/>
        </w:rPr>
        <w:t>Valsts atbalsts energoresursu cenu pieauguma apstākļos</w:t>
      </w:r>
      <w:r w:rsidRPr="00B6285A">
        <w:rPr>
          <w:rFonts w:eastAsia="Times New Roman" w:cs="Times New Roman"/>
          <w:b/>
          <w:bCs/>
          <w:color w:val="000000"/>
          <w:sz w:val="24"/>
          <w:szCs w:val="28"/>
        </w:rPr>
        <w:t xml:space="preserve"> </w:t>
      </w:r>
      <w:r w:rsidRPr="00B6285A">
        <w:rPr>
          <w:rFonts w:eastAsia="Times New Roman" w:cs="Times New Roman"/>
          <w:color w:val="000000"/>
          <w:sz w:val="24"/>
          <w:szCs w:val="28"/>
        </w:rPr>
        <w:t>paredz pasākumu kopumu, kas ietverts Energoresursu cenu ārkārtēja pieauguma samazinājuma pasākumu likumā. Kopš 2021. gada decembra tiek nodrošināti dažāda veida atbalsta pasākumi juridiskām un fiziskām personām, lai daļēji kompensētu pieaugošās energoresursu izmaksas. Atbalsta pasākumu mērķis ir mazināt negatīvo sociālekonomisko ietekmi uz iedzīvotāju labklājību un tautsaimniecības izaugsmi, kas saistīta ar iepriekš nepieredzētu energoresursu strauju cenu kāpumu. Ieplānotais atbalsts (</w:t>
      </w:r>
      <w:r w:rsidRPr="00B6285A">
        <w:rPr>
          <w:rFonts w:eastAsia="Calibri" w:cs="Times New Roman"/>
          <w:color w:val="000000"/>
          <w:sz w:val="24"/>
          <w:szCs w:val="24"/>
        </w:rPr>
        <w:t>skat. 3.</w:t>
      </w:r>
      <w:r w:rsidR="00BA03D2">
        <w:rPr>
          <w:rFonts w:eastAsia="Calibri" w:cs="Times New Roman"/>
          <w:color w:val="000000"/>
          <w:sz w:val="24"/>
          <w:szCs w:val="24"/>
        </w:rPr>
        <w:t>7</w:t>
      </w:r>
      <w:r w:rsidRPr="00B6285A">
        <w:rPr>
          <w:rFonts w:eastAsia="Calibri" w:cs="Times New Roman"/>
          <w:color w:val="000000"/>
          <w:sz w:val="24"/>
          <w:szCs w:val="24"/>
        </w:rPr>
        <w:t>. tabulu</w:t>
      </w:r>
      <w:r w:rsidRPr="00B6285A">
        <w:rPr>
          <w:rFonts w:eastAsia="Times New Roman" w:cs="Times New Roman"/>
          <w:color w:val="000000"/>
          <w:sz w:val="24"/>
          <w:szCs w:val="28"/>
        </w:rPr>
        <w:t>) paredzēts līdz šā gada 30. aprīlim un par atbalsta nepieciešamību nākam</w:t>
      </w:r>
      <w:r>
        <w:rPr>
          <w:rFonts w:eastAsia="Times New Roman" w:cs="Times New Roman"/>
          <w:color w:val="000000"/>
          <w:sz w:val="24"/>
          <w:szCs w:val="28"/>
        </w:rPr>
        <w:t>a</w:t>
      </w:r>
      <w:r w:rsidRPr="00B6285A">
        <w:rPr>
          <w:rFonts w:eastAsia="Times New Roman" w:cs="Times New Roman"/>
          <w:color w:val="000000"/>
          <w:sz w:val="24"/>
          <w:szCs w:val="28"/>
        </w:rPr>
        <w:t xml:space="preserve">jā apkures sezonā valdība vēl lems, par prioritāti virzot mērķētāka atbalsta nodrošināšanu. Līdz ar </w:t>
      </w:r>
      <w:r>
        <w:rPr>
          <w:rFonts w:eastAsia="Times New Roman" w:cs="Times New Roman"/>
          <w:color w:val="000000"/>
          <w:sz w:val="24"/>
          <w:szCs w:val="28"/>
        </w:rPr>
        <w:t>t</w:t>
      </w:r>
      <w:r w:rsidRPr="00B6285A">
        <w:rPr>
          <w:rFonts w:eastAsia="Times New Roman" w:cs="Times New Roman"/>
          <w:color w:val="000000"/>
          <w:sz w:val="24"/>
          <w:szCs w:val="28"/>
        </w:rPr>
        <w:t xml:space="preserve">o šobrīd finansējums </w:t>
      </w:r>
      <w:proofErr w:type="spellStart"/>
      <w:r w:rsidRPr="00B6285A">
        <w:rPr>
          <w:rFonts w:eastAsia="Times New Roman" w:cs="Times New Roman"/>
          <w:color w:val="000000"/>
          <w:sz w:val="24"/>
          <w:szCs w:val="28"/>
        </w:rPr>
        <w:t>energoatbalstam</w:t>
      </w:r>
      <w:proofErr w:type="spellEnd"/>
      <w:r w:rsidRPr="00B6285A">
        <w:rPr>
          <w:rFonts w:eastAsia="Times New Roman" w:cs="Times New Roman"/>
          <w:color w:val="000000"/>
          <w:sz w:val="24"/>
          <w:szCs w:val="28"/>
        </w:rPr>
        <w:t xml:space="preserve"> 622 milj. </w:t>
      </w:r>
      <w:proofErr w:type="spellStart"/>
      <w:r w:rsidRPr="00B6285A">
        <w:rPr>
          <w:rFonts w:eastAsia="Times New Roman" w:cs="Times New Roman"/>
          <w:i/>
          <w:iCs/>
          <w:color w:val="000000"/>
          <w:sz w:val="24"/>
          <w:szCs w:val="28"/>
        </w:rPr>
        <w:t>euro</w:t>
      </w:r>
      <w:proofErr w:type="spellEnd"/>
      <w:r w:rsidRPr="00B6285A">
        <w:rPr>
          <w:rFonts w:eastAsia="Times New Roman" w:cs="Times New Roman"/>
          <w:color w:val="000000"/>
          <w:sz w:val="24"/>
          <w:szCs w:val="28"/>
        </w:rPr>
        <w:t xml:space="preserve"> apmērā ir paredzēts tikai 2023. gada budžetā.</w:t>
      </w:r>
    </w:p>
    <w:p w14:paraId="763C5C05" w14:textId="1044F674" w:rsidR="00B6285A" w:rsidRPr="00B6285A" w:rsidRDefault="00B6285A" w:rsidP="00B6285A">
      <w:pPr>
        <w:spacing w:after="120"/>
        <w:ind w:firstLine="0"/>
        <w:jc w:val="right"/>
        <w:rPr>
          <w:rFonts w:eastAsia="Times New Roman" w:cs="Times New Roman"/>
          <w:b/>
          <w:sz w:val="24"/>
          <w:szCs w:val="24"/>
        </w:rPr>
      </w:pPr>
      <w:r w:rsidRPr="00B6285A">
        <w:rPr>
          <w:rFonts w:eastAsia="Times New Roman" w:cs="Times New Roman"/>
          <w:b/>
          <w:sz w:val="24"/>
          <w:szCs w:val="24"/>
        </w:rPr>
        <w:t>3.</w:t>
      </w:r>
      <w:r w:rsidR="00BA03D2">
        <w:rPr>
          <w:rFonts w:eastAsia="Times New Roman" w:cs="Times New Roman"/>
          <w:b/>
          <w:sz w:val="24"/>
          <w:szCs w:val="24"/>
        </w:rPr>
        <w:t>7</w:t>
      </w:r>
      <w:r w:rsidRPr="00B6285A">
        <w:rPr>
          <w:rFonts w:eastAsia="Times New Roman" w:cs="Times New Roman"/>
          <w:b/>
          <w:sz w:val="24"/>
          <w:szCs w:val="24"/>
        </w:rPr>
        <w:t>. tabula.</w:t>
      </w:r>
      <w:r w:rsidRPr="00B6285A">
        <w:rPr>
          <w:rFonts w:ascii="Calibri" w:eastAsia="Times New Roman" w:hAnsi="Calibri" w:cs="Times New Roman"/>
          <w:sz w:val="22"/>
        </w:rPr>
        <w:t xml:space="preserve"> </w:t>
      </w:r>
      <w:r w:rsidRPr="00B6285A">
        <w:rPr>
          <w:rFonts w:eastAsia="Times New Roman" w:cs="Times New Roman"/>
          <w:b/>
          <w:sz w:val="24"/>
          <w:szCs w:val="24"/>
        </w:rPr>
        <w:t xml:space="preserve">Plānotais un izlietotais finansējums </w:t>
      </w:r>
      <w:proofErr w:type="spellStart"/>
      <w:r w:rsidRPr="00B6285A">
        <w:rPr>
          <w:rFonts w:eastAsia="Times New Roman" w:cs="Times New Roman"/>
          <w:b/>
          <w:sz w:val="24"/>
          <w:szCs w:val="24"/>
        </w:rPr>
        <w:t>energoatbalsta</w:t>
      </w:r>
      <w:proofErr w:type="spellEnd"/>
      <w:r w:rsidRPr="00B6285A">
        <w:rPr>
          <w:rFonts w:eastAsia="Times New Roman" w:cs="Times New Roman"/>
          <w:b/>
          <w:sz w:val="24"/>
          <w:szCs w:val="24"/>
        </w:rPr>
        <w:t xml:space="preserve"> pasākumiem,</w:t>
      </w:r>
      <w:r w:rsidRPr="00B6285A">
        <w:rPr>
          <w:rFonts w:eastAsia="Times New Roman" w:cs="Times New Roman"/>
          <w:b/>
          <w:sz w:val="24"/>
          <w:szCs w:val="24"/>
        </w:rPr>
        <w:br/>
        <w:t xml:space="preserve">milj. </w:t>
      </w:r>
      <w:proofErr w:type="spellStart"/>
      <w:r w:rsidRPr="00B6285A">
        <w:rPr>
          <w:rFonts w:eastAsia="Times New Roman" w:cs="Times New Roman"/>
          <w:b/>
          <w:i/>
          <w:sz w:val="24"/>
          <w:szCs w:val="24"/>
        </w:rPr>
        <w:t>euro</w:t>
      </w:r>
      <w:proofErr w:type="spellEnd"/>
    </w:p>
    <w:tbl>
      <w:tblPr>
        <w:tblW w:w="5000" w:type="pct"/>
        <w:tblLook w:val="04A0" w:firstRow="1" w:lastRow="0" w:firstColumn="1" w:lastColumn="0" w:noHBand="0" w:noVBand="1"/>
      </w:tblPr>
      <w:tblGrid>
        <w:gridCol w:w="5082"/>
        <w:gridCol w:w="819"/>
        <w:gridCol w:w="757"/>
        <w:gridCol w:w="850"/>
        <w:gridCol w:w="681"/>
        <w:gridCol w:w="872"/>
      </w:tblGrid>
      <w:tr w:rsidR="00B6285A" w:rsidRPr="00B6285A" w14:paraId="6525668C" w14:textId="77777777" w:rsidTr="00B6285A">
        <w:trPr>
          <w:trHeight w:val="50"/>
          <w:tblHeader/>
        </w:trPr>
        <w:tc>
          <w:tcPr>
            <w:tcW w:w="2804" w:type="pct"/>
            <w:vMerge w:val="restart"/>
            <w:tcBorders>
              <w:top w:val="single" w:sz="4" w:space="0" w:color="auto"/>
              <w:left w:val="single" w:sz="4" w:space="0" w:color="auto"/>
              <w:bottom w:val="single" w:sz="4" w:space="0" w:color="auto"/>
              <w:right w:val="single" w:sz="4" w:space="0" w:color="auto"/>
            </w:tcBorders>
            <w:shd w:val="clear" w:color="auto" w:fill="BDD6EE"/>
            <w:noWrap/>
            <w:vAlign w:val="center"/>
            <w:hideMark/>
          </w:tcPr>
          <w:p w14:paraId="04A31A31" w14:textId="77777777" w:rsidR="00B6285A" w:rsidRPr="00B6285A" w:rsidRDefault="00B6285A" w:rsidP="00B6285A">
            <w:pPr>
              <w:ind w:firstLine="0"/>
              <w:jc w:val="center"/>
              <w:rPr>
                <w:rFonts w:eastAsia="Times New Roman" w:cs="Times New Roman"/>
                <w:b/>
                <w:bCs/>
                <w:color w:val="000000"/>
                <w:sz w:val="22"/>
                <w:lang w:eastAsia="lv-LV"/>
              </w:rPr>
            </w:pPr>
            <w:r w:rsidRPr="00B6285A">
              <w:rPr>
                <w:rFonts w:eastAsia="Times New Roman" w:cs="Times New Roman"/>
                <w:b/>
                <w:bCs/>
                <w:color w:val="000000"/>
                <w:sz w:val="22"/>
                <w:lang w:eastAsia="lv-LV"/>
              </w:rPr>
              <w:t> </w:t>
            </w:r>
          </w:p>
        </w:tc>
        <w:tc>
          <w:tcPr>
            <w:tcW w:w="452" w:type="pct"/>
            <w:tcBorders>
              <w:top w:val="single" w:sz="4" w:space="0" w:color="auto"/>
              <w:left w:val="nil"/>
              <w:bottom w:val="single" w:sz="4" w:space="0" w:color="auto"/>
              <w:right w:val="single" w:sz="4" w:space="0" w:color="auto"/>
            </w:tcBorders>
            <w:shd w:val="clear" w:color="auto" w:fill="BDD6EE"/>
            <w:noWrap/>
            <w:vAlign w:val="bottom"/>
            <w:hideMark/>
          </w:tcPr>
          <w:p w14:paraId="00306C59" w14:textId="77777777" w:rsidR="00B6285A" w:rsidRPr="00B6285A" w:rsidRDefault="00B6285A" w:rsidP="00B6285A">
            <w:pPr>
              <w:ind w:firstLine="0"/>
              <w:jc w:val="center"/>
              <w:rPr>
                <w:rFonts w:eastAsia="Times New Roman" w:cs="Times New Roman"/>
                <w:b/>
                <w:bCs/>
                <w:color w:val="000000"/>
                <w:sz w:val="20"/>
                <w:szCs w:val="20"/>
                <w:lang w:eastAsia="lv-LV"/>
              </w:rPr>
            </w:pPr>
            <w:r w:rsidRPr="00B6285A">
              <w:rPr>
                <w:rFonts w:eastAsia="Times New Roman" w:cs="Times New Roman"/>
                <w:b/>
                <w:bCs/>
                <w:color w:val="000000"/>
                <w:sz w:val="20"/>
                <w:szCs w:val="20"/>
                <w:lang w:eastAsia="lv-LV"/>
              </w:rPr>
              <w:t>2021</w:t>
            </w:r>
          </w:p>
        </w:tc>
        <w:tc>
          <w:tcPr>
            <w:tcW w:w="887" w:type="pct"/>
            <w:gridSpan w:val="2"/>
            <w:tcBorders>
              <w:top w:val="single" w:sz="4" w:space="0" w:color="auto"/>
              <w:left w:val="nil"/>
              <w:bottom w:val="single" w:sz="4" w:space="0" w:color="auto"/>
              <w:right w:val="single" w:sz="4" w:space="0" w:color="auto"/>
            </w:tcBorders>
            <w:shd w:val="clear" w:color="auto" w:fill="BDD6EE"/>
            <w:noWrap/>
            <w:vAlign w:val="bottom"/>
            <w:hideMark/>
          </w:tcPr>
          <w:p w14:paraId="5CB93BB1" w14:textId="77777777" w:rsidR="00B6285A" w:rsidRPr="00B6285A" w:rsidRDefault="00B6285A" w:rsidP="00B6285A">
            <w:pPr>
              <w:ind w:firstLine="0"/>
              <w:jc w:val="center"/>
              <w:rPr>
                <w:rFonts w:eastAsia="Times New Roman" w:cs="Times New Roman"/>
                <w:b/>
                <w:bCs/>
                <w:color w:val="000000"/>
                <w:sz w:val="20"/>
                <w:szCs w:val="20"/>
                <w:lang w:eastAsia="lv-LV"/>
              </w:rPr>
            </w:pPr>
            <w:r w:rsidRPr="00B6285A">
              <w:rPr>
                <w:rFonts w:eastAsia="Times New Roman" w:cs="Times New Roman"/>
                <w:b/>
                <w:bCs/>
                <w:color w:val="000000"/>
                <w:sz w:val="20"/>
                <w:szCs w:val="20"/>
                <w:lang w:eastAsia="lv-LV"/>
              </w:rPr>
              <w:t>2022</w:t>
            </w:r>
          </w:p>
        </w:tc>
        <w:tc>
          <w:tcPr>
            <w:tcW w:w="857" w:type="pct"/>
            <w:gridSpan w:val="2"/>
            <w:tcBorders>
              <w:top w:val="single" w:sz="4" w:space="0" w:color="auto"/>
              <w:left w:val="nil"/>
              <w:bottom w:val="single" w:sz="4" w:space="0" w:color="auto"/>
              <w:right w:val="single" w:sz="4" w:space="0" w:color="auto"/>
            </w:tcBorders>
            <w:shd w:val="clear" w:color="auto" w:fill="BDD6EE"/>
            <w:noWrap/>
            <w:vAlign w:val="bottom"/>
            <w:hideMark/>
          </w:tcPr>
          <w:p w14:paraId="4933D955" w14:textId="77777777" w:rsidR="00B6285A" w:rsidRPr="00B6285A" w:rsidRDefault="00B6285A" w:rsidP="00B6285A">
            <w:pPr>
              <w:ind w:firstLine="0"/>
              <w:jc w:val="center"/>
              <w:rPr>
                <w:rFonts w:eastAsia="Times New Roman" w:cs="Times New Roman"/>
                <w:b/>
                <w:bCs/>
                <w:color w:val="000000"/>
                <w:sz w:val="20"/>
                <w:szCs w:val="20"/>
                <w:lang w:eastAsia="lv-LV"/>
              </w:rPr>
            </w:pPr>
            <w:r w:rsidRPr="00B6285A">
              <w:rPr>
                <w:rFonts w:eastAsia="Times New Roman" w:cs="Times New Roman"/>
                <w:b/>
                <w:bCs/>
                <w:color w:val="000000"/>
                <w:sz w:val="20"/>
                <w:szCs w:val="20"/>
                <w:lang w:eastAsia="lv-LV"/>
              </w:rPr>
              <w:t>2023</w:t>
            </w:r>
          </w:p>
        </w:tc>
      </w:tr>
      <w:tr w:rsidR="00B6285A" w:rsidRPr="00B6285A" w14:paraId="4B062FCE" w14:textId="77777777" w:rsidTr="00B6285A">
        <w:trPr>
          <w:trHeight w:val="50"/>
          <w:tblHeader/>
        </w:trPr>
        <w:tc>
          <w:tcPr>
            <w:tcW w:w="2804" w:type="pct"/>
            <w:vMerge/>
            <w:tcBorders>
              <w:top w:val="single" w:sz="4" w:space="0" w:color="auto"/>
              <w:left w:val="single" w:sz="4" w:space="0" w:color="auto"/>
              <w:bottom w:val="single" w:sz="4" w:space="0" w:color="auto"/>
              <w:right w:val="single" w:sz="4" w:space="0" w:color="auto"/>
            </w:tcBorders>
            <w:shd w:val="clear" w:color="auto" w:fill="BDD6EE"/>
            <w:vAlign w:val="center"/>
            <w:hideMark/>
          </w:tcPr>
          <w:p w14:paraId="66DBEC70" w14:textId="77777777" w:rsidR="00B6285A" w:rsidRPr="00B6285A" w:rsidRDefault="00B6285A" w:rsidP="00B6285A">
            <w:pPr>
              <w:ind w:firstLine="0"/>
              <w:jc w:val="left"/>
              <w:rPr>
                <w:rFonts w:eastAsia="Times New Roman" w:cs="Times New Roman"/>
                <w:b/>
                <w:bCs/>
                <w:color w:val="000000"/>
                <w:sz w:val="22"/>
                <w:lang w:eastAsia="lv-LV"/>
              </w:rPr>
            </w:pPr>
          </w:p>
        </w:tc>
        <w:tc>
          <w:tcPr>
            <w:tcW w:w="452" w:type="pct"/>
            <w:tcBorders>
              <w:top w:val="nil"/>
              <w:left w:val="nil"/>
              <w:bottom w:val="single" w:sz="4" w:space="0" w:color="auto"/>
              <w:right w:val="single" w:sz="4" w:space="0" w:color="auto"/>
            </w:tcBorders>
            <w:shd w:val="clear" w:color="auto" w:fill="BDD6EE"/>
            <w:noWrap/>
            <w:vAlign w:val="center"/>
            <w:hideMark/>
          </w:tcPr>
          <w:p w14:paraId="1E0A6DE4" w14:textId="77777777" w:rsidR="00B6285A" w:rsidRPr="00B6285A" w:rsidRDefault="00B6285A" w:rsidP="00B6285A">
            <w:pPr>
              <w:ind w:firstLine="0"/>
              <w:jc w:val="center"/>
              <w:rPr>
                <w:rFonts w:eastAsia="Times New Roman" w:cs="Times New Roman"/>
                <w:color w:val="000000"/>
                <w:sz w:val="20"/>
                <w:szCs w:val="20"/>
                <w:lang w:eastAsia="lv-LV"/>
              </w:rPr>
            </w:pPr>
            <w:r w:rsidRPr="00B6285A">
              <w:rPr>
                <w:rFonts w:eastAsia="Times New Roman" w:cs="Times New Roman"/>
                <w:color w:val="000000"/>
                <w:sz w:val="20"/>
                <w:szCs w:val="20"/>
                <w:lang w:eastAsia="lv-LV"/>
              </w:rPr>
              <w:t>Izpilde</w:t>
            </w:r>
          </w:p>
        </w:tc>
        <w:tc>
          <w:tcPr>
            <w:tcW w:w="418" w:type="pct"/>
            <w:tcBorders>
              <w:top w:val="nil"/>
              <w:left w:val="nil"/>
              <w:bottom w:val="single" w:sz="4" w:space="0" w:color="auto"/>
              <w:right w:val="single" w:sz="4" w:space="0" w:color="auto"/>
            </w:tcBorders>
            <w:shd w:val="clear" w:color="auto" w:fill="BDD6EE"/>
            <w:noWrap/>
            <w:vAlign w:val="bottom"/>
            <w:hideMark/>
          </w:tcPr>
          <w:p w14:paraId="11267835" w14:textId="77777777" w:rsidR="00B6285A" w:rsidRPr="00B6285A" w:rsidRDefault="00B6285A" w:rsidP="00B6285A">
            <w:pPr>
              <w:ind w:firstLine="0"/>
              <w:jc w:val="center"/>
              <w:rPr>
                <w:rFonts w:eastAsia="Times New Roman" w:cs="Times New Roman"/>
                <w:color w:val="000000"/>
                <w:sz w:val="20"/>
                <w:szCs w:val="20"/>
                <w:lang w:eastAsia="lv-LV"/>
              </w:rPr>
            </w:pPr>
            <w:r w:rsidRPr="00B6285A">
              <w:rPr>
                <w:rFonts w:eastAsia="Times New Roman" w:cs="Times New Roman"/>
                <w:color w:val="000000"/>
                <w:sz w:val="20"/>
                <w:szCs w:val="20"/>
                <w:lang w:eastAsia="lv-LV"/>
              </w:rPr>
              <w:t>Plāns</w:t>
            </w:r>
          </w:p>
        </w:tc>
        <w:tc>
          <w:tcPr>
            <w:tcW w:w="469" w:type="pct"/>
            <w:tcBorders>
              <w:top w:val="nil"/>
              <w:left w:val="nil"/>
              <w:bottom w:val="single" w:sz="4" w:space="0" w:color="auto"/>
              <w:right w:val="single" w:sz="4" w:space="0" w:color="auto"/>
            </w:tcBorders>
            <w:shd w:val="clear" w:color="auto" w:fill="BDD6EE"/>
            <w:noWrap/>
            <w:vAlign w:val="bottom"/>
            <w:hideMark/>
          </w:tcPr>
          <w:p w14:paraId="0BDE3B76" w14:textId="77777777" w:rsidR="00B6285A" w:rsidRPr="00B6285A" w:rsidRDefault="00B6285A" w:rsidP="00B6285A">
            <w:pPr>
              <w:ind w:firstLine="0"/>
              <w:jc w:val="center"/>
              <w:rPr>
                <w:rFonts w:eastAsia="Times New Roman" w:cs="Times New Roman"/>
                <w:color w:val="000000"/>
                <w:sz w:val="20"/>
                <w:szCs w:val="20"/>
                <w:lang w:eastAsia="lv-LV"/>
              </w:rPr>
            </w:pPr>
            <w:r w:rsidRPr="00B6285A">
              <w:rPr>
                <w:rFonts w:eastAsia="Times New Roman" w:cs="Times New Roman"/>
                <w:color w:val="000000"/>
                <w:sz w:val="20"/>
                <w:szCs w:val="20"/>
                <w:lang w:eastAsia="lv-LV"/>
              </w:rPr>
              <w:t>Izpilde</w:t>
            </w:r>
          </w:p>
        </w:tc>
        <w:tc>
          <w:tcPr>
            <w:tcW w:w="376" w:type="pct"/>
            <w:tcBorders>
              <w:top w:val="nil"/>
              <w:left w:val="nil"/>
              <w:bottom w:val="single" w:sz="4" w:space="0" w:color="auto"/>
              <w:right w:val="single" w:sz="4" w:space="0" w:color="auto"/>
            </w:tcBorders>
            <w:shd w:val="clear" w:color="auto" w:fill="BDD6EE"/>
            <w:noWrap/>
            <w:vAlign w:val="bottom"/>
            <w:hideMark/>
          </w:tcPr>
          <w:p w14:paraId="679BC5CD" w14:textId="77777777" w:rsidR="00B6285A" w:rsidRPr="00B6285A" w:rsidRDefault="00B6285A" w:rsidP="00B6285A">
            <w:pPr>
              <w:ind w:firstLine="0"/>
              <w:jc w:val="center"/>
              <w:rPr>
                <w:rFonts w:eastAsia="Times New Roman" w:cs="Times New Roman"/>
                <w:color w:val="000000"/>
                <w:sz w:val="20"/>
                <w:szCs w:val="20"/>
                <w:lang w:eastAsia="lv-LV"/>
              </w:rPr>
            </w:pPr>
            <w:r w:rsidRPr="00B6285A">
              <w:rPr>
                <w:rFonts w:eastAsia="Times New Roman" w:cs="Times New Roman"/>
                <w:color w:val="000000"/>
                <w:sz w:val="20"/>
                <w:szCs w:val="20"/>
                <w:lang w:eastAsia="lv-LV"/>
              </w:rPr>
              <w:t>Plāns</w:t>
            </w:r>
          </w:p>
        </w:tc>
        <w:tc>
          <w:tcPr>
            <w:tcW w:w="481" w:type="pct"/>
            <w:tcBorders>
              <w:top w:val="nil"/>
              <w:left w:val="nil"/>
              <w:bottom w:val="single" w:sz="4" w:space="0" w:color="auto"/>
              <w:right w:val="single" w:sz="4" w:space="0" w:color="auto"/>
            </w:tcBorders>
            <w:shd w:val="clear" w:color="auto" w:fill="BDD6EE"/>
            <w:noWrap/>
            <w:vAlign w:val="bottom"/>
            <w:hideMark/>
          </w:tcPr>
          <w:p w14:paraId="5E00428E" w14:textId="77777777" w:rsidR="00B6285A" w:rsidRPr="00B6285A" w:rsidRDefault="00B6285A" w:rsidP="00B6285A">
            <w:pPr>
              <w:ind w:firstLine="0"/>
              <w:jc w:val="center"/>
              <w:rPr>
                <w:rFonts w:eastAsia="Times New Roman" w:cs="Times New Roman"/>
                <w:color w:val="000000"/>
                <w:sz w:val="20"/>
                <w:szCs w:val="20"/>
                <w:lang w:eastAsia="lv-LV"/>
              </w:rPr>
            </w:pPr>
            <w:r w:rsidRPr="00B6285A">
              <w:rPr>
                <w:rFonts w:eastAsia="Times New Roman" w:cs="Times New Roman"/>
                <w:color w:val="000000"/>
                <w:sz w:val="20"/>
                <w:szCs w:val="20"/>
                <w:lang w:eastAsia="lv-LV"/>
              </w:rPr>
              <w:t>Izpilde</w:t>
            </w:r>
            <w:r w:rsidRPr="00B6285A">
              <w:rPr>
                <w:rFonts w:ascii="Garamond" w:eastAsia="Times New Roman" w:hAnsi="Garamond" w:cs="Times New Roman"/>
                <w:color w:val="000000"/>
                <w:sz w:val="20"/>
                <w:szCs w:val="20"/>
                <w:vertAlign w:val="superscript"/>
                <w:lang w:eastAsia="lv-LV"/>
              </w:rPr>
              <w:footnoteReference w:id="7"/>
            </w:r>
          </w:p>
        </w:tc>
      </w:tr>
      <w:tr w:rsidR="00B6285A" w:rsidRPr="00B6285A" w14:paraId="0E7FC7DE" w14:textId="77777777" w:rsidTr="00B6285A">
        <w:trPr>
          <w:trHeight w:val="50"/>
        </w:trPr>
        <w:tc>
          <w:tcPr>
            <w:tcW w:w="2804" w:type="pct"/>
            <w:tcBorders>
              <w:top w:val="nil"/>
              <w:left w:val="single" w:sz="4" w:space="0" w:color="auto"/>
              <w:bottom w:val="single" w:sz="4" w:space="0" w:color="auto"/>
              <w:right w:val="single" w:sz="4" w:space="0" w:color="auto"/>
            </w:tcBorders>
            <w:shd w:val="clear" w:color="auto" w:fill="DEEAF6"/>
            <w:vAlign w:val="center"/>
            <w:hideMark/>
          </w:tcPr>
          <w:p w14:paraId="4764D318" w14:textId="77777777" w:rsidR="00B6285A" w:rsidRPr="00B6285A" w:rsidRDefault="00B6285A" w:rsidP="00B6285A">
            <w:pPr>
              <w:ind w:firstLine="0"/>
              <w:rPr>
                <w:rFonts w:eastAsia="Times New Roman" w:cs="Times New Roman"/>
                <w:b/>
                <w:bCs/>
                <w:color w:val="000000"/>
                <w:sz w:val="20"/>
                <w:szCs w:val="20"/>
                <w:lang w:eastAsia="lv-LV"/>
              </w:rPr>
            </w:pPr>
            <w:r w:rsidRPr="00B6285A">
              <w:rPr>
                <w:rFonts w:eastAsia="Times New Roman" w:cs="Times New Roman"/>
                <w:b/>
                <w:bCs/>
                <w:color w:val="000000"/>
                <w:sz w:val="20"/>
                <w:szCs w:val="20"/>
                <w:lang w:eastAsia="lv-LV"/>
              </w:rPr>
              <w:t>Kompensējošie pasākumi cenu pieauguma samazināšanai</w:t>
            </w:r>
          </w:p>
        </w:tc>
        <w:tc>
          <w:tcPr>
            <w:tcW w:w="452" w:type="pct"/>
            <w:tcBorders>
              <w:top w:val="nil"/>
              <w:left w:val="nil"/>
              <w:bottom w:val="single" w:sz="4" w:space="0" w:color="auto"/>
              <w:right w:val="single" w:sz="4" w:space="0" w:color="auto"/>
            </w:tcBorders>
            <w:shd w:val="clear" w:color="auto" w:fill="DEEAF6"/>
            <w:noWrap/>
            <w:vAlign w:val="center"/>
            <w:hideMark/>
          </w:tcPr>
          <w:p w14:paraId="020310B8" w14:textId="77777777" w:rsidR="00B6285A" w:rsidRPr="00B6285A" w:rsidRDefault="00B6285A" w:rsidP="00B6285A">
            <w:pPr>
              <w:ind w:firstLine="0"/>
              <w:jc w:val="right"/>
              <w:rPr>
                <w:rFonts w:eastAsia="Times New Roman" w:cs="Times New Roman"/>
                <w:b/>
                <w:bCs/>
                <w:color w:val="000000"/>
                <w:sz w:val="20"/>
                <w:szCs w:val="20"/>
                <w:lang w:eastAsia="lv-LV"/>
              </w:rPr>
            </w:pPr>
            <w:r w:rsidRPr="00B6285A">
              <w:rPr>
                <w:rFonts w:eastAsia="Times New Roman" w:cs="Times New Roman"/>
                <w:b/>
                <w:bCs/>
                <w:color w:val="000000"/>
                <w:sz w:val="20"/>
                <w:szCs w:val="20"/>
                <w:lang w:eastAsia="lv-LV"/>
              </w:rPr>
              <w:t>1,9</w:t>
            </w:r>
          </w:p>
        </w:tc>
        <w:tc>
          <w:tcPr>
            <w:tcW w:w="418" w:type="pct"/>
            <w:tcBorders>
              <w:top w:val="nil"/>
              <w:left w:val="nil"/>
              <w:bottom w:val="single" w:sz="4" w:space="0" w:color="auto"/>
              <w:right w:val="single" w:sz="4" w:space="0" w:color="auto"/>
            </w:tcBorders>
            <w:shd w:val="clear" w:color="auto" w:fill="DEEAF6"/>
            <w:noWrap/>
            <w:vAlign w:val="center"/>
            <w:hideMark/>
          </w:tcPr>
          <w:p w14:paraId="4AA523E2" w14:textId="77777777" w:rsidR="00B6285A" w:rsidRPr="00B6285A" w:rsidRDefault="00B6285A" w:rsidP="00B6285A">
            <w:pPr>
              <w:ind w:firstLine="0"/>
              <w:jc w:val="right"/>
              <w:rPr>
                <w:rFonts w:eastAsia="Times New Roman" w:cs="Times New Roman"/>
                <w:b/>
                <w:bCs/>
                <w:color w:val="000000"/>
                <w:sz w:val="20"/>
                <w:szCs w:val="20"/>
                <w:lang w:eastAsia="lv-LV"/>
              </w:rPr>
            </w:pPr>
            <w:r w:rsidRPr="00B6285A">
              <w:rPr>
                <w:rFonts w:eastAsia="Times New Roman" w:cs="Times New Roman"/>
                <w:b/>
                <w:bCs/>
                <w:color w:val="000000"/>
                <w:sz w:val="20"/>
                <w:szCs w:val="20"/>
                <w:lang w:eastAsia="lv-LV"/>
              </w:rPr>
              <w:t>571,1</w:t>
            </w:r>
          </w:p>
        </w:tc>
        <w:tc>
          <w:tcPr>
            <w:tcW w:w="469" w:type="pct"/>
            <w:tcBorders>
              <w:top w:val="nil"/>
              <w:left w:val="nil"/>
              <w:bottom w:val="single" w:sz="4" w:space="0" w:color="auto"/>
              <w:right w:val="single" w:sz="4" w:space="0" w:color="auto"/>
            </w:tcBorders>
            <w:shd w:val="clear" w:color="auto" w:fill="DEEAF6"/>
            <w:noWrap/>
            <w:vAlign w:val="center"/>
            <w:hideMark/>
          </w:tcPr>
          <w:p w14:paraId="3C5E620E" w14:textId="77777777" w:rsidR="00B6285A" w:rsidRPr="00B6285A" w:rsidRDefault="00B6285A" w:rsidP="00B6285A">
            <w:pPr>
              <w:ind w:firstLine="0"/>
              <w:jc w:val="right"/>
              <w:rPr>
                <w:rFonts w:eastAsia="Times New Roman" w:cs="Times New Roman"/>
                <w:b/>
                <w:bCs/>
                <w:color w:val="000000"/>
                <w:sz w:val="20"/>
                <w:szCs w:val="20"/>
                <w:lang w:eastAsia="lv-LV"/>
              </w:rPr>
            </w:pPr>
            <w:r w:rsidRPr="00B6285A">
              <w:rPr>
                <w:rFonts w:eastAsia="Times New Roman" w:cs="Times New Roman"/>
                <w:b/>
                <w:bCs/>
                <w:color w:val="000000"/>
                <w:sz w:val="20"/>
                <w:szCs w:val="20"/>
                <w:lang w:eastAsia="lv-LV"/>
              </w:rPr>
              <w:t>339,6</w:t>
            </w:r>
          </w:p>
        </w:tc>
        <w:tc>
          <w:tcPr>
            <w:tcW w:w="376" w:type="pct"/>
            <w:tcBorders>
              <w:top w:val="nil"/>
              <w:left w:val="nil"/>
              <w:bottom w:val="single" w:sz="4" w:space="0" w:color="auto"/>
              <w:right w:val="single" w:sz="4" w:space="0" w:color="auto"/>
            </w:tcBorders>
            <w:shd w:val="clear" w:color="auto" w:fill="DEEAF6"/>
            <w:noWrap/>
            <w:vAlign w:val="center"/>
            <w:hideMark/>
          </w:tcPr>
          <w:p w14:paraId="0BE49279" w14:textId="77777777" w:rsidR="00B6285A" w:rsidRPr="00B6285A" w:rsidRDefault="00B6285A" w:rsidP="00B6285A">
            <w:pPr>
              <w:ind w:firstLine="0"/>
              <w:jc w:val="right"/>
              <w:rPr>
                <w:rFonts w:eastAsia="Times New Roman" w:cs="Times New Roman"/>
                <w:b/>
                <w:bCs/>
                <w:color w:val="000000"/>
                <w:sz w:val="20"/>
                <w:szCs w:val="20"/>
                <w:lang w:eastAsia="lv-LV"/>
              </w:rPr>
            </w:pPr>
            <w:r w:rsidRPr="00B6285A">
              <w:rPr>
                <w:rFonts w:eastAsia="Times New Roman" w:cs="Times New Roman"/>
                <w:b/>
                <w:bCs/>
                <w:color w:val="000000"/>
                <w:sz w:val="20"/>
                <w:szCs w:val="20"/>
                <w:lang w:eastAsia="lv-LV"/>
              </w:rPr>
              <w:t>547,0</w:t>
            </w:r>
          </w:p>
        </w:tc>
        <w:tc>
          <w:tcPr>
            <w:tcW w:w="481" w:type="pct"/>
            <w:tcBorders>
              <w:top w:val="nil"/>
              <w:left w:val="nil"/>
              <w:bottom w:val="single" w:sz="4" w:space="0" w:color="auto"/>
              <w:right w:val="single" w:sz="4" w:space="0" w:color="auto"/>
            </w:tcBorders>
            <w:shd w:val="clear" w:color="auto" w:fill="DEEAF6"/>
            <w:noWrap/>
            <w:vAlign w:val="center"/>
            <w:hideMark/>
          </w:tcPr>
          <w:p w14:paraId="5AD3E833" w14:textId="77777777" w:rsidR="00B6285A" w:rsidRPr="00B6285A" w:rsidRDefault="00B6285A" w:rsidP="00B6285A">
            <w:pPr>
              <w:ind w:firstLine="0"/>
              <w:jc w:val="right"/>
              <w:rPr>
                <w:rFonts w:eastAsia="Times New Roman" w:cs="Times New Roman"/>
                <w:b/>
                <w:bCs/>
                <w:color w:val="000000"/>
                <w:sz w:val="20"/>
                <w:szCs w:val="20"/>
                <w:lang w:eastAsia="lv-LV"/>
              </w:rPr>
            </w:pPr>
            <w:r w:rsidRPr="00B6285A">
              <w:rPr>
                <w:rFonts w:eastAsia="Times New Roman" w:cs="Times New Roman"/>
                <w:b/>
                <w:bCs/>
                <w:color w:val="000000"/>
                <w:sz w:val="20"/>
                <w:szCs w:val="20"/>
                <w:lang w:eastAsia="lv-LV"/>
              </w:rPr>
              <w:t>177,4</w:t>
            </w:r>
          </w:p>
        </w:tc>
      </w:tr>
      <w:tr w:rsidR="00B6285A" w:rsidRPr="00B6285A" w14:paraId="321475E9" w14:textId="77777777" w:rsidTr="00143408">
        <w:trPr>
          <w:trHeight w:val="290"/>
        </w:trPr>
        <w:tc>
          <w:tcPr>
            <w:tcW w:w="2804" w:type="pct"/>
            <w:tcBorders>
              <w:top w:val="nil"/>
              <w:left w:val="single" w:sz="4" w:space="0" w:color="auto"/>
              <w:bottom w:val="single" w:sz="4" w:space="0" w:color="auto"/>
              <w:right w:val="single" w:sz="4" w:space="0" w:color="auto"/>
            </w:tcBorders>
            <w:shd w:val="clear" w:color="auto" w:fill="auto"/>
            <w:vAlign w:val="center"/>
            <w:hideMark/>
          </w:tcPr>
          <w:p w14:paraId="5723533C" w14:textId="77777777" w:rsidR="00B6285A" w:rsidRPr="00B6285A" w:rsidRDefault="00B6285A" w:rsidP="00B6285A">
            <w:pPr>
              <w:ind w:firstLine="0"/>
              <w:rPr>
                <w:rFonts w:eastAsia="Times New Roman" w:cs="Times New Roman"/>
                <w:color w:val="000000"/>
                <w:sz w:val="20"/>
                <w:szCs w:val="20"/>
                <w:lang w:eastAsia="lv-LV"/>
              </w:rPr>
            </w:pPr>
            <w:r w:rsidRPr="00B6285A">
              <w:rPr>
                <w:rFonts w:eastAsia="Times New Roman" w:cs="Times New Roman"/>
                <w:color w:val="000000"/>
                <w:sz w:val="20"/>
                <w:szCs w:val="20"/>
                <w:lang w:eastAsia="lv-LV"/>
              </w:rPr>
              <w:t>Elektroenerģijas sistēmas pakalpojuma maksas kompensācija 50% (2021.gada decembrī) apmērā un pilnā apmērā visiem galalietotājiem līdz no 2022.gada 1.janvāra līdz 2022.gada 30.aprīlim</w:t>
            </w:r>
          </w:p>
        </w:tc>
        <w:tc>
          <w:tcPr>
            <w:tcW w:w="452" w:type="pct"/>
            <w:tcBorders>
              <w:top w:val="nil"/>
              <w:left w:val="nil"/>
              <w:bottom w:val="single" w:sz="4" w:space="0" w:color="auto"/>
              <w:right w:val="single" w:sz="4" w:space="0" w:color="auto"/>
            </w:tcBorders>
            <w:shd w:val="clear" w:color="auto" w:fill="auto"/>
            <w:noWrap/>
            <w:vAlign w:val="center"/>
            <w:hideMark/>
          </w:tcPr>
          <w:p w14:paraId="013CF87F"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w:t>
            </w:r>
          </w:p>
        </w:tc>
        <w:tc>
          <w:tcPr>
            <w:tcW w:w="418" w:type="pct"/>
            <w:tcBorders>
              <w:top w:val="nil"/>
              <w:left w:val="nil"/>
              <w:bottom w:val="single" w:sz="4" w:space="0" w:color="auto"/>
              <w:right w:val="single" w:sz="4" w:space="0" w:color="auto"/>
            </w:tcBorders>
            <w:shd w:val="clear" w:color="auto" w:fill="auto"/>
            <w:noWrap/>
            <w:vAlign w:val="center"/>
            <w:hideMark/>
          </w:tcPr>
          <w:p w14:paraId="1B15CF7E"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141,4</w:t>
            </w:r>
          </w:p>
        </w:tc>
        <w:tc>
          <w:tcPr>
            <w:tcW w:w="469" w:type="pct"/>
            <w:tcBorders>
              <w:top w:val="nil"/>
              <w:left w:val="nil"/>
              <w:bottom w:val="single" w:sz="4" w:space="0" w:color="auto"/>
              <w:right w:val="single" w:sz="4" w:space="0" w:color="auto"/>
            </w:tcBorders>
            <w:shd w:val="clear" w:color="auto" w:fill="auto"/>
            <w:noWrap/>
            <w:vAlign w:val="center"/>
            <w:hideMark/>
          </w:tcPr>
          <w:p w14:paraId="2EC5E6D3"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134,7</w:t>
            </w:r>
          </w:p>
        </w:tc>
        <w:tc>
          <w:tcPr>
            <w:tcW w:w="376" w:type="pct"/>
            <w:tcBorders>
              <w:top w:val="nil"/>
              <w:left w:val="nil"/>
              <w:bottom w:val="single" w:sz="4" w:space="0" w:color="auto"/>
              <w:right w:val="single" w:sz="4" w:space="0" w:color="auto"/>
            </w:tcBorders>
            <w:shd w:val="clear" w:color="auto" w:fill="auto"/>
            <w:noWrap/>
            <w:vAlign w:val="center"/>
            <w:hideMark/>
          </w:tcPr>
          <w:p w14:paraId="7934E7A8"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w:t>
            </w:r>
          </w:p>
        </w:tc>
        <w:tc>
          <w:tcPr>
            <w:tcW w:w="481" w:type="pct"/>
            <w:tcBorders>
              <w:top w:val="nil"/>
              <w:left w:val="nil"/>
              <w:bottom w:val="single" w:sz="4" w:space="0" w:color="auto"/>
              <w:right w:val="single" w:sz="4" w:space="0" w:color="auto"/>
            </w:tcBorders>
            <w:shd w:val="clear" w:color="auto" w:fill="auto"/>
            <w:noWrap/>
            <w:vAlign w:val="center"/>
            <w:hideMark/>
          </w:tcPr>
          <w:p w14:paraId="7DA806A9"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w:t>
            </w:r>
          </w:p>
        </w:tc>
      </w:tr>
      <w:tr w:rsidR="00B6285A" w:rsidRPr="00B6285A" w14:paraId="54A4661B" w14:textId="77777777" w:rsidTr="00143408">
        <w:trPr>
          <w:trHeight w:val="290"/>
        </w:trPr>
        <w:tc>
          <w:tcPr>
            <w:tcW w:w="2804" w:type="pct"/>
            <w:tcBorders>
              <w:top w:val="nil"/>
              <w:left w:val="single" w:sz="4" w:space="0" w:color="auto"/>
              <w:bottom w:val="single" w:sz="4" w:space="0" w:color="auto"/>
              <w:right w:val="single" w:sz="4" w:space="0" w:color="auto"/>
            </w:tcBorders>
            <w:shd w:val="clear" w:color="auto" w:fill="auto"/>
            <w:vAlign w:val="center"/>
            <w:hideMark/>
          </w:tcPr>
          <w:p w14:paraId="55FC3081" w14:textId="77777777" w:rsidR="00B6285A" w:rsidRPr="00B6285A" w:rsidRDefault="00B6285A" w:rsidP="00B6285A">
            <w:pPr>
              <w:ind w:firstLine="0"/>
              <w:rPr>
                <w:rFonts w:eastAsia="Times New Roman" w:cs="Times New Roman"/>
                <w:color w:val="000000"/>
                <w:sz w:val="20"/>
                <w:szCs w:val="20"/>
                <w:lang w:eastAsia="lv-LV"/>
              </w:rPr>
            </w:pPr>
            <w:r w:rsidRPr="00B6285A">
              <w:rPr>
                <w:rFonts w:eastAsia="Times New Roman" w:cs="Times New Roman"/>
                <w:color w:val="000000"/>
                <w:sz w:val="20"/>
                <w:szCs w:val="20"/>
                <w:lang w:eastAsia="lv-LV"/>
              </w:rPr>
              <w:t>Atbalsta aizsargātajiem lietotājiem paaugstināšana par 10 </w:t>
            </w:r>
            <w:proofErr w:type="spellStart"/>
            <w:r w:rsidRPr="00B6285A">
              <w:rPr>
                <w:rFonts w:eastAsia="Times New Roman" w:cs="Times New Roman"/>
                <w:i/>
                <w:iCs/>
                <w:color w:val="000000"/>
                <w:sz w:val="20"/>
                <w:szCs w:val="20"/>
                <w:lang w:eastAsia="lv-LV"/>
              </w:rPr>
              <w:t>euro</w:t>
            </w:r>
            <w:proofErr w:type="spellEnd"/>
            <w:r w:rsidRPr="00B6285A">
              <w:rPr>
                <w:rFonts w:eastAsia="Times New Roman" w:cs="Times New Roman"/>
                <w:color w:val="000000"/>
                <w:sz w:val="20"/>
                <w:szCs w:val="20"/>
                <w:lang w:eastAsia="lv-LV"/>
              </w:rPr>
              <w:t xml:space="preserve"> laika posmā no 2021.gada 1.novembra līdz 2022.gada 31.decembrim</w:t>
            </w:r>
          </w:p>
        </w:tc>
        <w:tc>
          <w:tcPr>
            <w:tcW w:w="452" w:type="pct"/>
            <w:tcBorders>
              <w:top w:val="nil"/>
              <w:left w:val="nil"/>
              <w:bottom w:val="single" w:sz="4" w:space="0" w:color="auto"/>
              <w:right w:val="single" w:sz="4" w:space="0" w:color="auto"/>
            </w:tcBorders>
            <w:shd w:val="clear" w:color="auto" w:fill="auto"/>
            <w:noWrap/>
            <w:vAlign w:val="center"/>
            <w:hideMark/>
          </w:tcPr>
          <w:p w14:paraId="46DD9BEE"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1,9</w:t>
            </w:r>
          </w:p>
        </w:tc>
        <w:tc>
          <w:tcPr>
            <w:tcW w:w="418" w:type="pct"/>
            <w:tcBorders>
              <w:top w:val="nil"/>
              <w:left w:val="nil"/>
              <w:bottom w:val="single" w:sz="4" w:space="0" w:color="auto"/>
              <w:right w:val="single" w:sz="4" w:space="0" w:color="auto"/>
            </w:tcBorders>
            <w:shd w:val="clear" w:color="auto" w:fill="auto"/>
            <w:noWrap/>
            <w:vAlign w:val="center"/>
            <w:hideMark/>
          </w:tcPr>
          <w:p w14:paraId="3EB3D5D9"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17,5</w:t>
            </w:r>
          </w:p>
        </w:tc>
        <w:tc>
          <w:tcPr>
            <w:tcW w:w="469" w:type="pct"/>
            <w:tcBorders>
              <w:top w:val="nil"/>
              <w:left w:val="nil"/>
              <w:bottom w:val="single" w:sz="4" w:space="0" w:color="auto"/>
              <w:right w:val="single" w:sz="4" w:space="0" w:color="auto"/>
            </w:tcBorders>
            <w:shd w:val="clear" w:color="auto" w:fill="auto"/>
            <w:noWrap/>
            <w:vAlign w:val="center"/>
            <w:hideMark/>
          </w:tcPr>
          <w:p w14:paraId="141FBE40"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12,7</w:t>
            </w:r>
          </w:p>
        </w:tc>
        <w:tc>
          <w:tcPr>
            <w:tcW w:w="376" w:type="pct"/>
            <w:tcBorders>
              <w:top w:val="nil"/>
              <w:left w:val="nil"/>
              <w:bottom w:val="single" w:sz="4" w:space="0" w:color="auto"/>
              <w:right w:val="single" w:sz="4" w:space="0" w:color="auto"/>
            </w:tcBorders>
            <w:shd w:val="clear" w:color="auto" w:fill="auto"/>
            <w:noWrap/>
            <w:vAlign w:val="center"/>
            <w:hideMark/>
          </w:tcPr>
          <w:p w14:paraId="20D25D9E"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w:t>
            </w:r>
          </w:p>
        </w:tc>
        <w:tc>
          <w:tcPr>
            <w:tcW w:w="481" w:type="pct"/>
            <w:tcBorders>
              <w:top w:val="nil"/>
              <w:left w:val="nil"/>
              <w:bottom w:val="single" w:sz="4" w:space="0" w:color="auto"/>
              <w:right w:val="single" w:sz="4" w:space="0" w:color="auto"/>
            </w:tcBorders>
            <w:shd w:val="clear" w:color="auto" w:fill="auto"/>
            <w:noWrap/>
            <w:vAlign w:val="center"/>
            <w:hideMark/>
          </w:tcPr>
          <w:p w14:paraId="415E2B00"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w:t>
            </w:r>
          </w:p>
        </w:tc>
      </w:tr>
      <w:tr w:rsidR="00B6285A" w:rsidRPr="00B6285A" w14:paraId="082FFB29" w14:textId="77777777" w:rsidTr="00143408">
        <w:trPr>
          <w:trHeight w:val="290"/>
        </w:trPr>
        <w:tc>
          <w:tcPr>
            <w:tcW w:w="2804" w:type="pct"/>
            <w:tcBorders>
              <w:top w:val="nil"/>
              <w:left w:val="single" w:sz="4" w:space="0" w:color="auto"/>
              <w:bottom w:val="single" w:sz="4" w:space="0" w:color="auto"/>
              <w:right w:val="single" w:sz="4" w:space="0" w:color="auto"/>
            </w:tcBorders>
            <w:shd w:val="clear" w:color="auto" w:fill="auto"/>
            <w:vAlign w:val="center"/>
            <w:hideMark/>
          </w:tcPr>
          <w:p w14:paraId="41EE021C" w14:textId="6CBC1A8C" w:rsidR="00B6285A" w:rsidRPr="00B6285A" w:rsidRDefault="00B6285A" w:rsidP="00B6285A">
            <w:pPr>
              <w:ind w:firstLine="0"/>
              <w:rPr>
                <w:rFonts w:eastAsia="Times New Roman" w:cs="Times New Roman"/>
                <w:color w:val="000000"/>
                <w:sz w:val="20"/>
                <w:szCs w:val="20"/>
                <w:lang w:eastAsia="lv-LV"/>
              </w:rPr>
            </w:pPr>
            <w:r w:rsidRPr="00B6285A">
              <w:rPr>
                <w:rFonts w:eastAsia="Times New Roman" w:cs="Times New Roman"/>
                <w:color w:val="000000"/>
                <w:sz w:val="20"/>
                <w:szCs w:val="20"/>
                <w:lang w:eastAsia="lv-LV"/>
              </w:rPr>
              <w:t xml:space="preserve">Obligātā iepirkuma komponentes samazinājums 2022.gadā (līdz 7,55 </w:t>
            </w:r>
            <w:proofErr w:type="spellStart"/>
            <w:r w:rsidRPr="00B6285A">
              <w:rPr>
                <w:rFonts w:eastAsia="Times New Roman" w:cs="Times New Roman"/>
                <w:i/>
                <w:iCs/>
                <w:color w:val="000000"/>
                <w:sz w:val="20"/>
                <w:szCs w:val="20"/>
                <w:lang w:eastAsia="lv-LV"/>
              </w:rPr>
              <w:t>euro</w:t>
            </w:r>
            <w:proofErr w:type="spellEnd"/>
            <w:r w:rsidRPr="00B6285A">
              <w:rPr>
                <w:rFonts w:eastAsia="Times New Roman" w:cs="Times New Roman"/>
                <w:color w:val="000000"/>
                <w:sz w:val="20"/>
                <w:szCs w:val="20"/>
                <w:lang w:eastAsia="lv-LV"/>
              </w:rPr>
              <w:t>/</w:t>
            </w:r>
            <w:proofErr w:type="spellStart"/>
            <w:r w:rsidRPr="00B6285A">
              <w:rPr>
                <w:rFonts w:eastAsia="Times New Roman" w:cs="Times New Roman"/>
                <w:color w:val="000000"/>
                <w:sz w:val="20"/>
                <w:szCs w:val="20"/>
                <w:lang w:eastAsia="lv-LV"/>
              </w:rPr>
              <w:t>MWh</w:t>
            </w:r>
            <w:proofErr w:type="spellEnd"/>
            <w:r w:rsidRPr="00B6285A">
              <w:rPr>
                <w:rFonts w:eastAsia="Times New Roman" w:cs="Times New Roman"/>
                <w:color w:val="000000"/>
                <w:sz w:val="20"/>
                <w:szCs w:val="20"/>
                <w:lang w:eastAsia="lv-LV"/>
              </w:rPr>
              <w:t>)</w:t>
            </w:r>
            <w:r w:rsidRPr="00B6285A">
              <w:rPr>
                <w:rFonts w:ascii="Garamond" w:eastAsia="Times New Roman" w:hAnsi="Garamond" w:cs="Times New Roman"/>
                <w:color w:val="000000"/>
                <w:sz w:val="20"/>
                <w:szCs w:val="20"/>
                <w:vertAlign w:val="superscript"/>
                <w:lang w:eastAsia="lv-LV"/>
              </w:rPr>
              <w:footnoteReference w:id="8"/>
            </w:r>
          </w:p>
        </w:tc>
        <w:tc>
          <w:tcPr>
            <w:tcW w:w="452" w:type="pct"/>
            <w:tcBorders>
              <w:top w:val="nil"/>
              <w:left w:val="nil"/>
              <w:bottom w:val="single" w:sz="4" w:space="0" w:color="auto"/>
              <w:right w:val="single" w:sz="4" w:space="0" w:color="auto"/>
            </w:tcBorders>
            <w:shd w:val="clear" w:color="auto" w:fill="auto"/>
            <w:noWrap/>
            <w:vAlign w:val="center"/>
            <w:hideMark/>
          </w:tcPr>
          <w:p w14:paraId="62D3C004"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w:t>
            </w:r>
          </w:p>
        </w:tc>
        <w:tc>
          <w:tcPr>
            <w:tcW w:w="418" w:type="pct"/>
            <w:tcBorders>
              <w:top w:val="nil"/>
              <w:left w:val="nil"/>
              <w:bottom w:val="single" w:sz="4" w:space="0" w:color="auto"/>
              <w:right w:val="single" w:sz="4" w:space="0" w:color="auto"/>
            </w:tcBorders>
            <w:shd w:val="clear" w:color="auto" w:fill="auto"/>
            <w:noWrap/>
            <w:vAlign w:val="center"/>
            <w:hideMark/>
          </w:tcPr>
          <w:p w14:paraId="707A3D1B"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18,4</w:t>
            </w:r>
          </w:p>
        </w:tc>
        <w:tc>
          <w:tcPr>
            <w:tcW w:w="469" w:type="pct"/>
            <w:tcBorders>
              <w:top w:val="nil"/>
              <w:left w:val="nil"/>
              <w:bottom w:val="single" w:sz="4" w:space="0" w:color="auto"/>
              <w:right w:val="single" w:sz="4" w:space="0" w:color="auto"/>
            </w:tcBorders>
            <w:shd w:val="clear" w:color="auto" w:fill="auto"/>
            <w:noWrap/>
            <w:vAlign w:val="center"/>
            <w:hideMark/>
          </w:tcPr>
          <w:p w14:paraId="1C8724FB"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14,3</w:t>
            </w:r>
          </w:p>
        </w:tc>
        <w:tc>
          <w:tcPr>
            <w:tcW w:w="376" w:type="pct"/>
            <w:tcBorders>
              <w:top w:val="nil"/>
              <w:left w:val="nil"/>
              <w:bottom w:val="single" w:sz="4" w:space="0" w:color="auto"/>
              <w:right w:val="single" w:sz="4" w:space="0" w:color="auto"/>
            </w:tcBorders>
            <w:shd w:val="clear" w:color="auto" w:fill="auto"/>
            <w:noWrap/>
            <w:vAlign w:val="center"/>
            <w:hideMark/>
          </w:tcPr>
          <w:p w14:paraId="07A26184"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w:t>
            </w:r>
          </w:p>
        </w:tc>
        <w:tc>
          <w:tcPr>
            <w:tcW w:w="481" w:type="pct"/>
            <w:tcBorders>
              <w:top w:val="nil"/>
              <w:left w:val="nil"/>
              <w:bottom w:val="single" w:sz="4" w:space="0" w:color="auto"/>
              <w:right w:val="single" w:sz="4" w:space="0" w:color="auto"/>
            </w:tcBorders>
            <w:shd w:val="clear" w:color="auto" w:fill="auto"/>
            <w:noWrap/>
            <w:vAlign w:val="center"/>
            <w:hideMark/>
          </w:tcPr>
          <w:p w14:paraId="7B83BE7F"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w:t>
            </w:r>
          </w:p>
        </w:tc>
      </w:tr>
      <w:tr w:rsidR="00B6285A" w:rsidRPr="00B6285A" w14:paraId="60360762" w14:textId="77777777" w:rsidTr="00143408">
        <w:trPr>
          <w:trHeight w:val="290"/>
        </w:trPr>
        <w:tc>
          <w:tcPr>
            <w:tcW w:w="2804" w:type="pct"/>
            <w:tcBorders>
              <w:top w:val="nil"/>
              <w:left w:val="single" w:sz="4" w:space="0" w:color="auto"/>
              <w:bottom w:val="single" w:sz="4" w:space="0" w:color="auto"/>
              <w:right w:val="single" w:sz="4" w:space="0" w:color="auto"/>
            </w:tcBorders>
            <w:shd w:val="clear" w:color="auto" w:fill="auto"/>
            <w:vAlign w:val="center"/>
            <w:hideMark/>
          </w:tcPr>
          <w:p w14:paraId="33C31276" w14:textId="77777777" w:rsidR="00B6285A" w:rsidRPr="00B6285A" w:rsidRDefault="00B6285A" w:rsidP="00B6285A">
            <w:pPr>
              <w:ind w:firstLine="0"/>
              <w:rPr>
                <w:rFonts w:eastAsia="Times New Roman" w:cs="Times New Roman"/>
                <w:color w:val="000000"/>
                <w:sz w:val="20"/>
                <w:szCs w:val="20"/>
                <w:lang w:eastAsia="lv-LV"/>
              </w:rPr>
            </w:pPr>
            <w:r w:rsidRPr="00B6285A">
              <w:rPr>
                <w:rFonts w:eastAsia="Times New Roman" w:cs="Times New Roman"/>
                <w:color w:val="000000"/>
                <w:sz w:val="20"/>
                <w:szCs w:val="20"/>
                <w:lang w:eastAsia="lv-LV"/>
              </w:rPr>
              <w:lastRenderedPageBreak/>
              <w:t>Centralizētās siltumapgādes pakalpojuma maksas kompensācija no 2022.gada 1.janvāra līdz 2022.gada 30.aprīlim</w:t>
            </w:r>
          </w:p>
        </w:tc>
        <w:tc>
          <w:tcPr>
            <w:tcW w:w="452" w:type="pct"/>
            <w:tcBorders>
              <w:top w:val="nil"/>
              <w:left w:val="nil"/>
              <w:bottom w:val="single" w:sz="4" w:space="0" w:color="auto"/>
              <w:right w:val="single" w:sz="4" w:space="0" w:color="auto"/>
            </w:tcBorders>
            <w:shd w:val="clear" w:color="auto" w:fill="auto"/>
            <w:noWrap/>
            <w:vAlign w:val="center"/>
            <w:hideMark/>
          </w:tcPr>
          <w:p w14:paraId="5DA8060B"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w:t>
            </w:r>
          </w:p>
        </w:tc>
        <w:tc>
          <w:tcPr>
            <w:tcW w:w="418" w:type="pct"/>
            <w:tcBorders>
              <w:top w:val="nil"/>
              <w:left w:val="nil"/>
              <w:bottom w:val="single" w:sz="4" w:space="0" w:color="auto"/>
              <w:right w:val="single" w:sz="4" w:space="0" w:color="auto"/>
            </w:tcBorders>
            <w:shd w:val="clear" w:color="auto" w:fill="auto"/>
            <w:noWrap/>
            <w:vAlign w:val="center"/>
            <w:hideMark/>
          </w:tcPr>
          <w:p w14:paraId="11FCB149"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7,0</w:t>
            </w:r>
          </w:p>
        </w:tc>
        <w:tc>
          <w:tcPr>
            <w:tcW w:w="469" w:type="pct"/>
            <w:tcBorders>
              <w:top w:val="nil"/>
              <w:left w:val="nil"/>
              <w:bottom w:val="single" w:sz="4" w:space="0" w:color="auto"/>
              <w:right w:val="single" w:sz="4" w:space="0" w:color="auto"/>
            </w:tcBorders>
            <w:shd w:val="clear" w:color="auto" w:fill="auto"/>
            <w:noWrap/>
            <w:vAlign w:val="center"/>
            <w:hideMark/>
          </w:tcPr>
          <w:p w14:paraId="2629F678"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8,7</w:t>
            </w:r>
          </w:p>
        </w:tc>
        <w:tc>
          <w:tcPr>
            <w:tcW w:w="376" w:type="pct"/>
            <w:tcBorders>
              <w:top w:val="nil"/>
              <w:left w:val="nil"/>
              <w:bottom w:val="single" w:sz="4" w:space="0" w:color="auto"/>
              <w:right w:val="single" w:sz="4" w:space="0" w:color="auto"/>
            </w:tcBorders>
            <w:shd w:val="clear" w:color="auto" w:fill="auto"/>
            <w:noWrap/>
            <w:vAlign w:val="center"/>
            <w:hideMark/>
          </w:tcPr>
          <w:p w14:paraId="32E10EDE"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w:t>
            </w:r>
          </w:p>
        </w:tc>
        <w:tc>
          <w:tcPr>
            <w:tcW w:w="481" w:type="pct"/>
            <w:tcBorders>
              <w:top w:val="nil"/>
              <w:left w:val="nil"/>
              <w:bottom w:val="single" w:sz="4" w:space="0" w:color="auto"/>
              <w:right w:val="single" w:sz="4" w:space="0" w:color="auto"/>
            </w:tcBorders>
            <w:shd w:val="clear" w:color="auto" w:fill="auto"/>
            <w:noWrap/>
            <w:vAlign w:val="center"/>
            <w:hideMark/>
          </w:tcPr>
          <w:p w14:paraId="7F043A1B"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w:t>
            </w:r>
          </w:p>
        </w:tc>
      </w:tr>
      <w:tr w:rsidR="00B6285A" w:rsidRPr="00B6285A" w14:paraId="5CBA5207" w14:textId="77777777" w:rsidTr="00143408">
        <w:trPr>
          <w:trHeight w:val="290"/>
        </w:trPr>
        <w:tc>
          <w:tcPr>
            <w:tcW w:w="2804" w:type="pct"/>
            <w:tcBorders>
              <w:top w:val="nil"/>
              <w:left w:val="single" w:sz="4" w:space="0" w:color="auto"/>
              <w:bottom w:val="single" w:sz="4" w:space="0" w:color="auto"/>
              <w:right w:val="single" w:sz="4" w:space="0" w:color="auto"/>
            </w:tcBorders>
            <w:shd w:val="clear" w:color="auto" w:fill="auto"/>
            <w:vAlign w:val="center"/>
            <w:hideMark/>
          </w:tcPr>
          <w:p w14:paraId="13C611E5" w14:textId="77777777" w:rsidR="00B6285A" w:rsidRPr="00B6285A" w:rsidRDefault="00B6285A" w:rsidP="00B6285A">
            <w:pPr>
              <w:ind w:firstLine="0"/>
              <w:rPr>
                <w:rFonts w:eastAsia="Times New Roman" w:cs="Times New Roman"/>
                <w:color w:val="000000"/>
                <w:sz w:val="20"/>
                <w:szCs w:val="20"/>
                <w:lang w:eastAsia="lv-LV"/>
              </w:rPr>
            </w:pPr>
            <w:r w:rsidRPr="00B6285A">
              <w:rPr>
                <w:rFonts w:eastAsia="Times New Roman" w:cs="Times New Roman"/>
                <w:color w:val="000000"/>
                <w:sz w:val="20"/>
                <w:szCs w:val="20"/>
                <w:lang w:eastAsia="lv-LV"/>
              </w:rPr>
              <w:t>Dabasgāzes tirdzniecības pakalpojuma maksas kompensācija no 2022.gada 1.janvāra līdz 2022.gada 30.aprīlim</w:t>
            </w:r>
          </w:p>
        </w:tc>
        <w:tc>
          <w:tcPr>
            <w:tcW w:w="452" w:type="pct"/>
            <w:tcBorders>
              <w:top w:val="nil"/>
              <w:left w:val="nil"/>
              <w:bottom w:val="single" w:sz="4" w:space="0" w:color="auto"/>
              <w:right w:val="single" w:sz="4" w:space="0" w:color="auto"/>
            </w:tcBorders>
            <w:shd w:val="clear" w:color="auto" w:fill="auto"/>
            <w:noWrap/>
            <w:vAlign w:val="center"/>
            <w:hideMark/>
          </w:tcPr>
          <w:p w14:paraId="30A9491F"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w:t>
            </w:r>
          </w:p>
        </w:tc>
        <w:tc>
          <w:tcPr>
            <w:tcW w:w="418" w:type="pct"/>
            <w:tcBorders>
              <w:top w:val="nil"/>
              <w:left w:val="nil"/>
              <w:bottom w:val="single" w:sz="4" w:space="0" w:color="auto"/>
              <w:right w:val="single" w:sz="4" w:space="0" w:color="auto"/>
            </w:tcBorders>
            <w:shd w:val="clear" w:color="auto" w:fill="auto"/>
            <w:noWrap/>
            <w:vAlign w:val="center"/>
            <w:hideMark/>
          </w:tcPr>
          <w:p w14:paraId="6966F650"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27,4</w:t>
            </w:r>
          </w:p>
        </w:tc>
        <w:tc>
          <w:tcPr>
            <w:tcW w:w="469" w:type="pct"/>
            <w:tcBorders>
              <w:top w:val="nil"/>
              <w:left w:val="nil"/>
              <w:bottom w:val="single" w:sz="4" w:space="0" w:color="auto"/>
              <w:right w:val="single" w:sz="4" w:space="0" w:color="auto"/>
            </w:tcBorders>
            <w:shd w:val="clear" w:color="auto" w:fill="auto"/>
            <w:noWrap/>
            <w:vAlign w:val="center"/>
            <w:hideMark/>
          </w:tcPr>
          <w:p w14:paraId="2E0442EA"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27,0</w:t>
            </w:r>
          </w:p>
        </w:tc>
        <w:tc>
          <w:tcPr>
            <w:tcW w:w="376" w:type="pct"/>
            <w:tcBorders>
              <w:top w:val="nil"/>
              <w:left w:val="nil"/>
              <w:bottom w:val="single" w:sz="4" w:space="0" w:color="auto"/>
              <w:right w:val="single" w:sz="4" w:space="0" w:color="auto"/>
            </w:tcBorders>
            <w:shd w:val="clear" w:color="auto" w:fill="auto"/>
            <w:noWrap/>
            <w:vAlign w:val="center"/>
            <w:hideMark/>
          </w:tcPr>
          <w:p w14:paraId="7487DB67"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w:t>
            </w:r>
          </w:p>
        </w:tc>
        <w:tc>
          <w:tcPr>
            <w:tcW w:w="481" w:type="pct"/>
            <w:tcBorders>
              <w:top w:val="nil"/>
              <w:left w:val="nil"/>
              <w:bottom w:val="single" w:sz="4" w:space="0" w:color="auto"/>
              <w:right w:val="single" w:sz="4" w:space="0" w:color="auto"/>
            </w:tcBorders>
            <w:shd w:val="clear" w:color="auto" w:fill="auto"/>
            <w:noWrap/>
            <w:vAlign w:val="center"/>
            <w:hideMark/>
          </w:tcPr>
          <w:p w14:paraId="1AF8FACD"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w:t>
            </w:r>
          </w:p>
        </w:tc>
      </w:tr>
      <w:tr w:rsidR="00B6285A" w:rsidRPr="00B6285A" w14:paraId="6DDF1E1A" w14:textId="77777777" w:rsidTr="00143408">
        <w:trPr>
          <w:trHeight w:val="290"/>
        </w:trPr>
        <w:tc>
          <w:tcPr>
            <w:tcW w:w="2804" w:type="pct"/>
            <w:tcBorders>
              <w:top w:val="nil"/>
              <w:left w:val="single" w:sz="4" w:space="0" w:color="auto"/>
              <w:bottom w:val="single" w:sz="4" w:space="0" w:color="auto"/>
              <w:right w:val="single" w:sz="4" w:space="0" w:color="auto"/>
            </w:tcBorders>
            <w:shd w:val="clear" w:color="auto" w:fill="auto"/>
            <w:vAlign w:val="center"/>
            <w:hideMark/>
          </w:tcPr>
          <w:p w14:paraId="72E9C249" w14:textId="77777777" w:rsidR="00B6285A" w:rsidRPr="00B6285A" w:rsidRDefault="00B6285A" w:rsidP="00B6285A">
            <w:pPr>
              <w:ind w:firstLine="0"/>
              <w:rPr>
                <w:rFonts w:eastAsia="Times New Roman" w:cs="Times New Roman"/>
                <w:color w:val="000000"/>
                <w:sz w:val="20"/>
                <w:szCs w:val="20"/>
                <w:lang w:eastAsia="lv-LV"/>
              </w:rPr>
            </w:pPr>
            <w:r w:rsidRPr="00B6285A">
              <w:rPr>
                <w:rFonts w:eastAsia="Times New Roman" w:cs="Times New Roman"/>
                <w:color w:val="000000"/>
                <w:sz w:val="20"/>
                <w:szCs w:val="20"/>
                <w:lang w:eastAsia="lv-LV"/>
              </w:rPr>
              <w:t>Obligātā iepirkuma komponentes maksas  kompensācija par periodu no 2022.gada 1.janvāra līdz 2022.gada 30.aprīlim</w:t>
            </w:r>
          </w:p>
        </w:tc>
        <w:tc>
          <w:tcPr>
            <w:tcW w:w="452" w:type="pct"/>
            <w:tcBorders>
              <w:top w:val="nil"/>
              <w:left w:val="nil"/>
              <w:bottom w:val="single" w:sz="4" w:space="0" w:color="auto"/>
              <w:right w:val="single" w:sz="4" w:space="0" w:color="auto"/>
            </w:tcBorders>
            <w:shd w:val="clear" w:color="auto" w:fill="auto"/>
            <w:noWrap/>
            <w:vAlign w:val="center"/>
            <w:hideMark/>
          </w:tcPr>
          <w:p w14:paraId="0CCF725E"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 -</w:t>
            </w:r>
          </w:p>
        </w:tc>
        <w:tc>
          <w:tcPr>
            <w:tcW w:w="418" w:type="pct"/>
            <w:tcBorders>
              <w:top w:val="nil"/>
              <w:left w:val="nil"/>
              <w:bottom w:val="single" w:sz="4" w:space="0" w:color="auto"/>
              <w:right w:val="single" w:sz="4" w:space="0" w:color="auto"/>
            </w:tcBorders>
            <w:shd w:val="clear" w:color="auto" w:fill="auto"/>
            <w:noWrap/>
            <w:vAlign w:val="center"/>
            <w:hideMark/>
          </w:tcPr>
          <w:p w14:paraId="0D633FC4"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21,2</w:t>
            </w:r>
          </w:p>
        </w:tc>
        <w:tc>
          <w:tcPr>
            <w:tcW w:w="469" w:type="pct"/>
            <w:tcBorders>
              <w:top w:val="nil"/>
              <w:left w:val="nil"/>
              <w:bottom w:val="single" w:sz="4" w:space="0" w:color="auto"/>
              <w:right w:val="single" w:sz="4" w:space="0" w:color="auto"/>
            </w:tcBorders>
            <w:shd w:val="clear" w:color="auto" w:fill="auto"/>
            <w:noWrap/>
            <w:vAlign w:val="center"/>
            <w:hideMark/>
          </w:tcPr>
          <w:p w14:paraId="3391FDD9"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18,0</w:t>
            </w:r>
          </w:p>
        </w:tc>
        <w:tc>
          <w:tcPr>
            <w:tcW w:w="376" w:type="pct"/>
            <w:tcBorders>
              <w:top w:val="nil"/>
              <w:left w:val="nil"/>
              <w:bottom w:val="single" w:sz="4" w:space="0" w:color="auto"/>
              <w:right w:val="single" w:sz="4" w:space="0" w:color="auto"/>
            </w:tcBorders>
            <w:shd w:val="clear" w:color="auto" w:fill="auto"/>
            <w:noWrap/>
            <w:vAlign w:val="center"/>
            <w:hideMark/>
          </w:tcPr>
          <w:p w14:paraId="02C437CA"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w:t>
            </w:r>
          </w:p>
        </w:tc>
        <w:tc>
          <w:tcPr>
            <w:tcW w:w="481" w:type="pct"/>
            <w:tcBorders>
              <w:top w:val="nil"/>
              <w:left w:val="nil"/>
              <w:bottom w:val="single" w:sz="4" w:space="0" w:color="auto"/>
              <w:right w:val="single" w:sz="4" w:space="0" w:color="auto"/>
            </w:tcBorders>
            <w:shd w:val="clear" w:color="auto" w:fill="auto"/>
            <w:noWrap/>
            <w:vAlign w:val="center"/>
            <w:hideMark/>
          </w:tcPr>
          <w:p w14:paraId="3C9CFE93"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w:t>
            </w:r>
          </w:p>
        </w:tc>
      </w:tr>
      <w:tr w:rsidR="00B6285A" w:rsidRPr="00B6285A" w14:paraId="642AD132" w14:textId="77777777" w:rsidTr="00143408">
        <w:trPr>
          <w:trHeight w:val="560"/>
        </w:trPr>
        <w:tc>
          <w:tcPr>
            <w:tcW w:w="2804" w:type="pct"/>
            <w:tcBorders>
              <w:top w:val="nil"/>
              <w:left w:val="single" w:sz="4" w:space="0" w:color="auto"/>
              <w:bottom w:val="single" w:sz="4" w:space="0" w:color="auto"/>
              <w:right w:val="single" w:sz="4" w:space="0" w:color="auto"/>
            </w:tcBorders>
            <w:shd w:val="clear" w:color="auto" w:fill="auto"/>
            <w:vAlign w:val="center"/>
            <w:hideMark/>
          </w:tcPr>
          <w:p w14:paraId="2392ADFA" w14:textId="77777777" w:rsidR="00B6285A" w:rsidRPr="00B6285A" w:rsidRDefault="00B6285A" w:rsidP="00B6285A">
            <w:pPr>
              <w:ind w:firstLine="0"/>
              <w:rPr>
                <w:rFonts w:eastAsia="Times New Roman" w:cs="Times New Roman"/>
                <w:sz w:val="20"/>
                <w:szCs w:val="20"/>
                <w:lang w:eastAsia="lv-LV"/>
              </w:rPr>
            </w:pPr>
            <w:r w:rsidRPr="00B6285A">
              <w:rPr>
                <w:rFonts w:eastAsia="Times New Roman" w:cs="Times New Roman"/>
                <w:sz w:val="20"/>
                <w:szCs w:val="20"/>
                <w:lang w:eastAsia="lv-LV"/>
              </w:rPr>
              <w:t xml:space="preserve">Elektroenerģijas izmaksu pieauguma kompensācija mājsaimniecībām no 2022.g. oktobra līdz 2023.g. aprīlim, kuras apkurei izmanto elektroenerģiju (ja tērē virs 500 </w:t>
            </w:r>
            <w:proofErr w:type="spellStart"/>
            <w:r w:rsidRPr="00B6285A">
              <w:rPr>
                <w:rFonts w:eastAsia="Times New Roman" w:cs="Times New Roman"/>
                <w:sz w:val="20"/>
                <w:szCs w:val="20"/>
                <w:lang w:eastAsia="lv-LV"/>
              </w:rPr>
              <w:t>KWh</w:t>
            </w:r>
            <w:proofErr w:type="spellEnd"/>
            <w:r w:rsidRPr="00B6285A">
              <w:rPr>
                <w:rFonts w:eastAsia="Times New Roman" w:cs="Times New Roman"/>
                <w:sz w:val="20"/>
                <w:szCs w:val="20"/>
                <w:lang w:eastAsia="lv-LV"/>
              </w:rPr>
              <w:t xml:space="preserve"> mēnesī, 50% virs 0,16 </w:t>
            </w:r>
            <w:proofErr w:type="spellStart"/>
            <w:r w:rsidRPr="00B6285A">
              <w:rPr>
                <w:rFonts w:eastAsia="Times New Roman" w:cs="Times New Roman"/>
                <w:i/>
                <w:iCs/>
                <w:sz w:val="20"/>
                <w:szCs w:val="20"/>
                <w:lang w:eastAsia="lv-LV"/>
              </w:rPr>
              <w:t>euro</w:t>
            </w:r>
            <w:proofErr w:type="spellEnd"/>
            <w:r w:rsidRPr="00B6285A">
              <w:rPr>
                <w:rFonts w:eastAsia="Times New Roman" w:cs="Times New Roman"/>
                <w:sz w:val="20"/>
                <w:szCs w:val="20"/>
                <w:lang w:eastAsia="lv-LV"/>
              </w:rPr>
              <w:t xml:space="preserve"> par </w:t>
            </w:r>
            <w:proofErr w:type="spellStart"/>
            <w:r w:rsidRPr="00B6285A">
              <w:rPr>
                <w:rFonts w:eastAsia="Times New Roman" w:cs="Times New Roman"/>
                <w:sz w:val="20"/>
                <w:szCs w:val="20"/>
                <w:lang w:eastAsia="lv-LV"/>
              </w:rPr>
              <w:t>KWh</w:t>
            </w:r>
            <w:proofErr w:type="spellEnd"/>
            <w:r w:rsidRPr="00B6285A">
              <w:rPr>
                <w:rFonts w:eastAsia="Times New Roman" w:cs="Times New Roman"/>
                <w:sz w:val="20"/>
                <w:szCs w:val="20"/>
                <w:lang w:eastAsia="lv-LV"/>
              </w:rPr>
              <w:t xml:space="preserve">, </w:t>
            </w:r>
            <w:proofErr w:type="spellStart"/>
            <w:r w:rsidRPr="00B6285A">
              <w:rPr>
                <w:rFonts w:eastAsia="Times New Roman" w:cs="Times New Roman"/>
                <w:sz w:val="20"/>
                <w:szCs w:val="20"/>
                <w:lang w:eastAsia="lv-LV"/>
              </w:rPr>
              <w:t>max</w:t>
            </w:r>
            <w:proofErr w:type="spellEnd"/>
            <w:r w:rsidRPr="00B6285A">
              <w:rPr>
                <w:rFonts w:eastAsia="Times New Roman" w:cs="Times New Roman"/>
                <w:sz w:val="20"/>
                <w:szCs w:val="20"/>
                <w:lang w:eastAsia="lv-LV"/>
              </w:rPr>
              <w:t xml:space="preserve"> 0,1 </w:t>
            </w:r>
            <w:proofErr w:type="spellStart"/>
            <w:r w:rsidRPr="00B6285A">
              <w:rPr>
                <w:rFonts w:eastAsia="Times New Roman" w:cs="Times New Roman"/>
                <w:i/>
                <w:iCs/>
                <w:sz w:val="20"/>
                <w:szCs w:val="20"/>
                <w:lang w:eastAsia="lv-LV"/>
              </w:rPr>
              <w:t>euro</w:t>
            </w:r>
            <w:proofErr w:type="spellEnd"/>
            <w:r w:rsidRPr="00B6285A">
              <w:rPr>
                <w:rFonts w:eastAsia="Times New Roman" w:cs="Times New Roman"/>
                <w:sz w:val="20"/>
                <w:szCs w:val="20"/>
                <w:lang w:eastAsia="lv-LV"/>
              </w:rPr>
              <w:t xml:space="preserve"> par </w:t>
            </w:r>
            <w:proofErr w:type="spellStart"/>
            <w:r w:rsidRPr="00B6285A">
              <w:rPr>
                <w:rFonts w:eastAsia="Times New Roman" w:cs="Times New Roman"/>
                <w:sz w:val="20"/>
                <w:szCs w:val="20"/>
                <w:lang w:eastAsia="lv-LV"/>
              </w:rPr>
              <w:t>KWh</w:t>
            </w:r>
            <w:proofErr w:type="spellEnd"/>
            <w:r w:rsidRPr="00B6285A">
              <w:rPr>
                <w:rFonts w:eastAsia="Times New Roman" w:cs="Times New Roman"/>
                <w:sz w:val="20"/>
                <w:szCs w:val="20"/>
                <w:lang w:eastAsia="lv-LV"/>
              </w:rPr>
              <w:t>)</w:t>
            </w:r>
          </w:p>
        </w:tc>
        <w:tc>
          <w:tcPr>
            <w:tcW w:w="452" w:type="pct"/>
            <w:tcBorders>
              <w:top w:val="nil"/>
              <w:left w:val="nil"/>
              <w:bottom w:val="single" w:sz="4" w:space="0" w:color="auto"/>
              <w:right w:val="single" w:sz="4" w:space="0" w:color="auto"/>
            </w:tcBorders>
            <w:shd w:val="clear" w:color="auto" w:fill="auto"/>
            <w:noWrap/>
            <w:vAlign w:val="center"/>
            <w:hideMark/>
          </w:tcPr>
          <w:p w14:paraId="4D292444"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w:t>
            </w:r>
          </w:p>
        </w:tc>
        <w:tc>
          <w:tcPr>
            <w:tcW w:w="418" w:type="pct"/>
            <w:tcBorders>
              <w:top w:val="nil"/>
              <w:left w:val="nil"/>
              <w:bottom w:val="single" w:sz="4" w:space="0" w:color="auto"/>
              <w:right w:val="single" w:sz="4" w:space="0" w:color="auto"/>
            </w:tcBorders>
            <w:shd w:val="clear" w:color="auto" w:fill="auto"/>
            <w:noWrap/>
            <w:vAlign w:val="center"/>
            <w:hideMark/>
          </w:tcPr>
          <w:p w14:paraId="3E611361"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15,2</w:t>
            </w:r>
          </w:p>
        </w:tc>
        <w:tc>
          <w:tcPr>
            <w:tcW w:w="469" w:type="pct"/>
            <w:tcBorders>
              <w:top w:val="nil"/>
              <w:left w:val="nil"/>
              <w:bottom w:val="single" w:sz="4" w:space="0" w:color="auto"/>
              <w:right w:val="single" w:sz="4" w:space="0" w:color="auto"/>
            </w:tcBorders>
            <w:shd w:val="clear" w:color="auto" w:fill="auto"/>
            <w:noWrap/>
            <w:vAlign w:val="center"/>
            <w:hideMark/>
          </w:tcPr>
          <w:p w14:paraId="2D313F70"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0,03</w:t>
            </w:r>
          </w:p>
        </w:tc>
        <w:tc>
          <w:tcPr>
            <w:tcW w:w="376" w:type="pct"/>
            <w:tcBorders>
              <w:top w:val="nil"/>
              <w:left w:val="nil"/>
              <w:bottom w:val="single" w:sz="4" w:space="0" w:color="auto"/>
              <w:right w:val="single" w:sz="4" w:space="0" w:color="auto"/>
            </w:tcBorders>
            <w:shd w:val="clear" w:color="auto" w:fill="auto"/>
            <w:noWrap/>
            <w:vAlign w:val="center"/>
            <w:hideMark/>
          </w:tcPr>
          <w:p w14:paraId="555B854D"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37,9</w:t>
            </w:r>
          </w:p>
        </w:tc>
        <w:tc>
          <w:tcPr>
            <w:tcW w:w="481" w:type="pct"/>
            <w:tcBorders>
              <w:top w:val="nil"/>
              <w:left w:val="nil"/>
              <w:bottom w:val="single" w:sz="4" w:space="0" w:color="auto"/>
              <w:right w:val="single" w:sz="4" w:space="0" w:color="auto"/>
            </w:tcBorders>
            <w:shd w:val="clear" w:color="auto" w:fill="auto"/>
            <w:noWrap/>
            <w:vAlign w:val="center"/>
            <w:hideMark/>
          </w:tcPr>
          <w:p w14:paraId="3315BE1B"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0,1</w:t>
            </w:r>
          </w:p>
        </w:tc>
      </w:tr>
      <w:tr w:rsidR="00B6285A" w:rsidRPr="00B6285A" w14:paraId="38904A2B" w14:textId="77777777" w:rsidTr="00143408">
        <w:trPr>
          <w:trHeight w:val="290"/>
        </w:trPr>
        <w:tc>
          <w:tcPr>
            <w:tcW w:w="2804" w:type="pct"/>
            <w:tcBorders>
              <w:top w:val="nil"/>
              <w:left w:val="single" w:sz="4" w:space="0" w:color="auto"/>
              <w:bottom w:val="single" w:sz="4" w:space="0" w:color="auto"/>
              <w:right w:val="single" w:sz="4" w:space="0" w:color="auto"/>
            </w:tcBorders>
            <w:shd w:val="clear" w:color="auto" w:fill="auto"/>
            <w:vAlign w:val="center"/>
            <w:hideMark/>
          </w:tcPr>
          <w:p w14:paraId="59A85EA1" w14:textId="77777777" w:rsidR="00B6285A" w:rsidRPr="00B6285A" w:rsidRDefault="00B6285A" w:rsidP="00B6285A">
            <w:pPr>
              <w:ind w:firstLine="0"/>
              <w:rPr>
                <w:rFonts w:eastAsia="Times New Roman" w:cs="Times New Roman"/>
                <w:sz w:val="20"/>
                <w:szCs w:val="20"/>
                <w:lang w:eastAsia="lv-LV"/>
              </w:rPr>
            </w:pPr>
            <w:r w:rsidRPr="00B6285A">
              <w:rPr>
                <w:rFonts w:eastAsia="Times New Roman" w:cs="Times New Roman"/>
                <w:sz w:val="20"/>
                <w:szCs w:val="20"/>
                <w:lang w:eastAsia="lv-LV"/>
              </w:rPr>
              <w:t xml:space="preserve">Dabasgāzes izmaksu pieauguma kompensācija mājsaimniecībām no 2022.gada 1.jūlija līdz 2023.gada 30.aprīlim (kompensējamā dabasgāzes cenas daļa - 30 </w:t>
            </w:r>
            <w:proofErr w:type="spellStart"/>
            <w:r w:rsidRPr="00B6285A">
              <w:rPr>
                <w:rFonts w:eastAsia="Times New Roman" w:cs="Times New Roman"/>
                <w:i/>
                <w:iCs/>
                <w:sz w:val="20"/>
                <w:szCs w:val="20"/>
                <w:lang w:eastAsia="lv-LV"/>
              </w:rPr>
              <w:t>euro</w:t>
            </w:r>
            <w:proofErr w:type="spellEnd"/>
            <w:r w:rsidRPr="00B6285A">
              <w:rPr>
                <w:rFonts w:eastAsia="Times New Roman" w:cs="Times New Roman"/>
                <w:sz w:val="20"/>
                <w:szCs w:val="20"/>
                <w:lang w:eastAsia="lv-LV"/>
              </w:rPr>
              <w:t>/</w:t>
            </w:r>
            <w:proofErr w:type="spellStart"/>
            <w:r w:rsidRPr="00B6285A">
              <w:rPr>
                <w:rFonts w:eastAsia="Times New Roman" w:cs="Times New Roman"/>
                <w:sz w:val="20"/>
                <w:szCs w:val="20"/>
                <w:lang w:eastAsia="lv-LV"/>
              </w:rPr>
              <w:t>MWh</w:t>
            </w:r>
            <w:proofErr w:type="spellEnd"/>
            <w:r w:rsidRPr="00B6285A">
              <w:rPr>
                <w:rFonts w:eastAsia="Times New Roman" w:cs="Times New Roman"/>
                <w:sz w:val="20"/>
                <w:szCs w:val="20"/>
                <w:lang w:eastAsia="lv-LV"/>
              </w:rPr>
              <w:t>)</w:t>
            </w:r>
          </w:p>
        </w:tc>
        <w:tc>
          <w:tcPr>
            <w:tcW w:w="452" w:type="pct"/>
            <w:tcBorders>
              <w:top w:val="nil"/>
              <w:left w:val="nil"/>
              <w:bottom w:val="single" w:sz="4" w:space="0" w:color="auto"/>
              <w:right w:val="single" w:sz="4" w:space="0" w:color="auto"/>
            </w:tcBorders>
            <w:shd w:val="clear" w:color="auto" w:fill="auto"/>
            <w:noWrap/>
            <w:vAlign w:val="center"/>
            <w:hideMark/>
          </w:tcPr>
          <w:p w14:paraId="2B431CCF"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w:t>
            </w:r>
          </w:p>
        </w:tc>
        <w:tc>
          <w:tcPr>
            <w:tcW w:w="418" w:type="pct"/>
            <w:tcBorders>
              <w:top w:val="nil"/>
              <w:left w:val="nil"/>
              <w:bottom w:val="single" w:sz="4" w:space="0" w:color="auto"/>
              <w:right w:val="single" w:sz="4" w:space="0" w:color="auto"/>
            </w:tcBorders>
            <w:shd w:val="clear" w:color="auto" w:fill="auto"/>
            <w:noWrap/>
            <w:vAlign w:val="center"/>
            <w:hideMark/>
          </w:tcPr>
          <w:p w14:paraId="48B4EE44"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26,1</w:t>
            </w:r>
          </w:p>
        </w:tc>
        <w:tc>
          <w:tcPr>
            <w:tcW w:w="469" w:type="pct"/>
            <w:tcBorders>
              <w:top w:val="nil"/>
              <w:left w:val="nil"/>
              <w:bottom w:val="single" w:sz="4" w:space="0" w:color="auto"/>
              <w:right w:val="single" w:sz="4" w:space="0" w:color="auto"/>
            </w:tcBorders>
            <w:shd w:val="clear" w:color="auto" w:fill="auto"/>
            <w:noWrap/>
            <w:vAlign w:val="center"/>
            <w:hideMark/>
          </w:tcPr>
          <w:p w14:paraId="602581F7"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6,1</w:t>
            </w:r>
          </w:p>
        </w:tc>
        <w:tc>
          <w:tcPr>
            <w:tcW w:w="376" w:type="pct"/>
            <w:tcBorders>
              <w:top w:val="nil"/>
              <w:left w:val="nil"/>
              <w:bottom w:val="single" w:sz="4" w:space="0" w:color="auto"/>
              <w:right w:val="single" w:sz="4" w:space="0" w:color="auto"/>
            </w:tcBorders>
            <w:shd w:val="clear" w:color="auto" w:fill="auto"/>
            <w:noWrap/>
            <w:vAlign w:val="center"/>
            <w:hideMark/>
          </w:tcPr>
          <w:p w14:paraId="19F7C3B7"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17,4</w:t>
            </w:r>
          </w:p>
        </w:tc>
        <w:tc>
          <w:tcPr>
            <w:tcW w:w="481" w:type="pct"/>
            <w:tcBorders>
              <w:top w:val="nil"/>
              <w:left w:val="nil"/>
              <w:bottom w:val="single" w:sz="4" w:space="0" w:color="auto"/>
              <w:right w:val="single" w:sz="4" w:space="0" w:color="auto"/>
            </w:tcBorders>
            <w:shd w:val="clear" w:color="auto" w:fill="auto"/>
            <w:noWrap/>
            <w:vAlign w:val="center"/>
            <w:hideMark/>
          </w:tcPr>
          <w:p w14:paraId="511BF4EF"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4,8</w:t>
            </w:r>
          </w:p>
        </w:tc>
      </w:tr>
      <w:tr w:rsidR="00B6285A" w:rsidRPr="00B6285A" w14:paraId="7D608FF6" w14:textId="77777777" w:rsidTr="00143408">
        <w:trPr>
          <w:trHeight w:val="290"/>
        </w:trPr>
        <w:tc>
          <w:tcPr>
            <w:tcW w:w="2804" w:type="pct"/>
            <w:tcBorders>
              <w:top w:val="nil"/>
              <w:left w:val="single" w:sz="4" w:space="0" w:color="auto"/>
              <w:bottom w:val="single" w:sz="4" w:space="0" w:color="auto"/>
              <w:right w:val="single" w:sz="4" w:space="0" w:color="auto"/>
            </w:tcBorders>
            <w:shd w:val="clear" w:color="auto" w:fill="auto"/>
            <w:vAlign w:val="center"/>
            <w:hideMark/>
          </w:tcPr>
          <w:p w14:paraId="127A2931" w14:textId="77777777" w:rsidR="00B6285A" w:rsidRPr="00B6285A" w:rsidRDefault="00B6285A" w:rsidP="00B6285A">
            <w:pPr>
              <w:ind w:firstLine="0"/>
              <w:rPr>
                <w:rFonts w:eastAsia="Times New Roman" w:cs="Times New Roman"/>
                <w:sz w:val="20"/>
                <w:szCs w:val="20"/>
                <w:lang w:eastAsia="lv-LV"/>
              </w:rPr>
            </w:pPr>
            <w:r w:rsidRPr="00B6285A">
              <w:rPr>
                <w:rFonts w:eastAsia="Times New Roman" w:cs="Times New Roman"/>
                <w:sz w:val="20"/>
                <w:szCs w:val="20"/>
                <w:lang w:eastAsia="lv-LV"/>
              </w:rPr>
              <w:t xml:space="preserve">Centralizētās siltumenerģijas apgādes izmaksu pieauguma kompensācija mājsaimniecībām (50% virs 68 </w:t>
            </w:r>
            <w:proofErr w:type="spellStart"/>
            <w:r w:rsidRPr="00B6285A">
              <w:rPr>
                <w:rFonts w:eastAsia="Times New Roman" w:cs="Times New Roman"/>
                <w:i/>
                <w:iCs/>
                <w:sz w:val="20"/>
                <w:szCs w:val="20"/>
                <w:lang w:eastAsia="lv-LV"/>
              </w:rPr>
              <w:t>euro</w:t>
            </w:r>
            <w:proofErr w:type="spellEnd"/>
            <w:r w:rsidRPr="00B6285A">
              <w:rPr>
                <w:rFonts w:eastAsia="Times New Roman" w:cs="Times New Roman"/>
                <w:sz w:val="20"/>
                <w:szCs w:val="20"/>
                <w:lang w:eastAsia="lv-LV"/>
              </w:rPr>
              <w:t>/</w:t>
            </w:r>
            <w:proofErr w:type="spellStart"/>
            <w:r w:rsidRPr="00B6285A">
              <w:rPr>
                <w:rFonts w:eastAsia="Times New Roman" w:cs="Times New Roman"/>
                <w:sz w:val="20"/>
                <w:szCs w:val="20"/>
                <w:lang w:eastAsia="lv-LV"/>
              </w:rPr>
              <w:t>MWh</w:t>
            </w:r>
            <w:proofErr w:type="spellEnd"/>
            <w:r w:rsidRPr="00B6285A">
              <w:rPr>
                <w:rFonts w:eastAsia="Times New Roman" w:cs="Times New Roman"/>
                <w:sz w:val="20"/>
                <w:szCs w:val="20"/>
                <w:lang w:eastAsia="lv-LV"/>
              </w:rPr>
              <w:t>) no 2022.gada 1.oktobra līdz 2023.gada 30.aprīlim</w:t>
            </w:r>
          </w:p>
        </w:tc>
        <w:tc>
          <w:tcPr>
            <w:tcW w:w="452" w:type="pct"/>
            <w:tcBorders>
              <w:top w:val="nil"/>
              <w:left w:val="nil"/>
              <w:bottom w:val="single" w:sz="4" w:space="0" w:color="auto"/>
              <w:right w:val="single" w:sz="4" w:space="0" w:color="auto"/>
            </w:tcBorders>
            <w:shd w:val="clear" w:color="auto" w:fill="auto"/>
            <w:noWrap/>
            <w:vAlign w:val="center"/>
            <w:hideMark/>
          </w:tcPr>
          <w:p w14:paraId="738B00E8"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w:t>
            </w:r>
          </w:p>
        </w:tc>
        <w:tc>
          <w:tcPr>
            <w:tcW w:w="418" w:type="pct"/>
            <w:tcBorders>
              <w:top w:val="nil"/>
              <w:left w:val="nil"/>
              <w:bottom w:val="single" w:sz="4" w:space="0" w:color="auto"/>
              <w:right w:val="single" w:sz="4" w:space="0" w:color="auto"/>
            </w:tcBorders>
            <w:shd w:val="clear" w:color="auto" w:fill="auto"/>
            <w:noWrap/>
            <w:vAlign w:val="center"/>
            <w:hideMark/>
          </w:tcPr>
          <w:p w14:paraId="36AEC8C1"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72,0</w:t>
            </w:r>
          </w:p>
        </w:tc>
        <w:tc>
          <w:tcPr>
            <w:tcW w:w="469" w:type="pct"/>
            <w:tcBorders>
              <w:top w:val="nil"/>
              <w:left w:val="nil"/>
              <w:bottom w:val="single" w:sz="4" w:space="0" w:color="auto"/>
              <w:right w:val="single" w:sz="4" w:space="0" w:color="auto"/>
            </w:tcBorders>
            <w:shd w:val="clear" w:color="auto" w:fill="auto"/>
            <w:noWrap/>
            <w:vAlign w:val="center"/>
            <w:hideMark/>
          </w:tcPr>
          <w:p w14:paraId="6A587358"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26,4</w:t>
            </w:r>
          </w:p>
        </w:tc>
        <w:tc>
          <w:tcPr>
            <w:tcW w:w="376" w:type="pct"/>
            <w:tcBorders>
              <w:top w:val="nil"/>
              <w:left w:val="nil"/>
              <w:bottom w:val="single" w:sz="4" w:space="0" w:color="auto"/>
              <w:right w:val="single" w:sz="4" w:space="0" w:color="auto"/>
            </w:tcBorders>
            <w:shd w:val="clear" w:color="auto" w:fill="auto"/>
            <w:noWrap/>
            <w:vAlign w:val="center"/>
            <w:hideMark/>
          </w:tcPr>
          <w:p w14:paraId="5E4DF200"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96,0</w:t>
            </w:r>
          </w:p>
        </w:tc>
        <w:tc>
          <w:tcPr>
            <w:tcW w:w="481" w:type="pct"/>
            <w:tcBorders>
              <w:top w:val="nil"/>
              <w:left w:val="nil"/>
              <w:bottom w:val="single" w:sz="4" w:space="0" w:color="auto"/>
              <w:right w:val="single" w:sz="4" w:space="0" w:color="auto"/>
            </w:tcBorders>
            <w:shd w:val="clear" w:color="auto" w:fill="auto"/>
            <w:noWrap/>
            <w:vAlign w:val="center"/>
            <w:hideMark/>
          </w:tcPr>
          <w:p w14:paraId="6F49CD94"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29,4</w:t>
            </w:r>
          </w:p>
        </w:tc>
      </w:tr>
      <w:tr w:rsidR="00B6285A" w:rsidRPr="00B6285A" w14:paraId="75A20293" w14:textId="77777777" w:rsidTr="00143408">
        <w:trPr>
          <w:trHeight w:val="560"/>
        </w:trPr>
        <w:tc>
          <w:tcPr>
            <w:tcW w:w="2804" w:type="pct"/>
            <w:tcBorders>
              <w:top w:val="nil"/>
              <w:left w:val="single" w:sz="4" w:space="0" w:color="auto"/>
              <w:bottom w:val="single" w:sz="4" w:space="0" w:color="auto"/>
              <w:right w:val="single" w:sz="4" w:space="0" w:color="auto"/>
            </w:tcBorders>
            <w:shd w:val="clear" w:color="auto" w:fill="auto"/>
            <w:vAlign w:val="center"/>
            <w:hideMark/>
          </w:tcPr>
          <w:p w14:paraId="7C7FD177" w14:textId="77777777" w:rsidR="00B6285A" w:rsidRPr="00B6285A" w:rsidRDefault="00B6285A" w:rsidP="00B6285A">
            <w:pPr>
              <w:ind w:firstLine="0"/>
              <w:rPr>
                <w:rFonts w:eastAsia="Times New Roman" w:cs="Times New Roman"/>
                <w:sz w:val="20"/>
                <w:szCs w:val="20"/>
                <w:lang w:eastAsia="lv-LV"/>
              </w:rPr>
            </w:pPr>
            <w:r w:rsidRPr="00B6285A">
              <w:rPr>
                <w:rFonts w:eastAsia="Times New Roman" w:cs="Times New Roman"/>
                <w:sz w:val="20"/>
                <w:szCs w:val="20"/>
                <w:lang w:eastAsia="lv-LV"/>
              </w:rPr>
              <w:t xml:space="preserve">Malkas iegādes izmaksu pieauguma kompensācija mājsaimniecībām (ar čeku) ar iegādi no 2022.gada 1.maija līdz 2023.gada 30.aprīlim, (ja izmaksas pārsniedz 40 </w:t>
            </w:r>
            <w:proofErr w:type="spellStart"/>
            <w:r w:rsidRPr="00B6285A">
              <w:rPr>
                <w:rFonts w:eastAsia="Times New Roman" w:cs="Times New Roman"/>
                <w:i/>
                <w:iCs/>
                <w:sz w:val="20"/>
                <w:szCs w:val="20"/>
                <w:lang w:eastAsia="lv-LV"/>
              </w:rPr>
              <w:t>euro</w:t>
            </w:r>
            <w:proofErr w:type="spellEnd"/>
            <w:r w:rsidRPr="00B6285A">
              <w:rPr>
                <w:rFonts w:eastAsia="Times New Roman" w:cs="Times New Roman"/>
                <w:sz w:val="20"/>
                <w:szCs w:val="20"/>
                <w:lang w:eastAsia="lv-LV"/>
              </w:rPr>
              <w:t>/</w:t>
            </w:r>
            <w:proofErr w:type="spellStart"/>
            <w:r w:rsidRPr="00B6285A">
              <w:rPr>
                <w:rFonts w:eastAsia="Times New Roman" w:cs="Times New Roman"/>
                <w:sz w:val="20"/>
                <w:szCs w:val="20"/>
                <w:lang w:eastAsia="lv-LV"/>
              </w:rPr>
              <w:t>berkubikmetrā</w:t>
            </w:r>
            <w:proofErr w:type="spellEnd"/>
            <w:r w:rsidRPr="00B6285A">
              <w:rPr>
                <w:rFonts w:eastAsia="Times New Roman" w:cs="Times New Roman"/>
                <w:sz w:val="20"/>
                <w:szCs w:val="20"/>
                <w:lang w:eastAsia="lv-LV"/>
              </w:rPr>
              <w:t xml:space="preserve">), bet ne vairāk kā 15 </w:t>
            </w:r>
            <w:proofErr w:type="spellStart"/>
            <w:r w:rsidRPr="00B6285A">
              <w:rPr>
                <w:rFonts w:eastAsia="Times New Roman" w:cs="Times New Roman"/>
                <w:i/>
                <w:iCs/>
                <w:sz w:val="20"/>
                <w:szCs w:val="20"/>
                <w:lang w:eastAsia="lv-LV"/>
              </w:rPr>
              <w:t>euro</w:t>
            </w:r>
            <w:proofErr w:type="spellEnd"/>
            <w:r w:rsidRPr="00B6285A">
              <w:rPr>
                <w:rFonts w:eastAsia="Times New Roman" w:cs="Times New Roman"/>
                <w:sz w:val="20"/>
                <w:szCs w:val="20"/>
                <w:lang w:eastAsia="lv-LV"/>
              </w:rPr>
              <w:t xml:space="preserve"> /</w:t>
            </w:r>
            <w:proofErr w:type="spellStart"/>
            <w:r w:rsidRPr="00B6285A">
              <w:rPr>
                <w:rFonts w:eastAsia="Times New Roman" w:cs="Times New Roman"/>
                <w:sz w:val="20"/>
                <w:szCs w:val="20"/>
                <w:lang w:eastAsia="lv-LV"/>
              </w:rPr>
              <w:t>berkubikmetrā</w:t>
            </w:r>
            <w:proofErr w:type="spellEnd"/>
            <w:r w:rsidRPr="00B6285A">
              <w:rPr>
                <w:rFonts w:eastAsia="Times New Roman" w:cs="Times New Roman"/>
                <w:sz w:val="20"/>
                <w:szCs w:val="20"/>
                <w:lang w:eastAsia="lv-LV"/>
              </w:rPr>
              <w:t xml:space="preserve"> apmērā</w:t>
            </w:r>
          </w:p>
        </w:tc>
        <w:tc>
          <w:tcPr>
            <w:tcW w:w="452" w:type="pct"/>
            <w:tcBorders>
              <w:top w:val="nil"/>
              <w:left w:val="nil"/>
              <w:bottom w:val="single" w:sz="4" w:space="0" w:color="auto"/>
              <w:right w:val="single" w:sz="4" w:space="0" w:color="auto"/>
            </w:tcBorders>
            <w:shd w:val="clear" w:color="auto" w:fill="auto"/>
            <w:noWrap/>
            <w:vAlign w:val="center"/>
            <w:hideMark/>
          </w:tcPr>
          <w:p w14:paraId="4E93C13C"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w:t>
            </w:r>
          </w:p>
        </w:tc>
        <w:tc>
          <w:tcPr>
            <w:tcW w:w="418" w:type="pct"/>
            <w:tcBorders>
              <w:top w:val="nil"/>
              <w:left w:val="nil"/>
              <w:bottom w:val="single" w:sz="4" w:space="0" w:color="auto"/>
              <w:right w:val="single" w:sz="4" w:space="0" w:color="auto"/>
            </w:tcBorders>
            <w:shd w:val="clear" w:color="auto" w:fill="auto"/>
            <w:noWrap/>
            <w:vAlign w:val="center"/>
            <w:hideMark/>
          </w:tcPr>
          <w:p w14:paraId="1568F025"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21,8</w:t>
            </w:r>
          </w:p>
        </w:tc>
        <w:tc>
          <w:tcPr>
            <w:tcW w:w="469" w:type="pct"/>
            <w:tcBorders>
              <w:top w:val="nil"/>
              <w:left w:val="nil"/>
              <w:bottom w:val="single" w:sz="4" w:space="0" w:color="auto"/>
              <w:right w:val="single" w:sz="4" w:space="0" w:color="auto"/>
            </w:tcBorders>
            <w:shd w:val="clear" w:color="auto" w:fill="auto"/>
            <w:noWrap/>
            <w:vAlign w:val="center"/>
            <w:hideMark/>
          </w:tcPr>
          <w:p w14:paraId="75D16AA5"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0,1</w:t>
            </w:r>
          </w:p>
        </w:tc>
        <w:tc>
          <w:tcPr>
            <w:tcW w:w="376" w:type="pct"/>
            <w:tcBorders>
              <w:top w:val="nil"/>
              <w:left w:val="nil"/>
              <w:bottom w:val="single" w:sz="4" w:space="0" w:color="auto"/>
              <w:right w:val="single" w:sz="4" w:space="0" w:color="auto"/>
            </w:tcBorders>
            <w:shd w:val="clear" w:color="auto" w:fill="auto"/>
            <w:noWrap/>
            <w:vAlign w:val="center"/>
            <w:hideMark/>
          </w:tcPr>
          <w:p w14:paraId="7DF52669"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21,8</w:t>
            </w:r>
          </w:p>
        </w:tc>
        <w:tc>
          <w:tcPr>
            <w:tcW w:w="481" w:type="pct"/>
            <w:tcBorders>
              <w:top w:val="nil"/>
              <w:left w:val="nil"/>
              <w:bottom w:val="single" w:sz="4" w:space="0" w:color="auto"/>
              <w:right w:val="single" w:sz="4" w:space="0" w:color="auto"/>
            </w:tcBorders>
            <w:shd w:val="clear" w:color="auto" w:fill="auto"/>
            <w:noWrap/>
            <w:vAlign w:val="center"/>
            <w:hideMark/>
          </w:tcPr>
          <w:p w14:paraId="40CF8EB1"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0,04</w:t>
            </w:r>
          </w:p>
        </w:tc>
      </w:tr>
      <w:tr w:rsidR="00B6285A" w:rsidRPr="00B6285A" w14:paraId="7D589B97" w14:textId="77777777" w:rsidTr="00143408">
        <w:trPr>
          <w:trHeight w:val="290"/>
        </w:trPr>
        <w:tc>
          <w:tcPr>
            <w:tcW w:w="2804" w:type="pct"/>
            <w:tcBorders>
              <w:top w:val="nil"/>
              <w:left w:val="single" w:sz="4" w:space="0" w:color="auto"/>
              <w:bottom w:val="single" w:sz="4" w:space="0" w:color="auto"/>
              <w:right w:val="single" w:sz="4" w:space="0" w:color="auto"/>
            </w:tcBorders>
            <w:shd w:val="clear" w:color="auto" w:fill="auto"/>
            <w:vAlign w:val="center"/>
            <w:hideMark/>
          </w:tcPr>
          <w:p w14:paraId="6349BF48" w14:textId="77777777" w:rsidR="00B6285A" w:rsidRPr="00B6285A" w:rsidRDefault="00B6285A" w:rsidP="00B6285A">
            <w:pPr>
              <w:ind w:firstLine="0"/>
              <w:rPr>
                <w:rFonts w:eastAsia="Times New Roman" w:cs="Times New Roman"/>
                <w:sz w:val="20"/>
                <w:szCs w:val="20"/>
                <w:lang w:eastAsia="lv-LV"/>
              </w:rPr>
            </w:pPr>
            <w:r w:rsidRPr="00B6285A">
              <w:rPr>
                <w:rFonts w:eastAsia="Times New Roman" w:cs="Times New Roman"/>
                <w:sz w:val="20"/>
                <w:szCs w:val="20"/>
                <w:lang w:eastAsia="lv-LV"/>
              </w:rPr>
              <w:t xml:space="preserve">Malka par kuru nav saglabāts čeks, 60 </w:t>
            </w:r>
            <w:proofErr w:type="spellStart"/>
            <w:r w:rsidRPr="00B6285A">
              <w:rPr>
                <w:rFonts w:eastAsia="Times New Roman" w:cs="Times New Roman"/>
                <w:i/>
                <w:iCs/>
                <w:sz w:val="20"/>
                <w:szCs w:val="20"/>
                <w:lang w:eastAsia="lv-LV"/>
              </w:rPr>
              <w:t>euro</w:t>
            </w:r>
            <w:proofErr w:type="spellEnd"/>
            <w:r w:rsidRPr="00B6285A">
              <w:rPr>
                <w:rFonts w:eastAsia="Times New Roman" w:cs="Times New Roman"/>
                <w:sz w:val="20"/>
                <w:szCs w:val="20"/>
                <w:lang w:eastAsia="lv-LV"/>
              </w:rPr>
              <w:t xml:space="preserve"> vienreizējs pabalsts (līdz 2022.gada 31.augustam iegāde notikusi) mājsaimniecībām</w:t>
            </w:r>
          </w:p>
        </w:tc>
        <w:tc>
          <w:tcPr>
            <w:tcW w:w="452" w:type="pct"/>
            <w:tcBorders>
              <w:top w:val="nil"/>
              <w:left w:val="nil"/>
              <w:bottom w:val="single" w:sz="4" w:space="0" w:color="auto"/>
              <w:right w:val="single" w:sz="4" w:space="0" w:color="auto"/>
            </w:tcBorders>
            <w:shd w:val="clear" w:color="auto" w:fill="auto"/>
            <w:noWrap/>
            <w:vAlign w:val="center"/>
            <w:hideMark/>
          </w:tcPr>
          <w:p w14:paraId="1F3C0CFE"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w:t>
            </w:r>
          </w:p>
        </w:tc>
        <w:tc>
          <w:tcPr>
            <w:tcW w:w="418" w:type="pct"/>
            <w:tcBorders>
              <w:top w:val="nil"/>
              <w:left w:val="nil"/>
              <w:bottom w:val="single" w:sz="4" w:space="0" w:color="auto"/>
              <w:right w:val="single" w:sz="4" w:space="0" w:color="auto"/>
            </w:tcBorders>
            <w:shd w:val="clear" w:color="auto" w:fill="auto"/>
            <w:noWrap/>
            <w:vAlign w:val="center"/>
            <w:hideMark/>
          </w:tcPr>
          <w:p w14:paraId="5DCB2BF6"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4,8</w:t>
            </w:r>
          </w:p>
        </w:tc>
        <w:tc>
          <w:tcPr>
            <w:tcW w:w="469" w:type="pct"/>
            <w:tcBorders>
              <w:top w:val="nil"/>
              <w:left w:val="nil"/>
              <w:bottom w:val="single" w:sz="4" w:space="0" w:color="auto"/>
              <w:right w:val="single" w:sz="4" w:space="0" w:color="auto"/>
            </w:tcBorders>
            <w:shd w:val="clear" w:color="auto" w:fill="auto"/>
            <w:noWrap/>
            <w:vAlign w:val="center"/>
            <w:hideMark/>
          </w:tcPr>
          <w:p w14:paraId="56626557"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12,9</w:t>
            </w:r>
          </w:p>
        </w:tc>
        <w:tc>
          <w:tcPr>
            <w:tcW w:w="376" w:type="pct"/>
            <w:tcBorders>
              <w:top w:val="nil"/>
              <w:left w:val="nil"/>
              <w:bottom w:val="single" w:sz="4" w:space="0" w:color="auto"/>
              <w:right w:val="single" w:sz="4" w:space="0" w:color="auto"/>
            </w:tcBorders>
            <w:shd w:val="clear" w:color="auto" w:fill="auto"/>
            <w:noWrap/>
            <w:vAlign w:val="center"/>
            <w:hideMark/>
          </w:tcPr>
          <w:p w14:paraId="17D6A6CE"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w:t>
            </w:r>
          </w:p>
        </w:tc>
        <w:tc>
          <w:tcPr>
            <w:tcW w:w="481" w:type="pct"/>
            <w:tcBorders>
              <w:top w:val="nil"/>
              <w:left w:val="nil"/>
              <w:bottom w:val="single" w:sz="4" w:space="0" w:color="auto"/>
              <w:right w:val="single" w:sz="4" w:space="0" w:color="auto"/>
            </w:tcBorders>
            <w:shd w:val="clear" w:color="auto" w:fill="auto"/>
            <w:noWrap/>
            <w:vAlign w:val="center"/>
            <w:hideMark/>
          </w:tcPr>
          <w:p w14:paraId="20C9EB67"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0,1</w:t>
            </w:r>
          </w:p>
        </w:tc>
      </w:tr>
      <w:tr w:rsidR="00B6285A" w:rsidRPr="00B6285A" w14:paraId="6C2F73B8" w14:textId="77777777" w:rsidTr="00143408">
        <w:trPr>
          <w:trHeight w:val="560"/>
        </w:trPr>
        <w:tc>
          <w:tcPr>
            <w:tcW w:w="2804" w:type="pct"/>
            <w:tcBorders>
              <w:top w:val="nil"/>
              <w:left w:val="single" w:sz="4" w:space="0" w:color="auto"/>
              <w:bottom w:val="single" w:sz="4" w:space="0" w:color="auto"/>
              <w:right w:val="single" w:sz="4" w:space="0" w:color="auto"/>
            </w:tcBorders>
            <w:shd w:val="clear" w:color="auto" w:fill="auto"/>
            <w:vAlign w:val="center"/>
            <w:hideMark/>
          </w:tcPr>
          <w:p w14:paraId="4B55F381" w14:textId="77777777" w:rsidR="00B6285A" w:rsidRPr="00B6285A" w:rsidRDefault="00B6285A" w:rsidP="00B6285A">
            <w:pPr>
              <w:ind w:firstLine="0"/>
              <w:rPr>
                <w:rFonts w:eastAsia="Times New Roman" w:cs="Times New Roman"/>
                <w:sz w:val="20"/>
                <w:szCs w:val="20"/>
                <w:lang w:eastAsia="lv-LV"/>
              </w:rPr>
            </w:pPr>
            <w:r w:rsidRPr="00B6285A">
              <w:rPr>
                <w:rFonts w:eastAsia="Times New Roman" w:cs="Times New Roman"/>
                <w:sz w:val="20"/>
                <w:szCs w:val="20"/>
                <w:lang w:eastAsia="lv-LV"/>
              </w:rPr>
              <w:t xml:space="preserve">Brikešu iegādes izmaksu pieauguma kompensācija mājsaimniecībām ar iegādi no 2022.gada 1.maija līdz 2023.gada 30.aprīlim (50% apmērā (ja izmaksas pārsniedz 300 </w:t>
            </w:r>
            <w:proofErr w:type="spellStart"/>
            <w:r w:rsidRPr="00B6285A">
              <w:rPr>
                <w:rFonts w:eastAsia="Times New Roman" w:cs="Times New Roman"/>
                <w:i/>
                <w:iCs/>
                <w:sz w:val="20"/>
                <w:szCs w:val="20"/>
                <w:lang w:eastAsia="lv-LV"/>
              </w:rPr>
              <w:t>euro</w:t>
            </w:r>
            <w:proofErr w:type="spellEnd"/>
            <w:r w:rsidRPr="00B6285A">
              <w:rPr>
                <w:rFonts w:eastAsia="Times New Roman" w:cs="Times New Roman"/>
                <w:sz w:val="20"/>
                <w:szCs w:val="20"/>
                <w:lang w:eastAsia="lv-LV"/>
              </w:rPr>
              <w:t xml:space="preserve">/tonnu), bet ne vairāk kā 100 </w:t>
            </w:r>
            <w:proofErr w:type="spellStart"/>
            <w:r w:rsidRPr="00B6285A">
              <w:rPr>
                <w:rFonts w:eastAsia="Times New Roman" w:cs="Times New Roman"/>
                <w:i/>
                <w:iCs/>
                <w:sz w:val="20"/>
                <w:szCs w:val="20"/>
                <w:lang w:eastAsia="lv-LV"/>
              </w:rPr>
              <w:t>euro</w:t>
            </w:r>
            <w:proofErr w:type="spellEnd"/>
            <w:r w:rsidRPr="00B6285A">
              <w:rPr>
                <w:rFonts w:eastAsia="Times New Roman" w:cs="Times New Roman"/>
                <w:sz w:val="20"/>
                <w:szCs w:val="20"/>
                <w:lang w:eastAsia="lv-LV"/>
              </w:rPr>
              <w:t>/tonnu apmērā)</w:t>
            </w:r>
          </w:p>
        </w:tc>
        <w:tc>
          <w:tcPr>
            <w:tcW w:w="452" w:type="pct"/>
            <w:tcBorders>
              <w:top w:val="nil"/>
              <w:left w:val="nil"/>
              <w:bottom w:val="single" w:sz="4" w:space="0" w:color="auto"/>
              <w:right w:val="single" w:sz="4" w:space="0" w:color="auto"/>
            </w:tcBorders>
            <w:shd w:val="clear" w:color="auto" w:fill="auto"/>
            <w:noWrap/>
            <w:vAlign w:val="center"/>
            <w:hideMark/>
          </w:tcPr>
          <w:p w14:paraId="3B6B7B3F"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w:t>
            </w:r>
          </w:p>
        </w:tc>
        <w:tc>
          <w:tcPr>
            <w:tcW w:w="418" w:type="pct"/>
            <w:tcBorders>
              <w:top w:val="nil"/>
              <w:left w:val="nil"/>
              <w:bottom w:val="single" w:sz="4" w:space="0" w:color="auto"/>
              <w:right w:val="single" w:sz="4" w:space="0" w:color="auto"/>
            </w:tcBorders>
            <w:shd w:val="clear" w:color="auto" w:fill="auto"/>
            <w:noWrap/>
            <w:vAlign w:val="center"/>
            <w:hideMark/>
          </w:tcPr>
          <w:p w14:paraId="2564027F"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2,0</w:t>
            </w:r>
          </w:p>
        </w:tc>
        <w:tc>
          <w:tcPr>
            <w:tcW w:w="469" w:type="pct"/>
            <w:tcBorders>
              <w:top w:val="nil"/>
              <w:left w:val="nil"/>
              <w:bottom w:val="single" w:sz="4" w:space="0" w:color="auto"/>
              <w:right w:val="single" w:sz="4" w:space="0" w:color="auto"/>
            </w:tcBorders>
            <w:shd w:val="clear" w:color="auto" w:fill="auto"/>
            <w:noWrap/>
            <w:vAlign w:val="center"/>
            <w:hideMark/>
          </w:tcPr>
          <w:p w14:paraId="08C0771D"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0,1</w:t>
            </w:r>
          </w:p>
        </w:tc>
        <w:tc>
          <w:tcPr>
            <w:tcW w:w="376" w:type="pct"/>
            <w:tcBorders>
              <w:top w:val="nil"/>
              <w:left w:val="nil"/>
              <w:bottom w:val="single" w:sz="4" w:space="0" w:color="auto"/>
              <w:right w:val="single" w:sz="4" w:space="0" w:color="auto"/>
            </w:tcBorders>
            <w:shd w:val="clear" w:color="auto" w:fill="auto"/>
            <w:noWrap/>
            <w:vAlign w:val="center"/>
            <w:hideMark/>
          </w:tcPr>
          <w:p w14:paraId="5AA6571F"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2,0</w:t>
            </w:r>
          </w:p>
        </w:tc>
        <w:tc>
          <w:tcPr>
            <w:tcW w:w="481" w:type="pct"/>
            <w:tcBorders>
              <w:top w:val="nil"/>
              <w:left w:val="nil"/>
              <w:bottom w:val="single" w:sz="4" w:space="0" w:color="auto"/>
              <w:right w:val="single" w:sz="4" w:space="0" w:color="auto"/>
            </w:tcBorders>
            <w:shd w:val="clear" w:color="auto" w:fill="auto"/>
            <w:noWrap/>
            <w:vAlign w:val="center"/>
            <w:hideMark/>
          </w:tcPr>
          <w:p w14:paraId="3A6913F5"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0,04</w:t>
            </w:r>
          </w:p>
        </w:tc>
      </w:tr>
      <w:tr w:rsidR="00B6285A" w:rsidRPr="00B6285A" w14:paraId="12799DA2" w14:textId="77777777" w:rsidTr="00143408">
        <w:trPr>
          <w:trHeight w:val="560"/>
        </w:trPr>
        <w:tc>
          <w:tcPr>
            <w:tcW w:w="2804" w:type="pct"/>
            <w:tcBorders>
              <w:top w:val="nil"/>
              <w:left w:val="single" w:sz="4" w:space="0" w:color="auto"/>
              <w:bottom w:val="single" w:sz="4" w:space="0" w:color="auto"/>
              <w:right w:val="single" w:sz="4" w:space="0" w:color="auto"/>
            </w:tcBorders>
            <w:shd w:val="clear" w:color="auto" w:fill="auto"/>
            <w:vAlign w:val="center"/>
            <w:hideMark/>
          </w:tcPr>
          <w:p w14:paraId="73775240" w14:textId="77777777" w:rsidR="00B6285A" w:rsidRPr="00B6285A" w:rsidRDefault="00B6285A" w:rsidP="00B6285A">
            <w:pPr>
              <w:ind w:firstLine="0"/>
              <w:rPr>
                <w:rFonts w:eastAsia="Times New Roman" w:cs="Times New Roman"/>
                <w:i/>
                <w:iCs/>
                <w:sz w:val="20"/>
                <w:szCs w:val="20"/>
                <w:lang w:eastAsia="lv-LV"/>
              </w:rPr>
            </w:pPr>
            <w:r w:rsidRPr="00B6285A">
              <w:rPr>
                <w:rFonts w:eastAsia="Times New Roman" w:cs="Times New Roman"/>
                <w:sz w:val="20"/>
                <w:szCs w:val="20"/>
                <w:lang w:eastAsia="lv-LV"/>
              </w:rPr>
              <w:t xml:space="preserve">Granulu izmaksu pieauguma kompensācija mājsaimniecībām ar iegādi no 2022.gada 1.maija līdz 2023.gada 30.aprīlim (50% apmērā (ja izmaksas pārsniedz 300 </w:t>
            </w:r>
            <w:proofErr w:type="spellStart"/>
            <w:r w:rsidRPr="00B6285A">
              <w:rPr>
                <w:rFonts w:eastAsia="Times New Roman" w:cs="Times New Roman"/>
                <w:i/>
                <w:iCs/>
                <w:sz w:val="20"/>
                <w:szCs w:val="20"/>
                <w:lang w:eastAsia="lv-LV"/>
              </w:rPr>
              <w:t>euro</w:t>
            </w:r>
            <w:proofErr w:type="spellEnd"/>
            <w:r w:rsidRPr="00B6285A">
              <w:rPr>
                <w:rFonts w:eastAsia="Times New Roman" w:cs="Times New Roman"/>
                <w:sz w:val="20"/>
                <w:szCs w:val="20"/>
                <w:lang w:eastAsia="lv-LV"/>
              </w:rPr>
              <w:t xml:space="preserve">/tonnu), bet ne vairāk kā 100 </w:t>
            </w:r>
            <w:proofErr w:type="spellStart"/>
            <w:r w:rsidRPr="00B6285A">
              <w:rPr>
                <w:rFonts w:eastAsia="Times New Roman" w:cs="Times New Roman"/>
                <w:i/>
                <w:iCs/>
                <w:sz w:val="20"/>
                <w:szCs w:val="20"/>
                <w:lang w:eastAsia="lv-LV"/>
              </w:rPr>
              <w:t>euro</w:t>
            </w:r>
            <w:proofErr w:type="spellEnd"/>
            <w:r w:rsidRPr="00B6285A">
              <w:rPr>
                <w:rFonts w:eastAsia="Times New Roman" w:cs="Times New Roman"/>
                <w:sz w:val="20"/>
                <w:szCs w:val="20"/>
                <w:lang w:eastAsia="lv-LV"/>
              </w:rPr>
              <w:t>/tonnu apmērā)</w:t>
            </w:r>
          </w:p>
        </w:tc>
        <w:tc>
          <w:tcPr>
            <w:tcW w:w="452" w:type="pct"/>
            <w:tcBorders>
              <w:top w:val="nil"/>
              <w:left w:val="nil"/>
              <w:bottom w:val="single" w:sz="4" w:space="0" w:color="auto"/>
              <w:right w:val="single" w:sz="4" w:space="0" w:color="auto"/>
            </w:tcBorders>
            <w:shd w:val="clear" w:color="auto" w:fill="auto"/>
            <w:noWrap/>
            <w:vAlign w:val="center"/>
            <w:hideMark/>
          </w:tcPr>
          <w:p w14:paraId="439B5D8E"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w:t>
            </w:r>
          </w:p>
        </w:tc>
        <w:tc>
          <w:tcPr>
            <w:tcW w:w="418" w:type="pct"/>
            <w:tcBorders>
              <w:top w:val="nil"/>
              <w:left w:val="nil"/>
              <w:bottom w:val="single" w:sz="4" w:space="0" w:color="auto"/>
              <w:right w:val="single" w:sz="4" w:space="0" w:color="auto"/>
            </w:tcBorders>
            <w:shd w:val="clear" w:color="auto" w:fill="auto"/>
            <w:noWrap/>
            <w:vAlign w:val="center"/>
            <w:hideMark/>
          </w:tcPr>
          <w:p w14:paraId="3A60F79D"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10,5</w:t>
            </w:r>
          </w:p>
        </w:tc>
        <w:tc>
          <w:tcPr>
            <w:tcW w:w="469" w:type="pct"/>
            <w:tcBorders>
              <w:top w:val="nil"/>
              <w:left w:val="nil"/>
              <w:bottom w:val="single" w:sz="4" w:space="0" w:color="auto"/>
              <w:right w:val="single" w:sz="4" w:space="0" w:color="auto"/>
            </w:tcBorders>
            <w:shd w:val="clear" w:color="auto" w:fill="auto"/>
            <w:noWrap/>
            <w:vAlign w:val="center"/>
            <w:hideMark/>
          </w:tcPr>
          <w:p w14:paraId="35081282"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1,1</w:t>
            </w:r>
          </w:p>
        </w:tc>
        <w:tc>
          <w:tcPr>
            <w:tcW w:w="376" w:type="pct"/>
            <w:tcBorders>
              <w:top w:val="nil"/>
              <w:left w:val="nil"/>
              <w:bottom w:val="single" w:sz="4" w:space="0" w:color="auto"/>
              <w:right w:val="single" w:sz="4" w:space="0" w:color="auto"/>
            </w:tcBorders>
            <w:shd w:val="clear" w:color="auto" w:fill="auto"/>
            <w:noWrap/>
            <w:vAlign w:val="center"/>
            <w:hideMark/>
          </w:tcPr>
          <w:p w14:paraId="11BAE237"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11,9</w:t>
            </w:r>
          </w:p>
        </w:tc>
        <w:tc>
          <w:tcPr>
            <w:tcW w:w="481" w:type="pct"/>
            <w:tcBorders>
              <w:top w:val="nil"/>
              <w:left w:val="nil"/>
              <w:bottom w:val="single" w:sz="4" w:space="0" w:color="auto"/>
              <w:right w:val="single" w:sz="4" w:space="0" w:color="auto"/>
            </w:tcBorders>
            <w:shd w:val="clear" w:color="auto" w:fill="auto"/>
            <w:noWrap/>
            <w:vAlign w:val="center"/>
            <w:hideMark/>
          </w:tcPr>
          <w:p w14:paraId="49851B6A"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0,4</w:t>
            </w:r>
          </w:p>
        </w:tc>
      </w:tr>
      <w:tr w:rsidR="00B6285A" w:rsidRPr="00B6285A" w14:paraId="5859E3F1" w14:textId="77777777" w:rsidTr="00143408">
        <w:trPr>
          <w:trHeight w:val="290"/>
        </w:trPr>
        <w:tc>
          <w:tcPr>
            <w:tcW w:w="2804" w:type="pct"/>
            <w:tcBorders>
              <w:top w:val="nil"/>
              <w:left w:val="single" w:sz="4" w:space="0" w:color="auto"/>
              <w:bottom w:val="single" w:sz="4" w:space="0" w:color="auto"/>
              <w:right w:val="single" w:sz="4" w:space="0" w:color="auto"/>
            </w:tcBorders>
            <w:shd w:val="clear" w:color="auto" w:fill="auto"/>
            <w:vAlign w:val="center"/>
            <w:hideMark/>
          </w:tcPr>
          <w:p w14:paraId="5EA10772" w14:textId="77777777" w:rsidR="00B6285A" w:rsidRPr="00B6285A" w:rsidRDefault="00B6285A" w:rsidP="00B6285A">
            <w:pPr>
              <w:ind w:firstLine="0"/>
              <w:rPr>
                <w:rFonts w:eastAsia="Times New Roman" w:cs="Times New Roman"/>
                <w:sz w:val="20"/>
                <w:szCs w:val="20"/>
                <w:lang w:eastAsia="lv-LV"/>
              </w:rPr>
            </w:pPr>
            <w:r w:rsidRPr="00B6285A">
              <w:rPr>
                <w:rFonts w:eastAsia="Times New Roman" w:cs="Times New Roman"/>
                <w:sz w:val="20"/>
                <w:szCs w:val="20"/>
                <w:lang w:eastAsia="lv-LV"/>
              </w:rPr>
              <w:t xml:space="preserve">Sašķidrinātās naftas gāzes izmaksu pieauguma kompensācija 50% apmērā, ja izmaksas pārsniedz 0,91 </w:t>
            </w:r>
            <w:proofErr w:type="spellStart"/>
            <w:r w:rsidRPr="00B6285A">
              <w:rPr>
                <w:rFonts w:eastAsia="Times New Roman" w:cs="Times New Roman"/>
                <w:i/>
                <w:iCs/>
                <w:sz w:val="20"/>
                <w:szCs w:val="20"/>
                <w:lang w:eastAsia="lv-LV"/>
              </w:rPr>
              <w:t>euro</w:t>
            </w:r>
            <w:proofErr w:type="spellEnd"/>
            <w:r w:rsidRPr="00B6285A">
              <w:rPr>
                <w:rFonts w:eastAsia="Times New Roman" w:cs="Times New Roman"/>
                <w:sz w:val="20"/>
                <w:szCs w:val="20"/>
                <w:lang w:eastAsia="lv-LV"/>
              </w:rPr>
              <w:t xml:space="preserve"> par kilogramu, bet ne vairāk kā 1,29 </w:t>
            </w:r>
            <w:proofErr w:type="spellStart"/>
            <w:r w:rsidRPr="00B6285A">
              <w:rPr>
                <w:rFonts w:eastAsia="Times New Roman" w:cs="Times New Roman"/>
                <w:i/>
                <w:iCs/>
                <w:sz w:val="20"/>
                <w:szCs w:val="20"/>
                <w:lang w:eastAsia="lv-LV"/>
              </w:rPr>
              <w:t>euro</w:t>
            </w:r>
            <w:proofErr w:type="spellEnd"/>
            <w:r w:rsidRPr="00B6285A">
              <w:rPr>
                <w:rFonts w:eastAsia="Times New Roman" w:cs="Times New Roman"/>
                <w:sz w:val="20"/>
                <w:szCs w:val="20"/>
                <w:lang w:eastAsia="lv-LV"/>
              </w:rPr>
              <w:t xml:space="preserve"> par kilogramu līdz 2023.gada 30.aprīlim</w:t>
            </w:r>
          </w:p>
        </w:tc>
        <w:tc>
          <w:tcPr>
            <w:tcW w:w="452" w:type="pct"/>
            <w:tcBorders>
              <w:top w:val="nil"/>
              <w:left w:val="nil"/>
              <w:bottom w:val="single" w:sz="4" w:space="0" w:color="auto"/>
              <w:right w:val="single" w:sz="4" w:space="0" w:color="auto"/>
            </w:tcBorders>
            <w:shd w:val="clear" w:color="auto" w:fill="auto"/>
            <w:noWrap/>
            <w:vAlign w:val="center"/>
            <w:hideMark/>
          </w:tcPr>
          <w:p w14:paraId="62A79813"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w:t>
            </w:r>
          </w:p>
        </w:tc>
        <w:tc>
          <w:tcPr>
            <w:tcW w:w="418" w:type="pct"/>
            <w:tcBorders>
              <w:top w:val="nil"/>
              <w:left w:val="nil"/>
              <w:bottom w:val="single" w:sz="4" w:space="0" w:color="auto"/>
              <w:right w:val="single" w:sz="4" w:space="0" w:color="auto"/>
            </w:tcBorders>
            <w:shd w:val="clear" w:color="auto" w:fill="auto"/>
            <w:noWrap/>
            <w:vAlign w:val="center"/>
            <w:hideMark/>
          </w:tcPr>
          <w:p w14:paraId="5281EDD0"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w:t>
            </w:r>
          </w:p>
        </w:tc>
        <w:tc>
          <w:tcPr>
            <w:tcW w:w="469" w:type="pct"/>
            <w:tcBorders>
              <w:top w:val="nil"/>
              <w:left w:val="nil"/>
              <w:bottom w:val="single" w:sz="4" w:space="0" w:color="auto"/>
              <w:right w:val="single" w:sz="4" w:space="0" w:color="auto"/>
            </w:tcBorders>
            <w:shd w:val="clear" w:color="auto" w:fill="auto"/>
            <w:noWrap/>
            <w:vAlign w:val="center"/>
            <w:hideMark/>
          </w:tcPr>
          <w:p w14:paraId="5D8D2764"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w:t>
            </w:r>
          </w:p>
        </w:tc>
        <w:tc>
          <w:tcPr>
            <w:tcW w:w="376" w:type="pct"/>
            <w:tcBorders>
              <w:top w:val="nil"/>
              <w:left w:val="nil"/>
              <w:bottom w:val="single" w:sz="4" w:space="0" w:color="auto"/>
              <w:right w:val="single" w:sz="4" w:space="0" w:color="auto"/>
            </w:tcBorders>
            <w:shd w:val="clear" w:color="auto" w:fill="auto"/>
            <w:noWrap/>
            <w:vAlign w:val="center"/>
            <w:hideMark/>
          </w:tcPr>
          <w:p w14:paraId="0B2D1793"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w:t>
            </w:r>
          </w:p>
        </w:tc>
        <w:tc>
          <w:tcPr>
            <w:tcW w:w="481" w:type="pct"/>
            <w:tcBorders>
              <w:top w:val="nil"/>
              <w:left w:val="nil"/>
              <w:bottom w:val="single" w:sz="4" w:space="0" w:color="auto"/>
              <w:right w:val="single" w:sz="4" w:space="0" w:color="auto"/>
            </w:tcBorders>
            <w:shd w:val="clear" w:color="auto" w:fill="auto"/>
            <w:noWrap/>
            <w:vAlign w:val="center"/>
            <w:hideMark/>
          </w:tcPr>
          <w:p w14:paraId="5BEE19A0"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0,01</w:t>
            </w:r>
          </w:p>
        </w:tc>
      </w:tr>
      <w:tr w:rsidR="00B6285A" w:rsidRPr="00B6285A" w14:paraId="3D9D20B1" w14:textId="77777777" w:rsidTr="00143408">
        <w:trPr>
          <w:trHeight w:val="290"/>
        </w:trPr>
        <w:tc>
          <w:tcPr>
            <w:tcW w:w="2804" w:type="pct"/>
            <w:tcBorders>
              <w:top w:val="nil"/>
              <w:left w:val="single" w:sz="4" w:space="0" w:color="auto"/>
              <w:bottom w:val="single" w:sz="4" w:space="0" w:color="auto"/>
              <w:right w:val="single" w:sz="4" w:space="0" w:color="auto"/>
            </w:tcBorders>
            <w:shd w:val="clear" w:color="auto" w:fill="auto"/>
            <w:vAlign w:val="center"/>
            <w:hideMark/>
          </w:tcPr>
          <w:p w14:paraId="0B8A8612" w14:textId="77777777" w:rsidR="00B6285A" w:rsidRPr="00B6285A" w:rsidRDefault="00B6285A" w:rsidP="00B6285A">
            <w:pPr>
              <w:ind w:firstLine="0"/>
              <w:rPr>
                <w:rFonts w:eastAsia="Times New Roman" w:cs="Times New Roman"/>
                <w:sz w:val="20"/>
                <w:szCs w:val="20"/>
                <w:lang w:eastAsia="lv-LV"/>
              </w:rPr>
            </w:pPr>
            <w:r w:rsidRPr="00B6285A">
              <w:rPr>
                <w:rFonts w:eastAsia="Times New Roman" w:cs="Times New Roman"/>
                <w:sz w:val="20"/>
                <w:szCs w:val="20"/>
                <w:lang w:eastAsia="lv-LV"/>
              </w:rPr>
              <w:t xml:space="preserve">Dīzeļdegvielas izmaksu pieauguma kompensācija 50% apmērā, ja izmaksas pārsniedz 0,69 </w:t>
            </w:r>
            <w:proofErr w:type="spellStart"/>
            <w:r w:rsidRPr="00B6285A">
              <w:rPr>
                <w:rFonts w:eastAsia="Times New Roman" w:cs="Times New Roman"/>
                <w:i/>
                <w:iCs/>
                <w:sz w:val="20"/>
                <w:szCs w:val="20"/>
                <w:lang w:eastAsia="lv-LV"/>
              </w:rPr>
              <w:t>euro</w:t>
            </w:r>
            <w:proofErr w:type="spellEnd"/>
            <w:r w:rsidRPr="00B6285A">
              <w:rPr>
                <w:rFonts w:eastAsia="Times New Roman" w:cs="Times New Roman"/>
                <w:sz w:val="20"/>
                <w:szCs w:val="20"/>
                <w:lang w:eastAsia="lv-LV"/>
              </w:rPr>
              <w:t xml:space="preserve"> par litru, bet ne vairāk kā 2,01 </w:t>
            </w:r>
            <w:proofErr w:type="spellStart"/>
            <w:r w:rsidRPr="00B6285A">
              <w:rPr>
                <w:rFonts w:eastAsia="Times New Roman" w:cs="Times New Roman"/>
                <w:i/>
                <w:iCs/>
                <w:sz w:val="20"/>
                <w:szCs w:val="20"/>
                <w:lang w:eastAsia="lv-LV"/>
              </w:rPr>
              <w:t>euro</w:t>
            </w:r>
            <w:proofErr w:type="spellEnd"/>
            <w:r w:rsidRPr="00B6285A">
              <w:rPr>
                <w:rFonts w:eastAsia="Times New Roman" w:cs="Times New Roman"/>
                <w:sz w:val="20"/>
                <w:szCs w:val="20"/>
                <w:lang w:eastAsia="lv-LV"/>
              </w:rPr>
              <w:t xml:space="preserve"> par litru līdz 2023.gada 30.aprīlim</w:t>
            </w:r>
          </w:p>
        </w:tc>
        <w:tc>
          <w:tcPr>
            <w:tcW w:w="452" w:type="pct"/>
            <w:tcBorders>
              <w:top w:val="nil"/>
              <w:left w:val="nil"/>
              <w:bottom w:val="single" w:sz="4" w:space="0" w:color="auto"/>
              <w:right w:val="single" w:sz="4" w:space="0" w:color="auto"/>
            </w:tcBorders>
            <w:shd w:val="clear" w:color="auto" w:fill="auto"/>
            <w:noWrap/>
            <w:vAlign w:val="center"/>
            <w:hideMark/>
          </w:tcPr>
          <w:p w14:paraId="5C461B22"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w:t>
            </w:r>
          </w:p>
        </w:tc>
        <w:tc>
          <w:tcPr>
            <w:tcW w:w="418" w:type="pct"/>
            <w:tcBorders>
              <w:top w:val="nil"/>
              <w:left w:val="nil"/>
              <w:bottom w:val="single" w:sz="4" w:space="0" w:color="auto"/>
              <w:right w:val="single" w:sz="4" w:space="0" w:color="auto"/>
            </w:tcBorders>
            <w:shd w:val="clear" w:color="auto" w:fill="auto"/>
            <w:noWrap/>
            <w:vAlign w:val="center"/>
            <w:hideMark/>
          </w:tcPr>
          <w:p w14:paraId="088BC2D8"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w:t>
            </w:r>
          </w:p>
        </w:tc>
        <w:tc>
          <w:tcPr>
            <w:tcW w:w="469" w:type="pct"/>
            <w:tcBorders>
              <w:top w:val="nil"/>
              <w:left w:val="nil"/>
              <w:bottom w:val="single" w:sz="4" w:space="0" w:color="auto"/>
              <w:right w:val="single" w:sz="4" w:space="0" w:color="auto"/>
            </w:tcBorders>
            <w:shd w:val="clear" w:color="auto" w:fill="auto"/>
            <w:noWrap/>
            <w:vAlign w:val="center"/>
            <w:hideMark/>
          </w:tcPr>
          <w:p w14:paraId="74BE83A0"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w:t>
            </w:r>
          </w:p>
        </w:tc>
        <w:tc>
          <w:tcPr>
            <w:tcW w:w="376" w:type="pct"/>
            <w:tcBorders>
              <w:top w:val="nil"/>
              <w:left w:val="nil"/>
              <w:bottom w:val="single" w:sz="4" w:space="0" w:color="auto"/>
              <w:right w:val="single" w:sz="4" w:space="0" w:color="auto"/>
            </w:tcBorders>
            <w:shd w:val="clear" w:color="auto" w:fill="auto"/>
            <w:noWrap/>
            <w:vAlign w:val="center"/>
            <w:hideMark/>
          </w:tcPr>
          <w:p w14:paraId="4BCC82F1"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w:t>
            </w:r>
          </w:p>
        </w:tc>
        <w:tc>
          <w:tcPr>
            <w:tcW w:w="481" w:type="pct"/>
            <w:tcBorders>
              <w:top w:val="nil"/>
              <w:left w:val="nil"/>
              <w:bottom w:val="single" w:sz="4" w:space="0" w:color="auto"/>
              <w:right w:val="single" w:sz="4" w:space="0" w:color="auto"/>
            </w:tcBorders>
            <w:shd w:val="clear" w:color="auto" w:fill="auto"/>
            <w:noWrap/>
            <w:vAlign w:val="center"/>
            <w:hideMark/>
          </w:tcPr>
          <w:p w14:paraId="7FC82E17"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0,04</w:t>
            </w:r>
          </w:p>
        </w:tc>
      </w:tr>
      <w:tr w:rsidR="00B6285A" w:rsidRPr="00B6285A" w14:paraId="42943585" w14:textId="77777777" w:rsidTr="00143408">
        <w:trPr>
          <w:trHeight w:val="290"/>
        </w:trPr>
        <w:tc>
          <w:tcPr>
            <w:tcW w:w="2804" w:type="pct"/>
            <w:tcBorders>
              <w:top w:val="nil"/>
              <w:left w:val="single" w:sz="4" w:space="0" w:color="auto"/>
              <w:bottom w:val="single" w:sz="4" w:space="0" w:color="auto"/>
              <w:right w:val="single" w:sz="4" w:space="0" w:color="auto"/>
            </w:tcBorders>
            <w:shd w:val="clear" w:color="auto" w:fill="auto"/>
            <w:vAlign w:val="center"/>
            <w:hideMark/>
          </w:tcPr>
          <w:p w14:paraId="4FFBF559" w14:textId="77777777" w:rsidR="00B6285A" w:rsidRPr="00B6285A" w:rsidRDefault="00B6285A" w:rsidP="00B6285A">
            <w:pPr>
              <w:ind w:firstLine="0"/>
              <w:rPr>
                <w:rFonts w:eastAsia="Times New Roman" w:cs="Times New Roman"/>
                <w:sz w:val="20"/>
                <w:szCs w:val="20"/>
                <w:lang w:eastAsia="lv-LV"/>
              </w:rPr>
            </w:pPr>
            <w:r w:rsidRPr="00B6285A">
              <w:rPr>
                <w:rFonts w:eastAsia="Times New Roman" w:cs="Times New Roman"/>
                <w:sz w:val="20"/>
                <w:szCs w:val="20"/>
                <w:lang w:eastAsia="lv-LV"/>
              </w:rPr>
              <w:t>Elektroenerģijas sistēmas pakalpojuma maksas samazinājums uzņēmumiem pilnā apmērā 2022.gada 1.oktobris līdz 2023.gada 30.aprīlis</w:t>
            </w:r>
          </w:p>
        </w:tc>
        <w:tc>
          <w:tcPr>
            <w:tcW w:w="452" w:type="pct"/>
            <w:tcBorders>
              <w:top w:val="nil"/>
              <w:left w:val="nil"/>
              <w:bottom w:val="single" w:sz="4" w:space="0" w:color="auto"/>
              <w:right w:val="single" w:sz="4" w:space="0" w:color="auto"/>
            </w:tcBorders>
            <w:shd w:val="clear" w:color="auto" w:fill="auto"/>
            <w:noWrap/>
            <w:vAlign w:val="center"/>
            <w:hideMark/>
          </w:tcPr>
          <w:p w14:paraId="10004960"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w:t>
            </w:r>
          </w:p>
        </w:tc>
        <w:tc>
          <w:tcPr>
            <w:tcW w:w="418" w:type="pct"/>
            <w:tcBorders>
              <w:top w:val="nil"/>
              <w:left w:val="nil"/>
              <w:bottom w:val="single" w:sz="4" w:space="0" w:color="auto"/>
              <w:right w:val="single" w:sz="4" w:space="0" w:color="auto"/>
            </w:tcBorders>
            <w:shd w:val="clear" w:color="auto" w:fill="auto"/>
            <w:noWrap/>
            <w:vAlign w:val="center"/>
            <w:hideMark/>
          </w:tcPr>
          <w:p w14:paraId="760BACE2"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53,0</w:t>
            </w:r>
          </w:p>
        </w:tc>
        <w:tc>
          <w:tcPr>
            <w:tcW w:w="469" w:type="pct"/>
            <w:tcBorders>
              <w:top w:val="nil"/>
              <w:left w:val="nil"/>
              <w:bottom w:val="single" w:sz="4" w:space="0" w:color="auto"/>
              <w:right w:val="single" w:sz="4" w:space="0" w:color="auto"/>
            </w:tcBorders>
            <w:shd w:val="clear" w:color="auto" w:fill="auto"/>
            <w:noWrap/>
            <w:vAlign w:val="center"/>
            <w:hideMark/>
          </w:tcPr>
          <w:p w14:paraId="38F43F1B"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31,0</w:t>
            </w:r>
          </w:p>
        </w:tc>
        <w:tc>
          <w:tcPr>
            <w:tcW w:w="376" w:type="pct"/>
            <w:tcBorders>
              <w:top w:val="nil"/>
              <w:left w:val="nil"/>
              <w:bottom w:val="single" w:sz="4" w:space="0" w:color="auto"/>
              <w:right w:val="single" w:sz="4" w:space="0" w:color="auto"/>
            </w:tcBorders>
            <w:shd w:val="clear" w:color="auto" w:fill="auto"/>
            <w:noWrap/>
            <w:vAlign w:val="center"/>
            <w:hideMark/>
          </w:tcPr>
          <w:p w14:paraId="0D25C2F5"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70,6</w:t>
            </w:r>
          </w:p>
        </w:tc>
        <w:tc>
          <w:tcPr>
            <w:tcW w:w="481" w:type="pct"/>
            <w:tcBorders>
              <w:top w:val="nil"/>
              <w:left w:val="nil"/>
              <w:bottom w:val="single" w:sz="4" w:space="0" w:color="auto"/>
              <w:right w:val="single" w:sz="4" w:space="0" w:color="auto"/>
            </w:tcBorders>
            <w:shd w:val="clear" w:color="auto" w:fill="auto"/>
            <w:noWrap/>
            <w:vAlign w:val="center"/>
            <w:hideMark/>
          </w:tcPr>
          <w:p w14:paraId="7CB4E3CD"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35,1</w:t>
            </w:r>
          </w:p>
        </w:tc>
      </w:tr>
      <w:tr w:rsidR="00B6285A" w:rsidRPr="00B6285A" w14:paraId="7029E9C0" w14:textId="77777777" w:rsidTr="00143408">
        <w:trPr>
          <w:trHeight w:val="560"/>
        </w:trPr>
        <w:tc>
          <w:tcPr>
            <w:tcW w:w="2804" w:type="pct"/>
            <w:tcBorders>
              <w:top w:val="nil"/>
              <w:left w:val="single" w:sz="4" w:space="0" w:color="auto"/>
              <w:bottom w:val="single" w:sz="4" w:space="0" w:color="auto"/>
              <w:right w:val="single" w:sz="4" w:space="0" w:color="auto"/>
            </w:tcBorders>
            <w:shd w:val="clear" w:color="auto" w:fill="auto"/>
            <w:vAlign w:val="center"/>
            <w:hideMark/>
          </w:tcPr>
          <w:p w14:paraId="4AD60782" w14:textId="77777777" w:rsidR="00B6285A" w:rsidRPr="00B6285A" w:rsidRDefault="00B6285A" w:rsidP="00B6285A">
            <w:pPr>
              <w:ind w:firstLine="0"/>
              <w:rPr>
                <w:rFonts w:eastAsia="Times New Roman" w:cs="Times New Roman"/>
                <w:sz w:val="20"/>
                <w:szCs w:val="20"/>
                <w:lang w:eastAsia="lv-LV"/>
              </w:rPr>
            </w:pPr>
            <w:r w:rsidRPr="00B6285A">
              <w:rPr>
                <w:rFonts w:eastAsia="Times New Roman" w:cs="Times New Roman"/>
                <w:sz w:val="20"/>
                <w:szCs w:val="20"/>
                <w:lang w:eastAsia="lv-LV"/>
              </w:rPr>
              <w:t xml:space="preserve">Starpības kompensācija starp regulēto tarifu un tirgus cenu dabasgāzei mājsaimniecībām (noteikt dabasgāzes tirgus cenu mājsaimniecībām identisku regulētās dabasgāzes cenai: 108,7 </w:t>
            </w:r>
            <w:proofErr w:type="spellStart"/>
            <w:r w:rsidRPr="00B6285A">
              <w:rPr>
                <w:rFonts w:eastAsia="Times New Roman" w:cs="Times New Roman"/>
                <w:i/>
                <w:iCs/>
                <w:sz w:val="20"/>
                <w:szCs w:val="20"/>
                <w:lang w:eastAsia="lv-LV"/>
              </w:rPr>
              <w:t>euro</w:t>
            </w:r>
            <w:proofErr w:type="spellEnd"/>
            <w:r w:rsidRPr="00B6285A">
              <w:rPr>
                <w:rFonts w:eastAsia="Times New Roman" w:cs="Times New Roman"/>
                <w:sz w:val="20"/>
                <w:szCs w:val="20"/>
                <w:lang w:eastAsia="lv-LV"/>
              </w:rPr>
              <w:t>/</w:t>
            </w:r>
            <w:proofErr w:type="spellStart"/>
            <w:r w:rsidRPr="00B6285A">
              <w:rPr>
                <w:rFonts w:eastAsia="Times New Roman" w:cs="Times New Roman"/>
                <w:sz w:val="20"/>
                <w:szCs w:val="20"/>
                <w:lang w:eastAsia="lv-LV"/>
              </w:rPr>
              <w:t>MWh</w:t>
            </w:r>
            <w:proofErr w:type="spellEnd"/>
            <w:r w:rsidRPr="00B6285A">
              <w:rPr>
                <w:rFonts w:eastAsia="Times New Roman" w:cs="Times New Roman"/>
                <w:sz w:val="20"/>
                <w:szCs w:val="20"/>
                <w:lang w:eastAsia="lv-LV"/>
              </w:rPr>
              <w:t xml:space="preserve"> no 2022.gada 1.oktobra līdz 2023.gada 30.aprīlim)</w:t>
            </w:r>
          </w:p>
        </w:tc>
        <w:tc>
          <w:tcPr>
            <w:tcW w:w="452" w:type="pct"/>
            <w:tcBorders>
              <w:top w:val="nil"/>
              <w:left w:val="nil"/>
              <w:bottom w:val="single" w:sz="4" w:space="0" w:color="auto"/>
              <w:right w:val="single" w:sz="4" w:space="0" w:color="auto"/>
            </w:tcBorders>
            <w:shd w:val="clear" w:color="auto" w:fill="auto"/>
            <w:noWrap/>
            <w:vAlign w:val="center"/>
            <w:hideMark/>
          </w:tcPr>
          <w:p w14:paraId="0FEAD80D"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w:t>
            </w:r>
          </w:p>
        </w:tc>
        <w:tc>
          <w:tcPr>
            <w:tcW w:w="418" w:type="pct"/>
            <w:tcBorders>
              <w:top w:val="nil"/>
              <w:left w:val="nil"/>
              <w:bottom w:val="single" w:sz="4" w:space="0" w:color="auto"/>
              <w:right w:val="single" w:sz="4" w:space="0" w:color="auto"/>
            </w:tcBorders>
            <w:shd w:val="clear" w:color="auto" w:fill="auto"/>
            <w:noWrap/>
            <w:vAlign w:val="center"/>
            <w:hideMark/>
          </w:tcPr>
          <w:p w14:paraId="3F6F2BB0"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3,1</w:t>
            </w:r>
          </w:p>
        </w:tc>
        <w:tc>
          <w:tcPr>
            <w:tcW w:w="469" w:type="pct"/>
            <w:tcBorders>
              <w:top w:val="nil"/>
              <w:left w:val="nil"/>
              <w:bottom w:val="single" w:sz="4" w:space="0" w:color="auto"/>
              <w:right w:val="single" w:sz="4" w:space="0" w:color="auto"/>
            </w:tcBorders>
            <w:shd w:val="clear" w:color="auto" w:fill="auto"/>
            <w:noWrap/>
            <w:vAlign w:val="center"/>
            <w:hideMark/>
          </w:tcPr>
          <w:p w14:paraId="26EBC4EC"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1,7</w:t>
            </w:r>
          </w:p>
        </w:tc>
        <w:tc>
          <w:tcPr>
            <w:tcW w:w="376" w:type="pct"/>
            <w:tcBorders>
              <w:top w:val="nil"/>
              <w:left w:val="nil"/>
              <w:bottom w:val="single" w:sz="4" w:space="0" w:color="auto"/>
              <w:right w:val="single" w:sz="4" w:space="0" w:color="auto"/>
            </w:tcBorders>
            <w:shd w:val="clear" w:color="auto" w:fill="auto"/>
            <w:noWrap/>
            <w:vAlign w:val="center"/>
            <w:hideMark/>
          </w:tcPr>
          <w:p w14:paraId="3DEE5E3D"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7,8</w:t>
            </w:r>
          </w:p>
        </w:tc>
        <w:tc>
          <w:tcPr>
            <w:tcW w:w="481" w:type="pct"/>
            <w:tcBorders>
              <w:top w:val="nil"/>
              <w:left w:val="nil"/>
              <w:bottom w:val="single" w:sz="4" w:space="0" w:color="auto"/>
              <w:right w:val="single" w:sz="4" w:space="0" w:color="auto"/>
            </w:tcBorders>
            <w:shd w:val="clear" w:color="auto" w:fill="auto"/>
            <w:noWrap/>
            <w:vAlign w:val="center"/>
            <w:hideMark/>
          </w:tcPr>
          <w:p w14:paraId="7CA20F17"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0,7</w:t>
            </w:r>
          </w:p>
        </w:tc>
      </w:tr>
      <w:tr w:rsidR="00B6285A" w:rsidRPr="00B6285A" w14:paraId="589FF9E4" w14:textId="77777777" w:rsidTr="00143408">
        <w:trPr>
          <w:trHeight w:val="290"/>
        </w:trPr>
        <w:tc>
          <w:tcPr>
            <w:tcW w:w="2804" w:type="pct"/>
            <w:tcBorders>
              <w:top w:val="nil"/>
              <w:left w:val="single" w:sz="4" w:space="0" w:color="auto"/>
              <w:bottom w:val="single" w:sz="4" w:space="0" w:color="auto"/>
              <w:right w:val="single" w:sz="4" w:space="0" w:color="auto"/>
            </w:tcBorders>
            <w:shd w:val="clear" w:color="auto" w:fill="auto"/>
            <w:vAlign w:val="center"/>
            <w:hideMark/>
          </w:tcPr>
          <w:p w14:paraId="12F96975" w14:textId="77777777" w:rsidR="00B6285A" w:rsidRPr="00B6285A" w:rsidRDefault="00B6285A" w:rsidP="00B6285A">
            <w:pPr>
              <w:ind w:firstLine="0"/>
              <w:rPr>
                <w:rFonts w:eastAsia="Times New Roman" w:cs="Times New Roman"/>
                <w:sz w:val="20"/>
                <w:szCs w:val="20"/>
                <w:lang w:eastAsia="lv-LV"/>
              </w:rPr>
            </w:pPr>
            <w:r w:rsidRPr="00B6285A">
              <w:rPr>
                <w:rFonts w:eastAsia="Times New Roman" w:cs="Times New Roman"/>
                <w:sz w:val="20"/>
                <w:szCs w:val="20"/>
                <w:lang w:eastAsia="lv-LV"/>
              </w:rPr>
              <w:t xml:space="preserve">Starpības kompensācija par patērēto dabasgāzi par cenu virs 0,07875 </w:t>
            </w:r>
            <w:proofErr w:type="spellStart"/>
            <w:r w:rsidRPr="00B6285A">
              <w:rPr>
                <w:rFonts w:eastAsia="Times New Roman" w:cs="Times New Roman"/>
                <w:i/>
                <w:iCs/>
                <w:sz w:val="20"/>
                <w:szCs w:val="20"/>
                <w:lang w:eastAsia="lv-LV"/>
              </w:rPr>
              <w:t>euro</w:t>
            </w:r>
            <w:proofErr w:type="spellEnd"/>
            <w:r w:rsidRPr="00B6285A">
              <w:rPr>
                <w:rFonts w:eastAsia="Times New Roman" w:cs="Times New Roman"/>
                <w:sz w:val="20"/>
                <w:szCs w:val="20"/>
                <w:lang w:eastAsia="lv-LV"/>
              </w:rPr>
              <w:t xml:space="preserve"> par 1 </w:t>
            </w:r>
            <w:proofErr w:type="spellStart"/>
            <w:r w:rsidRPr="00B6285A">
              <w:rPr>
                <w:rFonts w:eastAsia="Times New Roman" w:cs="Times New Roman"/>
                <w:sz w:val="20"/>
                <w:szCs w:val="20"/>
                <w:lang w:eastAsia="lv-LV"/>
              </w:rPr>
              <w:t>kWh</w:t>
            </w:r>
            <w:proofErr w:type="spellEnd"/>
            <w:r w:rsidRPr="00B6285A">
              <w:rPr>
                <w:rFonts w:eastAsia="Times New Roman" w:cs="Times New Roman"/>
                <w:sz w:val="20"/>
                <w:szCs w:val="20"/>
                <w:lang w:eastAsia="lv-LV"/>
              </w:rPr>
              <w:t xml:space="preserve"> no 2022.gada 1.decembra līdz 2023. gada 30.aprīlim - maksas samazinājums rēķinos</w:t>
            </w:r>
          </w:p>
        </w:tc>
        <w:tc>
          <w:tcPr>
            <w:tcW w:w="452" w:type="pct"/>
            <w:tcBorders>
              <w:top w:val="nil"/>
              <w:left w:val="nil"/>
              <w:bottom w:val="single" w:sz="4" w:space="0" w:color="auto"/>
              <w:right w:val="single" w:sz="4" w:space="0" w:color="auto"/>
            </w:tcBorders>
            <w:shd w:val="clear" w:color="auto" w:fill="auto"/>
            <w:noWrap/>
            <w:vAlign w:val="center"/>
            <w:hideMark/>
          </w:tcPr>
          <w:p w14:paraId="054F66FA"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w:t>
            </w:r>
          </w:p>
        </w:tc>
        <w:tc>
          <w:tcPr>
            <w:tcW w:w="418" w:type="pct"/>
            <w:tcBorders>
              <w:top w:val="nil"/>
              <w:left w:val="nil"/>
              <w:bottom w:val="single" w:sz="4" w:space="0" w:color="auto"/>
              <w:right w:val="single" w:sz="4" w:space="0" w:color="auto"/>
            </w:tcBorders>
            <w:shd w:val="clear" w:color="auto" w:fill="auto"/>
            <w:noWrap/>
            <w:vAlign w:val="center"/>
            <w:hideMark/>
          </w:tcPr>
          <w:p w14:paraId="522E4482"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w:t>
            </w:r>
          </w:p>
        </w:tc>
        <w:tc>
          <w:tcPr>
            <w:tcW w:w="469" w:type="pct"/>
            <w:tcBorders>
              <w:top w:val="nil"/>
              <w:left w:val="nil"/>
              <w:bottom w:val="single" w:sz="4" w:space="0" w:color="auto"/>
              <w:right w:val="single" w:sz="4" w:space="0" w:color="auto"/>
            </w:tcBorders>
            <w:shd w:val="clear" w:color="auto" w:fill="auto"/>
            <w:noWrap/>
            <w:vAlign w:val="center"/>
            <w:hideMark/>
          </w:tcPr>
          <w:p w14:paraId="54071833"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w:t>
            </w:r>
          </w:p>
        </w:tc>
        <w:tc>
          <w:tcPr>
            <w:tcW w:w="376" w:type="pct"/>
            <w:tcBorders>
              <w:top w:val="nil"/>
              <w:left w:val="nil"/>
              <w:bottom w:val="single" w:sz="4" w:space="0" w:color="auto"/>
              <w:right w:val="single" w:sz="4" w:space="0" w:color="auto"/>
            </w:tcBorders>
            <w:shd w:val="clear" w:color="auto" w:fill="auto"/>
            <w:noWrap/>
            <w:vAlign w:val="center"/>
            <w:hideMark/>
          </w:tcPr>
          <w:p w14:paraId="2F3848BA"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w:t>
            </w:r>
          </w:p>
        </w:tc>
        <w:tc>
          <w:tcPr>
            <w:tcW w:w="481" w:type="pct"/>
            <w:tcBorders>
              <w:top w:val="nil"/>
              <w:left w:val="nil"/>
              <w:bottom w:val="single" w:sz="4" w:space="0" w:color="auto"/>
              <w:right w:val="single" w:sz="4" w:space="0" w:color="auto"/>
            </w:tcBorders>
            <w:shd w:val="clear" w:color="auto" w:fill="auto"/>
            <w:noWrap/>
            <w:vAlign w:val="center"/>
            <w:hideMark/>
          </w:tcPr>
          <w:p w14:paraId="1D4AC623"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18,2</w:t>
            </w:r>
          </w:p>
        </w:tc>
      </w:tr>
      <w:tr w:rsidR="00B6285A" w:rsidRPr="00B6285A" w14:paraId="6A501B24" w14:textId="77777777" w:rsidTr="00143408">
        <w:trPr>
          <w:trHeight w:val="560"/>
        </w:trPr>
        <w:tc>
          <w:tcPr>
            <w:tcW w:w="2804" w:type="pct"/>
            <w:tcBorders>
              <w:top w:val="nil"/>
              <w:left w:val="single" w:sz="4" w:space="0" w:color="auto"/>
              <w:bottom w:val="single" w:sz="4" w:space="0" w:color="auto"/>
              <w:right w:val="single" w:sz="4" w:space="0" w:color="auto"/>
            </w:tcBorders>
            <w:shd w:val="clear" w:color="auto" w:fill="auto"/>
            <w:vAlign w:val="center"/>
            <w:hideMark/>
          </w:tcPr>
          <w:p w14:paraId="0C427D1E" w14:textId="77777777" w:rsidR="00B6285A" w:rsidRPr="00B6285A" w:rsidRDefault="00B6285A" w:rsidP="00B6285A">
            <w:pPr>
              <w:ind w:firstLine="0"/>
              <w:rPr>
                <w:rFonts w:eastAsia="Times New Roman" w:cs="Times New Roman"/>
                <w:sz w:val="20"/>
                <w:szCs w:val="20"/>
                <w:lang w:eastAsia="lv-LV"/>
              </w:rPr>
            </w:pPr>
            <w:r w:rsidRPr="00B6285A">
              <w:rPr>
                <w:rFonts w:eastAsia="Times New Roman" w:cs="Times New Roman"/>
                <w:sz w:val="20"/>
                <w:szCs w:val="20"/>
                <w:lang w:eastAsia="lv-LV"/>
              </w:rPr>
              <w:t xml:space="preserve">Elektroenerģijas cenas starpības kompensācija starp tirgus cenu un paredzamajiem cenas griestiem mājsaimniecībām (visām mājsaimniecībām elektroenerģijas patēriņa pirmo 100 </w:t>
            </w:r>
            <w:proofErr w:type="spellStart"/>
            <w:r w:rsidRPr="00B6285A">
              <w:rPr>
                <w:rFonts w:eastAsia="Times New Roman" w:cs="Times New Roman"/>
                <w:sz w:val="20"/>
                <w:szCs w:val="20"/>
                <w:lang w:eastAsia="lv-LV"/>
              </w:rPr>
              <w:lastRenderedPageBreak/>
              <w:t>kWh</w:t>
            </w:r>
            <w:proofErr w:type="spellEnd"/>
            <w:r w:rsidRPr="00B6285A">
              <w:rPr>
                <w:rFonts w:eastAsia="Times New Roman" w:cs="Times New Roman"/>
                <w:sz w:val="20"/>
                <w:szCs w:val="20"/>
                <w:lang w:eastAsia="lv-LV"/>
              </w:rPr>
              <w:t xml:space="preserve"> cenu par fiksētu maksu 160 </w:t>
            </w:r>
            <w:proofErr w:type="spellStart"/>
            <w:r w:rsidRPr="00B6285A">
              <w:rPr>
                <w:rFonts w:eastAsia="Times New Roman" w:cs="Times New Roman"/>
                <w:i/>
                <w:iCs/>
                <w:sz w:val="20"/>
                <w:szCs w:val="20"/>
                <w:lang w:eastAsia="lv-LV"/>
              </w:rPr>
              <w:t>euro</w:t>
            </w:r>
            <w:proofErr w:type="spellEnd"/>
            <w:r w:rsidRPr="00B6285A">
              <w:rPr>
                <w:rFonts w:eastAsia="Times New Roman" w:cs="Times New Roman"/>
                <w:sz w:val="20"/>
                <w:szCs w:val="20"/>
                <w:lang w:eastAsia="lv-LV"/>
              </w:rPr>
              <w:t>/</w:t>
            </w:r>
            <w:proofErr w:type="spellStart"/>
            <w:r w:rsidRPr="00B6285A">
              <w:rPr>
                <w:rFonts w:eastAsia="Times New Roman" w:cs="Times New Roman"/>
                <w:sz w:val="20"/>
                <w:szCs w:val="20"/>
                <w:lang w:eastAsia="lv-LV"/>
              </w:rPr>
              <w:t>MWh</w:t>
            </w:r>
            <w:proofErr w:type="spellEnd"/>
            <w:r w:rsidRPr="00B6285A">
              <w:rPr>
                <w:rFonts w:eastAsia="Times New Roman" w:cs="Times New Roman"/>
                <w:sz w:val="20"/>
                <w:szCs w:val="20"/>
                <w:lang w:eastAsia="lv-LV"/>
              </w:rPr>
              <w:t xml:space="preserve"> no 2022.gada 1.oktobra līdz 2023.gada 30.aprīlim)</w:t>
            </w:r>
          </w:p>
        </w:tc>
        <w:tc>
          <w:tcPr>
            <w:tcW w:w="452" w:type="pct"/>
            <w:tcBorders>
              <w:top w:val="nil"/>
              <w:left w:val="nil"/>
              <w:bottom w:val="single" w:sz="4" w:space="0" w:color="auto"/>
              <w:right w:val="single" w:sz="4" w:space="0" w:color="auto"/>
            </w:tcBorders>
            <w:shd w:val="clear" w:color="auto" w:fill="auto"/>
            <w:noWrap/>
            <w:vAlign w:val="center"/>
            <w:hideMark/>
          </w:tcPr>
          <w:p w14:paraId="6DC6A0D7"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lastRenderedPageBreak/>
              <w:t>-</w:t>
            </w:r>
          </w:p>
        </w:tc>
        <w:tc>
          <w:tcPr>
            <w:tcW w:w="418" w:type="pct"/>
            <w:tcBorders>
              <w:top w:val="nil"/>
              <w:left w:val="nil"/>
              <w:bottom w:val="single" w:sz="4" w:space="0" w:color="auto"/>
              <w:right w:val="single" w:sz="4" w:space="0" w:color="auto"/>
            </w:tcBorders>
            <w:shd w:val="clear" w:color="auto" w:fill="auto"/>
            <w:noWrap/>
            <w:vAlign w:val="center"/>
            <w:hideMark/>
          </w:tcPr>
          <w:p w14:paraId="78155A1A"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19,2</w:t>
            </w:r>
          </w:p>
        </w:tc>
        <w:tc>
          <w:tcPr>
            <w:tcW w:w="469" w:type="pct"/>
            <w:tcBorders>
              <w:top w:val="nil"/>
              <w:left w:val="nil"/>
              <w:bottom w:val="single" w:sz="4" w:space="0" w:color="auto"/>
              <w:right w:val="single" w:sz="4" w:space="0" w:color="auto"/>
            </w:tcBorders>
            <w:shd w:val="clear" w:color="auto" w:fill="auto"/>
            <w:noWrap/>
            <w:vAlign w:val="center"/>
            <w:hideMark/>
          </w:tcPr>
          <w:p w14:paraId="662E9D57"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5,1</w:t>
            </w:r>
          </w:p>
        </w:tc>
        <w:tc>
          <w:tcPr>
            <w:tcW w:w="376" w:type="pct"/>
            <w:tcBorders>
              <w:top w:val="nil"/>
              <w:left w:val="nil"/>
              <w:bottom w:val="single" w:sz="4" w:space="0" w:color="auto"/>
              <w:right w:val="single" w:sz="4" w:space="0" w:color="auto"/>
            </w:tcBorders>
            <w:shd w:val="clear" w:color="auto" w:fill="auto"/>
            <w:noWrap/>
            <w:vAlign w:val="center"/>
            <w:hideMark/>
          </w:tcPr>
          <w:p w14:paraId="2557033A"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47,9</w:t>
            </w:r>
          </w:p>
        </w:tc>
        <w:tc>
          <w:tcPr>
            <w:tcW w:w="481" w:type="pct"/>
            <w:tcBorders>
              <w:top w:val="nil"/>
              <w:left w:val="nil"/>
              <w:bottom w:val="single" w:sz="4" w:space="0" w:color="auto"/>
              <w:right w:val="single" w:sz="4" w:space="0" w:color="auto"/>
            </w:tcBorders>
            <w:shd w:val="clear" w:color="auto" w:fill="auto"/>
            <w:noWrap/>
            <w:vAlign w:val="center"/>
            <w:hideMark/>
          </w:tcPr>
          <w:p w14:paraId="16237BC6"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7,0</w:t>
            </w:r>
          </w:p>
        </w:tc>
      </w:tr>
      <w:tr w:rsidR="00B6285A" w:rsidRPr="00B6285A" w14:paraId="01F4E946" w14:textId="77777777" w:rsidTr="00143408">
        <w:trPr>
          <w:trHeight w:val="290"/>
        </w:trPr>
        <w:tc>
          <w:tcPr>
            <w:tcW w:w="2804" w:type="pct"/>
            <w:tcBorders>
              <w:top w:val="nil"/>
              <w:left w:val="single" w:sz="4" w:space="0" w:color="auto"/>
              <w:bottom w:val="single" w:sz="4" w:space="0" w:color="auto"/>
              <w:right w:val="single" w:sz="4" w:space="0" w:color="auto"/>
            </w:tcBorders>
            <w:shd w:val="clear" w:color="auto" w:fill="auto"/>
            <w:vAlign w:val="center"/>
            <w:hideMark/>
          </w:tcPr>
          <w:p w14:paraId="1E2E2778" w14:textId="77777777" w:rsidR="00B6285A" w:rsidRPr="00B6285A" w:rsidRDefault="00B6285A" w:rsidP="00B6285A">
            <w:pPr>
              <w:ind w:firstLine="0"/>
              <w:rPr>
                <w:rFonts w:eastAsia="Times New Roman" w:cs="Times New Roman"/>
                <w:sz w:val="20"/>
                <w:szCs w:val="20"/>
                <w:lang w:eastAsia="lv-LV"/>
              </w:rPr>
            </w:pPr>
            <w:r w:rsidRPr="00B6285A">
              <w:rPr>
                <w:rFonts w:eastAsia="Times New Roman" w:cs="Times New Roman"/>
                <w:sz w:val="20"/>
                <w:szCs w:val="20"/>
                <w:lang w:eastAsia="lv-LV"/>
              </w:rPr>
              <w:t xml:space="preserve">Centralizētās siltumapgādes izmaksu kompensēšana mājsaimniecībām (papildus 90% apmērā tarifa pieaugumam virs 150 </w:t>
            </w:r>
            <w:proofErr w:type="spellStart"/>
            <w:r w:rsidRPr="00B6285A">
              <w:rPr>
                <w:rFonts w:eastAsia="Times New Roman" w:cs="Times New Roman"/>
                <w:i/>
                <w:iCs/>
                <w:sz w:val="20"/>
                <w:szCs w:val="20"/>
                <w:lang w:eastAsia="lv-LV"/>
              </w:rPr>
              <w:t>euro</w:t>
            </w:r>
            <w:proofErr w:type="spellEnd"/>
            <w:r w:rsidRPr="00B6285A">
              <w:rPr>
                <w:rFonts w:eastAsia="Times New Roman" w:cs="Times New Roman"/>
                <w:sz w:val="20"/>
                <w:szCs w:val="20"/>
                <w:lang w:eastAsia="lv-LV"/>
              </w:rPr>
              <w:t>/</w:t>
            </w:r>
            <w:proofErr w:type="spellStart"/>
            <w:r w:rsidRPr="00B6285A">
              <w:rPr>
                <w:rFonts w:eastAsia="Times New Roman" w:cs="Times New Roman"/>
                <w:sz w:val="20"/>
                <w:szCs w:val="20"/>
                <w:lang w:eastAsia="lv-LV"/>
              </w:rPr>
              <w:t>MWh</w:t>
            </w:r>
            <w:proofErr w:type="spellEnd"/>
            <w:r w:rsidRPr="00B6285A">
              <w:rPr>
                <w:rFonts w:eastAsia="Times New Roman" w:cs="Times New Roman"/>
                <w:sz w:val="20"/>
                <w:szCs w:val="20"/>
                <w:lang w:eastAsia="lv-LV"/>
              </w:rPr>
              <w:t>) līdz 2023.gada 30.aprīlim</w:t>
            </w:r>
          </w:p>
        </w:tc>
        <w:tc>
          <w:tcPr>
            <w:tcW w:w="452" w:type="pct"/>
            <w:tcBorders>
              <w:top w:val="nil"/>
              <w:left w:val="nil"/>
              <w:bottom w:val="single" w:sz="4" w:space="0" w:color="auto"/>
              <w:right w:val="single" w:sz="4" w:space="0" w:color="auto"/>
            </w:tcBorders>
            <w:shd w:val="clear" w:color="auto" w:fill="auto"/>
            <w:noWrap/>
            <w:vAlign w:val="center"/>
            <w:hideMark/>
          </w:tcPr>
          <w:p w14:paraId="6BACF5F1"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w:t>
            </w:r>
          </w:p>
        </w:tc>
        <w:tc>
          <w:tcPr>
            <w:tcW w:w="418" w:type="pct"/>
            <w:tcBorders>
              <w:top w:val="nil"/>
              <w:left w:val="nil"/>
              <w:bottom w:val="single" w:sz="4" w:space="0" w:color="auto"/>
              <w:right w:val="single" w:sz="4" w:space="0" w:color="auto"/>
            </w:tcBorders>
            <w:shd w:val="clear" w:color="auto" w:fill="auto"/>
            <w:noWrap/>
            <w:vAlign w:val="center"/>
            <w:hideMark/>
          </w:tcPr>
          <w:p w14:paraId="6564061A"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24,9</w:t>
            </w:r>
          </w:p>
        </w:tc>
        <w:tc>
          <w:tcPr>
            <w:tcW w:w="469" w:type="pct"/>
            <w:tcBorders>
              <w:top w:val="nil"/>
              <w:left w:val="nil"/>
              <w:bottom w:val="single" w:sz="4" w:space="0" w:color="auto"/>
              <w:right w:val="single" w:sz="4" w:space="0" w:color="auto"/>
            </w:tcBorders>
            <w:shd w:val="clear" w:color="auto" w:fill="auto"/>
            <w:noWrap/>
            <w:vAlign w:val="center"/>
            <w:hideMark/>
          </w:tcPr>
          <w:p w14:paraId="494AEE7C"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15,1</w:t>
            </w:r>
          </w:p>
        </w:tc>
        <w:tc>
          <w:tcPr>
            <w:tcW w:w="376" w:type="pct"/>
            <w:tcBorders>
              <w:top w:val="nil"/>
              <w:left w:val="nil"/>
              <w:bottom w:val="single" w:sz="4" w:space="0" w:color="auto"/>
              <w:right w:val="single" w:sz="4" w:space="0" w:color="auto"/>
            </w:tcBorders>
            <w:shd w:val="clear" w:color="auto" w:fill="auto"/>
            <w:noWrap/>
            <w:vAlign w:val="center"/>
            <w:hideMark/>
          </w:tcPr>
          <w:p w14:paraId="5AABD91F"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62,2</w:t>
            </w:r>
          </w:p>
        </w:tc>
        <w:tc>
          <w:tcPr>
            <w:tcW w:w="481" w:type="pct"/>
            <w:tcBorders>
              <w:top w:val="nil"/>
              <w:left w:val="nil"/>
              <w:bottom w:val="single" w:sz="4" w:space="0" w:color="auto"/>
              <w:right w:val="single" w:sz="4" w:space="0" w:color="auto"/>
            </w:tcBorders>
            <w:shd w:val="clear" w:color="auto" w:fill="auto"/>
            <w:noWrap/>
            <w:vAlign w:val="center"/>
            <w:hideMark/>
          </w:tcPr>
          <w:p w14:paraId="0DB55E72"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32,8</w:t>
            </w:r>
          </w:p>
        </w:tc>
      </w:tr>
      <w:tr w:rsidR="00B6285A" w:rsidRPr="00B6285A" w14:paraId="040ABF29" w14:textId="77777777" w:rsidTr="00143408">
        <w:trPr>
          <w:trHeight w:val="560"/>
        </w:trPr>
        <w:tc>
          <w:tcPr>
            <w:tcW w:w="2804" w:type="pct"/>
            <w:tcBorders>
              <w:top w:val="nil"/>
              <w:left w:val="single" w:sz="4" w:space="0" w:color="auto"/>
              <w:bottom w:val="single" w:sz="4" w:space="0" w:color="auto"/>
              <w:right w:val="single" w:sz="4" w:space="0" w:color="auto"/>
            </w:tcBorders>
            <w:shd w:val="clear" w:color="auto" w:fill="auto"/>
            <w:vAlign w:val="center"/>
            <w:hideMark/>
          </w:tcPr>
          <w:p w14:paraId="2BA5DC33" w14:textId="77777777" w:rsidR="00B6285A" w:rsidRPr="00B6285A" w:rsidRDefault="00B6285A" w:rsidP="00B6285A">
            <w:pPr>
              <w:ind w:firstLine="0"/>
              <w:rPr>
                <w:rFonts w:eastAsia="Times New Roman" w:cs="Times New Roman"/>
                <w:sz w:val="20"/>
                <w:szCs w:val="20"/>
                <w:lang w:eastAsia="lv-LV"/>
              </w:rPr>
            </w:pPr>
            <w:r w:rsidRPr="00B6285A">
              <w:rPr>
                <w:rFonts w:eastAsia="Times New Roman" w:cs="Times New Roman"/>
                <w:sz w:val="20"/>
                <w:szCs w:val="20"/>
                <w:lang w:eastAsia="lv-LV"/>
              </w:rPr>
              <w:t xml:space="preserve">Juridisko lietotāju elektroenerģijas kompensācijas (kompensēt visiem juridiskajiem lietotājiem elektroenerģijas izmaksu pieaugumu 50% apmērā virs elektroenerģijas cenas 160 </w:t>
            </w:r>
            <w:proofErr w:type="spellStart"/>
            <w:r w:rsidRPr="00B6285A">
              <w:rPr>
                <w:rFonts w:eastAsia="Times New Roman" w:cs="Times New Roman"/>
                <w:i/>
                <w:iCs/>
                <w:sz w:val="20"/>
                <w:szCs w:val="20"/>
                <w:lang w:eastAsia="lv-LV"/>
              </w:rPr>
              <w:t>euro</w:t>
            </w:r>
            <w:proofErr w:type="spellEnd"/>
            <w:r w:rsidRPr="00B6285A">
              <w:rPr>
                <w:rFonts w:eastAsia="Times New Roman" w:cs="Times New Roman"/>
                <w:sz w:val="20"/>
                <w:szCs w:val="20"/>
                <w:lang w:eastAsia="lv-LV"/>
              </w:rPr>
              <w:t>/</w:t>
            </w:r>
            <w:proofErr w:type="spellStart"/>
            <w:r w:rsidRPr="00B6285A">
              <w:rPr>
                <w:rFonts w:eastAsia="Times New Roman" w:cs="Times New Roman"/>
                <w:sz w:val="20"/>
                <w:szCs w:val="20"/>
                <w:lang w:eastAsia="lv-LV"/>
              </w:rPr>
              <w:t>MWh</w:t>
            </w:r>
            <w:proofErr w:type="spellEnd"/>
            <w:r w:rsidRPr="00B6285A">
              <w:rPr>
                <w:rFonts w:eastAsia="Times New Roman" w:cs="Times New Roman"/>
                <w:sz w:val="20"/>
                <w:szCs w:val="20"/>
                <w:lang w:eastAsia="lv-LV"/>
              </w:rPr>
              <w:t xml:space="preserve"> laika periodā no 2022.gada 1.oktobra līdz 2023.gada 31.martam)</w:t>
            </w:r>
          </w:p>
        </w:tc>
        <w:tc>
          <w:tcPr>
            <w:tcW w:w="452" w:type="pct"/>
            <w:tcBorders>
              <w:top w:val="nil"/>
              <w:left w:val="nil"/>
              <w:bottom w:val="single" w:sz="4" w:space="0" w:color="auto"/>
              <w:right w:val="single" w:sz="4" w:space="0" w:color="auto"/>
            </w:tcBorders>
            <w:shd w:val="clear" w:color="auto" w:fill="auto"/>
            <w:noWrap/>
            <w:vAlign w:val="center"/>
            <w:hideMark/>
          </w:tcPr>
          <w:p w14:paraId="14FD6C18"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w:t>
            </w:r>
          </w:p>
        </w:tc>
        <w:tc>
          <w:tcPr>
            <w:tcW w:w="418" w:type="pct"/>
            <w:tcBorders>
              <w:top w:val="nil"/>
              <w:left w:val="nil"/>
              <w:bottom w:val="single" w:sz="4" w:space="0" w:color="auto"/>
              <w:right w:val="single" w:sz="4" w:space="0" w:color="auto"/>
            </w:tcBorders>
            <w:shd w:val="clear" w:color="auto" w:fill="auto"/>
            <w:noWrap/>
            <w:vAlign w:val="center"/>
            <w:hideMark/>
          </w:tcPr>
          <w:p w14:paraId="59289DD9"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85,7</w:t>
            </w:r>
          </w:p>
        </w:tc>
        <w:tc>
          <w:tcPr>
            <w:tcW w:w="469" w:type="pct"/>
            <w:tcBorders>
              <w:top w:val="nil"/>
              <w:left w:val="nil"/>
              <w:bottom w:val="single" w:sz="4" w:space="0" w:color="auto"/>
              <w:right w:val="single" w:sz="4" w:space="0" w:color="auto"/>
            </w:tcBorders>
            <w:shd w:val="clear" w:color="auto" w:fill="auto"/>
            <w:noWrap/>
            <w:vAlign w:val="center"/>
            <w:hideMark/>
          </w:tcPr>
          <w:p w14:paraId="063C7277"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24,4</w:t>
            </w:r>
          </w:p>
        </w:tc>
        <w:tc>
          <w:tcPr>
            <w:tcW w:w="376" w:type="pct"/>
            <w:tcBorders>
              <w:top w:val="nil"/>
              <w:left w:val="nil"/>
              <w:bottom w:val="single" w:sz="4" w:space="0" w:color="auto"/>
              <w:right w:val="single" w:sz="4" w:space="0" w:color="auto"/>
            </w:tcBorders>
            <w:shd w:val="clear" w:color="auto" w:fill="auto"/>
            <w:noWrap/>
            <w:vAlign w:val="center"/>
            <w:hideMark/>
          </w:tcPr>
          <w:p w14:paraId="57FFF088"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171,4</w:t>
            </w:r>
          </w:p>
        </w:tc>
        <w:tc>
          <w:tcPr>
            <w:tcW w:w="481" w:type="pct"/>
            <w:tcBorders>
              <w:top w:val="nil"/>
              <w:left w:val="nil"/>
              <w:bottom w:val="single" w:sz="4" w:space="0" w:color="auto"/>
              <w:right w:val="single" w:sz="4" w:space="0" w:color="auto"/>
            </w:tcBorders>
            <w:shd w:val="clear" w:color="auto" w:fill="auto"/>
            <w:noWrap/>
            <w:vAlign w:val="center"/>
            <w:hideMark/>
          </w:tcPr>
          <w:p w14:paraId="10BB7F2E"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28,6</w:t>
            </w:r>
          </w:p>
        </w:tc>
      </w:tr>
      <w:tr w:rsidR="00B6285A" w:rsidRPr="00B6285A" w14:paraId="50D42544" w14:textId="77777777" w:rsidTr="00B6285A">
        <w:trPr>
          <w:trHeight w:val="50"/>
        </w:trPr>
        <w:tc>
          <w:tcPr>
            <w:tcW w:w="2804" w:type="pct"/>
            <w:tcBorders>
              <w:top w:val="nil"/>
              <w:left w:val="single" w:sz="4" w:space="0" w:color="auto"/>
              <w:bottom w:val="single" w:sz="4" w:space="0" w:color="auto"/>
              <w:right w:val="single" w:sz="4" w:space="0" w:color="auto"/>
            </w:tcBorders>
            <w:shd w:val="clear" w:color="auto" w:fill="DEEAF6"/>
            <w:vAlign w:val="center"/>
            <w:hideMark/>
          </w:tcPr>
          <w:p w14:paraId="2B544B42" w14:textId="77777777" w:rsidR="00B6285A" w:rsidRPr="00B6285A" w:rsidRDefault="00B6285A" w:rsidP="00B6285A">
            <w:pPr>
              <w:ind w:firstLine="0"/>
              <w:rPr>
                <w:rFonts w:eastAsia="Times New Roman" w:cs="Times New Roman"/>
                <w:b/>
                <w:bCs/>
                <w:color w:val="000000"/>
                <w:sz w:val="20"/>
                <w:szCs w:val="20"/>
                <w:lang w:eastAsia="lv-LV"/>
              </w:rPr>
            </w:pPr>
            <w:r w:rsidRPr="00B6285A">
              <w:rPr>
                <w:rFonts w:eastAsia="Times New Roman" w:cs="Times New Roman"/>
                <w:b/>
                <w:bCs/>
                <w:color w:val="000000"/>
                <w:sz w:val="20"/>
                <w:szCs w:val="20"/>
                <w:lang w:eastAsia="lv-LV"/>
              </w:rPr>
              <w:t>Sociālie pabalsti</w:t>
            </w:r>
          </w:p>
        </w:tc>
        <w:tc>
          <w:tcPr>
            <w:tcW w:w="452" w:type="pct"/>
            <w:tcBorders>
              <w:top w:val="nil"/>
              <w:left w:val="nil"/>
              <w:bottom w:val="single" w:sz="4" w:space="0" w:color="auto"/>
              <w:right w:val="single" w:sz="4" w:space="0" w:color="auto"/>
            </w:tcBorders>
            <w:shd w:val="clear" w:color="auto" w:fill="DEEAF6"/>
            <w:noWrap/>
            <w:vAlign w:val="center"/>
            <w:hideMark/>
          </w:tcPr>
          <w:p w14:paraId="5BD7E1C4" w14:textId="77777777" w:rsidR="00B6285A" w:rsidRPr="00B6285A" w:rsidRDefault="00B6285A" w:rsidP="00B6285A">
            <w:pPr>
              <w:ind w:firstLine="0"/>
              <w:jc w:val="right"/>
              <w:rPr>
                <w:rFonts w:eastAsia="Times New Roman" w:cs="Times New Roman"/>
                <w:b/>
                <w:bCs/>
                <w:color w:val="000000"/>
                <w:sz w:val="20"/>
                <w:szCs w:val="20"/>
                <w:lang w:eastAsia="lv-LV"/>
              </w:rPr>
            </w:pPr>
            <w:r w:rsidRPr="00B6285A">
              <w:rPr>
                <w:rFonts w:eastAsia="Times New Roman" w:cs="Times New Roman"/>
                <w:b/>
                <w:bCs/>
                <w:color w:val="000000"/>
                <w:sz w:val="20"/>
                <w:szCs w:val="20"/>
                <w:lang w:eastAsia="lv-LV"/>
              </w:rPr>
              <w:t>-</w:t>
            </w:r>
          </w:p>
        </w:tc>
        <w:tc>
          <w:tcPr>
            <w:tcW w:w="418" w:type="pct"/>
            <w:tcBorders>
              <w:top w:val="nil"/>
              <w:left w:val="nil"/>
              <w:bottom w:val="single" w:sz="4" w:space="0" w:color="auto"/>
              <w:right w:val="single" w:sz="4" w:space="0" w:color="auto"/>
            </w:tcBorders>
            <w:shd w:val="clear" w:color="auto" w:fill="DEEAF6"/>
            <w:noWrap/>
            <w:vAlign w:val="center"/>
            <w:hideMark/>
          </w:tcPr>
          <w:p w14:paraId="03FCFE4A" w14:textId="77777777" w:rsidR="00B6285A" w:rsidRPr="00B6285A" w:rsidRDefault="00B6285A" w:rsidP="00B6285A">
            <w:pPr>
              <w:ind w:firstLine="0"/>
              <w:jc w:val="right"/>
              <w:rPr>
                <w:rFonts w:eastAsia="Times New Roman" w:cs="Times New Roman"/>
                <w:b/>
                <w:bCs/>
                <w:color w:val="000000"/>
                <w:sz w:val="20"/>
                <w:szCs w:val="20"/>
                <w:lang w:eastAsia="lv-LV"/>
              </w:rPr>
            </w:pPr>
            <w:r w:rsidRPr="00B6285A">
              <w:rPr>
                <w:rFonts w:eastAsia="Times New Roman" w:cs="Times New Roman"/>
                <w:b/>
                <w:bCs/>
                <w:color w:val="000000"/>
                <w:sz w:val="20"/>
                <w:szCs w:val="20"/>
                <w:lang w:eastAsia="lv-LV"/>
              </w:rPr>
              <w:t>214,9</w:t>
            </w:r>
          </w:p>
        </w:tc>
        <w:tc>
          <w:tcPr>
            <w:tcW w:w="469" w:type="pct"/>
            <w:tcBorders>
              <w:top w:val="nil"/>
              <w:left w:val="nil"/>
              <w:bottom w:val="single" w:sz="4" w:space="0" w:color="auto"/>
              <w:right w:val="single" w:sz="4" w:space="0" w:color="auto"/>
            </w:tcBorders>
            <w:shd w:val="clear" w:color="auto" w:fill="DEEAF6"/>
            <w:noWrap/>
            <w:vAlign w:val="center"/>
            <w:hideMark/>
          </w:tcPr>
          <w:p w14:paraId="1BB40772" w14:textId="77777777" w:rsidR="00B6285A" w:rsidRPr="00B6285A" w:rsidRDefault="00B6285A" w:rsidP="00B6285A">
            <w:pPr>
              <w:ind w:firstLine="0"/>
              <w:jc w:val="right"/>
              <w:rPr>
                <w:rFonts w:eastAsia="Times New Roman" w:cs="Times New Roman"/>
                <w:b/>
                <w:bCs/>
                <w:color w:val="000000"/>
                <w:sz w:val="20"/>
                <w:szCs w:val="20"/>
                <w:lang w:eastAsia="lv-LV"/>
              </w:rPr>
            </w:pPr>
            <w:r w:rsidRPr="00B6285A">
              <w:rPr>
                <w:rFonts w:eastAsia="Times New Roman" w:cs="Times New Roman"/>
                <w:b/>
                <w:bCs/>
                <w:color w:val="000000"/>
                <w:sz w:val="20"/>
                <w:szCs w:val="20"/>
                <w:lang w:eastAsia="lv-LV"/>
              </w:rPr>
              <w:t>240,4</w:t>
            </w:r>
          </w:p>
        </w:tc>
        <w:tc>
          <w:tcPr>
            <w:tcW w:w="376" w:type="pct"/>
            <w:tcBorders>
              <w:top w:val="nil"/>
              <w:left w:val="nil"/>
              <w:bottom w:val="single" w:sz="4" w:space="0" w:color="auto"/>
              <w:right w:val="single" w:sz="4" w:space="0" w:color="auto"/>
            </w:tcBorders>
            <w:shd w:val="clear" w:color="auto" w:fill="DEEAF6"/>
            <w:noWrap/>
            <w:vAlign w:val="center"/>
            <w:hideMark/>
          </w:tcPr>
          <w:p w14:paraId="648E5A7B" w14:textId="77777777" w:rsidR="00B6285A" w:rsidRPr="00B6285A" w:rsidRDefault="00B6285A" w:rsidP="00B6285A">
            <w:pPr>
              <w:ind w:firstLine="0"/>
              <w:jc w:val="right"/>
              <w:rPr>
                <w:rFonts w:eastAsia="Times New Roman" w:cs="Times New Roman"/>
                <w:b/>
                <w:bCs/>
                <w:color w:val="000000"/>
                <w:sz w:val="20"/>
                <w:szCs w:val="20"/>
                <w:lang w:eastAsia="lv-LV"/>
              </w:rPr>
            </w:pPr>
            <w:r w:rsidRPr="00B6285A">
              <w:rPr>
                <w:rFonts w:eastAsia="Times New Roman" w:cs="Times New Roman"/>
                <w:b/>
                <w:bCs/>
                <w:color w:val="000000"/>
                <w:sz w:val="20"/>
                <w:szCs w:val="20"/>
                <w:lang w:eastAsia="lv-LV"/>
              </w:rPr>
              <w:t>74,6</w:t>
            </w:r>
          </w:p>
        </w:tc>
        <w:tc>
          <w:tcPr>
            <w:tcW w:w="481" w:type="pct"/>
            <w:tcBorders>
              <w:top w:val="nil"/>
              <w:left w:val="nil"/>
              <w:bottom w:val="single" w:sz="4" w:space="0" w:color="auto"/>
              <w:right w:val="single" w:sz="4" w:space="0" w:color="auto"/>
            </w:tcBorders>
            <w:shd w:val="clear" w:color="auto" w:fill="DEEAF6"/>
            <w:noWrap/>
            <w:vAlign w:val="center"/>
            <w:hideMark/>
          </w:tcPr>
          <w:p w14:paraId="4432181F" w14:textId="77777777" w:rsidR="00B6285A" w:rsidRPr="00B6285A" w:rsidRDefault="00B6285A" w:rsidP="00B6285A">
            <w:pPr>
              <w:ind w:firstLine="0"/>
              <w:jc w:val="right"/>
              <w:rPr>
                <w:rFonts w:eastAsia="Times New Roman" w:cs="Times New Roman"/>
                <w:b/>
                <w:bCs/>
                <w:color w:val="000000"/>
                <w:sz w:val="20"/>
                <w:szCs w:val="20"/>
                <w:lang w:eastAsia="lv-LV"/>
              </w:rPr>
            </w:pPr>
            <w:r w:rsidRPr="00B6285A">
              <w:rPr>
                <w:rFonts w:eastAsia="Times New Roman" w:cs="Times New Roman"/>
                <w:b/>
                <w:bCs/>
                <w:color w:val="000000"/>
                <w:sz w:val="20"/>
                <w:szCs w:val="20"/>
                <w:lang w:eastAsia="lv-LV"/>
              </w:rPr>
              <w:t>22,1</w:t>
            </w:r>
          </w:p>
        </w:tc>
      </w:tr>
      <w:tr w:rsidR="00B6285A" w:rsidRPr="00B6285A" w14:paraId="6D67CC35" w14:textId="77777777" w:rsidTr="00143408">
        <w:trPr>
          <w:trHeight w:val="560"/>
        </w:trPr>
        <w:tc>
          <w:tcPr>
            <w:tcW w:w="2804" w:type="pct"/>
            <w:tcBorders>
              <w:top w:val="nil"/>
              <w:left w:val="single" w:sz="4" w:space="0" w:color="auto"/>
              <w:bottom w:val="single" w:sz="4" w:space="0" w:color="auto"/>
              <w:right w:val="single" w:sz="4" w:space="0" w:color="auto"/>
            </w:tcBorders>
            <w:shd w:val="clear" w:color="auto" w:fill="auto"/>
            <w:vAlign w:val="center"/>
            <w:hideMark/>
          </w:tcPr>
          <w:p w14:paraId="75A690E5" w14:textId="77777777" w:rsidR="00B6285A" w:rsidRPr="00B6285A" w:rsidRDefault="00B6285A" w:rsidP="00B6285A">
            <w:pPr>
              <w:ind w:firstLine="0"/>
              <w:rPr>
                <w:rFonts w:eastAsia="Times New Roman" w:cs="Times New Roman"/>
                <w:color w:val="000000"/>
                <w:sz w:val="20"/>
                <w:szCs w:val="20"/>
                <w:lang w:eastAsia="lv-LV"/>
              </w:rPr>
            </w:pPr>
            <w:r w:rsidRPr="00B6285A">
              <w:rPr>
                <w:rFonts w:eastAsia="Times New Roman" w:cs="Times New Roman"/>
                <w:color w:val="000000"/>
                <w:sz w:val="20"/>
                <w:szCs w:val="20"/>
                <w:lang w:eastAsia="lv-LV"/>
              </w:rPr>
              <w:t>Valsts budžeta mērķdotācija pašvaldībām mājokļa pabalsta nodrošināšanai - 50 procentu apmērā no faktiskajiem izdevumiem mājokļa pabalstam, kas radušies laikposmā no 2022.gada 1.janvāra līdz 2023.gada 31.decembrim</w:t>
            </w:r>
          </w:p>
        </w:tc>
        <w:tc>
          <w:tcPr>
            <w:tcW w:w="452" w:type="pct"/>
            <w:tcBorders>
              <w:top w:val="nil"/>
              <w:left w:val="nil"/>
              <w:bottom w:val="single" w:sz="4" w:space="0" w:color="auto"/>
              <w:right w:val="single" w:sz="4" w:space="0" w:color="auto"/>
            </w:tcBorders>
            <w:shd w:val="clear" w:color="auto" w:fill="auto"/>
            <w:noWrap/>
            <w:vAlign w:val="center"/>
            <w:hideMark/>
          </w:tcPr>
          <w:p w14:paraId="12119050"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w:t>
            </w:r>
          </w:p>
        </w:tc>
        <w:tc>
          <w:tcPr>
            <w:tcW w:w="418" w:type="pct"/>
            <w:tcBorders>
              <w:top w:val="nil"/>
              <w:left w:val="nil"/>
              <w:bottom w:val="single" w:sz="4" w:space="0" w:color="auto"/>
              <w:right w:val="single" w:sz="4" w:space="0" w:color="auto"/>
            </w:tcBorders>
            <w:shd w:val="clear" w:color="auto" w:fill="auto"/>
            <w:noWrap/>
            <w:vAlign w:val="center"/>
            <w:hideMark/>
          </w:tcPr>
          <w:p w14:paraId="46DA0EED"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14,1</w:t>
            </w:r>
          </w:p>
        </w:tc>
        <w:tc>
          <w:tcPr>
            <w:tcW w:w="469" w:type="pct"/>
            <w:tcBorders>
              <w:top w:val="nil"/>
              <w:left w:val="nil"/>
              <w:bottom w:val="single" w:sz="4" w:space="0" w:color="auto"/>
              <w:right w:val="single" w:sz="4" w:space="0" w:color="auto"/>
            </w:tcBorders>
            <w:shd w:val="clear" w:color="auto" w:fill="auto"/>
            <w:noWrap/>
            <w:vAlign w:val="center"/>
            <w:hideMark/>
          </w:tcPr>
          <w:p w14:paraId="367B66FA"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5,5</w:t>
            </w:r>
          </w:p>
        </w:tc>
        <w:tc>
          <w:tcPr>
            <w:tcW w:w="376" w:type="pct"/>
            <w:tcBorders>
              <w:top w:val="nil"/>
              <w:left w:val="nil"/>
              <w:bottom w:val="single" w:sz="4" w:space="0" w:color="auto"/>
              <w:right w:val="single" w:sz="4" w:space="0" w:color="auto"/>
            </w:tcBorders>
            <w:shd w:val="clear" w:color="auto" w:fill="auto"/>
            <w:noWrap/>
            <w:vAlign w:val="center"/>
            <w:hideMark/>
          </w:tcPr>
          <w:p w14:paraId="372A463C"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14,7</w:t>
            </w:r>
          </w:p>
        </w:tc>
        <w:tc>
          <w:tcPr>
            <w:tcW w:w="481" w:type="pct"/>
            <w:tcBorders>
              <w:top w:val="nil"/>
              <w:left w:val="nil"/>
              <w:bottom w:val="single" w:sz="4" w:space="0" w:color="auto"/>
              <w:right w:val="single" w:sz="4" w:space="0" w:color="auto"/>
            </w:tcBorders>
            <w:shd w:val="clear" w:color="auto" w:fill="auto"/>
            <w:noWrap/>
            <w:vAlign w:val="center"/>
            <w:hideMark/>
          </w:tcPr>
          <w:p w14:paraId="6BD53539"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3,4</w:t>
            </w:r>
          </w:p>
        </w:tc>
      </w:tr>
      <w:tr w:rsidR="00B6285A" w:rsidRPr="00B6285A" w14:paraId="109A8547" w14:textId="77777777" w:rsidTr="00143408">
        <w:trPr>
          <w:trHeight w:val="290"/>
        </w:trPr>
        <w:tc>
          <w:tcPr>
            <w:tcW w:w="2804" w:type="pct"/>
            <w:tcBorders>
              <w:top w:val="nil"/>
              <w:left w:val="single" w:sz="4" w:space="0" w:color="auto"/>
              <w:bottom w:val="single" w:sz="4" w:space="0" w:color="auto"/>
              <w:right w:val="single" w:sz="4" w:space="0" w:color="auto"/>
            </w:tcBorders>
            <w:shd w:val="clear" w:color="auto" w:fill="auto"/>
            <w:vAlign w:val="center"/>
            <w:hideMark/>
          </w:tcPr>
          <w:p w14:paraId="4211FAE0" w14:textId="77777777" w:rsidR="00B6285A" w:rsidRPr="00B6285A" w:rsidRDefault="00B6285A" w:rsidP="00B6285A">
            <w:pPr>
              <w:ind w:firstLine="0"/>
              <w:rPr>
                <w:rFonts w:eastAsia="Times New Roman" w:cs="Times New Roman"/>
                <w:color w:val="000000"/>
                <w:sz w:val="20"/>
                <w:szCs w:val="20"/>
                <w:lang w:eastAsia="lv-LV"/>
              </w:rPr>
            </w:pPr>
            <w:r w:rsidRPr="00B6285A">
              <w:rPr>
                <w:rFonts w:eastAsia="Times New Roman" w:cs="Times New Roman"/>
                <w:color w:val="000000"/>
                <w:sz w:val="20"/>
                <w:szCs w:val="20"/>
                <w:lang w:eastAsia="lv-LV"/>
              </w:rPr>
              <w:t xml:space="preserve">Atbalsta izmaksa 20 </w:t>
            </w:r>
            <w:proofErr w:type="spellStart"/>
            <w:r w:rsidRPr="00B6285A">
              <w:rPr>
                <w:rFonts w:eastAsia="Times New Roman" w:cs="Times New Roman"/>
                <w:i/>
                <w:iCs/>
                <w:color w:val="000000"/>
                <w:sz w:val="20"/>
                <w:szCs w:val="20"/>
                <w:lang w:eastAsia="lv-LV"/>
              </w:rPr>
              <w:t>euro</w:t>
            </w:r>
            <w:proofErr w:type="spellEnd"/>
            <w:r w:rsidRPr="00B6285A">
              <w:rPr>
                <w:rFonts w:eastAsia="Times New Roman" w:cs="Times New Roman"/>
                <w:color w:val="000000"/>
                <w:sz w:val="20"/>
                <w:szCs w:val="20"/>
                <w:lang w:eastAsia="lv-LV"/>
              </w:rPr>
              <w:t xml:space="preserve"> mēnesī senioriem un personām ar invaliditāti laikposmā no 2022.gada 1.janvāra līdz 2022.gada 30.aprīlim</w:t>
            </w:r>
          </w:p>
        </w:tc>
        <w:tc>
          <w:tcPr>
            <w:tcW w:w="452" w:type="pct"/>
            <w:tcBorders>
              <w:top w:val="nil"/>
              <w:left w:val="nil"/>
              <w:bottom w:val="single" w:sz="4" w:space="0" w:color="auto"/>
              <w:right w:val="single" w:sz="4" w:space="0" w:color="auto"/>
            </w:tcBorders>
            <w:shd w:val="clear" w:color="auto" w:fill="auto"/>
            <w:noWrap/>
            <w:vAlign w:val="center"/>
            <w:hideMark/>
          </w:tcPr>
          <w:p w14:paraId="46D23353"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w:t>
            </w:r>
          </w:p>
        </w:tc>
        <w:tc>
          <w:tcPr>
            <w:tcW w:w="418" w:type="pct"/>
            <w:tcBorders>
              <w:top w:val="nil"/>
              <w:left w:val="nil"/>
              <w:bottom w:val="single" w:sz="4" w:space="0" w:color="auto"/>
              <w:right w:val="single" w:sz="4" w:space="0" w:color="auto"/>
            </w:tcBorders>
            <w:shd w:val="clear" w:color="auto" w:fill="auto"/>
            <w:noWrap/>
            <w:vAlign w:val="center"/>
            <w:hideMark/>
          </w:tcPr>
          <w:p w14:paraId="0907C9BA"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44,3</w:t>
            </w:r>
          </w:p>
        </w:tc>
        <w:tc>
          <w:tcPr>
            <w:tcW w:w="469" w:type="pct"/>
            <w:tcBorders>
              <w:top w:val="nil"/>
              <w:left w:val="nil"/>
              <w:bottom w:val="single" w:sz="4" w:space="0" w:color="auto"/>
              <w:right w:val="single" w:sz="4" w:space="0" w:color="auto"/>
            </w:tcBorders>
            <w:shd w:val="clear" w:color="auto" w:fill="auto"/>
            <w:noWrap/>
            <w:vAlign w:val="center"/>
            <w:hideMark/>
          </w:tcPr>
          <w:p w14:paraId="0AD29E7E"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43,8</w:t>
            </w:r>
          </w:p>
        </w:tc>
        <w:tc>
          <w:tcPr>
            <w:tcW w:w="376" w:type="pct"/>
            <w:tcBorders>
              <w:top w:val="nil"/>
              <w:left w:val="nil"/>
              <w:bottom w:val="single" w:sz="4" w:space="0" w:color="auto"/>
              <w:right w:val="single" w:sz="4" w:space="0" w:color="auto"/>
            </w:tcBorders>
            <w:shd w:val="clear" w:color="auto" w:fill="auto"/>
            <w:noWrap/>
            <w:vAlign w:val="center"/>
            <w:hideMark/>
          </w:tcPr>
          <w:p w14:paraId="4D170AE9"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w:t>
            </w:r>
          </w:p>
        </w:tc>
        <w:tc>
          <w:tcPr>
            <w:tcW w:w="481" w:type="pct"/>
            <w:tcBorders>
              <w:top w:val="nil"/>
              <w:left w:val="nil"/>
              <w:bottom w:val="single" w:sz="4" w:space="0" w:color="auto"/>
              <w:right w:val="single" w:sz="4" w:space="0" w:color="auto"/>
            </w:tcBorders>
            <w:shd w:val="clear" w:color="auto" w:fill="auto"/>
            <w:noWrap/>
            <w:vAlign w:val="center"/>
            <w:hideMark/>
          </w:tcPr>
          <w:p w14:paraId="080A5CE5"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w:t>
            </w:r>
          </w:p>
        </w:tc>
      </w:tr>
      <w:tr w:rsidR="00B6285A" w:rsidRPr="00B6285A" w14:paraId="39B6F24A" w14:textId="77777777" w:rsidTr="00143408">
        <w:trPr>
          <w:trHeight w:val="290"/>
        </w:trPr>
        <w:tc>
          <w:tcPr>
            <w:tcW w:w="2804" w:type="pct"/>
            <w:tcBorders>
              <w:top w:val="nil"/>
              <w:left w:val="single" w:sz="4" w:space="0" w:color="auto"/>
              <w:bottom w:val="single" w:sz="4" w:space="0" w:color="auto"/>
              <w:right w:val="single" w:sz="4" w:space="0" w:color="auto"/>
            </w:tcBorders>
            <w:shd w:val="clear" w:color="auto" w:fill="auto"/>
            <w:vAlign w:val="center"/>
            <w:hideMark/>
          </w:tcPr>
          <w:p w14:paraId="12F79E3B" w14:textId="77777777" w:rsidR="00B6285A" w:rsidRPr="00B6285A" w:rsidRDefault="00B6285A" w:rsidP="00B6285A">
            <w:pPr>
              <w:ind w:firstLine="0"/>
              <w:rPr>
                <w:rFonts w:eastAsia="Times New Roman" w:cs="Times New Roman"/>
                <w:color w:val="000000"/>
                <w:sz w:val="20"/>
                <w:szCs w:val="20"/>
                <w:lang w:eastAsia="lv-LV"/>
              </w:rPr>
            </w:pPr>
            <w:r w:rsidRPr="00B6285A">
              <w:rPr>
                <w:rFonts w:eastAsia="Times New Roman" w:cs="Times New Roman"/>
                <w:color w:val="000000"/>
                <w:sz w:val="20"/>
                <w:szCs w:val="20"/>
                <w:lang w:eastAsia="lv-LV"/>
              </w:rPr>
              <w:t xml:space="preserve">Atbalsta izmaksa 50 </w:t>
            </w:r>
            <w:proofErr w:type="spellStart"/>
            <w:r w:rsidRPr="00B6285A">
              <w:rPr>
                <w:rFonts w:eastAsia="Times New Roman" w:cs="Times New Roman"/>
                <w:i/>
                <w:iCs/>
                <w:color w:val="000000"/>
                <w:sz w:val="20"/>
                <w:szCs w:val="20"/>
                <w:lang w:eastAsia="lv-LV"/>
              </w:rPr>
              <w:t>euro</w:t>
            </w:r>
            <w:proofErr w:type="spellEnd"/>
            <w:r w:rsidRPr="00B6285A">
              <w:rPr>
                <w:rFonts w:eastAsia="Times New Roman" w:cs="Times New Roman"/>
                <w:color w:val="000000"/>
                <w:sz w:val="20"/>
                <w:szCs w:val="20"/>
                <w:lang w:eastAsia="lv-LV"/>
              </w:rPr>
              <w:t xml:space="preserve"> mēnesī ģimenēm ar bērniem laikposmā no 2022.gada 1.janvāra līdz 2022.gada 30.aprīlim</w:t>
            </w:r>
          </w:p>
        </w:tc>
        <w:tc>
          <w:tcPr>
            <w:tcW w:w="452" w:type="pct"/>
            <w:tcBorders>
              <w:top w:val="nil"/>
              <w:left w:val="nil"/>
              <w:bottom w:val="single" w:sz="4" w:space="0" w:color="auto"/>
              <w:right w:val="single" w:sz="4" w:space="0" w:color="auto"/>
            </w:tcBorders>
            <w:shd w:val="clear" w:color="auto" w:fill="auto"/>
            <w:noWrap/>
            <w:vAlign w:val="center"/>
            <w:hideMark/>
          </w:tcPr>
          <w:p w14:paraId="407E0211"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w:t>
            </w:r>
          </w:p>
        </w:tc>
        <w:tc>
          <w:tcPr>
            <w:tcW w:w="418" w:type="pct"/>
            <w:tcBorders>
              <w:top w:val="nil"/>
              <w:left w:val="nil"/>
              <w:bottom w:val="single" w:sz="4" w:space="0" w:color="auto"/>
              <w:right w:val="single" w:sz="4" w:space="0" w:color="auto"/>
            </w:tcBorders>
            <w:shd w:val="clear" w:color="auto" w:fill="auto"/>
            <w:noWrap/>
            <w:vAlign w:val="center"/>
            <w:hideMark/>
          </w:tcPr>
          <w:p w14:paraId="3D222EB4"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81,1</w:t>
            </w:r>
          </w:p>
        </w:tc>
        <w:tc>
          <w:tcPr>
            <w:tcW w:w="469" w:type="pct"/>
            <w:tcBorders>
              <w:top w:val="nil"/>
              <w:left w:val="nil"/>
              <w:bottom w:val="single" w:sz="4" w:space="0" w:color="auto"/>
              <w:right w:val="single" w:sz="4" w:space="0" w:color="auto"/>
            </w:tcBorders>
            <w:shd w:val="clear" w:color="auto" w:fill="auto"/>
            <w:noWrap/>
            <w:vAlign w:val="center"/>
            <w:hideMark/>
          </w:tcPr>
          <w:p w14:paraId="636671C6"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81,0</w:t>
            </w:r>
          </w:p>
        </w:tc>
        <w:tc>
          <w:tcPr>
            <w:tcW w:w="376" w:type="pct"/>
            <w:tcBorders>
              <w:top w:val="nil"/>
              <w:left w:val="nil"/>
              <w:bottom w:val="single" w:sz="4" w:space="0" w:color="auto"/>
              <w:right w:val="single" w:sz="4" w:space="0" w:color="auto"/>
            </w:tcBorders>
            <w:shd w:val="clear" w:color="auto" w:fill="auto"/>
            <w:noWrap/>
            <w:vAlign w:val="center"/>
            <w:hideMark/>
          </w:tcPr>
          <w:p w14:paraId="6C27B695"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w:t>
            </w:r>
          </w:p>
        </w:tc>
        <w:tc>
          <w:tcPr>
            <w:tcW w:w="481" w:type="pct"/>
            <w:tcBorders>
              <w:top w:val="nil"/>
              <w:left w:val="nil"/>
              <w:bottom w:val="single" w:sz="4" w:space="0" w:color="auto"/>
              <w:right w:val="single" w:sz="4" w:space="0" w:color="auto"/>
            </w:tcBorders>
            <w:shd w:val="clear" w:color="auto" w:fill="auto"/>
            <w:noWrap/>
            <w:vAlign w:val="center"/>
            <w:hideMark/>
          </w:tcPr>
          <w:p w14:paraId="4A94636C"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w:t>
            </w:r>
          </w:p>
        </w:tc>
      </w:tr>
      <w:tr w:rsidR="00B6285A" w:rsidRPr="00B6285A" w14:paraId="303A81DB" w14:textId="77777777" w:rsidTr="00143408">
        <w:trPr>
          <w:trHeight w:val="290"/>
        </w:trPr>
        <w:tc>
          <w:tcPr>
            <w:tcW w:w="2804" w:type="pct"/>
            <w:tcBorders>
              <w:top w:val="nil"/>
              <w:left w:val="single" w:sz="4" w:space="0" w:color="auto"/>
              <w:bottom w:val="single" w:sz="4" w:space="0" w:color="auto"/>
              <w:right w:val="single" w:sz="4" w:space="0" w:color="auto"/>
            </w:tcBorders>
            <w:shd w:val="clear" w:color="auto" w:fill="auto"/>
            <w:vAlign w:val="center"/>
            <w:hideMark/>
          </w:tcPr>
          <w:p w14:paraId="3A79C25F" w14:textId="77777777" w:rsidR="00B6285A" w:rsidRPr="00B6285A" w:rsidRDefault="00B6285A" w:rsidP="00B6285A">
            <w:pPr>
              <w:ind w:firstLine="0"/>
              <w:rPr>
                <w:rFonts w:eastAsia="Times New Roman" w:cs="Times New Roman"/>
                <w:color w:val="000000"/>
                <w:sz w:val="20"/>
                <w:szCs w:val="20"/>
                <w:lang w:eastAsia="lv-LV"/>
              </w:rPr>
            </w:pPr>
            <w:r w:rsidRPr="00B6285A">
              <w:rPr>
                <w:rFonts w:eastAsia="Times New Roman" w:cs="Times New Roman"/>
                <w:color w:val="000000"/>
                <w:sz w:val="20"/>
                <w:szCs w:val="20"/>
                <w:lang w:eastAsia="lv-LV"/>
              </w:rPr>
              <w:t>Ātrāka vecuma pensiju indeksācija (2022.gada augustā)</w:t>
            </w:r>
          </w:p>
        </w:tc>
        <w:tc>
          <w:tcPr>
            <w:tcW w:w="452" w:type="pct"/>
            <w:tcBorders>
              <w:top w:val="nil"/>
              <w:left w:val="nil"/>
              <w:bottom w:val="single" w:sz="4" w:space="0" w:color="auto"/>
              <w:right w:val="single" w:sz="4" w:space="0" w:color="auto"/>
            </w:tcBorders>
            <w:shd w:val="clear" w:color="auto" w:fill="auto"/>
            <w:noWrap/>
            <w:vAlign w:val="center"/>
            <w:hideMark/>
          </w:tcPr>
          <w:p w14:paraId="6C2286E8"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w:t>
            </w:r>
          </w:p>
        </w:tc>
        <w:tc>
          <w:tcPr>
            <w:tcW w:w="418" w:type="pct"/>
            <w:tcBorders>
              <w:top w:val="nil"/>
              <w:left w:val="nil"/>
              <w:bottom w:val="single" w:sz="4" w:space="0" w:color="auto"/>
              <w:right w:val="single" w:sz="4" w:space="0" w:color="auto"/>
            </w:tcBorders>
            <w:shd w:val="clear" w:color="auto" w:fill="auto"/>
            <w:noWrap/>
            <w:vAlign w:val="center"/>
            <w:hideMark/>
          </w:tcPr>
          <w:p w14:paraId="039E6EAB"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52,1</w:t>
            </w:r>
          </w:p>
        </w:tc>
        <w:tc>
          <w:tcPr>
            <w:tcW w:w="469" w:type="pct"/>
            <w:tcBorders>
              <w:top w:val="nil"/>
              <w:left w:val="nil"/>
              <w:bottom w:val="single" w:sz="4" w:space="0" w:color="auto"/>
              <w:right w:val="single" w:sz="4" w:space="0" w:color="auto"/>
            </w:tcBorders>
            <w:shd w:val="clear" w:color="auto" w:fill="auto"/>
            <w:noWrap/>
            <w:vAlign w:val="center"/>
            <w:hideMark/>
          </w:tcPr>
          <w:p w14:paraId="70083750"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91,4</w:t>
            </w:r>
          </w:p>
        </w:tc>
        <w:tc>
          <w:tcPr>
            <w:tcW w:w="376" w:type="pct"/>
            <w:tcBorders>
              <w:top w:val="nil"/>
              <w:left w:val="nil"/>
              <w:bottom w:val="single" w:sz="4" w:space="0" w:color="auto"/>
              <w:right w:val="single" w:sz="4" w:space="0" w:color="auto"/>
            </w:tcBorders>
            <w:shd w:val="clear" w:color="auto" w:fill="auto"/>
            <w:noWrap/>
            <w:vAlign w:val="center"/>
            <w:hideMark/>
          </w:tcPr>
          <w:p w14:paraId="063EE3D0"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w:t>
            </w:r>
          </w:p>
        </w:tc>
        <w:tc>
          <w:tcPr>
            <w:tcW w:w="481" w:type="pct"/>
            <w:tcBorders>
              <w:top w:val="nil"/>
              <w:left w:val="nil"/>
              <w:bottom w:val="single" w:sz="4" w:space="0" w:color="auto"/>
              <w:right w:val="single" w:sz="4" w:space="0" w:color="auto"/>
            </w:tcBorders>
            <w:shd w:val="clear" w:color="auto" w:fill="auto"/>
            <w:noWrap/>
            <w:vAlign w:val="center"/>
            <w:hideMark/>
          </w:tcPr>
          <w:p w14:paraId="35B65DD5"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w:t>
            </w:r>
          </w:p>
        </w:tc>
      </w:tr>
      <w:tr w:rsidR="00B6285A" w:rsidRPr="00B6285A" w14:paraId="13898B90" w14:textId="77777777" w:rsidTr="00143408">
        <w:trPr>
          <w:trHeight w:val="560"/>
        </w:trPr>
        <w:tc>
          <w:tcPr>
            <w:tcW w:w="2804" w:type="pct"/>
            <w:tcBorders>
              <w:top w:val="nil"/>
              <w:left w:val="single" w:sz="4" w:space="0" w:color="auto"/>
              <w:bottom w:val="single" w:sz="4" w:space="0" w:color="auto"/>
              <w:right w:val="single" w:sz="4" w:space="0" w:color="auto"/>
            </w:tcBorders>
            <w:shd w:val="clear" w:color="auto" w:fill="auto"/>
            <w:vAlign w:val="center"/>
            <w:hideMark/>
          </w:tcPr>
          <w:p w14:paraId="4F94815B" w14:textId="77777777" w:rsidR="00B6285A" w:rsidRPr="00B6285A" w:rsidRDefault="00B6285A" w:rsidP="00B6285A">
            <w:pPr>
              <w:ind w:firstLine="0"/>
              <w:rPr>
                <w:rFonts w:eastAsia="Times New Roman" w:cs="Times New Roman"/>
                <w:color w:val="000000"/>
                <w:sz w:val="20"/>
                <w:szCs w:val="20"/>
                <w:lang w:eastAsia="lv-LV"/>
              </w:rPr>
            </w:pPr>
            <w:r w:rsidRPr="00B6285A">
              <w:rPr>
                <w:rFonts w:eastAsia="Times New Roman" w:cs="Times New Roman"/>
                <w:color w:val="000000"/>
                <w:sz w:val="20"/>
                <w:szCs w:val="20"/>
                <w:lang w:eastAsia="lv-LV"/>
              </w:rPr>
              <w:t xml:space="preserve">Atbalsts senioriem, personām ar invaliditāti, apgādnieku zaudējušām personām (no 2022. gada 1.novembra līdz 2023.gada 30.maijam tiks izmaksāti 10, 20 vai 30 </w:t>
            </w:r>
            <w:proofErr w:type="spellStart"/>
            <w:r w:rsidRPr="00B6285A">
              <w:rPr>
                <w:rFonts w:eastAsia="Times New Roman" w:cs="Times New Roman"/>
                <w:i/>
                <w:iCs/>
                <w:color w:val="000000"/>
                <w:sz w:val="20"/>
                <w:szCs w:val="20"/>
                <w:lang w:eastAsia="lv-LV"/>
              </w:rPr>
              <w:t>euro</w:t>
            </w:r>
            <w:proofErr w:type="spellEnd"/>
            <w:r w:rsidRPr="00B6285A">
              <w:rPr>
                <w:rFonts w:eastAsia="Times New Roman" w:cs="Times New Roman"/>
                <w:color w:val="000000"/>
                <w:sz w:val="20"/>
                <w:szCs w:val="20"/>
                <w:lang w:eastAsia="lv-LV"/>
              </w:rPr>
              <w:t xml:space="preserve"> mēnesī, atkarībā no saņēmēja pensijas ienākuma apmēra)</w:t>
            </w:r>
          </w:p>
        </w:tc>
        <w:tc>
          <w:tcPr>
            <w:tcW w:w="452" w:type="pct"/>
            <w:tcBorders>
              <w:top w:val="nil"/>
              <w:left w:val="nil"/>
              <w:bottom w:val="single" w:sz="4" w:space="0" w:color="auto"/>
              <w:right w:val="single" w:sz="4" w:space="0" w:color="auto"/>
            </w:tcBorders>
            <w:shd w:val="clear" w:color="auto" w:fill="auto"/>
            <w:noWrap/>
            <w:vAlign w:val="center"/>
            <w:hideMark/>
          </w:tcPr>
          <w:p w14:paraId="0F334EE3"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w:t>
            </w:r>
          </w:p>
        </w:tc>
        <w:tc>
          <w:tcPr>
            <w:tcW w:w="418" w:type="pct"/>
            <w:tcBorders>
              <w:top w:val="nil"/>
              <w:left w:val="nil"/>
              <w:bottom w:val="single" w:sz="4" w:space="0" w:color="auto"/>
              <w:right w:val="single" w:sz="4" w:space="0" w:color="auto"/>
            </w:tcBorders>
            <w:shd w:val="clear" w:color="auto" w:fill="auto"/>
            <w:noWrap/>
            <w:vAlign w:val="center"/>
            <w:hideMark/>
          </w:tcPr>
          <w:p w14:paraId="3E66113D"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23,1</w:t>
            </w:r>
          </w:p>
        </w:tc>
        <w:tc>
          <w:tcPr>
            <w:tcW w:w="469" w:type="pct"/>
            <w:tcBorders>
              <w:top w:val="nil"/>
              <w:left w:val="nil"/>
              <w:bottom w:val="single" w:sz="4" w:space="0" w:color="auto"/>
              <w:right w:val="single" w:sz="4" w:space="0" w:color="auto"/>
            </w:tcBorders>
            <w:shd w:val="clear" w:color="auto" w:fill="auto"/>
            <w:noWrap/>
            <w:vAlign w:val="center"/>
            <w:hideMark/>
          </w:tcPr>
          <w:p w14:paraId="6CB02288"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18,3</w:t>
            </w:r>
          </w:p>
        </w:tc>
        <w:tc>
          <w:tcPr>
            <w:tcW w:w="376" w:type="pct"/>
            <w:tcBorders>
              <w:top w:val="nil"/>
              <w:left w:val="nil"/>
              <w:bottom w:val="single" w:sz="4" w:space="0" w:color="auto"/>
              <w:right w:val="single" w:sz="4" w:space="0" w:color="auto"/>
            </w:tcBorders>
            <w:shd w:val="clear" w:color="auto" w:fill="auto"/>
            <w:noWrap/>
            <w:vAlign w:val="center"/>
            <w:hideMark/>
          </w:tcPr>
          <w:p w14:paraId="3C299F49"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59,9</w:t>
            </w:r>
          </w:p>
        </w:tc>
        <w:tc>
          <w:tcPr>
            <w:tcW w:w="481" w:type="pct"/>
            <w:tcBorders>
              <w:top w:val="nil"/>
              <w:left w:val="nil"/>
              <w:bottom w:val="single" w:sz="4" w:space="0" w:color="auto"/>
              <w:right w:val="single" w:sz="4" w:space="0" w:color="auto"/>
            </w:tcBorders>
            <w:shd w:val="clear" w:color="auto" w:fill="auto"/>
            <w:noWrap/>
            <w:vAlign w:val="center"/>
            <w:hideMark/>
          </w:tcPr>
          <w:p w14:paraId="23D0924E" w14:textId="77777777" w:rsidR="00B6285A" w:rsidRPr="00B6285A" w:rsidRDefault="00B6285A" w:rsidP="00B6285A">
            <w:pPr>
              <w:ind w:firstLine="0"/>
              <w:jc w:val="right"/>
              <w:rPr>
                <w:rFonts w:eastAsia="Times New Roman" w:cs="Times New Roman"/>
                <w:color w:val="000000"/>
                <w:sz w:val="20"/>
                <w:szCs w:val="20"/>
                <w:lang w:eastAsia="lv-LV"/>
              </w:rPr>
            </w:pPr>
            <w:r w:rsidRPr="00B6285A">
              <w:rPr>
                <w:rFonts w:eastAsia="Times New Roman" w:cs="Times New Roman"/>
                <w:color w:val="000000"/>
                <w:sz w:val="20"/>
                <w:szCs w:val="20"/>
                <w:lang w:eastAsia="lv-LV"/>
              </w:rPr>
              <w:t>18,6</w:t>
            </w:r>
          </w:p>
        </w:tc>
      </w:tr>
      <w:tr w:rsidR="00B6285A" w:rsidRPr="00B6285A" w14:paraId="7C6889F0" w14:textId="77777777" w:rsidTr="00B6285A">
        <w:trPr>
          <w:trHeight w:val="50"/>
        </w:trPr>
        <w:tc>
          <w:tcPr>
            <w:tcW w:w="2804" w:type="pct"/>
            <w:tcBorders>
              <w:top w:val="nil"/>
              <w:left w:val="single" w:sz="4" w:space="0" w:color="auto"/>
              <w:bottom w:val="single" w:sz="4" w:space="0" w:color="auto"/>
              <w:right w:val="single" w:sz="4" w:space="0" w:color="auto"/>
            </w:tcBorders>
            <w:shd w:val="clear" w:color="auto" w:fill="DEEAF6"/>
            <w:vAlign w:val="center"/>
            <w:hideMark/>
          </w:tcPr>
          <w:p w14:paraId="1EBBC2E5" w14:textId="77777777" w:rsidR="00B6285A" w:rsidRPr="00B6285A" w:rsidRDefault="00B6285A" w:rsidP="00B6285A">
            <w:pPr>
              <w:ind w:firstLine="0"/>
              <w:rPr>
                <w:rFonts w:eastAsia="Times New Roman" w:cs="Times New Roman"/>
                <w:b/>
                <w:bCs/>
                <w:color w:val="000000"/>
                <w:sz w:val="20"/>
                <w:szCs w:val="20"/>
                <w:lang w:eastAsia="lv-LV"/>
              </w:rPr>
            </w:pPr>
            <w:r w:rsidRPr="00B6285A">
              <w:rPr>
                <w:rFonts w:eastAsia="Times New Roman" w:cs="Times New Roman"/>
                <w:b/>
                <w:bCs/>
                <w:color w:val="000000"/>
                <w:sz w:val="20"/>
                <w:szCs w:val="20"/>
                <w:lang w:eastAsia="lv-LV"/>
              </w:rPr>
              <w:t>Atbalsts energoefektīvajiem uzņēmumiem</w:t>
            </w:r>
          </w:p>
        </w:tc>
        <w:tc>
          <w:tcPr>
            <w:tcW w:w="452" w:type="pct"/>
            <w:tcBorders>
              <w:top w:val="nil"/>
              <w:left w:val="nil"/>
              <w:bottom w:val="single" w:sz="4" w:space="0" w:color="auto"/>
              <w:right w:val="single" w:sz="4" w:space="0" w:color="auto"/>
            </w:tcBorders>
            <w:shd w:val="clear" w:color="auto" w:fill="DEEAF6"/>
            <w:noWrap/>
            <w:vAlign w:val="center"/>
            <w:hideMark/>
          </w:tcPr>
          <w:p w14:paraId="24308BC8" w14:textId="77777777" w:rsidR="00B6285A" w:rsidRPr="00B6285A" w:rsidRDefault="00B6285A" w:rsidP="00B6285A">
            <w:pPr>
              <w:ind w:firstLine="0"/>
              <w:jc w:val="right"/>
              <w:rPr>
                <w:rFonts w:eastAsia="Times New Roman" w:cs="Times New Roman"/>
                <w:b/>
                <w:bCs/>
                <w:color w:val="000000"/>
                <w:sz w:val="20"/>
                <w:szCs w:val="20"/>
                <w:lang w:eastAsia="lv-LV"/>
              </w:rPr>
            </w:pPr>
            <w:r w:rsidRPr="00B6285A">
              <w:rPr>
                <w:rFonts w:eastAsia="Times New Roman" w:cs="Times New Roman"/>
                <w:b/>
                <w:bCs/>
                <w:color w:val="000000"/>
                <w:sz w:val="20"/>
                <w:szCs w:val="20"/>
                <w:lang w:eastAsia="lv-LV"/>
              </w:rPr>
              <w:t>-</w:t>
            </w:r>
          </w:p>
        </w:tc>
        <w:tc>
          <w:tcPr>
            <w:tcW w:w="418" w:type="pct"/>
            <w:tcBorders>
              <w:top w:val="nil"/>
              <w:left w:val="nil"/>
              <w:bottom w:val="single" w:sz="4" w:space="0" w:color="auto"/>
              <w:right w:val="single" w:sz="4" w:space="0" w:color="auto"/>
            </w:tcBorders>
            <w:shd w:val="clear" w:color="auto" w:fill="DEEAF6"/>
            <w:noWrap/>
            <w:vAlign w:val="center"/>
            <w:hideMark/>
          </w:tcPr>
          <w:p w14:paraId="756F4128" w14:textId="77777777" w:rsidR="00B6285A" w:rsidRPr="00B6285A" w:rsidRDefault="00B6285A" w:rsidP="00B6285A">
            <w:pPr>
              <w:ind w:firstLine="0"/>
              <w:jc w:val="right"/>
              <w:rPr>
                <w:rFonts w:eastAsia="Times New Roman" w:cs="Times New Roman"/>
                <w:b/>
                <w:bCs/>
                <w:color w:val="000000"/>
                <w:sz w:val="20"/>
                <w:szCs w:val="20"/>
                <w:lang w:eastAsia="lv-LV"/>
              </w:rPr>
            </w:pPr>
            <w:r w:rsidRPr="00B6285A">
              <w:rPr>
                <w:rFonts w:eastAsia="Times New Roman" w:cs="Times New Roman"/>
                <w:b/>
                <w:bCs/>
                <w:color w:val="000000"/>
                <w:sz w:val="20"/>
                <w:szCs w:val="20"/>
                <w:lang w:eastAsia="lv-LV"/>
              </w:rPr>
              <w:t>50,0</w:t>
            </w:r>
          </w:p>
        </w:tc>
        <w:tc>
          <w:tcPr>
            <w:tcW w:w="469" w:type="pct"/>
            <w:tcBorders>
              <w:top w:val="nil"/>
              <w:left w:val="nil"/>
              <w:bottom w:val="single" w:sz="4" w:space="0" w:color="auto"/>
              <w:right w:val="single" w:sz="4" w:space="0" w:color="auto"/>
            </w:tcBorders>
            <w:shd w:val="clear" w:color="auto" w:fill="DEEAF6"/>
            <w:noWrap/>
            <w:vAlign w:val="center"/>
            <w:hideMark/>
          </w:tcPr>
          <w:p w14:paraId="4823A300" w14:textId="77777777" w:rsidR="00B6285A" w:rsidRPr="00B6285A" w:rsidRDefault="00B6285A" w:rsidP="00B6285A">
            <w:pPr>
              <w:ind w:firstLine="0"/>
              <w:jc w:val="right"/>
              <w:rPr>
                <w:rFonts w:eastAsia="Times New Roman" w:cs="Times New Roman"/>
                <w:b/>
                <w:bCs/>
                <w:color w:val="000000"/>
                <w:sz w:val="20"/>
                <w:szCs w:val="20"/>
                <w:lang w:eastAsia="lv-LV"/>
              </w:rPr>
            </w:pPr>
            <w:r w:rsidRPr="00B6285A">
              <w:rPr>
                <w:rFonts w:eastAsia="Times New Roman" w:cs="Times New Roman"/>
                <w:b/>
                <w:bCs/>
                <w:color w:val="000000"/>
                <w:sz w:val="20"/>
                <w:szCs w:val="20"/>
                <w:lang w:eastAsia="lv-LV"/>
              </w:rPr>
              <w:t>23,5</w:t>
            </w:r>
          </w:p>
        </w:tc>
        <w:tc>
          <w:tcPr>
            <w:tcW w:w="376" w:type="pct"/>
            <w:tcBorders>
              <w:top w:val="nil"/>
              <w:left w:val="nil"/>
              <w:bottom w:val="single" w:sz="4" w:space="0" w:color="auto"/>
              <w:right w:val="single" w:sz="4" w:space="0" w:color="auto"/>
            </w:tcBorders>
            <w:shd w:val="clear" w:color="auto" w:fill="DEEAF6"/>
            <w:noWrap/>
            <w:vAlign w:val="center"/>
            <w:hideMark/>
          </w:tcPr>
          <w:p w14:paraId="1A31206D" w14:textId="77777777" w:rsidR="00B6285A" w:rsidRPr="00B6285A" w:rsidRDefault="00B6285A" w:rsidP="00B6285A">
            <w:pPr>
              <w:ind w:firstLine="0"/>
              <w:jc w:val="right"/>
              <w:rPr>
                <w:rFonts w:eastAsia="Times New Roman" w:cs="Times New Roman"/>
                <w:b/>
                <w:bCs/>
                <w:color w:val="000000"/>
                <w:sz w:val="20"/>
                <w:szCs w:val="20"/>
                <w:lang w:eastAsia="lv-LV"/>
              </w:rPr>
            </w:pPr>
            <w:r w:rsidRPr="00B6285A">
              <w:rPr>
                <w:rFonts w:eastAsia="Times New Roman" w:cs="Times New Roman"/>
                <w:b/>
                <w:bCs/>
                <w:color w:val="000000"/>
                <w:sz w:val="20"/>
                <w:szCs w:val="20"/>
                <w:lang w:eastAsia="lv-LV"/>
              </w:rPr>
              <w:t>-</w:t>
            </w:r>
          </w:p>
        </w:tc>
        <w:tc>
          <w:tcPr>
            <w:tcW w:w="481" w:type="pct"/>
            <w:tcBorders>
              <w:top w:val="nil"/>
              <w:left w:val="nil"/>
              <w:bottom w:val="single" w:sz="4" w:space="0" w:color="auto"/>
              <w:right w:val="single" w:sz="4" w:space="0" w:color="auto"/>
            </w:tcBorders>
            <w:shd w:val="clear" w:color="auto" w:fill="DEEAF6"/>
            <w:noWrap/>
            <w:vAlign w:val="center"/>
            <w:hideMark/>
          </w:tcPr>
          <w:p w14:paraId="69B5BEE0" w14:textId="77777777" w:rsidR="00B6285A" w:rsidRPr="00B6285A" w:rsidRDefault="00B6285A" w:rsidP="00B6285A">
            <w:pPr>
              <w:ind w:firstLine="0"/>
              <w:jc w:val="right"/>
              <w:rPr>
                <w:rFonts w:eastAsia="Times New Roman" w:cs="Times New Roman"/>
                <w:b/>
                <w:bCs/>
                <w:color w:val="000000"/>
                <w:sz w:val="20"/>
                <w:szCs w:val="20"/>
                <w:lang w:eastAsia="lv-LV"/>
              </w:rPr>
            </w:pPr>
            <w:r w:rsidRPr="00B6285A">
              <w:rPr>
                <w:rFonts w:eastAsia="Times New Roman" w:cs="Times New Roman"/>
                <w:b/>
                <w:bCs/>
                <w:color w:val="000000"/>
                <w:sz w:val="20"/>
                <w:szCs w:val="20"/>
                <w:lang w:eastAsia="lv-LV"/>
              </w:rPr>
              <w:t>-</w:t>
            </w:r>
          </w:p>
        </w:tc>
      </w:tr>
      <w:tr w:rsidR="00B6285A" w:rsidRPr="00B6285A" w14:paraId="77DF94CD" w14:textId="77777777" w:rsidTr="00B6285A">
        <w:trPr>
          <w:trHeight w:val="50"/>
        </w:trPr>
        <w:tc>
          <w:tcPr>
            <w:tcW w:w="2804" w:type="pct"/>
            <w:tcBorders>
              <w:top w:val="nil"/>
              <w:left w:val="single" w:sz="4" w:space="0" w:color="auto"/>
              <w:bottom w:val="single" w:sz="4" w:space="0" w:color="auto"/>
              <w:right w:val="single" w:sz="4" w:space="0" w:color="auto"/>
            </w:tcBorders>
            <w:shd w:val="clear" w:color="auto" w:fill="BDD6EE"/>
            <w:vAlign w:val="center"/>
            <w:hideMark/>
          </w:tcPr>
          <w:p w14:paraId="5180B1F9" w14:textId="77777777" w:rsidR="00B6285A" w:rsidRPr="00B6285A" w:rsidRDefault="00B6285A" w:rsidP="00B6285A">
            <w:pPr>
              <w:ind w:firstLine="0"/>
              <w:jc w:val="right"/>
              <w:rPr>
                <w:rFonts w:eastAsia="Times New Roman" w:cs="Times New Roman"/>
                <w:b/>
                <w:bCs/>
                <w:color w:val="000000"/>
                <w:sz w:val="20"/>
                <w:szCs w:val="20"/>
                <w:lang w:eastAsia="lv-LV"/>
              </w:rPr>
            </w:pPr>
            <w:r w:rsidRPr="00B6285A">
              <w:rPr>
                <w:rFonts w:eastAsia="Times New Roman" w:cs="Times New Roman"/>
                <w:b/>
                <w:bCs/>
                <w:color w:val="000000"/>
                <w:sz w:val="20"/>
                <w:szCs w:val="20"/>
                <w:lang w:eastAsia="lv-LV"/>
              </w:rPr>
              <w:t>KOPĀ</w:t>
            </w:r>
          </w:p>
        </w:tc>
        <w:tc>
          <w:tcPr>
            <w:tcW w:w="452" w:type="pct"/>
            <w:tcBorders>
              <w:top w:val="nil"/>
              <w:left w:val="nil"/>
              <w:bottom w:val="single" w:sz="4" w:space="0" w:color="auto"/>
              <w:right w:val="single" w:sz="4" w:space="0" w:color="auto"/>
            </w:tcBorders>
            <w:shd w:val="clear" w:color="auto" w:fill="BDD6EE"/>
            <w:noWrap/>
            <w:vAlign w:val="center"/>
            <w:hideMark/>
          </w:tcPr>
          <w:p w14:paraId="51388BFA" w14:textId="77777777" w:rsidR="00B6285A" w:rsidRPr="00B6285A" w:rsidRDefault="00B6285A" w:rsidP="00B6285A">
            <w:pPr>
              <w:ind w:firstLine="0"/>
              <w:jc w:val="right"/>
              <w:rPr>
                <w:rFonts w:eastAsia="Times New Roman" w:cs="Times New Roman"/>
                <w:b/>
                <w:bCs/>
                <w:color w:val="000000"/>
                <w:sz w:val="20"/>
                <w:szCs w:val="20"/>
                <w:lang w:eastAsia="lv-LV"/>
              </w:rPr>
            </w:pPr>
            <w:r w:rsidRPr="00B6285A">
              <w:rPr>
                <w:rFonts w:eastAsia="Times New Roman" w:cs="Times New Roman"/>
                <w:b/>
                <w:bCs/>
                <w:color w:val="000000"/>
                <w:sz w:val="20"/>
                <w:szCs w:val="20"/>
                <w:lang w:eastAsia="lv-LV"/>
              </w:rPr>
              <w:t>1,9</w:t>
            </w:r>
          </w:p>
        </w:tc>
        <w:tc>
          <w:tcPr>
            <w:tcW w:w="418" w:type="pct"/>
            <w:tcBorders>
              <w:top w:val="nil"/>
              <w:left w:val="nil"/>
              <w:bottom w:val="single" w:sz="4" w:space="0" w:color="auto"/>
              <w:right w:val="single" w:sz="4" w:space="0" w:color="auto"/>
            </w:tcBorders>
            <w:shd w:val="clear" w:color="auto" w:fill="BDD6EE"/>
            <w:noWrap/>
            <w:vAlign w:val="center"/>
            <w:hideMark/>
          </w:tcPr>
          <w:p w14:paraId="015ECC97" w14:textId="77777777" w:rsidR="00B6285A" w:rsidRPr="00B6285A" w:rsidRDefault="00B6285A" w:rsidP="00B6285A">
            <w:pPr>
              <w:ind w:firstLine="0"/>
              <w:jc w:val="right"/>
              <w:rPr>
                <w:rFonts w:eastAsia="Times New Roman" w:cs="Times New Roman"/>
                <w:b/>
                <w:bCs/>
                <w:color w:val="000000"/>
                <w:sz w:val="20"/>
                <w:szCs w:val="20"/>
                <w:lang w:eastAsia="lv-LV"/>
              </w:rPr>
            </w:pPr>
            <w:r w:rsidRPr="00B6285A">
              <w:rPr>
                <w:rFonts w:eastAsia="Times New Roman" w:cs="Times New Roman"/>
                <w:b/>
                <w:bCs/>
                <w:color w:val="000000"/>
                <w:sz w:val="20"/>
                <w:szCs w:val="20"/>
                <w:lang w:eastAsia="lv-LV"/>
              </w:rPr>
              <w:t>836,1</w:t>
            </w:r>
          </w:p>
        </w:tc>
        <w:tc>
          <w:tcPr>
            <w:tcW w:w="469" w:type="pct"/>
            <w:tcBorders>
              <w:top w:val="nil"/>
              <w:left w:val="nil"/>
              <w:bottom w:val="single" w:sz="4" w:space="0" w:color="auto"/>
              <w:right w:val="single" w:sz="4" w:space="0" w:color="auto"/>
            </w:tcBorders>
            <w:shd w:val="clear" w:color="auto" w:fill="BDD6EE"/>
            <w:noWrap/>
            <w:vAlign w:val="center"/>
            <w:hideMark/>
          </w:tcPr>
          <w:p w14:paraId="2CDB7D5F" w14:textId="77777777" w:rsidR="00B6285A" w:rsidRPr="00B6285A" w:rsidRDefault="00B6285A" w:rsidP="00B6285A">
            <w:pPr>
              <w:ind w:firstLine="0"/>
              <w:jc w:val="right"/>
              <w:rPr>
                <w:rFonts w:eastAsia="Times New Roman" w:cs="Times New Roman"/>
                <w:b/>
                <w:bCs/>
                <w:color w:val="000000"/>
                <w:sz w:val="20"/>
                <w:szCs w:val="20"/>
                <w:lang w:eastAsia="lv-LV"/>
              </w:rPr>
            </w:pPr>
            <w:r w:rsidRPr="00B6285A">
              <w:rPr>
                <w:rFonts w:eastAsia="Times New Roman" w:cs="Times New Roman"/>
                <w:b/>
                <w:bCs/>
                <w:color w:val="000000"/>
                <w:sz w:val="20"/>
                <w:szCs w:val="20"/>
                <w:lang w:eastAsia="lv-LV"/>
              </w:rPr>
              <w:t>603,5</w:t>
            </w:r>
          </w:p>
        </w:tc>
        <w:tc>
          <w:tcPr>
            <w:tcW w:w="376" w:type="pct"/>
            <w:tcBorders>
              <w:top w:val="nil"/>
              <w:left w:val="nil"/>
              <w:bottom w:val="single" w:sz="4" w:space="0" w:color="auto"/>
              <w:right w:val="single" w:sz="4" w:space="0" w:color="auto"/>
            </w:tcBorders>
            <w:shd w:val="clear" w:color="auto" w:fill="BDD6EE"/>
            <w:noWrap/>
            <w:vAlign w:val="center"/>
            <w:hideMark/>
          </w:tcPr>
          <w:p w14:paraId="7B65680C" w14:textId="77777777" w:rsidR="00B6285A" w:rsidRPr="00B6285A" w:rsidRDefault="00B6285A" w:rsidP="00B6285A">
            <w:pPr>
              <w:ind w:firstLine="0"/>
              <w:jc w:val="right"/>
              <w:rPr>
                <w:rFonts w:eastAsia="Times New Roman" w:cs="Times New Roman"/>
                <w:b/>
                <w:bCs/>
                <w:color w:val="000000"/>
                <w:sz w:val="20"/>
                <w:szCs w:val="20"/>
                <w:lang w:eastAsia="lv-LV"/>
              </w:rPr>
            </w:pPr>
            <w:r w:rsidRPr="00B6285A">
              <w:rPr>
                <w:rFonts w:eastAsia="Times New Roman" w:cs="Times New Roman"/>
                <w:b/>
                <w:bCs/>
                <w:color w:val="000000"/>
                <w:sz w:val="20"/>
                <w:szCs w:val="20"/>
                <w:lang w:eastAsia="lv-LV"/>
              </w:rPr>
              <w:t>621,6</w:t>
            </w:r>
          </w:p>
        </w:tc>
        <w:tc>
          <w:tcPr>
            <w:tcW w:w="481" w:type="pct"/>
            <w:tcBorders>
              <w:top w:val="nil"/>
              <w:left w:val="nil"/>
              <w:bottom w:val="single" w:sz="4" w:space="0" w:color="auto"/>
              <w:right w:val="single" w:sz="4" w:space="0" w:color="auto"/>
            </w:tcBorders>
            <w:shd w:val="clear" w:color="auto" w:fill="BDD6EE"/>
            <w:noWrap/>
            <w:vAlign w:val="center"/>
            <w:hideMark/>
          </w:tcPr>
          <w:p w14:paraId="7C558516" w14:textId="77777777" w:rsidR="00B6285A" w:rsidRPr="00B6285A" w:rsidRDefault="00B6285A" w:rsidP="00B6285A">
            <w:pPr>
              <w:ind w:firstLine="0"/>
              <w:jc w:val="right"/>
              <w:rPr>
                <w:rFonts w:eastAsia="Times New Roman" w:cs="Times New Roman"/>
                <w:b/>
                <w:bCs/>
                <w:color w:val="000000"/>
                <w:sz w:val="20"/>
                <w:szCs w:val="20"/>
                <w:lang w:eastAsia="lv-LV"/>
              </w:rPr>
            </w:pPr>
            <w:r w:rsidRPr="00B6285A">
              <w:rPr>
                <w:rFonts w:eastAsia="Times New Roman" w:cs="Times New Roman"/>
                <w:b/>
                <w:bCs/>
                <w:color w:val="000000"/>
                <w:sz w:val="20"/>
                <w:szCs w:val="20"/>
                <w:lang w:eastAsia="lv-LV"/>
              </w:rPr>
              <w:t>199,5</w:t>
            </w:r>
          </w:p>
        </w:tc>
      </w:tr>
      <w:tr w:rsidR="00B6285A" w:rsidRPr="00B6285A" w14:paraId="3869DC42" w14:textId="77777777" w:rsidTr="00B6285A">
        <w:trPr>
          <w:trHeight w:val="50"/>
        </w:trPr>
        <w:tc>
          <w:tcPr>
            <w:tcW w:w="2804" w:type="pct"/>
            <w:tcBorders>
              <w:top w:val="nil"/>
              <w:left w:val="single" w:sz="4" w:space="0" w:color="auto"/>
              <w:bottom w:val="single" w:sz="4" w:space="0" w:color="auto"/>
              <w:right w:val="single" w:sz="4" w:space="0" w:color="auto"/>
            </w:tcBorders>
            <w:shd w:val="clear" w:color="auto" w:fill="BDD6EE"/>
            <w:vAlign w:val="center"/>
            <w:hideMark/>
          </w:tcPr>
          <w:p w14:paraId="575C6765" w14:textId="77777777" w:rsidR="00B6285A" w:rsidRPr="00B6285A" w:rsidRDefault="00B6285A" w:rsidP="00B6285A">
            <w:pPr>
              <w:ind w:firstLine="0"/>
              <w:jc w:val="right"/>
              <w:rPr>
                <w:rFonts w:eastAsia="Times New Roman" w:cs="Times New Roman"/>
                <w:b/>
                <w:bCs/>
                <w:color w:val="000000"/>
                <w:sz w:val="20"/>
                <w:szCs w:val="20"/>
                <w:lang w:eastAsia="lv-LV"/>
              </w:rPr>
            </w:pPr>
            <w:r w:rsidRPr="00B6285A">
              <w:rPr>
                <w:rFonts w:eastAsia="Times New Roman" w:cs="Times New Roman"/>
                <w:b/>
                <w:bCs/>
                <w:color w:val="000000"/>
                <w:sz w:val="20"/>
                <w:szCs w:val="20"/>
                <w:lang w:eastAsia="lv-LV"/>
              </w:rPr>
              <w:t>% no IKP</w:t>
            </w:r>
          </w:p>
        </w:tc>
        <w:tc>
          <w:tcPr>
            <w:tcW w:w="452" w:type="pct"/>
            <w:tcBorders>
              <w:top w:val="nil"/>
              <w:left w:val="nil"/>
              <w:bottom w:val="single" w:sz="4" w:space="0" w:color="auto"/>
              <w:right w:val="single" w:sz="4" w:space="0" w:color="auto"/>
            </w:tcBorders>
            <w:shd w:val="clear" w:color="auto" w:fill="BDD6EE"/>
            <w:noWrap/>
            <w:vAlign w:val="center"/>
            <w:hideMark/>
          </w:tcPr>
          <w:p w14:paraId="0EF76F54" w14:textId="77777777" w:rsidR="00B6285A" w:rsidRPr="00B6285A" w:rsidRDefault="00B6285A" w:rsidP="00B6285A">
            <w:pPr>
              <w:ind w:firstLine="0"/>
              <w:jc w:val="right"/>
              <w:rPr>
                <w:rFonts w:eastAsia="Times New Roman" w:cs="Times New Roman"/>
                <w:b/>
                <w:bCs/>
                <w:color w:val="000000"/>
                <w:sz w:val="20"/>
                <w:szCs w:val="20"/>
                <w:lang w:eastAsia="lv-LV"/>
              </w:rPr>
            </w:pPr>
            <w:r w:rsidRPr="00B6285A">
              <w:rPr>
                <w:rFonts w:eastAsia="Times New Roman" w:cs="Times New Roman"/>
                <w:b/>
                <w:bCs/>
                <w:color w:val="000000"/>
                <w:sz w:val="20"/>
                <w:szCs w:val="20"/>
                <w:lang w:eastAsia="lv-LV"/>
              </w:rPr>
              <w:t>0,0</w:t>
            </w:r>
          </w:p>
        </w:tc>
        <w:tc>
          <w:tcPr>
            <w:tcW w:w="418" w:type="pct"/>
            <w:tcBorders>
              <w:top w:val="nil"/>
              <w:left w:val="nil"/>
              <w:bottom w:val="single" w:sz="4" w:space="0" w:color="auto"/>
              <w:right w:val="single" w:sz="4" w:space="0" w:color="auto"/>
            </w:tcBorders>
            <w:shd w:val="clear" w:color="auto" w:fill="BDD6EE"/>
            <w:noWrap/>
            <w:vAlign w:val="center"/>
            <w:hideMark/>
          </w:tcPr>
          <w:p w14:paraId="457690A1" w14:textId="77777777" w:rsidR="00B6285A" w:rsidRPr="00B6285A" w:rsidRDefault="00B6285A" w:rsidP="00B6285A">
            <w:pPr>
              <w:ind w:firstLine="0"/>
              <w:jc w:val="right"/>
              <w:rPr>
                <w:rFonts w:eastAsia="Times New Roman" w:cs="Times New Roman"/>
                <w:b/>
                <w:bCs/>
                <w:color w:val="000000"/>
                <w:sz w:val="20"/>
                <w:szCs w:val="20"/>
                <w:lang w:eastAsia="lv-LV"/>
              </w:rPr>
            </w:pPr>
            <w:r w:rsidRPr="00B6285A">
              <w:rPr>
                <w:rFonts w:eastAsia="Times New Roman" w:cs="Times New Roman"/>
                <w:b/>
                <w:bCs/>
                <w:color w:val="000000"/>
                <w:sz w:val="20"/>
                <w:szCs w:val="20"/>
                <w:lang w:eastAsia="lv-LV"/>
              </w:rPr>
              <w:t>2,1</w:t>
            </w:r>
          </w:p>
        </w:tc>
        <w:tc>
          <w:tcPr>
            <w:tcW w:w="469" w:type="pct"/>
            <w:tcBorders>
              <w:top w:val="nil"/>
              <w:left w:val="nil"/>
              <w:bottom w:val="single" w:sz="4" w:space="0" w:color="auto"/>
              <w:right w:val="single" w:sz="4" w:space="0" w:color="auto"/>
            </w:tcBorders>
            <w:shd w:val="clear" w:color="auto" w:fill="BDD6EE"/>
            <w:noWrap/>
            <w:vAlign w:val="center"/>
            <w:hideMark/>
          </w:tcPr>
          <w:p w14:paraId="70974348" w14:textId="77777777" w:rsidR="00B6285A" w:rsidRPr="00B6285A" w:rsidRDefault="00B6285A" w:rsidP="00B6285A">
            <w:pPr>
              <w:ind w:firstLine="0"/>
              <w:jc w:val="right"/>
              <w:rPr>
                <w:rFonts w:eastAsia="Times New Roman" w:cs="Times New Roman"/>
                <w:b/>
                <w:bCs/>
                <w:color w:val="000000"/>
                <w:sz w:val="20"/>
                <w:szCs w:val="20"/>
                <w:lang w:eastAsia="lv-LV"/>
              </w:rPr>
            </w:pPr>
            <w:r w:rsidRPr="00B6285A">
              <w:rPr>
                <w:rFonts w:eastAsia="Times New Roman" w:cs="Times New Roman"/>
                <w:b/>
                <w:bCs/>
                <w:color w:val="000000"/>
                <w:sz w:val="20"/>
                <w:szCs w:val="20"/>
                <w:lang w:eastAsia="lv-LV"/>
              </w:rPr>
              <w:t>1,4</w:t>
            </w:r>
          </w:p>
        </w:tc>
        <w:tc>
          <w:tcPr>
            <w:tcW w:w="376" w:type="pct"/>
            <w:tcBorders>
              <w:top w:val="nil"/>
              <w:left w:val="nil"/>
              <w:bottom w:val="single" w:sz="4" w:space="0" w:color="auto"/>
              <w:right w:val="single" w:sz="4" w:space="0" w:color="auto"/>
            </w:tcBorders>
            <w:shd w:val="clear" w:color="auto" w:fill="BDD6EE"/>
            <w:noWrap/>
            <w:vAlign w:val="center"/>
            <w:hideMark/>
          </w:tcPr>
          <w:p w14:paraId="75FD1657" w14:textId="77777777" w:rsidR="00B6285A" w:rsidRPr="00B6285A" w:rsidRDefault="00B6285A" w:rsidP="00B6285A">
            <w:pPr>
              <w:ind w:firstLine="0"/>
              <w:jc w:val="right"/>
              <w:rPr>
                <w:rFonts w:eastAsia="Times New Roman" w:cs="Times New Roman"/>
                <w:b/>
                <w:bCs/>
                <w:color w:val="000000"/>
                <w:sz w:val="20"/>
                <w:szCs w:val="20"/>
                <w:lang w:eastAsia="lv-LV"/>
              </w:rPr>
            </w:pPr>
            <w:r w:rsidRPr="00B6285A">
              <w:rPr>
                <w:rFonts w:eastAsia="Times New Roman" w:cs="Times New Roman"/>
                <w:b/>
                <w:bCs/>
                <w:color w:val="000000"/>
                <w:sz w:val="20"/>
                <w:szCs w:val="20"/>
                <w:lang w:eastAsia="lv-LV"/>
              </w:rPr>
              <w:t>1,4</w:t>
            </w:r>
          </w:p>
        </w:tc>
        <w:tc>
          <w:tcPr>
            <w:tcW w:w="481" w:type="pct"/>
            <w:tcBorders>
              <w:top w:val="nil"/>
              <w:left w:val="nil"/>
              <w:bottom w:val="single" w:sz="4" w:space="0" w:color="auto"/>
              <w:right w:val="single" w:sz="4" w:space="0" w:color="auto"/>
            </w:tcBorders>
            <w:shd w:val="clear" w:color="auto" w:fill="BDD6EE"/>
            <w:noWrap/>
            <w:vAlign w:val="center"/>
            <w:hideMark/>
          </w:tcPr>
          <w:p w14:paraId="094F0B1C" w14:textId="77777777" w:rsidR="00B6285A" w:rsidRPr="00B6285A" w:rsidRDefault="00B6285A" w:rsidP="00B6285A">
            <w:pPr>
              <w:ind w:firstLine="0"/>
              <w:jc w:val="right"/>
              <w:rPr>
                <w:rFonts w:eastAsia="Times New Roman" w:cs="Times New Roman"/>
                <w:b/>
                <w:bCs/>
                <w:color w:val="000000"/>
                <w:sz w:val="20"/>
                <w:szCs w:val="20"/>
                <w:lang w:eastAsia="lv-LV"/>
              </w:rPr>
            </w:pPr>
            <w:r w:rsidRPr="00B6285A">
              <w:rPr>
                <w:rFonts w:eastAsia="Times New Roman" w:cs="Times New Roman"/>
                <w:b/>
                <w:bCs/>
                <w:color w:val="000000"/>
                <w:sz w:val="20"/>
                <w:szCs w:val="20"/>
                <w:lang w:eastAsia="lv-LV"/>
              </w:rPr>
              <w:t>0,5</w:t>
            </w:r>
          </w:p>
        </w:tc>
      </w:tr>
    </w:tbl>
    <w:p w14:paraId="50339476" w14:textId="77777777" w:rsidR="00B6285A" w:rsidRPr="00B6285A" w:rsidRDefault="00B6285A" w:rsidP="007C09A4">
      <w:pPr>
        <w:rPr>
          <w:rFonts w:eastAsia="Times New Roman" w:cs="Times New Roman"/>
          <w:b/>
          <w:bCs/>
          <w:color w:val="000000"/>
          <w:sz w:val="24"/>
          <w:szCs w:val="24"/>
        </w:rPr>
      </w:pPr>
    </w:p>
    <w:p w14:paraId="764F4C21" w14:textId="77777777" w:rsidR="00B6285A" w:rsidRPr="00B6285A" w:rsidRDefault="00B6285A" w:rsidP="00B6285A">
      <w:pPr>
        <w:spacing w:after="120"/>
        <w:rPr>
          <w:rFonts w:eastAsia="Times New Roman" w:cs="Times New Roman"/>
          <w:color w:val="000000"/>
          <w:sz w:val="24"/>
          <w:szCs w:val="24"/>
        </w:rPr>
      </w:pPr>
      <w:r w:rsidRPr="00B6285A">
        <w:rPr>
          <w:rFonts w:eastAsia="Times New Roman" w:cs="Times New Roman"/>
          <w:b/>
          <w:bCs/>
          <w:color w:val="000000"/>
          <w:sz w:val="24"/>
          <w:szCs w:val="24"/>
        </w:rPr>
        <w:t>Atbalsts Ukrainas civiliedzīvotājiem</w:t>
      </w:r>
    </w:p>
    <w:p w14:paraId="5B288AE4" w14:textId="4DAE74D0" w:rsidR="00B6285A" w:rsidRDefault="00B6285A" w:rsidP="00B6285A">
      <w:pPr>
        <w:spacing w:after="120"/>
        <w:rPr>
          <w:rFonts w:eastAsia="Times New Roman" w:cs="Times New Roman"/>
          <w:color w:val="000000"/>
          <w:sz w:val="24"/>
          <w:szCs w:val="24"/>
        </w:rPr>
      </w:pPr>
      <w:r w:rsidRPr="00B6285A">
        <w:rPr>
          <w:rFonts w:eastAsia="Times New Roman" w:cs="Times New Roman"/>
          <w:color w:val="000000"/>
          <w:sz w:val="24"/>
          <w:szCs w:val="24"/>
        </w:rPr>
        <w:t xml:space="preserve">Atbilstoši </w:t>
      </w:r>
      <w:proofErr w:type="spellStart"/>
      <w:r w:rsidRPr="00B6285A">
        <w:rPr>
          <w:rFonts w:eastAsia="Times New Roman" w:cs="Times New Roman"/>
          <w:color w:val="000000"/>
          <w:sz w:val="24"/>
          <w:szCs w:val="24"/>
        </w:rPr>
        <w:t>Iekšlietu</w:t>
      </w:r>
      <w:proofErr w:type="spellEnd"/>
      <w:r w:rsidRPr="00B6285A">
        <w:rPr>
          <w:rFonts w:eastAsia="Times New Roman" w:cs="Times New Roman"/>
          <w:color w:val="000000"/>
          <w:sz w:val="24"/>
          <w:szCs w:val="24"/>
        </w:rPr>
        <w:t xml:space="preserve"> ministrijas informācijai Latvijā 2022. gadā 38 437 personām un 2023. gadā 2 175 personām</w:t>
      </w:r>
      <w:r w:rsidRPr="00B6285A">
        <w:rPr>
          <w:rFonts w:ascii="Garamond" w:eastAsia="Times New Roman" w:hAnsi="Garamond" w:cs="Times New Roman"/>
          <w:color w:val="000000"/>
          <w:sz w:val="20"/>
          <w:szCs w:val="24"/>
          <w:vertAlign w:val="superscript"/>
        </w:rPr>
        <w:footnoteReference w:id="9"/>
      </w:r>
      <w:r w:rsidRPr="00B6285A">
        <w:rPr>
          <w:rFonts w:eastAsia="Times New Roman" w:cs="Times New Roman"/>
          <w:color w:val="000000"/>
          <w:sz w:val="24"/>
          <w:szCs w:val="24"/>
        </w:rPr>
        <w:t xml:space="preserve"> piešķirts pagaidu aizsardzības statuss. Ukrainas iedzīvotājiem, kuri ieceļojuši Latvijā, tiek sniegta sociālā palīdzība un nodrošināti sociālie pakalpojumi. Tiek segti ēdināšanas un izmitināšanas izdevumi, pašvaldības izmaksā vienreizēju pabalstu krīzes situācijā 272 </w:t>
      </w:r>
      <w:proofErr w:type="spellStart"/>
      <w:r w:rsidRPr="00B6285A">
        <w:rPr>
          <w:rFonts w:eastAsia="Times New Roman" w:cs="Times New Roman"/>
          <w:i/>
          <w:iCs/>
          <w:color w:val="000000"/>
          <w:sz w:val="24"/>
          <w:szCs w:val="24"/>
        </w:rPr>
        <w:t>euro</w:t>
      </w:r>
      <w:proofErr w:type="spellEnd"/>
      <w:r w:rsidRPr="00B6285A">
        <w:rPr>
          <w:rFonts w:eastAsia="Times New Roman" w:cs="Times New Roman"/>
          <w:color w:val="000000"/>
          <w:sz w:val="24"/>
          <w:szCs w:val="24"/>
        </w:rPr>
        <w:t xml:space="preserve"> pilngadīgai personai un 190 </w:t>
      </w:r>
      <w:proofErr w:type="spellStart"/>
      <w:r w:rsidRPr="00B6285A">
        <w:rPr>
          <w:rFonts w:eastAsia="Times New Roman" w:cs="Times New Roman"/>
          <w:i/>
          <w:iCs/>
          <w:color w:val="000000"/>
          <w:sz w:val="24"/>
          <w:szCs w:val="24"/>
        </w:rPr>
        <w:t>euro</w:t>
      </w:r>
      <w:proofErr w:type="spellEnd"/>
      <w:r w:rsidRPr="00B6285A">
        <w:rPr>
          <w:rFonts w:eastAsia="Times New Roman" w:cs="Times New Roman"/>
          <w:color w:val="000000"/>
          <w:sz w:val="24"/>
          <w:szCs w:val="24"/>
        </w:rPr>
        <w:t xml:space="preserve"> par katru bērnu, valsts nodrošina vienreizēju pabalstu darba uzsākšanai. Tāpat 2022. gadā 7,7 milj. </w:t>
      </w:r>
      <w:proofErr w:type="spellStart"/>
      <w:r w:rsidRPr="00B6285A">
        <w:rPr>
          <w:rFonts w:eastAsia="Times New Roman" w:cs="Times New Roman"/>
          <w:i/>
          <w:iCs/>
          <w:color w:val="000000"/>
          <w:sz w:val="24"/>
          <w:szCs w:val="24"/>
        </w:rPr>
        <w:t>euro</w:t>
      </w:r>
      <w:proofErr w:type="spellEnd"/>
      <w:r w:rsidRPr="00B6285A">
        <w:rPr>
          <w:rFonts w:eastAsia="Times New Roman" w:cs="Times New Roman"/>
          <w:color w:val="000000"/>
          <w:sz w:val="24"/>
          <w:szCs w:val="24"/>
        </w:rPr>
        <w:t xml:space="preserve"> apmērā ir veiktas iemaksas starptautiskajās organizācijās humānās un militārās palīdzības sniegšanai Ukrainai, tai skaitā 5 milj. </w:t>
      </w:r>
      <w:proofErr w:type="spellStart"/>
      <w:r w:rsidRPr="00B6285A">
        <w:rPr>
          <w:rFonts w:eastAsia="Times New Roman" w:cs="Times New Roman"/>
          <w:i/>
          <w:iCs/>
          <w:color w:val="000000"/>
          <w:sz w:val="24"/>
          <w:szCs w:val="24"/>
        </w:rPr>
        <w:t>euro</w:t>
      </w:r>
      <w:proofErr w:type="spellEnd"/>
      <w:r w:rsidRPr="00B6285A">
        <w:rPr>
          <w:rFonts w:eastAsia="Times New Roman" w:cs="Times New Roman"/>
          <w:color w:val="000000"/>
          <w:sz w:val="24"/>
          <w:szCs w:val="24"/>
        </w:rPr>
        <w:t xml:space="preserve"> iemaksāti Pasaules Bankas atbalsta mehānismā Ukrainai, kur savāktie līdzekļi Ukrainai būs pieejami neatliekamu valdības budžeta vajadzību segšanai, ta</w:t>
      </w:r>
      <w:r w:rsidRPr="00B6285A">
        <w:rPr>
          <w:rFonts w:eastAsia="Times New Roman" w:cs="Times New Roman"/>
          <w:color w:val="000000"/>
          <w:sz w:val="24"/>
          <w:szCs w:val="24"/>
          <w:shd w:val="clear" w:color="auto" w:fill="FFFFFF"/>
        </w:rPr>
        <w:t>jā skaitā izmaksāt pensijas, algas mediķiem un skolotājiem, kā arī segt citus neatliekamus izdevumus</w:t>
      </w:r>
      <w:r w:rsidRPr="00B6285A">
        <w:rPr>
          <w:rFonts w:eastAsia="Times New Roman" w:cs="Times New Roman"/>
          <w:color w:val="000000"/>
          <w:sz w:val="24"/>
          <w:szCs w:val="24"/>
        </w:rPr>
        <w:t xml:space="preserve">. Piešķirts finansējums pirmsskolas izglītības pakalpojuma nodrošināšanai bēgļu bērniem, kā arī līdzekļi latviešu valodas kursiem. 2022. gadā kopējais izdevumu apmērs no valsts budžeta veidoja 81 milj. </w:t>
      </w:r>
      <w:proofErr w:type="spellStart"/>
      <w:r w:rsidRPr="00B6285A">
        <w:rPr>
          <w:rFonts w:eastAsia="Times New Roman" w:cs="Times New Roman"/>
          <w:i/>
          <w:iCs/>
          <w:color w:val="000000"/>
          <w:sz w:val="24"/>
          <w:szCs w:val="24"/>
        </w:rPr>
        <w:t>euro</w:t>
      </w:r>
      <w:proofErr w:type="spellEnd"/>
      <w:r w:rsidRPr="00B6285A">
        <w:rPr>
          <w:rFonts w:eastAsia="Times New Roman" w:cs="Times New Roman"/>
          <w:color w:val="000000"/>
          <w:sz w:val="24"/>
          <w:szCs w:val="24"/>
        </w:rPr>
        <w:t xml:space="preserve">, bet 2023. gadam atbilstoši valdības lemtajam paredzēti 102 milj. </w:t>
      </w:r>
      <w:proofErr w:type="spellStart"/>
      <w:r w:rsidRPr="00B6285A">
        <w:rPr>
          <w:rFonts w:eastAsia="Times New Roman" w:cs="Times New Roman"/>
          <w:i/>
          <w:iCs/>
          <w:color w:val="000000"/>
          <w:sz w:val="24"/>
          <w:szCs w:val="24"/>
        </w:rPr>
        <w:t>euro</w:t>
      </w:r>
      <w:proofErr w:type="spellEnd"/>
      <w:r w:rsidRPr="00B6285A">
        <w:rPr>
          <w:rFonts w:eastAsia="Times New Roman" w:cs="Times New Roman"/>
          <w:color w:val="000000"/>
          <w:sz w:val="24"/>
          <w:szCs w:val="24"/>
        </w:rPr>
        <w:t xml:space="preserve"> (skat. 3.</w:t>
      </w:r>
      <w:r w:rsidR="00BA03D2">
        <w:rPr>
          <w:rFonts w:eastAsia="Times New Roman" w:cs="Times New Roman"/>
          <w:color w:val="000000"/>
          <w:sz w:val="24"/>
          <w:szCs w:val="24"/>
        </w:rPr>
        <w:t>8</w:t>
      </w:r>
      <w:r w:rsidRPr="00B6285A">
        <w:rPr>
          <w:rFonts w:eastAsia="Times New Roman" w:cs="Times New Roman"/>
          <w:color w:val="000000"/>
          <w:sz w:val="24"/>
          <w:szCs w:val="24"/>
        </w:rPr>
        <w:t>. tabulu). Papildus valsts atbalstam, Latvijas iedzīvotāji ik dienu sniedz palīdzību ukraiņiem uz vietas Latvijā, kā arī ziedo līdzekļus humānās un militārās palīdzības nodrošināšanai.</w:t>
      </w:r>
    </w:p>
    <w:p w14:paraId="38C41F70" w14:textId="02FBD24C" w:rsidR="00CA2CB6" w:rsidRDefault="00CA2CB6" w:rsidP="00B6285A">
      <w:pPr>
        <w:spacing w:after="120"/>
        <w:rPr>
          <w:rFonts w:eastAsia="Times New Roman" w:cs="Times New Roman"/>
          <w:color w:val="000000"/>
          <w:sz w:val="24"/>
          <w:szCs w:val="24"/>
        </w:rPr>
      </w:pPr>
    </w:p>
    <w:p w14:paraId="11BF5819" w14:textId="77777777" w:rsidR="00CA2CB6" w:rsidRPr="00B6285A" w:rsidRDefault="00CA2CB6" w:rsidP="00B6285A">
      <w:pPr>
        <w:spacing w:after="120"/>
        <w:rPr>
          <w:rFonts w:eastAsia="Times New Roman" w:cs="Times New Roman"/>
          <w:color w:val="000000"/>
          <w:sz w:val="24"/>
          <w:szCs w:val="24"/>
          <w:highlight w:val="yellow"/>
        </w:rPr>
      </w:pPr>
    </w:p>
    <w:p w14:paraId="3D65453D" w14:textId="4B28FBCE" w:rsidR="00B6285A" w:rsidRPr="00B6285A" w:rsidRDefault="00B6285A" w:rsidP="00B6285A">
      <w:pPr>
        <w:spacing w:after="120"/>
        <w:ind w:firstLine="0"/>
        <w:jc w:val="right"/>
        <w:rPr>
          <w:rFonts w:eastAsia="Calibri" w:cs="Times New Roman"/>
          <w:b/>
          <w:bCs/>
          <w:noProof/>
          <w:sz w:val="24"/>
          <w:szCs w:val="24"/>
        </w:rPr>
      </w:pPr>
      <w:r w:rsidRPr="00B6285A">
        <w:rPr>
          <w:rFonts w:eastAsia="Calibri" w:cs="Times New Roman"/>
          <w:b/>
          <w:bCs/>
          <w:noProof/>
          <w:sz w:val="24"/>
          <w:szCs w:val="24"/>
        </w:rPr>
        <w:lastRenderedPageBreak/>
        <w:t>3.</w:t>
      </w:r>
      <w:r w:rsidR="00BA03D2">
        <w:rPr>
          <w:rFonts w:eastAsia="Calibri" w:cs="Times New Roman"/>
          <w:b/>
          <w:bCs/>
          <w:noProof/>
          <w:sz w:val="24"/>
          <w:szCs w:val="24"/>
        </w:rPr>
        <w:t>8</w:t>
      </w:r>
      <w:r w:rsidRPr="00B6285A">
        <w:rPr>
          <w:rFonts w:eastAsia="Calibri" w:cs="Times New Roman"/>
          <w:b/>
          <w:bCs/>
          <w:noProof/>
          <w:sz w:val="24"/>
          <w:szCs w:val="24"/>
        </w:rPr>
        <w:t>. tabula Plānotais un izlietotais finansējums Ukrainas civiliedzīvotāju atbalstam,</w:t>
      </w:r>
      <w:r w:rsidRPr="00B6285A">
        <w:rPr>
          <w:rFonts w:eastAsia="Calibri" w:cs="Times New Roman"/>
          <w:b/>
          <w:bCs/>
          <w:noProof/>
          <w:sz w:val="24"/>
          <w:szCs w:val="24"/>
        </w:rPr>
        <w:br/>
        <w:t xml:space="preserve">milj. </w:t>
      </w:r>
      <w:r w:rsidRPr="00B6285A">
        <w:rPr>
          <w:rFonts w:eastAsia="Calibri" w:cs="Times New Roman"/>
          <w:b/>
          <w:bCs/>
          <w:i/>
          <w:iCs/>
          <w:noProof/>
          <w:sz w:val="24"/>
          <w:szCs w:val="24"/>
        </w:rPr>
        <w:t>euro</w:t>
      </w:r>
    </w:p>
    <w:tbl>
      <w:tblPr>
        <w:tblStyle w:val="TableGrid"/>
        <w:tblW w:w="0" w:type="auto"/>
        <w:tblLook w:val="04A0" w:firstRow="1" w:lastRow="0" w:firstColumn="1" w:lastColumn="0" w:noHBand="0" w:noVBand="1"/>
      </w:tblPr>
      <w:tblGrid>
        <w:gridCol w:w="5125"/>
        <w:gridCol w:w="967"/>
        <w:gridCol w:w="1068"/>
        <w:gridCol w:w="932"/>
        <w:gridCol w:w="969"/>
      </w:tblGrid>
      <w:tr w:rsidR="00EC1DDD" w:rsidRPr="00B6285A" w14:paraId="35B1CBBA" w14:textId="77777777" w:rsidTr="00EC1DDD">
        <w:tc>
          <w:tcPr>
            <w:tcW w:w="5125" w:type="dxa"/>
            <w:vMerge w:val="restart"/>
            <w:shd w:val="clear" w:color="auto" w:fill="BDD6EE"/>
          </w:tcPr>
          <w:p w14:paraId="711E0B06" w14:textId="77777777" w:rsidR="00EC1DDD" w:rsidRPr="00B6285A" w:rsidRDefault="00EC1DDD" w:rsidP="00B6285A">
            <w:pPr>
              <w:ind w:firstLine="0"/>
              <w:rPr>
                <w:rFonts w:eastAsia="Calibri"/>
                <w:noProof/>
                <w:sz w:val="20"/>
              </w:rPr>
            </w:pPr>
          </w:p>
        </w:tc>
        <w:tc>
          <w:tcPr>
            <w:tcW w:w="967" w:type="dxa"/>
            <w:vMerge w:val="restart"/>
            <w:shd w:val="clear" w:color="auto" w:fill="BDD6EE"/>
          </w:tcPr>
          <w:p w14:paraId="5EA88CD3" w14:textId="51891AF7" w:rsidR="00EC1DDD" w:rsidRPr="00BA73EA" w:rsidRDefault="00EC1DDD" w:rsidP="00B6285A">
            <w:pPr>
              <w:ind w:firstLine="0"/>
              <w:jc w:val="center"/>
              <w:rPr>
                <w:rFonts w:eastAsia="Calibri"/>
                <w:b/>
                <w:bCs/>
                <w:noProof/>
                <w:sz w:val="20"/>
              </w:rPr>
            </w:pPr>
            <w:r w:rsidRPr="00BA73EA">
              <w:rPr>
                <w:rFonts w:eastAsia="Calibri"/>
                <w:b/>
                <w:bCs/>
                <w:noProof/>
                <w:sz w:val="20"/>
              </w:rPr>
              <w:t>EKS kods</w:t>
            </w:r>
          </w:p>
        </w:tc>
        <w:tc>
          <w:tcPr>
            <w:tcW w:w="1068" w:type="dxa"/>
            <w:shd w:val="clear" w:color="auto" w:fill="BDD6EE"/>
          </w:tcPr>
          <w:p w14:paraId="2899EB87" w14:textId="6F490097" w:rsidR="00EC1DDD" w:rsidRPr="00B6285A" w:rsidRDefault="00EC1DDD" w:rsidP="00B6285A">
            <w:pPr>
              <w:ind w:firstLine="0"/>
              <w:jc w:val="center"/>
              <w:rPr>
                <w:rFonts w:eastAsia="Calibri"/>
                <w:b/>
                <w:bCs/>
                <w:noProof/>
                <w:sz w:val="20"/>
              </w:rPr>
            </w:pPr>
            <w:r w:rsidRPr="00B6285A">
              <w:rPr>
                <w:rFonts w:eastAsia="Calibri"/>
                <w:b/>
                <w:bCs/>
                <w:noProof/>
                <w:sz w:val="20"/>
              </w:rPr>
              <w:t>2022</w:t>
            </w:r>
          </w:p>
        </w:tc>
        <w:tc>
          <w:tcPr>
            <w:tcW w:w="1901" w:type="dxa"/>
            <w:gridSpan w:val="2"/>
            <w:shd w:val="clear" w:color="auto" w:fill="BDD6EE"/>
          </w:tcPr>
          <w:p w14:paraId="33ED67BF" w14:textId="77777777" w:rsidR="00EC1DDD" w:rsidRPr="00B6285A" w:rsidRDefault="00EC1DDD" w:rsidP="00B6285A">
            <w:pPr>
              <w:ind w:firstLine="0"/>
              <w:jc w:val="center"/>
              <w:rPr>
                <w:rFonts w:eastAsia="Calibri"/>
                <w:b/>
                <w:bCs/>
                <w:noProof/>
                <w:sz w:val="20"/>
              </w:rPr>
            </w:pPr>
            <w:r w:rsidRPr="00B6285A">
              <w:rPr>
                <w:rFonts w:eastAsia="Calibri"/>
                <w:b/>
                <w:bCs/>
                <w:noProof/>
                <w:sz w:val="20"/>
              </w:rPr>
              <w:t>2023</w:t>
            </w:r>
          </w:p>
        </w:tc>
      </w:tr>
      <w:tr w:rsidR="00EC1DDD" w:rsidRPr="00B6285A" w14:paraId="172B2C96" w14:textId="77777777" w:rsidTr="00EC1DDD">
        <w:tc>
          <w:tcPr>
            <w:tcW w:w="5125" w:type="dxa"/>
            <w:vMerge/>
            <w:shd w:val="clear" w:color="auto" w:fill="BDD6EE"/>
          </w:tcPr>
          <w:p w14:paraId="00E16109" w14:textId="77777777" w:rsidR="00EC1DDD" w:rsidRPr="00B6285A" w:rsidRDefault="00EC1DDD" w:rsidP="00B6285A">
            <w:pPr>
              <w:ind w:firstLine="0"/>
              <w:rPr>
                <w:rFonts w:eastAsia="Calibri"/>
                <w:noProof/>
                <w:sz w:val="20"/>
              </w:rPr>
            </w:pPr>
          </w:p>
        </w:tc>
        <w:tc>
          <w:tcPr>
            <w:tcW w:w="967" w:type="dxa"/>
            <w:vMerge/>
            <w:shd w:val="clear" w:color="auto" w:fill="BDD6EE"/>
          </w:tcPr>
          <w:p w14:paraId="4E13460B" w14:textId="77777777" w:rsidR="00EC1DDD" w:rsidRPr="00BA73EA" w:rsidRDefault="00EC1DDD" w:rsidP="00B6285A">
            <w:pPr>
              <w:ind w:firstLine="0"/>
              <w:jc w:val="center"/>
              <w:rPr>
                <w:rFonts w:eastAsia="Calibri"/>
                <w:noProof/>
                <w:sz w:val="20"/>
              </w:rPr>
            </w:pPr>
          </w:p>
        </w:tc>
        <w:tc>
          <w:tcPr>
            <w:tcW w:w="1068" w:type="dxa"/>
            <w:shd w:val="clear" w:color="auto" w:fill="BDD6EE"/>
          </w:tcPr>
          <w:p w14:paraId="61544E2A" w14:textId="032F711E" w:rsidR="00EC1DDD" w:rsidRPr="00B6285A" w:rsidRDefault="00EC1DDD" w:rsidP="00B6285A">
            <w:pPr>
              <w:ind w:firstLine="0"/>
              <w:jc w:val="center"/>
              <w:rPr>
                <w:rFonts w:eastAsia="Calibri"/>
                <w:noProof/>
                <w:sz w:val="20"/>
              </w:rPr>
            </w:pPr>
            <w:r w:rsidRPr="00B6285A">
              <w:rPr>
                <w:rFonts w:eastAsia="Calibri"/>
                <w:noProof/>
                <w:sz w:val="20"/>
              </w:rPr>
              <w:t>Izpilde</w:t>
            </w:r>
          </w:p>
        </w:tc>
        <w:tc>
          <w:tcPr>
            <w:tcW w:w="932" w:type="dxa"/>
            <w:shd w:val="clear" w:color="auto" w:fill="BDD6EE"/>
          </w:tcPr>
          <w:p w14:paraId="7A478E6D" w14:textId="77777777" w:rsidR="00EC1DDD" w:rsidRPr="00B6285A" w:rsidRDefault="00EC1DDD" w:rsidP="00B6285A">
            <w:pPr>
              <w:ind w:firstLine="0"/>
              <w:jc w:val="center"/>
              <w:rPr>
                <w:rFonts w:eastAsia="Calibri"/>
                <w:noProof/>
                <w:sz w:val="20"/>
              </w:rPr>
            </w:pPr>
            <w:r w:rsidRPr="00B6285A">
              <w:rPr>
                <w:rFonts w:eastAsia="Calibri"/>
                <w:noProof/>
                <w:sz w:val="20"/>
              </w:rPr>
              <w:t>Plāns</w:t>
            </w:r>
          </w:p>
        </w:tc>
        <w:tc>
          <w:tcPr>
            <w:tcW w:w="969" w:type="dxa"/>
            <w:shd w:val="clear" w:color="auto" w:fill="BDD6EE"/>
          </w:tcPr>
          <w:p w14:paraId="262FE9DB" w14:textId="77777777" w:rsidR="00EC1DDD" w:rsidRPr="00B6285A" w:rsidRDefault="00EC1DDD" w:rsidP="00B6285A">
            <w:pPr>
              <w:ind w:firstLine="0"/>
              <w:jc w:val="center"/>
              <w:rPr>
                <w:rFonts w:eastAsia="Calibri"/>
                <w:noProof/>
                <w:sz w:val="20"/>
              </w:rPr>
            </w:pPr>
            <w:r w:rsidRPr="00B6285A">
              <w:rPr>
                <w:rFonts w:eastAsia="Calibri"/>
                <w:noProof/>
                <w:sz w:val="20"/>
              </w:rPr>
              <w:t>Izpilde</w:t>
            </w:r>
            <w:r w:rsidRPr="00B6285A">
              <w:rPr>
                <w:rFonts w:ascii="Garamond" w:eastAsia="Calibri" w:hAnsi="Garamond"/>
                <w:noProof/>
                <w:sz w:val="20"/>
                <w:vertAlign w:val="superscript"/>
              </w:rPr>
              <w:footnoteReference w:id="10"/>
            </w:r>
          </w:p>
        </w:tc>
      </w:tr>
      <w:tr w:rsidR="00EC1DDD" w:rsidRPr="00B6285A" w14:paraId="6A29C80B" w14:textId="77777777" w:rsidTr="00EC1DDD">
        <w:tc>
          <w:tcPr>
            <w:tcW w:w="5125" w:type="dxa"/>
          </w:tcPr>
          <w:p w14:paraId="6E5A288B" w14:textId="77777777" w:rsidR="00EC1DDD" w:rsidRPr="00B6285A" w:rsidRDefault="00EC1DDD" w:rsidP="00EC1DDD">
            <w:pPr>
              <w:ind w:firstLine="0"/>
              <w:rPr>
                <w:rFonts w:eastAsia="Calibri"/>
                <w:noProof/>
                <w:sz w:val="20"/>
              </w:rPr>
            </w:pPr>
            <w:r w:rsidRPr="00B6285A">
              <w:rPr>
                <w:rFonts w:eastAsia="Calibri"/>
                <w:noProof/>
                <w:sz w:val="20"/>
              </w:rPr>
              <w:t>Iemaksas starptautiskajās organizācijās</w:t>
            </w:r>
          </w:p>
        </w:tc>
        <w:tc>
          <w:tcPr>
            <w:tcW w:w="967" w:type="dxa"/>
          </w:tcPr>
          <w:p w14:paraId="57D61685" w14:textId="3B96F20F" w:rsidR="00EC1DDD" w:rsidRPr="00BA73EA" w:rsidRDefault="00EC1DDD" w:rsidP="00EC1DDD">
            <w:pPr>
              <w:ind w:firstLine="0"/>
              <w:jc w:val="center"/>
              <w:rPr>
                <w:rFonts w:eastAsia="Calibri"/>
                <w:noProof/>
                <w:sz w:val="20"/>
              </w:rPr>
            </w:pPr>
            <w:r w:rsidRPr="00BA73EA">
              <w:rPr>
                <w:sz w:val="20"/>
              </w:rPr>
              <w:t>D.7</w:t>
            </w:r>
          </w:p>
        </w:tc>
        <w:tc>
          <w:tcPr>
            <w:tcW w:w="1068" w:type="dxa"/>
            <w:vAlign w:val="center"/>
          </w:tcPr>
          <w:p w14:paraId="13D2433A" w14:textId="5472EC0A" w:rsidR="00EC1DDD" w:rsidRPr="00B6285A" w:rsidRDefault="00EC1DDD" w:rsidP="00EC1DDD">
            <w:pPr>
              <w:ind w:firstLine="0"/>
              <w:jc w:val="right"/>
              <w:rPr>
                <w:rFonts w:eastAsia="Calibri"/>
                <w:noProof/>
                <w:sz w:val="20"/>
              </w:rPr>
            </w:pPr>
            <w:r w:rsidRPr="00B6285A">
              <w:rPr>
                <w:rFonts w:eastAsia="Calibri"/>
                <w:noProof/>
                <w:sz w:val="20"/>
              </w:rPr>
              <w:t>7,7</w:t>
            </w:r>
          </w:p>
        </w:tc>
        <w:tc>
          <w:tcPr>
            <w:tcW w:w="932" w:type="dxa"/>
            <w:vAlign w:val="center"/>
          </w:tcPr>
          <w:p w14:paraId="0469BCC0" w14:textId="77777777" w:rsidR="00EC1DDD" w:rsidRPr="00B6285A" w:rsidRDefault="00EC1DDD" w:rsidP="00EC1DDD">
            <w:pPr>
              <w:ind w:firstLine="0"/>
              <w:jc w:val="right"/>
              <w:rPr>
                <w:rFonts w:eastAsia="Calibri"/>
                <w:noProof/>
                <w:sz w:val="20"/>
              </w:rPr>
            </w:pPr>
            <w:r w:rsidRPr="00B6285A">
              <w:rPr>
                <w:rFonts w:eastAsia="Calibri"/>
                <w:noProof/>
                <w:sz w:val="20"/>
              </w:rPr>
              <w:t>-</w:t>
            </w:r>
          </w:p>
        </w:tc>
        <w:tc>
          <w:tcPr>
            <w:tcW w:w="969" w:type="dxa"/>
            <w:vAlign w:val="center"/>
          </w:tcPr>
          <w:p w14:paraId="677AB976" w14:textId="77777777" w:rsidR="00EC1DDD" w:rsidRPr="00B6285A" w:rsidRDefault="00EC1DDD" w:rsidP="00EC1DDD">
            <w:pPr>
              <w:ind w:firstLine="0"/>
              <w:jc w:val="right"/>
              <w:rPr>
                <w:rFonts w:eastAsia="Calibri"/>
                <w:noProof/>
                <w:sz w:val="20"/>
              </w:rPr>
            </w:pPr>
            <w:r w:rsidRPr="00B6285A">
              <w:rPr>
                <w:rFonts w:eastAsia="Calibri"/>
                <w:noProof/>
                <w:sz w:val="20"/>
              </w:rPr>
              <w:t>-</w:t>
            </w:r>
          </w:p>
        </w:tc>
      </w:tr>
      <w:tr w:rsidR="00EC1DDD" w:rsidRPr="00B6285A" w14:paraId="3A7792A9" w14:textId="77777777" w:rsidTr="00EC1DDD">
        <w:tc>
          <w:tcPr>
            <w:tcW w:w="5125" w:type="dxa"/>
          </w:tcPr>
          <w:p w14:paraId="5FEC4894" w14:textId="77777777" w:rsidR="00EC1DDD" w:rsidRPr="00B6285A" w:rsidRDefault="00EC1DDD" w:rsidP="00EC1DDD">
            <w:pPr>
              <w:ind w:firstLine="0"/>
              <w:rPr>
                <w:rFonts w:eastAsia="Calibri"/>
                <w:noProof/>
                <w:sz w:val="20"/>
              </w:rPr>
            </w:pPr>
            <w:r w:rsidRPr="00B6285A">
              <w:rPr>
                <w:rFonts w:eastAsia="Calibri"/>
                <w:noProof/>
                <w:sz w:val="20"/>
              </w:rPr>
              <w:t>Pašvaldībām bēgļu izmitināšanai un ēdināšanai, izglītības izdevumiem bērniem</w:t>
            </w:r>
          </w:p>
        </w:tc>
        <w:tc>
          <w:tcPr>
            <w:tcW w:w="967" w:type="dxa"/>
          </w:tcPr>
          <w:p w14:paraId="44E68859" w14:textId="28D100D1" w:rsidR="00EC1DDD" w:rsidRPr="00BA73EA" w:rsidRDefault="00EC1DDD" w:rsidP="00EC1DDD">
            <w:pPr>
              <w:ind w:firstLine="0"/>
              <w:jc w:val="center"/>
              <w:rPr>
                <w:rFonts w:eastAsia="Calibri"/>
                <w:noProof/>
                <w:sz w:val="20"/>
              </w:rPr>
            </w:pPr>
            <w:r w:rsidRPr="00BA73EA">
              <w:rPr>
                <w:sz w:val="20"/>
              </w:rPr>
              <w:t>D.62</w:t>
            </w:r>
          </w:p>
        </w:tc>
        <w:tc>
          <w:tcPr>
            <w:tcW w:w="1068" w:type="dxa"/>
            <w:vAlign w:val="center"/>
          </w:tcPr>
          <w:p w14:paraId="06A935E7" w14:textId="4B2AD2D1" w:rsidR="00EC1DDD" w:rsidRPr="00B6285A" w:rsidRDefault="00EC1DDD" w:rsidP="00EC1DDD">
            <w:pPr>
              <w:ind w:firstLine="0"/>
              <w:jc w:val="right"/>
              <w:rPr>
                <w:rFonts w:eastAsia="Calibri"/>
                <w:noProof/>
                <w:sz w:val="20"/>
              </w:rPr>
            </w:pPr>
            <w:r w:rsidRPr="00B6285A">
              <w:rPr>
                <w:rFonts w:eastAsia="Calibri"/>
                <w:noProof/>
                <w:sz w:val="20"/>
              </w:rPr>
              <w:t>56,8</w:t>
            </w:r>
          </w:p>
        </w:tc>
        <w:tc>
          <w:tcPr>
            <w:tcW w:w="932" w:type="dxa"/>
            <w:vAlign w:val="center"/>
          </w:tcPr>
          <w:p w14:paraId="2485941E" w14:textId="77777777" w:rsidR="00EC1DDD" w:rsidRPr="00B6285A" w:rsidRDefault="00EC1DDD" w:rsidP="00EC1DDD">
            <w:pPr>
              <w:ind w:firstLine="0"/>
              <w:jc w:val="right"/>
              <w:rPr>
                <w:rFonts w:eastAsia="Calibri"/>
                <w:noProof/>
                <w:sz w:val="20"/>
              </w:rPr>
            </w:pPr>
            <w:r w:rsidRPr="00B6285A">
              <w:rPr>
                <w:rFonts w:eastAsia="Calibri"/>
                <w:noProof/>
                <w:sz w:val="20"/>
              </w:rPr>
              <w:t>-</w:t>
            </w:r>
          </w:p>
        </w:tc>
        <w:tc>
          <w:tcPr>
            <w:tcW w:w="969" w:type="dxa"/>
            <w:shd w:val="clear" w:color="auto" w:fill="auto"/>
            <w:vAlign w:val="center"/>
          </w:tcPr>
          <w:p w14:paraId="33901B64" w14:textId="77777777" w:rsidR="00EC1DDD" w:rsidRPr="00B6285A" w:rsidRDefault="00EC1DDD" w:rsidP="00EC1DDD">
            <w:pPr>
              <w:ind w:firstLine="0"/>
              <w:jc w:val="right"/>
              <w:rPr>
                <w:rFonts w:eastAsia="Calibri"/>
                <w:noProof/>
                <w:sz w:val="20"/>
              </w:rPr>
            </w:pPr>
            <w:r w:rsidRPr="00B6285A">
              <w:rPr>
                <w:rFonts w:eastAsia="Calibri"/>
                <w:noProof/>
                <w:sz w:val="20"/>
              </w:rPr>
              <w:t>5,8</w:t>
            </w:r>
          </w:p>
        </w:tc>
      </w:tr>
      <w:tr w:rsidR="00EC1DDD" w:rsidRPr="00B6285A" w14:paraId="2EFAE3EC" w14:textId="77777777" w:rsidTr="00EC1DDD">
        <w:tc>
          <w:tcPr>
            <w:tcW w:w="5125" w:type="dxa"/>
          </w:tcPr>
          <w:p w14:paraId="1842343D" w14:textId="77777777" w:rsidR="00EC1DDD" w:rsidRPr="00B6285A" w:rsidRDefault="00EC1DDD" w:rsidP="00B6285A">
            <w:pPr>
              <w:ind w:firstLine="0"/>
              <w:rPr>
                <w:rFonts w:eastAsia="Calibri"/>
                <w:noProof/>
                <w:sz w:val="20"/>
              </w:rPr>
            </w:pPr>
            <w:r w:rsidRPr="00B6285A">
              <w:rPr>
                <w:rFonts w:eastAsia="Calibri"/>
                <w:noProof/>
                <w:sz w:val="20"/>
              </w:rPr>
              <w:t>Cits ar Ministru kabineta rīkojumu piešķirtais finansējums</w:t>
            </w:r>
          </w:p>
        </w:tc>
        <w:tc>
          <w:tcPr>
            <w:tcW w:w="967" w:type="dxa"/>
          </w:tcPr>
          <w:p w14:paraId="192B4CA7" w14:textId="77777777" w:rsidR="00EC1DDD" w:rsidRPr="00BA73EA" w:rsidRDefault="00EC1DDD" w:rsidP="00B6285A">
            <w:pPr>
              <w:ind w:firstLine="0"/>
              <w:jc w:val="right"/>
              <w:rPr>
                <w:rFonts w:eastAsia="Calibri"/>
                <w:noProof/>
                <w:sz w:val="20"/>
                <w:highlight w:val="yellow"/>
              </w:rPr>
            </w:pPr>
          </w:p>
        </w:tc>
        <w:tc>
          <w:tcPr>
            <w:tcW w:w="1068" w:type="dxa"/>
            <w:vAlign w:val="center"/>
          </w:tcPr>
          <w:p w14:paraId="3EDACFA4" w14:textId="5B0991CD" w:rsidR="00EC1DDD" w:rsidRPr="00B6285A" w:rsidRDefault="00EC1DDD" w:rsidP="00B6285A">
            <w:pPr>
              <w:ind w:firstLine="0"/>
              <w:jc w:val="right"/>
              <w:rPr>
                <w:rFonts w:eastAsia="Calibri"/>
                <w:noProof/>
                <w:sz w:val="20"/>
              </w:rPr>
            </w:pPr>
            <w:r w:rsidRPr="00B6285A">
              <w:rPr>
                <w:rFonts w:eastAsia="Calibri"/>
                <w:noProof/>
                <w:sz w:val="20"/>
              </w:rPr>
              <w:t>16,5</w:t>
            </w:r>
          </w:p>
        </w:tc>
        <w:tc>
          <w:tcPr>
            <w:tcW w:w="932" w:type="dxa"/>
            <w:vAlign w:val="center"/>
          </w:tcPr>
          <w:p w14:paraId="6B5CAB5B" w14:textId="77777777" w:rsidR="00EC1DDD" w:rsidRPr="00B6285A" w:rsidRDefault="00EC1DDD" w:rsidP="00B6285A">
            <w:pPr>
              <w:ind w:firstLine="0"/>
              <w:jc w:val="right"/>
              <w:rPr>
                <w:rFonts w:eastAsia="Calibri"/>
                <w:noProof/>
                <w:sz w:val="20"/>
              </w:rPr>
            </w:pPr>
            <w:r w:rsidRPr="00B6285A">
              <w:rPr>
                <w:rFonts w:eastAsia="Calibri"/>
                <w:noProof/>
                <w:sz w:val="20"/>
              </w:rPr>
              <w:t>-</w:t>
            </w:r>
          </w:p>
        </w:tc>
        <w:tc>
          <w:tcPr>
            <w:tcW w:w="969" w:type="dxa"/>
            <w:vAlign w:val="center"/>
          </w:tcPr>
          <w:p w14:paraId="5D26A7A9" w14:textId="77777777" w:rsidR="00EC1DDD" w:rsidRPr="00B6285A" w:rsidRDefault="00EC1DDD" w:rsidP="00B6285A">
            <w:pPr>
              <w:ind w:firstLine="0"/>
              <w:jc w:val="right"/>
              <w:rPr>
                <w:rFonts w:eastAsia="Calibri"/>
                <w:noProof/>
                <w:sz w:val="20"/>
              </w:rPr>
            </w:pPr>
            <w:r w:rsidRPr="00B6285A">
              <w:rPr>
                <w:rFonts w:eastAsia="Calibri"/>
                <w:noProof/>
                <w:sz w:val="20"/>
              </w:rPr>
              <w:t>5,9</w:t>
            </w:r>
          </w:p>
        </w:tc>
      </w:tr>
      <w:tr w:rsidR="00EC1DDD" w:rsidRPr="00B6285A" w14:paraId="657AF9F4" w14:textId="77777777" w:rsidTr="00EC1DDD">
        <w:tc>
          <w:tcPr>
            <w:tcW w:w="5125" w:type="dxa"/>
            <w:shd w:val="clear" w:color="auto" w:fill="BDD6EE"/>
          </w:tcPr>
          <w:p w14:paraId="6A06B34B" w14:textId="77777777" w:rsidR="00EC1DDD" w:rsidRPr="00B6285A" w:rsidRDefault="00EC1DDD" w:rsidP="00B6285A">
            <w:pPr>
              <w:ind w:firstLine="0"/>
              <w:jc w:val="right"/>
              <w:rPr>
                <w:rFonts w:eastAsia="Calibri"/>
                <w:b/>
                <w:bCs/>
                <w:noProof/>
                <w:sz w:val="20"/>
              </w:rPr>
            </w:pPr>
            <w:r w:rsidRPr="00B6285A">
              <w:rPr>
                <w:rFonts w:eastAsia="Calibri"/>
                <w:b/>
                <w:bCs/>
                <w:noProof/>
                <w:sz w:val="20"/>
              </w:rPr>
              <w:t>KOPĀ</w:t>
            </w:r>
          </w:p>
        </w:tc>
        <w:tc>
          <w:tcPr>
            <w:tcW w:w="967" w:type="dxa"/>
            <w:shd w:val="clear" w:color="auto" w:fill="BDD6EE"/>
          </w:tcPr>
          <w:p w14:paraId="002CF33B" w14:textId="77777777" w:rsidR="00EC1DDD" w:rsidRPr="00BA73EA" w:rsidRDefault="00EC1DDD" w:rsidP="00B6285A">
            <w:pPr>
              <w:ind w:firstLine="0"/>
              <w:jc w:val="right"/>
              <w:rPr>
                <w:rFonts w:eastAsia="Calibri"/>
                <w:b/>
                <w:bCs/>
                <w:noProof/>
                <w:sz w:val="20"/>
                <w:highlight w:val="yellow"/>
              </w:rPr>
            </w:pPr>
          </w:p>
        </w:tc>
        <w:tc>
          <w:tcPr>
            <w:tcW w:w="1068" w:type="dxa"/>
            <w:shd w:val="clear" w:color="auto" w:fill="BDD6EE"/>
            <w:vAlign w:val="center"/>
          </w:tcPr>
          <w:p w14:paraId="1E1926EE" w14:textId="2D285AB7" w:rsidR="00EC1DDD" w:rsidRPr="00B6285A" w:rsidRDefault="00EC1DDD" w:rsidP="00B6285A">
            <w:pPr>
              <w:ind w:firstLine="0"/>
              <w:jc w:val="right"/>
              <w:rPr>
                <w:rFonts w:eastAsia="Calibri"/>
                <w:b/>
                <w:bCs/>
                <w:noProof/>
                <w:sz w:val="20"/>
              </w:rPr>
            </w:pPr>
            <w:r w:rsidRPr="00B6285A">
              <w:rPr>
                <w:rFonts w:eastAsia="Calibri"/>
                <w:b/>
                <w:bCs/>
                <w:noProof/>
                <w:sz w:val="20"/>
              </w:rPr>
              <w:t>81,0</w:t>
            </w:r>
          </w:p>
        </w:tc>
        <w:tc>
          <w:tcPr>
            <w:tcW w:w="932" w:type="dxa"/>
            <w:shd w:val="clear" w:color="auto" w:fill="BDD6EE"/>
            <w:vAlign w:val="center"/>
          </w:tcPr>
          <w:p w14:paraId="45F73467" w14:textId="77777777" w:rsidR="00EC1DDD" w:rsidRPr="00B6285A" w:rsidRDefault="00EC1DDD" w:rsidP="00B6285A">
            <w:pPr>
              <w:ind w:firstLine="0"/>
              <w:jc w:val="right"/>
              <w:rPr>
                <w:rFonts w:eastAsia="Calibri"/>
                <w:b/>
                <w:bCs/>
                <w:noProof/>
                <w:sz w:val="20"/>
              </w:rPr>
            </w:pPr>
            <w:r w:rsidRPr="00B6285A">
              <w:rPr>
                <w:rFonts w:eastAsia="Calibri"/>
                <w:b/>
                <w:bCs/>
                <w:noProof/>
                <w:sz w:val="20"/>
              </w:rPr>
              <w:t>102,0</w:t>
            </w:r>
          </w:p>
        </w:tc>
        <w:tc>
          <w:tcPr>
            <w:tcW w:w="969" w:type="dxa"/>
            <w:shd w:val="clear" w:color="auto" w:fill="BDD6EE"/>
            <w:vAlign w:val="center"/>
          </w:tcPr>
          <w:p w14:paraId="37A2393F" w14:textId="77777777" w:rsidR="00EC1DDD" w:rsidRPr="00B6285A" w:rsidRDefault="00EC1DDD" w:rsidP="00B6285A">
            <w:pPr>
              <w:ind w:firstLine="0"/>
              <w:jc w:val="right"/>
              <w:rPr>
                <w:rFonts w:eastAsia="Calibri"/>
                <w:b/>
                <w:bCs/>
                <w:noProof/>
                <w:sz w:val="20"/>
              </w:rPr>
            </w:pPr>
            <w:r w:rsidRPr="00B6285A">
              <w:rPr>
                <w:rFonts w:eastAsia="Calibri"/>
                <w:b/>
                <w:bCs/>
                <w:noProof/>
                <w:sz w:val="20"/>
              </w:rPr>
              <w:t>11,6</w:t>
            </w:r>
          </w:p>
        </w:tc>
      </w:tr>
      <w:tr w:rsidR="00EC1DDD" w:rsidRPr="00B6285A" w14:paraId="67B12C67" w14:textId="77777777" w:rsidTr="00EC1DDD">
        <w:tc>
          <w:tcPr>
            <w:tcW w:w="5125" w:type="dxa"/>
            <w:shd w:val="clear" w:color="auto" w:fill="BDD6EE"/>
          </w:tcPr>
          <w:p w14:paraId="39D3FE33" w14:textId="77777777" w:rsidR="00EC1DDD" w:rsidRPr="00B6285A" w:rsidRDefault="00EC1DDD" w:rsidP="00B6285A">
            <w:pPr>
              <w:ind w:firstLine="0"/>
              <w:jc w:val="right"/>
              <w:rPr>
                <w:rFonts w:eastAsia="Calibri"/>
                <w:b/>
                <w:bCs/>
                <w:noProof/>
                <w:sz w:val="20"/>
              </w:rPr>
            </w:pPr>
            <w:r w:rsidRPr="00B6285A">
              <w:rPr>
                <w:rFonts w:eastAsia="Calibri"/>
                <w:b/>
                <w:bCs/>
                <w:noProof/>
                <w:sz w:val="20"/>
              </w:rPr>
              <w:t>% no IKP</w:t>
            </w:r>
          </w:p>
        </w:tc>
        <w:tc>
          <w:tcPr>
            <w:tcW w:w="967" w:type="dxa"/>
            <w:shd w:val="clear" w:color="auto" w:fill="BDD6EE"/>
          </w:tcPr>
          <w:p w14:paraId="40F1EEB1" w14:textId="77777777" w:rsidR="00EC1DDD" w:rsidRPr="00BA73EA" w:rsidRDefault="00EC1DDD" w:rsidP="00B6285A">
            <w:pPr>
              <w:ind w:firstLine="0"/>
              <w:jc w:val="right"/>
              <w:rPr>
                <w:rFonts w:eastAsia="Calibri"/>
                <w:b/>
                <w:bCs/>
                <w:noProof/>
                <w:sz w:val="20"/>
                <w:highlight w:val="yellow"/>
              </w:rPr>
            </w:pPr>
          </w:p>
        </w:tc>
        <w:tc>
          <w:tcPr>
            <w:tcW w:w="1068" w:type="dxa"/>
            <w:shd w:val="clear" w:color="auto" w:fill="BDD6EE"/>
            <w:vAlign w:val="center"/>
          </w:tcPr>
          <w:p w14:paraId="14CBCE56" w14:textId="577BBC41" w:rsidR="00EC1DDD" w:rsidRPr="00B6285A" w:rsidRDefault="00EC1DDD" w:rsidP="00B6285A">
            <w:pPr>
              <w:ind w:firstLine="0"/>
              <w:jc w:val="right"/>
              <w:rPr>
                <w:rFonts w:eastAsia="Calibri"/>
                <w:b/>
                <w:bCs/>
                <w:noProof/>
                <w:sz w:val="20"/>
              </w:rPr>
            </w:pPr>
            <w:r w:rsidRPr="00B6285A">
              <w:rPr>
                <w:rFonts w:eastAsia="Calibri"/>
                <w:b/>
                <w:bCs/>
                <w:noProof/>
                <w:sz w:val="20"/>
              </w:rPr>
              <w:t>0,2</w:t>
            </w:r>
          </w:p>
        </w:tc>
        <w:tc>
          <w:tcPr>
            <w:tcW w:w="932" w:type="dxa"/>
            <w:shd w:val="clear" w:color="auto" w:fill="BDD6EE"/>
            <w:vAlign w:val="center"/>
          </w:tcPr>
          <w:p w14:paraId="69B76A9E" w14:textId="77777777" w:rsidR="00EC1DDD" w:rsidRPr="00B6285A" w:rsidRDefault="00EC1DDD" w:rsidP="00B6285A">
            <w:pPr>
              <w:ind w:firstLine="0"/>
              <w:jc w:val="right"/>
              <w:rPr>
                <w:rFonts w:eastAsia="Calibri"/>
                <w:b/>
                <w:bCs/>
                <w:noProof/>
                <w:sz w:val="20"/>
              </w:rPr>
            </w:pPr>
            <w:r w:rsidRPr="00B6285A">
              <w:rPr>
                <w:rFonts w:eastAsia="Calibri"/>
                <w:b/>
                <w:bCs/>
                <w:noProof/>
                <w:sz w:val="20"/>
              </w:rPr>
              <w:t>0,2</w:t>
            </w:r>
          </w:p>
        </w:tc>
        <w:tc>
          <w:tcPr>
            <w:tcW w:w="969" w:type="dxa"/>
            <w:shd w:val="clear" w:color="auto" w:fill="BDD6EE"/>
            <w:vAlign w:val="center"/>
          </w:tcPr>
          <w:p w14:paraId="3C822423" w14:textId="77777777" w:rsidR="00EC1DDD" w:rsidRPr="00B6285A" w:rsidRDefault="00EC1DDD" w:rsidP="00B6285A">
            <w:pPr>
              <w:ind w:firstLine="0"/>
              <w:jc w:val="right"/>
              <w:rPr>
                <w:rFonts w:eastAsia="Calibri"/>
                <w:b/>
                <w:bCs/>
                <w:noProof/>
                <w:sz w:val="20"/>
              </w:rPr>
            </w:pPr>
            <w:r w:rsidRPr="00B6285A">
              <w:rPr>
                <w:rFonts w:eastAsia="Calibri"/>
                <w:b/>
                <w:bCs/>
                <w:noProof/>
                <w:sz w:val="20"/>
              </w:rPr>
              <w:t>0,6</w:t>
            </w:r>
          </w:p>
        </w:tc>
      </w:tr>
    </w:tbl>
    <w:p w14:paraId="453B943D" w14:textId="556ED32D" w:rsidR="00A107D8" w:rsidRDefault="00BF4753" w:rsidP="00A107D8">
      <w:pPr>
        <w:pStyle w:val="Heading2"/>
        <w:numPr>
          <w:ilvl w:val="1"/>
          <w:numId w:val="10"/>
        </w:numPr>
        <w:spacing w:before="240" w:after="240"/>
        <w:ind w:left="0" w:firstLine="0"/>
        <w:rPr>
          <w:rFonts w:eastAsia="Times New Roman"/>
          <w:sz w:val="28"/>
          <w:szCs w:val="24"/>
        </w:rPr>
      </w:pPr>
      <w:bookmarkStart w:id="35" w:name="_Toc131331241"/>
      <w:r w:rsidRPr="009F38DE">
        <w:rPr>
          <w:rFonts w:eastAsia="Times New Roman"/>
          <w:sz w:val="28"/>
          <w:szCs w:val="24"/>
        </w:rPr>
        <w:t xml:space="preserve">Fiskālās attīstības </w:t>
      </w:r>
      <w:r w:rsidR="00C04DB4" w:rsidRPr="009F38DE">
        <w:rPr>
          <w:rFonts w:eastAsia="Times New Roman"/>
          <w:sz w:val="28"/>
          <w:szCs w:val="24"/>
        </w:rPr>
        <w:t>scenārij</w:t>
      </w:r>
      <w:bookmarkStart w:id="36" w:name="_Toc98250553"/>
      <w:bookmarkStart w:id="37" w:name="_Hlk98250307"/>
      <w:r w:rsidR="00C13AFE">
        <w:rPr>
          <w:rFonts w:eastAsia="Times New Roman"/>
          <w:sz w:val="28"/>
          <w:szCs w:val="24"/>
        </w:rPr>
        <w:t>s</w:t>
      </w:r>
      <w:bookmarkEnd w:id="35"/>
    </w:p>
    <w:p w14:paraId="17A8590A" w14:textId="4BBB25D1" w:rsidR="00C13AFE" w:rsidRPr="00C13AFE" w:rsidRDefault="00CF6F2B" w:rsidP="00C13AFE">
      <w:pPr>
        <w:pStyle w:val="Heading2"/>
        <w:numPr>
          <w:ilvl w:val="2"/>
          <w:numId w:val="10"/>
        </w:numPr>
        <w:spacing w:before="240" w:after="240"/>
        <w:ind w:left="0" w:firstLine="0"/>
        <w:rPr>
          <w:rFonts w:eastAsia="Times New Roman"/>
          <w:sz w:val="28"/>
          <w:szCs w:val="24"/>
        </w:rPr>
      </w:pPr>
      <w:bookmarkStart w:id="38" w:name="_Toc130571192"/>
      <w:bookmarkStart w:id="39" w:name="_Toc131331242"/>
      <w:r>
        <w:rPr>
          <w:rFonts w:eastAsia="Times New Roman"/>
          <w:sz w:val="24"/>
        </w:rPr>
        <w:t>Fiskālās</w:t>
      </w:r>
      <w:r w:rsidR="00C13AFE" w:rsidRPr="00C13AFE">
        <w:rPr>
          <w:rFonts w:eastAsia="Times New Roman"/>
          <w:sz w:val="24"/>
        </w:rPr>
        <w:t xml:space="preserve"> </w:t>
      </w:r>
      <w:r>
        <w:rPr>
          <w:rFonts w:eastAsia="Times New Roman"/>
          <w:sz w:val="24"/>
        </w:rPr>
        <w:t xml:space="preserve">attīstības </w:t>
      </w:r>
      <w:r w:rsidR="00C13AFE" w:rsidRPr="00C13AFE">
        <w:rPr>
          <w:rFonts w:eastAsia="Times New Roman"/>
          <w:sz w:val="24"/>
        </w:rPr>
        <w:t>scenārijs pie nemainīgas politikas</w:t>
      </w:r>
      <w:bookmarkEnd w:id="38"/>
      <w:bookmarkEnd w:id="39"/>
    </w:p>
    <w:bookmarkEnd w:id="36"/>
    <w:bookmarkEnd w:id="37"/>
    <w:p w14:paraId="1623F0A4" w14:textId="2A4F16DD" w:rsidR="00CC2E39" w:rsidRDefault="00A8405C" w:rsidP="00533314">
      <w:pPr>
        <w:spacing w:after="120"/>
        <w:rPr>
          <w:rFonts w:eastAsia="Times New Roman" w:cs="Times New Roman"/>
          <w:color w:val="000000"/>
          <w:sz w:val="24"/>
          <w:szCs w:val="24"/>
        </w:rPr>
      </w:pPr>
      <w:r w:rsidRPr="00CF6F2B">
        <w:rPr>
          <w:rFonts w:eastAsia="Times New Roman" w:cs="Times New Roman"/>
          <w:color w:val="000000"/>
          <w:sz w:val="24"/>
          <w:szCs w:val="24"/>
        </w:rPr>
        <w:t>Vispārējās valdības budžeta prognozes vidējam termiņam pie nemainīgas politikas tika sagatavotas, par pamatu ņemot 2023. gada 9. martā Saeimā apstiprināto likumu “Par valsts budžetu 2023. gadam un budžeta ietvaru 2023., 2024. un 2025. gadam” un aktualizējot ieņēmumu un atsevišķu izdevumu prognozes atbilstoši atjaunotajam makroekonomiskās attīstības scenārijam un budžeta izpildes tendencēm 2022. gada decembrī un 2023. gada pirmajos divos mēnešos. Scenārijā pie nemainīgas politikas vispārējās valdības budžeta deficīts 2024. gadā tiek prognozēts 2,4% no IKP, 2025. gadā 1,7% no IKP un 2026. gadā 0,5% no IKP (skat. 3.5. attēlu). Sagaidāms, ka vispārējās valdības budžeta deficīts 2023. gadā būs 4,0% no IKP</w:t>
      </w:r>
      <w:r w:rsidR="00482B52" w:rsidRPr="00CF6F2B">
        <w:rPr>
          <w:rFonts w:eastAsia="Times New Roman" w:cs="Times New Roman"/>
          <w:color w:val="000000"/>
          <w:sz w:val="24"/>
          <w:szCs w:val="24"/>
        </w:rPr>
        <w:t xml:space="preserve">, kas </w:t>
      </w:r>
      <w:r w:rsidRPr="00CF6F2B">
        <w:rPr>
          <w:rFonts w:eastAsia="Times New Roman" w:cs="Times New Roman"/>
          <w:color w:val="000000"/>
          <w:sz w:val="24"/>
          <w:szCs w:val="24"/>
        </w:rPr>
        <w:t xml:space="preserve">ir par 0,2 procentpunktiem zemāks nekā </w:t>
      </w:r>
      <w:r w:rsidR="00CC2E39">
        <w:rPr>
          <w:rFonts w:eastAsia="Times New Roman" w:cs="Times New Roman"/>
          <w:color w:val="000000"/>
          <w:sz w:val="24"/>
          <w:szCs w:val="24"/>
        </w:rPr>
        <w:t xml:space="preserve">prognozēts </w:t>
      </w:r>
      <w:r w:rsidRPr="00CF6F2B">
        <w:rPr>
          <w:rFonts w:eastAsia="Times New Roman" w:cs="Times New Roman"/>
          <w:color w:val="000000"/>
          <w:sz w:val="24"/>
          <w:szCs w:val="24"/>
        </w:rPr>
        <w:t xml:space="preserve">sagatavojot budžetu 2023. gadam. </w:t>
      </w:r>
    </w:p>
    <w:p w14:paraId="24EC0AB4" w14:textId="42AD8138" w:rsidR="007A167D" w:rsidRPr="00CF6F2B" w:rsidRDefault="00CA2CB6" w:rsidP="00533314">
      <w:pPr>
        <w:spacing w:after="120"/>
        <w:rPr>
          <w:rFonts w:eastAsia="Times New Roman" w:cs="Times New Roman"/>
          <w:color w:val="000000"/>
          <w:sz w:val="24"/>
          <w:szCs w:val="24"/>
        </w:rPr>
      </w:pPr>
      <w:r w:rsidRPr="00CF6F2B">
        <w:rPr>
          <w:rFonts w:ascii="Calibri" w:eastAsia="Times New Roman" w:hAnsi="Calibri" w:cs="Times New Roman"/>
          <w:noProof/>
          <w:sz w:val="22"/>
        </w:rPr>
        <w:drawing>
          <wp:anchor distT="0" distB="0" distL="114300" distR="114300" simplePos="0" relativeHeight="251693056" behindDoc="0" locked="0" layoutInCell="1" allowOverlap="1" wp14:anchorId="2F57D4A9" wp14:editId="77547A95">
            <wp:simplePos x="0" y="0"/>
            <wp:positionH relativeFrom="column">
              <wp:posOffset>3105785</wp:posOffset>
            </wp:positionH>
            <wp:positionV relativeFrom="page">
              <wp:posOffset>5575935</wp:posOffset>
            </wp:positionV>
            <wp:extent cx="2893060" cy="2159635"/>
            <wp:effectExtent l="0" t="0" r="254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0795" t="12396" r="6064" b="10274"/>
                    <a:stretch/>
                  </pic:blipFill>
                  <pic:spPr bwMode="auto">
                    <a:xfrm>
                      <a:off x="0" y="0"/>
                      <a:ext cx="2893060" cy="2159635"/>
                    </a:xfrm>
                    <a:prstGeom prst="rect">
                      <a:avLst/>
                    </a:prstGeom>
                    <a:noFill/>
                    <a:ln>
                      <a:noFill/>
                    </a:ln>
                    <a:extLst>
                      <a:ext uri="{53640926-AAD7-44D8-BBD7-CCE9431645EC}">
                        <a14:shadowObscured xmlns:a14="http://schemas.microsoft.com/office/drawing/2010/main"/>
                      </a:ext>
                    </a:extLst>
                  </pic:spPr>
                </pic:pic>
              </a:graphicData>
            </a:graphic>
          </wp:anchor>
        </w:drawing>
      </w:r>
      <w:r w:rsidRPr="00CF6F2B">
        <w:rPr>
          <w:rFonts w:ascii="Calibri" w:eastAsia="Times New Roman" w:hAnsi="Calibri" w:cs="Times New Roman"/>
          <w:noProof/>
          <w:sz w:val="22"/>
        </w:rPr>
        <w:drawing>
          <wp:anchor distT="0" distB="0" distL="114300" distR="114300" simplePos="0" relativeHeight="251700224" behindDoc="0" locked="0" layoutInCell="1" allowOverlap="1" wp14:anchorId="12B3A1C7" wp14:editId="123DECC4">
            <wp:simplePos x="0" y="0"/>
            <wp:positionH relativeFrom="margin">
              <wp:posOffset>-279400</wp:posOffset>
            </wp:positionH>
            <wp:positionV relativeFrom="page">
              <wp:posOffset>5591175</wp:posOffset>
            </wp:positionV>
            <wp:extent cx="3385185" cy="2109470"/>
            <wp:effectExtent l="0" t="0" r="5715" b="508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3466"/>
                    <a:stretch/>
                  </pic:blipFill>
                  <pic:spPr bwMode="auto">
                    <a:xfrm>
                      <a:off x="0" y="0"/>
                      <a:ext cx="3385185" cy="21094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8405C" w:rsidRPr="00CF6F2B">
        <w:rPr>
          <w:rFonts w:eastAsia="Times New Roman" w:cs="Times New Roman"/>
          <w:color w:val="000000"/>
          <w:sz w:val="24"/>
          <w:szCs w:val="24"/>
        </w:rPr>
        <w:t>Vispārējās valdības budžeta bilances izmaiņas un faktoru ietekme uz bilanci salīdzinājumā ar apstiprināto budžetu ir atspoguļota 3.6. attēlā.</w:t>
      </w:r>
    </w:p>
    <w:p w14:paraId="229BE2A8" w14:textId="15F04D1F" w:rsidR="00CA2CB6" w:rsidRPr="00CF6F2B" w:rsidRDefault="00CA2CB6" w:rsidP="007A167D">
      <w:pPr>
        <w:spacing w:after="120"/>
        <w:ind w:firstLine="0"/>
        <w:rPr>
          <w:rFonts w:eastAsia="Times New Roman" w:cs="Times New Roman"/>
          <w:color w:val="000000"/>
          <w:sz w:val="24"/>
          <w:szCs w:val="24"/>
        </w:rPr>
        <w:sectPr w:rsidR="00CA2CB6" w:rsidRPr="00CF6F2B" w:rsidSect="007A167D">
          <w:footerReference w:type="default" r:id="rId28"/>
          <w:type w:val="continuous"/>
          <w:pgSz w:w="11906" w:h="16838"/>
          <w:pgMar w:top="1418" w:right="1134" w:bottom="568" w:left="1701" w:header="1417" w:footer="1134" w:gutter="0"/>
          <w:cols w:space="708"/>
          <w:titlePg/>
          <w:docGrid w:linePitch="360"/>
        </w:sectPr>
      </w:pPr>
    </w:p>
    <w:p w14:paraId="2CFA33E9" w14:textId="0BBA5BEE" w:rsidR="00A8405C" w:rsidRPr="00CF6F2B" w:rsidRDefault="00A8405C" w:rsidP="00533314">
      <w:pPr>
        <w:ind w:firstLine="0"/>
        <w:jc w:val="center"/>
        <w:rPr>
          <w:rFonts w:eastAsia="Calibri" w:cs="Times New Roman"/>
          <w:b/>
          <w:i/>
          <w:iCs/>
          <w:noProof/>
          <w:sz w:val="24"/>
          <w:szCs w:val="24"/>
        </w:rPr>
      </w:pPr>
      <w:r w:rsidRPr="00CF6F2B">
        <w:rPr>
          <w:rFonts w:eastAsia="Calibri" w:cs="Times New Roman"/>
          <w:b/>
          <w:i/>
          <w:iCs/>
          <w:sz w:val="24"/>
          <w:szCs w:val="24"/>
        </w:rPr>
        <w:t>3.5.</w:t>
      </w:r>
      <w:r w:rsidR="008E6623" w:rsidRPr="00CF6F2B">
        <w:rPr>
          <w:rFonts w:eastAsia="Calibri" w:cs="Times New Roman"/>
          <w:b/>
          <w:i/>
          <w:iCs/>
          <w:sz w:val="24"/>
          <w:szCs w:val="24"/>
        </w:rPr>
        <w:t xml:space="preserve"> </w:t>
      </w:r>
      <w:r w:rsidRPr="00CF6F2B">
        <w:rPr>
          <w:rFonts w:eastAsia="Calibri" w:cs="Times New Roman"/>
          <w:b/>
          <w:i/>
          <w:iCs/>
          <w:sz w:val="24"/>
          <w:szCs w:val="24"/>
        </w:rPr>
        <w:t>att. Vispārējās valdības ieņēmumi, izdevumi un bilance, % no IKP</w:t>
      </w:r>
      <w:r w:rsidRPr="00CF6F2B">
        <w:rPr>
          <w:rFonts w:eastAsia="Calibri" w:cs="Times New Roman"/>
          <w:b/>
          <w:i/>
          <w:iCs/>
          <w:sz w:val="24"/>
          <w:szCs w:val="24"/>
        </w:rPr>
        <w:br/>
        <w:t xml:space="preserve">(Datu </w:t>
      </w:r>
      <w:r w:rsidRPr="00CF6F2B">
        <w:rPr>
          <w:rFonts w:eastAsia="Calibri" w:cs="Times New Roman"/>
          <w:b/>
          <w:i/>
          <w:iCs/>
          <w:noProof/>
          <w:sz w:val="24"/>
          <w:szCs w:val="24"/>
        </w:rPr>
        <w:t>avots: Eurostat, FM)</w:t>
      </w:r>
    </w:p>
    <w:p w14:paraId="20375391" w14:textId="77777777" w:rsidR="00CA2CB6" w:rsidRDefault="00CA2CB6" w:rsidP="00533314">
      <w:pPr>
        <w:ind w:firstLine="0"/>
        <w:jc w:val="center"/>
        <w:rPr>
          <w:rFonts w:eastAsia="Calibri" w:cs="Times New Roman"/>
          <w:b/>
          <w:i/>
          <w:iCs/>
          <w:sz w:val="24"/>
          <w:szCs w:val="24"/>
        </w:rPr>
      </w:pPr>
    </w:p>
    <w:p w14:paraId="15A63682" w14:textId="38D6B700" w:rsidR="00A8405C" w:rsidRPr="00CF6F2B" w:rsidRDefault="00A8405C" w:rsidP="00533314">
      <w:pPr>
        <w:ind w:firstLine="0"/>
        <w:jc w:val="center"/>
        <w:rPr>
          <w:rFonts w:eastAsia="Calibri" w:cs="Times New Roman"/>
          <w:b/>
          <w:i/>
          <w:iCs/>
          <w:noProof/>
          <w:sz w:val="24"/>
          <w:szCs w:val="24"/>
        </w:rPr>
      </w:pPr>
      <w:r w:rsidRPr="00CF6F2B">
        <w:rPr>
          <w:rFonts w:eastAsia="Calibri" w:cs="Times New Roman"/>
          <w:b/>
          <w:i/>
          <w:iCs/>
          <w:sz w:val="24"/>
          <w:szCs w:val="24"/>
        </w:rPr>
        <w:t>3.6.</w:t>
      </w:r>
      <w:r w:rsidR="008E6623" w:rsidRPr="00CF6F2B">
        <w:rPr>
          <w:rFonts w:eastAsia="Calibri" w:cs="Times New Roman"/>
          <w:b/>
          <w:i/>
          <w:iCs/>
          <w:sz w:val="24"/>
          <w:szCs w:val="24"/>
        </w:rPr>
        <w:t xml:space="preserve"> </w:t>
      </w:r>
      <w:r w:rsidRPr="00CF6F2B">
        <w:rPr>
          <w:rFonts w:eastAsia="Calibri" w:cs="Times New Roman"/>
          <w:b/>
          <w:i/>
          <w:iCs/>
          <w:sz w:val="24"/>
          <w:szCs w:val="24"/>
        </w:rPr>
        <w:t xml:space="preserve">att. Ietekme uz vispārējās valdības bilanci salīdzinājumā ar apstiprināto budžetu 2023.-2025.gadam, milj. </w:t>
      </w:r>
      <w:proofErr w:type="spellStart"/>
      <w:r w:rsidRPr="00CF6F2B">
        <w:rPr>
          <w:rFonts w:eastAsia="Calibri" w:cs="Times New Roman"/>
          <w:b/>
          <w:i/>
          <w:iCs/>
          <w:sz w:val="24"/>
          <w:szCs w:val="24"/>
        </w:rPr>
        <w:t>euro</w:t>
      </w:r>
      <w:proofErr w:type="spellEnd"/>
      <w:r w:rsidRPr="00CF6F2B">
        <w:rPr>
          <w:rFonts w:eastAsia="Calibri" w:cs="Times New Roman"/>
          <w:b/>
          <w:i/>
          <w:iCs/>
          <w:sz w:val="24"/>
          <w:szCs w:val="24"/>
        </w:rPr>
        <w:br/>
        <w:t xml:space="preserve">(Datu </w:t>
      </w:r>
      <w:r w:rsidRPr="00CF6F2B">
        <w:rPr>
          <w:rFonts w:eastAsia="Calibri" w:cs="Times New Roman"/>
          <w:b/>
          <w:i/>
          <w:iCs/>
          <w:noProof/>
          <w:sz w:val="24"/>
          <w:szCs w:val="24"/>
        </w:rPr>
        <w:t>avots: Eurostat, FM</w:t>
      </w:r>
      <w:r w:rsidRPr="00CF6F2B">
        <w:rPr>
          <w:rFonts w:eastAsia="Calibri" w:cs="Times New Roman"/>
          <w:b/>
          <w:i/>
          <w:iCs/>
          <w:sz w:val="24"/>
          <w:szCs w:val="24"/>
        </w:rPr>
        <w:t>)</w:t>
      </w:r>
    </w:p>
    <w:p w14:paraId="2485C9EF" w14:textId="77777777" w:rsidR="00A8405C" w:rsidRPr="00CF6F2B" w:rsidRDefault="00A8405C" w:rsidP="00BA7AE1">
      <w:pPr>
        <w:spacing w:after="120"/>
        <w:ind w:firstLine="0"/>
        <w:rPr>
          <w:rFonts w:eastAsia="Times New Roman" w:cs="Times New Roman"/>
          <w:color w:val="000000"/>
          <w:sz w:val="24"/>
          <w:szCs w:val="24"/>
        </w:rPr>
        <w:sectPr w:rsidR="00A8405C" w:rsidRPr="00CF6F2B" w:rsidSect="007A308D">
          <w:footerReference w:type="default" r:id="rId29"/>
          <w:type w:val="continuous"/>
          <w:pgSz w:w="11906" w:h="16838"/>
          <w:pgMar w:top="1418" w:right="1134" w:bottom="568" w:left="1701" w:header="1417" w:footer="1134" w:gutter="0"/>
          <w:cols w:num="2" w:space="709"/>
          <w:titlePg/>
          <w:docGrid w:linePitch="360"/>
        </w:sectPr>
      </w:pPr>
    </w:p>
    <w:p w14:paraId="235F7C2E" w14:textId="49DA89FB" w:rsidR="008E6623" w:rsidRPr="00CF6F2B" w:rsidRDefault="008E6623" w:rsidP="00BA7AE1">
      <w:pPr>
        <w:ind w:firstLine="0"/>
        <w:rPr>
          <w:rFonts w:eastAsia="Times New Roman" w:cs="Times New Roman"/>
          <w:color w:val="000000"/>
          <w:sz w:val="24"/>
          <w:szCs w:val="24"/>
        </w:rPr>
      </w:pPr>
    </w:p>
    <w:p w14:paraId="3BA08BD9" w14:textId="3F9D2375" w:rsidR="00A8405C" w:rsidRPr="00CF6F2B" w:rsidRDefault="00A8405C" w:rsidP="008E6623">
      <w:pPr>
        <w:rPr>
          <w:rFonts w:eastAsia="Times New Roman" w:cs="Times New Roman"/>
          <w:color w:val="000000"/>
          <w:sz w:val="24"/>
          <w:szCs w:val="24"/>
        </w:rPr>
      </w:pPr>
      <w:r w:rsidRPr="00CF6F2B">
        <w:rPr>
          <w:rFonts w:eastAsia="Times New Roman" w:cs="Times New Roman"/>
          <w:color w:val="000000"/>
          <w:sz w:val="24"/>
          <w:szCs w:val="24"/>
        </w:rPr>
        <w:t xml:space="preserve">Atbilstoši prognozēm vispārējās valdības ieņēmumu īpatsvars IKP 2023. gadā būs 36,0% no IKP, 2024. gadā palielināsies līdz 36,1% no IKP, savukārt 2025. un 2026. gadā tas samazināsies attiecīgi līdz 35,4% un 34,9% no IKP. Ieņēmumu īpatsvara samazināšanos ietekmēs neliels prognozēto ieņēmumu samazinājums ES investīciju finansējumā, kas saistīts ar 2014.-2020. gada </w:t>
      </w:r>
      <w:r w:rsidRPr="00CF6F2B">
        <w:rPr>
          <w:rFonts w:eastAsia="Times New Roman" w:cs="Times New Roman"/>
          <w:color w:val="000000"/>
          <w:sz w:val="24"/>
          <w:szCs w:val="24"/>
        </w:rPr>
        <w:lastRenderedPageBreak/>
        <w:t>plānošanas perioda noslēguma posmu. Tāpat 2024.-2026. gadā samazinās</w:t>
      </w:r>
      <w:r w:rsidR="00482B52" w:rsidRPr="00CF6F2B">
        <w:rPr>
          <w:rFonts w:eastAsia="Times New Roman" w:cs="Times New Roman"/>
          <w:color w:val="000000"/>
          <w:sz w:val="24"/>
          <w:szCs w:val="24"/>
        </w:rPr>
        <w:t>ies</w:t>
      </w:r>
      <w:r w:rsidRPr="00CF6F2B">
        <w:rPr>
          <w:rFonts w:eastAsia="Times New Roman" w:cs="Times New Roman"/>
          <w:color w:val="000000"/>
          <w:sz w:val="24"/>
          <w:szCs w:val="24"/>
        </w:rPr>
        <w:t xml:space="preserve"> budžetā plānotais saņemto dividenžu apmērs no publiskā sektora kapitālsabiedrībām.</w:t>
      </w:r>
    </w:p>
    <w:p w14:paraId="1921DC40" w14:textId="250533D8" w:rsidR="00A8405C" w:rsidRPr="00CF6F2B" w:rsidRDefault="00A8405C" w:rsidP="008E6623">
      <w:pPr>
        <w:rPr>
          <w:rFonts w:eastAsia="Times New Roman" w:cs="Times New Roman"/>
          <w:color w:val="000000"/>
          <w:sz w:val="24"/>
          <w:szCs w:val="24"/>
        </w:rPr>
      </w:pPr>
      <w:r w:rsidRPr="00CF6F2B">
        <w:rPr>
          <w:rFonts w:eastAsia="Times New Roman" w:cs="Times New Roman"/>
          <w:color w:val="000000"/>
          <w:sz w:val="24"/>
          <w:szCs w:val="24"/>
        </w:rPr>
        <w:t>Sagaidāms, ka vispārējās valdības izdevumu īpatsvars IKP</w:t>
      </w:r>
      <w:r w:rsidR="00482B52" w:rsidRPr="00CF6F2B">
        <w:rPr>
          <w:rFonts w:eastAsia="Times New Roman" w:cs="Times New Roman"/>
          <w:color w:val="000000"/>
          <w:sz w:val="24"/>
          <w:szCs w:val="24"/>
        </w:rPr>
        <w:t>,</w:t>
      </w:r>
      <w:r w:rsidRPr="00CF6F2B">
        <w:rPr>
          <w:rFonts w:eastAsia="Times New Roman" w:cs="Times New Roman"/>
          <w:color w:val="000000"/>
          <w:sz w:val="24"/>
          <w:szCs w:val="24"/>
        </w:rPr>
        <w:t xml:space="preserve"> līdzīgi kā ieņēmumi vidējā termiņā</w:t>
      </w:r>
      <w:r w:rsidR="00482B52" w:rsidRPr="00CF6F2B">
        <w:rPr>
          <w:rFonts w:eastAsia="Times New Roman" w:cs="Times New Roman"/>
          <w:color w:val="000000"/>
          <w:sz w:val="24"/>
          <w:szCs w:val="24"/>
        </w:rPr>
        <w:t>,</w:t>
      </w:r>
      <w:r w:rsidRPr="00CF6F2B">
        <w:rPr>
          <w:rFonts w:eastAsia="Times New Roman" w:cs="Times New Roman"/>
          <w:color w:val="000000"/>
          <w:sz w:val="24"/>
          <w:szCs w:val="24"/>
        </w:rPr>
        <w:t xml:space="preserve"> ik gadu samazināsies, turklāt ar straujāku samazinājuma tempu kā ieņēmumi. Īpaši 2024. gadā, salīdzinot ar 2023. gadu, kad budžetā vairs netiek paredzēts atbalsts energoresursu cenu pieauguma mazināšanai</w:t>
      </w:r>
      <w:r w:rsidRPr="00CF6F2B">
        <w:rPr>
          <w:rFonts w:eastAsia="Times New Roman" w:cs="Times New Roman"/>
          <w:noProof/>
          <w:sz w:val="24"/>
          <w:szCs w:val="24"/>
        </w:rPr>
        <w:t>, kā arī atbalsts Ukrainas civiliedzīvotājiem</w:t>
      </w:r>
      <w:r w:rsidRPr="00CF6F2B">
        <w:rPr>
          <w:rFonts w:eastAsia="Times New Roman" w:cs="Times New Roman"/>
          <w:color w:val="000000"/>
          <w:sz w:val="24"/>
          <w:szCs w:val="24"/>
        </w:rPr>
        <w:t xml:space="preserve">. Covid-19 atbalsta pasākumi būtiski ietekmēja 2020., 2021. un 2022. gada budžeta izdevumus, bet 2023. gadā atbalsta ietekme uz bilanci vairs veido tikai -0,3% no IKP, lielākoties paredzot finansējumu vakcīnu iegādei un noslēdzoties atsevišķiem investīciju projektiem, kam finansējums piešķirts jau iepriekš. </w:t>
      </w:r>
    </w:p>
    <w:p w14:paraId="430B439D" w14:textId="77777777" w:rsidR="00A8405C" w:rsidRPr="00CF6F2B" w:rsidRDefault="00A8405C" w:rsidP="00A8405C">
      <w:pPr>
        <w:spacing w:after="120"/>
        <w:rPr>
          <w:rFonts w:eastAsia="Times New Roman" w:cs="Times New Roman"/>
          <w:color w:val="000000"/>
          <w:sz w:val="24"/>
          <w:szCs w:val="24"/>
        </w:rPr>
      </w:pPr>
      <w:r w:rsidRPr="00CF6F2B">
        <w:rPr>
          <w:rFonts w:eastAsia="Times New Roman" w:cs="Times New Roman"/>
          <w:color w:val="000000"/>
          <w:sz w:val="24"/>
          <w:szCs w:val="24"/>
        </w:rPr>
        <w:t>Nominālā izteiksmē gan ieņēmumu, gan izdevumu kopējais apjoms ik gadu pieaugs.</w:t>
      </w:r>
    </w:p>
    <w:p w14:paraId="4F1EFC1B" w14:textId="674AE366" w:rsidR="00A8405C" w:rsidRPr="00CF6F2B" w:rsidRDefault="00A8405C" w:rsidP="00A8405C">
      <w:pPr>
        <w:spacing w:after="120"/>
        <w:jc w:val="right"/>
        <w:rPr>
          <w:rFonts w:eastAsia="Calibri" w:cs="Times New Roman"/>
          <w:b/>
          <w:sz w:val="24"/>
          <w:szCs w:val="24"/>
        </w:rPr>
      </w:pPr>
      <w:r w:rsidRPr="00CF6F2B">
        <w:rPr>
          <w:rFonts w:eastAsia="Calibri" w:cs="Times New Roman"/>
          <w:b/>
          <w:sz w:val="24"/>
          <w:szCs w:val="24"/>
        </w:rPr>
        <w:t>3.</w:t>
      </w:r>
      <w:r w:rsidR="00BA03D2">
        <w:rPr>
          <w:rFonts w:eastAsia="Calibri" w:cs="Times New Roman"/>
          <w:b/>
          <w:sz w:val="24"/>
          <w:szCs w:val="24"/>
        </w:rPr>
        <w:t>9</w:t>
      </w:r>
      <w:r w:rsidRPr="00CF6F2B">
        <w:rPr>
          <w:rFonts w:eastAsia="Calibri" w:cs="Times New Roman"/>
          <w:b/>
          <w:sz w:val="24"/>
          <w:szCs w:val="24"/>
        </w:rPr>
        <w:t>. tabula. Fiskālās attīstības scenārijs pie nemainīgas politikas</w:t>
      </w:r>
    </w:p>
    <w:tbl>
      <w:tblPr>
        <w:tblStyle w:val="TableGrid7"/>
        <w:tblW w:w="8999" w:type="dxa"/>
        <w:jc w:val="center"/>
        <w:tblLayout w:type="fixed"/>
        <w:tblLook w:val="0000" w:firstRow="0" w:lastRow="0" w:firstColumn="0" w:lastColumn="0" w:noHBand="0" w:noVBand="0"/>
      </w:tblPr>
      <w:tblGrid>
        <w:gridCol w:w="3625"/>
        <w:gridCol w:w="1015"/>
        <w:gridCol w:w="871"/>
        <w:gridCol w:w="870"/>
        <w:gridCol w:w="871"/>
        <w:gridCol w:w="870"/>
        <w:gridCol w:w="877"/>
      </w:tblGrid>
      <w:tr w:rsidR="00A8405C" w:rsidRPr="00CF6F2B" w14:paraId="1B263276" w14:textId="77777777" w:rsidTr="00A8405C">
        <w:trPr>
          <w:trHeight w:val="249"/>
          <w:tblHeader/>
          <w:jc w:val="center"/>
        </w:trPr>
        <w:tc>
          <w:tcPr>
            <w:tcW w:w="3625" w:type="dxa"/>
            <w:shd w:val="clear" w:color="auto" w:fill="BDD6EE"/>
          </w:tcPr>
          <w:p w14:paraId="72BA801B" w14:textId="77777777" w:rsidR="00A8405C" w:rsidRPr="00CF6F2B" w:rsidRDefault="00A8405C" w:rsidP="00A8405C">
            <w:pPr>
              <w:ind w:firstLine="0"/>
              <w:rPr>
                <w:rFonts w:eastAsia="Times New Roman" w:cs="Times New Roman"/>
                <w:b/>
                <w:sz w:val="21"/>
                <w:szCs w:val="21"/>
              </w:rPr>
            </w:pPr>
          </w:p>
        </w:tc>
        <w:tc>
          <w:tcPr>
            <w:tcW w:w="1015" w:type="dxa"/>
            <w:shd w:val="clear" w:color="auto" w:fill="BDD6EE"/>
          </w:tcPr>
          <w:p w14:paraId="77D18603" w14:textId="77777777" w:rsidR="00A8405C" w:rsidRPr="00CF6F2B" w:rsidRDefault="00A8405C" w:rsidP="00A8405C">
            <w:pPr>
              <w:ind w:firstLine="0"/>
              <w:rPr>
                <w:rFonts w:eastAsia="Times New Roman" w:cs="Times New Roman"/>
                <w:b/>
                <w:sz w:val="21"/>
                <w:szCs w:val="21"/>
              </w:rPr>
            </w:pPr>
          </w:p>
        </w:tc>
        <w:tc>
          <w:tcPr>
            <w:tcW w:w="871" w:type="dxa"/>
            <w:shd w:val="clear" w:color="auto" w:fill="BDD6EE"/>
          </w:tcPr>
          <w:p w14:paraId="3C0F2B2F" w14:textId="77777777" w:rsidR="00A8405C" w:rsidRPr="00CF6F2B" w:rsidRDefault="00A8405C" w:rsidP="00A8405C">
            <w:pPr>
              <w:ind w:firstLine="0"/>
              <w:jc w:val="center"/>
              <w:rPr>
                <w:rFonts w:eastAsia="Times New Roman" w:cs="Times New Roman"/>
                <w:b/>
                <w:sz w:val="21"/>
                <w:szCs w:val="21"/>
              </w:rPr>
            </w:pPr>
            <w:r w:rsidRPr="00CF6F2B">
              <w:rPr>
                <w:rFonts w:eastAsia="Times New Roman" w:cs="Times New Roman"/>
                <w:b/>
                <w:sz w:val="21"/>
                <w:szCs w:val="21"/>
              </w:rPr>
              <w:t>2022</w:t>
            </w:r>
          </w:p>
        </w:tc>
        <w:tc>
          <w:tcPr>
            <w:tcW w:w="870" w:type="dxa"/>
            <w:shd w:val="clear" w:color="auto" w:fill="BDD6EE"/>
          </w:tcPr>
          <w:p w14:paraId="2CF87AEC" w14:textId="77777777" w:rsidR="00A8405C" w:rsidRPr="00CF6F2B" w:rsidRDefault="00A8405C" w:rsidP="00A8405C">
            <w:pPr>
              <w:ind w:firstLine="0"/>
              <w:jc w:val="center"/>
              <w:rPr>
                <w:rFonts w:eastAsia="Times New Roman" w:cs="Times New Roman"/>
                <w:b/>
                <w:sz w:val="21"/>
                <w:szCs w:val="21"/>
              </w:rPr>
            </w:pPr>
            <w:r w:rsidRPr="00CF6F2B">
              <w:rPr>
                <w:rFonts w:eastAsia="Times New Roman" w:cs="Times New Roman"/>
                <w:b/>
                <w:sz w:val="21"/>
                <w:szCs w:val="21"/>
              </w:rPr>
              <w:t>2023</w:t>
            </w:r>
          </w:p>
        </w:tc>
        <w:tc>
          <w:tcPr>
            <w:tcW w:w="871" w:type="dxa"/>
            <w:shd w:val="clear" w:color="auto" w:fill="BDD6EE"/>
          </w:tcPr>
          <w:p w14:paraId="53908933" w14:textId="77777777" w:rsidR="00A8405C" w:rsidRPr="00CF6F2B" w:rsidRDefault="00A8405C" w:rsidP="00A8405C">
            <w:pPr>
              <w:ind w:firstLine="0"/>
              <w:jc w:val="center"/>
              <w:rPr>
                <w:rFonts w:eastAsia="Times New Roman" w:cs="Times New Roman"/>
                <w:b/>
                <w:sz w:val="21"/>
                <w:szCs w:val="21"/>
              </w:rPr>
            </w:pPr>
            <w:r w:rsidRPr="00CF6F2B">
              <w:rPr>
                <w:rFonts w:eastAsia="Times New Roman" w:cs="Times New Roman"/>
                <w:b/>
                <w:sz w:val="21"/>
                <w:szCs w:val="21"/>
              </w:rPr>
              <w:t>2024</w:t>
            </w:r>
          </w:p>
        </w:tc>
        <w:tc>
          <w:tcPr>
            <w:tcW w:w="870" w:type="dxa"/>
            <w:shd w:val="clear" w:color="auto" w:fill="BDD6EE"/>
          </w:tcPr>
          <w:p w14:paraId="6AEC3EB8" w14:textId="77777777" w:rsidR="00A8405C" w:rsidRPr="00CF6F2B" w:rsidRDefault="00A8405C" w:rsidP="00A8405C">
            <w:pPr>
              <w:ind w:firstLine="0"/>
              <w:jc w:val="center"/>
              <w:rPr>
                <w:rFonts w:eastAsia="Times New Roman" w:cs="Times New Roman"/>
                <w:b/>
                <w:sz w:val="21"/>
                <w:szCs w:val="21"/>
              </w:rPr>
            </w:pPr>
            <w:r w:rsidRPr="00CF6F2B">
              <w:rPr>
                <w:rFonts w:eastAsia="Times New Roman" w:cs="Times New Roman"/>
                <w:b/>
                <w:sz w:val="21"/>
                <w:szCs w:val="21"/>
              </w:rPr>
              <w:t>2025</w:t>
            </w:r>
          </w:p>
        </w:tc>
        <w:tc>
          <w:tcPr>
            <w:tcW w:w="873" w:type="dxa"/>
            <w:shd w:val="clear" w:color="auto" w:fill="BDD6EE"/>
          </w:tcPr>
          <w:p w14:paraId="042F06D8" w14:textId="77777777" w:rsidR="00A8405C" w:rsidRPr="00CF6F2B" w:rsidRDefault="00A8405C" w:rsidP="00A8405C">
            <w:pPr>
              <w:ind w:firstLine="0"/>
              <w:jc w:val="center"/>
              <w:rPr>
                <w:rFonts w:eastAsia="Times New Roman" w:cs="Times New Roman"/>
                <w:b/>
                <w:sz w:val="21"/>
                <w:szCs w:val="21"/>
              </w:rPr>
            </w:pPr>
            <w:r w:rsidRPr="00CF6F2B">
              <w:rPr>
                <w:rFonts w:eastAsia="Times New Roman" w:cs="Times New Roman"/>
                <w:b/>
                <w:sz w:val="21"/>
                <w:szCs w:val="21"/>
              </w:rPr>
              <w:t>2026</w:t>
            </w:r>
          </w:p>
        </w:tc>
      </w:tr>
      <w:tr w:rsidR="00A8405C" w:rsidRPr="00CF6F2B" w14:paraId="2C7172DA" w14:textId="77777777" w:rsidTr="003A7860">
        <w:trPr>
          <w:trHeight w:val="499"/>
          <w:tblHeader/>
          <w:jc w:val="center"/>
        </w:trPr>
        <w:tc>
          <w:tcPr>
            <w:tcW w:w="3625" w:type="dxa"/>
          </w:tcPr>
          <w:p w14:paraId="236A8FDE" w14:textId="77777777" w:rsidR="00A8405C" w:rsidRPr="00CF6F2B" w:rsidRDefault="00A8405C" w:rsidP="00A8405C">
            <w:pPr>
              <w:ind w:firstLine="0"/>
              <w:rPr>
                <w:rFonts w:eastAsia="Times New Roman" w:cs="Times New Roman"/>
                <w:sz w:val="21"/>
                <w:szCs w:val="21"/>
              </w:rPr>
            </w:pPr>
          </w:p>
        </w:tc>
        <w:tc>
          <w:tcPr>
            <w:tcW w:w="1015" w:type="dxa"/>
          </w:tcPr>
          <w:p w14:paraId="4A1DF790" w14:textId="77777777" w:rsidR="00A8405C" w:rsidRPr="00CF6F2B" w:rsidRDefault="00A8405C" w:rsidP="00A8405C">
            <w:pPr>
              <w:ind w:firstLine="0"/>
              <w:jc w:val="center"/>
              <w:rPr>
                <w:rFonts w:eastAsia="Times New Roman" w:cs="Times New Roman"/>
                <w:b/>
                <w:sz w:val="21"/>
                <w:szCs w:val="21"/>
              </w:rPr>
            </w:pPr>
            <w:r w:rsidRPr="00CF6F2B">
              <w:rPr>
                <w:rFonts w:eastAsia="Times New Roman" w:cs="Times New Roman"/>
                <w:b/>
                <w:sz w:val="21"/>
                <w:szCs w:val="21"/>
              </w:rPr>
              <w:t>EKS kods</w:t>
            </w:r>
          </w:p>
        </w:tc>
        <w:tc>
          <w:tcPr>
            <w:tcW w:w="4358" w:type="dxa"/>
            <w:gridSpan w:val="5"/>
            <w:vAlign w:val="center"/>
          </w:tcPr>
          <w:p w14:paraId="7AAF26D3" w14:textId="77777777" w:rsidR="00A8405C" w:rsidRPr="00CF6F2B" w:rsidRDefault="00A8405C" w:rsidP="00A8405C">
            <w:pPr>
              <w:ind w:firstLine="0"/>
              <w:jc w:val="center"/>
              <w:rPr>
                <w:rFonts w:eastAsia="Times New Roman" w:cs="Times New Roman"/>
                <w:b/>
                <w:sz w:val="21"/>
                <w:szCs w:val="21"/>
              </w:rPr>
            </w:pPr>
            <w:r w:rsidRPr="00CF6F2B">
              <w:rPr>
                <w:rFonts w:eastAsia="Times New Roman" w:cs="Times New Roman"/>
                <w:b/>
                <w:sz w:val="21"/>
                <w:szCs w:val="21"/>
              </w:rPr>
              <w:t>% no IKP</w:t>
            </w:r>
          </w:p>
        </w:tc>
      </w:tr>
      <w:tr w:rsidR="00A8405C" w:rsidRPr="00CF6F2B" w14:paraId="6CA9AAF2" w14:textId="77777777" w:rsidTr="00A8405C">
        <w:trPr>
          <w:trHeight w:val="258"/>
          <w:jc w:val="center"/>
        </w:trPr>
        <w:tc>
          <w:tcPr>
            <w:tcW w:w="8999" w:type="dxa"/>
            <w:gridSpan w:val="7"/>
            <w:shd w:val="clear" w:color="auto" w:fill="BDD6EE"/>
          </w:tcPr>
          <w:p w14:paraId="174FD4F6" w14:textId="77777777" w:rsidR="00A8405C" w:rsidRPr="00CF6F2B" w:rsidRDefault="00A8405C" w:rsidP="00A8405C">
            <w:pPr>
              <w:ind w:firstLine="0"/>
              <w:jc w:val="center"/>
              <w:rPr>
                <w:rFonts w:eastAsia="Times New Roman" w:cs="Times New Roman"/>
                <w:b/>
                <w:sz w:val="21"/>
                <w:szCs w:val="21"/>
              </w:rPr>
            </w:pPr>
            <w:r w:rsidRPr="00CF6F2B">
              <w:rPr>
                <w:rFonts w:eastAsia="Times New Roman" w:cs="Times New Roman"/>
                <w:b/>
                <w:sz w:val="21"/>
                <w:szCs w:val="21"/>
              </w:rPr>
              <w:t xml:space="preserve">Neto aizdevumi (+) vai aizņēmumi (-) (B.9) pa </w:t>
            </w:r>
            <w:proofErr w:type="spellStart"/>
            <w:r w:rsidRPr="00CF6F2B">
              <w:rPr>
                <w:rFonts w:eastAsia="Times New Roman" w:cs="Times New Roman"/>
                <w:b/>
                <w:sz w:val="21"/>
                <w:szCs w:val="21"/>
              </w:rPr>
              <w:t>apakšsektoriem</w:t>
            </w:r>
            <w:proofErr w:type="spellEnd"/>
          </w:p>
        </w:tc>
      </w:tr>
      <w:tr w:rsidR="00A8405C" w:rsidRPr="00CF6F2B" w14:paraId="4F840EA7" w14:textId="77777777" w:rsidTr="003A7860">
        <w:trPr>
          <w:trHeight w:val="249"/>
          <w:jc w:val="center"/>
        </w:trPr>
        <w:tc>
          <w:tcPr>
            <w:tcW w:w="3625" w:type="dxa"/>
          </w:tcPr>
          <w:p w14:paraId="440FEDFD" w14:textId="77777777" w:rsidR="00A8405C" w:rsidRPr="00CF6F2B" w:rsidRDefault="00A8405C" w:rsidP="00A8405C">
            <w:pPr>
              <w:ind w:firstLine="0"/>
              <w:rPr>
                <w:rFonts w:eastAsia="Times New Roman" w:cs="Times New Roman"/>
                <w:snapToGrid w:val="0"/>
                <w:sz w:val="21"/>
                <w:szCs w:val="21"/>
              </w:rPr>
            </w:pPr>
            <w:r w:rsidRPr="00CF6F2B">
              <w:rPr>
                <w:rFonts w:eastAsia="Times New Roman" w:cs="Times New Roman"/>
                <w:snapToGrid w:val="0"/>
                <w:sz w:val="21"/>
                <w:szCs w:val="21"/>
              </w:rPr>
              <w:t>Vispārējā valdība</w:t>
            </w:r>
          </w:p>
        </w:tc>
        <w:tc>
          <w:tcPr>
            <w:tcW w:w="1015" w:type="dxa"/>
          </w:tcPr>
          <w:p w14:paraId="3229E84A" w14:textId="77777777" w:rsidR="00A8405C" w:rsidRPr="00CF6F2B" w:rsidRDefault="00A8405C" w:rsidP="00A8405C">
            <w:pPr>
              <w:ind w:firstLine="0"/>
              <w:jc w:val="center"/>
              <w:rPr>
                <w:rFonts w:eastAsia="Times New Roman" w:cs="Times New Roman"/>
                <w:sz w:val="21"/>
                <w:szCs w:val="21"/>
              </w:rPr>
            </w:pPr>
            <w:r w:rsidRPr="00CF6F2B">
              <w:rPr>
                <w:rFonts w:eastAsia="Times New Roman" w:cs="Times New Roman"/>
                <w:sz w:val="21"/>
                <w:szCs w:val="21"/>
              </w:rPr>
              <w:t>S.13</w:t>
            </w:r>
          </w:p>
        </w:tc>
        <w:tc>
          <w:tcPr>
            <w:tcW w:w="871" w:type="dxa"/>
            <w:shd w:val="clear" w:color="auto" w:fill="auto"/>
            <w:vAlign w:val="bottom"/>
          </w:tcPr>
          <w:p w14:paraId="0CC12F82" w14:textId="77777777" w:rsidR="00A8405C" w:rsidRPr="00CF6F2B" w:rsidRDefault="00A8405C" w:rsidP="00A8405C">
            <w:pPr>
              <w:ind w:firstLine="0"/>
              <w:jc w:val="center"/>
              <w:rPr>
                <w:rFonts w:eastAsia="Times New Roman" w:cs="Times New Roman"/>
                <w:snapToGrid w:val="0"/>
                <w:sz w:val="21"/>
                <w:szCs w:val="21"/>
              </w:rPr>
            </w:pPr>
            <w:r w:rsidRPr="00CF6F2B">
              <w:rPr>
                <w:rFonts w:eastAsia="Calibri" w:cs="Times New Roman"/>
                <w:color w:val="000000"/>
                <w:sz w:val="21"/>
                <w:szCs w:val="21"/>
              </w:rPr>
              <w:t>-4,7</w:t>
            </w:r>
          </w:p>
        </w:tc>
        <w:tc>
          <w:tcPr>
            <w:tcW w:w="870" w:type="dxa"/>
            <w:shd w:val="clear" w:color="auto" w:fill="auto"/>
            <w:vAlign w:val="bottom"/>
          </w:tcPr>
          <w:p w14:paraId="6A4852C9" w14:textId="77777777" w:rsidR="00A8405C" w:rsidRPr="00CF6F2B" w:rsidRDefault="00A8405C" w:rsidP="00A8405C">
            <w:pPr>
              <w:ind w:firstLine="0"/>
              <w:jc w:val="center"/>
              <w:rPr>
                <w:rFonts w:eastAsia="Times New Roman" w:cs="Times New Roman"/>
                <w:snapToGrid w:val="0"/>
                <w:sz w:val="21"/>
                <w:szCs w:val="21"/>
              </w:rPr>
            </w:pPr>
            <w:r w:rsidRPr="00CF6F2B">
              <w:rPr>
                <w:rFonts w:eastAsia="Calibri" w:cs="Times New Roman"/>
                <w:color w:val="000000"/>
                <w:sz w:val="21"/>
                <w:szCs w:val="21"/>
              </w:rPr>
              <w:t>-4,0</w:t>
            </w:r>
          </w:p>
        </w:tc>
        <w:tc>
          <w:tcPr>
            <w:tcW w:w="871" w:type="dxa"/>
            <w:shd w:val="clear" w:color="auto" w:fill="auto"/>
            <w:vAlign w:val="bottom"/>
          </w:tcPr>
          <w:p w14:paraId="739CCA93" w14:textId="77777777" w:rsidR="00A8405C" w:rsidRPr="00CF6F2B" w:rsidRDefault="00A8405C" w:rsidP="00A8405C">
            <w:pPr>
              <w:ind w:firstLine="0"/>
              <w:jc w:val="center"/>
              <w:rPr>
                <w:rFonts w:eastAsia="Times New Roman" w:cs="Times New Roman"/>
                <w:snapToGrid w:val="0"/>
                <w:sz w:val="21"/>
                <w:szCs w:val="21"/>
              </w:rPr>
            </w:pPr>
            <w:r w:rsidRPr="00CF6F2B">
              <w:rPr>
                <w:rFonts w:eastAsia="Calibri" w:cs="Times New Roman"/>
                <w:color w:val="000000"/>
                <w:sz w:val="21"/>
                <w:szCs w:val="21"/>
              </w:rPr>
              <w:t>-2,4</w:t>
            </w:r>
          </w:p>
        </w:tc>
        <w:tc>
          <w:tcPr>
            <w:tcW w:w="870" w:type="dxa"/>
            <w:shd w:val="clear" w:color="auto" w:fill="auto"/>
            <w:vAlign w:val="bottom"/>
          </w:tcPr>
          <w:p w14:paraId="61145645" w14:textId="77777777" w:rsidR="00A8405C" w:rsidRPr="00CF6F2B" w:rsidRDefault="00A8405C" w:rsidP="00A8405C">
            <w:pPr>
              <w:ind w:firstLine="0"/>
              <w:jc w:val="center"/>
              <w:rPr>
                <w:rFonts w:eastAsia="Times New Roman" w:cs="Times New Roman"/>
                <w:snapToGrid w:val="0"/>
                <w:sz w:val="21"/>
                <w:szCs w:val="21"/>
              </w:rPr>
            </w:pPr>
            <w:r w:rsidRPr="00CF6F2B">
              <w:rPr>
                <w:rFonts w:eastAsia="Calibri" w:cs="Times New Roman"/>
                <w:color w:val="000000"/>
                <w:sz w:val="21"/>
                <w:szCs w:val="21"/>
              </w:rPr>
              <w:t>-1,7</w:t>
            </w:r>
          </w:p>
        </w:tc>
        <w:tc>
          <w:tcPr>
            <w:tcW w:w="873" w:type="dxa"/>
            <w:shd w:val="clear" w:color="auto" w:fill="auto"/>
            <w:vAlign w:val="bottom"/>
          </w:tcPr>
          <w:p w14:paraId="643E926B" w14:textId="77777777" w:rsidR="00A8405C" w:rsidRPr="00CF6F2B" w:rsidRDefault="00A8405C" w:rsidP="00A8405C">
            <w:pPr>
              <w:ind w:firstLine="0"/>
              <w:jc w:val="center"/>
              <w:rPr>
                <w:rFonts w:eastAsia="Times New Roman" w:cs="Times New Roman"/>
                <w:snapToGrid w:val="0"/>
                <w:sz w:val="21"/>
                <w:szCs w:val="21"/>
              </w:rPr>
            </w:pPr>
            <w:r w:rsidRPr="00CF6F2B">
              <w:rPr>
                <w:rFonts w:eastAsia="Calibri" w:cs="Times New Roman"/>
                <w:color w:val="000000"/>
                <w:sz w:val="21"/>
                <w:szCs w:val="21"/>
              </w:rPr>
              <w:t>-0,5</w:t>
            </w:r>
          </w:p>
        </w:tc>
      </w:tr>
      <w:tr w:rsidR="00A8405C" w:rsidRPr="00CF6F2B" w14:paraId="3B51FCE0" w14:textId="77777777" w:rsidTr="00A8405C">
        <w:trPr>
          <w:trHeight w:val="214"/>
          <w:jc w:val="center"/>
        </w:trPr>
        <w:tc>
          <w:tcPr>
            <w:tcW w:w="3625" w:type="dxa"/>
            <w:shd w:val="clear" w:color="auto" w:fill="DEEAF6"/>
          </w:tcPr>
          <w:p w14:paraId="1832F935" w14:textId="77777777" w:rsidR="00A8405C" w:rsidRPr="00CF6F2B" w:rsidRDefault="00A8405C" w:rsidP="00A8405C">
            <w:pPr>
              <w:ind w:firstLine="0"/>
              <w:jc w:val="right"/>
              <w:rPr>
                <w:rFonts w:eastAsia="Times New Roman" w:cs="Times New Roman"/>
                <w:snapToGrid w:val="0"/>
                <w:sz w:val="18"/>
                <w:szCs w:val="18"/>
              </w:rPr>
            </w:pPr>
            <w:r w:rsidRPr="00CF6F2B">
              <w:rPr>
                <w:rFonts w:eastAsia="Times New Roman" w:cs="Times New Roman"/>
                <w:snapToGrid w:val="0"/>
                <w:sz w:val="18"/>
                <w:szCs w:val="18"/>
              </w:rPr>
              <w:t>t.sk. komersanti</w:t>
            </w:r>
            <w:r w:rsidRPr="00CF6F2B">
              <w:rPr>
                <w:rFonts w:eastAsia="Times New Roman" w:cs="Times New Roman"/>
                <w:snapToGrid w:val="0"/>
                <w:sz w:val="18"/>
                <w:szCs w:val="18"/>
                <w:vertAlign w:val="superscript"/>
              </w:rPr>
              <w:footnoteReference w:id="11"/>
            </w:r>
          </w:p>
        </w:tc>
        <w:tc>
          <w:tcPr>
            <w:tcW w:w="1015" w:type="dxa"/>
            <w:shd w:val="clear" w:color="auto" w:fill="DEEAF6"/>
          </w:tcPr>
          <w:p w14:paraId="768F263D" w14:textId="77777777" w:rsidR="00A8405C" w:rsidRPr="00CF6F2B" w:rsidRDefault="00A8405C" w:rsidP="00A8405C">
            <w:pPr>
              <w:ind w:firstLine="0"/>
              <w:jc w:val="right"/>
              <w:rPr>
                <w:rFonts w:eastAsia="Times New Roman" w:cs="Times New Roman"/>
                <w:sz w:val="18"/>
                <w:szCs w:val="18"/>
              </w:rPr>
            </w:pPr>
          </w:p>
        </w:tc>
        <w:tc>
          <w:tcPr>
            <w:tcW w:w="871" w:type="dxa"/>
            <w:shd w:val="clear" w:color="auto" w:fill="DEEAF6"/>
            <w:vAlign w:val="bottom"/>
          </w:tcPr>
          <w:p w14:paraId="6CBAF701" w14:textId="77777777" w:rsidR="00A8405C" w:rsidRPr="00CF6F2B" w:rsidRDefault="00A8405C" w:rsidP="00A8405C">
            <w:pPr>
              <w:ind w:firstLine="0"/>
              <w:jc w:val="right"/>
              <w:rPr>
                <w:rFonts w:eastAsia="Times New Roman" w:cs="Times New Roman"/>
                <w:color w:val="000000"/>
                <w:sz w:val="18"/>
                <w:szCs w:val="18"/>
              </w:rPr>
            </w:pPr>
            <w:r w:rsidRPr="00CF6F2B">
              <w:rPr>
                <w:rFonts w:eastAsia="Calibri" w:cs="Times New Roman"/>
                <w:color w:val="000000"/>
                <w:sz w:val="18"/>
                <w:szCs w:val="18"/>
              </w:rPr>
              <w:t>-0,1</w:t>
            </w:r>
          </w:p>
        </w:tc>
        <w:tc>
          <w:tcPr>
            <w:tcW w:w="870" w:type="dxa"/>
            <w:shd w:val="clear" w:color="auto" w:fill="DEEAF6"/>
            <w:vAlign w:val="bottom"/>
          </w:tcPr>
          <w:p w14:paraId="5BA2E383" w14:textId="77777777" w:rsidR="00A8405C" w:rsidRPr="00CF6F2B" w:rsidRDefault="00A8405C" w:rsidP="00A8405C">
            <w:pPr>
              <w:ind w:firstLine="0"/>
              <w:jc w:val="right"/>
              <w:rPr>
                <w:rFonts w:eastAsia="Times New Roman" w:cs="Times New Roman"/>
                <w:color w:val="000000"/>
                <w:sz w:val="18"/>
                <w:szCs w:val="18"/>
              </w:rPr>
            </w:pPr>
            <w:r w:rsidRPr="00CF6F2B">
              <w:rPr>
                <w:rFonts w:eastAsia="Calibri" w:cs="Times New Roman"/>
                <w:color w:val="000000"/>
                <w:sz w:val="18"/>
                <w:szCs w:val="18"/>
              </w:rPr>
              <w:t>-0,6</w:t>
            </w:r>
          </w:p>
        </w:tc>
        <w:tc>
          <w:tcPr>
            <w:tcW w:w="871" w:type="dxa"/>
            <w:shd w:val="clear" w:color="auto" w:fill="DEEAF6"/>
            <w:vAlign w:val="bottom"/>
          </w:tcPr>
          <w:p w14:paraId="12FF0610" w14:textId="77777777" w:rsidR="00A8405C" w:rsidRPr="00CF6F2B" w:rsidRDefault="00A8405C" w:rsidP="00A8405C">
            <w:pPr>
              <w:ind w:firstLine="0"/>
              <w:jc w:val="right"/>
              <w:rPr>
                <w:rFonts w:eastAsia="Times New Roman" w:cs="Times New Roman"/>
                <w:color w:val="000000"/>
                <w:sz w:val="18"/>
                <w:szCs w:val="18"/>
              </w:rPr>
            </w:pPr>
            <w:r w:rsidRPr="00CF6F2B">
              <w:rPr>
                <w:rFonts w:eastAsia="Calibri" w:cs="Times New Roman"/>
                <w:color w:val="000000"/>
                <w:sz w:val="18"/>
                <w:szCs w:val="18"/>
              </w:rPr>
              <w:t>-0,2</w:t>
            </w:r>
          </w:p>
        </w:tc>
        <w:tc>
          <w:tcPr>
            <w:tcW w:w="870" w:type="dxa"/>
            <w:shd w:val="clear" w:color="auto" w:fill="DEEAF6"/>
            <w:vAlign w:val="bottom"/>
          </w:tcPr>
          <w:p w14:paraId="5C9855BF" w14:textId="77777777" w:rsidR="00A8405C" w:rsidRPr="00CF6F2B" w:rsidRDefault="00A8405C" w:rsidP="00A8405C">
            <w:pPr>
              <w:ind w:firstLine="0"/>
              <w:jc w:val="right"/>
              <w:rPr>
                <w:rFonts w:eastAsia="Times New Roman" w:cs="Times New Roman"/>
                <w:color w:val="000000"/>
                <w:sz w:val="18"/>
                <w:szCs w:val="18"/>
              </w:rPr>
            </w:pPr>
            <w:r w:rsidRPr="00CF6F2B">
              <w:rPr>
                <w:rFonts w:eastAsia="Calibri" w:cs="Times New Roman"/>
                <w:color w:val="000000"/>
                <w:sz w:val="18"/>
                <w:szCs w:val="18"/>
              </w:rPr>
              <w:t>-0,1</w:t>
            </w:r>
          </w:p>
        </w:tc>
        <w:tc>
          <w:tcPr>
            <w:tcW w:w="873" w:type="dxa"/>
            <w:shd w:val="clear" w:color="auto" w:fill="DEEAF6"/>
            <w:vAlign w:val="bottom"/>
          </w:tcPr>
          <w:p w14:paraId="5B1E7A98" w14:textId="77777777" w:rsidR="00A8405C" w:rsidRPr="00CF6F2B" w:rsidRDefault="00A8405C" w:rsidP="00A8405C">
            <w:pPr>
              <w:ind w:firstLine="0"/>
              <w:jc w:val="right"/>
              <w:rPr>
                <w:rFonts w:eastAsia="Times New Roman" w:cs="Times New Roman"/>
                <w:color w:val="000000"/>
                <w:sz w:val="18"/>
                <w:szCs w:val="18"/>
              </w:rPr>
            </w:pPr>
            <w:r w:rsidRPr="00CF6F2B">
              <w:rPr>
                <w:rFonts w:eastAsia="Calibri" w:cs="Times New Roman"/>
                <w:color w:val="000000"/>
                <w:sz w:val="18"/>
                <w:szCs w:val="18"/>
              </w:rPr>
              <w:t>-0,1</w:t>
            </w:r>
          </w:p>
        </w:tc>
      </w:tr>
      <w:tr w:rsidR="00A8405C" w:rsidRPr="00CF6F2B" w14:paraId="310AB7BE" w14:textId="77777777" w:rsidTr="003A7860">
        <w:trPr>
          <w:trHeight w:val="249"/>
          <w:jc w:val="center"/>
        </w:trPr>
        <w:tc>
          <w:tcPr>
            <w:tcW w:w="3625" w:type="dxa"/>
          </w:tcPr>
          <w:p w14:paraId="535EE72E" w14:textId="77777777" w:rsidR="00A8405C" w:rsidRPr="00CF6F2B" w:rsidRDefault="00A8405C" w:rsidP="00A8405C">
            <w:pPr>
              <w:ind w:firstLine="0"/>
              <w:rPr>
                <w:rFonts w:eastAsia="Times New Roman" w:cs="Times New Roman"/>
                <w:snapToGrid w:val="0"/>
                <w:sz w:val="21"/>
                <w:szCs w:val="21"/>
              </w:rPr>
            </w:pPr>
            <w:r w:rsidRPr="00CF6F2B">
              <w:rPr>
                <w:rFonts w:eastAsia="Times New Roman" w:cs="Times New Roman"/>
                <w:snapToGrid w:val="0"/>
                <w:sz w:val="21"/>
                <w:szCs w:val="21"/>
              </w:rPr>
              <w:t>Centrālā valdība</w:t>
            </w:r>
          </w:p>
        </w:tc>
        <w:tc>
          <w:tcPr>
            <w:tcW w:w="1015" w:type="dxa"/>
          </w:tcPr>
          <w:p w14:paraId="7AD7A653" w14:textId="77777777" w:rsidR="00A8405C" w:rsidRPr="00CF6F2B" w:rsidRDefault="00A8405C" w:rsidP="00A8405C">
            <w:pPr>
              <w:ind w:firstLine="0"/>
              <w:jc w:val="center"/>
              <w:rPr>
                <w:rFonts w:eastAsia="Times New Roman" w:cs="Times New Roman"/>
                <w:sz w:val="21"/>
                <w:szCs w:val="21"/>
              </w:rPr>
            </w:pPr>
            <w:r w:rsidRPr="00CF6F2B">
              <w:rPr>
                <w:rFonts w:eastAsia="Times New Roman" w:cs="Times New Roman"/>
                <w:sz w:val="21"/>
                <w:szCs w:val="21"/>
              </w:rPr>
              <w:t>S.1311</w:t>
            </w:r>
          </w:p>
        </w:tc>
        <w:tc>
          <w:tcPr>
            <w:tcW w:w="871" w:type="dxa"/>
            <w:shd w:val="clear" w:color="auto" w:fill="auto"/>
            <w:vAlign w:val="bottom"/>
          </w:tcPr>
          <w:p w14:paraId="3E14BD75" w14:textId="77777777" w:rsidR="00A8405C" w:rsidRPr="00CF6F2B" w:rsidRDefault="00A8405C" w:rsidP="00A8405C">
            <w:pPr>
              <w:ind w:firstLine="0"/>
              <w:jc w:val="center"/>
              <w:rPr>
                <w:rFonts w:eastAsia="Times New Roman" w:cs="Times New Roman"/>
                <w:snapToGrid w:val="0"/>
                <w:sz w:val="21"/>
                <w:szCs w:val="21"/>
              </w:rPr>
            </w:pPr>
            <w:r w:rsidRPr="00CF6F2B">
              <w:rPr>
                <w:rFonts w:eastAsia="Calibri" w:cs="Times New Roman"/>
                <w:color w:val="000000"/>
                <w:sz w:val="21"/>
                <w:szCs w:val="21"/>
              </w:rPr>
              <w:t>-5,5</w:t>
            </w:r>
          </w:p>
        </w:tc>
        <w:tc>
          <w:tcPr>
            <w:tcW w:w="870" w:type="dxa"/>
            <w:shd w:val="clear" w:color="auto" w:fill="auto"/>
            <w:vAlign w:val="bottom"/>
          </w:tcPr>
          <w:p w14:paraId="3CB4FC5C" w14:textId="77777777" w:rsidR="00A8405C" w:rsidRPr="00CF6F2B" w:rsidRDefault="00A8405C" w:rsidP="00A8405C">
            <w:pPr>
              <w:ind w:firstLine="0"/>
              <w:jc w:val="center"/>
              <w:rPr>
                <w:rFonts w:eastAsia="Times New Roman" w:cs="Times New Roman"/>
                <w:snapToGrid w:val="0"/>
                <w:sz w:val="21"/>
                <w:szCs w:val="21"/>
              </w:rPr>
            </w:pPr>
            <w:r w:rsidRPr="00CF6F2B">
              <w:rPr>
                <w:rFonts w:eastAsia="Calibri" w:cs="Times New Roman"/>
                <w:color w:val="000000"/>
                <w:sz w:val="21"/>
                <w:szCs w:val="21"/>
              </w:rPr>
              <w:t>-4,2</w:t>
            </w:r>
          </w:p>
        </w:tc>
        <w:tc>
          <w:tcPr>
            <w:tcW w:w="871" w:type="dxa"/>
            <w:shd w:val="clear" w:color="auto" w:fill="auto"/>
            <w:vAlign w:val="bottom"/>
          </w:tcPr>
          <w:p w14:paraId="06421A82" w14:textId="77777777" w:rsidR="00A8405C" w:rsidRPr="00CF6F2B" w:rsidRDefault="00A8405C" w:rsidP="00A8405C">
            <w:pPr>
              <w:ind w:firstLine="0"/>
              <w:jc w:val="center"/>
              <w:rPr>
                <w:rFonts w:eastAsia="Times New Roman" w:cs="Times New Roman"/>
                <w:snapToGrid w:val="0"/>
                <w:sz w:val="21"/>
                <w:szCs w:val="21"/>
              </w:rPr>
            </w:pPr>
            <w:r w:rsidRPr="00CF6F2B">
              <w:rPr>
                <w:rFonts w:eastAsia="Calibri" w:cs="Times New Roman"/>
                <w:color w:val="000000"/>
                <w:sz w:val="21"/>
                <w:szCs w:val="21"/>
              </w:rPr>
              <w:t>-2,7</w:t>
            </w:r>
          </w:p>
        </w:tc>
        <w:tc>
          <w:tcPr>
            <w:tcW w:w="870" w:type="dxa"/>
            <w:shd w:val="clear" w:color="auto" w:fill="auto"/>
            <w:vAlign w:val="bottom"/>
          </w:tcPr>
          <w:p w14:paraId="30FFB2D6" w14:textId="77777777" w:rsidR="00A8405C" w:rsidRPr="00CF6F2B" w:rsidRDefault="00A8405C" w:rsidP="00A8405C">
            <w:pPr>
              <w:ind w:firstLine="0"/>
              <w:jc w:val="center"/>
              <w:rPr>
                <w:rFonts w:eastAsia="Times New Roman" w:cs="Times New Roman"/>
                <w:snapToGrid w:val="0"/>
                <w:sz w:val="21"/>
                <w:szCs w:val="21"/>
              </w:rPr>
            </w:pPr>
            <w:r w:rsidRPr="00CF6F2B">
              <w:rPr>
                <w:rFonts w:eastAsia="Calibri" w:cs="Times New Roman"/>
                <w:color w:val="000000"/>
                <w:sz w:val="21"/>
                <w:szCs w:val="21"/>
              </w:rPr>
              <w:t>-1,8</w:t>
            </w:r>
          </w:p>
        </w:tc>
        <w:tc>
          <w:tcPr>
            <w:tcW w:w="873" w:type="dxa"/>
            <w:shd w:val="clear" w:color="auto" w:fill="auto"/>
            <w:vAlign w:val="bottom"/>
          </w:tcPr>
          <w:p w14:paraId="5C7C8BC4" w14:textId="77777777" w:rsidR="00A8405C" w:rsidRPr="00CF6F2B" w:rsidRDefault="00A8405C" w:rsidP="00A8405C">
            <w:pPr>
              <w:ind w:firstLine="0"/>
              <w:jc w:val="center"/>
              <w:rPr>
                <w:rFonts w:eastAsia="Times New Roman" w:cs="Times New Roman"/>
                <w:snapToGrid w:val="0"/>
                <w:sz w:val="21"/>
                <w:szCs w:val="21"/>
              </w:rPr>
            </w:pPr>
            <w:r w:rsidRPr="00CF6F2B">
              <w:rPr>
                <w:rFonts w:eastAsia="Calibri" w:cs="Times New Roman"/>
                <w:color w:val="000000"/>
                <w:sz w:val="21"/>
                <w:szCs w:val="21"/>
              </w:rPr>
              <w:t>-0,5</w:t>
            </w:r>
          </w:p>
        </w:tc>
      </w:tr>
      <w:tr w:rsidR="00A8405C" w:rsidRPr="00CF6F2B" w14:paraId="2199E453" w14:textId="77777777" w:rsidTr="00A8405C">
        <w:trPr>
          <w:trHeight w:val="214"/>
          <w:jc w:val="center"/>
        </w:trPr>
        <w:tc>
          <w:tcPr>
            <w:tcW w:w="3625" w:type="dxa"/>
            <w:shd w:val="clear" w:color="auto" w:fill="DEEAF6"/>
          </w:tcPr>
          <w:p w14:paraId="0337D030" w14:textId="77777777" w:rsidR="00A8405C" w:rsidRPr="00CF6F2B" w:rsidRDefault="00A8405C" w:rsidP="00A8405C">
            <w:pPr>
              <w:ind w:firstLine="0"/>
              <w:jc w:val="right"/>
              <w:rPr>
                <w:rFonts w:eastAsia="Times New Roman" w:cs="Times New Roman"/>
                <w:snapToGrid w:val="0"/>
                <w:sz w:val="18"/>
                <w:szCs w:val="18"/>
              </w:rPr>
            </w:pPr>
            <w:r w:rsidRPr="00CF6F2B">
              <w:rPr>
                <w:rFonts w:eastAsia="Times New Roman" w:cs="Times New Roman"/>
                <w:snapToGrid w:val="0"/>
                <w:sz w:val="18"/>
                <w:szCs w:val="18"/>
              </w:rPr>
              <w:t>t.sk. komersanti</w:t>
            </w:r>
          </w:p>
        </w:tc>
        <w:tc>
          <w:tcPr>
            <w:tcW w:w="1015" w:type="dxa"/>
            <w:shd w:val="clear" w:color="auto" w:fill="DEEAF6"/>
          </w:tcPr>
          <w:p w14:paraId="0F3A84F4" w14:textId="77777777" w:rsidR="00A8405C" w:rsidRPr="00CF6F2B" w:rsidRDefault="00A8405C" w:rsidP="00A8405C">
            <w:pPr>
              <w:ind w:firstLine="0"/>
              <w:jc w:val="right"/>
              <w:rPr>
                <w:rFonts w:eastAsia="Times New Roman" w:cs="Times New Roman"/>
                <w:sz w:val="18"/>
                <w:szCs w:val="18"/>
              </w:rPr>
            </w:pPr>
          </w:p>
        </w:tc>
        <w:tc>
          <w:tcPr>
            <w:tcW w:w="871" w:type="dxa"/>
            <w:shd w:val="clear" w:color="auto" w:fill="DEEAF6"/>
            <w:vAlign w:val="bottom"/>
          </w:tcPr>
          <w:p w14:paraId="530B2B01" w14:textId="77777777" w:rsidR="00A8405C" w:rsidRPr="00CF6F2B" w:rsidRDefault="00A8405C" w:rsidP="00A8405C">
            <w:pPr>
              <w:ind w:firstLine="0"/>
              <w:jc w:val="right"/>
              <w:rPr>
                <w:rFonts w:eastAsia="Times New Roman" w:cs="Times New Roman"/>
                <w:color w:val="000000"/>
                <w:sz w:val="18"/>
                <w:szCs w:val="18"/>
              </w:rPr>
            </w:pPr>
            <w:r w:rsidRPr="00CF6F2B">
              <w:rPr>
                <w:rFonts w:eastAsia="Calibri" w:cs="Times New Roman"/>
                <w:color w:val="000000"/>
                <w:sz w:val="18"/>
                <w:szCs w:val="18"/>
              </w:rPr>
              <w:t>-0,1</w:t>
            </w:r>
          </w:p>
        </w:tc>
        <w:tc>
          <w:tcPr>
            <w:tcW w:w="870" w:type="dxa"/>
            <w:shd w:val="clear" w:color="auto" w:fill="DEEAF6"/>
            <w:vAlign w:val="bottom"/>
          </w:tcPr>
          <w:p w14:paraId="6E7DB634" w14:textId="77777777" w:rsidR="00A8405C" w:rsidRPr="00CF6F2B" w:rsidRDefault="00A8405C" w:rsidP="00A8405C">
            <w:pPr>
              <w:ind w:firstLine="0"/>
              <w:jc w:val="right"/>
              <w:rPr>
                <w:rFonts w:eastAsia="Times New Roman" w:cs="Times New Roman"/>
                <w:color w:val="000000"/>
                <w:sz w:val="18"/>
                <w:szCs w:val="18"/>
              </w:rPr>
            </w:pPr>
            <w:r w:rsidRPr="00CF6F2B">
              <w:rPr>
                <w:rFonts w:eastAsia="Calibri" w:cs="Times New Roman"/>
                <w:color w:val="000000"/>
                <w:sz w:val="18"/>
                <w:szCs w:val="18"/>
              </w:rPr>
              <w:t>-0,5</w:t>
            </w:r>
          </w:p>
        </w:tc>
        <w:tc>
          <w:tcPr>
            <w:tcW w:w="871" w:type="dxa"/>
            <w:shd w:val="clear" w:color="auto" w:fill="DEEAF6"/>
            <w:vAlign w:val="bottom"/>
          </w:tcPr>
          <w:p w14:paraId="67C3D7DB" w14:textId="77777777" w:rsidR="00A8405C" w:rsidRPr="00CF6F2B" w:rsidRDefault="00A8405C" w:rsidP="00A8405C">
            <w:pPr>
              <w:ind w:firstLine="0"/>
              <w:jc w:val="right"/>
              <w:rPr>
                <w:rFonts w:eastAsia="Times New Roman" w:cs="Times New Roman"/>
                <w:color w:val="000000"/>
                <w:sz w:val="18"/>
                <w:szCs w:val="18"/>
              </w:rPr>
            </w:pPr>
            <w:r w:rsidRPr="00CF6F2B">
              <w:rPr>
                <w:rFonts w:eastAsia="Calibri" w:cs="Times New Roman"/>
                <w:color w:val="000000"/>
                <w:sz w:val="18"/>
                <w:szCs w:val="18"/>
              </w:rPr>
              <w:t>-0,2</w:t>
            </w:r>
          </w:p>
        </w:tc>
        <w:tc>
          <w:tcPr>
            <w:tcW w:w="870" w:type="dxa"/>
            <w:shd w:val="clear" w:color="auto" w:fill="DEEAF6"/>
            <w:vAlign w:val="bottom"/>
          </w:tcPr>
          <w:p w14:paraId="5F3CED35" w14:textId="77777777" w:rsidR="00A8405C" w:rsidRPr="00CF6F2B" w:rsidRDefault="00A8405C" w:rsidP="00A8405C">
            <w:pPr>
              <w:ind w:firstLine="0"/>
              <w:jc w:val="right"/>
              <w:rPr>
                <w:rFonts w:eastAsia="Times New Roman" w:cs="Times New Roman"/>
                <w:color w:val="000000"/>
                <w:sz w:val="18"/>
                <w:szCs w:val="18"/>
              </w:rPr>
            </w:pPr>
            <w:r w:rsidRPr="00CF6F2B">
              <w:rPr>
                <w:rFonts w:eastAsia="Calibri" w:cs="Times New Roman"/>
                <w:color w:val="000000"/>
                <w:sz w:val="18"/>
                <w:szCs w:val="18"/>
              </w:rPr>
              <w:t>-0,1</w:t>
            </w:r>
          </w:p>
        </w:tc>
        <w:tc>
          <w:tcPr>
            <w:tcW w:w="873" w:type="dxa"/>
            <w:shd w:val="clear" w:color="auto" w:fill="DEEAF6"/>
            <w:vAlign w:val="bottom"/>
          </w:tcPr>
          <w:p w14:paraId="3F6505BC" w14:textId="77777777" w:rsidR="00A8405C" w:rsidRPr="00CF6F2B" w:rsidRDefault="00A8405C" w:rsidP="00A8405C">
            <w:pPr>
              <w:ind w:firstLine="0"/>
              <w:jc w:val="right"/>
              <w:rPr>
                <w:rFonts w:eastAsia="Times New Roman" w:cs="Times New Roman"/>
                <w:color w:val="000000"/>
                <w:sz w:val="18"/>
                <w:szCs w:val="18"/>
              </w:rPr>
            </w:pPr>
            <w:r w:rsidRPr="00CF6F2B">
              <w:rPr>
                <w:rFonts w:eastAsia="Calibri" w:cs="Times New Roman"/>
                <w:color w:val="000000"/>
                <w:sz w:val="18"/>
                <w:szCs w:val="18"/>
              </w:rPr>
              <w:t>-0,1</w:t>
            </w:r>
          </w:p>
        </w:tc>
      </w:tr>
      <w:tr w:rsidR="00A8405C" w:rsidRPr="00CF6F2B" w14:paraId="255995DB" w14:textId="77777777" w:rsidTr="003A7860">
        <w:trPr>
          <w:trHeight w:val="249"/>
          <w:jc w:val="center"/>
        </w:trPr>
        <w:tc>
          <w:tcPr>
            <w:tcW w:w="3625" w:type="dxa"/>
          </w:tcPr>
          <w:p w14:paraId="27D914A1" w14:textId="77777777" w:rsidR="00A8405C" w:rsidRPr="00CF6F2B" w:rsidRDefault="00A8405C" w:rsidP="00A8405C">
            <w:pPr>
              <w:ind w:firstLine="0"/>
              <w:rPr>
                <w:rFonts w:eastAsia="Times New Roman" w:cs="Times New Roman"/>
                <w:snapToGrid w:val="0"/>
                <w:sz w:val="21"/>
                <w:szCs w:val="21"/>
              </w:rPr>
            </w:pPr>
            <w:r w:rsidRPr="00CF6F2B">
              <w:rPr>
                <w:rFonts w:eastAsia="Times New Roman" w:cs="Times New Roman"/>
                <w:snapToGrid w:val="0"/>
                <w:sz w:val="21"/>
                <w:szCs w:val="21"/>
              </w:rPr>
              <w:t>Vietējā valdība</w:t>
            </w:r>
          </w:p>
        </w:tc>
        <w:tc>
          <w:tcPr>
            <w:tcW w:w="1015" w:type="dxa"/>
          </w:tcPr>
          <w:p w14:paraId="4DF91B1C" w14:textId="77777777" w:rsidR="00A8405C" w:rsidRPr="00CF6F2B" w:rsidRDefault="00A8405C" w:rsidP="00A8405C">
            <w:pPr>
              <w:ind w:firstLine="0"/>
              <w:jc w:val="center"/>
              <w:rPr>
                <w:rFonts w:eastAsia="Times New Roman" w:cs="Times New Roman"/>
                <w:sz w:val="21"/>
                <w:szCs w:val="21"/>
              </w:rPr>
            </w:pPr>
            <w:r w:rsidRPr="00CF6F2B">
              <w:rPr>
                <w:rFonts w:eastAsia="Times New Roman" w:cs="Times New Roman"/>
                <w:sz w:val="21"/>
                <w:szCs w:val="21"/>
              </w:rPr>
              <w:t>S.1313</w:t>
            </w:r>
          </w:p>
        </w:tc>
        <w:tc>
          <w:tcPr>
            <w:tcW w:w="871" w:type="dxa"/>
            <w:shd w:val="clear" w:color="auto" w:fill="auto"/>
            <w:vAlign w:val="bottom"/>
          </w:tcPr>
          <w:p w14:paraId="6891EAF8" w14:textId="77777777" w:rsidR="00A8405C" w:rsidRPr="00CF6F2B" w:rsidRDefault="00A8405C" w:rsidP="00A8405C">
            <w:pPr>
              <w:ind w:firstLine="0"/>
              <w:jc w:val="center"/>
              <w:rPr>
                <w:rFonts w:eastAsia="Times New Roman" w:cs="Times New Roman"/>
                <w:snapToGrid w:val="0"/>
                <w:sz w:val="21"/>
                <w:szCs w:val="21"/>
              </w:rPr>
            </w:pPr>
            <w:r w:rsidRPr="00CF6F2B">
              <w:rPr>
                <w:rFonts w:eastAsia="Calibri" w:cs="Times New Roman"/>
                <w:color w:val="000000"/>
                <w:sz w:val="21"/>
                <w:szCs w:val="21"/>
              </w:rPr>
              <w:t>0,1</w:t>
            </w:r>
          </w:p>
        </w:tc>
        <w:tc>
          <w:tcPr>
            <w:tcW w:w="870" w:type="dxa"/>
            <w:shd w:val="clear" w:color="auto" w:fill="auto"/>
            <w:vAlign w:val="bottom"/>
          </w:tcPr>
          <w:p w14:paraId="40F01837" w14:textId="77777777" w:rsidR="00A8405C" w:rsidRPr="00CF6F2B" w:rsidRDefault="00A8405C" w:rsidP="00A8405C">
            <w:pPr>
              <w:ind w:firstLine="0"/>
              <w:jc w:val="center"/>
              <w:rPr>
                <w:rFonts w:eastAsia="Times New Roman" w:cs="Times New Roman"/>
                <w:snapToGrid w:val="0"/>
                <w:sz w:val="21"/>
                <w:szCs w:val="21"/>
              </w:rPr>
            </w:pPr>
            <w:r w:rsidRPr="00CF6F2B">
              <w:rPr>
                <w:rFonts w:eastAsia="Calibri" w:cs="Times New Roman"/>
                <w:color w:val="000000"/>
                <w:sz w:val="21"/>
                <w:szCs w:val="21"/>
              </w:rPr>
              <w:t>-0,1</w:t>
            </w:r>
          </w:p>
        </w:tc>
        <w:tc>
          <w:tcPr>
            <w:tcW w:w="871" w:type="dxa"/>
            <w:shd w:val="clear" w:color="auto" w:fill="auto"/>
            <w:vAlign w:val="bottom"/>
          </w:tcPr>
          <w:p w14:paraId="55DDD3F1" w14:textId="77777777" w:rsidR="00A8405C" w:rsidRPr="00CF6F2B" w:rsidRDefault="00A8405C" w:rsidP="00A8405C">
            <w:pPr>
              <w:ind w:firstLine="0"/>
              <w:jc w:val="center"/>
              <w:rPr>
                <w:rFonts w:eastAsia="Times New Roman" w:cs="Times New Roman"/>
                <w:snapToGrid w:val="0"/>
                <w:sz w:val="21"/>
                <w:szCs w:val="21"/>
              </w:rPr>
            </w:pPr>
            <w:r w:rsidRPr="00CF6F2B">
              <w:rPr>
                <w:rFonts w:eastAsia="Calibri" w:cs="Times New Roman"/>
                <w:color w:val="000000"/>
                <w:sz w:val="21"/>
                <w:szCs w:val="21"/>
              </w:rPr>
              <w:t>0,0</w:t>
            </w:r>
          </w:p>
        </w:tc>
        <w:tc>
          <w:tcPr>
            <w:tcW w:w="870" w:type="dxa"/>
            <w:shd w:val="clear" w:color="auto" w:fill="auto"/>
            <w:vAlign w:val="bottom"/>
          </w:tcPr>
          <w:p w14:paraId="3A1895D9" w14:textId="77777777" w:rsidR="00A8405C" w:rsidRPr="00CF6F2B" w:rsidRDefault="00A8405C" w:rsidP="00A8405C">
            <w:pPr>
              <w:ind w:firstLine="0"/>
              <w:jc w:val="center"/>
              <w:rPr>
                <w:rFonts w:eastAsia="Times New Roman" w:cs="Times New Roman"/>
                <w:snapToGrid w:val="0"/>
                <w:sz w:val="21"/>
                <w:szCs w:val="21"/>
              </w:rPr>
            </w:pPr>
            <w:r w:rsidRPr="00CF6F2B">
              <w:rPr>
                <w:rFonts w:eastAsia="Calibri" w:cs="Times New Roman"/>
                <w:color w:val="000000"/>
                <w:sz w:val="21"/>
                <w:szCs w:val="21"/>
              </w:rPr>
              <w:t>0,0</w:t>
            </w:r>
          </w:p>
        </w:tc>
        <w:tc>
          <w:tcPr>
            <w:tcW w:w="873" w:type="dxa"/>
            <w:shd w:val="clear" w:color="auto" w:fill="auto"/>
            <w:vAlign w:val="bottom"/>
          </w:tcPr>
          <w:p w14:paraId="5C3982BE" w14:textId="77777777" w:rsidR="00A8405C" w:rsidRPr="00CF6F2B" w:rsidRDefault="00A8405C" w:rsidP="00A8405C">
            <w:pPr>
              <w:ind w:firstLine="0"/>
              <w:jc w:val="center"/>
              <w:rPr>
                <w:rFonts w:eastAsia="Times New Roman" w:cs="Times New Roman"/>
                <w:snapToGrid w:val="0"/>
                <w:sz w:val="21"/>
                <w:szCs w:val="21"/>
              </w:rPr>
            </w:pPr>
            <w:r w:rsidRPr="00CF6F2B">
              <w:rPr>
                <w:rFonts w:eastAsia="Calibri" w:cs="Times New Roman"/>
                <w:color w:val="000000"/>
                <w:sz w:val="21"/>
                <w:szCs w:val="21"/>
              </w:rPr>
              <w:t>0,1</w:t>
            </w:r>
          </w:p>
        </w:tc>
      </w:tr>
      <w:tr w:rsidR="00A8405C" w:rsidRPr="00CF6F2B" w14:paraId="6A038DCC" w14:textId="77777777" w:rsidTr="00A8405C">
        <w:trPr>
          <w:trHeight w:val="214"/>
          <w:jc w:val="center"/>
        </w:trPr>
        <w:tc>
          <w:tcPr>
            <w:tcW w:w="3625" w:type="dxa"/>
            <w:shd w:val="clear" w:color="auto" w:fill="DEEAF6"/>
          </w:tcPr>
          <w:p w14:paraId="78D6BC6F" w14:textId="77777777" w:rsidR="00A8405C" w:rsidRPr="00CF6F2B" w:rsidRDefault="00A8405C" w:rsidP="00A8405C">
            <w:pPr>
              <w:ind w:firstLine="0"/>
              <w:jc w:val="right"/>
              <w:rPr>
                <w:rFonts w:eastAsia="Times New Roman" w:cs="Times New Roman"/>
                <w:snapToGrid w:val="0"/>
                <w:sz w:val="18"/>
                <w:szCs w:val="18"/>
              </w:rPr>
            </w:pPr>
            <w:r w:rsidRPr="00CF6F2B">
              <w:rPr>
                <w:rFonts w:eastAsia="Times New Roman" w:cs="Times New Roman"/>
                <w:snapToGrid w:val="0"/>
                <w:sz w:val="18"/>
                <w:szCs w:val="18"/>
              </w:rPr>
              <w:t>t.sk. komersanti</w:t>
            </w:r>
          </w:p>
        </w:tc>
        <w:tc>
          <w:tcPr>
            <w:tcW w:w="1015" w:type="dxa"/>
            <w:shd w:val="clear" w:color="auto" w:fill="DEEAF6"/>
          </w:tcPr>
          <w:p w14:paraId="6107F245" w14:textId="77777777" w:rsidR="00A8405C" w:rsidRPr="00CF6F2B" w:rsidRDefault="00A8405C" w:rsidP="00A8405C">
            <w:pPr>
              <w:ind w:firstLine="0"/>
              <w:jc w:val="right"/>
              <w:rPr>
                <w:rFonts w:eastAsia="Times New Roman" w:cs="Times New Roman"/>
                <w:sz w:val="18"/>
                <w:szCs w:val="18"/>
              </w:rPr>
            </w:pPr>
          </w:p>
        </w:tc>
        <w:tc>
          <w:tcPr>
            <w:tcW w:w="871" w:type="dxa"/>
            <w:shd w:val="clear" w:color="auto" w:fill="DEEAF6"/>
            <w:vAlign w:val="bottom"/>
          </w:tcPr>
          <w:p w14:paraId="08E63C54" w14:textId="77777777" w:rsidR="00A8405C" w:rsidRPr="00CF6F2B" w:rsidRDefault="00A8405C" w:rsidP="00A8405C">
            <w:pPr>
              <w:ind w:firstLine="0"/>
              <w:jc w:val="right"/>
              <w:rPr>
                <w:rFonts w:eastAsia="Times New Roman" w:cs="Times New Roman"/>
                <w:color w:val="000000"/>
                <w:sz w:val="18"/>
                <w:szCs w:val="18"/>
              </w:rPr>
            </w:pPr>
            <w:r w:rsidRPr="00CF6F2B">
              <w:rPr>
                <w:rFonts w:eastAsia="Calibri" w:cs="Times New Roman"/>
                <w:color w:val="000000"/>
                <w:sz w:val="18"/>
                <w:szCs w:val="18"/>
              </w:rPr>
              <w:t>-0,1</w:t>
            </w:r>
          </w:p>
        </w:tc>
        <w:tc>
          <w:tcPr>
            <w:tcW w:w="870" w:type="dxa"/>
            <w:shd w:val="clear" w:color="auto" w:fill="DEEAF6"/>
            <w:vAlign w:val="bottom"/>
          </w:tcPr>
          <w:p w14:paraId="03A50E47" w14:textId="77777777" w:rsidR="00A8405C" w:rsidRPr="00CF6F2B" w:rsidRDefault="00A8405C" w:rsidP="00A8405C">
            <w:pPr>
              <w:ind w:firstLine="0"/>
              <w:jc w:val="right"/>
              <w:rPr>
                <w:rFonts w:eastAsia="Times New Roman" w:cs="Times New Roman"/>
                <w:color w:val="000000"/>
                <w:sz w:val="18"/>
                <w:szCs w:val="18"/>
              </w:rPr>
            </w:pPr>
            <w:r w:rsidRPr="00CF6F2B">
              <w:rPr>
                <w:rFonts w:eastAsia="Calibri" w:cs="Times New Roman"/>
                <w:color w:val="000000"/>
                <w:sz w:val="18"/>
                <w:szCs w:val="18"/>
              </w:rPr>
              <w:t>-0,1</w:t>
            </w:r>
          </w:p>
        </w:tc>
        <w:tc>
          <w:tcPr>
            <w:tcW w:w="871" w:type="dxa"/>
            <w:shd w:val="clear" w:color="auto" w:fill="DEEAF6"/>
            <w:vAlign w:val="bottom"/>
          </w:tcPr>
          <w:p w14:paraId="6E217043" w14:textId="77777777" w:rsidR="00A8405C" w:rsidRPr="00CF6F2B" w:rsidRDefault="00A8405C" w:rsidP="00A8405C">
            <w:pPr>
              <w:ind w:firstLine="0"/>
              <w:jc w:val="right"/>
              <w:rPr>
                <w:rFonts w:eastAsia="Times New Roman" w:cs="Times New Roman"/>
                <w:color w:val="000000"/>
                <w:sz w:val="18"/>
                <w:szCs w:val="18"/>
              </w:rPr>
            </w:pPr>
            <w:r w:rsidRPr="00CF6F2B">
              <w:rPr>
                <w:rFonts w:eastAsia="Calibri" w:cs="Times New Roman"/>
                <w:color w:val="000000"/>
                <w:sz w:val="18"/>
                <w:szCs w:val="18"/>
              </w:rPr>
              <w:t>0,0</w:t>
            </w:r>
          </w:p>
        </w:tc>
        <w:tc>
          <w:tcPr>
            <w:tcW w:w="870" w:type="dxa"/>
            <w:shd w:val="clear" w:color="auto" w:fill="DEEAF6"/>
            <w:vAlign w:val="bottom"/>
          </w:tcPr>
          <w:p w14:paraId="13DCBC91" w14:textId="77777777" w:rsidR="00A8405C" w:rsidRPr="00CF6F2B" w:rsidRDefault="00A8405C" w:rsidP="00A8405C">
            <w:pPr>
              <w:ind w:firstLine="0"/>
              <w:jc w:val="right"/>
              <w:rPr>
                <w:rFonts w:eastAsia="Times New Roman" w:cs="Times New Roman"/>
                <w:color w:val="000000"/>
                <w:sz w:val="18"/>
                <w:szCs w:val="18"/>
              </w:rPr>
            </w:pPr>
            <w:r w:rsidRPr="00CF6F2B">
              <w:rPr>
                <w:rFonts w:eastAsia="Calibri" w:cs="Times New Roman"/>
                <w:color w:val="000000"/>
                <w:sz w:val="18"/>
                <w:szCs w:val="18"/>
              </w:rPr>
              <w:t>0,0</w:t>
            </w:r>
          </w:p>
        </w:tc>
        <w:tc>
          <w:tcPr>
            <w:tcW w:w="873" w:type="dxa"/>
            <w:shd w:val="clear" w:color="auto" w:fill="DEEAF6"/>
            <w:vAlign w:val="bottom"/>
          </w:tcPr>
          <w:p w14:paraId="163AD4D4" w14:textId="77777777" w:rsidR="00A8405C" w:rsidRPr="00CF6F2B" w:rsidRDefault="00A8405C" w:rsidP="00A8405C">
            <w:pPr>
              <w:ind w:firstLine="0"/>
              <w:jc w:val="right"/>
              <w:rPr>
                <w:rFonts w:eastAsia="Times New Roman" w:cs="Times New Roman"/>
                <w:color w:val="000000"/>
                <w:sz w:val="18"/>
                <w:szCs w:val="18"/>
              </w:rPr>
            </w:pPr>
            <w:r w:rsidRPr="00CF6F2B">
              <w:rPr>
                <w:rFonts w:eastAsia="Calibri" w:cs="Times New Roman"/>
                <w:color w:val="000000"/>
                <w:sz w:val="18"/>
                <w:szCs w:val="18"/>
              </w:rPr>
              <w:t>0,0</w:t>
            </w:r>
          </w:p>
        </w:tc>
      </w:tr>
      <w:tr w:rsidR="00A8405C" w:rsidRPr="00CF6F2B" w14:paraId="1788A96A" w14:textId="77777777" w:rsidTr="003A7860">
        <w:trPr>
          <w:trHeight w:val="258"/>
          <w:jc w:val="center"/>
        </w:trPr>
        <w:tc>
          <w:tcPr>
            <w:tcW w:w="3625" w:type="dxa"/>
          </w:tcPr>
          <w:p w14:paraId="2563C193" w14:textId="77777777" w:rsidR="00A8405C" w:rsidRPr="00CF6F2B" w:rsidRDefault="00A8405C" w:rsidP="00A8405C">
            <w:pPr>
              <w:ind w:firstLine="0"/>
              <w:jc w:val="left"/>
              <w:rPr>
                <w:rFonts w:eastAsia="Times New Roman" w:cs="Times New Roman"/>
                <w:snapToGrid w:val="0"/>
                <w:sz w:val="21"/>
                <w:szCs w:val="21"/>
              </w:rPr>
            </w:pPr>
            <w:r w:rsidRPr="00CF6F2B">
              <w:rPr>
                <w:rFonts w:eastAsia="Times New Roman" w:cs="Times New Roman"/>
                <w:snapToGrid w:val="0"/>
                <w:sz w:val="21"/>
                <w:szCs w:val="21"/>
              </w:rPr>
              <w:t>Sociālās nodrošināšanas fondi</w:t>
            </w:r>
          </w:p>
        </w:tc>
        <w:tc>
          <w:tcPr>
            <w:tcW w:w="1015" w:type="dxa"/>
            <w:vAlign w:val="center"/>
          </w:tcPr>
          <w:p w14:paraId="7F05DE8B" w14:textId="77777777" w:rsidR="00A8405C" w:rsidRPr="00CF6F2B" w:rsidRDefault="00A8405C" w:rsidP="00A8405C">
            <w:pPr>
              <w:ind w:firstLine="0"/>
              <w:jc w:val="center"/>
              <w:rPr>
                <w:rFonts w:eastAsia="Times New Roman" w:cs="Times New Roman"/>
                <w:sz w:val="21"/>
                <w:szCs w:val="21"/>
              </w:rPr>
            </w:pPr>
            <w:r w:rsidRPr="00CF6F2B">
              <w:rPr>
                <w:rFonts w:eastAsia="Times New Roman" w:cs="Times New Roman"/>
                <w:sz w:val="21"/>
                <w:szCs w:val="21"/>
              </w:rPr>
              <w:t>S.1314</w:t>
            </w:r>
          </w:p>
        </w:tc>
        <w:tc>
          <w:tcPr>
            <w:tcW w:w="871" w:type="dxa"/>
            <w:shd w:val="clear" w:color="auto" w:fill="auto"/>
            <w:vAlign w:val="bottom"/>
          </w:tcPr>
          <w:p w14:paraId="1F3778E7" w14:textId="77777777" w:rsidR="00A8405C" w:rsidRPr="00CF6F2B" w:rsidRDefault="00A8405C" w:rsidP="00A8405C">
            <w:pPr>
              <w:ind w:firstLine="0"/>
              <w:jc w:val="center"/>
              <w:rPr>
                <w:rFonts w:eastAsia="Times New Roman" w:cs="Times New Roman"/>
                <w:snapToGrid w:val="0"/>
                <w:sz w:val="21"/>
                <w:szCs w:val="21"/>
              </w:rPr>
            </w:pPr>
            <w:r w:rsidRPr="00CF6F2B">
              <w:rPr>
                <w:rFonts w:eastAsia="Calibri" w:cs="Times New Roman"/>
                <w:color w:val="000000"/>
                <w:sz w:val="21"/>
                <w:szCs w:val="21"/>
              </w:rPr>
              <w:t>0,7</w:t>
            </w:r>
          </w:p>
        </w:tc>
        <w:tc>
          <w:tcPr>
            <w:tcW w:w="870" w:type="dxa"/>
            <w:shd w:val="clear" w:color="auto" w:fill="auto"/>
            <w:vAlign w:val="bottom"/>
          </w:tcPr>
          <w:p w14:paraId="2E25F9E1" w14:textId="77777777" w:rsidR="00A8405C" w:rsidRPr="00CF6F2B" w:rsidRDefault="00A8405C" w:rsidP="00A8405C">
            <w:pPr>
              <w:ind w:firstLine="0"/>
              <w:jc w:val="center"/>
              <w:rPr>
                <w:rFonts w:eastAsia="Times New Roman" w:cs="Times New Roman"/>
                <w:snapToGrid w:val="0"/>
                <w:sz w:val="21"/>
                <w:szCs w:val="21"/>
              </w:rPr>
            </w:pPr>
            <w:r w:rsidRPr="00CF6F2B">
              <w:rPr>
                <w:rFonts w:eastAsia="Calibri" w:cs="Times New Roman"/>
                <w:color w:val="000000"/>
                <w:sz w:val="21"/>
                <w:szCs w:val="21"/>
              </w:rPr>
              <w:t>0,3</w:t>
            </w:r>
          </w:p>
        </w:tc>
        <w:tc>
          <w:tcPr>
            <w:tcW w:w="871" w:type="dxa"/>
            <w:shd w:val="clear" w:color="auto" w:fill="auto"/>
            <w:vAlign w:val="bottom"/>
          </w:tcPr>
          <w:p w14:paraId="01EFFCEA" w14:textId="77777777" w:rsidR="00A8405C" w:rsidRPr="00CF6F2B" w:rsidRDefault="00A8405C" w:rsidP="00A8405C">
            <w:pPr>
              <w:ind w:firstLine="0"/>
              <w:jc w:val="center"/>
              <w:rPr>
                <w:rFonts w:eastAsia="Times New Roman" w:cs="Times New Roman"/>
                <w:snapToGrid w:val="0"/>
                <w:sz w:val="21"/>
                <w:szCs w:val="21"/>
              </w:rPr>
            </w:pPr>
            <w:r w:rsidRPr="00CF6F2B">
              <w:rPr>
                <w:rFonts w:eastAsia="Calibri" w:cs="Times New Roman"/>
                <w:color w:val="000000"/>
                <w:sz w:val="21"/>
                <w:szCs w:val="21"/>
              </w:rPr>
              <w:t>0,3</w:t>
            </w:r>
          </w:p>
        </w:tc>
        <w:tc>
          <w:tcPr>
            <w:tcW w:w="870" w:type="dxa"/>
            <w:shd w:val="clear" w:color="auto" w:fill="auto"/>
            <w:vAlign w:val="bottom"/>
          </w:tcPr>
          <w:p w14:paraId="6EC65E1E" w14:textId="77777777" w:rsidR="00A8405C" w:rsidRPr="00CF6F2B" w:rsidRDefault="00A8405C" w:rsidP="00A8405C">
            <w:pPr>
              <w:ind w:firstLine="0"/>
              <w:jc w:val="center"/>
              <w:rPr>
                <w:rFonts w:eastAsia="Times New Roman" w:cs="Times New Roman"/>
                <w:snapToGrid w:val="0"/>
                <w:sz w:val="21"/>
                <w:szCs w:val="21"/>
              </w:rPr>
            </w:pPr>
            <w:r w:rsidRPr="00CF6F2B">
              <w:rPr>
                <w:rFonts w:eastAsia="Calibri" w:cs="Times New Roman"/>
                <w:color w:val="000000"/>
                <w:sz w:val="21"/>
                <w:szCs w:val="21"/>
              </w:rPr>
              <w:t>0,1</w:t>
            </w:r>
          </w:p>
        </w:tc>
        <w:tc>
          <w:tcPr>
            <w:tcW w:w="873" w:type="dxa"/>
            <w:shd w:val="clear" w:color="auto" w:fill="auto"/>
            <w:vAlign w:val="bottom"/>
          </w:tcPr>
          <w:p w14:paraId="4B159F2F" w14:textId="77777777" w:rsidR="00A8405C" w:rsidRPr="00CF6F2B" w:rsidRDefault="00A8405C" w:rsidP="00A8405C">
            <w:pPr>
              <w:ind w:firstLine="0"/>
              <w:jc w:val="center"/>
              <w:rPr>
                <w:rFonts w:eastAsia="Times New Roman" w:cs="Times New Roman"/>
                <w:snapToGrid w:val="0"/>
                <w:sz w:val="21"/>
                <w:szCs w:val="21"/>
              </w:rPr>
            </w:pPr>
            <w:r w:rsidRPr="00CF6F2B">
              <w:rPr>
                <w:rFonts w:eastAsia="Calibri" w:cs="Times New Roman"/>
                <w:color w:val="000000"/>
                <w:sz w:val="21"/>
                <w:szCs w:val="21"/>
              </w:rPr>
              <w:t>-0,1</w:t>
            </w:r>
          </w:p>
        </w:tc>
      </w:tr>
      <w:tr w:rsidR="00A8405C" w:rsidRPr="00CF6F2B" w14:paraId="2B2E6B6A" w14:textId="77777777" w:rsidTr="00A8405C">
        <w:trPr>
          <w:trHeight w:val="249"/>
          <w:jc w:val="center"/>
        </w:trPr>
        <w:tc>
          <w:tcPr>
            <w:tcW w:w="8999" w:type="dxa"/>
            <w:gridSpan w:val="7"/>
            <w:shd w:val="clear" w:color="auto" w:fill="BDD6EE"/>
          </w:tcPr>
          <w:p w14:paraId="70D80B17" w14:textId="77777777" w:rsidR="00A8405C" w:rsidRPr="00CF6F2B" w:rsidRDefault="00A8405C" w:rsidP="00A8405C">
            <w:pPr>
              <w:ind w:firstLine="0"/>
              <w:jc w:val="center"/>
              <w:rPr>
                <w:rFonts w:eastAsia="Times New Roman" w:cs="Times New Roman"/>
                <w:b/>
                <w:sz w:val="21"/>
                <w:szCs w:val="21"/>
              </w:rPr>
            </w:pPr>
            <w:r w:rsidRPr="00CF6F2B">
              <w:rPr>
                <w:rFonts w:eastAsia="Times New Roman" w:cs="Times New Roman"/>
                <w:b/>
                <w:sz w:val="21"/>
                <w:szCs w:val="21"/>
              </w:rPr>
              <w:t>Vispārējā valdība (S.13)</w:t>
            </w:r>
          </w:p>
        </w:tc>
      </w:tr>
      <w:tr w:rsidR="00A8405C" w:rsidRPr="00CF6F2B" w14:paraId="0F15E8F0" w14:textId="77777777" w:rsidTr="003A7860">
        <w:trPr>
          <w:trHeight w:val="249"/>
          <w:jc w:val="center"/>
        </w:trPr>
        <w:tc>
          <w:tcPr>
            <w:tcW w:w="3625" w:type="dxa"/>
          </w:tcPr>
          <w:p w14:paraId="2EDB974D" w14:textId="77777777" w:rsidR="00A8405C" w:rsidRPr="00CF6F2B" w:rsidRDefault="00A8405C" w:rsidP="00A8405C">
            <w:pPr>
              <w:ind w:firstLine="0"/>
              <w:rPr>
                <w:rFonts w:eastAsia="Times New Roman" w:cs="Times New Roman"/>
                <w:snapToGrid w:val="0"/>
                <w:sz w:val="21"/>
                <w:szCs w:val="21"/>
              </w:rPr>
            </w:pPr>
            <w:r w:rsidRPr="00CF6F2B">
              <w:rPr>
                <w:rFonts w:eastAsia="Times New Roman" w:cs="Times New Roman"/>
                <w:snapToGrid w:val="0"/>
                <w:sz w:val="21"/>
                <w:szCs w:val="21"/>
              </w:rPr>
              <w:t xml:space="preserve">Kopējie ieņēmumi </w:t>
            </w:r>
          </w:p>
        </w:tc>
        <w:tc>
          <w:tcPr>
            <w:tcW w:w="1015" w:type="dxa"/>
            <w:shd w:val="clear" w:color="auto" w:fill="auto"/>
          </w:tcPr>
          <w:p w14:paraId="39483DFD" w14:textId="77777777" w:rsidR="00A8405C" w:rsidRPr="00CF6F2B" w:rsidRDefault="00A8405C" w:rsidP="00A8405C">
            <w:pPr>
              <w:ind w:firstLine="0"/>
              <w:jc w:val="center"/>
              <w:rPr>
                <w:rFonts w:eastAsia="Times New Roman" w:cs="Times New Roman"/>
                <w:sz w:val="21"/>
                <w:szCs w:val="21"/>
              </w:rPr>
            </w:pPr>
            <w:r w:rsidRPr="00CF6F2B">
              <w:rPr>
                <w:rFonts w:eastAsia="Times New Roman" w:cs="Times New Roman"/>
                <w:sz w:val="21"/>
                <w:szCs w:val="21"/>
              </w:rPr>
              <w:t>TR</w:t>
            </w:r>
          </w:p>
        </w:tc>
        <w:tc>
          <w:tcPr>
            <w:tcW w:w="871" w:type="dxa"/>
            <w:shd w:val="clear" w:color="auto" w:fill="auto"/>
            <w:vAlign w:val="bottom"/>
          </w:tcPr>
          <w:p w14:paraId="237EE4A9" w14:textId="77777777" w:rsidR="00A8405C" w:rsidRPr="00CF6F2B" w:rsidRDefault="00A8405C" w:rsidP="00A8405C">
            <w:pPr>
              <w:ind w:firstLine="0"/>
              <w:jc w:val="center"/>
              <w:rPr>
                <w:rFonts w:eastAsia="Times New Roman" w:cs="Times New Roman"/>
                <w:snapToGrid w:val="0"/>
                <w:sz w:val="21"/>
                <w:szCs w:val="21"/>
              </w:rPr>
            </w:pPr>
            <w:r w:rsidRPr="00CF6F2B">
              <w:rPr>
                <w:rFonts w:eastAsia="Calibri" w:cs="Times New Roman"/>
                <w:color w:val="000000"/>
                <w:sz w:val="21"/>
                <w:szCs w:val="21"/>
              </w:rPr>
              <w:t>36,1</w:t>
            </w:r>
          </w:p>
        </w:tc>
        <w:tc>
          <w:tcPr>
            <w:tcW w:w="870" w:type="dxa"/>
            <w:shd w:val="clear" w:color="auto" w:fill="auto"/>
            <w:vAlign w:val="bottom"/>
          </w:tcPr>
          <w:p w14:paraId="5616E163" w14:textId="77777777" w:rsidR="00A8405C" w:rsidRPr="00CF6F2B" w:rsidRDefault="00A8405C" w:rsidP="00A8405C">
            <w:pPr>
              <w:ind w:firstLine="0"/>
              <w:jc w:val="center"/>
              <w:rPr>
                <w:rFonts w:eastAsia="Times New Roman" w:cs="Times New Roman"/>
                <w:snapToGrid w:val="0"/>
                <w:sz w:val="21"/>
                <w:szCs w:val="21"/>
              </w:rPr>
            </w:pPr>
            <w:r w:rsidRPr="00CF6F2B">
              <w:rPr>
                <w:rFonts w:eastAsia="Calibri" w:cs="Times New Roman"/>
                <w:color w:val="000000"/>
                <w:sz w:val="21"/>
                <w:szCs w:val="21"/>
              </w:rPr>
              <w:t>36,0</w:t>
            </w:r>
          </w:p>
        </w:tc>
        <w:tc>
          <w:tcPr>
            <w:tcW w:w="871" w:type="dxa"/>
            <w:shd w:val="clear" w:color="auto" w:fill="auto"/>
            <w:vAlign w:val="bottom"/>
          </w:tcPr>
          <w:p w14:paraId="46D1836F" w14:textId="77777777" w:rsidR="00A8405C" w:rsidRPr="00CF6F2B" w:rsidRDefault="00A8405C" w:rsidP="00A8405C">
            <w:pPr>
              <w:ind w:firstLine="0"/>
              <w:jc w:val="center"/>
              <w:rPr>
                <w:rFonts w:eastAsia="Times New Roman" w:cs="Times New Roman"/>
                <w:snapToGrid w:val="0"/>
                <w:sz w:val="21"/>
                <w:szCs w:val="21"/>
              </w:rPr>
            </w:pPr>
            <w:r w:rsidRPr="00CF6F2B">
              <w:rPr>
                <w:rFonts w:eastAsia="Calibri" w:cs="Times New Roman"/>
                <w:color w:val="000000"/>
                <w:sz w:val="21"/>
                <w:szCs w:val="21"/>
              </w:rPr>
              <w:t>36,1</w:t>
            </w:r>
          </w:p>
        </w:tc>
        <w:tc>
          <w:tcPr>
            <w:tcW w:w="870" w:type="dxa"/>
            <w:shd w:val="clear" w:color="auto" w:fill="auto"/>
            <w:vAlign w:val="bottom"/>
          </w:tcPr>
          <w:p w14:paraId="6EAC0573" w14:textId="77777777" w:rsidR="00A8405C" w:rsidRPr="00CF6F2B" w:rsidRDefault="00A8405C" w:rsidP="00A8405C">
            <w:pPr>
              <w:ind w:firstLine="0"/>
              <w:jc w:val="center"/>
              <w:rPr>
                <w:rFonts w:eastAsia="Times New Roman" w:cs="Times New Roman"/>
                <w:snapToGrid w:val="0"/>
                <w:sz w:val="21"/>
                <w:szCs w:val="21"/>
              </w:rPr>
            </w:pPr>
            <w:r w:rsidRPr="00CF6F2B">
              <w:rPr>
                <w:rFonts w:eastAsia="Calibri" w:cs="Times New Roman"/>
                <w:color w:val="000000"/>
                <w:sz w:val="21"/>
                <w:szCs w:val="21"/>
              </w:rPr>
              <w:t>35,4</w:t>
            </w:r>
          </w:p>
        </w:tc>
        <w:tc>
          <w:tcPr>
            <w:tcW w:w="873" w:type="dxa"/>
            <w:shd w:val="clear" w:color="auto" w:fill="auto"/>
            <w:vAlign w:val="bottom"/>
          </w:tcPr>
          <w:p w14:paraId="5859FB98" w14:textId="77777777" w:rsidR="00A8405C" w:rsidRPr="00CF6F2B" w:rsidRDefault="00A8405C" w:rsidP="00A8405C">
            <w:pPr>
              <w:ind w:firstLine="0"/>
              <w:jc w:val="center"/>
              <w:rPr>
                <w:rFonts w:eastAsia="Times New Roman" w:cs="Times New Roman"/>
                <w:snapToGrid w:val="0"/>
                <w:sz w:val="21"/>
                <w:szCs w:val="21"/>
              </w:rPr>
            </w:pPr>
            <w:r w:rsidRPr="00CF6F2B">
              <w:rPr>
                <w:rFonts w:eastAsia="Calibri" w:cs="Times New Roman"/>
                <w:color w:val="000000"/>
                <w:sz w:val="21"/>
                <w:szCs w:val="21"/>
              </w:rPr>
              <w:t>34,9</w:t>
            </w:r>
          </w:p>
        </w:tc>
      </w:tr>
      <w:tr w:rsidR="00A8405C" w:rsidRPr="00CF6F2B" w14:paraId="11032A9C" w14:textId="77777777" w:rsidTr="00A8405C">
        <w:trPr>
          <w:trHeight w:val="163"/>
          <w:jc w:val="center"/>
        </w:trPr>
        <w:tc>
          <w:tcPr>
            <w:tcW w:w="3625" w:type="dxa"/>
            <w:shd w:val="clear" w:color="auto" w:fill="DEEAF6"/>
          </w:tcPr>
          <w:p w14:paraId="5695F62F" w14:textId="77777777" w:rsidR="00A8405C" w:rsidRPr="00CF6F2B" w:rsidRDefault="00A8405C" w:rsidP="00A8405C">
            <w:pPr>
              <w:ind w:firstLine="0"/>
              <w:rPr>
                <w:rFonts w:eastAsia="Times New Roman" w:cs="Times New Roman"/>
                <w:snapToGrid w:val="0"/>
                <w:sz w:val="21"/>
                <w:szCs w:val="21"/>
              </w:rPr>
            </w:pPr>
            <w:r w:rsidRPr="00CF6F2B">
              <w:rPr>
                <w:rFonts w:eastAsia="Times New Roman" w:cs="Times New Roman"/>
                <w:snapToGrid w:val="0"/>
                <w:sz w:val="21"/>
                <w:szCs w:val="21"/>
              </w:rPr>
              <w:t>Kopējie izdevumi</w:t>
            </w:r>
          </w:p>
        </w:tc>
        <w:tc>
          <w:tcPr>
            <w:tcW w:w="1015" w:type="dxa"/>
            <w:shd w:val="clear" w:color="auto" w:fill="DEEAF6"/>
          </w:tcPr>
          <w:p w14:paraId="52124F5A" w14:textId="77777777" w:rsidR="00A8405C" w:rsidRPr="00CF6F2B" w:rsidRDefault="00A8405C" w:rsidP="00A8405C">
            <w:pPr>
              <w:ind w:firstLine="0"/>
              <w:jc w:val="center"/>
              <w:rPr>
                <w:rFonts w:eastAsia="Times New Roman" w:cs="Times New Roman"/>
                <w:sz w:val="21"/>
                <w:szCs w:val="21"/>
              </w:rPr>
            </w:pPr>
            <w:r w:rsidRPr="00CF6F2B">
              <w:rPr>
                <w:rFonts w:eastAsia="Times New Roman" w:cs="Times New Roman"/>
                <w:sz w:val="21"/>
                <w:szCs w:val="21"/>
              </w:rPr>
              <w:t>TE</w:t>
            </w:r>
          </w:p>
        </w:tc>
        <w:tc>
          <w:tcPr>
            <w:tcW w:w="871" w:type="dxa"/>
            <w:shd w:val="clear" w:color="auto" w:fill="DEEAF6"/>
            <w:vAlign w:val="bottom"/>
          </w:tcPr>
          <w:p w14:paraId="237B0737" w14:textId="77777777" w:rsidR="00A8405C" w:rsidRPr="00CF6F2B" w:rsidRDefault="00A8405C" w:rsidP="00A8405C">
            <w:pPr>
              <w:ind w:firstLine="0"/>
              <w:jc w:val="center"/>
              <w:rPr>
                <w:rFonts w:eastAsia="Times New Roman" w:cs="Times New Roman"/>
                <w:snapToGrid w:val="0"/>
                <w:sz w:val="21"/>
                <w:szCs w:val="21"/>
              </w:rPr>
            </w:pPr>
            <w:r w:rsidRPr="00CF6F2B">
              <w:rPr>
                <w:rFonts w:eastAsia="Calibri" w:cs="Times New Roman"/>
                <w:color w:val="000000"/>
                <w:sz w:val="21"/>
                <w:szCs w:val="21"/>
              </w:rPr>
              <w:t>40,8</w:t>
            </w:r>
          </w:p>
        </w:tc>
        <w:tc>
          <w:tcPr>
            <w:tcW w:w="870" w:type="dxa"/>
            <w:shd w:val="clear" w:color="auto" w:fill="DEEAF6"/>
            <w:vAlign w:val="bottom"/>
          </w:tcPr>
          <w:p w14:paraId="41D08273" w14:textId="77777777" w:rsidR="00A8405C" w:rsidRPr="00CF6F2B" w:rsidRDefault="00A8405C" w:rsidP="00A8405C">
            <w:pPr>
              <w:ind w:firstLine="0"/>
              <w:jc w:val="center"/>
              <w:rPr>
                <w:rFonts w:eastAsia="Times New Roman" w:cs="Times New Roman"/>
                <w:snapToGrid w:val="0"/>
                <w:sz w:val="21"/>
                <w:szCs w:val="21"/>
              </w:rPr>
            </w:pPr>
            <w:r w:rsidRPr="00CF6F2B">
              <w:rPr>
                <w:rFonts w:eastAsia="Calibri" w:cs="Times New Roman"/>
                <w:color w:val="000000"/>
                <w:sz w:val="21"/>
                <w:szCs w:val="21"/>
              </w:rPr>
              <w:t>40,0</w:t>
            </w:r>
          </w:p>
        </w:tc>
        <w:tc>
          <w:tcPr>
            <w:tcW w:w="871" w:type="dxa"/>
            <w:shd w:val="clear" w:color="auto" w:fill="DEEAF6"/>
            <w:vAlign w:val="bottom"/>
          </w:tcPr>
          <w:p w14:paraId="77295BD4" w14:textId="77777777" w:rsidR="00A8405C" w:rsidRPr="00CF6F2B" w:rsidRDefault="00A8405C" w:rsidP="00A8405C">
            <w:pPr>
              <w:ind w:firstLine="0"/>
              <w:jc w:val="center"/>
              <w:rPr>
                <w:rFonts w:eastAsia="Times New Roman" w:cs="Times New Roman"/>
                <w:snapToGrid w:val="0"/>
                <w:sz w:val="21"/>
                <w:szCs w:val="21"/>
              </w:rPr>
            </w:pPr>
            <w:r w:rsidRPr="00CF6F2B">
              <w:rPr>
                <w:rFonts w:eastAsia="Calibri" w:cs="Times New Roman"/>
                <w:color w:val="000000"/>
                <w:sz w:val="21"/>
                <w:szCs w:val="21"/>
              </w:rPr>
              <w:t>38,5</w:t>
            </w:r>
          </w:p>
        </w:tc>
        <w:tc>
          <w:tcPr>
            <w:tcW w:w="870" w:type="dxa"/>
            <w:shd w:val="clear" w:color="auto" w:fill="DEEAF6"/>
            <w:vAlign w:val="bottom"/>
          </w:tcPr>
          <w:p w14:paraId="08B4BCFE" w14:textId="77777777" w:rsidR="00A8405C" w:rsidRPr="00CF6F2B" w:rsidRDefault="00A8405C" w:rsidP="00A8405C">
            <w:pPr>
              <w:ind w:firstLine="0"/>
              <w:jc w:val="center"/>
              <w:rPr>
                <w:rFonts w:eastAsia="Times New Roman" w:cs="Times New Roman"/>
                <w:snapToGrid w:val="0"/>
                <w:sz w:val="21"/>
                <w:szCs w:val="21"/>
              </w:rPr>
            </w:pPr>
            <w:r w:rsidRPr="00CF6F2B">
              <w:rPr>
                <w:rFonts w:eastAsia="Calibri" w:cs="Times New Roman"/>
                <w:color w:val="000000"/>
                <w:sz w:val="21"/>
                <w:szCs w:val="21"/>
              </w:rPr>
              <w:t>37,1</w:t>
            </w:r>
          </w:p>
        </w:tc>
        <w:tc>
          <w:tcPr>
            <w:tcW w:w="873" w:type="dxa"/>
            <w:shd w:val="clear" w:color="auto" w:fill="DEEAF6"/>
            <w:vAlign w:val="bottom"/>
          </w:tcPr>
          <w:p w14:paraId="18C3222F" w14:textId="77777777" w:rsidR="00A8405C" w:rsidRPr="00CF6F2B" w:rsidRDefault="00A8405C" w:rsidP="00A8405C">
            <w:pPr>
              <w:ind w:firstLine="0"/>
              <w:jc w:val="center"/>
              <w:rPr>
                <w:rFonts w:eastAsia="Times New Roman" w:cs="Times New Roman"/>
                <w:snapToGrid w:val="0"/>
                <w:sz w:val="21"/>
                <w:szCs w:val="21"/>
              </w:rPr>
            </w:pPr>
            <w:r w:rsidRPr="00CF6F2B">
              <w:rPr>
                <w:rFonts w:eastAsia="Calibri" w:cs="Times New Roman"/>
                <w:color w:val="000000"/>
                <w:sz w:val="21"/>
                <w:szCs w:val="21"/>
              </w:rPr>
              <w:t>35,4</w:t>
            </w:r>
          </w:p>
        </w:tc>
      </w:tr>
      <w:tr w:rsidR="00A8405C" w:rsidRPr="00CF6F2B" w14:paraId="492D8260" w14:textId="77777777" w:rsidTr="003A7860">
        <w:trPr>
          <w:trHeight w:val="71"/>
          <w:jc w:val="center"/>
        </w:trPr>
        <w:tc>
          <w:tcPr>
            <w:tcW w:w="3625" w:type="dxa"/>
          </w:tcPr>
          <w:p w14:paraId="41866BBA" w14:textId="77777777" w:rsidR="00A8405C" w:rsidRPr="00CF6F2B" w:rsidRDefault="00A8405C" w:rsidP="00A8405C">
            <w:pPr>
              <w:ind w:firstLine="0"/>
              <w:rPr>
                <w:rFonts w:eastAsia="Times New Roman" w:cs="Times New Roman"/>
                <w:snapToGrid w:val="0"/>
                <w:sz w:val="21"/>
                <w:szCs w:val="21"/>
              </w:rPr>
            </w:pPr>
            <w:r w:rsidRPr="00CF6F2B">
              <w:rPr>
                <w:rFonts w:eastAsia="Times New Roman" w:cs="Times New Roman"/>
                <w:snapToGrid w:val="0"/>
                <w:sz w:val="21"/>
                <w:szCs w:val="21"/>
              </w:rPr>
              <w:t>Procentu izdevumi</w:t>
            </w:r>
          </w:p>
        </w:tc>
        <w:tc>
          <w:tcPr>
            <w:tcW w:w="1015" w:type="dxa"/>
          </w:tcPr>
          <w:p w14:paraId="5CDF9C3B" w14:textId="77777777" w:rsidR="00A8405C" w:rsidRPr="00CF6F2B" w:rsidRDefault="00A8405C" w:rsidP="00A8405C">
            <w:pPr>
              <w:ind w:firstLine="0"/>
              <w:jc w:val="center"/>
              <w:rPr>
                <w:rFonts w:eastAsia="Times New Roman" w:cs="Times New Roman"/>
                <w:sz w:val="21"/>
                <w:szCs w:val="21"/>
              </w:rPr>
            </w:pPr>
            <w:r w:rsidRPr="00CF6F2B">
              <w:rPr>
                <w:rFonts w:eastAsia="Times New Roman" w:cs="Times New Roman"/>
                <w:sz w:val="21"/>
                <w:szCs w:val="21"/>
              </w:rPr>
              <w:t>D.41</w:t>
            </w:r>
          </w:p>
        </w:tc>
        <w:tc>
          <w:tcPr>
            <w:tcW w:w="871" w:type="dxa"/>
            <w:shd w:val="clear" w:color="auto" w:fill="auto"/>
            <w:vAlign w:val="bottom"/>
          </w:tcPr>
          <w:p w14:paraId="09795F39" w14:textId="77777777" w:rsidR="00A8405C" w:rsidRPr="00CF6F2B" w:rsidRDefault="00A8405C" w:rsidP="00A8405C">
            <w:pPr>
              <w:ind w:firstLine="0"/>
              <w:jc w:val="center"/>
              <w:rPr>
                <w:rFonts w:eastAsia="Times New Roman" w:cs="Times New Roman"/>
                <w:snapToGrid w:val="0"/>
                <w:sz w:val="21"/>
                <w:szCs w:val="21"/>
              </w:rPr>
            </w:pPr>
            <w:r w:rsidRPr="00CF6F2B">
              <w:rPr>
                <w:rFonts w:eastAsia="Calibri" w:cs="Times New Roman"/>
                <w:color w:val="000000"/>
                <w:sz w:val="21"/>
                <w:szCs w:val="21"/>
              </w:rPr>
              <w:t>0,5</w:t>
            </w:r>
          </w:p>
        </w:tc>
        <w:tc>
          <w:tcPr>
            <w:tcW w:w="870" w:type="dxa"/>
            <w:shd w:val="clear" w:color="auto" w:fill="auto"/>
            <w:vAlign w:val="bottom"/>
          </w:tcPr>
          <w:p w14:paraId="1046D4BE" w14:textId="77777777" w:rsidR="00A8405C" w:rsidRPr="00CF6F2B" w:rsidRDefault="00A8405C" w:rsidP="00A8405C">
            <w:pPr>
              <w:ind w:firstLine="0"/>
              <w:jc w:val="center"/>
              <w:rPr>
                <w:rFonts w:eastAsia="Times New Roman" w:cs="Times New Roman"/>
                <w:snapToGrid w:val="0"/>
                <w:sz w:val="21"/>
                <w:szCs w:val="21"/>
              </w:rPr>
            </w:pPr>
            <w:r w:rsidRPr="00CF6F2B">
              <w:rPr>
                <w:rFonts w:eastAsia="Calibri" w:cs="Times New Roman"/>
                <w:color w:val="000000"/>
                <w:sz w:val="21"/>
                <w:szCs w:val="21"/>
              </w:rPr>
              <w:t>0,6</w:t>
            </w:r>
          </w:p>
        </w:tc>
        <w:tc>
          <w:tcPr>
            <w:tcW w:w="871" w:type="dxa"/>
            <w:shd w:val="clear" w:color="auto" w:fill="auto"/>
            <w:vAlign w:val="bottom"/>
          </w:tcPr>
          <w:p w14:paraId="085C37FF" w14:textId="77777777" w:rsidR="00A8405C" w:rsidRPr="00CF6F2B" w:rsidRDefault="00A8405C" w:rsidP="00A8405C">
            <w:pPr>
              <w:ind w:firstLine="0"/>
              <w:jc w:val="center"/>
              <w:rPr>
                <w:rFonts w:eastAsia="Times New Roman" w:cs="Times New Roman"/>
                <w:snapToGrid w:val="0"/>
                <w:sz w:val="21"/>
                <w:szCs w:val="21"/>
              </w:rPr>
            </w:pPr>
            <w:r w:rsidRPr="00CF6F2B">
              <w:rPr>
                <w:rFonts w:eastAsia="Calibri" w:cs="Times New Roman"/>
                <w:color w:val="000000"/>
                <w:sz w:val="21"/>
                <w:szCs w:val="21"/>
              </w:rPr>
              <w:t>0,8</w:t>
            </w:r>
          </w:p>
        </w:tc>
        <w:tc>
          <w:tcPr>
            <w:tcW w:w="870" w:type="dxa"/>
            <w:shd w:val="clear" w:color="auto" w:fill="auto"/>
            <w:vAlign w:val="bottom"/>
          </w:tcPr>
          <w:p w14:paraId="54DCE33D" w14:textId="77777777" w:rsidR="00A8405C" w:rsidRPr="00CF6F2B" w:rsidRDefault="00A8405C" w:rsidP="00A8405C">
            <w:pPr>
              <w:ind w:firstLine="0"/>
              <w:jc w:val="center"/>
              <w:rPr>
                <w:rFonts w:eastAsia="Times New Roman" w:cs="Times New Roman"/>
                <w:snapToGrid w:val="0"/>
                <w:sz w:val="21"/>
                <w:szCs w:val="21"/>
              </w:rPr>
            </w:pPr>
            <w:r w:rsidRPr="00CF6F2B">
              <w:rPr>
                <w:rFonts w:eastAsia="Calibri" w:cs="Times New Roman"/>
                <w:color w:val="000000"/>
                <w:sz w:val="21"/>
                <w:szCs w:val="21"/>
              </w:rPr>
              <w:t>1,0</w:t>
            </w:r>
          </w:p>
        </w:tc>
        <w:tc>
          <w:tcPr>
            <w:tcW w:w="873" w:type="dxa"/>
            <w:shd w:val="clear" w:color="auto" w:fill="auto"/>
            <w:vAlign w:val="bottom"/>
          </w:tcPr>
          <w:p w14:paraId="39067E71" w14:textId="77777777" w:rsidR="00A8405C" w:rsidRPr="00CF6F2B" w:rsidRDefault="00A8405C" w:rsidP="00A8405C">
            <w:pPr>
              <w:ind w:firstLine="0"/>
              <w:jc w:val="center"/>
              <w:rPr>
                <w:rFonts w:eastAsia="Times New Roman" w:cs="Times New Roman"/>
                <w:snapToGrid w:val="0"/>
                <w:sz w:val="21"/>
                <w:szCs w:val="21"/>
              </w:rPr>
            </w:pPr>
            <w:r w:rsidRPr="00CF6F2B">
              <w:rPr>
                <w:rFonts w:eastAsia="Calibri" w:cs="Times New Roman"/>
                <w:color w:val="000000"/>
                <w:sz w:val="21"/>
                <w:szCs w:val="21"/>
              </w:rPr>
              <w:t>1,1</w:t>
            </w:r>
          </w:p>
        </w:tc>
      </w:tr>
      <w:tr w:rsidR="00A8405C" w:rsidRPr="00CF6F2B" w14:paraId="0D44FE27" w14:textId="77777777" w:rsidTr="00A8405C">
        <w:trPr>
          <w:trHeight w:val="249"/>
          <w:jc w:val="center"/>
        </w:trPr>
        <w:tc>
          <w:tcPr>
            <w:tcW w:w="8999" w:type="dxa"/>
            <w:gridSpan w:val="7"/>
            <w:shd w:val="clear" w:color="auto" w:fill="BDD6EE"/>
          </w:tcPr>
          <w:p w14:paraId="71EF8818" w14:textId="77777777" w:rsidR="00A8405C" w:rsidRPr="00CF6F2B" w:rsidRDefault="00A8405C" w:rsidP="00A8405C">
            <w:pPr>
              <w:ind w:firstLine="0"/>
              <w:jc w:val="center"/>
              <w:rPr>
                <w:rFonts w:eastAsia="Times New Roman" w:cs="Times New Roman"/>
                <w:b/>
                <w:sz w:val="21"/>
                <w:szCs w:val="21"/>
              </w:rPr>
            </w:pPr>
            <w:r w:rsidRPr="00CF6F2B">
              <w:rPr>
                <w:rFonts w:eastAsia="Times New Roman" w:cs="Times New Roman"/>
                <w:b/>
                <w:sz w:val="21"/>
                <w:szCs w:val="21"/>
              </w:rPr>
              <w:t>Cikliskā attīstība</w:t>
            </w:r>
          </w:p>
        </w:tc>
      </w:tr>
      <w:tr w:rsidR="00A8405C" w:rsidRPr="00CF6F2B" w14:paraId="643EE5EF" w14:textId="77777777" w:rsidTr="003A7860">
        <w:trPr>
          <w:trHeight w:val="249"/>
          <w:jc w:val="center"/>
        </w:trPr>
        <w:tc>
          <w:tcPr>
            <w:tcW w:w="3625" w:type="dxa"/>
            <w:shd w:val="clear" w:color="auto" w:fill="auto"/>
          </w:tcPr>
          <w:p w14:paraId="2AD6D458" w14:textId="77777777" w:rsidR="00A8405C" w:rsidRPr="00CF6F2B" w:rsidRDefault="00A8405C" w:rsidP="00A8405C">
            <w:pPr>
              <w:ind w:firstLine="0"/>
              <w:jc w:val="left"/>
              <w:rPr>
                <w:rFonts w:eastAsia="Times New Roman" w:cs="Times New Roman"/>
                <w:snapToGrid w:val="0"/>
                <w:sz w:val="21"/>
                <w:szCs w:val="21"/>
              </w:rPr>
            </w:pPr>
            <w:r w:rsidRPr="00CF6F2B">
              <w:rPr>
                <w:rFonts w:eastAsia="Times New Roman" w:cs="Times New Roman"/>
                <w:snapToGrid w:val="0"/>
                <w:sz w:val="21"/>
                <w:szCs w:val="21"/>
              </w:rPr>
              <w:t>Budžeta bilances cikliskā komponente</w:t>
            </w:r>
            <w:r w:rsidRPr="00CF6F2B">
              <w:rPr>
                <w:rFonts w:eastAsia="Times New Roman" w:cs="Times New Roman"/>
                <w:snapToGrid w:val="0"/>
                <w:sz w:val="21"/>
                <w:szCs w:val="21"/>
                <w:vertAlign w:val="superscript"/>
              </w:rPr>
              <w:footnoteReference w:id="12"/>
            </w:r>
          </w:p>
        </w:tc>
        <w:tc>
          <w:tcPr>
            <w:tcW w:w="1015" w:type="dxa"/>
            <w:shd w:val="clear" w:color="auto" w:fill="auto"/>
          </w:tcPr>
          <w:p w14:paraId="0E9CF3F6" w14:textId="77777777" w:rsidR="00A8405C" w:rsidRPr="00CF6F2B" w:rsidRDefault="00A8405C" w:rsidP="00A8405C">
            <w:pPr>
              <w:ind w:firstLine="0"/>
              <w:rPr>
                <w:rFonts w:eastAsia="Times New Roman" w:cs="Times New Roman"/>
                <w:sz w:val="21"/>
                <w:szCs w:val="21"/>
              </w:rPr>
            </w:pPr>
          </w:p>
        </w:tc>
        <w:tc>
          <w:tcPr>
            <w:tcW w:w="871" w:type="dxa"/>
            <w:shd w:val="clear" w:color="auto" w:fill="auto"/>
          </w:tcPr>
          <w:p w14:paraId="3647DC7D" w14:textId="77777777" w:rsidR="00A8405C" w:rsidRPr="00CF6F2B" w:rsidRDefault="00A8405C" w:rsidP="00A8405C">
            <w:pPr>
              <w:ind w:firstLine="0"/>
              <w:jc w:val="center"/>
              <w:rPr>
                <w:rFonts w:eastAsia="Times New Roman" w:cs="Times New Roman"/>
                <w:snapToGrid w:val="0"/>
                <w:sz w:val="21"/>
                <w:szCs w:val="21"/>
              </w:rPr>
            </w:pPr>
            <w:r w:rsidRPr="00CF6F2B">
              <w:rPr>
                <w:rFonts w:eastAsia="Calibri" w:cs="Times New Roman"/>
                <w:color w:val="000000"/>
                <w:sz w:val="21"/>
                <w:szCs w:val="21"/>
              </w:rPr>
              <w:t>0,2</w:t>
            </w:r>
          </w:p>
        </w:tc>
        <w:tc>
          <w:tcPr>
            <w:tcW w:w="870" w:type="dxa"/>
            <w:shd w:val="clear" w:color="auto" w:fill="auto"/>
          </w:tcPr>
          <w:p w14:paraId="7DE2831E" w14:textId="77777777" w:rsidR="00A8405C" w:rsidRPr="00CF6F2B" w:rsidRDefault="00A8405C" w:rsidP="00A8405C">
            <w:pPr>
              <w:ind w:firstLine="0"/>
              <w:jc w:val="center"/>
              <w:rPr>
                <w:rFonts w:eastAsia="Times New Roman" w:cs="Times New Roman"/>
                <w:snapToGrid w:val="0"/>
                <w:sz w:val="21"/>
                <w:szCs w:val="21"/>
              </w:rPr>
            </w:pPr>
            <w:r w:rsidRPr="00CF6F2B">
              <w:rPr>
                <w:rFonts w:eastAsia="Calibri" w:cs="Times New Roman"/>
                <w:color w:val="000000"/>
                <w:sz w:val="21"/>
                <w:szCs w:val="21"/>
              </w:rPr>
              <w:t>-0,5</w:t>
            </w:r>
          </w:p>
        </w:tc>
        <w:tc>
          <w:tcPr>
            <w:tcW w:w="871" w:type="dxa"/>
            <w:shd w:val="clear" w:color="auto" w:fill="auto"/>
          </w:tcPr>
          <w:p w14:paraId="75CD22B0" w14:textId="77777777" w:rsidR="00A8405C" w:rsidRPr="00CF6F2B" w:rsidRDefault="00A8405C" w:rsidP="00A8405C">
            <w:pPr>
              <w:ind w:firstLine="0"/>
              <w:jc w:val="center"/>
              <w:rPr>
                <w:rFonts w:eastAsia="Times New Roman" w:cs="Times New Roman"/>
                <w:snapToGrid w:val="0"/>
                <w:sz w:val="21"/>
                <w:szCs w:val="21"/>
              </w:rPr>
            </w:pPr>
            <w:r w:rsidRPr="00CF6F2B">
              <w:rPr>
                <w:rFonts w:eastAsia="Calibri" w:cs="Times New Roman"/>
                <w:color w:val="000000"/>
                <w:sz w:val="21"/>
                <w:szCs w:val="21"/>
              </w:rPr>
              <w:t>-0,5</w:t>
            </w:r>
          </w:p>
        </w:tc>
        <w:tc>
          <w:tcPr>
            <w:tcW w:w="870" w:type="dxa"/>
            <w:shd w:val="clear" w:color="auto" w:fill="auto"/>
          </w:tcPr>
          <w:p w14:paraId="59B89F77" w14:textId="77777777" w:rsidR="00A8405C" w:rsidRPr="00CF6F2B" w:rsidRDefault="00A8405C" w:rsidP="00A8405C">
            <w:pPr>
              <w:ind w:firstLine="0"/>
              <w:jc w:val="center"/>
              <w:rPr>
                <w:rFonts w:eastAsia="Times New Roman" w:cs="Times New Roman"/>
                <w:snapToGrid w:val="0"/>
                <w:sz w:val="21"/>
                <w:szCs w:val="21"/>
              </w:rPr>
            </w:pPr>
            <w:r w:rsidRPr="00CF6F2B">
              <w:rPr>
                <w:rFonts w:eastAsia="Calibri" w:cs="Times New Roman"/>
                <w:color w:val="000000"/>
                <w:sz w:val="21"/>
                <w:szCs w:val="21"/>
              </w:rPr>
              <w:t>-0,2</w:t>
            </w:r>
          </w:p>
        </w:tc>
        <w:tc>
          <w:tcPr>
            <w:tcW w:w="873" w:type="dxa"/>
            <w:shd w:val="clear" w:color="auto" w:fill="auto"/>
          </w:tcPr>
          <w:p w14:paraId="1ACA76DE" w14:textId="77777777" w:rsidR="00A8405C" w:rsidRPr="00CF6F2B" w:rsidRDefault="00A8405C" w:rsidP="00A8405C">
            <w:pPr>
              <w:ind w:firstLine="0"/>
              <w:jc w:val="center"/>
              <w:rPr>
                <w:rFonts w:eastAsia="Times New Roman" w:cs="Times New Roman"/>
                <w:snapToGrid w:val="0"/>
                <w:sz w:val="21"/>
                <w:szCs w:val="21"/>
              </w:rPr>
            </w:pPr>
            <w:r w:rsidRPr="00CF6F2B">
              <w:rPr>
                <w:rFonts w:eastAsia="Calibri" w:cs="Times New Roman"/>
                <w:color w:val="000000"/>
                <w:sz w:val="21"/>
                <w:szCs w:val="21"/>
              </w:rPr>
              <w:t>0,0</w:t>
            </w:r>
          </w:p>
        </w:tc>
      </w:tr>
      <w:tr w:rsidR="00A8405C" w:rsidRPr="00CF6F2B" w14:paraId="63EBD5E4" w14:textId="77777777" w:rsidTr="00A8405C">
        <w:trPr>
          <w:trHeight w:val="249"/>
          <w:jc w:val="center"/>
        </w:trPr>
        <w:tc>
          <w:tcPr>
            <w:tcW w:w="3625" w:type="dxa"/>
            <w:shd w:val="clear" w:color="auto" w:fill="DEEAF6"/>
          </w:tcPr>
          <w:p w14:paraId="5C07E002" w14:textId="77777777" w:rsidR="00A8405C" w:rsidRPr="00CF6F2B" w:rsidRDefault="00A8405C" w:rsidP="00A8405C">
            <w:pPr>
              <w:ind w:firstLine="0"/>
              <w:jc w:val="left"/>
              <w:rPr>
                <w:rFonts w:eastAsia="Times New Roman" w:cs="Times New Roman"/>
                <w:snapToGrid w:val="0"/>
                <w:sz w:val="21"/>
                <w:szCs w:val="21"/>
              </w:rPr>
            </w:pPr>
            <w:r w:rsidRPr="00CF6F2B">
              <w:rPr>
                <w:rFonts w:eastAsia="Times New Roman" w:cs="Times New Roman"/>
                <w:snapToGrid w:val="0"/>
                <w:sz w:val="21"/>
                <w:szCs w:val="21"/>
              </w:rPr>
              <w:t>Vienreizējie un citi īslaicīgi pasākumi</w:t>
            </w:r>
            <w:r w:rsidRPr="00CF6F2B">
              <w:rPr>
                <w:rFonts w:eastAsia="Times New Roman" w:cs="Times New Roman"/>
                <w:snapToGrid w:val="0"/>
                <w:sz w:val="21"/>
                <w:szCs w:val="21"/>
                <w:vertAlign w:val="superscript"/>
              </w:rPr>
              <w:footnoteReference w:id="13"/>
            </w:r>
          </w:p>
        </w:tc>
        <w:tc>
          <w:tcPr>
            <w:tcW w:w="1015" w:type="dxa"/>
            <w:shd w:val="clear" w:color="auto" w:fill="DEEAF6"/>
          </w:tcPr>
          <w:p w14:paraId="352992EE" w14:textId="77777777" w:rsidR="00A8405C" w:rsidRPr="00CF6F2B" w:rsidRDefault="00A8405C" w:rsidP="00A8405C">
            <w:pPr>
              <w:ind w:firstLine="0"/>
              <w:rPr>
                <w:rFonts w:eastAsia="Times New Roman" w:cs="Times New Roman"/>
                <w:sz w:val="21"/>
                <w:szCs w:val="21"/>
              </w:rPr>
            </w:pPr>
          </w:p>
        </w:tc>
        <w:tc>
          <w:tcPr>
            <w:tcW w:w="871" w:type="dxa"/>
            <w:shd w:val="clear" w:color="auto" w:fill="DEEAF6"/>
          </w:tcPr>
          <w:p w14:paraId="16F68503" w14:textId="77777777" w:rsidR="00A8405C" w:rsidRPr="00CF6F2B" w:rsidRDefault="00A8405C" w:rsidP="00A8405C">
            <w:pPr>
              <w:ind w:firstLine="0"/>
              <w:jc w:val="center"/>
              <w:rPr>
                <w:rFonts w:eastAsia="Times New Roman" w:cs="Times New Roman"/>
                <w:snapToGrid w:val="0"/>
                <w:sz w:val="21"/>
                <w:szCs w:val="21"/>
              </w:rPr>
            </w:pPr>
            <w:r w:rsidRPr="00CF6F2B">
              <w:rPr>
                <w:rFonts w:eastAsia="Calibri" w:cs="Times New Roman"/>
                <w:color w:val="000000"/>
                <w:sz w:val="21"/>
                <w:szCs w:val="21"/>
              </w:rPr>
              <w:t>-4,8</w:t>
            </w:r>
          </w:p>
        </w:tc>
        <w:tc>
          <w:tcPr>
            <w:tcW w:w="870" w:type="dxa"/>
            <w:shd w:val="clear" w:color="auto" w:fill="DEEAF6"/>
          </w:tcPr>
          <w:p w14:paraId="0A5981AF" w14:textId="77777777" w:rsidR="00A8405C" w:rsidRPr="00CF6F2B" w:rsidRDefault="00A8405C" w:rsidP="00A8405C">
            <w:pPr>
              <w:ind w:firstLine="0"/>
              <w:jc w:val="center"/>
              <w:rPr>
                <w:rFonts w:eastAsia="Times New Roman" w:cs="Times New Roman"/>
                <w:snapToGrid w:val="0"/>
                <w:sz w:val="21"/>
                <w:szCs w:val="21"/>
              </w:rPr>
            </w:pPr>
            <w:r w:rsidRPr="00CF6F2B">
              <w:rPr>
                <w:rFonts w:eastAsia="Calibri" w:cs="Times New Roman"/>
                <w:color w:val="000000"/>
                <w:sz w:val="21"/>
                <w:szCs w:val="21"/>
              </w:rPr>
              <w:t>-3,0</w:t>
            </w:r>
          </w:p>
        </w:tc>
        <w:tc>
          <w:tcPr>
            <w:tcW w:w="871" w:type="dxa"/>
            <w:shd w:val="clear" w:color="auto" w:fill="DEEAF6"/>
          </w:tcPr>
          <w:p w14:paraId="26D0D5E4" w14:textId="77777777" w:rsidR="00A8405C" w:rsidRPr="00CF6F2B" w:rsidRDefault="00A8405C" w:rsidP="00A8405C">
            <w:pPr>
              <w:ind w:firstLine="0"/>
              <w:jc w:val="center"/>
              <w:rPr>
                <w:rFonts w:eastAsia="Times New Roman" w:cs="Times New Roman"/>
                <w:snapToGrid w:val="0"/>
                <w:sz w:val="21"/>
                <w:szCs w:val="21"/>
              </w:rPr>
            </w:pPr>
            <w:r w:rsidRPr="00CF6F2B">
              <w:rPr>
                <w:rFonts w:eastAsia="Calibri" w:cs="Times New Roman"/>
                <w:color w:val="000000"/>
                <w:sz w:val="21"/>
                <w:szCs w:val="21"/>
              </w:rPr>
              <w:t>-1,5</w:t>
            </w:r>
          </w:p>
        </w:tc>
        <w:tc>
          <w:tcPr>
            <w:tcW w:w="870" w:type="dxa"/>
            <w:shd w:val="clear" w:color="auto" w:fill="DEEAF6"/>
          </w:tcPr>
          <w:p w14:paraId="34AA51F6" w14:textId="77777777" w:rsidR="00A8405C" w:rsidRPr="00CF6F2B" w:rsidRDefault="00A8405C" w:rsidP="00A8405C">
            <w:pPr>
              <w:ind w:firstLine="0"/>
              <w:jc w:val="center"/>
              <w:rPr>
                <w:rFonts w:eastAsia="Times New Roman" w:cs="Times New Roman"/>
                <w:snapToGrid w:val="0"/>
                <w:sz w:val="21"/>
                <w:szCs w:val="21"/>
              </w:rPr>
            </w:pPr>
            <w:r w:rsidRPr="00CF6F2B">
              <w:rPr>
                <w:rFonts w:eastAsia="Calibri" w:cs="Times New Roman"/>
                <w:color w:val="000000"/>
                <w:sz w:val="21"/>
                <w:szCs w:val="21"/>
              </w:rPr>
              <w:t>-1,5</w:t>
            </w:r>
          </w:p>
        </w:tc>
        <w:tc>
          <w:tcPr>
            <w:tcW w:w="873" w:type="dxa"/>
            <w:shd w:val="clear" w:color="auto" w:fill="DEEAF6"/>
          </w:tcPr>
          <w:p w14:paraId="051724CF" w14:textId="77777777" w:rsidR="00A8405C" w:rsidRPr="00CF6F2B" w:rsidRDefault="00A8405C" w:rsidP="00A8405C">
            <w:pPr>
              <w:ind w:firstLine="0"/>
              <w:jc w:val="center"/>
              <w:rPr>
                <w:rFonts w:eastAsia="Times New Roman" w:cs="Times New Roman"/>
                <w:snapToGrid w:val="0"/>
                <w:sz w:val="21"/>
                <w:szCs w:val="21"/>
              </w:rPr>
            </w:pPr>
            <w:r w:rsidRPr="00CF6F2B">
              <w:rPr>
                <w:rFonts w:eastAsia="Calibri" w:cs="Times New Roman"/>
                <w:color w:val="000000"/>
                <w:sz w:val="21"/>
                <w:szCs w:val="21"/>
              </w:rPr>
              <w:t>-0,7</w:t>
            </w:r>
          </w:p>
        </w:tc>
      </w:tr>
      <w:tr w:rsidR="00A8405C" w:rsidRPr="00CF6F2B" w14:paraId="1070B5BB" w14:textId="77777777" w:rsidTr="003A7860">
        <w:trPr>
          <w:trHeight w:val="249"/>
          <w:jc w:val="center"/>
        </w:trPr>
        <w:tc>
          <w:tcPr>
            <w:tcW w:w="3625" w:type="dxa"/>
            <w:shd w:val="clear" w:color="auto" w:fill="auto"/>
          </w:tcPr>
          <w:p w14:paraId="69796A9C" w14:textId="77777777" w:rsidR="00A8405C" w:rsidRPr="00CF6F2B" w:rsidRDefault="00A8405C" w:rsidP="00A8405C">
            <w:pPr>
              <w:ind w:firstLine="0"/>
              <w:jc w:val="left"/>
              <w:rPr>
                <w:rFonts w:eastAsia="Times New Roman" w:cs="Times New Roman"/>
                <w:snapToGrid w:val="0"/>
                <w:sz w:val="21"/>
                <w:szCs w:val="21"/>
              </w:rPr>
            </w:pPr>
            <w:r w:rsidRPr="00CF6F2B">
              <w:rPr>
                <w:rFonts w:eastAsia="Times New Roman" w:cs="Times New Roman"/>
                <w:snapToGrid w:val="0"/>
                <w:sz w:val="21"/>
                <w:szCs w:val="21"/>
              </w:rPr>
              <w:t>Cikliski koriģētā bilance</w:t>
            </w:r>
          </w:p>
        </w:tc>
        <w:tc>
          <w:tcPr>
            <w:tcW w:w="1015" w:type="dxa"/>
            <w:shd w:val="clear" w:color="auto" w:fill="auto"/>
          </w:tcPr>
          <w:p w14:paraId="71FBDA41" w14:textId="77777777" w:rsidR="00A8405C" w:rsidRPr="00CF6F2B" w:rsidRDefault="00A8405C" w:rsidP="00A8405C">
            <w:pPr>
              <w:ind w:firstLine="0"/>
              <w:rPr>
                <w:rFonts w:eastAsia="Times New Roman" w:cs="Times New Roman"/>
                <w:sz w:val="21"/>
                <w:szCs w:val="21"/>
              </w:rPr>
            </w:pPr>
          </w:p>
        </w:tc>
        <w:tc>
          <w:tcPr>
            <w:tcW w:w="871" w:type="dxa"/>
            <w:shd w:val="clear" w:color="auto" w:fill="auto"/>
            <w:vAlign w:val="bottom"/>
          </w:tcPr>
          <w:p w14:paraId="65F0EBEB" w14:textId="77777777" w:rsidR="00A8405C" w:rsidRPr="00CF6F2B" w:rsidRDefault="00A8405C" w:rsidP="00A8405C">
            <w:pPr>
              <w:ind w:firstLine="0"/>
              <w:jc w:val="center"/>
              <w:rPr>
                <w:rFonts w:eastAsia="Times New Roman" w:cs="Times New Roman"/>
                <w:snapToGrid w:val="0"/>
                <w:sz w:val="21"/>
                <w:szCs w:val="21"/>
              </w:rPr>
            </w:pPr>
            <w:r w:rsidRPr="00CF6F2B">
              <w:rPr>
                <w:rFonts w:eastAsia="Calibri" w:cs="Times New Roman"/>
                <w:sz w:val="21"/>
                <w:szCs w:val="21"/>
              </w:rPr>
              <w:t>-4,9</w:t>
            </w:r>
          </w:p>
        </w:tc>
        <w:tc>
          <w:tcPr>
            <w:tcW w:w="870" w:type="dxa"/>
            <w:shd w:val="clear" w:color="auto" w:fill="auto"/>
            <w:vAlign w:val="bottom"/>
          </w:tcPr>
          <w:p w14:paraId="66977D65" w14:textId="77777777" w:rsidR="00A8405C" w:rsidRPr="00CF6F2B" w:rsidRDefault="00A8405C" w:rsidP="00A8405C">
            <w:pPr>
              <w:ind w:firstLine="0"/>
              <w:jc w:val="center"/>
              <w:rPr>
                <w:rFonts w:eastAsia="Times New Roman" w:cs="Times New Roman"/>
                <w:snapToGrid w:val="0"/>
                <w:sz w:val="21"/>
                <w:szCs w:val="21"/>
              </w:rPr>
            </w:pPr>
            <w:r w:rsidRPr="00CF6F2B">
              <w:rPr>
                <w:rFonts w:eastAsia="Calibri" w:cs="Times New Roman"/>
                <w:sz w:val="21"/>
                <w:szCs w:val="21"/>
              </w:rPr>
              <w:t>-3,5</w:t>
            </w:r>
          </w:p>
        </w:tc>
        <w:tc>
          <w:tcPr>
            <w:tcW w:w="871" w:type="dxa"/>
            <w:shd w:val="clear" w:color="auto" w:fill="auto"/>
            <w:vAlign w:val="bottom"/>
          </w:tcPr>
          <w:p w14:paraId="5CB28287" w14:textId="77777777" w:rsidR="00A8405C" w:rsidRPr="00CF6F2B" w:rsidRDefault="00A8405C" w:rsidP="00A8405C">
            <w:pPr>
              <w:ind w:firstLine="0"/>
              <w:jc w:val="center"/>
              <w:rPr>
                <w:rFonts w:eastAsia="Times New Roman" w:cs="Times New Roman"/>
                <w:snapToGrid w:val="0"/>
                <w:sz w:val="21"/>
                <w:szCs w:val="21"/>
              </w:rPr>
            </w:pPr>
            <w:r w:rsidRPr="00CF6F2B">
              <w:rPr>
                <w:rFonts w:eastAsia="Calibri" w:cs="Times New Roman"/>
                <w:sz w:val="21"/>
                <w:szCs w:val="21"/>
              </w:rPr>
              <w:t>-1,9</w:t>
            </w:r>
          </w:p>
        </w:tc>
        <w:tc>
          <w:tcPr>
            <w:tcW w:w="870" w:type="dxa"/>
            <w:shd w:val="clear" w:color="auto" w:fill="auto"/>
            <w:vAlign w:val="bottom"/>
          </w:tcPr>
          <w:p w14:paraId="47465207" w14:textId="77777777" w:rsidR="00A8405C" w:rsidRPr="00CF6F2B" w:rsidRDefault="00A8405C" w:rsidP="00A8405C">
            <w:pPr>
              <w:ind w:firstLine="0"/>
              <w:jc w:val="center"/>
              <w:rPr>
                <w:rFonts w:eastAsia="Times New Roman" w:cs="Times New Roman"/>
                <w:snapToGrid w:val="0"/>
                <w:sz w:val="21"/>
                <w:szCs w:val="21"/>
              </w:rPr>
            </w:pPr>
            <w:r w:rsidRPr="00CF6F2B">
              <w:rPr>
                <w:rFonts w:eastAsia="Calibri" w:cs="Times New Roman"/>
                <w:sz w:val="21"/>
                <w:szCs w:val="21"/>
              </w:rPr>
              <w:t>-1,5</w:t>
            </w:r>
          </w:p>
        </w:tc>
        <w:tc>
          <w:tcPr>
            <w:tcW w:w="873" w:type="dxa"/>
            <w:shd w:val="clear" w:color="auto" w:fill="auto"/>
            <w:vAlign w:val="bottom"/>
          </w:tcPr>
          <w:p w14:paraId="6FC5C057" w14:textId="77777777" w:rsidR="00A8405C" w:rsidRPr="00CF6F2B" w:rsidRDefault="00A8405C" w:rsidP="00A8405C">
            <w:pPr>
              <w:ind w:firstLine="0"/>
              <w:jc w:val="center"/>
              <w:rPr>
                <w:rFonts w:eastAsia="Times New Roman" w:cs="Times New Roman"/>
                <w:snapToGrid w:val="0"/>
                <w:sz w:val="21"/>
                <w:szCs w:val="21"/>
              </w:rPr>
            </w:pPr>
            <w:r w:rsidRPr="00CF6F2B">
              <w:rPr>
                <w:rFonts w:eastAsia="Calibri" w:cs="Times New Roman"/>
                <w:sz w:val="21"/>
                <w:szCs w:val="21"/>
              </w:rPr>
              <w:t>-0,5</w:t>
            </w:r>
          </w:p>
        </w:tc>
      </w:tr>
      <w:tr w:rsidR="00A8405C" w:rsidRPr="00CF6F2B" w14:paraId="730672B6" w14:textId="77777777" w:rsidTr="00A8405C">
        <w:trPr>
          <w:trHeight w:val="163"/>
          <w:jc w:val="center"/>
        </w:trPr>
        <w:tc>
          <w:tcPr>
            <w:tcW w:w="3625" w:type="dxa"/>
            <w:shd w:val="clear" w:color="auto" w:fill="DEEAF6"/>
          </w:tcPr>
          <w:p w14:paraId="4EF87E9B" w14:textId="77777777" w:rsidR="00A8405C" w:rsidRPr="00CF6F2B" w:rsidRDefault="00A8405C" w:rsidP="00A8405C">
            <w:pPr>
              <w:ind w:firstLine="0"/>
              <w:jc w:val="left"/>
              <w:rPr>
                <w:rFonts w:eastAsia="Times New Roman" w:cs="Times New Roman"/>
                <w:snapToGrid w:val="0"/>
                <w:sz w:val="21"/>
                <w:szCs w:val="21"/>
              </w:rPr>
            </w:pPr>
            <w:r w:rsidRPr="00CF6F2B">
              <w:rPr>
                <w:rFonts w:eastAsia="Times New Roman" w:cs="Times New Roman"/>
                <w:snapToGrid w:val="0"/>
                <w:sz w:val="21"/>
                <w:szCs w:val="21"/>
              </w:rPr>
              <w:t>Cikliski koriģētā primārā bilance</w:t>
            </w:r>
          </w:p>
        </w:tc>
        <w:tc>
          <w:tcPr>
            <w:tcW w:w="1015" w:type="dxa"/>
            <w:shd w:val="clear" w:color="auto" w:fill="DEEAF6"/>
          </w:tcPr>
          <w:p w14:paraId="2E1DD893" w14:textId="77777777" w:rsidR="00A8405C" w:rsidRPr="00CF6F2B" w:rsidRDefault="00A8405C" w:rsidP="00A8405C">
            <w:pPr>
              <w:ind w:firstLine="0"/>
              <w:rPr>
                <w:rFonts w:eastAsia="Times New Roman" w:cs="Times New Roman"/>
                <w:sz w:val="21"/>
                <w:szCs w:val="21"/>
              </w:rPr>
            </w:pPr>
          </w:p>
        </w:tc>
        <w:tc>
          <w:tcPr>
            <w:tcW w:w="871" w:type="dxa"/>
            <w:shd w:val="clear" w:color="auto" w:fill="DEEAF6"/>
            <w:vAlign w:val="bottom"/>
          </w:tcPr>
          <w:p w14:paraId="4A0A5831" w14:textId="77777777" w:rsidR="00A8405C" w:rsidRPr="00CF6F2B" w:rsidRDefault="00A8405C" w:rsidP="00A8405C">
            <w:pPr>
              <w:ind w:firstLine="0"/>
              <w:jc w:val="center"/>
              <w:rPr>
                <w:rFonts w:eastAsia="Times New Roman" w:cs="Times New Roman"/>
                <w:snapToGrid w:val="0"/>
                <w:sz w:val="21"/>
                <w:szCs w:val="21"/>
              </w:rPr>
            </w:pPr>
            <w:r w:rsidRPr="00CF6F2B">
              <w:rPr>
                <w:rFonts w:eastAsia="Calibri" w:cs="Times New Roman"/>
                <w:sz w:val="21"/>
                <w:szCs w:val="21"/>
              </w:rPr>
              <w:t>-4,4</w:t>
            </w:r>
          </w:p>
        </w:tc>
        <w:tc>
          <w:tcPr>
            <w:tcW w:w="870" w:type="dxa"/>
            <w:shd w:val="clear" w:color="auto" w:fill="DEEAF6"/>
            <w:vAlign w:val="bottom"/>
          </w:tcPr>
          <w:p w14:paraId="09E63302" w14:textId="77777777" w:rsidR="00A8405C" w:rsidRPr="00CF6F2B" w:rsidRDefault="00A8405C" w:rsidP="00A8405C">
            <w:pPr>
              <w:ind w:firstLine="0"/>
              <w:jc w:val="center"/>
              <w:rPr>
                <w:rFonts w:eastAsia="Times New Roman" w:cs="Times New Roman"/>
                <w:snapToGrid w:val="0"/>
                <w:sz w:val="21"/>
                <w:szCs w:val="21"/>
              </w:rPr>
            </w:pPr>
            <w:r w:rsidRPr="00CF6F2B">
              <w:rPr>
                <w:rFonts w:eastAsia="Calibri" w:cs="Times New Roman"/>
                <w:sz w:val="21"/>
                <w:szCs w:val="21"/>
              </w:rPr>
              <w:t>-2,9</w:t>
            </w:r>
          </w:p>
        </w:tc>
        <w:tc>
          <w:tcPr>
            <w:tcW w:w="871" w:type="dxa"/>
            <w:shd w:val="clear" w:color="auto" w:fill="DEEAF6"/>
            <w:vAlign w:val="bottom"/>
          </w:tcPr>
          <w:p w14:paraId="5F3F9A15" w14:textId="77777777" w:rsidR="00A8405C" w:rsidRPr="00CF6F2B" w:rsidRDefault="00A8405C" w:rsidP="00A8405C">
            <w:pPr>
              <w:ind w:firstLine="0"/>
              <w:jc w:val="center"/>
              <w:rPr>
                <w:rFonts w:eastAsia="Times New Roman" w:cs="Times New Roman"/>
                <w:snapToGrid w:val="0"/>
                <w:sz w:val="21"/>
                <w:szCs w:val="21"/>
              </w:rPr>
            </w:pPr>
            <w:r w:rsidRPr="00CF6F2B">
              <w:rPr>
                <w:rFonts w:eastAsia="Calibri" w:cs="Times New Roman"/>
                <w:sz w:val="21"/>
                <w:szCs w:val="21"/>
              </w:rPr>
              <w:t>-1,0</w:t>
            </w:r>
          </w:p>
        </w:tc>
        <w:tc>
          <w:tcPr>
            <w:tcW w:w="870" w:type="dxa"/>
            <w:shd w:val="clear" w:color="auto" w:fill="DEEAF6"/>
            <w:vAlign w:val="bottom"/>
          </w:tcPr>
          <w:p w14:paraId="260706F9" w14:textId="77777777" w:rsidR="00A8405C" w:rsidRPr="00CF6F2B" w:rsidRDefault="00A8405C" w:rsidP="00A8405C">
            <w:pPr>
              <w:ind w:firstLine="0"/>
              <w:jc w:val="center"/>
              <w:rPr>
                <w:rFonts w:eastAsia="Times New Roman" w:cs="Times New Roman"/>
                <w:snapToGrid w:val="0"/>
                <w:sz w:val="21"/>
                <w:szCs w:val="21"/>
              </w:rPr>
            </w:pPr>
            <w:r w:rsidRPr="00CF6F2B">
              <w:rPr>
                <w:rFonts w:eastAsia="Calibri" w:cs="Times New Roman"/>
                <w:sz w:val="21"/>
                <w:szCs w:val="21"/>
              </w:rPr>
              <w:t>-0,5</w:t>
            </w:r>
          </w:p>
        </w:tc>
        <w:tc>
          <w:tcPr>
            <w:tcW w:w="873" w:type="dxa"/>
            <w:shd w:val="clear" w:color="auto" w:fill="DEEAF6"/>
            <w:vAlign w:val="bottom"/>
          </w:tcPr>
          <w:p w14:paraId="76A35525" w14:textId="77777777" w:rsidR="00A8405C" w:rsidRPr="00CF6F2B" w:rsidRDefault="00A8405C" w:rsidP="00A8405C">
            <w:pPr>
              <w:ind w:firstLine="0"/>
              <w:jc w:val="center"/>
              <w:rPr>
                <w:rFonts w:eastAsia="Times New Roman" w:cs="Times New Roman"/>
                <w:snapToGrid w:val="0"/>
                <w:sz w:val="21"/>
                <w:szCs w:val="21"/>
              </w:rPr>
            </w:pPr>
            <w:r w:rsidRPr="00CF6F2B">
              <w:rPr>
                <w:rFonts w:eastAsia="Calibri" w:cs="Times New Roman"/>
                <w:sz w:val="21"/>
                <w:szCs w:val="21"/>
              </w:rPr>
              <w:t>0,6</w:t>
            </w:r>
          </w:p>
        </w:tc>
      </w:tr>
      <w:tr w:rsidR="00A8405C" w:rsidRPr="00CF6F2B" w14:paraId="24E3162D" w14:textId="77777777" w:rsidTr="003A7860">
        <w:trPr>
          <w:trHeight w:val="190"/>
          <w:jc w:val="center"/>
        </w:trPr>
        <w:tc>
          <w:tcPr>
            <w:tcW w:w="3625" w:type="dxa"/>
            <w:shd w:val="clear" w:color="auto" w:fill="auto"/>
          </w:tcPr>
          <w:p w14:paraId="596B9D23" w14:textId="77777777" w:rsidR="00A8405C" w:rsidRPr="00CF6F2B" w:rsidRDefault="00A8405C" w:rsidP="00A8405C">
            <w:pPr>
              <w:ind w:firstLine="0"/>
              <w:rPr>
                <w:rFonts w:eastAsia="Times New Roman" w:cs="Times New Roman"/>
                <w:snapToGrid w:val="0"/>
                <w:sz w:val="21"/>
                <w:szCs w:val="21"/>
              </w:rPr>
            </w:pPr>
            <w:r w:rsidRPr="00CF6F2B">
              <w:rPr>
                <w:rFonts w:eastAsia="Times New Roman" w:cs="Times New Roman"/>
                <w:snapToGrid w:val="0"/>
                <w:sz w:val="21"/>
                <w:szCs w:val="21"/>
              </w:rPr>
              <w:t>Strukturālā bilance</w:t>
            </w:r>
          </w:p>
        </w:tc>
        <w:tc>
          <w:tcPr>
            <w:tcW w:w="1015" w:type="dxa"/>
            <w:shd w:val="clear" w:color="auto" w:fill="auto"/>
          </w:tcPr>
          <w:p w14:paraId="10782CA5" w14:textId="77777777" w:rsidR="00A8405C" w:rsidRPr="00CF6F2B" w:rsidRDefault="00A8405C" w:rsidP="00A8405C">
            <w:pPr>
              <w:ind w:firstLine="0"/>
              <w:rPr>
                <w:rFonts w:eastAsia="Times New Roman" w:cs="Times New Roman"/>
                <w:sz w:val="21"/>
                <w:szCs w:val="21"/>
              </w:rPr>
            </w:pPr>
          </w:p>
        </w:tc>
        <w:tc>
          <w:tcPr>
            <w:tcW w:w="871" w:type="dxa"/>
            <w:shd w:val="clear" w:color="auto" w:fill="auto"/>
            <w:vAlign w:val="bottom"/>
          </w:tcPr>
          <w:p w14:paraId="6D55831D" w14:textId="77777777" w:rsidR="00A8405C" w:rsidRPr="00CF6F2B" w:rsidRDefault="00A8405C" w:rsidP="00A8405C">
            <w:pPr>
              <w:ind w:firstLine="0"/>
              <w:jc w:val="center"/>
              <w:rPr>
                <w:rFonts w:eastAsia="Times New Roman" w:cs="Times New Roman"/>
                <w:snapToGrid w:val="0"/>
                <w:sz w:val="21"/>
                <w:szCs w:val="21"/>
              </w:rPr>
            </w:pPr>
            <w:r w:rsidRPr="00CF6F2B">
              <w:rPr>
                <w:rFonts w:eastAsia="Calibri" w:cs="Times New Roman"/>
                <w:sz w:val="21"/>
                <w:szCs w:val="21"/>
              </w:rPr>
              <w:t>-0,1</w:t>
            </w:r>
          </w:p>
        </w:tc>
        <w:tc>
          <w:tcPr>
            <w:tcW w:w="870" w:type="dxa"/>
            <w:shd w:val="clear" w:color="auto" w:fill="auto"/>
            <w:vAlign w:val="bottom"/>
          </w:tcPr>
          <w:p w14:paraId="0493F330" w14:textId="77777777" w:rsidR="00A8405C" w:rsidRPr="00CF6F2B" w:rsidRDefault="00A8405C" w:rsidP="00A8405C">
            <w:pPr>
              <w:ind w:firstLine="0"/>
              <w:jc w:val="center"/>
              <w:rPr>
                <w:rFonts w:eastAsia="Times New Roman" w:cs="Times New Roman"/>
                <w:snapToGrid w:val="0"/>
                <w:sz w:val="21"/>
                <w:szCs w:val="21"/>
              </w:rPr>
            </w:pPr>
            <w:r w:rsidRPr="00CF6F2B">
              <w:rPr>
                <w:rFonts w:eastAsia="Calibri" w:cs="Times New Roman"/>
                <w:sz w:val="21"/>
                <w:szCs w:val="21"/>
              </w:rPr>
              <w:t>-0,5</w:t>
            </w:r>
          </w:p>
        </w:tc>
        <w:tc>
          <w:tcPr>
            <w:tcW w:w="871" w:type="dxa"/>
            <w:shd w:val="clear" w:color="auto" w:fill="auto"/>
            <w:vAlign w:val="bottom"/>
          </w:tcPr>
          <w:p w14:paraId="3AE53175" w14:textId="77777777" w:rsidR="00A8405C" w:rsidRPr="00CF6F2B" w:rsidRDefault="00A8405C" w:rsidP="00A8405C">
            <w:pPr>
              <w:ind w:firstLine="0"/>
              <w:jc w:val="center"/>
              <w:rPr>
                <w:rFonts w:eastAsia="Times New Roman" w:cs="Times New Roman"/>
                <w:snapToGrid w:val="0"/>
                <w:sz w:val="21"/>
                <w:szCs w:val="21"/>
              </w:rPr>
            </w:pPr>
            <w:r w:rsidRPr="00CF6F2B">
              <w:rPr>
                <w:rFonts w:eastAsia="Calibri" w:cs="Times New Roman"/>
                <w:sz w:val="21"/>
                <w:szCs w:val="21"/>
              </w:rPr>
              <w:t>-0,4</w:t>
            </w:r>
          </w:p>
        </w:tc>
        <w:tc>
          <w:tcPr>
            <w:tcW w:w="870" w:type="dxa"/>
            <w:shd w:val="clear" w:color="auto" w:fill="auto"/>
            <w:vAlign w:val="bottom"/>
          </w:tcPr>
          <w:p w14:paraId="05A7381D" w14:textId="77777777" w:rsidR="00A8405C" w:rsidRPr="00CF6F2B" w:rsidRDefault="00A8405C" w:rsidP="00A8405C">
            <w:pPr>
              <w:ind w:firstLine="0"/>
              <w:jc w:val="center"/>
              <w:rPr>
                <w:rFonts w:eastAsia="Times New Roman" w:cs="Times New Roman"/>
                <w:snapToGrid w:val="0"/>
                <w:sz w:val="21"/>
                <w:szCs w:val="21"/>
              </w:rPr>
            </w:pPr>
            <w:r w:rsidRPr="00CF6F2B">
              <w:rPr>
                <w:rFonts w:eastAsia="Calibri" w:cs="Times New Roman"/>
                <w:sz w:val="21"/>
                <w:szCs w:val="21"/>
              </w:rPr>
              <w:t>0,0</w:t>
            </w:r>
          </w:p>
        </w:tc>
        <w:tc>
          <w:tcPr>
            <w:tcW w:w="873" w:type="dxa"/>
            <w:shd w:val="clear" w:color="auto" w:fill="auto"/>
            <w:vAlign w:val="bottom"/>
          </w:tcPr>
          <w:p w14:paraId="7B206582" w14:textId="77777777" w:rsidR="00A8405C" w:rsidRPr="00CF6F2B" w:rsidRDefault="00A8405C" w:rsidP="00A8405C">
            <w:pPr>
              <w:ind w:firstLine="0"/>
              <w:jc w:val="center"/>
              <w:rPr>
                <w:rFonts w:eastAsia="Times New Roman" w:cs="Times New Roman"/>
                <w:snapToGrid w:val="0"/>
                <w:sz w:val="21"/>
                <w:szCs w:val="21"/>
              </w:rPr>
            </w:pPr>
            <w:r w:rsidRPr="00CF6F2B">
              <w:rPr>
                <w:rFonts w:eastAsia="Calibri" w:cs="Times New Roman"/>
                <w:sz w:val="21"/>
                <w:szCs w:val="21"/>
              </w:rPr>
              <w:t>0,2</w:t>
            </w:r>
          </w:p>
        </w:tc>
      </w:tr>
    </w:tbl>
    <w:p w14:paraId="38EF2DC7" w14:textId="77777777" w:rsidR="00C86FB7" w:rsidRPr="00CF6F2B" w:rsidRDefault="00C86FB7" w:rsidP="00C86FB7">
      <w:pPr>
        <w:spacing w:line="259" w:lineRule="auto"/>
        <w:ind w:firstLine="425"/>
        <w:rPr>
          <w:rFonts w:eastAsia="Times New Roman" w:cs="Times New Roman"/>
          <w:b/>
          <w:color w:val="000000"/>
          <w:sz w:val="24"/>
          <w:szCs w:val="24"/>
        </w:rPr>
      </w:pPr>
    </w:p>
    <w:p w14:paraId="36D69031" w14:textId="07F76520" w:rsidR="00A8405C" w:rsidRPr="00CF6F2B" w:rsidRDefault="00A8405C" w:rsidP="00A8405C">
      <w:pPr>
        <w:spacing w:before="240" w:after="120" w:line="259" w:lineRule="auto"/>
        <w:ind w:firstLine="425"/>
        <w:rPr>
          <w:rFonts w:eastAsia="Times New Roman" w:cs="Times New Roman"/>
          <w:b/>
          <w:color w:val="000000"/>
          <w:sz w:val="24"/>
          <w:szCs w:val="24"/>
        </w:rPr>
      </w:pPr>
      <w:r w:rsidRPr="00CF6F2B">
        <w:rPr>
          <w:rFonts w:eastAsia="Times New Roman" w:cs="Times New Roman"/>
          <w:b/>
          <w:color w:val="000000"/>
          <w:sz w:val="24"/>
          <w:szCs w:val="24"/>
        </w:rPr>
        <w:t>Centrālās valdības budžets</w:t>
      </w:r>
    </w:p>
    <w:p w14:paraId="60668B74" w14:textId="33696CF8" w:rsidR="00A8405C" w:rsidRPr="00CF6F2B" w:rsidRDefault="00A8405C" w:rsidP="00D54A07">
      <w:pPr>
        <w:numPr>
          <w:ilvl w:val="0"/>
          <w:numId w:val="26"/>
        </w:numPr>
        <w:spacing w:after="120"/>
        <w:ind w:left="782" w:hanging="357"/>
        <w:rPr>
          <w:rFonts w:eastAsia="Calibri" w:cs="Times New Roman"/>
          <w:color w:val="000000"/>
          <w:sz w:val="24"/>
          <w:szCs w:val="24"/>
        </w:rPr>
      </w:pPr>
      <w:r w:rsidRPr="00CF6F2B">
        <w:rPr>
          <w:rFonts w:eastAsia="Calibri" w:cs="Times New Roman"/>
          <w:color w:val="000000"/>
          <w:sz w:val="24"/>
          <w:szCs w:val="24"/>
        </w:rPr>
        <w:t xml:space="preserve">Centrālās valdības nominālais budžeta ieņēmumu apmērs līdz ar augstākiem nodokļu ieņēmumiem ik gadu pieaugs. Vidējā termiņā kopumā prognozēts visu lielāko nodokļu ikgadējs pieaugums, ko veicinās patēriņa </w:t>
      </w:r>
      <w:r w:rsidR="008E6623" w:rsidRPr="00CF6F2B">
        <w:rPr>
          <w:rFonts w:eastAsia="Calibri" w:cs="Times New Roman"/>
          <w:color w:val="000000"/>
          <w:sz w:val="24"/>
          <w:szCs w:val="24"/>
        </w:rPr>
        <w:t>kāpums</w:t>
      </w:r>
      <w:r w:rsidRPr="00CF6F2B">
        <w:rPr>
          <w:rFonts w:eastAsia="Calibri" w:cs="Times New Roman"/>
          <w:color w:val="000000"/>
          <w:sz w:val="24"/>
          <w:szCs w:val="24"/>
        </w:rPr>
        <w:t xml:space="preserve"> un augošais darba samaksas fonds. Tāpat 2023. gadā ir sagaidāmi augsti </w:t>
      </w:r>
      <w:r w:rsidR="00FC7524" w:rsidRPr="00CF6F2B">
        <w:rPr>
          <w:rFonts w:eastAsia="Calibri" w:cs="Times New Roman"/>
          <w:color w:val="000000"/>
          <w:sz w:val="24"/>
          <w:szCs w:val="24"/>
        </w:rPr>
        <w:t>ārvalstu finanšu palīdzības</w:t>
      </w:r>
      <w:r w:rsidRPr="00CF6F2B">
        <w:rPr>
          <w:rFonts w:eastAsia="Calibri" w:cs="Times New Roman"/>
          <w:color w:val="000000"/>
          <w:sz w:val="24"/>
          <w:szCs w:val="24"/>
        </w:rPr>
        <w:t xml:space="preserve"> ieņēmumi un augstā līmenī tie prognozējami līdz par 2026. gadam. Savukārt ieņēmumu īpatsvars IKP 2023. gadā salīdzinājumā ar 2022. gadu samazināsies, ņemot vērā samazinājumu ražošanas un importa nodokļos</w:t>
      </w:r>
      <w:r w:rsidR="00FC7524" w:rsidRPr="00CF6F2B">
        <w:rPr>
          <w:rFonts w:eastAsia="Calibri" w:cs="Times New Roman"/>
          <w:color w:val="000000"/>
          <w:sz w:val="24"/>
          <w:szCs w:val="24"/>
        </w:rPr>
        <w:t>.</w:t>
      </w:r>
      <w:r w:rsidRPr="00CF6F2B">
        <w:rPr>
          <w:rFonts w:eastAsia="Calibri" w:cs="Times New Roman"/>
          <w:color w:val="000000"/>
          <w:sz w:val="24"/>
          <w:szCs w:val="24"/>
        </w:rPr>
        <w:t xml:space="preserve"> </w:t>
      </w:r>
      <w:r w:rsidR="00FC7524" w:rsidRPr="00CF6F2B">
        <w:rPr>
          <w:rFonts w:eastAsia="Calibri" w:cs="Times New Roman"/>
          <w:color w:val="000000"/>
          <w:sz w:val="24"/>
          <w:szCs w:val="24"/>
        </w:rPr>
        <w:t>T</w:t>
      </w:r>
      <w:r w:rsidRPr="00CF6F2B">
        <w:rPr>
          <w:rFonts w:eastAsia="Calibri" w:cs="Times New Roman"/>
          <w:color w:val="000000"/>
          <w:sz w:val="24"/>
          <w:szCs w:val="24"/>
        </w:rPr>
        <w:t>iek prognozēta tālāk</w:t>
      </w:r>
      <w:r w:rsidR="00FC7524" w:rsidRPr="00CF6F2B">
        <w:rPr>
          <w:rFonts w:eastAsia="Calibri" w:cs="Times New Roman"/>
          <w:color w:val="000000"/>
          <w:sz w:val="24"/>
          <w:szCs w:val="24"/>
        </w:rPr>
        <w:t>a</w:t>
      </w:r>
      <w:r w:rsidRPr="00CF6F2B">
        <w:rPr>
          <w:rFonts w:eastAsia="Calibri" w:cs="Times New Roman"/>
          <w:color w:val="000000"/>
          <w:sz w:val="24"/>
          <w:szCs w:val="24"/>
        </w:rPr>
        <w:t xml:space="preserve"> </w:t>
      </w:r>
      <w:r w:rsidR="00FC7524" w:rsidRPr="00CF6F2B">
        <w:rPr>
          <w:rFonts w:eastAsia="Calibri" w:cs="Times New Roman"/>
          <w:color w:val="000000"/>
          <w:sz w:val="24"/>
          <w:szCs w:val="24"/>
        </w:rPr>
        <w:t xml:space="preserve">ieņēmumu </w:t>
      </w:r>
      <w:r w:rsidRPr="00CF6F2B">
        <w:rPr>
          <w:rFonts w:eastAsia="Calibri" w:cs="Times New Roman"/>
          <w:color w:val="000000"/>
          <w:sz w:val="24"/>
          <w:szCs w:val="24"/>
        </w:rPr>
        <w:t>īpatsvara IKP samazināšanās vidējā termiņā, ko noteiks īpašum</w:t>
      </w:r>
      <w:r w:rsidR="00FC7524" w:rsidRPr="00CF6F2B">
        <w:rPr>
          <w:rFonts w:eastAsia="Calibri" w:cs="Times New Roman"/>
          <w:color w:val="000000"/>
          <w:sz w:val="24"/>
          <w:szCs w:val="24"/>
        </w:rPr>
        <w:t>u</w:t>
      </w:r>
      <w:r w:rsidRPr="00CF6F2B">
        <w:rPr>
          <w:rFonts w:eastAsia="Calibri" w:cs="Times New Roman"/>
          <w:color w:val="000000"/>
          <w:sz w:val="24"/>
          <w:szCs w:val="24"/>
        </w:rPr>
        <w:t xml:space="preserve"> ieņēmumu (D.4) samazināšanās zemāk</w:t>
      </w:r>
      <w:r w:rsidR="00FC7524" w:rsidRPr="00CF6F2B">
        <w:rPr>
          <w:rFonts w:eastAsia="Calibri" w:cs="Times New Roman"/>
          <w:color w:val="000000"/>
          <w:sz w:val="24"/>
          <w:szCs w:val="24"/>
        </w:rPr>
        <w:t>u</w:t>
      </w:r>
      <w:r w:rsidRPr="00CF6F2B">
        <w:rPr>
          <w:rFonts w:eastAsia="Calibri" w:cs="Times New Roman"/>
          <w:color w:val="000000"/>
          <w:sz w:val="24"/>
          <w:szCs w:val="24"/>
        </w:rPr>
        <w:t xml:space="preserve"> plānot</w:t>
      </w:r>
      <w:r w:rsidR="00FC7524" w:rsidRPr="00CF6F2B">
        <w:rPr>
          <w:rFonts w:eastAsia="Calibri" w:cs="Times New Roman"/>
          <w:color w:val="000000"/>
          <w:sz w:val="24"/>
          <w:szCs w:val="24"/>
        </w:rPr>
        <w:t>o</w:t>
      </w:r>
      <w:r w:rsidRPr="00CF6F2B">
        <w:rPr>
          <w:rFonts w:eastAsia="Calibri" w:cs="Times New Roman"/>
          <w:color w:val="000000"/>
          <w:sz w:val="24"/>
          <w:szCs w:val="24"/>
        </w:rPr>
        <w:t xml:space="preserve"> dividenžu maksājum</w:t>
      </w:r>
      <w:r w:rsidR="00FC7524" w:rsidRPr="00CF6F2B">
        <w:rPr>
          <w:rFonts w:eastAsia="Calibri" w:cs="Times New Roman"/>
          <w:color w:val="000000"/>
          <w:sz w:val="24"/>
          <w:szCs w:val="24"/>
        </w:rPr>
        <w:t>u dēļ</w:t>
      </w:r>
      <w:r w:rsidRPr="00CF6F2B">
        <w:rPr>
          <w:rFonts w:eastAsia="Calibri" w:cs="Times New Roman"/>
          <w:color w:val="000000"/>
          <w:sz w:val="24"/>
          <w:szCs w:val="24"/>
        </w:rPr>
        <w:t xml:space="preserve">, </w:t>
      </w:r>
      <w:r w:rsidR="00FC7524" w:rsidRPr="00CF6F2B">
        <w:rPr>
          <w:rFonts w:eastAsia="Calibri" w:cs="Times New Roman"/>
          <w:color w:val="000000"/>
          <w:sz w:val="24"/>
          <w:szCs w:val="24"/>
        </w:rPr>
        <w:t>kā</w:t>
      </w:r>
      <w:r w:rsidRPr="00CF6F2B">
        <w:rPr>
          <w:rFonts w:eastAsia="Calibri" w:cs="Times New Roman"/>
          <w:color w:val="000000"/>
          <w:sz w:val="24"/>
          <w:szCs w:val="24"/>
        </w:rPr>
        <w:t xml:space="preserve"> arī nepieaugot kārtējiem </w:t>
      </w:r>
      <w:proofErr w:type="spellStart"/>
      <w:r w:rsidRPr="00CF6F2B">
        <w:rPr>
          <w:rFonts w:eastAsia="Calibri" w:cs="Times New Roman"/>
          <w:color w:val="000000"/>
          <w:sz w:val="24"/>
          <w:szCs w:val="24"/>
        </w:rPr>
        <w:t>transfertiem</w:t>
      </w:r>
      <w:proofErr w:type="spellEnd"/>
      <w:r w:rsidRPr="00CF6F2B">
        <w:rPr>
          <w:rFonts w:eastAsia="Calibri" w:cs="Times New Roman"/>
          <w:color w:val="000000"/>
          <w:sz w:val="24"/>
          <w:szCs w:val="24"/>
        </w:rPr>
        <w:t xml:space="preserve"> (D.7). </w:t>
      </w:r>
    </w:p>
    <w:p w14:paraId="5900D14F" w14:textId="53E5788F" w:rsidR="00A8405C" w:rsidRPr="00CF6F2B" w:rsidRDefault="00A8405C" w:rsidP="00D54A07">
      <w:pPr>
        <w:numPr>
          <w:ilvl w:val="0"/>
          <w:numId w:val="26"/>
        </w:numPr>
        <w:spacing w:after="120"/>
        <w:ind w:left="782" w:hanging="357"/>
        <w:rPr>
          <w:rFonts w:eastAsia="Calibri" w:cs="Times New Roman"/>
          <w:color w:val="000000"/>
          <w:sz w:val="24"/>
          <w:szCs w:val="24"/>
        </w:rPr>
      </w:pPr>
      <w:r w:rsidRPr="00CF6F2B">
        <w:rPr>
          <w:rFonts w:eastAsia="Calibri" w:cs="Times New Roman"/>
          <w:color w:val="000000"/>
          <w:sz w:val="24"/>
          <w:szCs w:val="24"/>
        </w:rPr>
        <w:lastRenderedPageBreak/>
        <w:t>Centrālās valdības budžetā 2023. gadā līdzīgi kā iepriekšējos gados augstu izdevumu līmeni notei</w:t>
      </w:r>
      <w:r w:rsidR="00FC7524" w:rsidRPr="00CF6F2B">
        <w:rPr>
          <w:rFonts w:eastAsia="Calibri" w:cs="Times New Roman"/>
          <w:color w:val="000000"/>
          <w:sz w:val="24"/>
          <w:szCs w:val="24"/>
        </w:rPr>
        <w:t>ks</w:t>
      </w:r>
      <w:r w:rsidRPr="00CF6F2B">
        <w:rPr>
          <w:rFonts w:eastAsia="Calibri" w:cs="Times New Roman"/>
          <w:color w:val="000000"/>
          <w:sz w:val="24"/>
          <w:szCs w:val="24"/>
        </w:rPr>
        <w:t xml:space="preserve"> valdības apstiprinātie atbalsta pasākumi krīžu mazināšanai. 2023. gadā Covid-19 atbalsta finansējums jau paredzēts krietni mazākā apmērā, vienlaikus valdība paredzējusi finansējumu energoresursu cenu mazināšanai 622 milj. </w:t>
      </w:r>
      <w:proofErr w:type="spellStart"/>
      <w:r w:rsidRPr="00CF6F2B">
        <w:rPr>
          <w:rFonts w:eastAsia="Calibri" w:cs="Times New Roman"/>
          <w:i/>
          <w:iCs/>
          <w:color w:val="000000"/>
          <w:sz w:val="24"/>
          <w:szCs w:val="24"/>
        </w:rPr>
        <w:t>euro</w:t>
      </w:r>
      <w:proofErr w:type="spellEnd"/>
      <w:r w:rsidRPr="00CF6F2B">
        <w:rPr>
          <w:rFonts w:eastAsia="Calibri" w:cs="Times New Roman"/>
          <w:color w:val="000000"/>
          <w:sz w:val="24"/>
          <w:szCs w:val="24"/>
        </w:rPr>
        <w:t xml:space="preserve"> apmērā un Ukrainas civiliedzīvotājiem 102 milj. </w:t>
      </w:r>
      <w:proofErr w:type="spellStart"/>
      <w:r w:rsidRPr="00CF6F2B">
        <w:rPr>
          <w:rFonts w:eastAsia="Calibri" w:cs="Times New Roman"/>
          <w:i/>
          <w:iCs/>
          <w:color w:val="000000"/>
          <w:sz w:val="24"/>
          <w:szCs w:val="24"/>
        </w:rPr>
        <w:t>euro</w:t>
      </w:r>
      <w:proofErr w:type="spellEnd"/>
      <w:r w:rsidRPr="00CF6F2B">
        <w:rPr>
          <w:rFonts w:eastAsia="Calibri" w:cs="Times New Roman"/>
          <w:color w:val="000000"/>
          <w:sz w:val="24"/>
          <w:szCs w:val="24"/>
        </w:rPr>
        <w:t xml:space="preserve"> apmērā (skat. 3.3. sadaļu par atbalsta pasākumiem). </w:t>
      </w:r>
    </w:p>
    <w:p w14:paraId="31FF9EF1" w14:textId="77777777" w:rsidR="000342FD" w:rsidRPr="00CF6F2B" w:rsidRDefault="00A8405C" w:rsidP="00D54A07">
      <w:pPr>
        <w:numPr>
          <w:ilvl w:val="0"/>
          <w:numId w:val="26"/>
        </w:numPr>
        <w:spacing w:after="120"/>
        <w:ind w:left="782" w:hanging="357"/>
        <w:rPr>
          <w:rFonts w:eastAsia="Calibri" w:cs="Times New Roman"/>
          <w:color w:val="000000"/>
          <w:sz w:val="24"/>
          <w:szCs w:val="24"/>
        </w:rPr>
      </w:pPr>
      <w:r w:rsidRPr="00CF6F2B">
        <w:rPr>
          <w:rFonts w:eastAsia="Calibri" w:cs="Times New Roman"/>
          <w:color w:val="000000"/>
          <w:sz w:val="24"/>
          <w:szCs w:val="24"/>
        </w:rPr>
        <w:t xml:space="preserve">2023. gada budžetā apstiprinātie valsts aizsardzības izdevumi tika aktualizēti atbilstoši atjaunotajam </w:t>
      </w:r>
      <w:proofErr w:type="spellStart"/>
      <w:r w:rsidRPr="00CF6F2B">
        <w:rPr>
          <w:rFonts w:eastAsia="Calibri" w:cs="Times New Roman"/>
          <w:color w:val="000000"/>
          <w:sz w:val="24"/>
          <w:szCs w:val="24"/>
        </w:rPr>
        <w:t>makroscenārijam</w:t>
      </w:r>
      <w:proofErr w:type="spellEnd"/>
      <w:r w:rsidRPr="00CF6F2B">
        <w:rPr>
          <w:rFonts w:eastAsia="Calibri" w:cs="Times New Roman"/>
          <w:color w:val="000000"/>
          <w:sz w:val="24"/>
          <w:szCs w:val="24"/>
        </w:rPr>
        <w:t>, tādējādi aizsardzības izdevumi funkcionālā dalījumā 2023. gadā sasniegs 2,7% no IKP.</w:t>
      </w:r>
    </w:p>
    <w:p w14:paraId="07AEEE5F" w14:textId="0E321295" w:rsidR="00A8405C" w:rsidRPr="00CF6F2B" w:rsidRDefault="00A8405C" w:rsidP="00D54A07">
      <w:pPr>
        <w:numPr>
          <w:ilvl w:val="0"/>
          <w:numId w:val="26"/>
        </w:numPr>
        <w:spacing w:after="120"/>
        <w:ind w:left="782" w:hanging="357"/>
        <w:rPr>
          <w:rFonts w:eastAsia="Calibri" w:cs="Times New Roman"/>
          <w:color w:val="000000"/>
          <w:sz w:val="24"/>
          <w:szCs w:val="24"/>
        </w:rPr>
      </w:pPr>
      <w:r w:rsidRPr="00CF6F2B">
        <w:rPr>
          <w:rFonts w:eastAsia="Calibri" w:cs="Times New Roman"/>
          <w:color w:val="000000"/>
          <w:sz w:val="24"/>
          <w:szCs w:val="24"/>
        </w:rPr>
        <w:t>Izdevumi atlīdzībai (D.1) centrālās valdības budžetā pēc 15,8% pieauguma 2023. gadā turpmākajos gados prognozēti bez stabilas pieauguma tendences, ko noteiks zemāki pieklasificēto uzņēmumu izdevumi atalgojumam.</w:t>
      </w:r>
    </w:p>
    <w:p w14:paraId="5CFB56ED" w14:textId="1BC57F42" w:rsidR="00A8405C" w:rsidRPr="00CF6F2B" w:rsidRDefault="00A8405C" w:rsidP="00D54A07">
      <w:pPr>
        <w:numPr>
          <w:ilvl w:val="0"/>
          <w:numId w:val="26"/>
        </w:numPr>
        <w:spacing w:after="120"/>
        <w:ind w:left="782" w:hanging="357"/>
        <w:rPr>
          <w:rFonts w:eastAsia="Calibri" w:cs="Times New Roman"/>
          <w:color w:val="000000"/>
          <w:sz w:val="24"/>
          <w:szCs w:val="24"/>
        </w:rPr>
      </w:pPr>
      <w:r w:rsidRPr="00CF6F2B">
        <w:rPr>
          <w:rFonts w:eastAsia="Calibri" w:cs="Times New Roman"/>
          <w:color w:val="000000"/>
          <w:sz w:val="24"/>
          <w:szCs w:val="24"/>
        </w:rPr>
        <w:t>Izdevumi starppatēriņam (P.2) pēc būtiska pieauguma 202</w:t>
      </w:r>
      <w:r w:rsidR="00202025">
        <w:rPr>
          <w:rFonts w:eastAsia="Calibri" w:cs="Times New Roman"/>
          <w:color w:val="000000"/>
          <w:sz w:val="24"/>
          <w:szCs w:val="24"/>
        </w:rPr>
        <w:t>2</w:t>
      </w:r>
      <w:r w:rsidRPr="00CF6F2B">
        <w:rPr>
          <w:rFonts w:eastAsia="Calibri" w:cs="Times New Roman"/>
          <w:color w:val="000000"/>
          <w:sz w:val="24"/>
          <w:szCs w:val="24"/>
        </w:rPr>
        <w:t xml:space="preserve">. gadā, kad veikta dabasgāzes rezervju iegāde un ievērojami auga preču un pakalpojumu izdevumi, ik gadu plānoti ar mērenu palielinājumu. </w:t>
      </w:r>
    </w:p>
    <w:p w14:paraId="3142A694" w14:textId="77777777" w:rsidR="00A8405C" w:rsidRPr="00CF6F2B" w:rsidRDefault="00A8405C" w:rsidP="00D54A07">
      <w:pPr>
        <w:numPr>
          <w:ilvl w:val="0"/>
          <w:numId w:val="26"/>
        </w:numPr>
        <w:spacing w:after="120"/>
        <w:ind w:left="782" w:hanging="357"/>
        <w:rPr>
          <w:rFonts w:eastAsia="Calibri" w:cs="Times New Roman"/>
          <w:color w:val="000000"/>
          <w:sz w:val="24"/>
          <w:szCs w:val="24"/>
        </w:rPr>
      </w:pPr>
      <w:r w:rsidRPr="00CF6F2B">
        <w:rPr>
          <w:rFonts w:eastAsia="Calibri" w:cs="Times New Roman"/>
          <w:color w:val="000000"/>
          <w:sz w:val="24"/>
          <w:szCs w:val="24"/>
        </w:rPr>
        <w:t>Procentu izdevumu (D.41) īpatsvars pret IKP ilgāku laika periodu centrālās valdības budžetā ir samazinājies līdz 0,4% no IKP 2021. gadā. Pieaugot procentu likmēm, 2022. gadā īpatsvars sasniedza 0,5% no IKP. Savukārt vidējā termiņā procentu izdevumi ik gadu pieaugs, līdz 2026. gadā sasniegs 1,1% no IKP, jo paredzama gan aizņemšanās, gan sagaidāms procentu likmju pieaugums.</w:t>
      </w:r>
    </w:p>
    <w:p w14:paraId="64FD457E" w14:textId="3B88FCBF" w:rsidR="00A8405C" w:rsidRPr="00CF6F2B" w:rsidRDefault="00A8405C" w:rsidP="00D54A07">
      <w:pPr>
        <w:numPr>
          <w:ilvl w:val="0"/>
          <w:numId w:val="26"/>
        </w:numPr>
        <w:spacing w:after="120"/>
        <w:ind w:left="782" w:hanging="357"/>
        <w:rPr>
          <w:rFonts w:eastAsia="Calibri" w:cs="Times New Roman"/>
          <w:color w:val="000000"/>
          <w:sz w:val="24"/>
          <w:szCs w:val="24"/>
        </w:rPr>
      </w:pPr>
      <w:r w:rsidRPr="00CF6F2B">
        <w:rPr>
          <w:rFonts w:eastAsia="Calibri" w:cs="Times New Roman"/>
          <w:color w:val="000000"/>
          <w:sz w:val="24"/>
          <w:szCs w:val="24"/>
        </w:rPr>
        <w:t xml:space="preserve">Sociālo pabalstu izdevumi (D.62, D.632) 2021. un 2022. gadā papildus atbalsta piešķiršanas </w:t>
      </w:r>
      <w:r w:rsidR="000342FD" w:rsidRPr="00CF6F2B">
        <w:rPr>
          <w:rFonts w:eastAsia="Calibri" w:cs="Times New Roman"/>
          <w:color w:val="000000"/>
          <w:sz w:val="24"/>
          <w:szCs w:val="24"/>
        </w:rPr>
        <w:t xml:space="preserve">dēļ </w:t>
      </w:r>
      <w:r w:rsidRPr="00CF6F2B">
        <w:rPr>
          <w:rFonts w:eastAsia="Calibri" w:cs="Times New Roman"/>
          <w:color w:val="000000"/>
          <w:sz w:val="24"/>
          <w:szCs w:val="24"/>
        </w:rPr>
        <w:t>centrālās valdības budžetā bija attiecīgi 5,1% un 4,0% no IKP, bet jau ar 2023. gadu to apmērs samazināsies līdz 3,2% no IKP un mēreni saruks arī vidējā</w:t>
      </w:r>
      <w:r w:rsidR="000342FD" w:rsidRPr="00CF6F2B">
        <w:rPr>
          <w:rFonts w:eastAsia="Calibri" w:cs="Times New Roman"/>
          <w:color w:val="000000"/>
          <w:sz w:val="24"/>
          <w:szCs w:val="24"/>
        </w:rPr>
        <w:t xml:space="preserve"> </w:t>
      </w:r>
      <w:r w:rsidRPr="00CF6F2B">
        <w:rPr>
          <w:rFonts w:eastAsia="Calibri" w:cs="Times New Roman"/>
          <w:color w:val="000000"/>
          <w:sz w:val="24"/>
          <w:szCs w:val="24"/>
        </w:rPr>
        <w:t xml:space="preserve">termiņā. 2023. gadā kā prioritāte tika noteikta minimālā ienākuma līmeņa palielināšana, turpmāk piesaistot to sociāli ekonomiskajiem rādītājiem. Minimālo ienākumu sliekšņu noteikšanā Latvijā notiks pāreja no minimālā ienākuma sliekšņa skaitliskās vērtības </w:t>
      </w:r>
      <w:proofErr w:type="spellStart"/>
      <w:r w:rsidRPr="00CF6F2B">
        <w:rPr>
          <w:rFonts w:eastAsia="Calibri" w:cs="Times New Roman"/>
          <w:i/>
          <w:iCs/>
          <w:color w:val="000000"/>
          <w:sz w:val="24"/>
          <w:szCs w:val="24"/>
        </w:rPr>
        <w:t>euro</w:t>
      </w:r>
      <w:proofErr w:type="spellEnd"/>
      <w:r w:rsidRPr="00CF6F2B">
        <w:rPr>
          <w:rFonts w:eastAsia="Calibri" w:cs="Times New Roman"/>
          <w:color w:val="000000"/>
          <w:sz w:val="24"/>
          <w:szCs w:val="24"/>
        </w:rPr>
        <w:t xml:space="preserve"> izteiksmē uz procentuālo vērtību (20%) no minimālo ienākumu mediānas. Jaunie minimālo ienākumu sliekšņi būs lielāki nekā iepriekš un stāsies spēkā 2023. gada 1. jūlijā. Sākot ar 2024. gadu, tos plānots pārskatīt katra gada janvārī. Pašlaik vismazākais ienākums ir 109 </w:t>
      </w:r>
      <w:proofErr w:type="spellStart"/>
      <w:r w:rsidRPr="00CF6F2B">
        <w:rPr>
          <w:rFonts w:eastAsia="Calibri" w:cs="Times New Roman"/>
          <w:i/>
          <w:iCs/>
          <w:color w:val="000000"/>
          <w:sz w:val="24"/>
          <w:szCs w:val="24"/>
        </w:rPr>
        <w:t>euro</w:t>
      </w:r>
      <w:proofErr w:type="spellEnd"/>
      <w:r w:rsidRPr="00CF6F2B">
        <w:rPr>
          <w:rFonts w:eastAsia="Calibri" w:cs="Times New Roman"/>
          <w:color w:val="000000"/>
          <w:sz w:val="24"/>
          <w:szCs w:val="24"/>
        </w:rPr>
        <w:t xml:space="preserve">, no jūlija tas pieaugs līdz 125 </w:t>
      </w:r>
      <w:proofErr w:type="spellStart"/>
      <w:r w:rsidRPr="00CF6F2B">
        <w:rPr>
          <w:rFonts w:eastAsia="Calibri" w:cs="Times New Roman"/>
          <w:i/>
          <w:iCs/>
          <w:color w:val="000000"/>
          <w:sz w:val="24"/>
          <w:szCs w:val="24"/>
        </w:rPr>
        <w:t>euro</w:t>
      </w:r>
      <w:proofErr w:type="spellEnd"/>
      <w:r w:rsidRPr="00CF6F2B">
        <w:rPr>
          <w:rFonts w:eastAsia="Calibri" w:cs="Times New Roman"/>
          <w:color w:val="000000"/>
          <w:sz w:val="24"/>
          <w:szCs w:val="24"/>
        </w:rPr>
        <w:t>.</w:t>
      </w:r>
    </w:p>
    <w:p w14:paraId="635FE8C9" w14:textId="77777777" w:rsidR="00A8405C" w:rsidRPr="00CF6F2B" w:rsidRDefault="00A8405C" w:rsidP="00D54A07">
      <w:pPr>
        <w:numPr>
          <w:ilvl w:val="0"/>
          <w:numId w:val="26"/>
        </w:numPr>
        <w:spacing w:after="120"/>
        <w:ind w:left="782" w:hanging="357"/>
        <w:rPr>
          <w:rFonts w:eastAsia="Calibri" w:cs="Times New Roman"/>
          <w:color w:val="000000"/>
          <w:sz w:val="24"/>
          <w:szCs w:val="24"/>
        </w:rPr>
      </w:pPr>
      <w:r w:rsidRPr="00CF6F2B">
        <w:rPr>
          <w:rFonts w:eastAsia="Calibri" w:cs="Times New Roman"/>
          <w:color w:val="000000"/>
          <w:sz w:val="24"/>
          <w:szCs w:val="24"/>
        </w:rPr>
        <w:t xml:space="preserve">Pamatlīdzekļu veidošanas izdevumi (P.51g), palielinoties ES fondu investīciju plūsmām, 2023. gadā būtiski kāps. Arī tālākajos gados tiek prognozēti ievērojami lielāki izdevumi ārvalstu finanšu palīdzības līdzfinansēto projektu īstenošanai salīdzinājumā ar iepriekšējiem gadiem. To sekmēs finansējums ES fondu 2021.-2027. gada plānošanas perioda projektu īstenošanai, kā arī finansējums Atveseļošanas fonda projektiem un </w:t>
      </w:r>
      <w:r w:rsidRPr="00CF6F2B">
        <w:rPr>
          <w:rFonts w:eastAsia="Calibri" w:cs="Times New Roman"/>
          <w:i/>
          <w:iCs/>
          <w:color w:val="000000"/>
          <w:sz w:val="24"/>
          <w:szCs w:val="24"/>
        </w:rPr>
        <w:t xml:space="preserve">Rail </w:t>
      </w:r>
      <w:proofErr w:type="spellStart"/>
      <w:r w:rsidRPr="00CF6F2B">
        <w:rPr>
          <w:rFonts w:eastAsia="Calibri" w:cs="Times New Roman"/>
          <w:i/>
          <w:iCs/>
          <w:color w:val="000000"/>
          <w:sz w:val="24"/>
          <w:szCs w:val="24"/>
        </w:rPr>
        <w:t>Baltica</w:t>
      </w:r>
      <w:proofErr w:type="spellEnd"/>
      <w:r w:rsidRPr="00CF6F2B">
        <w:rPr>
          <w:rFonts w:eastAsia="Calibri" w:cs="Times New Roman"/>
          <w:i/>
          <w:iCs/>
          <w:color w:val="000000"/>
          <w:sz w:val="24"/>
          <w:szCs w:val="24"/>
        </w:rPr>
        <w:t xml:space="preserve"> </w:t>
      </w:r>
      <w:r w:rsidRPr="00CF6F2B">
        <w:rPr>
          <w:rFonts w:eastAsia="Calibri" w:cs="Times New Roman"/>
          <w:color w:val="000000"/>
          <w:sz w:val="24"/>
          <w:szCs w:val="24"/>
        </w:rPr>
        <w:t xml:space="preserve">īstenošanai, tāpat līdz 2024. gadam jānoslēdz 2014.-2020. gada plānošanas perioda investīciju cikls. </w:t>
      </w:r>
    </w:p>
    <w:p w14:paraId="71724414" w14:textId="4E140678" w:rsidR="00A8405C" w:rsidRPr="00CF6F2B" w:rsidRDefault="00A8405C" w:rsidP="00D54A07">
      <w:pPr>
        <w:numPr>
          <w:ilvl w:val="0"/>
          <w:numId w:val="26"/>
        </w:numPr>
        <w:ind w:left="782" w:hanging="357"/>
        <w:rPr>
          <w:rFonts w:eastAsia="Times New Roman" w:cs="Times New Roman"/>
          <w:color w:val="000000"/>
          <w:sz w:val="24"/>
          <w:szCs w:val="24"/>
        </w:rPr>
      </w:pPr>
      <w:r w:rsidRPr="00CF6F2B">
        <w:rPr>
          <w:rFonts w:eastAsia="Calibri" w:cs="Times New Roman"/>
          <w:color w:val="000000"/>
          <w:sz w:val="24"/>
          <w:szCs w:val="24"/>
        </w:rPr>
        <w:t xml:space="preserve">2023. gadā un 2024. gadā Latvijā sagaidāma 32 jaunu elektrovilcienu piegāde, negatīvi ietekmējot komersantu bilances vispārējās valdības budžetā. Lai gan liela daļa no vilcienu iegādes darījuma tiek finansēta no ES Kohēzijas fonda līdzekļiem, tiek nodrošināts arī valsts budžeta līdzfinansējums vilcienu iegādei, un </w:t>
      </w:r>
      <w:r w:rsidR="00DE43A9" w:rsidRPr="00CF6F2B">
        <w:rPr>
          <w:rFonts w:eastAsia="Calibri" w:cs="Times New Roman"/>
          <w:color w:val="000000"/>
          <w:sz w:val="24"/>
          <w:szCs w:val="24"/>
        </w:rPr>
        <w:t>(</w:t>
      </w:r>
      <w:r w:rsidRPr="00CF6F2B">
        <w:rPr>
          <w:rFonts w:eastAsia="Calibri" w:cs="Times New Roman"/>
          <w:color w:val="000000"/>
          <w:sz w:val="24"/>
          <w:szCs w:val="24"/>
        </w:rPr>
        <w:t>pēc EKS metodoloģijas</w:t>
      </w:r>
      <w:r w:rsidR="00DE43A9" w:rsidRPr="00CF6F2B">
        <w:rPr>
          <w:rFonts w:eastAsia="Calibri" w:cs="Times New Roman"/>
          <w:color w:val="000000"/>
          <w:sz w:val="24"/>
          <w:szCs w:val="24"/>
        </w:rPr>
        <w:t xml:space="preserve">) </w:t>
      </w:r>
      <w:r w:rsidRPr="00CF6F2B">
        <w:rPr>
          <w:rFonts w:eastAsia="Calibri" w:cs="Times New Roman"/>
          <w:color w:val="000000"/>
          <w:sz w:val="24"/>
          <w:szCs w:val="24"/>
        </w:rPr>
        <w:t>izdevumi</w:t>
      </w:r>
      <w:r w:rsidRPr="00CF6F2B">
        <w:rPr>
          <w:rFonts w:eastAsia="Times New Roman" w:cs="Times New Roman"/>
          <w:color w:val="000000"/>
          <w:sz w:val="24"/>
          <w:szCs w:val="24"/>
        </w:rPr>
        <w:t xml:space="preserve"> tiek uzskaitīti atbilstoši vilcienu faktiskajai piegādei.</w:t>
      </w:r>
    </w:p>
    <w:p w14:paraId="47AAA408" w14:textId="77777777" w:rsidR="00A8405C" w:rsidRPr="00CF6F2B" w:rsidRDefault="00A8405C" w:rsidP="00D54A07">
      <w:pPr>
        <w:ind w:firstLine="0"/>
        <w:rPr>
          <w:rFonts w:eastAsia="Calibri" w:cs="Times New Roman"/>
          <w:color w:val="000000"/>
          <w:sz w:val="24"/>
          <w:szCs w:val="24"/>
        </w:rPr>
      </w:pPr>
    </w:p>
    <w:p w14:paraId="7863AEFB" w14:textId="77777777" w:rsidR="00A8405C" w:rsidRPr="00CF6F2B" w:rsidRDefault="00A8405C" w:rsidP="00D54A07">
      <w:pPr>
        <w:spacing w:after="120"/>
        <w:ind w:firstLine="425"/>
        <w:rPr>
          <w:rFonts w:eastAsia="Times New Roman" w:cs="Times New Roman"/>
          <w:sz w:val="24"/>
          <w:szCs w:val="24"/>
        </w:rPr>
      </w:pPr>
      <w:r w:rsidRPr="00CF6F2B">
        <w:rPr>
          <w:rFonts w:eastAsia="Times New Roman" w:cs="Times New Roman"/>
          <w:b/>
          <w:sz w:val="24"/>
          <w:szCs w:val="24"/>
        </w:rPr>
        <w:t>Sociālās nodrošināšanas fonds</w:t>
      </w:r>
    </w:p>
    <w:p w14:paraId="233CB87D" w14:textId="4D35D842" w:rsidR="00A8405C" w:rsidRPr="00CF6F2B" w:rsidRDefault="00A8405C" w:rsidP="00D54A07">
      <w:pPr>
        <w:numPr>
          <w:ilvl w:val="0"/>
          <w:numId w:val="28"/>
        </w:numPr>
        <w:spacing w:after="120"/>
        <w:ind w:left="714" w:hanging="357"/>
        <w:rPr>
          <w:rFonts w:eastAsia="Calibri" w:cs="Times New Roman"/>
          <w:sz w:val="24"/>
          <w:szCs w:val="24"/>
        </w:rPr>
      </w:pPr>
      <w:r w:rsidRPr="00CF6F2B">
        <w:rPr>
          <w:rFonts w:eastAsia="Calibri" w:cs="Times New Roman"/>
          <w:sz w:val="24"/>
          <w:szCs w:val="24"/>
        </w:rPr>
        <w:t>Sociālās nodrošināšanas fondā jau kopš 2017. gada ik gadu bijis pārpalikums</w:t>
      </w:r>
      <w:r w:rsidR="00DE43A9" w:rsidRPr="00CF6F2B">
        <w:rPr>
          <w:rFonts w:eastAsia="Calibri" w:cs="Times New Roman"/>
          <w:sz w:val="24"/>
          <w:szCs w:val="24"/>
        </w:rPr>
        <w:t xml:space="preserve">. Prognozes liecina, ka arī turpmāk, </w:t>
      </w:r>
      <w:r w:rsidRPr="00CF6F2B">
        <w:rPr>
          <w:rFonts w:eastAsia="Calibri" w:cs="Times New Roman"/>
          <w:sz w:val="24"/>
          <w:szCs w:val="24"/>
        </w:rPr>
        <w:t>līdz pat 2025. gadam</w:t>
      </w:r>
      <w:r w:rsidR="00DE43A9" w:rsidRPr="00CF6F2B">
        <w:rPr>
          <w:rFonts w:eastAsia="Calibri" w:cs="Times New Roman"/>
          <w:sz w:val="24"/>
          <w:szCs w:val="24"/>
        </w:rPr>
        <w:t>,</w:t>
      </w:r>
      <w:r w:rsidRPr="00CF6F2B">
        <w:rPr>
          <w:rFonts w:eastAsia="Calibri" w:cs="Times New Roman"/>
          <w:sz w:val="24"/>
          <w:szCs w:val="24"/>
        </w:rPr>
        <w:t xml:space="preserve"> sagaidāms pārpalikums. 2023. gadā tiek prognozēts, ka ieņēmumi sociālās nodrošināšanas fondā augs mērenāk par izdevumiem un pārpalikuma apmērs būs 0,3% no IKP. Šādā apmērā tas plānots arī 2024. gadā, bet 2025. </w:t>
      </w:r>
      <w:r w:rsidRPr="00CF6F2B">
        <w:rPr>
          <w:rFonts w:eastAsia="Calibri" w:cs="Times New Roman"/>
          <w:sz w:val="24"/>
          <w:szCs w:val="24"/>
        </w:rPr>
        <w:lastRenderedPageBreak/>
        <w:t>gadā saruks līdz 0,1% no IKP</w:t>
      </w:r>
      <w:r w:rsidR="00DE43A9" w:rsidRPr="00CF6F2B">
        <w:rPr>
          <w:rFonts w:eastAsia="Calibri" w:cs="Times New Roman"/>
          <w:sz w:val="24"/>
          <w:szCs w:val="24"/>
        </w:rPr>
        <w:t>, savukārt</w:t>
      </w:r>
      <w:r w:rsidRPr="00CF6F2B">
        <w:rPr>
          <w:rFonts w:eastAsia="Calibri" w:cs="Times New Roman"/>
          <w:sz w:val="24"/>
          <w:szCs w:val="24"/>
        </w:rPr>
        <w:t xml:space="preserve"> 2026. gadā prognozēts jau 0,1% no IKP deficīts. Ņemot vērā augsto inflācijas līmeni 2022. gadā, ar augstākiem indeksiem tika indeksētas pensijas 2022. gada oktobrī, tāpat arī 2023. gadā indeksācijas koeficienti būs augstāki kā iepriekš. </w:t>
      </w:r>
      <w:r w:rsidR="00DE43A9" w:rsidRPr="00CF6F2B">
        <w:rPr>
          <w:rFonts w:eastAsia="Calibri" w:cs="Times New Roman"/>
          <w:sz w:val="24"/>
          <w:szCs w:val="24"/>
        </w:rPr>
        <w:t>Minētais</w:t>
      </w:r>
      <w:r w:rsidRPr="00CF6F2B">
        <w:rPr>
          <w:rFonts w:eastAsia="Calibri" w:cs="Times New Roman"/>
          <w:sz w:val="24"/>
          <w:szCs w:val="24"/>
        </w:rPr>
        <w:t xml:space="preserve"> kopumā ietekmē straujāku izdevumu pieaugumu nekā ieņēmumu izmaiņas.</w:t>
      </w:r>
    </w:p>
    <w:p w14:paraId="6B7E5D10" w14:textId="1E8C91A1" w:rsidR="00A8405C" w:rsidRPr="00CF6F2B" w:rsidRDefault="00A8405C" w:rsidP="00D54A07">
      <w:pPr>
        <w:numPr>
          <w:ilvl w:val="0"/>
          <w:numId w:val="28"/>
        </w:numPr>
        <w:spacing w:before="120" w:after="120"/>
        <w:ind w:left="714" w:hanging="357"/>
        <w:rPr>
          <w:rFonts w:eastAsia="Times New Roman" w:cs="Times New Roman"/>
          <w:noProof/>
          <w:color w:val="000000"/>
          <w:sz w:val="24"/>
          <w:szCs w:val="32"/>
        </w:rPr>
      </w:pPr>
      <w:r w:rsidRPr="00CF6F2B">
        <w:rPr>
          <w:rFonts w:eastAsia="Times New Roman" w:cs="Times New Roman"/>
          <w:sz w:val="24"/>
          <w:szCs w:val="32"/>
        </w:rPr>
        <w:t>2022. ga</w:t>
      </w:r>
      <w:r w:rsidRPr="00CF6F2B">
        <w:rPr>
          <w:rFonts w:eastAsia="Times New Roman" w:cs="Times New Roman"/>
          <w:noProof/>
          <w:sz w:val="24"/>
          <w:szCs w:val="32"/>
        </w:rPr>
        <w:t>dā pensijas tika pārskatītas nevis 1. oktobrī kā ierasts, bet divus mēnešus ātrāk 1. augustā, kas saistīts ar straujo cenu līmeņa celšanos. Tika pārskatītas (indeksētas) vecuma, invaliditātes, izdienas, apgādnieka zaudējuma pensijas un apdrošināšanas atlīdzības, kuras piešķirtas (pārrēķinātas) līdz 2022. gada 31. jūlijam un kuru apmērs nepārsniedz 534 </w:t>
      </w:r>
      <w:r w:rsidRPr="00CF6F2B">
        <w:rPr>
          <w:rFonts w:eastAsia="Times New Roman" w:cs="Times New Roman"/>
          <w:i/>
          <w:noProof/>
          <w:sz w:val="24"/>
          <w:szCs w:val="32"/>
        </w:rPr>
        <w:t>euro</w:t>
      </w:r>
      <w:r w:rsidRPr="00CF6F2B">
        <w:rPr>
          <w:rFonts w:eastAsia="Times New Roman" w:cs="Times New Roman"/>
          <w:noProof/>
          <w:sz w:val="24"/>
          <w:szCs w:val="32"/>
        </w:rPr>
        <w:t>, bet pensijas un apdrošināšanas atlīdzības, kuru apmērs pārsniedz 534 </w:t>
      </w:r>
      <w:r w:rsidRPr="00CF6F2B">
        <w:rPr>
          <w:rFonts w:eastAsia="Times New Roman" w:cs="Times New Roman"/>
          <w:i/>
          <w:noProof/>
          <w:sz w:val="24"/>
          <w:szCs w:val="32"/>
        </w:rPr>
        <w:t>euro</w:t>
      </w:r>
      <w:r w:rsidRPr="00CF6F2B">
        <w:rPr>
          <w:rFonts w:eastAsia="Times New Roman" w:cs="Times New Roman"/>
          <w:noProof/>
          <w:sz w:val="24"/>
          <w:szCs w:val="32"/>
        </w:rPr>
        <w:t>, pārskata tikai tās daļas apmēru – 534 </w:t>
      </w:r>
      <w:r w:rsidRPr="00CF6F2B">
        <w:rPr>
          <w:rFonts w:eastAsia="Times New Roman" w:cs="Times New Roman"/>
          <w:i/>
          <w:noProof/>
          <w:sz w:val="24"/>
          <w:szCs w:val="32"/>
        </w:rPr>
        <w:t>euro</w:t>
      </w:r>
      <w:r w:rsidRPr="00CF6F2B">
        <w:rPr>
          <w:rFonts w:eastAsia="Times New Roman" w:cs="Times New Roman"/>
          <w:noProof/>
          <w:sz w:val="24"/>
          <w:szCs w:val="32"/>
        </w:rPr>
        <w:t xml:space="preserve">. </w:t>
      </w:r>
      <w:r w:rsidR="00DE43A9" w:rsidRPr="00CF6F2B">
        <w:rPr>
          <w:rFonts w:eastAsia="Calibri" w:cs="Times New Roman"/>
          <w:sz w:val="24"/>
          <w:szCs w:val="24"/>
        </w:rPr>
        <w:t>Secināms, ka i</w:t>
      </w:r>
      <w:r w:rsidRPr="00CF6F2B">
        <w:rPr>
          <w:rFonts w:eastAsia="Calibri" w:cs="Times New Roman"/>
          <w:sz w:val="24"/>
          <w:szCs w:val="24"/>
        </w:rPr>
        <w:t xml:space="preserve">zdevumi pensijām pieaugtu vēl straujāk, ja netiktu īstenota pensionēšanās vecuma reforma, kas ir ieviesta 2014. gadā un paredz ik gadu par trim mēnešiem līdz 2025. gadam celt pensionēšanās vecumu līdz 65 gadiem, kā rezultātā pensiju saņēmēju skaits sarūk un šobrīd tiek prognozēts, ka </w:t>
      </w:r>
      <w:r w:rsidR="00C86FB7" w:rsidRPr="00CF6F2B">
        <w:rPr>
          <w:rFonts w:eastAsia="Calibri" w:cs="Times New Roman"/>
          <w:sz w:val="24"/>
          <w:szCs w:val="24"/>
        </w:rPr>
        <w:t xml:space="preserve">tas </w:t>
      </w:r>
      <w:r w:rsidRPr="00CF6F2B">
        <w:rPr>
          <w:rFonts w:eastAsia="Calibri" w:cs="Times New Roman"/>
          <w:sz w:val="24"/>
          <w:szCs w:val="24"/>
        </w:rPr>
        <w:t>turpinās samazināties līdz reformas noslēgumam. Savukārt jau ar 2026. gadu pensiju saņēmēju skaita samazināšanās apstāsies un turpmākajos gados</w:t>
      </w:r>
      <w:r w:rsidR="00C86FB7" w:rsidRPr="00CF6F2B">
        <w:rPr>
          <w:rFonts w:eastAsia="Calibri" w:cs="Times New Roman"/>
          <w:sz w:val="24"/>
          <w:szCs w:val="24"/>
        </w:rPr>
        <w:t>,</w:t>
      </w:r>
      <w:r w:rsidRPr="00CF6F2B">
        <w:rPr>
          <w:rFonts w:eastAsia="Calibri" w:cs="Times New Roman"/>
          <w:sz w:val="24"/>
          <w:szCs w:val="24"/>
        </w:rPr>
        <w:t xml:space="preserve"> atbilstoši </w:t>
      </w:r>
      <w:proofErr w:type="spellStart"/>
      <w:r w:rsidRPr="00CF6F2B">
        <w:rPr>
          <w:rFonts w:eastAsia="Calibri" w:cs="Times New Roman"/>
          <w:i/>
          <w:iCs/>
          <w:sz w:val="24"/>
          <w:szCs w:val="24"/>
        </w:rPr>
        <w:t>Eurostat</w:t>
      </w:r>
      <w:proofErr w:type="spellEnd"/>
      <w:r w:rsidRPr="00CF6F2B">
        <w:rPr>
          <w:rFonts w:eastAsia="Calibri" w:cs="Times New Roman"/>
          <w:sz w:val="24"/>
          <w:szCs w:val="24"/>
        </w:rPr>
        <w:t xml:space="preserve"> demogrāfiskajām prognozēm</w:t>
      </w:r>
      <w:r w:rsidR="00C86FB7" w:rsidRPr="00CF6F2B">
        <w:rPr>
          <w:rFonts w:eastAsia="Calibri" w:cs="Times New Roman"/>
          <w:sz w:val="24"/>
          <w:szCs w:val="24"/>
        </w:rPr>
        <w:t>,</w:t>
      </w:r>
      <w:r w:rsidRPr="00CF6F2B">
        <w:rPr>
          <w:rFonts w:eastAsia="Calibri" w:cs="Times New Roman"/>
          <w:sz w:val="24"/>
          <w:szCs w:val="24"/>
        </w:rPr>
        <w:t xml:space="preserve"> ir sagaidāms iedzīvotāju </w:t>
      </w:r>
      <w:r w:rsidR="00DE43A9" w:rsidRPr="00CF6F2B">
        <w:rPr>
          <w:rFonts w:eastAsia="Calibri" w:cs="Times New Roman"/>
          <w:sz w:val="24"/>
          <w:szCs w:val="24"/>
        </w:rPr>
        <w:t>skaita</w:t>
      </w:r>
      <w:r w:rsidR="00C86FB7" w:rsidRPr="00CF6F2B">
        <w:rPr>
          <w:rFonts w:eastAsia="Calibri" w:cs="Times New Roman"/>
          <w:sz w:val="24"/>
          <w:szCs w:val="24"/>
        </w:rPr>
        <w:t xml:space="preserve"> </w:t>
      </w:r>
      <w:r w:rsidR="00DE43A9" w:rsidRPr="00CF6F2B">
        <w:rPr>
          <w:rFonts w:eastAsia="Calibri" w:cs="Times New Roman"/>
          <w:sz w:val="24"/>
          <w:szCs w:val="24"/>
        </w:rPr>
        <w:t xml:space="preserve">vecuma grupā </w:t>
      </w:r>
      <w:r w:rsidRPr="00CF6F2B">
        <w:rPr>
          <w:rFonts w:eastAsia="Calibri" w:cs="Times New Roman"/>
          <w:sz w:val="24"/>
          <w:szCs w:val="24"/>
        </w:rPr>
        <w:t>65+</w:t>
      </w:r>
      <w:r w:rsidR="00C86FB7" w:rsidRPr="00CF6F2B">
        <w:rPr>
          <w:rFonts w:eastAsia="Calibri" w:cs="Times New Roman"/>
          <w:sz w:val="24"/>
          <w:szCs w:val="24"/>
        </w:rPr>
        <w:t xml:space="preserve"> </w:t>
      </w:r>
      <w:r w:rsidRPr="00CF6F2B">
        <w:rPr>
          <w:rFonts w:eastAsia="Calibri" w:cs="Times New Roman"/>
          <w:sz w:val="24"/>
          <w:szCs w:val="24"/>
        </w:rPr>
        <w:t>pieaugums, kas vienlaikus ar vidēj</w:t>
      </w:r>
      <w:r w:rsidR="00DE43A9" w:rsidRPr="00CF6F2B">
        <w:rPr>
          <w:rFonts w:eastAsia="Calibri" w:cs="Times New Roman"/>
          <w:sz w:val="24"/>
          <w:szCs w:val="24"/>
        </w:rPr>
        <w:t>ā</w:t>
      </w:r>
      <w:r w:rsidRPr="00CF6F2B">
        <w:rPr>
          <w:rFonts w:eastAsia="Calibri" w:cs="Times New Roman"/>
          <w:sz w:val="24"/>
          <w:szCs w:val="24"/>
        </w:rPr>
        <w:t xml:space="preserve"> pensijas apmēra pieaugumu </w:t>
      </w:r>
      <w:r w:rsidR="00DE43A9" w:rsidRPr="00CF6F2B">
        <w:rPr>
          <w:rFonts w:eastAsia="Calibri" w:cs="Times New Roman"/>
          <w:sz w:val="24"/>
          <w:szCs w:val="24"/>
        </w:rPr>
        <w:t>veicinās</w:t>
      </w:r>
      <w:r w:rsidRPr="00CF6F2B">
        <w:rPr>
          <w:rFonts w:eastAsia="Calibri" w:cs="Times New Roman"/>
          <w:sz w:val="24"/>
          <w:szCs w:val="24"/>
        </w:rPr>
        <w:t xml:space="preserve"> straujāku izdevumu palielināšanos.</w:t>
      </w:r>
    </w:p>
    <w:p w14:paraId="69C51DDB" w14:textId="387C3E5A" w:rsidR="00A8405C" w:rsidRPr="00CF6F2B" w:rsidRDefault="00A8405C" w:rsidP="00D54A07">
      <w:pPr>
        <w:numPr>
          <w:ilvl w:val="0"/>
          <w:numId w:val="28"/>
        </w:numPr>
        <w:spacing w:after="120"/>
        <w:ind w:left="714" w:hanging="357"/>
        <w:rPr>
          <w:rFonts w:eastAsia="Calibri" w:cs="Times New Roman"/>
          <w:sz w:val="24"/>
          <w:szCs w:val="24"/>
        </w:rPr>
      </w:pPr>
      <w:r w:rsidRPr="00CF6F2B">
        <w:rPr>
          <w:rFonts w:eastAsia="Calibri" w:cs="Times New Roman"/>
          <w:sz w:val="24"/>
          <w:szCs w:val="24"/>
        </w:rPr>
        <w:t xml:space="preserve">Izdevumi bezdarbnieku pabalstiem 2023. gadā un vidējā termiņā ik gadu pieaugs. 2023. gada pieaugumu bezdarbnieku pabalsta izdevumos par 25,3 milj. </w:t>
      </w:r>
      <w:proofErr w:type="spellStart"/>
      <w:r w:rsidRPr="00CF6F2B">
        <w:rPr>
          <w:rFonts w:eastAsia="Calibri" w:cs="Times New Roman"/>
          <w:i/>
          <w:iCs/>
          <w:sz w:val="24"/>
          <w:szCs w:val="24"/>
        </w:rPr>
        <w:t>euro</w:t>
      </w:r>
      <w:proofErr w:type="spellEnd"/>
      <w:r w:rsidRPr="00CF6F2B">
        <w:rPr>
          <w:rFonts w:eastAsia="Calibri" w:cs="Times New Roman"/>
          <w:sz w:val="24"/>
          <w:szCs w:val="24"/>
        </w:rPr>
        <w:t xml:space="preserve"> jeb 17,8 milj. </w:t>
      </w:r>
      <w:proofErr w:type="spellStart"/>
      <w:r w:rsidRPr="00CF6F2B">
        <w:rPr>
          <w:rFonts w:eastAsia="Calibri" w:cs="Times New Roman"/>
          <w:i/>
          <w:iCs/>
          <w:sz w:val="24"/>
          <w:szCs w:val="24"/>
        </w:rPr>
        <w:t>euro</w:t>
      </w:r>
      <w:proofErr w:type="spellEnd"/>
      <w:r w:rsidRPr="00CF6F2B">
        <w:rPr>
          <w:rFonts w:eastAsia="Calibri" w:cs="Times New Roman"/>
          <w:sz w:val="24"/>
          <w:szCs w:val="24"/>
        </w:rPr>
        <w:t xml:space="preserve"> pamatā noteiks pabalsta saņēmēju skaita izmaiņas, paredzot, ka 2023. gadā salīdzinājumā ar 2022. gadu </w:t>
      </w:r>
      <w:r w:rsidR="00C86FB7" w:rsidRPr="00CF6F2B">
        <w:rPr>
          <w:rFonts w:eastAsia="Calibri" w:cs="Times New Roman"/>
          <w:sz w:val="24"/>
          <w:szCs w:val="24"/>
        </w:rPr>
        <w:t>skaits</w:t>
      </w:r>
      <w:r w:rsidRPr="00CF6F2B">
        <w:rPr>
          <w:rFonts w:eastAsia="Calibri" w:cs="Times New Roman"/>
          <w:sz w:val="24"/>
          <w:szCs w:val="24"/>
        </w:rPr>
        <w:t xml:space="preserve"> palielināsies par 4,6% (no 32,1 tūkstošiem līdz 33,6 tūkstošiem vidēji mēnesī), kā arī ņemot vērā vidējā </w:t>
      </w:r>
      <w:r w:rsidR="00C86FB7" w:rsidRPr="00CF6F2B">
        <w:rPr>
          <w:rFonts w:eastAsia="Calibri" w:cs="Times New Roman"/>
          <w:sz w:val="24"/>
          <w:szCs w:val="24"/>
        </w:rPr>
        <w:t xml:space="preserve">pabalsta </w:t>
      </w:r>
      <w:r w:rsidRPr="00CF6F2B">
        <w:rPr>
          <w:rFonts w:eastAsia="Calibri" w:cs="Times New Roman"/>
          <w:sz w:val="24"/>
          <w:szCs w:val="24"/>
        </w:rPr>
        <w:t>apmēra palielināšanos salīdzinājumā ar 2022. gadu par 12,6%. Vidējā termiņā izdevumu pieaugumu galvenokārt noteiks turpmāk</w:t>
      </w:r>
      <w:r w:rsidR="00C86FB7" w:rsidRPr="00CF6F2B">
        <w:rPr>
          <w:rFonts w:eastAsia="Calibri" w:cs="Times New Roman"/>
          <w:sz w:val="24"/>
          <w:szCs w:val="24"/>
        </w:rPr>
        <w:t>a</w:t>
      </w:r>
      <w:r w:rsidRPr="00CF6F2B">
        <w:rPr>
          <w:rFonts w:eastAsia="Calibri" w:cs="Times New Roman"/>
          <w:sz w:val="24"/>
          <w:szCs w:val="24"/>
        </w:rPr>
        <w:t xml:space="preserve"> vidējā </w:t>
      </w:r>
      <w:r w:rsidR="00C86FB7" w:rsidRPr="00CF6F2B">
        <w:rPr>
          <w:rFonts w:eastAsia="Calibri" w:cs="Times New Roman"/>
          <w:sz w:val="24"/>
          <w:szCs w:val="24"/>
        </w:rPr>
        <w:t xml:space="preserve">pabalsta </w:t>
      </w:r>
      <w:r w:rsidRPr="00CF6F2B">
        <w:rPr>
          <w:rFonts w:eastAsia="Calibri" w:cs="Times New Roman"/>
          <w:sz w:val="24"/>
          <w:szCs w:val="24"/>
        </w:rPr>
        <w:t>apmēra palielināšanās, jo tiek prognozēts, ka bezdarbnieka pabalsta saņēmēju skaits vidējā termiņā saruks.</w:t>
      </w:r>
    </w:p>
    <w:p w14:paraId="4A173BE4" w14:textId="2FC3DCB9" w:rsidR="00A8405C" w:rsidRPr="00CF6F2B" w:rsidRDefault="00A8405C" w:rsidP="00D54A07">
      <w:pPr>
        <w:numPr>
          <w:ilvl w:val="0"/>
          <w:numId w:val="28"/>
        </w:numPr>
        <w:spacing w:before="120"/>
        <w:ind w:left="714" w:hanging="357"/>
        <w:rPr>
          <w:rFonts w:eastAsia="Times New Roman" w:cs="Times New Roman"/>
          <w:noProof/>
          <w:color w:val="000000"/>
          <w:sz w:val="24"/>
          <w:szCs w:val="32"/>
        </w:rPr>
      </w:pPr>
      <w:r w:rsidRPr="00CF6F2B">
        <w:rPr>
          <w:rFonts w:eastAsia="Times New Roman" w:cs="Times New Roman"/>
          <w:noProof/>
          <w:color w:val="000000"/>
          <w:sz w:val="24"/>
          <w:szCs w:val="32"/>
        </w:rPr>
        <w:t xml:space="preserve">2023. gadā izdevumi slimības pabalstiem pieaugs par 16,5 milj. </w:t>
      </w:r>
      <w:r w:rsidRPr="00CF6F2B">
        <w:rPr>
          <w:rFonts w:eastAsia="Times New Roman" w:cs="Times New Roman"/>
          <w:i/>
          <w:iCs/>
          <w:noProof/>
          <w:color w:val="000000"/>
          <w:sz w:val="24"/>
          <w:szCs w:val="32"/>
        </w:rPr>
        <w:t>euro</w:t>
      </w:r>
      <w:r w:rsidRPr="00CF6F2B">
        <w:rPr>
          <w:rFonts w:eastAsia="Times New Roman" w:cs="Times New Roman"/>
          <w:noProof/>
          <w:color w:val="000000"/>
          <w:sz w:val="24"/>
          <w:szCs w:val="32"/>
        </w:rPr>
        <w:t xml:space="preserve"> jeb 4,8%, salīdzinot ar 2022. gadu, kas ir saistīts ar vidēj</w:t>
      </w:r>
      <w:r w:rsidR="00C86FB7" w:rsidRPr="00CF6F2B">
        <w:rPr>
          <w:rFonts w:eastAsia="Times New Roman" w:cs="Times New Roman"/>
          <w:noProof/>
          <w:color w:val="000000"/>
          <w:sz w:val="24"/>
          <w:szCs w:val="32"/>
        </w:rPr>
        <w:t>ā</w:t>
      </w:r>
      <w:r w:rsidRPr="00CF6F2B">
        <w:rPr>
          <w:rFonts w:eastAsia="Times New Roman" w:cs="Times New Roman"/>
          <w:noProof/>
          <w:color w:val="000000"/>
          <w:sz w:val="24"/>
          <w:szCs w:val="32"/>
        </w:rPr>
        <w:t xml:space="preserve"> pabalsta apmēra pieaugumu par 12,6%. Vidējā termiņā izdevumi slimības pabalstiem ik gadu pieaugs, neskatoties uz prognozēto saņēmēju skaita samazināšanos, jo vidējais pabalsta apmērs tiek prognozēts ar pieaugumu. </w:t>
      </w:r>
    </w:p>
    <w:p w14:paraId="49514FE7" w14:textId="77777777" w:rsidR="00C86FB7" w:rsidRPr="00CF6F2B" w:rsidRDefault="00C86FB7" w:rsidP="00D54A07">
      <w:pPr>
        <w:ind w:left="709" w:hanging="284"/>
        <w:rPr>
          <w:rFonts w:eastAsia="Times New Roman" w:cs="Times New Roman"/>
          <w:b/>
          <w:color w:val="000000"/>
          <w:sz w:val="24"/>
          <w:szCs w:val="24"/>
        </w:rPr>
      </w:pPr>
    </w:p>
    <w:p w14:paraId="786171CA" w14:textId="2991615F" w:rsidR="00A8405C" w:rsidRPr="00CF6F2B" w:rsidRDefault="00A8405C" w:rsidP="00D54A07">
      <w:pPr>
        <w:spacing w:after="120"/>
        <w:ind w:left="709" w:hanging="284"/>
        <w:rPr>
          <w:rFonts w:eastAsia="Times New Roman" w:cs="Times New Roman"/>
          <w:color w:val="000000"/>
          <w:sz w:val="24"/>
          <w:szCs w:val="24"/>
        </w:rPr>
      </w:pPr>
      <w:r w:rsidRPr="00CF6F2B">
        <w:rPr>
          <w:rFonts w:eastAsia="Times New Roman" w:cs="Times New Roman"/>
          <w:b/>
          <w:color w:val="000000"/>
          <w:sz w:val="24"/>
          <w:szCs w:val="24"/>
        </w:rPr>
        <w:t>Vietējās valdības budžets</w:t>
      </w:r>
    </w:p>
    <w:p w14:paraId="4D575C07" w14:textId="56C3A605" w:rsidR="00A8405C" w:rsidRPr="00CF6F2B" w:rsidRDefault="00A8405C" w:rsidP="00D54A07">
      <w:pPr>
        <w:numPr>
          <w:ilvl w:val="0"/>
          <w:numId w:val="27"/>
        </w:numPr>
        <w:spacing w:after="120"/>
        <w:ind w:left="714" w:hanging="357"/>
        <w:rPr>
          <w:rFonts w:eastAsia="Calibri" w:cs="Times New Roman"/>
          <w:sz w:val="24"/>
          <w:szCs w:val="24"/>
        </w:rPr>
      </w:pPr>
      <w:r w:rsidRPr="00CF6F2B">
        <w:rPr>
          <w:rFonts w:eastAsia="Calibri" w:cs="Times New Roman"/>
          <w:sz w:val="24"/>
          <w:szCs w:val="24"/>
        </w:rPr>
        <w:t>2023. gadā vietējās valdības budžetā sagaidāms deficīts, sasniedzot 0,1% no IKP, kamēr 2022. gadā pašvaldības saimniekojušas ar nelielu pārpalikumu. Lielāks budžeta deficīts galvenokārt skaidrojams ar zemāku ieņēmumu pieauguma tempu (+1,7%</w:t>
      </w:r>
      <w:r w:rsidR="00A6148C" w:rsidRPr="00CF6F2B">
        <w:rPr>
          <w:rFonts w:eastAsia="Calibri" w:cs="Times New Roman"/>
          <w:sz w:val="24"/>
          <w:szCs w:val="24"/>
        </w:rPr>
        <w:t xml:space="preserve"> </w:t>
      </w:r>
      <w:r w:rsidRPr="00CF6F2B">
        <w:rPr>
          <w:rFonts w:eastAsia="Calibri" w:cs="Times New Roman"/>
          <w:sz w:val="24"/>
          <w:szCs w:val="24"/>
        </w:rPr>
        <w:t>salīdzinājumā ar 2022. gadu</w:t>
      </w:r>
      <w:r w:rsidR="00A6148C" w:rsidRPr="00CF6F2B">
        <w:rPr>
          <w:rFonts w:eastAsia="Calibri" w:cs="Times New Roman"/>
          <w:sz w:val="24"/>
          <w:szCs w:val="24"/>
        </w:rPr>
        <w:t>) un</w:t>
      </w:r>
      <w:r w:rsidRPr="00CF6F2B">
        <w:rPr>
          <w:rFonts w:eastAsia="Calibri" w:cs="Times New Roman"/>
          <w:sz w:val="24"/>
          <w:szCs w:val="24"/>
        </w:rPr>
        <w:t xml:space="preserve"> izdevum</w:t>
      </w:r>
      <w:r w:rsidR="00A6148C" w:rsidRPr="00CF6F2B">
        <w:rPr>
          <w:rFonts w:eastAsia="Calibri" w:cs="Times New Roman"/>
          <w:sz w:val="24"/>
          <w:szCs w:val="24"/>
        </w:rPr>
        <w:t>u</w:t>
      </w:r>
      <w:r w:rsidRPr="00CF6F2B">
        <w:rPr>
          <w:rFonts w:eastAsia="Calibri" w:cs="Times New Roman"/>
          <w:sz w:val="24"/>
          <w:szCs w:val="24"/>
        </w:rPr>
        <w:t xml:space="preserve"> palielinā</w:t>
      </w:r>
      <w:r w:rsidR="00A6148C" w:rsidRPr="00CF6F2B">
        <w:rPr>
          <w:rFonts w:eastAsia="Calibri" w:cs="Times New Roman"/>
          <w:sz w:val="24"/>
          <w:szCs w:val="24"/>
        </w:rPr>
        <w:t>jumu</w:t>
      </w:r>
      <w:r w:rsidRPr="00CF6F2B">
        <w:rPr>
          <w:rFonts w:eastAsia="Calibri" w:cs="Times New Roman"/>
          <w:sz w:val="24"/>
          <w:szCs w:val="24"/>
        </w:rPr>
        <w:t xml:space="preserve"> par 4,7%. Neliels deficīts vietējās valdības budžetā prognozēts arī 2024. un 2025. gadā, bet 2026. gadā jau prognozēts pārpalikums 0,1% no IKP apmērā. Vietējās valdības budžetā nozīmīgas ir </w:t>
      </w:r>
      <w:r w:rsidR="00FC7524" w:rsidRPr="00CF6F2B">
        <w:rPr>
          <w:rFonts w:eastAsia="Calibri" w:cs="Times New Roman"/>
          <w:sz w:val="24"/>
          <w:szCs w:val="24"/>
        </w:rPr>
        <w:t>ārvalstu finanšu palīdzības</w:t>
      </w:r>
      <w:r w:rsidRPr="00CF6F2B">
        <w:rPr>
          <w:rFonts w:eastAsia="Calibri" w:cs="Times New Roman"/>
          <w:sz w:val="24"/>
          <w:szCs w:val="24"/>
        </w:rPr>
        <w:t xml:space="preserve"> investīciju plūsmas, kas ietekmē bilances svārstības pa gadiem.</w:t>
      </w:r>
    </w:p>
    <w:p w14:paraId="2B7245F2" w14:textId="58895E7C" w:rsidR="00A8405C" w:rsidRPr="00CF6F2B" w:rsidRDefault="00A8405C" w:rsidP="00D54A07">
      <w:pPr>
        <w:numPr>
          <w:ilvl w:val="0"/>
          <w:numId w:val="27"/>
        </w:numPr>
        <w:spacing w:after="120"/>
        <w:ind w:left="714" w:hanging="357"/>
        <w:rPr>
          <w:rFonts w:eastAsia="Calibri" w:cs="Times New Roman"/>
          <w:sz w:val="24"/>
          <w:szCs w:val="24"/>
        </w:rPr>
      </w:pPr>
      <w:r w:rsidRPr="00CF6F2B">
        <w:rPr>
          <w:rFonts w:eastAsia="Calibri" w:cs="Times New Roman"/>
          <w:sz w:val="24"/>
          <w:szCs w:val="24"/>
        </w:rPr>
        <w:t>Tiek prognozēts, ka 2023. gadā turpinās pieaugt izdevumi visa veida preču un pakalpojumu iegādei, ko nosaka augstās energoresursu cenas un inflācija, kā arī valsts finansējuma palielināšana izglītojamo ēdināšanai no 1. līdz 4. klasei (no 2,15 uz 3,09 </w:t>
      </w:r>
      <w:proofErr w:type="spellStart"/>
      <w:r w:rsidRPr="00CF6F2B">
        <w:rPr>
          <w:rFonts w:eastAsia="Calibri" w:cs="Times New Roman"/>
          <w:i/>
          <w:iCs/>
          <w:sz w:val="24"/>
          <w:szCs w:val="24"/>
        </w:rPr>
        <w:t>euro</w:t>
      </w:r>
      <w:proofErr w:type="spellEnd"/>
      <w:r w:rsidRPr="00CF6F2B">
        <w:rPr>
          <w:rFonts w:eastAsia="Calibri" w:cs="Times New Roman"/>
          <w:sz w:val="24"/>
          <w:szCs w:val="24"/>
        </w:rPr>
        <w:t>). Tāpat tiek prognozēti augsti izdevumi sociālajam atbalstam</w:t>
      </w:r>
      <w:r w:rsidR="000A696B" w:rsidRPr="00CF6F2B">
        <w:rPr>
          <w:rFonts w:eastAsia="Calibri" w:cs="Times New Roman"/>
          <w:sz w:val="24"/>
          <w:szCs w:val="24"/>
        </w:rPr>
        <w:t xml:space="preserve">, kā iemeslus minot </w:t>
      </w:r>
      <w:proofErr w:type="spellStart"/>
      <w:r w:rsidR="000A696B" w:rsidRPr="00CF6F2B">
        <w:rPr>
          <w:rFonts w:eastAsia="Calibri" w:cs="Times New Roman"/>
          <w:sz w:val="24"/>
          <w:szCs w:val="24"/>
        </w:rPr>
        <w:t>energoatbalsta</w:t>
      </w:r>
      <w:proofErr w:type="spellEnd"/>
      <w:r w:rsidR="000A696B" w:rsidRPr="00CF6F2B">
        <w:rPr>
          <w:rFonts w:eastAsia="Calibri" w:cs="Times New Roman"/>
          <w:sz w:val="24"/>
          <w:szCs w:val="24"/>
        </w:rPr>
        <w:t xml:space="preserve"> izmaksu pieaugumu, atbalstu ukraiņu bēgļiem un pabalstu palielināšanos</w:t>
      </w:r>
      <w:r w:rsidRPr="00CF6F2B">
        <w:rPr>
          <w:rFonts w:eastAsia="Calibri" w:cs="Times New Roman"/>
          <w:sz w:val="24"/>
          <w:szCs w:val="24"/>
        </w:rPr>
        <w:t xml:space="preserve"> saistībā ar minimālā ienākuma līmeņa celšanu. Izdevumu kāpumu 2023. gadā sekmēs arī darba samaksas pieaugums pašvaldībās. Augstāku izdevumu līmeni pašvaldību budžetā nosaka arī papildus piešķirtais finansējums </w:t>
      </w:r>
      <w:r w:rsidR="00B55561" w:rsidRPr="00CF6F2B">
        <w:rPr>
          <w:rFonts w:eastAsia="Calibri" w:cs="Times New Roman"/>
          <w:sz w:val="24"/>
          <w:szCs w:val="24"/>
        </w:rPr>
        <w:t xml:space="preserve">asistenta un pavadoņa pakalpojuma sniedzējiem, </w:t>
      </w:r>
      <w:r w:rsidRPr="00CF6F2B">
        <w:rPr>
          <w:rFonts w:eastAsia="Calibri" w:cs="Times New Roman"/>
          <w:sz w:val="24"/>
          <w:szCs w:val="24"/>
        </w:rPr>
        <w:t>pedagogu darba samaksas paaugstināšanai,</w:t>
      </w:r>
      <w:r w:rsidR="00B55561" w:rsidRPr="00CF6F2B">
        <w:rPr>
          <w:rFonts w:eastAsia="Calibri" w:cs="Times New Roman"/>
          <w:sz w:val="24"/>
          <w:szCs w:val="24"/>
        </w:rPr>
        <w:t xml:space="preserve"> kā arī</w:t>
      </w:r>
      <w:r w:rsidRPr="00CF6F2B">
        <w:rPr>
          <w:rFonts w:eastAsia="Calibri" w:cs="Times New Roman"/>
          <w:sz w:val="24"/>
          <w:szCs w:val="24"/>
        </w:rPr>
        <w:t xml:space="preserve"> minimālās algas paaugstināšanai 2023. un 2024. gadā. Tādējādi, vietējās valdības budžeta izdevumos 2023. gadā sagaidāms </w:t>
      </w:r>
      <w:r w:rsidRPr="00CF6F2B">
        <w:rPr>
          <w:rFonts w:eastAsia="Calibri" w:cs="Times New Roman"/>
          <w:sz w:val="24"/>
          <w:szCs w:val="24"/>
        </w:rPr>
        <w:lastRenderedPageBreak/>
        <w:t xml:space="preserve">pieaugums gan atlīdzībai (D.1), gan starppatēriņam (P.2). Tāpat šo pozīciju izdevumi mēreni pieaugs arī vidējā termiņā. </w:t>
      </w:r>
    </w:p>
    <w:p w14:paraId="0ED932B0" w14:textId="46F327FB" w:rsidR="001C5C16" w:rsidRPr="00CF6F2B" w:rsidRDefault="00A8405C" w:rsidP="00D54A07">
      <w:pPr>
        <w:spacing w:after="120"/>
        <w:rPr>
          <w:rFonts w:eastAsia="Calibri" w:cs="Times New Roman"/>
          <w:sz w:val="24"/>
          <w:szCs w:val="24"/>
        </w:rPr>
      </w:pPr>
      <w:r w:rsidRPr="00CF6F2B">
        <w:rPr>
          <w:rFonts w:eastAsia="Calibri" w:cs="Times New Roman"/>
          <w:sz w:val="24"/>
          <w:szCs w:val="24"/>
        </w:rPr>
        <w:t>Noslēdzoties Covid-19 augstās gatavības investīciju projektu īstenošanai un sa</w:t>
      </w:r>
      <w:r w:rsidR="00B55561" w:rsidRPr="00CF6F2B">
        <w:rPr>
          <w:rFonts w:eastAsia="Calibri" w:cs="Times New Roman"/>
          <w:sz w:val="24"/>
          <w:szCs w:val="24"/>
        </w:rPr>
        <w:t>rūkot</w:t>
      </w:r>
      <w:r w:rsidRPr="00CF6F2B">
        <w:rPr>
          <w:rFonts w:eastAsia="Calibri" w:cs="Times New Roman"/>
          <w:sz w:val="24"/>
          <w:szCs w:val="24"/>
        </w:rPr>
        <w:t xml:space="preserve"> pašvaldību aizņēmumu kopējam p</w:t>
      </w:r>
      <w:r w:rsidR="00B55561" w:rsidRPr="00CF6F2B">
        <w:rPr>
          <w:rFonts w:eastAsia="Calibri" w:cs="Times New Roman"/>
          <w:sz w:val="24"/>
          <w:szCs w:val="24"/>
        </w:rPr>
        <w:t>ieaugumam</w:t>
      </w:r>
      <w:r w:rsidRPr="00CF6F2B">
        <w:rPr>
          <w:rFonts w:eastAsia="Calibri" w:cs="Times New Roman"/>
          <w:sz w:val="24"/>
          <w:szCs w:val="24"/>
        </w:rPr>
        <w:t>, 2023. gadā sagaidāms kapitālo izdevumu (P.51g) samazinājums vietējās valdības budžetā, ko ietekmēs zemāks pamatfu</w:t>
      </w:r>
      <w:r w:rsidR="00B55561" w:rsidRPr="00CF6F2B">
        <w:rPr>
          <w:rFonts w:eastAsia="Calibri" w:cs="Times New Roman"/>
          <w:sz w:val="24"/>
          <w:szCs w:val="24"/>
        </w:rPr>
        <w:t>n</w:t>
      </w:r>
      <w:r w:rsidRPr="00CF6F2B">
        <w:rPr>
          <w:rFonts w:eastAsia="Calibri" w:cs="Times New Roman"/>
          <w:sz w:val="24"/>
          <w:szCs w:val="24"/>
        </w:rPr>
        <w:t>kciju izdevumu līmenis investīcijām, kamēr ārvalstu finanšu palīdzības finansēto projektu investīcijas vidējā termiņā gadu no gada pieaugs. Sākot ar 2024. gadu un turpmāk investīciju pieaugums nozīmīgā apmērā plānots ik gadu.</w:t>
      </w:r>
    </w:p>
    <w:p w14:paraId="61E705AB" w14:textId="6E5049D9" w:rsidR="00C13AFE" w:rsidRPr="00EB38BC" w:rsidRDefault="00C13AFE" w:rsidP="00C13AFE">
      <w:pPr>
        <w:pStyle w:val="Heading2"/>
        <w:numPr>
          <w:ilvl w:val="2"/>
          <w:numId w:val="10"/>
        </w:numPr>
        <w:spacing w:before="240" w:after="240"/>
        <w:ind w:left="0" w:firstLine="0"/>
        <w:rPr>
          <w:sz w:val="24"/>
          <w:szCs w:val="22"/>
        </w:rPr>
      </w:pPr>
      <w:bookmarkStart w:id="41" w:name="_Toc98250556"/>
      <w:bookmarkStart w:id="42" w:name="_Toc130571194"/>
      <w:bookmarkStart w:id="43" w:name="_Toc131331243"/>
      <w:r w:rsidRPr="00EB38BC">
        <w:rPr>
          <w:rFonts w:eastAsia="Times New Roman"/>
          <w:sz w:val="24"/>
          <w:szCs w:val="22"/>
        </w:rPr>
        <w:t>No fiskālās stratēģijas izrietošie fiskālie rādītāji un fiskālā telpa</w:t>
      </w:r>
      <w:bookmarkEnd w:id="43"/>
      <w:r w:rsidRPr="00EB38BC">
        <w:rPr>
          <w:rFonts w:eastAsia="Times New Roman"/>
          <w:sz w:val="24"/>
          <w:szCs w:val="22"/>
        </w:rPr>
        <w:t xml:space="preserve"> </w:t>
      </w:r>
      <w:bookmarkEnd w:id="41"/>
      <w:bookmarkEnd w:id="42"/>
    </w:p>
    <w:p w14:paraId="76D1517A" w14:textId="64AA9361" w:rsidR="00C13AFE" w:rsidRPr="00BA03D2" w:rsidRDefault="00C13AFE" w:rsidP="00D54A07">
      <w:pPr>
        <w:rPr>
          <w:rFonts w:eastAsia="Calibri" w:cs="Times New Roman"/>
          <w:sz w:val="24"/>
        </w:rPr>
      </w:pPr>
      <w:r w:rsidRPr="00EB38BC">
        <w:rPr>
          <w:rFonts w:eastAsia="Calibri" w:cs="Times New Roman"/>
          <w:sz w:val="24"/>
        </w:rPr>
        <w:t>Saskaņā ar fiskālo stratēģiju vispārējās valdības budžeta strukturālās bilances mērķi ir -0,5 % no IKP 2024. gadā, -0,5% no IKP 2025. gadā un 0,0 % no IKP 2026. gadā. No šiem mērķiem izrietošā vispārējās valdības nominālā bilance ir ap</w:t>
      </w:r>
      <w:r w:rsidRPr="00BA03D2">
        <w:rPr>
          <w:rFonts w:eastAsia="Calibri" w:cs="Times New Roman"/>
          <w:sz w:val="24"/>
        </w:rPr>
        <w:t>rēķināta 3.</w:t>
      </w:r>
      <w:r w:rsidR="00BA03D2" w:rsidRPr="00BA03D2">
        <w:rPr>
          <w:rFonts w:eastAsia="Calibri" w:cs="Times New Roman"/>
          <w:sz w:val="24"/>
        </w:rPr>
        <w:t>10</w:t>
      </w:r>
      <w:r w:rsidRPr="00BA03D2">
        <w:rPr>
          <w:rFonts w:eastAsia="Calibri" w:cs="Times New Roman"/>
          <w:sz w:val="24"/>
        </w:rPr>
        <w:t>. tabulā.</w:t>
      </w:r>
    </w:p>
    <w:p w14:paraId="572FA5C9" w14:textId="55830537" w:rsidR="00C13AFE" w:rsidRPr="00C13AFE" w:rsidRDefault="00C13AFE" w:rsidP="00C13AFE">
      <w:pPr>
        <w:spacing w:before="240" w:after="120"/>
        <w:ind w:left="2410" w:firstLine="0"/>
        <w:jc w:val="right"/>
        <w:rPr>
          <w:rFonts w:eastAsia="Calibri" w:cs="Times New Roman"/>
          <w:b/>
          <w:bCs/>
          <w:sz w:val="24"/>
        </w:rPr>
      </w:pPr>
      <w:r w:rsidRPr="00BA03D2">
        <w:rPr>
          <w:rFonts w:eastAsia="Calibri" w:cs="Times New Roman"/>
          <w:b/>
          <w:bCs/>
          <w:sz w:val="24"/>
        </w:rPr>
        <w:t>3.</w:t>
      </w:r>
      <w:r w:rsidR="00BA03D2" w:rsidRPr="00BA03D2">
        <w:rPr>
          <w:rFonts w:eastAsia="Calibri" w:cs="Times New Roman"/>
          <w:b/>
          <w:bCs/>
          <w:sz w:val="24"/>
        </w:rPr>
        <w:t>10</w:t>
      </w:r>
      <w:r w:rsidRPr="00BA03D2">
        <w:rPr>
          <w:rFonts w:eastAsia="Calibri" w:cs="Times New Roman"/>
          <w:b/>
          <w:bCs/>
          <w:sz w:val="24"/>
        </w:rPr>
        <w:t>. tabula. No strukturālās</w:t>
      </w:r>
      <w:r w:rsidRPr="00C13AFE">
        <w:rPr>
          <w:rFonts w:eastAsia="Calibri" w:cs="Times New Roman"/>
          <w:b/>
          <w:bCs/>
          <w:sz w:val="24"/>
        </w:rPr>
        <w:t xml:space="preserve"> bilances mērķa izrietošā vispārējās valdības budžeta nominālā bilance</w:t>
      </w:r>
    </w:p>
    <w:tbl>
      <w:tblPr>
        <w:tblW w:w="934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5226"/>
        <w:gridCol w:w="1432"/>
        <w:gridCol w:w="959"/>
        <w:gridCol w:w="864"/>
        <w:gridCol w:w="863"/>
      </w:tblGrid>
      <w:tr w:rsidR="00C13AFE" w:rsidRPr="00085AFE" w14:paraId="5AFD048B" w14:textId="77777777" w:rsidTr="00A834DD">
        <w:trPr>
          <w:trHeight w:val="364"/>
        </w:trPr>
        <w:tc>
          <w:tcPr>
            <w:tcW w:w="5226" w:type="dxa"/>
            <w:shd w:val="clear" w:color="auto" w:fill="DEEAF6" w:themeFill="accent1" w:themeFillTint="33"/>
            <w:noWrap/>
            <w:vAlign w:val="bottom"/>
            <w:hideMark/>
          </w:tcPr>
          <w:p w14:paraId="59F80295" w14:textId="77777777" w:rsidR="00C13AFE" w:rsidRPr="00085AFE" w:rsidRDefault="00C13AFE" w:rsidP="00A834DD">
            <w:pPr>
              <w:ind w:firstLine="0"/>
              <w:jc w:val="left"/>
              <w:rPr>
                <w:rFonts w:eastAsia="Times New Roman" w:cs="Times New Roman"/>
                <w:color w:val="000000"/>
                <w:sz w:val="18"/>
                <w:szCs w:val="18"/>
                <w:highlight w:val="lightGray"/>
                <w:lang w:eastAsia="lv-LV"/>
              </w:rPr>
            </w:pPr>
            <w:r w:rsidRPr="00F75FA1">
              <w:rPr>
                <w:rFonts w:eastAsia="Times New Roman" w:cs="Times New Roman"/>
                <w:color w:val="000000"/>
                <w:sz w:val="18"/>
                <w:szCs w:val="18"/>
                <w:lang w:eastAsia="lv-LV"/>
              </w:rPr>
              <w:t> </w:t>
            </w:r>
          </w:p>
        </w:tc>
        <w:tc>
          <w:tcPr>
            <w:tcW w:w="1432" w:type="dxa"/>
            <w:shd w:val="clear" w:color="auto" w:fill="DEEAF6" w:themeFill="accent1" w:themeFillTint="33"/>
            <w:noWrap/>
            <w:vAlign w:val="center"/>
            <w:hideMark/>
          </w:tcPr>
          <w:p w14:paraId="1A8803EB" w14:textId="77777777" w:rsidR="00C13AFE" w:rsidRPr="00CE1A00" w:rsidRDefault="00C13AFE" w:rsidP="00A834DD">
            <w:pPr>
              <w:ind w:firstLine="0"/>
              <w:jc w:val="left"/>
              <w:rPr>
                <w:rFonts w:eastAsia="Times New Roman" w:cs="Times New Roman"/>
                <w:color w:val="000000"/>
                <w:sz w:val="18"/>
                <w:szCs w:val="18"/>
                <w:lang w:eastAsia="lv-LV"/>
              </w:rPr>
            </w:pPr>
            <w:r w:rsidRPr="00CE1A00">
              <w:rPr>
                <w:rFonts w:eastAsia="Times New Roman" w:cs="Times New Roman"/>
                <w:color w:val="000000"/>
                <w:sz w:val="18"/>
                <w:szCs w:val="18"/>
                <w:lang w:eastAsia="lv-LV"/>
              </w:rPr>
              <w:t> </w:t>
            </w:r>
          </w:p>
        </w:tc>
        <w:tc>
          <w:tcPr>
            <w:tcW w:w="959" w:type="dxa"/>
            <w:shd w:val="clear" w:color="auto" w:fill="DEEAF6" w:themeFill="accent1" w:themeFillTint="33"/>
            <w:noWrap/>
            <w:vAlign w:val="center"/>
            <w:hideMark/>
          </w:tcPr>
          <w:p w14:paraId="6F0B1686" w14:textId="77777777" w:rsidR="00C13AFE" w:rsidRPr="00CE1A00" w:rsidRDefault="00C13AFE" w:rsidP="00A834DD">
            <w:pPr>
              <w:ind w:firstLine="0"/>
              <w:jc w:val="center"/>
              <w:rPr>
                <w:rFonts w:eastAsia="Times New Roman" w:cs="Times New Roman"/>
                <w:b/>
                <w:bCs/>
                <w:color w:val="000000"/>
                <w:sz w:val="18"/>
                <w:szCs w:val="18"/>
                <w:lang w:eastAsia="lv-LV"/>
              </w:rPr>
            </w:pPr>
            <w:r w:rsidRPr="00CE1A00">
              <w:rPr>
                <w:rFonts w:eastAsia="Times New Roman" w:cs="Times New Roman"/>
                <w:b/>
                <w:bCs/>
                <w:color w:val="000000"/>
                <w:sz w:val="18"/>
                <w:szCs w:val="18"/>
                <w:lang w:eastAsia="lv-LV"/>
              </w:rPr>
              <w:t>2024</w:t>
            </w:r>
          </w:p>
        </w:tc>
        <w:tc>
          <w:tcPr>
            <w:tcW w:w="864" w:type="dxa"/>
            <w:shd w:val="clear" w:color="auto" w:fill="DEEAF6" w:themeFill="accent1" w:themeFillTint="33"/>
            <w:noWrap/>
            <w:vAlign w:val="center"/>
            <w:hideMark/>
          </w:tcPr>
          <w:p w14:paraId="176C0FD0" w14:textId="77777777" w:rsidR="00C13AFE" w:rsidRPr="00CE1A00" w:rsidRDefault="00C13AFE" w:rsidP="00A834DD">
            <w:pPr>
              <w:ind w:firstLine="0"/>
              <w:jc w:val="center"/>
              <w:rPr>
                <w:rFonts w:eastAsia="Times New Roman" w:cs="Times New Roman"/>
                <w:b/>
                <w:bCs/>
                <w:color w:val="000000"/>
                <w:sz w:val="18"/>
                <w:szCs w:val="18"/>
                <w:lang w:eastAsia="lv-LV"/>
              </w:rPr>
            </w:pPr>
            <w:r w:rsidRPr="00CE1A00">
              <w:rPr>
                <w:rFonts w:eastAsia="Times New Roman" w:cs="Times New Roman"/>
                <w:b/>
                <w:bCs/>
                <w:color w:val="000000"/>
                <w:sz w:val="18"/>
                <w:szCs w:val="18"/>
                <w:lang w:eastAsia="lv-LV"/>
              </w:rPr>
              <w:t>2025</w:t>
            </w:r>
          </w:p>
        </w:tc>
        <w:tc>
          <w:tcPr>
            <w:tcW w:w="863" w:type="dxa"/>
            <w:shd w:val="clear" w:color="auto" w:fill="DEEAF6" w:themeFill="accent1" w:themeFillTint="33"/>
            <w:noWrap/>
            <w:vAlign w:val="center"/>
            <w:hideMark/>
          </w:tcPr>
          <w:p w14:paraId="27A75F3A" w14:textId="77777777" w:rsidR="00C13AFE" w:rsidRPr="00CE1A00" w:rsidRDefault="00C13AFE" w:rsidP="00A834DD">
            <w:pPr>
              <w:ind w:firstLine="0"/>
              <w:jc w:val="center"/>
              <w:rPr>
                <w:rFonts w:eastAsia="Times New Roman" w:cs="Times New Roman"/>
                <w:b/>
                <w:bCs/>
                <w:color w:val="000000"/>
                <w:sz w:val="18"/>
                <w:szCs w:val="18"/>
                <w:lang w:eastAsia="lv-LV"/>
              </w:rPr>
            </w:pPr>
            <w:r w:rsidRPr="00CE1A00">
              <w:rPr>
                <w:rFonts w:eastAsia="Times New Roman" w:cs="Times New Roman"/>
                <w:b/>
                <w:bCs/>
                <w:color w:val="000000"/>
                <w:sz w:val="18"/>
                <w:szCs w:val="18"/>
                <w:lang w:eastAsia="lv-LV"/>
              </w:rPr>
              <w:t>2026</w:t>
            </w:r>
          </w:p>
        </w:tc>
      </w:tr>
      <w:tr w:rsidR="00C13AFE" w:rsidRPr="00213F13" w14:paraId="76C1E0B0" w14:textId="77777777" w:rsidTr="00A834DD">
        <w:trPr>
          <w:trHeight w:val="61"/>
        </w:trPr>
        <w:tc>
          <w:tcPr>
            <w:tcW w:w="5226" w:type="dxa"/>
            <w:shd w:val="clear" w:color="auto" w:fill="auto"/>
            <w:noWrap/>
            <w:vAlign w:val="bottom"/>
          </w:tcPr>
          <w:p w14:paraId="37A4257C" w14:textId="77777777" w:rsidR="00C13AFE" w:rsidRPr="00213F13" w:rsidRDefault="00C13AFE" w:rsidP="00A834DD">
            <w:pPr>
              <w:ind w:firstLine="0"/>
              <w:jc w:val="left"/>
              <w:rPr>
                <w:rFonts w:eastAsia="Times New Roman" w:cs="Times New Roman"/>
                <w:b/>
                <w:bCs/>
                <w:color w:val="000000"/>
                <w:sz w:val="20"/>
                <w:szCs w:val="20"/>
                <w:highlight w:val="lightGray"/>
                <w:lang w:eastAsia="lv-LV"/>
              </w:rPr>
            </w:pPr>
            <w:r>
              <w:rPr>
                <w:rFonts w:cs="Times New Roman"/>
                <w:b/>
                <w:bCs/>
                <w:color w:val="000000"/>
                <w:sz w:val="20"/>
                <w:szCs w:val="20"/>
              </w:rPr>
              <w:t>V</w:t>
            </w:r>
            <w:r w:rsidRPr="00213F13">
              <w:rPr>
                <w:rFonts w:cs="Times New Roman"/>
                <w:b/>
                <w:bCs/>
                <w:color w:val="000000"/>
                <w:sz w:val="20"/>
                <w:szCs w:val="20"/>
              </w:rPr>
              <w:t>ispārējās valdības strukturālās bilances mērķi, % no IKP</w:t>
            </w:r>
          </w:p>
        </w:tc>
        <w:tc>
          <w:tcPr>
            <w:tcW w:w="1432" w:type="dxa"/>
            <w:shd w:val="clear" w:color="auto" w:fill="auto"/>
            <w:noWrap/>
            <w:vAlign w:val="center"/>
          </w:tcPr>
          <w:p w14:paraId="2F3EC97C" w14:textId="77777777" w:rsidR="00C13AFE" w:rsidRPr="00CE1A00" w:rsidRDefault="00C13AFE" w:rsidP="00A834DD">
            <w:pPr>
              <w:ind w:firstLine="0"/>
              <w:jc w:val="left"/>
              <w:rPr>
                <w:rFonts w:eastAsia="Times New Roman" w:cs="Times New Roman"/>
                <w:b/>
                <w:bCs/>
                <w:color w:val="000000"/>
                <w:sz w:val="20"/>
                <w:szCs w:val="20"/>
                <w:lang w:eastAsia="lv-LV"/>
              </w:rPr>
            </w:pPr>
            <w:r w:rsidRPr="00CE1A00">
              <w:rPr>
                <w:rFonts w:eastAsia="Times New Roman" w:cs="Times New Roman"/>
                <w:b/>
                <w:bCs/>
                <w:color w:val="000000"/>
                <w:sz w:val="20"/>
                <w:szCs w:val="20"/>
                <w:lang w:eastAsia="lv-LV"/>
              </w:rPr>
              <w:t>(1)</w:t>
            </w:r>
          </w:p>
        </w:tc>
        <w:tc>
          <w:tcPr>
            <w:tcW w:w="959" w:type="dxa"/>
            <w:shd w:val="clear" w:color="auto" w:fill="auto"/>
            <w:noWrap/>
            <w:vAlign w:val="center"/>
          </w:tcPr>
          <w:p w14:paraId="16C45FCF" w14:textId="77777777" w:rsidR="00C13AFE" w:rsidRPr="00CE1A00" w:rsidRDefault="00C13AFE" w:rsidP="00A834DD">
            <w:pPr>
              <w:ind w:firstLine="0"/>
              <w:jc w:val="center"/>
              <w:rPr>
                <w:rFonts w:eastAsia="Times New Roman" w:cs="Times New Roman"/>
                <w:b/>
                <w:bCs/>
                <w:color w:val="000000"/>
                <w:sz w:val="20"/>
                <w:szCs w:val="20"/>
                <w:lang w:eastAsia="lv-LV"/>
              </w:rPr>
            </w:pPr>
            <w:r w:rsidRPr="00CE1A00">
              <w:rPr>
                <w:rFonts w:cs="Times New Roman"/>
                <w:b/>
                <w:bCs/>
                <w:sz w:val="20"/>
                <w:szCs w:val="20"/>
              </w:rPr>
              <w:t>-0,5</w:t>
            </w:r>
          </w:p>
        </w:tc>
        <w:tc>
          <w:tcPr>
            <w:tcW w:w="864" w:type="dxa"/>
            <w:shd w:val="clear" w:color="auto" w:fill="auto"/>
            <w:noWrap/>
            <w:vAlign w:val="center"/>
          </w:tcPr>
          <w:p w14:paraId="069C3FCD" w14:textId="77777777" w:rsidR="00C13AFE" w:rsidRPr="00CE1A00" w:rsidRDefault="00C13AFE" w:rsidP="00A834DD">
            <w:pPr>
              <w:ind w:firstLine="0"/>
              <w:jc w:val="center"/>
              <w:rPr>
                <w:rFonts w:eastAsia="Times New Roman" w:cs="Times New Roman"/>
                <w:b/>
                <w:bCs/>
                <w:color w:val="000000"/>
                <w:sz w:val="20"/>
                <w:szCs w:val="20"/>
                <w:lang w:eastAsia="lv-LV"/>
              </w:rPr>
            </w:pPr>
            <w:r w:rsidRPr="00CE1A00">
              <w:rPr>
                <w:rFonts w:cs="Times New Roman"/>
                <w:b/>
                <w:bCs/>
                <w:sz w:val="20"/>
                <w:szCs w:val="20"/>
              </w:rPr>
              <w:t>-0,5</w:t>
            </w:r>
          </w:p>
        </w:tc>
        <w:tc>
          <w:tcPr>
            <w:tcW w:w="863" w:type="dxa"/>
            <w:shd w:val="clear" w:color="auto" w:fill="auto"/>
            <w:noWrap/>
            <w:vAlign w:val="center"/>
          </w:tcPr>
          <w:p w14:paraId="33484668" w14:textId="77777777" w:rsidR="00C13AFE" w:rsidRPr="00CE1A00" w:rsidRDefault="00C13AFE" w:rsidP="00A834DD">
            <w:pPr>
              <w:ind w:firstLine="0"/>
              <w:jc w:val="center"/>
              <w:rPr>
                <w:rFonts w:eastAsia="Times New Roman" w:cs="Times New Roman"/>
                <w:b/>
                <w:bCs/>
                <w:color w:val="000000"/>
                <w:sz w:val="20"/>
                <w:szCs w:val="20"/>
                <w:lang w:eastAsia="lv-LV"/>
              </w:rPr>
            </w:pPr>
            <w:r w:rsidRPr="00CE1A00">
              <w:rPr>
                <w:rFonts w:cs="Times New Roman"/>
                <w:b/>
                <w:bCs/>
                <w:sz w:val="20"/>
                <w:szCs w:val="20"/>
              </w:rPr>
              <w:t>0,0</w:t>
            </w:r>
          </w:p>
        </w:tc>
      </w:tr>
      <w:tr w:rsidR="00C13AFE" w:rsidRPr="00213F13" w14:paraId="5D617A79" w14:textId="77777777" w:rsidTr="00A834DD">
        <w:trPr>
          <w:trHeight w:val="61"/>
        </w:trPr>
        <w:tc>
          <w:tcPr>
            <w:tcW w:w="5226" w:type="dxa"/>
            <w:shd w:val="clear" w:color="auto" w:fill="auto"/>
            <w:noWrap/>
            <w:vAlign w:val="bottom"/>
          </w:tcPr>
          <w:p w14:paraId="06D5C923" w14:textId="77777777" w:rsidR="00C13AFE" w:rsidRPr="00213F13" w:rsidRDefault="00C13AFE" w:rsidP="00A834DD">
            <w:pPr>
              <w:ind w:firstLine="0"/>
              <w:jc w:val="left"/>
              <w:rPr>
                <w:rFonts w:eastAsia="Times New Roman" w:cs="Times New Roman"/>
                <w:b/>
                <w:bCs/>
                <w:color w:val="000000"/>
                <w:sz w:val="20"/>
                <w:szCs w:val="20"/>
                <w:highlight w:val="lightGray"/>
                <w:lang w:eastAsia="lv-LV"/>
              </w:rPr>
            </w:pPr>
            <w:r w:rsidRPr="00213F13">
              <w:rPr>
                <w:rFonts w:cs="Times New Roman"/>
                <w:b/>
                <w:bCs/>
                <w:color w:val="000000"/>
                <w:sz w:val="20"/>
                <w:szCs w:val="20"/>
              </w:rPr>
              <w:t>Izlaižu starpība, % no potenciālā IKP</w:t>
            </w:r>
          </w:p>
        </w:tc>
        <w:tc>
          <w:tcPr>
            <w:tcW w:w="1432" w:type="dxa"/>
            <w:shd w:val="clear" w:color="auto" w:fill="auto"/>
            <w:noWrap/>
            <w:vAlign w:val="center"/>
            <w:hideMark/>
          </w:tcPr>
          <w:p w14:paraId="5291E74E" w14:textId="77777777" w:rsidR="00C13AFE" w:rsidRPr="00CE1A00" w:rsidRDefault="00C13AFE" w:rsidP="00A834DD">
            <w:pPr>
              <w:ind w:firstLine="0"/>
              <w:jc w:val="left"/>
              <w:rPr>
                <w:rFonts w:eastAsia="Times New Roman" w:cs="Times New Roman"/>
                <w:b/>
                <w:bCs/>
                <w:color w:val="000000"/>
                <w:sz w:val="20"/>
                <w:szCs w:val="20"/>
                <w:lang w:eastAsia="lv-LV"/>
              </w:rPr>
            </w:pPr>
            <w:r w:rsidRPr="00CE1A00">
              <w:rPr>
                <w:rFonts w:eastAsia="Times New Roman" w:cs="Times New Roman"/>
                <w:b/>
                <w:bCs/>
                <w:color w:val="000000"/>
                <w:sz w:val="20"/>
                <w:szCs w:val="20"/>
                <w:lang w:eastAsia="lv-LV"/>
              </w:rPr>
              <w:t>(2)</w:t>
            </w:r>
          </w:p>
        </w:tc>
        <w:tc>
          <w:tcPr>
            <w:tcW w:w="959" w:type="dxa"/>
            <w:shd w:val="clear" w:color="auto" w:fill="auto"/>
            <w:noWrap/>
            <w:vAlign w:val="center"/>
          </w:tcPr>
          <w:p w14:paraId="42637FE4" w14:textId="77777777" w:rsidR="00C13AFE" w:rsidRPr="00CE1A00" w:rsidRDefault="00C13AFE" w:rsidP="00A834DD">
            <w:pPr>
              <w:ind w:firstLine="0"/>
              <w:jc w:val="center"/>
              <w:rPr>
                <w:rFonts w:eastAsia="Times New Roman" w:cs="Times New Roman"/>
                <w:b/>
                <w:bCs/>
                <w:color w:val="000000"/>
                <w:sz w:val="20"/>
                <w:szCs w:val="20"/>
                <w:lang w:eastAsia="lv-LV"/>
              </w:rPr>
            </w:pPr>
            <w:r w:rsidRPr="00CE1A00">
              <w:rPr>
                <w:rFonts w:cs="Times New Roman"/>
                <w:b/>
                <w:bCs/>
                <w:sz w:val="20"/>
                <w:szCs w:val="20"/>
              </w:rPr>
              <w:t>-1,4</w:t>
            </w:r>
          </w:p>
        </w:tc>
        <w:tc>
          <w:tcPr>
            <w:tcW w:w="864" w:type="dxa"/>
            <w:shd w:val="clear" w:color="auto" w:fill="auto"/>
            <w:noWrap/>
            <w:vAlign w:val="center"/>
          </w:tcPr>
          <w:p w14:paraId="7E2E1E86" w14:textId="77777777" w:rsidR="00C13AFE" w:rsidRPr="00CE1A00" w:rsidRDefault="00C13AFE" w:rsidP="00A834DD">
            <w:pPr>
              <w:ind w:firstLine="0"/>
              <w:jc w:val="center"/>
              <w:rPr>
                <w:rFonts w:eastAsia="Times New Roman" w:cs="Times New Roman"/>
                <w:b/>
                <w:bCs/>
                <w:color w:val="000000"/>
                <w:sz w:val="20"/>
                <w:szCs w:val="20"/>
                <w:lang w:eastAsia="lv-LV"/>
              </w:rPr>
            </w:pPr>
            <w:r w:rsidRPr="00CE1A00">
              <w:rPr>
                <w:rFonts w:cs="Times New Roman"/>
                <w:b/>
                <w:bCs/>
                <w:sz w:val="20"/>
                <w:szCs w:val="20"/>
              </w:rPr>
              <w:t>-0,6</w:t>
            </w:r>
          </w:p>
        </w:tc>
        <w:tc>
          <w:tcPr>
            <w:tcW w:w="863" w:type="dxa"/>
            <w:shd w:val="clear" w:color="auto" w:fill="auto"/>
            <w:noWrap/>
            <w:vAlign w:val="center"/>
          </w:tcPr>
          <w:p w14:paraId="4A55EC92" w14:textId="77777777" w:rsidR="00C13AFE" w:rsidRPr="00CE1A00" w:rsidRDefault="00C13AFE" w:rsidP="00A834DD">
            <w:pPr>
              <w:ind w:firstLine="0"/>
              <w:jc w:val="center"/>
              <w:rPr>
                <w:rFonts w:eastAsia="Times New Roman" w:cs="Times New Roman"/>
                <w:b/>
                <w:bCs/>
                <w:color w:val="000000"/>
                <w:sz w:val="20"/>
                <w:szCs w:val="20"/>
                <w:lang w:eastAsia="lv-LV"/>
              </w:rPr>
            </w:pPr>
            <w:r w:rsidRPr="00CE1A00">
              <w:rPr>
                <w:rFonts w:cs="Times New Roman"/>
                <w:b/>
                <w:bCs/>
                <w:sz w:val="20"/>
                <w:szCs w:val="20"/>
              </w:rPr>
              <w:t>0,0</w:t>
            </w:r>
          </w:p>
        </w:tc>
      </w:tr>
      <w:tr w:rsidR="00C13AFE" w:rsidRPr="00213F13" w14:paraId="2103CBD6" w14:textId="77777777" w:rsidTr="00A834DD">
        <w:trPr>
          <w:trHeight w:val="61"/>
        </w:trPr>
        <w:tc>
          <w:tcPr>
            <w:tcW w:w="5226" w:type="dxa"/>
            <w:shd w:val="clear" w:color="auto" w:fill="auto"/>
            <w:noWrap/>
            <w:vAlign w:val="bottom"/>
          </w:tcPr>
          <w:p w14:paraId="7FA46133" w14:textId="77777777" w:rsidR="00C13AFE" w:rsidRPr="00213F13" w:rsidRDefault="00C13AFE" w:rsidP="00A834DD">
            <w:pPr>
              <w:ind w:firstLine="0"/>
              <w:jc w:val="left"/>
              <w:rPr>
                <w:rFonts w:eastAsia="Times New Roman" w:cs="Times New Roman"/>
                <w:b/>
                <w:bCs/>
                <w:color w:val="000000"/>
                <w:sz w:val="20"/>
                <w:szCs w:val="20"/>
                <w:highlight w:val="lightGray"/>
                <w:lang w:eastAsia="lv-LV"/>
              </w:rPr>
            </w:pPr>
            <w:r w:rsidRPr="00213F13">
              <w:rPr>
                <w:rFonts w:cs="Times New Roman"/>
                <w:b/>
                <w:bCs/>
                <w:color w:val="000000"/>
                <w:sz w:val="20"/>
                <w:szCs w:val="20"/>
              </w:rPr>
              <w:t>Bilances cikliskā komponente, % no IKP</w:t>
            </w:r>
          </w:p>
        </w:tc>
        <w:tc>
          <w:tcPr>
            <w:tcW w:w="1432" w:type="dxa"/>
            <w:shd w:val="clear" w:color="auto" w:fill="auto"/>
            <w:noWrap/>
            <w:vAlign w:val="center"/>
            <w:hideMark/>
          </w:tcPr>
          <w:p w14:paraId="6031DB49" w14:textId="77777777" w:rsidR="00C13AFE" w:rsidRPr="00CE1A00" w:rsidRDefault="00C13AFE" w:rsidP="00A834DD">
            <w:pPr>
              <w:ind w:firstLine="0"/>
              <w:jc w:val="left"/>
              <w:rPr>
                <w:rFonts w:eastAsia="Times New Roman" w:cs="Times New Roman"/>
                <w:b/>
                <w:bCs/>
                <w:color w:val="000000"/>
                <w:sz w:val="20"/>
                <w:szCs w:val="20"/>
                <w:lang w:eastAsia="lv-LV"/>
              </w:rPr>
            </w:pPr>
            <w:r w:rsidRPr="00CE1A00">
              <w:rPr>
                <w:rFonts w:eastAsia="Times New Roman" w:cs="Times New Roman"/>
                <w:b/>
                <w:bCs/>
                <w:color w:val="000000"/>
                <w:sz w:val="20"/>
                <w:szCs w:val="20"/>
                <w:lang w:eastAsia="lv-LV"/>
              </w:rPr>
              <w:t>(3)=0,378*(2)</w:t>
            </w:r>
          </w:p>
        </w:tc>
        <w:tc>
          <w:tcPr>
            <w:tcW w:w="959" w:type="dxa"/>
            <w:shd w:val="clear" w:color="auto" w:fill="auto"/>
            <w:noWrap/>
            <w:vAlign w:val="center"/>
          </w:tcPr>
          <w:p w14:paraId="73B65FCD" w14:textId="77777777" w:rsidR="00C13AFE" w:rsidRPr="00CE1A00" w:rsidRDefault="00C13AFE" w:rsidP="00A834DD">
            <w:pPr>
              <w:ind w:firstLine="0"/>
              <w:jc w:val="center"/>
              <w:rPr>
                <w:rFonts w:eastAsia="Times New Roman" w:cs="Times New Roman"/>
                <w:b/>
                <w:bCs/>
                <w:color w:val="000000"/>
                <w:sz w:val="20"/>
                <w:szCs w:val="20"/>
                <w:lang w:eastAsia="lv-LV"/>
              </w:rPr>
            </w:pPr>
            <w:r w:rsidRPr="00CE1A00">
              <w:rPr>
                <w:rFonts w:cs="Times New Roman"/>
                <w:b/>
                <w:bCs/>
                <w:sz w:val="20"/>
                <w:szCs w:val="20"/>
              </w:rPr>
              <w:t>-0,5</w:t>
            </w:r>
          </w:p>
        </w:tc>
        <w:tc>
          <w:tcPr>
            <w:tcW w:w="864" w:type="dxa"/>
            <w:shd w:val="clear" w:color="auto" w:fill="auto"/>
            <w:noWrap/>
            <w:vAlign w:val="center"/>
          </w:tcPr>
          <w:p w14:paraId="368624F9" w14:textId="77777777" w:rsidR="00C13AFE" w:rsidRPr="00CE1A00" w:rsidRDefault="00C13AFE" w:rsidP="00A834DD">
            <w:pPr>
              <w:ind w:firstLine="0"/>
              <w:jc w:val="center"/>
              <w:rPr>
                <w:rFonts w:eastAsia="Times New Roman" w:cs="Times New Roman"/>
                <w:b/>
                <w:bCs/>
                <w:color w:val="000000"/>
                <w:sz w:val="20"/>
                <w:szCs w:val="20"/>
                <w:lang w:eastAsia="lv-LV"/>
              </w:rPr>
            </w:pPr>
            <w:r w:rsidRPr="00CE1A00">
              <w:rPr>
                <w:rFonts w:cs="Times New Roman"/>
                <w:b/>
                <w:bCs/>
                <w:sz w:val="20"/>
                <w:szCs w:val="20"/>
              </w:rPr>
              <w:t>-0,2</w:t>
            </w:r>
          </w:p>
        </w:tc>
        <w:tc>
          <w:tcPr>
            <w:tcW w:w="863" w:type="dxa"/>
            <w:shd w:val="clear" w:color="auto" w:fill="auto"/>
            <w:noWrap/>
            <w:vAlign w:val="center"/>
          </w:tcPr>
          <w:p w14:paraId="534534B4" w14:textId="77777777" w:rsidR="00C13AFE" w:rsidRPr="00CE1A00" w:rsidRDefault="00C13AFE" w:rsidP="00A834DD">
            <w:pPr>
              <w:ind w:firstLine="0"/>
              <w:jc w:val="center"/>
              <w:rPr>
                <w:rFonts w:eastAsia="Times New Roman" w:cs="Times New Roman"/>
                <w:b/>
                <w:bCs/>
                <w:color w:val="000000"/>
                <w:sz w:val="20"/>
                <w:szCs w:val="20"/>
                <w:lang w:eastAsia="lv-LV"/>
              </w:rPr>
            </w:pPr>
            <w:r w:rsidRPr="00CE1A00">
              <w:rPr>
                <w:rFonts w:cs="Times New Roman"/>
                <w:b/>
                <w:bCs/>
                <w:sz w:val="20"/>
                <w:szCs w:val="20"/>
              </w:rPr>
              <w:t>0,0</w:t>
            </w:r>
          </w:p>
        </w:tc>
      </w:tr>
      <w:tr w:rsidR="00C13AFE" w:rsidRPr="00213F13" w14:paraId="5701477B" w14:textId="77777777" w:rsidTr="00A834DD">
        <w:trPr>
          <w:trHeight w:val="61"/>
        </w:trPr>
        <w:tc>
          <w:tcPr>
            <w:tcW w:w="5226" w:type="dxa"/>
            <w:shd w:val="clear" w:color="auto" w:fill="auto"/>
            <w:noWrap/>
            <w:vAlign w:val="bottom"/>
          </w:tcPr>
          <w:p w14:paraId="29AFA08B" w14:textId="77777777" w:rsidR="00C13AFE" w:rsidRPr="00213F13" w:rsidRDefault="00C13AFE" w:rsidP="00A834DD">
            <w:pPr>
              <w:ind w:firstLine="0"/>
              <w:rPr>
                <w:rFonts w:eastAsia="Times New Roman" w:cs="Times New Roman"/>
                <w:b/>
                <w:bCs/>
                <w:i/>
                <w:iCs/>
                <w:color w:val="000000"/>
                <w:sz w:val="20"/>
                <w:szCs w:val="20"/>
                <w:highlight w:val="lightGray"/>
                <w:lang w:eastAsia="lv-LV"/>
              </w:rPr>
            </w:pPr>
            <w:proofErr w:type="spellStart"/>
            <w:r w:rsidRPr="00213F13">
              <w:rPr>
                <w:rFonts w:cs="Times New Roman"/>
                <w:b/>
                <w:bCs/>
                <w:i/>
                <w:iCs/>
                <w:color w:val="000000"/>
                <w:sz w:val="20"/>
                <w:szCs w:val="20"/>
              </w:rPr>
              <w:t>One-off</w:t>
            </w:r>
            <w:proofErr w:type="spellEnd"/>
            <w:r w:rsidRPr="00213F13">
              <w:rPr>
                <w:rFonts w:cs="Times New Roman"/>
                <w:b/>
                <w:bCs/>
                <w:i/>
                <w:iCs/>
                <w:color w:val="000000"/>
                <w:sz w:val="20"/>
                <w:szCs w:val="20"/>
              </w:rPr>
              <w:t xml:space="preserve"> un citi īslaicīgie pasākumi, % no IKP, tai skaitā</w:t>
            </w:r>
          </w:p>
        </w:tc>
        <w:tc>
          <w:tcPr>
            <w:tcW w:w="1432" w:type="dxa"/>
            <w:shd w:val="clear" w:color="auto" w:fill="auto"/>
            <w:noWrap/>
            <w:vAlign w:val="center"/>
            <w:hideMark/>
          </w:tcPr>
          <w:p w14:paraId="51AEB921" w14:textId="77777777" w:rsidR="00C13AFE" w:rsidRPr="00CE1A00" w:rsidRDefault="00C13AFE" w:rsidP="00A834DD">
            <w:pPr>
              <w:ind w:firstLine="0"/>
              <w:jc w:val="left"/>
              <w:rPr>
                <w:rFonts w:eastAsia="Times New Roman" w:cs="Times New Roman"/>
                <w:b/>
                <w:bCs/>
                <w:color w:val="000000"/>
                <w:sz w:val="20"/>
                <w:szCs w:val="20"/>
                <w:lang w:eastAsia="lv-LV"/>
              </w:rPr>
            </w:pPr>
            <w:r w:rsidRPr="00CE1A00">
              <w:rPr>
                <w:rFonts w:eastAsia="Times New Roman" w:cs="Times New Roman"/>
                <w:b/>
                <w:bCs/>
                <w:color w:val="000000"/>
                <w:sz w:val="20"/>
                <w:szCs w:val="20"/>
                <w:lang w:eastAsia="lv-LV"/>
              </w:rPr>
              <w:t>(4)</w:t>
            </w:r>
          </w:p>
        </w:tc>
        <w:tc>
          <w:tcPr>
            <w:tcW w:w="959" w:type="dxa"/>
            <w:shd w:val="clear" w:color="auto" w:fill="auto"/>
            <w:noWrap/>
            <w:vAlign w:val="center"/>
          </w:tcPr>
          <w:p w14:paraId="37010F84" w14:textId="77777777" w:rsidR="00C13AFE" w:rsidRPr="00CE1A00" w:rsidRDefault="00C13AFE" w:rsidP="00A834DD">
            <w:pPr>
              <w:ind w:firstLine="0"/>
              <w:jc w:val="center"/>
              <w:rPr>
                <w:rFonts w:eastAsia="Times New Roman" w:cs="Times New Roman"/>
                <w:b/>
                <w:bCs/>
                <w:color w:val="000000"/>
                <w:sz w:val="20"/>
                <w:szCs w:val="20"/>
                <w:lang w:eastAsia="lv-LV"/>
              </w:rPr>
            </w:pPr>
            <w:r w:rsidRPr="00CE1A00">
              <w:rPr>
                <w:rFonts w:cs="Times New Roman"/>
                <w:b/>
                <w:bCs/>
                <w:sz w:val="20"/>
                <w:szCs w:val="20"/>
              </w:rPr>
              <w:t>-1,5</w:t>
            </w:r>
          </w:p>
        </w:tc>
        <w:tc>
          <w:tcPr>
            <w:tcW w:w="864" w:type="dxa"/>
            <w:shd w:val="clear" w:color="auto" w:fill="auto"/>
            <w:noWrap/>
            <w:vAlign w:val="center"/>
          </w:tcPr>
          <w:p w14:paraId="3EBCFD57" w14:textId="77777777" w:rsidR="00C13AFE" w:rsidRPr="00CE1A00" w:rsidRDefault="00C13AFE" w:rsidP="00A834DD">
            <w:pPr>
              <w:ind w:firstLine="0"/>
              <w:jc w:val="center"/>
              <w:rPr>
                <w:rFonts w:eastAsia="Times New Roman" w:cs="Times New Roman"/>
                <w:b/>
                <w:bCs/>
                <w:color w:val="000000"/>
                <w:sz w:val="20"/>
                <w:szCs w:val="20"/>
                <w:lang w:eastAsia="lv-LV"/>
              </w:rPr>
            </w:pPr>
            <w:r w:rsidRPr="00CE1A00">
              <w:rPr>
                <w:rFonts w:cs="Times New Roman"/>
                <w:b/>
                <w:bCs/>
                <w:sz w:val="20"/>
                <w:szCs w:val="20"/>
              </w:rPr>
              <w:t>-1,5</w:t>
            </w:r>
          </w:p>
        </w:tc>
        <w:tc>
          <w:tcPr>
            <w:tcW w:w="863" w:type="dxa"/>
            <w:shd w:val="clear" w:color="auto" w:fill="auto"/>
            <w:noWrap/>
            <w:vAlign w:val="center"/>
          </w:tcPr>
          <w:p w14:paraId="734FC9E5" w14:textId="77777777" w:rsidR="00C13AFE" w:rsidRPr="00CE1A00" w:rsidRDefault="00C13AFE" w:rsidP="00A834DD">
            <w:pPr>
              <w:ind w:firstLine="0"/>
              <w:jc w:val="center"/>
              <w:rPr>
                <w:rFonts w:eastAsia="Times New Roman" w:cs="Times New Roman"/>
                <w:b/>
                <w:bCs/>
                <w:color w:val="000000"/>
                <w:sz w:val="20"/>
                <w:szCs w:val="20"/>
                <w:lang w:eastAsia="lv-LV"/>
              </w:rPr>
            </w:pPr>
            <w:r w:rsidRPr="00CE1A00">
              <w:rPr>
                <w:rFonts w:cs="Times New Roman"/>
                <w:b/>
                <w:bCs/>
                <w:sz w:val="20"/>
                <w:szCs w:val="20"/>
              </w:rPr>
              <w:t>-0,7</w:t>
            </w:r>
          </w:p>
        </w:tc>
      </w:tr>
      <w:tr w:rsidR="00C13AFE" w:rsidRPr="00085AFE" w14:paraId="727E295F" w14:textId="77777777" w:rsidTr="00A834DD">
        <w:trPr>
          <w:trHeight w:val="61"/>
        </w:trPr>
        <w:tc>
          <w:tcPr>
            <w:tcW w:w="5226" w:type="dxa"/>
            <w:shd w:val="clear" w:color="auto" w:fill="auto"/>
            <w:noWrap/>
            <w:vAlign w:val="bottom"/>
          </w:tcPr>
          <w:p w14:paraId="67202C19" w14:textId="77777777" w:rsidR="00C13AFE" w:rsidRPr="00213F13" w:rsidRDefault="00C13AFE" w:rsidP="00A834DD">
            <w:pPr>
              <w:ind w:firstLineChars="200" w:firstLine="400"/>
              <w:jc w:val="left"/>
              <w:rPr>
                <w:rFonts w:eastAsia="Times New Roman" w:cs="Times New Roman"/>
                <w:color w:val="000000"/>
                <w:sz w:val="20"/>
                <w:szCs w:val="20"/>
                <w:highlight w:val="lightGray"/>
                <w:lang w:eastAsia="lv-LV"/>
              </w:rPr>
            </w:pPr>
            <w:r w:rsidRPr="00213F13">
              <w:rPr>
                <w:rFonts w:cs="Times New Roman"/>
                <w:color w:val="000000"/>
                <w:sz w:val="20"/>
                <w:szCs w:val="20"/>
              </w:rPr>
              <w:t>COVID -19 pandēmijas mazināšanas pasākumi</w:t>
            </w:r>
          </w:p>
        </w:tc>
        <w:tc>
          <w:tcPr>
            <w:tcW w:w="1432" w:type="dxa"/>
            <w:shd w:val="clear" w:color="auto" w:fill="auto"/>
            <w:noWrap/>
            <w:vAlign w:val="center"/>
            <w:hideMark/>
          </w:tcPr>
          <w:p w14:paraId="5848A2EE" w14:textId="77777777" w:rsidR="00C13AFE" w:rsidRPr="00CE1A00" w:rsidRDefault="00C13AFE" w:rsidP="00A834DD">
            <w:pPr>
              <w:ind w:firstLine="0"/>
              <w:jc w:val="left"/>
              <w:rPr>
                <w:rFonts w:eastAsia="Times New Roman" w:cs="Times New Roman"/>
                <w:color w:val="000000"/>
                <w:sz w:val="20"/>
                <w:szCs w:val="20"/>
                <w:lang w:eastAsia="lv-LV"/>
              </w:rPr>
            </w:pPr>
          </w:p>
        </w:tc>
        <w:tc>
          <w:tcPr>
            <w:tcW w:w="959" w:type="dxa"/>
            <w:shd w:val="clear" w:color="auto" w:fill="auto"/>
            <w:noWrap/>
            <w:vAlign w:val="center"/>
          </w:tcPr>
          <w:p w14:paraId="759F7B38" w14:textId="77777777" w:rsidR="00C13AFE" w:rsidRPr="00CE1A00" w:rsidRDefault="00C13AFE" w:rsidP="00A834DD">
            <w:pPr>
              <w:ind w:firstLine="0"/>
              <w:jc w:val="center"/>
              <w:rPr>
                <w:rFonts w:eastAsia="Times New Roman" w:cs="Times New Roman"/>
                <w:color w:val="000000"/>
                <w:sz w:val="20"/>
                <w:szCs w:val="20"/>
                <w:lang w:eastAsia="lv-LV"/>
              </w:rPr>
            </w:pPr>
            <w:r w:rsidRPr="00CE1A00">
              <w:rPr>
                <w:rFonts w:cs="Times New Roman"/>
                <w:sz w:val="20"/>
                <w:szCs w:val="20"/>
              </w:rPr>
              <w:t>0,0</w:t>
            </w:r>
          </w:p>
        </w:tc>
        <w:tc>
          <w:tcPr>
            <w:tcW w:w="864" w:type="dxa"/>
            <w:shd w:val="clear" w:color="auto" w:fill="auto"/>
            <w:noWrap/>
            <w:vAlign w:val="center"/>
          </w:tcPr>
          <w:p w14:paraId="02470FBB" w14:textId="77777777" w:rsidR="00C13AFE" w:rsidRPr="00CE1A00" w:rsidRDefault="00C13AFE" w:rsidP="00A834DD">
            <w:pPr>
              <w:ind w:firstLine="0"/>
              <w:jc w:val="center"/>
              <w:rPr>
                <w:rFonts w:eastAsia="Times New Roman" w:cs="Times New Roman"/>
                <w:color w:val="000000"/>
                <w:sz w:val="20"/>
                <w:szCs w:val="20"/>
                <w:lang w:eastAsia="lv-LV"/>
              </w:rPr>
            </w:pPr>
            <w:r w:rsidRPr="00CE1A00">
              <w:rPr>
                <w:rFonts w:cs="Times New Roman"/>
                <w:sz w:val="20"/>
                <w:szCs w:val="20"/>
              </w:rPr>
              <w:t>0,0</w:t>
            </w:r>
          </w:p>
        </w:tc>
        <w:tc>
          <w:tcPr>
            <w:tcW w:w="863" w:type="dxa"/>
            <w:shd w:val="clear" w:color="auto" w:fill="auto"/>
            <w:noWrap/>
            <w:vAlign w:val="center"/>
          </w:tcPr>
          <w:p w14:paraId="7B331A20" w14:textId="77777777" w:rsidR="00C13AFE" w:rsidRPr="00CE1A00" w:rsidRDefault="00C13AFE" w:rsidP="00A834DD">
            <w:pPr>
              <w:ind w:firstLine="0"/>
              <w:jc w:val="center"/>
              <w:rPr>
                <w:rFonts w:eastAsia="Times New Roman" w:cs="Times New Roman"/>
                <w:color w:val="000000"/>
                <w:sz w:val="20"/>
                <w:szCs w:val="20"/>
                <w:lang w:eastAsia="lv-LV"/>
              </w:rPr>
            </w:pPr>
            <w:r w:rsidRPr="00CE1A00">
              <w:rPr>
                <w:rFonts w:cs="Times New Roman"/>
                <w:sz w:val="20"/>
                <w:szCs w:val="20"/>
              </w:rPr>
              <w:t>0,0</w:t>
            </w:r>
          </w:p>
        </w:tc>
      </w:tr>
      <w:tr w:rsidR="00C13AFE" w:rsidRPr="00085AFE" w14:paraId="5F5C0E89" w14:textId="77777777" w:rsidTr="00A834DD">
        <w:trPr>
          <w:trHeight w:val="61"/>
        </w:trPr>
        <w:tc>
          <w:tcPr>
            <w:tcW w:w="5226" w:type="dxa"/>
            <w:shd w:val="clear" w:color="auto" w:fill="auto"/>
            <w:noWrap/>
            <w:vAlign w:val="bottom"/>
          </w:tcPr>
          <w:p w14:paraId="6D061A12" w14:textId="77777777" w:rsidR="00C13AFE" w:rsidRPr="00213F13" w:rsidRDefault="00C13AFE" w:rsidP="00A834DD">
            <w:pPr>
              <w:ind w:firstLineChars="200" w:firstLine="400"/>
              <w:jc w:val="left"/>
              <w:rPr>
                <w:rFonts w:eastAsia="Times New Roman" w:cs="Times New Roman"/>
                <w:color w:val="000000"/>
                <w:sz w:val="20"/>
                <w:szCs w:val="20"/>
                <w:highlight w:val="lightGray"/>
                <w:lang w:eastAsia="lv-LV"/>
              </w:rPr>
            </w:pPr>
            <w:r w:rsidRPr="00213F13">
              <w:rPr>
                <w:rFonts w:cs="Times New Roman"/>
                <w:color w:val="000000"/>
                <w:sz w:val="20"/>
                <w:szCs w:val="20"/>
              </w:rPr>
              <w:t>enerģijas cenas pieauguma mazināšanas pasākumi</w:t>
            </w:r>
          </w:p>
        </w:tc>
        <w:tc>
          <w:tcPr>
            <w:tcW w:w="1432" w:type="dxa"/>
            <w:shd w:val="clear" w:color="auto" w:fill="auto"/>
            <w:noWrap/>
            <w:vAlign w:val="center"/>
            <w:hideMark/>
          </w:tcPr>
          <w:p w14:paraId="1E23086C" w14:textId="77777777" w:rsidR="00C13AFE" w:rsidRPr="00CE1A00" w:rsidRDefault="00C13AFE" w:rsidP="00A834DD">
            <w:pPr>
              <w:ind w:firstLine="0"/>
              <w:jc w:val="left"/>
              <w:rPr>
                <w:rFonts w:eastAsia="Times New Roman" w:cs="Times New Roman"/>
                <w:color w:val="000000"/>
                <w:sz w:val="20"/>
                <w:szCs w:val="20"/>
                <w:lang w:eastAsia="lv-LV"/>
              </w:rPr>
            </w:pPr>
          </w:p>
        </w:tc>
        <w:tc>
          <w:tcPr>
            <w:tcW w:w="959" w:type="dxa"/>
            <w:shd w:val="clear" w:color="auto" w:fill="auto"/>
            <w:noWrap/>
            <w:vAlign w:val="center"/>
          </w:tcPr>
          <w:p w14:paraId="4106CFA8" w14:textId="77777777" w:rsidR="00C13AFE" w:rsidRPr="00CE1A00" w:rsidRDefault="00C13AFE" w:rsidP="00A834DD">
            <w:pPr>
              <w:ind w:firstLine="0"/>
              <w:jc w:val="center"/>
              <w:rPr>
                <w:rFonts w:eastAsia="Times New Roman" w:cs="Times New Roman"/>
                <w:color w:val="000000"/>
                <w:sz w:val="20"/>
                <w:szCs w:val="20"/>
                <w:lang w:eastAsia="lv-LV"/>
              </w:rPr>
            </w:pPr>
            <w:r w:rsidRPr="00CE1A00">
              <w:rPr>
                <w:rFonts w:cs="Times New Roman"/>
                <w:sz w:val="20"/>
                <w:szCs w:val="20"/>
              </w:rPr>
              <w:t>0,0</w:t>
            </w:r>
          </w:p>
        </w:tc>
        <w:tc>
          <w:tcPr>
            <w:tcW w:w="864" w:type="dxa"/>
            <w:shd w:val="clear" w:color="auto" w:fill="auto"/>
            <w:noWrap/>
            <w:vAlign w:val="center"/>
          </w:tcPr>
          <w:p w14:paraId="3D593141" w14:textId="77777777" w:rsidR="00C13AFE" w:rsidRPr="00CE1A00" w:rsidRDefault="00C13AFE" w:rsidP="00A834DD">
            <w:pPr>
              <w:ind w:firstLine="0"/>
              <w:jc w:val="center"/>
              <w:rPr>
                <w:rFonts w:eastAsia="Times New Roman" w:cs="Times New Roman"/>
                <w:color w:val="000000"/>
                <w:sz w:val="20"/>
                <w:szCs w:val="20"/>
                <w:lang w:eastAsia="lv-LV"/>
              </w:rPr>
            </w:pPr>
            <w:r w:rsidRPr="00CE1A00">
              <w:rPr>
                <w:rFonts w:cs="Times New Roman"/>
                <w:sz w:val="20"/>
                <w:szCs w:val="20"/>
              </w:rPr>
              <w:t>0,0</w:t>
            </w:r>
          </w:p>
        </w:tc>
        <w:tc>
          <w:tcPr>
            <w:tcW w:w="863" w:type="dxa"/>
            <w:shd w:val="clear" w:color="auto" w:fill="auto"/>
            <w:noWrap/>
            <w:vAlign w:val="center"/>
          </w:tcPr>
          <w:p w14:paraId="21C3608F" w14:textId="77777777" w:rsidR="00C13AFE" w:rsidRPr="00CE1A00" w:rsidRDefault="00C13AFE" w:rsidP="00A834DD">
            <w:pPr>
              <w:ind w:firstLine="0"/>
              <w:jc w:val="center"/>
              <w:rPr>
                <w:rFonts w:eastAsia="Times New Roman" w:cs="Times New Roman"/>
                <w:color w:val="000000"/>
                <w:sz w:val="20"/>
                <w:szCs w:val="20"/>
                <w:lang w:eastAsia="lv-LV"/>
              </w:rPr>
            </w:pPr>
            <w:r w:rsidRPr="00CE1A00">
              <w:rPr>
                <w:rFonts w:cs="Times New Roman"/>
                <w:sz w:val="20"/>
                <w:szCs w:val="20"/>
              </w:rPr>
              <w:t>0,0</w:t>
            </w:r>
          </w:p>
        </w:tc>
      </w:tr>
      <w:tr w:rsidR="00C13AFE" w:rsidRPr="00085AFE" w14:paraId="79C816EB" w14:textId="77777777" w:rsidTr="00A834DD">
        <w:trPr>
          <w:trHeight w:val="61"/>
        </w:trPr>
        <w:tc>
          <w:tcPr>
            <w:tcW w:w="5226" w:type="dxa"/>
            <w:shd w:val="clear" w:color="auto" w:fill="auto"/>
            <w:noWrap/>
            <w:vAlign w:val="bottom"/>
          </w:tcPr>
          <w:p w14:paraId="69A68DA3" w14:textId="77777777" w:rsidR="00C13AFE" w:rsidRPr="00213F13" w:rsidRDefault="00C13AFE" w:rsidP="00A834DD">
            <w:pPr>
              <w:ind w:firstLineChars="200" w:firstLine="400"/>
              <w:jc w:val="left"/>
              <w:rPr>
                <w:rFonts w:eastAsia="Times New Roman" w:cs="Times New Roman"/>
                <w:color w:val="000000"/>
                <w:sz w:val="20"/>
                <w:szCs w:val="20"/>
                <w:highlight w:val="lightGray"/>
                <w:lang w:eastAsia="lv-LV"/>
              </w:rPr>
            </w:pPr>
            <w:r w:rsidRPr="00213F13">
              <w:rPr>
                <w:rFonts w:cs="Times New Roman"/>
                <w:color w:val="000000"/>
                <w:sz w:val="20"/>
                <w:szCs w:val="20"/>
              </w:rPr>
              <w:t>aizsardzības un iekšējās drošības finansējums</w:t>
            </w:r>
          </w:p>
        </w:tc>
        <w:tc>
          <w:tcPr>
            <w:tcW w:w="1432" w:type="dxa"/>
            <w:shd w:val="clear" w:color="auto" w:fill="auto"/>
            <w:noWrap/>
            <w:vAlign w:val="center"/>
            <w:hideMark/>
          </w:tcPr>
          <w:p w14:paraId="35948753" w14:textId="77777777" w:rsidR="00C13AFE" w:rsidRPr="00CE1A00" w:rsidRDefault="00C13AFE" w:rsidP="00A834DD">
            <w:pPr>
              <w:ind w:firstLine="0"/>
              <w:jc w:val="left"/>
              <w:rPr>
                <w:rFonts w:eastAsia="Times New Roman" w:cs="Times New Roman"/>
                <w:color w:val="000000"/>
                <w:sz w:val="20"/>
                <w:szCs w:val="20"/>
                <w:lang w:eastAsia="lv-LV"/>
              </w:rPr>
            </w:pPr>
          </w:p>
        </w:tc>
        <w:tc>
          <w:tcPr>
            <w:tcW w:w="959" w:type="dxa"/>
            <w:shd w:val="clear" w:color="auto" w:fill="auto"/>
            <w:noWrap/>
            <w:vAlign w:val="center"/>
          </w:tcPr>
          <w:p w14:paraId="1E183E37" w14:textId="77777777" w:rsidR="00C13AFE" w:rsidRPr="00CE1A00" w:rsidRDefault="00C13AFE" w:rsidP="00A834DD">
            <w:pPr>
              <w:ind w:firstLine="0"/>
              <w:jc w:val="center"/>
              <w:rPr>
                <w:rFonts w:eastAsia="Times New Roman" w:cs="Times New Roman"/>
                <w:color w:val="000000"/>
                <w:sz w:val="20"/>
                <w:szCs w:val="20"/>
                <w:lang w:eastAsia="lv-LV"/>
              </w:rPr>
            </w:pPr>
            <w:r w:rsidRPr="00CE1A00">
              <w:rPr>
                <w:rFonts w:cs="Times New Roman"/>
                <w:sz w:val="20"/>
                <w:szCs w:val="20"/>
              </w:rPr>
              <w:t>-0,7</w:t>
            </w:r>
          </w:p>
        </w:tc>
        <w:tc>
          <w:tcPr>
            <w:tcW w:w="864" w:type="dxa"/>
            <w:shd w:val="clear" w:color="auto" w:fill="auto"/>
            <w:noWrap/>
            <w:vAlign w:val="center"/>
          </w:tcPr>
          <w:p w14:paraId="23178D43" w14:textId="77777777" w:rsidR="00C13AFE" w:rsidRPr="00CE1A00" w:rsidRDefault="00C13AFE" w:rsidP="00A834DD">
            <w:pPr>
              <w:ind w:firstLine="0"/>
              <w:jc w:val="center"/>
              <w:rPr>
                <w:rFonts w:eastAsia="Times New Roman" w:cs="Times New Roman"/>
                <w:color w:val="000000"/>
                <w:sz w:val="20"/>
                <w:szCs w:val="20"/>
                <w:lang w:eastAsia="lv-LV"/>
              </w:rPr>
            </w:pPr>
            <w:r w:rsidRPr="00CE1A00">
              <w:rPr>
                <w:rFonts w:cs="Times New Roman"/>
                <w:sz w:val="20"/>
                <w:szCs w:val="20"/>
              </w:rPr>
              <w:t>-0,7</w:t>
            </w:r>
          </w:p>
        </w:tc>
        <w:tc>
          <w:tcPr>
            <w:tcW w:w="863" w:type="dxa"/>
            <w:shd w:val="clear" w:color="auto" w:fill="auto"/>
            <w:noWrap/>
            <w:vAlign w:val="center"/>
          </w:tcPr>
          <w:p w14:paraId="59930F8A" w14:textId="77777777" w:rsidR="00C13AFE" w:rsidRPr="00CE1A00" w:rsidRDefault="00C13AFE" w:rsidP="00A834DD">
            <w:pPr>
              <w:ind w:firstLine="0"/>
              <w:jc w:val="center"/>
              <w:rPr>
                <w:rFonts w:eastAsia="Times New Roman" w:cs="Times New Roman"/>
                <w:color w:val="000000"/>
                <w:sz w:val="20"/>
                <w:szCs w:val="20"/>
                <w:lang w:eastAsia="lv-LV"/>
              </w:rPr>
            </w:pPr>
            <w:r w:rsidRPr="00CE1A00">
              <w:rPr>
                <w:rFonts w:cs="Times New Roman"/>
                <w:sz w:val="20"/>
                <w:szCs w:val="20"/>
              </w:rPr>
              <w:t>-0,7</w:t>
            </w:r>
          </w:p>
        </w:tc>
      </w:tr>
      <w:tr w:rsidR="00C13AFE" w:rsidRPr="00085AFE" w14:paraId="377EAB8B" w14:textId="77777777" w:rsidTr="00A834DD">
        <w:trPr>
          <w:trHeight w:val="61"/>
        </w:trPr>
        <w:tc>
          <w:tcPr>
            <w:tcW w:w="5226" w:type="dxa"/>
            <w:shd w:val="clear" w:color="auto" w:fill="auto"/>
            <w:noWrap/>
            <w:vAlign w:val="bottom"/>
          </w:tcPr>
          <w:p w14:paraId="0C2423E5" w14:textId="77777777" w:rsidR="00C13AFE" w:rsidRPr="00213F13" w:rsidRDefault="00C13AFE" w:rsidP="00A834DD">
            <w:pPr>
              <w:ind w:firstLineChars="200" w:firstLine="400"/>
              <w:jc w:val="left"/>
              <w:rPr>
                <w:rFonts w:eastAsia="Times New Roman" w:cs="Times New Roman"/>
                <w:color w:val="000000"/>
                <w:sz w:val="20"/>
                <w:szCs w:val="20"/>
                <w:highlight w:val="lightGray"/>
                <w:lang w:eastAsia="lv-LV"/>
              </w:rPr>
            </w:pPr>
            <w:r w:rsidRPr="00213F13">
              <w:rPr>
                <w:rFonts w:cs="Times New Roman"/>
                <w:sz w:val="20"/>
                <w:szCs w:val="20"/>
              </w:rPr>
              <w:t>atbalsts bēgļiem no Ukrainas</w:t>
            </w:r>
          </w:p>
        </w:tc>
        <w:tc>
          <w:tcPr>
            <w:tcW w:w="1432" w:type="dxa"/>
            <w:shd w:val="clear" w:color="auto" w:fill="auto"/>
            <w:noWrap/>
            <w:vAlign w:val="center"/>
          </w:tcPr>
          <w:p w14:paraId="6181B8AB" w14:textId="77777777" w:rsidR="00C13AFE" w:rsidRPr="00CE1A00" w:rsidRDefault="00C13AFE" w:rsidP="00A834DD">
            <w:pPr>
              <w:ind w:firstLine="0"/>
              <w:jc w:val="left"/>
              <w:rPr>
                <w:rFonts w:eastAsia="Times New Roman" w:cs="Times New Roman"/>
                <w:color w:val="000000"/>
                <w:sz w:val="20"/>
                <w:szCs w:val="20"/>
                <w:lang w:eastAsia="lv-LV"/>
              </w:rPr>
            </w:pPr>
          </w:p>
        </w:tc>
        <w:tc>
          <w:tcPr>
            <w:tcW w:w="959" w:type="dxa"/>
            <w:shd w:val="clear" w:color="auto" w:fill="auto"/>
            <w:noWrap/>
            <w:vAlign w:val="center"/>
          </w:tcPr>
          <w:p w14:paraId="489665F7" w14:textId="77777777" w:rsidR="00C13AFE" w:rsidRPr="00CE1A00" w:rsidRDefault="00C13AFE" w:rsidP="00A834DD">
            <w:pPr>
              <w:ind w:firstLine="0"/>
              <w:jc w:val="center"/>
              <w:rPr>
                <w:rFonts w:eastAsia="Times New Roman" w:cs="Times New Roman"/>
                <w:color w:val="000000"/>
                <w:sz w:val="20"/>
                <w:szCs w:val="20"/>
                <w:lang w:eastAsia="lv-LV"/>
              </w:rPr>
            </w:pPr>
            <w:r w:rsidRPr="00CE1A00">
              <w:rPr>
                <w:rFonts w:cs="Times New Roman"/>
                <w:sz w:val="20"/>
                <w:szCs w:val="20"/>
              </w:rPr>
              <w:t>0,0</w:t>
            </w:r>
          </w:p>
        </w:tc>
        <w:tc>
          <w:tcPr>
            <w:tcW w:w="864" w:type="dxa"/>
            <w:shd w:val="clear" w:color="auto" w:fill="auto"/>
            <w:noWrap/>
            <w:vAlign w:val="center"/>
          </w:tcPr>
          <w:p w14:paraId="4CD29982" w14:textId="77777777" w:rsidR="00C13AFE" w:rsidRPr="00CE1A00" w:rsidRDefault="00C13AFE" w:rsidP="00A834DD">
            <w:pPr>
              <w:ind w:firstLine="0"/>
              <w:jc w:val="center"/>
              <w:rPr>
                <w:rFonts w:eastAsia="Times New Roman" w:cs="Times New Roman"/>
                <w:color w:val="000000"/>
                <w:sz w:val="20"/>
                <w:szCs w:val="20"/>
                <w:lang w:eastAsia="lv-LV"/>
              </w:rPr>
            </w:pPr>
            <w:r w:rsidRPr="00CE1A00">
              <w:rPr>
                <w:rFonts w:cs="Times New Roman"/>
                <w:sz w:val="20"/>
                <w:szCs w:val="20"/>
              </w:rPr>
              <w:t>0,0</w:t>
            </w:r>
          </w:p>
        </w:tc>
        <w:tc>
          <w:tcPr>
            <w:tcW w:w="863" w:type="dxa"/>
            <w:shd w:val="clear" w:color="auto" w:fill="auto"/>
            <w:noWrap/>
            <w:vAlign w:val="center"/>
          </w:tcPr>
          <w:p w14:paraId="4657F5D4" w14:textId="77777777" w:rsidR="00C13AFE" w:rsidRPr="00CE1A00" w:rsidRDefault="00C13AFE" w:rsidP="00A834DD">
            <w:pPr>
              <w:ind w:firstLine="0"/>
              <w:jc w:val="center"/>
              <w:rPr>
                <w:rFonts w:eastAsia="Times New Roman" w:cs="Times New Roman"/>
                <w:color w:val="000000"/>
                <w:sz w:val="20"/>
                <w:szCs w:val="20"/>
                <w:lang w:eastAsia="lv-LV"/>
              </w:rPr>
            </w:pPr>
            <w:r w:rsidRPr="00CE1A00">
              <w:rPr>
                <w:rFonts w:cs="Times New Roman"/>
                <w:sz w:val="20"/>
                <w:szCs w:val="20"/>
              </w:rPr>
              <w:t>0,0</w:t>
            </w:r>
          </w:p>
        </w:tc>
      </w:tr>
      <w:tr w:rsidR="00C13AFE" w:rsidRPr="00085AFE" w14:paraId="0A7EACBB" w14:textId="77777777" w:rsidTr="00A834DD">
        <w:trPr>
          <w:trHeight w:val="61"/>
        </w:trPr>
        <w:tc>
          <w:tcPr>
            <w:tcW w:w="5226" w:type="dxa"/>
            <w:shd w:val="clear" w:color="auto" w:fill="auto"/>
            <w:noWrap/>
            <w:vAlign w:val="center"/>
          </w:tcPr>
          <w:p w14:paraId="1187D20F" w14:textId="77777777" w:rsidR="00C13AFE" w:rsidRPr="00213F13" w:rsidRDefault="00C13AFE" w:rsidP="00A834DD">
            <w:pPr>
              <w:ind w:left="451" w:firstLine="0"/>
              <w:jc w:val="left"/>
              <w:rPr>
                <w:rFonts w:eastAsia="Times New Roman" w:cs="Times New Roman"/>
                <w:color w:val="000000"/>
                <w:sz w:val="20"/>
                <w:szCs w:val="20"/>
                <w:highlight w:val="lightGray"/>
                <w:lang w:eastAsia="lv-LV"/>
              </w:rPr>
            </w:pPr>
            <w:r w:rsidRPr="00213F13">
              <w:rPr>
                <w:rFonts w:cs="Times New Roman"/>
                <w:sz w:val="20"/>
                <w:szCs w:val="20"/>
              </w:rPr>
              <w:t>vienreizējie izdevumi valsts aizsardzībai un iekšējai drošībai</w:t>
            </w:r>
          </w:p>
        </w:tc>
        <w:tc>
          <w:tcPr>
            <w:tcW w:w="1432" w:type="dxa"/>
            <w:shd w:val="clear" w:color="auto" w:fill="auto"/>
            <w:noWrap/>
            <w:vAlign w:val="center"/>
          </w:tcPr>
          <w:p w14:paraId="229245C5" w14:textId="77777777" w:rsidR="00C13AFE" w:rsidRPr="00CE1A00" w:rsidRDefault="00C13AFE" w:rsidP="00A834DD">
            <w:pPr>
              <w:ind w:firstLine="0"/>
              <w:jc w:val="left"/>
              <w:rPr>
                <w:rFonts w:eastAsia="Times New Roman" w:cs="Times New Roman"/>
                <w:color w:val="000000"/>
                <w:sz w:val="20"/>
                <w:szCs w:val="20"/>
                <w:lang w:eastAsia="lv-LV"/>
              </w:rPr>
            </w:pPr>
          </w:p>
        </w:tc>
        <w:tc>
          <w:tcPr>
            <w:tcW w:w="959" w:type="dxa"/>
            <w:shd w:val="clear" w:color="auto" w:fill="auto"/>
            <w:noWrap/>
            <w:vAlign w:val="center"/>
          </w:tcPr>
          <w:p w14:paraId="608B5282" w14:textId="77777777" w:rsidR="00C13AFE" w:rsidRPr="00CE1A00" w:rsidRDefault="00C13AFE" w:rsidP="00A834DD">
            <w:pPr>
              <w:ind w:firstLine="0"/>
              <w:jc w:val="center"/>
              <w:rPr>
                <w:rFonts w:eastAsia="Times New Roman" w:cs="Times New Roman"/>
                <w:color w:val="000000"/>
                <w:sz w:val="20"/>
                <w:szCs w:val="20"/>
                <w:lang w:eastAsia="lv-LV"/>
              </w:rPr>
            </w:pPr>
            <w:r w:rsidRPr="00CE1A00">
              <w:rPr>
                <w:rFonts w:cs="Times New Roman"/>
                <w:sz w:val="20"/>
                <w:szCs w:val="20"/>
              </w:rPr>
              <w:t>-0,8</w:t>
            </w:r>
          </w:p>
        </w:tc>
        <w:tc>
          <w:tcPr>
            <w:tcW w:w="864" w:type="dxa"/>
            <w:shd w:val="clear" w:color="auto" w:fill="auto"/>
            <w:noWrap/>
            <w:vAlign w:val="center"/>
          </w:tcPr>
          <w:p w14:paraId="5BE92B0D" w14:textId="77777777" w:rsidR="00C13AFE" w:rsidRPr="00CE1A00" w:rsidRDefault="00C13AFE" w:rsidP="00A834DD">
            <w:pPr>
              <w:ind w:firstLine="0"/>
              <w:jc w:val="center"/>
              <w:rPr>
                <w:rFonts w:eastAsia="Times New Roman" w:cs="Times New Roman"/>
                <w:color w:val="000000"/>
                <w:sz w:val="20"/>
                <w:szCs w:val="20"/>
                <w:lang w:eastAsia="lv-LV"/>
              </w:rPr>
            </w:pPr>
            <w:r w:rsidRPr="00CE1A00">
              <w:rPr>
                <w:rFonts w:cs="Times New Roman"/>
                <w:sz w:val="20"/>
                <w:szCs w:val="20"/>
              </w:rPr>
              <w:t>-0,7</w:t>
            </w:r>
          </w:p>
        </w:tc>
        <w:tc>
          <w:tcPr>
            <w:tcW w:w="863" w:type="dxa"/>
            <w:shd w:val="clear" w:color="auto" w:fill="auto"/>
            <w:noWrap/>
            <w:vAlign w:val="center"/>
          </w:tcPr>
          <w:p w14:paraId="1B258C28" w14:textId="77777777" w:rsidR="00C13AFE" w:rsidRPr="00CE1A00" w:rsidRDefault="00C13AFE" w:rsidP="00A834DD">
            <w:pPr>
              <w:ind w:firstLine="0"/>
              <w:jc w:val="center"/>
              <w:rPr>
                <w:rFonts w:eastAsia="Times New Roman" w:cs="Times New Roman"/>
                <w:color w:val="000000"/>
                <w:sz w:val="20"/>
                <w:szCs w:val="20"/>
                <w:lang w:eastAsia="lv-LV"/>
              </w:rPr>
            </w:pPr>
            <w:r w:rsidRPr="00CE1A00">
              <w:rPr>
                <w:rFonts w:cs="Times New Roman"/>
                <w:sz w:val="20"/>
                <w:szCs w:val="20"/>
              </w:rPr>
              <w:t>0,0</w:t>
            </w:r>
          </w:p>
        </w:tc>
      </w:tr>
      <w:tr w:rsidR="00C13AFE" w:rsidRPr="00085AFE" w14:paraId="03D645C6" w14:textId="77777777" w:rsidTr="00A834DD">
        <w:trPr>
          <w:trHeight w:val="61"/>
        </w:trPr>
        <w:tc>
          <w:tcPr>
            <w:tcW w:w="5226" w:type="dxa"/>
            <w:shd w:val="clear" w:color="auto" w:fill="DEEAF6" w:themeFill="accent1" w:themeFillTint="33"/>
            <w:noWrap/>
            <w:vAlign w:val="bottom"/>
          </w:tcPr>
          <w:p w14:paraId="38B53F60" w14:textId="77777777" w:rsidR="00C13AFE" w:rsidRPr="00213F13" w:rsidRDefault="00C13AFE" w:rsidP="00A834DD">
            <w:pPr>
              <w:ind w:firstLineChars="12" w:firstLine="24"/>
              <w:jc w:val="left"/>
              <w:rPr>
                <w:rFonts w:eastAsia="Times New Roman" w:cs="Times New Roman"/>
                <w:color w:val="000000"/>
                <w:sz w:val="20"/>
                <w:szCs w:val="20"/>
                <w:highlight w:val="lightGray"/>
                <w:lang w:eastAsia="lv-LV"/>
              </w:rPr>
            </w:pPr>
            <w:r>
              <w:rPr>
                <w:rFonts w:cs="Times New Roman"/>
                <w:b/>
                <w:bCs/>
                <w:color w:val="000000"/>
                <w:sz w:val="20"/>
                <w:szCs w:val="20"/>
              </w:rPr>
              <w:t>V</w:t>
            </w:r>
            <w:r w:rsidRPr="00213F13">
              <w:rPr>
                <w:rFonts w:cs="Times New Roman"/>
                <w:b/>
                <w:bCs/>
                <w:color w:val="000000"/>
                <w:sz w:val="20"/>
                <w:szCs w:val="20"/>
              </w:rPr>
              <w:t>ispārējās valdības bilance, % no IKP</w:t>
            </w:r>
          </w:p>
        </w:tc>
        <w:tc>
          <w:tcPr>
            <w:tcW w:w="1432" w:type="dxa"/>
            <w:shd w:val="clear" w:color="auto" w:fill="DEEAF6" w:themeFill="accent1" w:themeFillTint="33"/>
            <w:noWrap/>
            <w:vAlign w:val="center"/>
          </w:tcPr>
          <w:p w14:paraId="1C4D1D9E" w14:textId="77777777" w:rsidR="00C13AFE" w:rsidRPr="00CE1A00" w:rsidRDefault="00C13AFE" w:rsidP="00A834DD">
            <w:pPr>
              <w:ind w:firstLine="0"/>
              <w:jc w:val="left"/>
              <w:rPr>
                <w:rFonts w:eastAsia="Times New Roman" w:cs="Times New Roman"/>
                <w:color w:val="000000"/>
                <w:sz w:val="20"/>
                <w:szCs w:val="20"/>
                <w:lang w:eastAsia="lv-LV"/>
              </w:rPr>
            </w:pPr>
            <w:r w:rsidRPr="00CE1A00">
              <w:rPr>
                <w:rFonts w:eastAsia="Times New Roman" w:cs="Times New Roman"/>
                <w:b/>
                <w:bCs/>
                <w:color w:val="000000"/>
                <w:sz w:val="18"/>
                <w:szCs w:val="18"/>
                <w:lang w:eastAsia="lv-LV"/>
              </w:rPr>
              <w:t>(5)=(1)+(3)+(4)</w:t>
            </w:r>
          </w:p>
        </w:tc>
        <w:tc>
          <w:tcPr>
            <w:tcW w:w="959" w:type="dxa"/>
            <w:shd w:val="clear" w:color="auto" w:fill="DEEAF6" w:themeFill="accent1" w:themeFillTint="33"/>
            <w:noWrap/>
            <w:vAlign w:val="center"/>
          </w:tcPr>
          <w:p w14:paraId="557604C6" w14:textId="77777777" w:rsidR="00C13AFE" w:rsidRPr="00CE1A00" w:rsidRDefault="00C13AFE" w:rsidP="00A834DD">
            <w:pPr>
              <w:ind w:firstLine="0"/>
              <w:jc w:val="center"/>
              <w:rPr>
                <w:rFonts w:eastAsia="Times New Roman" w:cs="Times New Roman"/>
                <w:color w:val="000000"/>
                <w:sz w:val="20"/>
                <w:szCs w:val="20"/>
                <w:lang w:eastAsia="lv-LV"/>
              </w:rPr>
            </w:pPr>
            <w:r w:rsidRPr="00CE1A00">
              <w:rPr>
                <w:rFonts w:cs="Times New Roman"/>
                <w:b/>
                <w:bCs/>
                <w:sz w:val="20"/>
                <w:szCs w:val="20"/>
              </w:rPr>
              <w:t>-2,5</w:t>
            </w:r>
          </w:p>
        </w:tc>
        <w:tc>
          <w:tcPr>
            <w:tcW w:w="864" w:type="dxa"/>
            <w:shd w:val="clear" w:color="auto" w:fill="DEEAF6" w:themeFill="accent1" w:themeFillTint="33"/>
            <w:noWrap/>
            <w:vAlign w:val="center"/>
          </w:tcPr>
          <w:p w14:paraId="2BA1F99F" w14:textId="77777777" w:rsidR="00C13AFE" w:rsidRPr="00CE1A00" w:rsidRDefault="00C13AFE" w:rsidP="00A834DD">
            <w:pPr>
              <w:ind w:firstLine="0"/>
              <w:jc w:val="center"/>
              <w:rPr>
                <w:rFonts w:eastAsia="Times New Roman" w:cs="Times New Roman"/>
                <w:color w:val="000000"/>
                <w:sz w:val="20"/>
                <w:szCs w:val="20"/>
                <w:lang w:eastAsia="lv-LV"/>
              </w:rPr>
            </w:pPr>
            <w:r w:rsidRPr="00CE1A00">
              <w:rPr>
                <w:rFonts w:cs="Times New Roman"/>
                <w:b/>
                <w:bCs/>
                <w:sz w:val="20"/>
                <w:szCs w:val="20"/>
              </w:rPr>
              <w:t>-2,2</w:t>
            </w:r>
          </w:p>
        </w:tc>
        <w:tc>
          <w:tcPr>
            <w:tcW w:w="863" w:type="dxa"/>
            <w:shd w:val="clear" w:color="auto" w:fill="DEEAF6" w:themeFill="accent1" w:themeFillTint="33"/>
            <w:noWrap/>
            <w:vAlign w:val="center"/>
          </w:tcPr>
          <w:p w14:paraId="7FF20C7E" w14:textId="77777777" w:rsidR="00C13AFE" w:rsidRPr="00CE1A00" w:rsidRDefault="00C13AFE" w:rsidP="00A834DD">
            <w:pPr>
              <w:ind w:firstLine="0"/>
              <w:jc w:val="center"/>
              <w:rPr>
                <w:rFonts w:eastAsia="Times New Roman" w:cs="Times New Roman"/>
                <w:color w:val="000000"/>
                <w:sz w:val="20"/>
                <w:szCs w:val="20"/>
                <w:lang w:eastAsia="lv-LV"/>
              </w:rPr>
            </w:pPr>
            <w:r w:rsidRPr="00CE1A00">
              <w:rPr>
                <w:rFonts w:cs="Times New Roman"/>
                <w:b/>
                <w:bCs/>
                <w:sz w:val="20"/>
                <w:szCs w:val="20"/>
              </w:rPr>
              <w:t>-0,7</w:t>
            </w:r>
          </w:p>
        </w:tc>
      </w:tr>
    </w:tbl>
    <w:p w14:paraId="4E3F641E" w14:textId="77777777" w:rsidR="00C13AFE" w:rsidRPr="00085AFE" w:rsidRDefault="00C13AFE" w:rsidP="00C13AFE">
      <w:pPr>
        <w:ind w:firstLine="0"/>
        <w:rPr>
          <w:rFonts w:eastAsia="Calibri"/>
          <w:highlight w:val="lightGray"/>
        </w:rPr>
      </w:pPr>
    </w:p>
    <w:p w14:paraId="70F0ACA9" w14:textId="1B2E73BB" w:rsidR="00C13AFE" w:rsidRPr="00C13AFE" w:rsidRDefault="00C13AFE" w:rsidP="00C13AFE">
      <w:pPr>
        <w:spacing w:before="120" w:after="120"/>
        <w:ind w:firstLine="0"/>
        <w:jc w:val="right"/>
        <w:rPr>
          <w:rFonts w:eastAsia="Calibri"/>
        </w:rPr>
      </w:pPr>
      <w:r w:rsidRPr="00BA03D2">
        <w:rPr>
          <w:rFonts w:eastAsia="Calibri"/>
          <w:b/>
          <w:bCs/>
          <w:sz w:val="24"/>
          <w:szCs w:val="20"/>
        </w:rPr>
        <w:t>3.</w:t>
      </w:r>
      <w:r w:rsidR="00BA03D2" w:rsidRPr="00BA03D2">
        <w:rPr>
          <w:rFonts w:eastAsia="Calibri"/>
          <w:b/>
          <w:bCs/>
          <w:sz w:val="24"/>
          <w:szCs w:val="20"/>
        </w:rPr>
        <w:t>11</w:t>
      </w:r>
      <w:r w:rsidRPr="00BA03D2">
        <w:rPr>
          <w:rFonts w:eastAsia="Calibri"/>
          <w:b/>
          <w:bCs/>
          <w:sz w:val="24"/>
          <w:szCs w:val="20"/>
        </w:rPr>
        <w:t>.</w:t>
      </w:r>
      <w:r w:rsidRPr="00C13AFE">
        <w:rPr>
          <w:rFonts w:eastAsia="Calibri"/>
          <w:b/>
          <w:bCs/>
          <w:sz w:val="24"/>
          <w:szCs w:val="20"/>
        </w:rPr>
        <w:t xml:space="preserve"> tabula. Fiskālā telpa</w:t>
      </w:r>
    </w:p>
    <w:tbl>
      <w:tblPr>
        <w:tblW w:w="934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5278"/>
        <w:gridCol w:w="1443"/>
        <w:gridCol w:w="872"/>
        <w:gridCol w:w="877"/>
        <w:gridCol w:w="876"/>
      </w:tblGrid>
      <w:tr w:rsidR="00C13AFE" w:rsidRPr="00CE1A00" w14:paraId="256A8DEB" w14:textId="77777777" w:rsidTr="007C62F2">
        <w:trPr>
          <w:trHeight w:val="323"/>
          <w:tblHeader/>
        </w:trPr>
        <w:tc>
          <w:tcPr>
            <w:tcW w:w="5278" w:type="dxa"/>
            <w:shd w:val="clear" w:color="auto" w:fill="DEEAF6" w:themeFill="accent1" w:themeFillTint="33"/>
            <w:vAlign w:val="bottom"/>
            <w:hideMark/>
          </w:tcPr>
          <w:p w14:paraId="5C1CC076" w14:textId="77777777" w:rsidR="00C13AFE" w:rsidRPr="00CE1A00" w:rsidRDefault="00C13AFE" w:rsidP="00A834DD">
            <w:pPr>
              <w:ind w:firstLine="0"/>
              <w:jc w:val="left"/>
              <w:rPr>
                <w:rFonts w:eastAsia="Times New Roman" w:cs="Times New Roman"/>
                <w:color w:val="000000"/>
                <w:sz w:val="18"/>
                <w:szCs w:val="18"/>
                <w:lang w:eastAsia="lv-LV"/>
              </w:rPr>
            </w:pPr>
            <w:r w:rsidRPr="00CE1A00">
              <w:rPr>
                <w:rFonts w:eastAsia="Times New Roman" w:cs="Times New Roman"/>
                <w:color w:val="000000"/>
                <w:sz w:val="18"/>
                <w:szCs w:val="18"/>
                <w:lang w:eastAsia="lv-LV"/>
              </w:rPr>
              <w:t> </w:t>
            </w:r>
          </w:p>
        </w:tc>
        <w:tc>
          <w:tcPr>
            <w:tcW w:w="1443" w:type="dxa"/>
            <w:shd w:val="clear" w:color="auto" w:fill="DEEAF6" w:themeFill="accent1" w:themeFillTint="33"/>
            <w:noWrap/>
            <w:vAlign w:val="bottom"/>
            <w:hideMark/>
          </w:tcPr>
          <w:p w14:paraId="56104C74" w14:textId="77777777" w:rsidR="00C13AFE" w:rsidRPr="00CE1A00" w:rsidRDefault="00C13AFE" w:rsidP="00A834DD">
            <w:pPr>
              <w:ind w:firstLine="0"/>
              <w:jc w:val="left"/>
              <w:rPr>
                <w:rFonts w:eastAsia="Times New Roman" w:cs="Times New Roman"/>
                <w:color w:val="000000"/>
                <w:sz w:val="18"/>
                <w:szCs w:val="18"/>
                <w:lang w:eastAsia="lv-LV"/>
              </w:rPr>
            </w:pPr>
            <w:r w:rsidRPr="00CE1A00">
              <w:rPr>
                <w:rFonts w:eastAsia="Times New Roman" w:cs="Times New Roman"/>
                <w:color w:val="000000"/>
                <w:sz w:val="18"/>
                <w:szCs w:val="18"/>
                <w:lang w:eastAsia="lv-LV"/>
              </w:rPr>
              <w:t> </w:t>
            </w:r>
          </w:p>
        </w:tc>
        <w:tc>
          <w:tcPr>
            <w:tcW w:w="872" w:type="dxa"/>
            <w:shd w:val="clear" w:color="auto" w:fill="DEEAF6" w:themeFill="accent1" w:themeFillTint="33"/>
            <w:noWrap/>
            <w:vAlign w:val="bottom"/>
            <w:hideMark/>
          </w:tcPr>
          <w:p w14:paraId="4A51D2F6" w14:textId="77777777" w:rsidR="00C13AFE" w:rsidRPr="00CE1A00" w:rsidRDefault="00C13AFE" w:rsidP="00A834DD">
            <w:pPr>
              <w:ind w:firstLine="0"/>
              <w:jc w:val="center"/>
              <w:rPr>
                <w:rFonts w:eastAsia="Times New Roman" w:cs="Times New Roman"/>
                <w:b/>
                <w:bCs/>
                <w:color w:val="000000"/>
                <w:sz w:val="18"/>
                <w:szCs w:val="18"/>
                <w:lang w:eastAsia="lv-LV"/>
              </w:rPr>
            </w:pPr>
            <w:r w:rsidRPr="00CE1A00">
              <w:rPr>
                <w:rFonts w:eastAsia="Times New Roman" w:cs="Times New Roman"/>
                <w:b/>
                <w:bCs/>
                <w:color w:val="000000"/>
                <w:sz w:val="18"/>
                <w:szCs w:val="18"/>
                <w:lang w:eastAsia="lv-LV"/>
              </w:rPr>
              <w:t>2024</w:t>
            </w:r>
          </w:p>
        </w:tc>
        <w:tc>
          <w:tcPr>
            <w:tcW w:w="877" w:type="dxa"/>
            <w:shd w:val="clear" w:color="auto" w:fill="DEEAF6" w:themeFill="accent1" w:themeFillTint="33"/>
            <w:noWrap/>
            <w:vAlign w:val="bottom"/>
            <w:hideMark/>
          </w:tcPr>
          <w:p w14:paraId="4016F285" w14:textId="77777777" w:rsidR="00C13AFE" w:rsidRPr="00CE1A00" w:rsidRDefault="00C13AFE" w:rsidP="00A834DD">
            <w:pPr>
              <w:ind w:firstLine="0"/>
              <w:jc w:val="center"/>
              <w:rPr>
                <w:rFonts w:eastAsia="Times New Roman" w:cs="Times New Roman"/>
                <w:b/>
                <w:bCs/>
                <w:color w:val="000000"/>
                <w:sz w:val="18"/>
                <w:szCs w:val="18"/>
                <w:lang w:eastAsia="lv-LV"/>
              </w:rPr>
            </w:pPr>
            <w:r w:rsidRPr="00CE1A00">
              <w:rPr>
                <w:rFonts w:eastAsia="Times New Roman" w:cs="Times New Roman"/>
                <w:b/>
                <w:bCs/>
                <w:color w:val="000000"/>
                <w:sz w:val="18"/>
                <w:szCs w:val="18"/>
                <w:lang w:eastAsia="lv-LV"/>
              </w:rPr>
              <w:t>2025</w:t>
            </w:r>
          </w:p>
        </w:tc>
        <w:tc>
          <w:tcPr>
            <w:tcW w:w="876" w:type="dxa"/>
            <w:shd w:val="clear" w:color="auto" w:fill="DEEAF6" w:themeFill="accent1" w:themeFillTint="33"/>
            <w:noWrap/>
            <w:vAlign w:val="bottom"/>
            <w:hideMark/>
          </w:tcPr>
          <w:p w14:paraId="4B62B946" w14:textId="77777777" w:rsidR="00C13AFE" w:rsidRPr="00CE1A00" w:rsidRDefault="00C13AFE" w:rsidP="00A834DD">
            <w:pPr>
              <w:ind w:firstLine="0"/>
              <w:jc w:val="center"/>
              <w:rPr>
                <w:rFonts w:eastAsia="Times New Roman" w:cs="Times New Roman"/>
                <w:b/>
                <w:bCs/>
                <w:color w:val="000000"/>
                <w:sz w:val="18"/>
                <w:szCs w:val="18"/>
                <w:lang w:eastAsia="lv-LV"/>
              </w:rPr>
            </w:pPr>
            <w:r w:rsidRPr="00CE1A00">
              <w:rPr>
                <w:rFonts w:eastAsia="Times New Roman" w:cs="Times New Roman"/>
                <w:b/>
                <w:bCs/>
                <w:color w:val="000000"/>
                <w:sz w:val="18"/>
                <w:szCs w:val="18"/>
                <w:lang w:eastAsia="lv-LV"/>
              </w:rPr>
              <w:t>2026</w:t>
            </w:r>
          </w:p>
        </w:tc>
      </w:tr>
      <w:tr w:rsidR="00C13AFE" w:rsidRPr="00CE1A00" w14:paraId="54D72E40" w14:textId="77777777" w:rsidTr="00A834DD">
        <w:trPr>
          <w:trHeight w:val="190"/>
        </w:trPr>
        <w:tc>
          <w:tcPr>
            <w:tcW w:w="5278" w:type="dxa"/>
            <w:shd w:val="clear" w:color="auto" w:fill="auto"/>
            <w:vAlign w:val="center"/>
          </w:tcPr>
          <w:p w14:paraId="03D341E6" w14:textId="77777777" w:rsidR="00C13AFE" w:rsidRPr="00CE1A00" w:rsidRDefault="00C13AFE" w:rsidP="00A834DD">
            <w:pPr>
              <w:ind w:firstLine="0"/>
              <w:jc w:val="left"/>
              <w:rPr>
                <w:rFonts w:eastAsia="Times New Roman" w:cs="Times New Roman"/>
                <w:b/>
                <w:bCs/>
                <w:color w:val="000000"/>
                <w:sz w:val="18"/>
                <w:szCs w:val="18"/>
                <w:lang w:eastAsia="lv-LV"/>
              </w:rPr>
            </w:pPr>
            <w:r w:rsidRPr="00CE1A00">
              <w:rPr>
                <w:b/>
                <w:bCs/>
                <w:color w:val="000000"/>
                <w:sz w:val="20"/>
                <w:szCs w:val="20"/>
              </w:rPr>
              <w:t>Vispārējās valdības nominālās bilances prognoze pie nemainīgas politikas, % no IKP</w:t>
            </w:r>
          </w:p>
        </w:tc>
        <w:tc>
          <w:tcPr>
            <w:tcW w:w="1443" w:type="dxa"/>
            <w:shd w:val="clear" w:color="auto" w:fill="auto"/>
            <w:noWrap/>
            <w:vAlign w:val="center"/>
            <w:hideMark/>
          </w:tcPr>
          <w:p w14:paraId="5A93B9A5" w14:textId="77777777" w:rsidR="00C13AFE" w:rsidRPr="00CE1A00" w:rsidRDefault="00C13AFE" w:rsidP="00A834DD">
            <w:pPr>
              <w:ind w:firstLine="0"/>
              <w:jc w:val="left"/>
              <w:rPr>
                <w:rFonts w:eastAsia="Times New Roman" w:cs="Times New Roman"/>
                <w:b/>
                <w:bCs/>
                <w:color w:val="000000"/>
                <w:sz w:val="18"/>
                <w:szCs w:val="18"/>
                <w:lang w:eastAsia="lv-LV"/>
              </w:rPr>
            </w:pPr>
            <w:r w:rsidRPr="00CE1A00">
              <w:rPr>
                <w:rFonts w:eastAsia="Times New Roman" w:cs="Times New Roman"/>
                <w:b/>
                <w:bCs/>
                <w:color w:val="000000"/>
                <w:sz w:val="18"/>
                <w:szCs w:val="18"/>
                <w:lang w:eastAsia="lv-LV"/>
              </w:rPr>
              <w:t>(1)</w:t>
            </w:r>
          </w:p>
        </w:tc>
        <w:tc>
          <w:tcPr>
            <w:tcW w:w="872" w:type="dxa"/>
            <w:shd w:val="clear" w:color="auto" w:fill="auto"/>
            <w:noWrap/>
            <w:vAlign w:val="center"/>
          </w:tcPr>
          <w:p w14:paraId="7045C568" w14:textId="77777777" w:rsidR="00C13AFE" w:rsidRPr="00CE1A00" w:rsidRDefault="00C13AFE" w:rsidP="00A834DD">
            <w:pPr>
              <w:ind w:firstLine="0"/>
              <w:jc w:val="center"/>
              <w:rPr>
                <w:rFonts w:eastAsia="Times New Roman" w:cs="Times New Roman"/>
                <w:b/>
                <w:bCs/>
                <w:color w:val="000000"/>
                <w:sz w:val="18"/>
                <w:szCs w:val="18"/>
                <w:lang w:eastAsia="lv-LV"/>
              </w:rPr>
            </w:pPr>
            <w:r w:rsidRPr="00CE1A00">
              <w:rPr>
                <w:b/>
                <w:bCs/>
                <w:sz w:val="20"/>
                <w:szCs w:val="20"/>
              </w:rPr>
              <w:t>-2,4</w:t>
            </w:r>
          </w:p>
        </w:tc>
        <w:tc>
          <w:tcPr>
            <w:tcW w:w="877" w:type="dxa"/>
            <w:shd w:val="clear" w:color="auto" w:fill="auto"/>
            <w:noWrap/>
            <w:vAlign w:val="center"/>
          </w:tcPr>
          <w:p w14:paraId="3FB31826" w14:textId="77777777" w:rsidR="00C13AFE" w:rsidRPr="00CE1A00" w:rsidRDefault="00C13AFE" w:rsidP="00A834DD">
            <w:pPr>
              <w:ind w:firstLine="0"/>
              <w:jc w:val="center"/>
              <w:rPr>
                <w:rFonts w:eastAsia="Times New Roman" w:cs="Times New Roman"/>
                <w:b/>
                <w:bCs/>
                <w:color w:val="000000"/>
                <w:sz w:val="18"/>
                <w:szCs w:val="18"/>
                <w:lang w:eastAsia="lv-LV"/>
              </w:rPr>
            </w:pPr>
            <w:r w:rsidRPr="00CE1A00">
              <w:rPr>
                <w:b/>
                <w:bCs/>
                <w:sz w:val="20"/>
                <w:szCs w:val="20"/>
              </w:rPr>
              <w:t>-1,7</w:t>
            </w:r>
          </w:p>
        </w:tc>
        <w:tc>
          <w:tcPr>
            <w:tcW w:w="876" w:type="dxa"/>
            <w:shd w:val="clear" w:color="auto" w:fill="auto"/>
            <w:noWrap/>
            <w:vAlign w:val="center"/>
          </w:tcPr>
          <w:p w14:paraId="54B23CE6" w14:textId="77777777" w:rsidR="00C13AFE" w:rsidRPr="00CE1A00" w:rsidRDefault="00C13AFE" w:rsidP="00A834DD">
            <w:pPr>
              <w:ind w:firstLine="0"/>
              <w:jc w:val="center"/>
              <w:rPr>
                <w:rFonts w:eastAsia="Times New Roman" w:cs="Times New Roman"/>
                <w:b/>
                <w:bCs/>
                <w:color w:val="000000"/>
                <w:sz w:val="18"/>
                <w:szCs w:val="18"/>
                <w:lang w:eastAsia="lv-LV"/>
              </w:rPr>
            </w:pPr>
            <w:r w:rsidRPr="00CE1A00">
              <w:rPr>
                <w:b/>
                <w:bCs/>
                <w:sz w:val="20"/>
                <w:szCs w:val="20"/>
              </w:rPr>
              <w:t>-0,5</w:t>
            </w:r>
          </w:p>
        </w:tc>
      </w:tr>
      <w:tr w:rsidR="00C13AFE" w:rsidRPr="00CE1A00" w14:paraId="2B6CD9DD" w14:textId="77777777" w:rsidTr="00A834DD">
        <w:trPr>
          <w:trHeight w:val="54"/>
        </w:trPr>
        <w:tc>
          <w:tcPr>
            <w:tcW w:w="5278" w:type="dxa"/>
            <w:shd w:val="clear" w:color="auto" w:fill="auto"/>
            <w:vAlign w:val="center"/>
          </w:tcPr>
          <w:p w14:paraId="5E164043" w14:textId="77777777" w:rsidR="00C13AFE" w:rsidRPr="00CE1A00" w:rsidRDefault="00C13AFE" w:rsidP="00A834DD">
            <w:pPr>
              <w:ind w:firstLine="0"/>
              <w:jc w:val="left"/>
              <w:rPr>
                <w:rFonts w:eastAsia="Times New Roman" w:cs="Times New Roman"/>
                <w:b/>
                <w:bCs/>
                <w:color w:val="000000"/>
                <w:sz w:val="18"/>
                <w:szCs w:val="18"/>
                <w:lang w:eastAsia="lv-LV"/>
              </w:rPr>
            </w:pPr>
            <w:r w:rsidRPr="00CE1A00">
              <w:rPr>
                <w:b/>
                <w:bCs/>
                <w:color w:val="000000"/>
                <w:sz w:val="20"/>
                <w:szCs w:val="20"/>
              </w:rPr>
              <w:t>Izlaižu starpība, % no potenciālā IKP</w:t>
            </w:r>
          </w:p>
        </w:tc>
        <w:tc>
          <w:tcPr>
            <w:tcW w:w="1443" w:type="dxa"/>
            <w:shd w:val="clear" w:color="auto" w:fill="auto"/>
            <w:noWrap/>
            <w:vAlign w:val="center"/>
            <w:hideMark/>
          </w:tcPr>
          <w:p w14:paraId="16AC4394" w14:textId="77777777" w:rsidR="00C13AFE" w:rsidRPr="00CE1A00" w:rsidRDefault="00C13AFE" w:rsidP="00A834DD">
            <w:pPr>
              <w:ind w:firstLine="0"/>
              <w:jc w:val="left"/>
              <w:rPr>
                <w:rFonts w:eastAsia="Times New Roman" w:cs="Times New Roman"/>
                <w:b/>
                <w:bCs/>
                <w:color w:val="000000"/>
                <w:sz w:val="18"/>
                <w:szCs w:val="18"/>
                <w:lang w:eastAsia="lv-LV"/>
              </w:rPr>
            </w:pPr>
            <w:r w:rsidRPr="00CE1A00">
              <w:rPr>
                <w:rFonts w:eastAsia="Times New Roman" w:cs="Times New Roman"/>
                <w:b/>
                <w:bCs/>
                <w:color w:val="000000"/>
                <w:sz w:val="18"/>
                <w:szCs w:val="18"/>
                <w:lang w:eastAsia="lv-LV"/>
              </w:rPr>
              <w:t>(2)</w:t>
            </w:r>
          </w:p>
        </w:tc>
        <w:tc>
          <w:tcPr>
            <w:tcW w:w="872" w:type="dxa"/>
            <w:shd w:val="clear" w:color="auto" w:fill="auto"/>
            <w:noWrap/>
            <w:vAlign w:val="center"/>
          </w:tcPr>
          <w:p w14:paraId="69A93431" w14:textId="77777777" w:rsidR="00C13AFE" w:rsidRPr="00CE1A00" w:rsidRDefault="00C13AFE" w:rsidP="00A834DD">
            <w:pPr>
              <w:ind w:firstLine="0"/>
              <w:jc w:val="center"/>
              <w:rPr>
                <w:rFonts w:eastAsia="Times New Roman" w:cs="Times New Roman"/>
                <w:b/>
                <w:bCs/>
                <w:color w:val="000000"/>
                <w:sz w:val="18"/>
                <w:szCs w:val="18"/>
                <w:lang w:eastAsia="lv-LV"/>
              </w:rPr>
            </w:pPr>
            <w:r w:rsidRPr="00CE1A00">
              <w:rPr>
                <w:b/>
                <w:bCs/>
                <w:color w:val="000000"/>
                <w:sz w:val="20"/>
                <w:szCs w:val="20"/>
              </w:rPr>
              <w:t>-1,4</w:t>
            </w:r>
          </w:p>
        </w:tc>
        <w:tc>
          <w:tcPr>
            <w:tcW w:w="877" w:type="dxa"/>
            <w:shd w:val="clear" w:color="auto" w:fill="auto"/>
            <w:noWrap/>
            <w:vAlign w:val="center"/>
          </w:tcPr>
          <w:p w14:paraId="1B443B2E" w14:textId="77777777" w:rsidR="00C13AFE" w:rsidRPr="00CE1A00" w:rsidRDefault="00C13AFE" w:rsidP="00A834DD">
            <w:pPr>
              <w:ind w:firstLine="0"/>
              <w:jc w:val="center"/>
              <w:rPr>
                <w:rFonts w:eastAsia="Times New Roman" w:cs="Times New Roman"/>
                <w:b/>
                <w:bCs/>
                <w:color w:val="000000"/>
                <w:sz w:val="18"/>
                <w:szCs w:val="18"/>
                <w:lang w:eastAsia="lv-LV"/>
              </w:rPr>
            </w:pPr>
            <w:r w:rsidRPr="00CE1A00">
              <w:rPr>
                <w:b/>
                <w:bCs/>
                <w:color w:val="000000"/>
                <w:sz w:val="20"/>
                <w:szCs w:val="20"/>
              </w:rPr>
              <w:t>-0,6</w:t>
            </w:r>
          </w:p>
        </w:tc>
        <w:tc>
          <w:tcPr>
            <w:tcW w:w="876" w:type="dxa"/>
            <w:shd w:val="clear" w:color="auto" w:fill="auto"/>
            <w:noWrap/>
            <w:vAlign w:val="center"/>
          </w:tcPr>
          <w:p w14:paraId="239F2576" w14:textId="77777777" w:rsidR="00C13AFE" w:rsidRPr="00CE1A00" w:rsidRDefault="00C13AFE" w:rsidP="00A834DD">
            <w:pPr>
              <w:ind w:firstLine="0"/>
              <w:jc w:val="center"/>
              <w:rPr>
                <w:rFonts w:eastAsia="Times New Roman" w:cs="Times New Roman"/>
                <w:b/>
                <w:bCs/>
                <w:color w:val="000000"/>
                <w:sz w:val="18"/>
                <w:szCs w:val="18"/>
                <w:lang w:eastAsia="lv-LV"/>
              </w:rPr>
            </w:pPr>
            <w:r w:rsidRPr="00CE1A00">
              <w:rPr>
                <w:b/>
                <w:bCs/>
                <w:color w:val="000000"/>
                <w:sz w:val="20"/>
                <w:szCs w:val="20"/>
              </w:rPr>
              <w:t>0,0</w:t>
            </w:r>
          </w:p>
        </w:tc>
      </w:tr>
      <w:tr w:rsidR="00C13AFE" w:rsidRPr="00CE1A00" w14:paraId="15F0795B" w14:textId="77777777" w:rsidTr="00A834DD">
        <w:trPr>
          <w:trHeight w:val="54"/>
        </w:trPr>
        <w:tc>
          <w:tcPr>
            <w:tcW w:w="5278" w:type="dxa"/>
            <w:shd w:val="clear" w:color="auto" w:fill="auto"/>
            <w:vAlign w:val="center"/>
          </w:tcPr>
          <w:p w14:paraId="09EEBD65" w14:textId="77777777" w:rsidR="00C13AFE" w:rsidRPr="00CE1A00" w:rsidRDefault="00C13AFE" w:rsidP="00A834DD">
            <w:pPr>
              <w:ind w:firstLine="0"/>
              <w:jc w:val="left"/>
              <w:rPr>
                <w:rFonts w:eastAsia="Times New Roman" w:cs="Times New Roman"/>
                <w:b/>
                <w:bCs/>
                <w:color w:val="000000"/>
                <w:sz w:val="18"/>
                <w:szCs w:val="18"/>
                <w:lang w:eastAsia="lv-LV"/>
              </w:rPr>
            </w:pPr>
            <w:r w:rsidRPr="00CE1A00">
              <w:rPr>
                <w:b/>
                <w:bCs/>
                <w:color w:val="000000"/>
                <w:sz w:val="20"/>
                <w:szCs w:val="20"/>
              </w:rPr>
              <w:t>Bilances cikliskā komponente, % no IKP</w:t>
            </w:r>
          </w:p>
        </w:tc>
        <w:tc>
          <w:tcPr>
            <w:tcW w:w="1443" w:type="dxa"/>
            <w:shd w:val="clear" w:color="auto" w:fill="auto"/>
            <w:noWrap/>
            <w:vAlign w:val="center"/>
            <w:hideMark/>
          </w:tcPr>
          <w:p w14:paraId="26E47175" w14:textId="77777777" w:rsidR="00C13AFE" w:rsidRPr="00CE1A00" w:rsidRDefault="00C13AFE" w:rsidP="00A834DD">
            <w:pPr>
              <w:ind w:firstLine="0"/>
              <w:jc w:val="left"/>
              <w:rPr>
                <w:rFonts w:eastAsia="Times New Roman" w:cs="Times New Roman"/>
                <w:b/>
                <w:bCs/>
                <w:color w:val="000000"/>
                <w:sz w:val="18"/>
                <w:szCs w:val="18"/>
                <w:lang w:eastAsia="lv-LV"/>
              </w:rPr>
            </w:pPr>
            <w:r w:rsidRPr="00CE1A00">
              <w:rPr>
                <w:rFonts w:eastAsia="Times New Roman" w:cs="Times New Roman"/>
                <w:b/>
                <w:bCs/>
                <w:color w:val="000000"/>
                <w:sz w:val="18"/>
                <w:szCs w:val="18"/>
                <w:lang w:eastAsia="lv-LV"/>
              </w:rPr>
              <w:t>(3)=0,378*(2)</w:t>
            </w:r>
          </w:p>
        </w:tc>
        <w:tc>
          <w:tcPr>
            <w:tcW w:w="872" w:type="dxa"/>
            <w:shd w:val="clear" w:color="auto" w:fill="auto"/>
            <w:noWrap/>
            <w:vAlign w:val="center"/>
          </w:tcPr>
          <w:p w14:paraId="24E15DF6" w14:textId="77777777" w:rsidR="00C13AFE" w:rsidRPr="00CE1A00" w:rsidRDefault="00C13AFE" w:rsidP="00A834DD">
            <w:pPr>
              <w:ind w:firstLine="0"/>
              <w:jc w:val="center"/>
              <w:rPr>
                <w:rFonts w:eastAsia="Times New Roman" w:cs="Times New Roman"/>
                <w:b/>
                <w:bCs/>
                <w:color w:val="000000"/>
                <w:sz w:val="18"/>
                <w:szCs w:val="18"/>
                <w:lang w:eastAsia="lv-LV"/>
              </w:rPr>
            </w:pPr>
            <w:r w:rsidRPr="00CE1A00">
              <w:rPr>
                <w:b/>
                <w:bCs/>
                <w:color w:val="000000"/>
                <w:sz w:val="20"/>
                <w:szCs w:val="20"/>
              </w:rPr>
              <w:t>-0,5</w:t>
            </w:r>
          </w:p>
        </w:tc>
        <w:tc>
          <w:tcPr>
            <w:tcW w:w="877" w:type="dxa"/>
            <w:shd w:val="clear" w:color="auto" w:fill="auto"/>
            <w:noWrap/>
            <w:vAlign w:val="center"/>
          </w:tcPr>
          <w:p w14:paraId="74DE72A4" w14:textId="77777777" w:rsidR="00C13AFE" w:rsidRPr="00CE1A00" w:rsidRDefault="00C13AFE" w:rsidP="00A834DD">
            <w:pPr>
              <w:ind w:firstLine="0"/>
              <w:jc w:val="center"/>
              <w:rPr>
                <w:rFonts w:eastAsia="Times New Roman" w:cs="Times New Roman"/>
                <w:b/>
                <w:bCs/>
                <w:color w:val="000000"/>
                <w:sz w:val="18"/>
                <w:szCs w:val="18"/>
                <w:lang w:eastAsia="lv-LV"/>
              </w:rPr>
            </w:pPr>
            <w:r w:rsidRPr="00CE1A00">
              <w:rPr>
                <w:b/>
                <w:bCs/>
                <w:color w:val="000000"/>
                <w:sz w:val="20"/>
                <w:szCs w:val="20"/>
              </w:rPr>
              <w:t>-0,2</w:t>
            </w:r>
          </w:p>
        </w:tc>
        <w:tc>
          <w:tcPr>
            <w:tcW w:w="876" w:type="dxa"/>
            <w:shd w:val="clear" w:color="auto" w:fill="auto"/>
            <w:noWrap/>
            <w:vAlign w:val="center"/>
          </w:tcPr>
          <w:p w14:paraId="14E0FA56" w14:textId="77777777" w:rsidR="00C13AFE" w:rsidRPr="00CE1A00" w:rsidRDefault="00C13AFE" w:rsidP="00A834DD">
            <w:pPr>
              <w:ind w:firstLine="0"/>
              <w:jc w:val="center"/>
              <w:rPr>
                <w:rFonts w:eastAsia="Times New Roman" w:cs="Times New Roman"/>
                <w:b/>
                <w:bCs/>
                <w:color w:val="000000"/>
                <w:sz w:val="18"/>
                <w:szCs w:val="18"/>
                <w:lang w:eastAsia="lv-LV"/>
              </w:rPr>
            </w:pPr>
            <w:r w:rsidRPr="00CE1A00">
              <w:rPr>
                <w:b/>
                <w:bCs/>
                <w:color w:val="000000"/>
                <w:sz w:val="20"/>
                <w:szCs w:val="20"/>
              </w:rPr>
              <w:t>0,0</w:t>
            </w:r>
          </w:p>
        </w:tc>
      </w:tr>
      <w:tr w:rsidR="00C13AFE" w:rsidRPr="00CE1A00" w14:paraId="68F96480" w14:textId="77777777" w:rsidTr="00A834DD">
        <w:trPr>
          <w:trHeight w:val="231"/>
        </w:trPr>
        <w:tc>
          <w:tcPr>
            <w:tcW w:w="5278" w:type="dxa"/>
            <w:shd w:val="clear" w:color="auto" w:fill="auto"/>
            <w:vAlign w:val="center"/>
          </w:tcPr>
          <w:p w14:paraId="456C4FCE" w14:textId="77777777" w:rsidR="00C13AFE" w:rsidRPr="00CE1A00" w:rsidRDefault="00C13AFE" w:rsidP="00A834DD">
            <w:pPr>
              <w:ind w:firstLine="0"/>
              <w:jc w:val="left"/>
              <w:rPr>
                <w:rFonts w:eastAsia="Times New Roman" w:cs="Times New Roman"/>
                <w:b/>
                <w:bCs/>
                <w:color w:val="000000"/>
                <w:sz w:val="18"/>
                <w:szCs w:val="18"/>
                <w:lang w:eastAsia="lv-LV"/>
              </w:rPr>
            </w:pPr>
            <w:proofErr w:type="spellStart"/>
            <w:r w:rsidRPr="00CE1A00">
              <w:rPr>
                <w:b/>
                <w:bCs/>
                <w:i/>
                <w:iCs/>
                <w:color w:val="000000"/>
                <w:sz w:val="20"/>
                <w:szCs w:val="20"/>
              </w:rPr>
              <w:t>One-off</w:t>
            </w:r>
            <w:proofErr w:type="spellEnd"/>
            <w:r w:rsidRPr="00CE1A00">
              <w:rPr>
                <w:b/>
                <w:bCs/>
                <w:color w:val="000000"/>
                <w:sz w:val="20"/>
                <w:szCs w:val="20"/>
              </w:rPr>
              <w:t xml:space="preserve"> un citi īslaicīgie pasākumi, kas iekļauti nemainīgas politikas scenārijā, % no IKP, tai skaitā</w:t>
            </w:r>
          </w:p>
        </w:tc>
        <w:tc>
          <w:tcPr>
            <w:tcW w:w="1443" w:type="dxa"/>
            <w:shd w:val="clear" w:color="auto" w:fill="auto"/>
            <w:noWrap/>
            <w:vAlign w:val="center"/>
            <w:hideMark/>
          </w:tcPr>
          <w:p w14:paraId="673E7111" w14:textId="77777777" w:rsidR="00C13AFE" w:rsidRPr="00CE1A00" w:rsidRDefault="00C13AFE" w:rsidP="00A834DD">
            <w:pPr>
              <w:ind w:firstLine="0"/>
              <w:jc w:val="left"/>
              <w:rPr>
                <w:rFonts w:eastAsia="Times New Roman" w:cs="Times New Roman"/>
                <w:b/>
                <w:bCs/>
                <w:color w:val="000000"/>
                <w:sz w:val="18"/>
                <w:szCs w:val="18"/>
                <w:lang w:eastAsia="lv-LV"/>
              </w:rPr>
            </w:pPr>
            <w:r w:rsidRPr="00CE1A00">
              <w:rPr>
                <w:rFonts w:eastAsia="Times New Roman" w:cs="Times New Roman"/>
                <w:b/>
                <w:bCs/>
                <w:color w:val="000000"/>
                <w:sz w:val="18"/>
                <w:szCs w:val="18"/>
                <w:lang w:eastAsia="lv-LV"/>
              </w:rPr>
              <w:t>(4)</w:t>
            </w:r>
          </w:p>
        </w:tc>
        <w:tc>
          <w:tcPr>
            <w:tcW w:w="872" w:type="dxa"/>
            <w:shd w:val="clear" w:color="auto" w:fill="auto"/>
            <w:noWrap/>
            <w:vAlign w:val="center"/>
          </w:tcPr>
          <w:p w14:paraId="61849435" w14:textId="77777777" w:rsidR="00C13AFE" w:rsidRPr="00CE1A00" w:rsidRDefault="00C13AFE" w:rsidP="00A834DD">
            <w:pPr>
              <w:ind w:firstLine="0"/>
              <w:jc w:val="center"/>
              <w:rPr>
                <w:rFonts w:eastAsia="Times New Roman" w:cs="Times New Roman"/>
                <w:b/>
                <w:bCs/>
                <w:color w:val="000000"/>
                <w:sz w:val="18"/>
                <w:szCs w:val="18"/>
                <w:lang w:eastAsia="lv-LV"/>
              </w:rPr>
            </w:pPr>
            <w:r w:rsidRPr="00CE1A00">
              <w:rPr>
                <w:b/>
                <w:bCs/>
                <w:sz w:val="20"/>
                <w:szCs w:val="20"/>
              </w:rPr>
              <w:t>-1,5</w:t>
            </w:r>
          </w:p>
        </w:tc>
        <w:tc>
          <w:tcPr>
            <w:tcW w:w="877" w:type="dxa"/>
            <w:shd w:val="clear" w:color="auto" w:fill="auto"/>
            <w:noWrap/>
            <w:vAlign w:val="center"/>
          </w:tcPr>
          <w:p w14:paraId="363698D6" w14:textId="77777777" w:rsidR="00C13AFE" w:rsidRPr="00CE1A00" w:rsidRDefault="00C13AFE" w:rsidP="00A834DD">
            <w:pPr>
              <w:ind w:firstLine="0"/>
              <w:jc w:val="center"/>
              <w:rPr>
                <w:rFonts w:eastAsia="Times New Roman" w:cs="Times New Roman"/>
                <w:b/>
                <w:bCs/>
                <w:color w:val="000000"/>
                <w:sz w:val="18"/>
                <w:szCs w:val="18"/>
                <w:lang w:eastAsia="lv-LV"/>
              </w:rPr>
            </w:pPr>
            <w:r w:rsidRPr="00CE1A00">
              <w:rPr>
                <w:b/>
                <w:bCs/>
                <w:sz w:val="20"/>
                <w:szCs w:val="20"/>
              </w:rPr>
              <w:t>-1,5</w:t>
            </w:r>
          </w:p>
        </w:tc>
        <w:tc>
          <w:tcPr>
            <w:tcW w:w="876" w:type="dxa"/>
            <w:shd w:val="clear" w:color="auto" w:fill="auto"/>
            <w:noWrap/>
            <w:vAlign w:val="center"/>
          </w:tcPr>
          <w:p w14:paraId="67920C93" w14:textId="77777777" w:rsidR="00C13AFE" w:rsidRPr="00CE1A00" w:rsidRDefault="00C13AFE" w:rsidP="00A834DD">
            <w:pPr>
              <w:ind w:firstLine="0"/>
              <w:jc w:val="center"/>
              <w:rPr>
                <w:rFonts w:eastAsia="Times New Roman" w:cs="Times New Roman"/>
                <w:b/>
                <w:bCs/>
                <w:color w:val="000000"/>
                <w:sz w:val="18"/>
                <w:szCs w:val="18"/>
                <w:lang w:eastAsia="lv-LV"/>
              </w:rPr>
            </w:pPr>
            <w:r w:rsidRPr="00CE1A00">
              <w:rPr>
                <w:b/>
                <w:bCs/>
                <w:sz w:val="20"/>
                <w:szCs w:val="20"/>
              </w:rPr>
              <w:t>-0,7</w:t>
            </w:r>
          </w:p>
        </w:tc>
      </w:tr>
      <w:tr w:rsidR="00C13AFE" w:rsidRPr="00CE1A00" w14:paraId="159BB43D" w14:textId="77777777" w:rsidTr="00A834DD">
        <w:trPr>
          <w:trHeight w:val="54"/>
        </w:trPr>
        <w:tc>
          <w:tcPr>
            <w:tcW w:w="5278" w:type="dxa"/>
            <w:shd w:val="clear" w:color="auto" w:fill="auto"/>
            <w:vAlign w:val="bottom"/>
          </w:tcPr>
          <w:p w14:paraId="4291816E" w14:textId="77777777" w:rsidR="00C13AFE" w:rsidRPr="00CE1A00" w:rsidRDefault="00C13AFE" w:rsidP="00A834DD">
            <w:pPr>
              <w:ind w:firstLineChars="200" w:firstLine="400"/>
              <w:jc w:val="left"/>
              <w:rPr>
                <w:rFonts w:eastAsia="Times New Roman" w:cs="Times New Roman"/>
                <w:color w:val="000000"/>
                <w:sz w:val="18"/>
                <w:szCs w:val="18"/>
                <w:lang w:eastAsia="lv-LV"/>
              </w:rPr>
            </w:pPr>
            <w:r w:rsidRPr="00CE1A00">
              <w:rPr>
                <w:color w:val="000000"/>
                <w:sz w:val="20"/>
                <w:szCs w:val="20"/>
              </w:rPr>
              <w:t>COVID -19 pandēmijas mazināšanas pasākumi</w:t>
            </w:r>
          </w:p>
        </w:tc>
        <w:tc>
          <w:tcPr>
            <w:tcW w:w="1443" w:type="dxa"/>
            <w:shd w:val="clear" w:color="auto" w:fill="auto"/>
            <w:noWrap/>
            <w:vAlign w:val="center"/>
            <w:hideMark/>
          </w:tcPr>
          <w:p w14:paraId="631F2742" w14:textId="77777777" w:rsidR="00C13AFE" w:rsidRPr="00CE1A00" w:rsidRDefault="00C13AFE" w:rsidP="00A834DD">
            <w:pPr>
              <w:ind w:firstLine="0"/>
              <w:jc w:val="left"/>
              <w:rPr>
                <w:rFonts w:eastAsia="Times New Roman" w:cs="Times New Roman"/>
                <w:color w:val="000000"/>
                <w:sz w:val="18"/>
                <w:szCs w:val="18"/>
                <w:lang w:eastAsia="lv-LV"/>
              </w:rPr>
            </w:pPr>
            <w:r w:rsidRPr="00CE1A00">
              <w:rPr>
                <w:rFonts w:eastAsia="Times New Roman" w:cs="Times New Roman"/>
                <w:color w:val="000000"/>
                <w:sz w:val="18"/>
                <w:szCs w:val="18"/>
                <w:lang w:eastAsia="lv-LV"/>
              </w:rPr>
              <w:t> </w:t>
            </w:r>
          </w:p>
        </w:tc>
        <w:tc>
          <w:tcPr>
            <w:tcW w:w="872" w:type="dxa"/>
            <w:shd w:val="clear" w:color="auto" w:fill="auto"/>
            <w:noWrap/>
            <w:vAlign w:val="center"/>
          </w:tcPr>
          <w:p w14:paraId="3D320810" w14:textId="77777777" w:rsidR="00C13AFE" w:rsidRPr="00CE1A00" w:rsidRDefault="00C13AFE" w:rsidP="00A834DD">
            <w:pPr>
              <w:ind w:firstLine="0"/>
              <w:jc w:val="center"/>
              <w:rPr>
                <w:rFonts w:eastAsia="Times New Roman" w:cs="Times New Roman"/>
                <w:color w:val="000000"/>
                <w:sz w:val="18"/>
                <w:szCs w:val="18"/>
                <w:lang w:eastAsia="lv-LV"/>
              </w:rPr>
            </w:pPr>
            <w:r>
              <w:rPr>
                <w:sz w:val="20"/>
                <w:szCs w:val="20"/>
              </w:rPr>
              <w:t>0,0</w:t>
            </w:r>
          </w:p>
        </w:tc>
        <w:tc>
          <w:tcPr>
            <w:tcW w:w="877" w:type="dxa"/>
            <w:shd w:val="clear" w:color="auto" w:fill="auto"/>
            <w:noWrap/>
            <w:vAlign w:val="center"/>
          </w:tcPr>
          <w:p w14:paraId="436C15AB" w14:textId="77777777" w:rsidR="00C13AFE" w:rsidRPr="00CE1A00" w:rsidRDefault="00C13AFE" w:rsidP="00A834DD">
            <w:pPr>
              <w:ind w:firstLine="0"/>
              <w:jc w:val="center"/>
              <w:rPr>
                <w:rFonts w:eastAsia="Times New Roman" w:cs="Times New Roman"/>
                <w:color w:val="000000"/>
                <w:sz w:val="18"/>
                <w:szCs w:val="18"/>
                <w:lang w:eastAsia="lv-LV"/>
              </w:rPr>
            </w:pPr>
            <w:r>
              <w:rPr>
                <w:sz w:val="20"/>
                <w:szCs w:val="20"/>
              </w:rPr>
              <w:t>0,0</w:t>
            </w:r>
          </w:p>
        </w:tc>
        <w:tc>
          <w:tcPr>
            <w:tcW w:w="876" w:type="dxa"/>
            <w:shd w:val="clear" w:color="auto" w:fill="auto"/>
            <w:noWrap/>
            <w:vAlign w:val="center"/>
          </w:tcPr>
          <w:p w14:paraId="24882261" w14:textId="77777777" w:rsidR="00C13AFE" w:rsidRPr="00CE1A00" w:rsidRDefault="00C13AFE" w:rsidP="00A834DD">
            <w:pPr>
              <w:ind w:firstLine="0"/>
              <w:jc w:val="center"/>
              <w:rPr>
                <w:rFonts w:eastAsia="Times New Roman" w:cs="Times New Roman"/>
                <w:color w:val="000000"/>
                <w:sz w:val="18"/>
                <w:szCs w:val="18"/>
                <w:lang w:eastAsia="lv-LV"/>
              </w:rPr>
            </w:pPr>
            <w:r>
              <w:rPr>
                <w:sz w:val="20"/>
                <w:szCs w:val="20"/>
              </w:rPr>
              <w:t>0,0</w:t>
            </w:r>
          </w:p>
        </w:tc>
      </w:tr>
      <w:tr w:rsidR="00C13AFE" w:rsidRPr="00CE1A00" w14:paraId="417C2CF9" w14:textId="77777777" w:rsidTr="00A834DD">
        <w:trPr>
          <w:trHeight w:val="54"/>
        </w:trPr>
        <w:tc>
          <w:tcPr>
            <w:tcW w:w="5278" w:type="dxa"/>
            <w:shd w:val="clear" w:color="auto" w:fill="auto"/>
            <w:vAlign w:val="bottom"/>
          </w:tcPr>
          <w:p w14:paraId="115E4933" w14:textId="77777777" w:rsidR="00C13AFE" w:rsidRPr="00CE1A00" w:rsidRDefault="00C13AFE" w:rsidP="00A834DD">
            <w:pPr>
              <w:ind w:firstLineChars="200" w:firstLine="400"/>
              <w:jc w:val="left"/>
              <w:rPr>
                <w:rFonts w:eastAsia="Times New Roman" w:cs="Times New Roman"/>
                <w:color w:val="000000"/>
                <w:sz w:val="18"/>
                <w:szCs w:val="18"/>
                <w:lang w:eastAsia="lv-LV"/>
              </w:rPr>
            </w:pPr>
            <w:r w:rsidRPr="00CE1A00">
              <w:rPr>
                <w:color w:val="000000"/>
                <w:sz w:val="20"/>
                <w:szCs w:val="20"/>
              </w:rPr>
              <w:t>enerģijas cenas pieauguma mazināšanas pasākumi</w:t>
            </w:r>
          </w:p>
        </w:tc>
        <w:tc>
          <w:tcPr>
            <w:tcW w:w="1443" w:type="dxa"/>
            <w:shd w:val="clear" w:color="auto" w:fill="auto"/>
            <w:noWrap/>
            <w:vAlign w:val="center"/>
            <w:hideMark/>
          </w:tcPr>
          <w:p w14:paraId="692AF67A" w14:textId="77777777" w:rsidR="00C13AFE" w:rsidRPr="00CE1A00" w:rsidRDefault="00C13AFE" w:rsidP="00A834DD">
            <w:pPr>
              <w:ind w:firstLine="0"/>
              <w:jc w:val="left"/>
              <w:rPr>
                <w:rFonts w:eastAsia="Times New Roman" w:cs="Times New Roman"/>
                <w:color w:val="000000"/>
                <w:sz w:val="18"/>
                <w:szCs w:val="18"/>
                <w:lang w:eastAsia="lv-LV"/>
              </w:rPr>
            </w:pPr>
            <w:r w:rsidRPr="00CE1A00">
              <w:rPr>
                <w:rFonts w:eastAsia="Times New Roman" w:cs="Times New Roman"/>
                <w:color w:val="000000"/>
                <w:sz w:val="18"/>
                <w:szCs w:val="18"/>
                <w:lang w:eastAsia="lv-LV"/>
              </w:rPr>
              <w:t> </w:t>
            </w:r>
          </w:p>
        </w:tc>
        <w:tc>
          <w:tcPr>
            <w:tcW w:w="872" w:type="dxa"/>
            <w:shd w:val="clear" w:color="auto" w:fill="auto"/>
            <w:noWrap/>
            <w:vAlign w:val="center"/>
          </w:tcPr>
          <w:p w14:paraId="303E9511" w14:textId="77777777" w:rsidR="00C13AFE" w:rsidRPr="00CE1A00" w:rsidRDefault="00C13AFE" w:rsidP="00A834DD">
            <w:pPr>
              <w:ind w:firstLine="0"/>
              <w:jc w:val="center"/>
              <w:rPr>
                <w:rFonts w:eastAsia="Times New Roman" w:cs="Times New Roman"/>
                <w:color w:val="000000"/>
                <w:sz w:val="18"/>
                <w:szCs w:val="18"/>
                <w:lang w:eastAsia="lv-LV"/>
              </w:rPr>
            </w:pPr>
            <w:r>
              <w:rPr>
                <w:sz w:val="20"/>
                <w:szCs w:val="20"/>
              </w:rPr>
              <w:t>0,0</w:t>
            </w:r>
          </w:p>
        </w:tc>
        <w:tc>
          <w:tcPr>
            <w:tcW w:w="877" w:type="dxa"/>
            <w:shd w:val="clear" w:color="auto" w:fill="auto"/>
            <w:noWrap/>
            <w:vAlign w:val="center"/>
          </w:tcPr>
          <w:p w14:paraId="6BE9727B" w14:textId="77777777" w:rsidR="00C13AFE" w:rsidRPr="00CE1A00" w:rsidRDefault="00C13AFE" w:rsidP="00A834DD">
            <w:pPr>
              <w:ind w:firstLine="0"/>
              <w:jc w:val="center"/>
              <w:rPr>
                <w:rFonts w:eastAsia="Times New Roman" w:cs="Times New Roman"/>
                <w:color w:val="000000"/>
                <w:sz w:val="18"/>
                <w:szCs w:val="18"/>
                <w:lang w:eastAsia="lv-LV"/>
              </w:rPr>
            </w:pPr>
            <w:r>
              <w:rPr>
                <w:sz w:val="20"/>
                <w:szCs w:val="20"/>
              </w:rPr>
              <w:t>0,0</w:t>
            </w:r>
          </w:p>
        </w:tc>
        <w:tc>
          <w:tcPr>
            <w:tcW w:w="876" w:type="dxa"/>
            <w:shd w:val="clear" w:color="auto" w:fill="auto"/>
            <w:noWrap/>
            <w:vAlign w:val="center"/>
          </w:tcPr>
          <w:p w14:paraId="75D9D98F" w14:textId="77777777" w:rsidR="00C13AFE" w:rsidRPr="00CE1A00" w:rsidRDefault="00C13AFE" w:rsidP="00A834DD">
            <w:pPr>
              <w:ind w:firstLine="0"/>
              <w:jc w:val="center"/>
              <w:rPr>
                <w:rFonts w:eastAsia="Times New Roman" w:cs="Times New Roman"/>
                <w:color w:val="000000"/>
                <w:sz w:val="18"/>
                <w:szCs w:val="18"/>
                <w:lang w:eastAsia="lv-LV"/>
              </w:rPr>
            </w:pPr>
            <w:r>
              <w:rPr>
                <w:sz w:val="20"/>
                <w:szCs w:val="20"/>
              </w:rPr>
              <w:t>0,0</w:t>
            </w:r>
          </w:p>
        </w:tc>
      </w:tr>
      <w:tr w:rsidR="00C13AFE" w:rsidRPr="00CE1A00" w14:paraId="77305C3D" w14:textId="77777777" w:rsidTr="00A834DD">
        <w:trPr>
          <w:trHeight w:val="54"/>
        </w:trPr>
        <w:tc>
          <w:tcPr>
            <w:tcW w:w="5278" w:type="dxa"/>
            <w:shd w:val="clear" w:color="auto" w:fill="auto"/>
            <w:vAlign w:val="bottom"/>
          </w:tcPr>
          <w:p w14:paraId="53D62732" w14:textId="77777777" w:rsidR="00C13AFE" w:rsidRPr="00CE1A00" w:rsidRDefault="00C13AFE" w:rsidP="00A834DD">
            <w:pPr>
              <w:ind w:firstLineChars="200" w:firstLine="400"/>
              <w:jc w:val="left"/>
              <w:rPr>
                <w:rFonts w:eastAsia="Times New Roman" w:cs="Times New Roman"/>
                <w:color w:val="000000"/>
                <w:sz w:val="18"/>
                <w:szCs w:val="18"/>
                <w:lang w:eastAsia="lv-LV"/>
              </w:rPr>
            </w:pPr>
            <w:r w:rsidRPr="00CE1A00">
              <w:rPr>
                <w:color w:val="000000"/>
                <w:sz w:val="20"/>
                <w:szCs w:val="20"/>
              </w:rPr>
              <w:t>aizsardzības un iekšējās drošības finansējums</w:t>
            </w:r>
          </w:p>
        </w:tc>
        <w:tc>
          <w:tcPr>
            <w:tcW w:w="1443" w:type="dxa"/>
            <w:shd w:val="clear" w:color="auto" w:fill="auto"/>
            <w:noWrap/>
            <w:vAlign w:val="center"/>
            <w:hideMark/>
          </w:tcPr>
          <w:p w14:paraId="59AA81BA" w14:textId="77777777" w:rsidR="00C13AFE" w:rsidRPr="00CE1A00" w:rsidRDefault="00C13AFE" w:rsidP="00A834DD">
            <w:pPr>
              <w:ind w:firstLine="0"/>
              <w:jc w:val="left"/>
              <w:rPr>
                <w:rFonts w:eastAsia="Times New Roman" w:cs="Times New Roman"/>
                <w:color w:val="000000"/>
                <w:sz w:val="18"/>
                <w:szCs w:val="18"/>
                <w:lang w:eastAsia="lv-LV"/>
              </w:rPr>
            </w:pPr>
            <w:r w:rsidRPr="00CE1A00">
              <w:rPr>
                <w:rFonts w:eastAsia="Times New Roman" w:cs="Times New Roman"/>
                <w:color w:val="000000"/>
                <w:sz w:val="18"/>
                <w:szCs w:val="18"/>
                <w:lang w:eastAsia="lv-LV"/>
              </w:rPr>
              <w:t> </w:t>
            </w:r>
          </w:p>
        </w:tc>
        <w:tc>
          <w:tcPr>
            <w:tcW w:w="872" w:type="dxa"/>
            <w:shd w:val="clear" w:color="auto" w:fill="auto"/>
            <w:noWrap/>
            <w:vAlign w:val="center"/>
          </w:tcPr>
          <w:p w14:paraId="7D3FB13B" w14:textId="77777777" w:rsidR="00C13AFE" w:rsidRPr="00CE1A00" w:rsidRDefault="00C13AFE" w:rsidP="00A834DD">
            <w:pPr>
              <w:ind w:firstLine="0"/>
              <w:jc w:val="center"/>
              <w:rPr>
                <w:rFonts w:eastAsia="Times New Roman" w:cs="Times New Roman"/>
                <w:color w:val="000000"/>
                <w:sz w:val="18"/>
                <w:szCs w:val="18"/>
                <w:lang w:eastAsia="lv-LV"/>
              </w:rPr>
            </w:pPr>
            <w:r>
              <w:rPr>
                <w:sz w:val="20"/>
                <w:szCs w:val="20"/>
              </w:rPr>
              <w:t>-0,7</w:t>
            </w:r>
          </w:p>
        </w:tc>
        <w:tc>
          <w:tcPr>
            <w:tcW w:w="877" w:type="dxa"/>
            <w:shd w:val="clear" w:color="auto" w:fill="auto"/>
            <w:noWrap/>
            <w:vAlign w:val="center"/>
          </w:tcPr>
          <w:p w14:paraId="0F7F1D85" w14:textId="77777777" w:rsidR="00C13AFE" w:rsidRPr="00CE1A00" w:rsidRDefault="00C13AFE" w:rsidP="00A834DD">
            <w:pPr>
              <w:ind w:firstLine="0"/>
              <w:jc w:val="center"/>
              <w:rPr>
                <w:rFonts w:eastAsia="Times New Roman" w:cs="Times New Roman"/>
                <w:color w:val="000000"/>
                <w:sz w:val="18"/>
                <w:szCs w:val="18"/>
                <w:lang w:eastAsia="lv-LV"/>
              </w:rPr>
            </w:pPr>
            <w:r>
              <w:rPr>
                <w:sz w:val="20"/>
                <w:szCs w:val="20"/>
              </w:rPr>
              <w:t>-0,7</w:t>
            </w:r>
          </w:p>
        </w:tc>
        <w:tc>
          <w:tcPr>
            <w:tcW w:w="876" w:type="dxa"/>
            <w:shd w:val="clear" w:color="auto" w:fill="auto"/>
            <w:noWrap/>
            <w:vAlign w:val="center"/>
          </w:tcPr>
          <w:p w14:paraId="1A9C3F2D" w14:textId="77777777" w:rsidR="00C13AFE" w:rsidRPr="00CE1A00" w:rsidRDefault="00C13AFE" w:rsidP="00A834DD">
            <w:pPr>
              <w:ind w:firstLine="0"/>
              <w:jc w:val="center"/>
              <w:rPr>
                <w:rFonts w:eastAsia="Times New Roman" w:cs="Times New Roman"/>
                <w:color w:val="000000"/>
                <w:sz w:val="18"/>
                <w:szCs w:val="18"/>
                <w:lang w:eastAsia="lv-LV"/>
              </w:rPr>
            </w:pPr>
            <w:r>
              <w:rPr>
                <w:sz w:val="20"/>
                <w:szCs w:val="20"/>
              </w:rPr>
              <w:t>-0,7</w:t>
            </w:r>
          </w:p>
        </w:tc>
      </w:tr>
      <w:tr w:rsidR="00C13AFE" w:rsidRPr="00CE1A00" w14:paraId="69BCF303" w14:textId="77777777" w:rsidTr="00A834DD">
        <w:trPr>
          <w:trHeight w:val="54"/>
        </w:trPr>
        <w:tc>
          <w:tcPr>
            <w:tcW w:w="5278" w:type="dxa"/>
            <w:shd w:val="clear" w:color="auto" w:fill="auto"/>
            <w:vAlign w:val="bottom"/>
          </w:tcPr>
          <w:p w14:paraId="154F8786" w14:textId="77777777" w:rsidR="00C13AFE" w:rsidRPr="00CE1A00" w:rsidRDefault="00C13AFE" w:rsidP="00A834DD">
            <w:pPr>
              <w:ind w:firstLineChars="200" w:firstLine="400"/>
              <w:jc w:val="left"/>
              <w:rPr>
                <w:rFonts w:eastAsia="Times New Roman" w:cs="Times New Roman"/>
                <w:color w:val="000000"/>
                <w:sz w:val="18"/>
                <w:szCs w:val="18"/>
                <w:lang w:eastAsia="lv-LV"/>
              </w:rPr>
            </w:pPr>
            <w:r w:rsidRPr="00CE1A00">
              <w:rPr>
                <w:sz w:val="20"/>
                <w:szCs w:val="20"/>
              </w:rPr>
              <w:t>atbalsts bēgļiem no Ukrainas</w:t>
            </w:r>
          </w:p>
        </w:tc>
        <w:tc>
          <w:tcPr>
            <w:tcW w:w="1443" w:type="dxa"/>
            <w:shd w:val="clear" w:color="auto" w:fill="auto"/>
            <w:noWrap/>
            <w:vAlign w:val="center"/>
            <w:hideMark/>
          </w:tcPr>
          <w:p w14:paraId="270EE0CB" w14:textId="77777777" w:rsidR="00C13AFE" w:rsidRPr="00CE1A00" w:rsidRDefault="00C13AFE" w:rsidP="00A834DD">
            <w:pPr>
              <w:ind w:firstLine="0"/>
              <w:jc w:val="left"/>
              <w:rPr>
                <w:rFonts w:eastAsia="Times New Roman" w:cs="Times New Roman"/>
                <w:color w:val="000000"/>
                <w:sz w:val="18"/>
                <w:szCs w:val="18"/>
                <w:lang w:eastAsia="lv-LV"/>
              </w:rPr>
            </w:pPr>
            <w:r w:rsidRPr="00CE1A00">
              <w:rPr>
                <w:rFonts w:eastAsia="Times New Roman" w:cs="Times New Roman"/>
                <w:color w:val="000000"/>
                <w:sz w:val="18"/>
                <w:szCs w:val="18"/>
                <w:lang w:eastAsia="lv-LV"/>
              </w:rPr>
              <w:t> </w:t>
            </w:r>
          </w:p>
        </w:tc>
        <w:tc>
          <w:tcPr>
            <w:tcW w:w="872" w:type="dxa"/>
            <w:shd w:val="clear" w:color="auto" w:fill="auto"/>
            <w:noWrap/>
            <w:vAlign w:val="center"/>
          </w:tcPr>
          <w:p w14:paraId="00D29FAC" w14:textId="77777777" w:rsidR="00C13AFE" w:rsidRPr="00CE1A00" w:rsidRDefault="00C13AFE" w:rsidP="00A834DD">
            <w:pPr>
              <w:ind w:firstLine="0"/>
              <w:jc w:val="center"/>
              <w:rPr>
                <w:rFonts w:eastAsia="Times New Roman" w:cs="Times New Roman"/>
                <w:color w:val="000000"/>
                <w:sz w:val="18"/>
                <w:szCs w:val="18"/>
                <w:lang w:eastAsia="lv-LV"/>
              </w:rPr>
            </w:pPr>
            <w:r>
              <w:rPr>
                <w:sz w:val="20"/>
                <w:szCs w:val="20"/>
              </w:rPr>
              <w:t>0,0</w:t>
            </w:r>
          </w:p>
        </w:tc>
        <w:tc>
          <w:tcPr>
            <w:tcW w:w="877" w:type="dxa"/>
            <w:shd w:val="clear" w:color="auto" w:fill="auto"/>
            <w:noWrap/>
            <w:vAlign w:val="center"/>
          </w:tcPr>
          <w:p w14:paraId="2B442762" w14:textId="77777777" w:rsidR="00C13AFE" w:rsidRPr="00CE1A00" w:rsidRDefault="00C13AFE" w:rsidP="00A834DD">
            <w:pPr>
              <w:ind w:firstLine="0"/>
              <w:jc w:val="center"/>
              <w:rPr>
                <w:rFonts w:eastAsia="Times New Roman" w:cs="Times New Roman"/>
                <w:color w:val="000000"/>
                <w:sz w:val="18"/>
                <w:szCs w:val="18"/>
                <w:lang w:eastAsia="lv-LV"/>
              </w:rPr>
            </w:pPr>
            <w:r>
              <w:rPr>
                <w:sz w:val="20"/>
                <w:szCs w:val="20"/>
              </w:rPr>
              <w:t>0,0</w:t>
            </w:r>
          </w:p>
        </w:tc>
        <w:tc>
          <w:tcPr>
            <w:tcW w:w="876" w:type="dxa"/>
            <w:shd w:val="clear" w:color="auto" w:fill="auto"/>
            <w:noWrap/>
            <w:vAlign w:val="center"/>
          </w:tcPr>
          <w:p w14:paraId="70A7A049" w14:textId="77777777" w:rsidR="00C13AFE" w:rsidRPr="00CE1A00" w:rsidRDefault="00C13AFE" w:rsidP="00A834DD">
            <w:pPr>
              <w:ind w:firstLine="0"/>
              <w:jc w:val="center"/>
              <w:rPr>
                <w:rFonts w:eastAsia="Times New Roman" w:cs="Times New Roman"/>
                <w:color w:val="000000"/>
                <w:sz w:val="18"/>
                <w:szCs w:val="18"/>
                <w:lang w:eastAsia="lv-LV"/>
              </w:rPr>
            </w:pPr>
            <w:r>
              <w:rPr>
                <w:sz w:val="20"/>
                <w:szCs w:val="20"/>
              </w:rPr>
              <w:t>0,0</w:t>
            </w:r>
          </w:p>
        </w:tc>
      </w:tr>
      <w:tr w:rsidR="00C13AFE" w:rsidRPr="00CE1A00" w14:paraId="03F2C16F" w14:textId="77777777" w:rsidTr="00A834DD">
        <w:trPr>
          <w:trHeight w:val="187"/>
        </w:trPr>
        <w:tc>
          <w:tcPr>
            <w:tcW w:w="5278" w:type="dxa"/>
            <w:shd w:val="clear" w:color="auto" w:fill="auto"/>
            <w:vAlign w:val="center"/>
          </w:tcPr>
          <w:p w14:paraId="10C39E46" w14:textId="77777777" w:rsidR="00C13AFE" w:rsidRPr="00CE1A00" w:rsidRDefault="00C13AFE" w:rsidP="00A834DD">
            <w:pPr>
              <w:ind w:left="451" w:firstLine="0"/>
              <w:jc w:val="left"/>
              <w:rPr>
                <w:rFonts w:eastAsia="Times New Roman" w:cs="Times New Roman"/>
                <w:color w:val="000000"/>
                <w:sz w:val="18"/>
                <w:szCs w:val="18"/>
                <w:lang w:eastAsia="lv-LV"/>
              </w:rPr>
            </w:pPr>
            <w:r w:rsidRPr="00CE1A00">
              <w:rPr>
                <w:sz w:val="20"/>
                <w:szCs w:val="20"/>
              </w:rPr>
              <w:t>vienreizējie izdevumi valsts aizsardzībai un iekšējai drošībai</w:t>
            </w:r>
          </w:p>
        </w:tc>
        <w:tc>
          <w:tcPr>
            <w:tcW w:w="1443" w:type="dxa"/>
            <w:shd w:val="clear" w:color="auto" w:fill="auto"/>
            <w:noWrap/>
            <w:vAlign w:val="center"/>
          </w:tcPr>
          <w:p w14:paraId="3B9B9149" w14:textId="77777777" w:rsidR="00C13AFE" w:rsidRPr="00CE1A00" w:rsidRDefault="00C13AFE" w:rsidP="00A834DD">
            <w:pPr>
              <w:ind w:firstLine="0"/>
              <w:jc w:val="left"/>
              <w:rPr>
                <w:rFonts w:eastAsia="Times New Roman" w:cs="Times New Roman"/>
                <w:color w:val="000000"/>
                <w:sz w:val="18"/>
                <w:szCs w:val="18"/>
                <w:lang w:eastAsia="lv-LV"/>
              </w:rPr>
            </w:pPr>
          </w:p>
        </w:tc>
        <w:tc>
          <w:tcPr>
            <w:tcW w:w="872" w:type="dxa"/>
            <w:shd w:val="clear" w:color="auto" w:fill="auto"/>
            <w:noWrap/>
            <w:vAlign w:val="center"/>
          </w:tcPr>
          <w:p w14:paraId="5A217DA7" w14:textId="77777777" w:rsidR="00C13AFE" w:rsidRPr="00CE1A00" w:rsidRDefault="00C13AFE" w:rsidP="00A834DD">
            <w:pPr>
              <w:ind w:firstLine="0"/>
              <w:jc w:val="center"/>
              <w:rPr>
                <w:rFonts w:eastAsia="Times New Roman" w:cs="Times New Roman"/>
                <w:color w:val="000000"/>
                <w:sz w:val="18"/>
                <w:szCs w:val="18"/>
                <w:lang w:eastAsia="lv-LV"/>
              </w:rPr>
            </w:pPr>
            <w:r>
              <w:rPr>
                <w:sz w:val="20"/>
                <w:szCs w:val="20"/>
              </w:rPr>
              <w:t>-0,8</w:t>
            </w:r>
          </w:p>
        </w:tc>
        <w:tc>
          <w:tcPr>
            <w:tcW w:w="877" w:type="dxa"/>
            <w:shd w:val="clear" w:color="auto" w:fill="auto"/>
            <w:noWrap/>
            <w:vAlign w:val="center"/>
          </w:tcPr>
          <w:p w14:paraId="51DE4B3B" w14:textId="77777777" w:rsidR="00C13AFE" w:rsidRPr="00CE1A00" w:rsidRDefault="00C13AFE" w:rsidP="00A834DD">
            <w:pPr>
              <w:ind w:firstLine="0"/>
              <w:jc w:val="center"/>
              <w:rPr>
                <w:rFonts w:eastAsia="Times New Roman" w:cs="Times New Roman"/>
                <w:color w:val="000000"/>
                <w:sz w:val="18"/>
                <w:szCs w:val="18"/>
                <w:lang w:eastAsia="lv-LV"/>
              </w:rPr>
            </w:pPr>
            <w:r>
              <w:rPr>
                <w:sz w:val="20"/>
                <w:szCs w:val="20"/>
              </w:rPr>
              <w:t>-0,7</w:t>
            </w:r>
          </w:p>
        </w:tc>
        <w:tc>
          <w:tcPr>
            <w:tcW w:w="876" w:type="dxa"/>
            <w:shd w:val="clear" w:color="auto" w:fill="auto"/>
            <w:noWrap/>
            <w:vAlign w:val="center"/>
          </w:tcPr>
          <w:p w14:paraId="57F8EEEC" w14:textId="77777777" w:rsidR="00C13AFE" w:rsidRPr="00CE1A00" w:rsidRDefault="00C13AFE" w:rsidP="00A834DD">
            <w:pPr>
              <w:ind w:firstLine="0"/>
              <w:jc w:val="center"/>
              <w:rPr>
                <w:rFonts w:eastAsia="Times New Roman" w:cs="Times New Roman"/>
                <w:color w:val="000000"/>
                <w:sz w:val="18"/>
                <w:szCs w:val="18"/>
                <w:lang w:eastAsia="lv-LV"/>
              </w:rPr>
            </w:pPr>
            <w:r>
              <w:rPr>
                <w:sz w:val="20"/>
                <w:szCs w:val="20"/>
              </w:rPr>
              <w:t>0,0</w:t>
            </w:r>
          </w:p>
        </w:tc>
      </w:tr>
      <w:tr w:rsidR="00C13AFE" w:rsidRPr="00CE1A00" w14:paraId="75675487" w14:textId="77777777" w:rsidTr="00A834DD">
        <w:trPr>
          <w:trHeight w:val="54"/>
        </w:trPr>
        <w:tc>
          <w:tcPr>
            <w:tcW w:w="5278" w:type="dxa"/>
            <w:shd w:val="clear" w:color="auto" w:fill="auto"/>
            <w:vAlign w:val="center"/>
          </w:tcPr>
          <w:p w14:paraId="12F36FCE" w14:textId="77777777" w:rsidR="00C13AFE" w:rsidRPr="00CE1A00" w:rsidRDefault="00C13AFE" w:rsidP="00A834DD">
            <w:pPr>
              <w:ind w:firstLine="0"/>
              <w:jc w:val="left"/>
              <w:rPr>
                <w:rFonts w:eastAsia="Times New Roman" w:cs="Times New Roman"/>
                <w:color w:val="000000"/>
                <w:sz w:val="18"/>
                <w:szCs w:val="18"/>
                <w:lang w:eastAsia="lv-LV"/>
              </w:rPr>
            </w:pPr>
            <w:r w:rsidRPr="00CE1A00">
              <w:rPr>
                <w:sz w:val="20"/>
                <w:szCs w:val="20"/>
              </w:rPr>
              <w:t>Vispārējās valdības budžeta strukturālās bilances prognozes nemainīgas politikas scenārijā, % no IKP</w:t>
            </w:r>
          </w:p>
        </w:tc>
        <w:tc>
          <w:tcPr>
            <w:tcW w:w="1443" w:type="dxa"/>
            <w:shd w:val="clear" w:color="auto" w:fill="auto"/>
            <w:noWrap/>
            <w:vAlign w:val="center"/>
            <w:hideMark/>
          </w:tcPr>
          <w:p w14:paraId="2014F952" w14:textId="77777777" w:rsidR="00C13AFE" w:rsidRPr="00CE1A00" w:rsidRDefault="00C13AFE" w:rsidP="00A834DD">
            <w:pPr>
              <w:ind w:firstLine="0"/>
              <w:jc w:val="left"/>
              <w:rPr>
                <w:rFonts w:eastAsia="Times New Roman" w:cs="Times New Roman"/>
                <w:color w:val="000000"/>
                <w:sz w:val="18"/>
                <w:szCs w:val="18"/>
                <w:lang w:eastAsia="lv-LV"/>
              </w:rPr>
            </w:pPr>
            <w:r w:rsidRPr="00CE1A00">
              <w:rPr>
                <w:rFonts w:eastAsia="Times New Roman" w:cs="Times New Roman"/>
                <w:color w:val="000000"/>
                <w:sz w:val="18"/>
                <w:szCs w:val="18"/>
                <w:lang w:eastAsia="lv-LV"/>
              </w:rPr>
              <w:t>(5)=(1)-(3)-(4)</w:t>
            </w:r>
          </w:p>
        </w:tc>
        <w:tc>
          <w:tcPr>
            <w:tcW w:w="872" w:type="dxa"/>
            <w:shd w:val="clear" w:color="auto" w:fill="auto"/>
            <w:noWrap/>
            <w:vAlign w:val="center"/>
          </w:tcPr>
          <w:p w14:paraId="5FAD7D34" w14:textId="77777777" w:rsidR="00C13AFE" w:rsidRPr="00CE1A00" w:rsidRDefault="00C13AFE" w:rsidP="00A834DD">
            <w:pPr>
              <w:ind w:firstLine="0"/>
              <w:jc w:val="center"/>
              <w:rPr>
                <w:rFonts w:eastAsia="Times New Roman" w:cs="Times New Roman"/>
                <w:color w:val="000000"/>
                <w:sz w:val="18"/>
                <w:szCs w:val="18"/>
                <w:lang w:eastAsia="lv-LV"/>
              </w:rPr>
            </w:pPr>
            <w:r>
              <w:rPr>
                <w:sz w:val="20"/>
                <w:szCs w:val="20"/>
              </w:rPr>
              <w:t>-0,4</w:t>
            </w:r>
          </w:p>
        </w:tc>
        <w:tc>
          <w:tcPr>
            <w:tcW w:w="877" w:type="dxa"/>
            <w:shd w:val="clear" w:color="auto" w:fill="auto"/>
            <w:noWrap/>
            <w:vAlign w:val="center"/>
          </w:tcPr>
          <w:p w14:paraId="1DA9197F" w14:textId="77777777" w:rsidR="00C13AFE" w:rsidRPr="00CE1A00" w:rsidRDefault="00C13AFE" w:rsidP="00A834DD">
            <w:pPr>
              <w:ind w:firstLine="0"/>
              <w:jc w:val="center"/>
              <w:rPr>
                <w:rFonts w:eastAsia="Times New Roman" w:cs="Times New Roman"/>
                <w:color w:val="000000"/>
                <w:sz w:val="18"/>
                <w:szCs w:val="18"/>
                <w:lang w:eastAsia="lv-LV"/>
              </w:rPr>
            </w:pPr>
            <w:r>
              <w:rPr>
                <w:sz w:val="20"/>
                <w:szCs w:val="20"/>
              </w:rPr>
              <w:t>0,0</w:t>
            </w:r>
          </w:p>
        </w:tc>
        <w:tc>
          <w:tcPr>
            <w:tcW w:w="876" w:type="dxa"/>
            <w:shd w:val="clear" w:color="auto" w:fill="auto"/>
            <w:noWrap/>
            <w:vAlign w:val="center"/>
          </w:tcPr>
          <w:p w14:paraId="7B43DC4C" w14:textId="77777777" w:rsidR="00C13AFE" w:rsidRPr="00CE1A00" w:rsidRDefault="00C13AFE" w:rsidP="00A834DD">
            <w:pPr>
              <w:ind w:firstLine="0"/>
              <w:jc w:val="center"/>
              <w:rPr>
                <w:rFonts w:eastAsia="Times New Roman" w:cs="Times New Roman"/>
                <w:color w:val="000000"/>
                <w:sz w:val="18"/>
                <w:szCs w:val="18"/>
                <w:lang w:eastAsia="lv-LV"/>
              </w:rPr>
            </w:pPr>
            <w:r>
              <w:rPr>
                <w:sz w:val="20"/>
                <w:szCs w:val="20"/>
              </w:rPr>
              <w:t>0,2</w:t>
            </w:r>
          </w:p>
        </w:tc>
      </w:tr>
      <w:tr w:rsidR="00C13AFE" w:rsidRPr="00CE1A00" w14:paraId="2C5B7A79" w14:textId="77777777" w:rsidTr="00A834DD">
        <w:trPr>
          <w:trHeight w:val="54"/>
        </w:trPr>
        <w:tc>
          <w:tcPr>
            <w:tcW w:w="5278" w:type="dxa"/>
            <w:shd w:val="clear" w:color="auto" w:fill="auto"/>
            <w:vAlign w:val="center"/>
          </w:tcPr>
          <w:p w14:paraId="1822C83D" w14:textId="77777777" w:rsidR="00C13AFE" w:rsidRPr="00CE1A00" w:rsidRDefault="00C13AFE" w:rsidP="00A834DD">
            <w:pPr>
              <w:ind w:firstLine="0"/>
              <w:jc w:val="left"/>
              <w:rPr>
                <w:rFonts w:eastAsia="Times New Roman" w:cs="Times New Roman"/>
                <w:color w:val="000000"/>
                <w:sz w:val="18"/>
                <w:szCs w:val="18"/>
                <w:lang w:eastAsia="lv-LV"/>
              </w:rPr>
            </w:pPr>
            <w:r w:rsidRPr="00CE1A00">
              <w:rPr>
                <w:color w:val="000000"/>
                <w:sz w:val="20"/>
                <w:szCs w:val="20"/>
              </w:rPr>
              <w:t>Vispārējās valdības budžeta strukturālās bilances mērķi, % no IKP</w:t>
            </w:r>
          </w:p>
        </w:tc>
        <w:tc>
          <w:tcPr>
            <w:tcW w:w="1443" w:type="dxa"/>
            <w:shd w:val="clear" w:color="auto" w:fill="auto"/>
            <w:noWrap/>
            <w:vAlign w:val="center"/>
            <w:hideMark/>
          </w:tcPr>
          <w:p w14:paraId="0968961E" w14:textId="77777777" w:rsidR="00C13AFE" w:rsidRPr="00CE1A00" w:rsidRDefault="00C13AFE" w:rsidP="00A834DD">
            <w:pPr>
              <w:ind w:firstLine="0"/>
              <w:jc w:val="left"/>
              <w:rPr>
                <w:rFonts w:eastAsia="Times New Roman" w:cs="Times New Roman"/>
                <w:color w:val="000000"/>
                <w:sz w:val="18"/>
                <w:szCs w:val="18"/>
                <w:lang w:eastAsia="lv-LV"/>
              </w:rPr>
            </w:pPr>
            <w:r w:rsidRPr="00CE1A00">
              <w:rPr>
                <w:rFonts w:eastAsia="Times New Roman" w:cs="Times New Roman"/>
                <w:color w:val="000000"/>
                <w:sz w:val="18"/>
                <w:szCs w:val="18"/>
                <w:lang w:eastAsia="lv-LV"/>
              </w:rPr>
              <w:t>(6)</w:t>
            </w:r>
          </w:p>
        </w:tc>
        <w:tc>
          <w:tcPr>
            <w:tcW w:w="872" w:type="dxa"/>
            <w:shd w:val="clear" w:color="auto" w:fill="auto"/>
            <w:noWrap/>
            <w:vAlign w:val="center"/>
          </w:tcPr>
          <w:p w14:paraId="0C53BB18" w14:textId="77777777" w:rsidR="00C13AFE" w:rsidRPr="00CE1A00" w:rsidRDefault="00C13AFE" w:rsidP="00A834DD">
            <w:pPr>
              <w:ind w:firstLine="0"/>
              <w:jc w:val="center"/>
              <w:rPr>
                <w:rFonts w:eastAsia="Times New Roman" w:cs="Times New Roman"/>
                <w:color w:val="000000"/>
                <w:sz w:val="18"/>
                <w:szCs w:val="18"/>
                <w:lang w:eastAsia="lv-LV"/>
              </w:rPr>
            </w:pPr>
            <w:r>
              <w:rPr>
                <w:sz w:val="20"/>
                <w:szCs w:val="20"/>
              </w:rPr>
              <w:t>-0,5</w:t>
            </w:r>
          </w:p>
        </w:tc>
        <w:tc>
          <w:tcPr>
            <w:tcW w:w="877" w:type="dxa"/>
            <w:shd w:val="clear" w:color="auto" w:fill="auto"/>
            <w:noWrap/>
            <w:vAlign w:val="center"/>
          </w:tcPr>
          <w:p w14:paraId="033D320F" w14:textId="77777777" w:rsidR="00C13AFE" w:rsidRPr="00CE1A00" w:rsidRDefault="00C13AFE" w:rsidP="00A834DD">
            <w:pPr>
              <w:ind w:firstLine="0"/>
              <w:jc w:val="center"/>
              <w:rPr>
                <w:rFonts w:eastAsia="Times New Roman" w:cs="Times New Roman"/>
                <w:color w:val="000000"/>
                <w:sz w:val="18"/>
                <w:szCs w:val="18"/>
                <w:lang w:eastAsia="lv-LV"/>
              </w:rPr>
            </w:pPr>
            <w:r>
              <w:rPr>
                <w:sz w:val="20"/>
                <w:szCs w:val="20"/>
              </w:rPr>
              <w:t>-0,5</w:t>
            </w:r>
          </w:p>
        </w:tc>
        <w:tc>
          <w:tcPr>
            <w:tcW w:w="876" w:type="dxa"/>
            <w:shd w:val="clear" w:color="auto" w:fill="auto"/>
            <w:noWrap/>
            <w:vAlign w:val="center"/>
          </w:tcPr>
          <w:p w14:paraId="5DB60E9D" w14:textId="77777777" w:rsidR="00C13AFE" w:rsidRPr="00CE1A00" w:rsidRDefault="00C13AFE" w:rsidP="00A834DD">
            <w:pPr>
              <w:ind w:firstLine="0"/>
              <w:jc w:val="center"/>
              <w:rPr>
                <w:rFonts w:eastAsia="Times New Roman" w:cs="Times New Roman"/>
                <w:color w:val="000000"/>
                <w:sz w:val="18"/>
                <w:szCs w:val="18"/>
                <w:lang w:eastAsia="lv-LV"/>
              </w:rPr>
            </w:pPr>
            <w:r>
              <w:rPr>
                <w:sz w:val="20"/>
                <w:szCs w:val="20"/>
              </w:rPr>
              <w:t>0,0</w:t>
            </w:r>
          </w:p>
        </w:tc>
      </w:tr>
      <w:tr w:rsidR="00C13AFE" w:rsidRPr="00CE1A00" w14:paraId="68846016" w14:textId="77777777" w:rsidTr="00A834DD">
        <w:trPr>
          <w:trHeight w:val="54"/>
        </w:trPr>
        <w:tc>
          <w:tcPr>
            <w:tcW w:w="5278" w:type="dxa"/>
            <w:shd w:val="clear" w:color="auto" w:fill="auto"/>
            <w:vAlign w:val="center"/>
          </w:tcPr>
          <w:p w14:paraId="4C7651D7" w14:textId="77777777" w:rsidR="00C13AFE" w:rsidRPr="00CE1A00" w:rsidRDefault="00C13AFE" w:rsidP="00A834DD">
            <w:pPr>
              <w:ind w:firstLine="0"/>
              <w:jc w:val="left"/>
              <w:rPr>
                <w:rFonts w:eastAsia="Times New Roman" w:cs="Times New Roman"/>
                <w:b/>
                <w:bCs/>
                <w:color w:val="000000"/>
                <w:sz w:val="18"/>
                <w:szCs w:val="18"/>
                <w:lang w:eastAsia="lv-LV"/>
              </w:rPr>
            </w:pPr>
            <w:r w:rsidRPr="00CE1A00">
              <w:rPr>
                <w:color w:val="000000"/>
                <w:sz w:val="20"/>
                <w:szCs w:val="20"/>
              </w:rPr>
              <w:t>Fiskālā nodrošinājuma rezerve, % no IKP</w:t>
            </w:r>
          </w:p>
        </w:tc>
        <w:tc>
          <w:tcPr>
            <w:tcW w:w="1443" w:type="dxa"/>
            <w:shd w:val="clear" w:color="auto" w:fill="auto"/>
            <w:noWrap/>
            <w:vAlign w:val="center"/>
            <w:hideMark/>
          </w:tcPr>
          <w:p w14:paraId="722E95CB" w14:textId="77777777" w:rsidR="00C13AFE" w:rsidRPr="00CE1A00" w:rsidRDefault="00C13AFE" w:rsidP="00A834DD">
            <w:pPr>
              <w:ind w:firstLine="0"/>
              <w:jc w:val="left"/>
              <w:rPr>
                <w:rFonts w:eastAsia="Times New Roman" w:cs="Times New Roman"/>
                <w:b/>
                <w:bCs/>
                <w:color w:val="000000"/>
                <w:sz w:val="18"/>
                <w:szCs w:val="18"/>
                <w:lang w:eastAsia="lv-LV"/>
              </w:rPr>
            </w:pPr>
            <w:r w:rsidRPr="00CE1A00">
              <w:rPr>
                <w:rFonts w:eastAsia="Times New Roman" w:cs="Times New Roman"/>
                <w:color w:val="000000"/>
                <w:sz w:val="18"/>
                <w:szCs w:val="18"/>
                <w:lang w:eastAsia="lv-LV"/>
              </w:rPr>
              <w:t>(7)</w:t>
            </w:r>
          </w:p>
        </w:tc>
        <w:tc>
          <w:tcPr>
            <w:tcW w:w="872" w:type="dxa"/>
            <w:shd w:val="clear" w:color="auto" w:fill="auto"/>
            <w:noWrap/>
            <w:vAlign w:val="center"/>
          </w:tcPr>
          <w:p w14:paraId="00359425" w14:textId="77777777" w:rsidR="00C13AFE" w:rsidRPr="00CE1A00" w:rsidRDefault="00C13AFE" w:rsidP="00A834DD">
            <w:pPr>
              <w:ind w:firstLine="0"/>
              <w:jc w:val="center"/>
              <w:rPr>
                <w:rFonts w:eastAsia="Times New Roman" w:cs="Times New Roman"/>
                <w:b/>
                <w:bCs/>
                <w:color w:val="000000"/>
                <w:sz w:val="18"/>
                <w:szCs w:val="18"/>
                <w:lang w:eastAsia="lv-LV"/>
              </w:rPr>
            </w:pPr>
            <w:r>
              <w:rPr>
                <w:sz w:val="20"/>
                <w:szCs w:val="20"/>
              </w:rPr>
              <w:t>0,10</w:t>
            </w:r>
          </w:p>
        </w:tc>
        <w:tc>
          <w:tcPr>
            <w:tcW w:w="877" w:type="dxa"/>
            <w:shd w:val="clear" w:color="auto" w:fill="auto"/>
            <w:noWrap/>
            <w:vAlign w:val="center"/>
          </w:tcPr>
          <w:p w14:paraId="22810B9C" w14:textId="77777777" w:rsidR="00C13AFE" w:rsidRPr="00CE1A00" w:rsidRDefault="00C13AFE" w:rsidP="00A834DD">
            <w:pPr>
              <w:ind w:firstLine="0"/>
              <w:jc w:val="center"/>
              <w:rPr>
                <w:rFonts w:eastAsia="Times New Roman" w:cs="Times New Roman"/>
                <w:b/>
                <w:bCs/>
                <w:color w:val="000000"/>
                <w:sz w:val="18"/>
                <w:szCs w:val="18"/>
                <w:lang w:eastAsia="lv-LV"/>
              </w:rPr>
            </w:pPr>
            <w:r>
              <w:rPr>
                <w:sz w:val="20"/>
                <w:szCs w:val="20"/>
              </w:rPr>
              <w:t>0,10</w:t>
            </w:r>
          </w:p>
        </w:tc>
        <w:tc>
          <w:tcPr>
            <w:tcW w:w="876" w:type="dxa"/>
            <w:shd w:val="clear" w:color="auto" w:fill="auto"/>
            <w:noWrap/>
            <w:vAlign w:val="center"/>
          </w:tcPr>
          <w:p w14:paraId="4BA7340B" w14:textId="77777777" w:rsidR="00C13AFE" w:rsidRPr="00CE1A00" w:rsidRDefault="00C13AFE" w:rsidP="00A834DD">
            <w:pPr>
              <w:ind w:firstLine="0"/>
              <w:jc w:val="center"/>
              <w:rPr>
                <w:rFonts w:eastAsia="Times New Roman" w:cs="Times New Roman"/>
                <w:b/>
                <w:bCs/>
                <w:color w:val="000000"/>
                <w:sz w:val="18"/>
                <w:szCs w:val="18"/>
                <w:lang w:eastAsia="lv-LV"/>
              </w:rPr>
            </w:pPr>
            <w:r>
              <w:rPr>
                <w:sz w:val="20"/>
                <w:szCs w:val="20"/>
              </w:rPr>
              <w:t>0,10</w:t>
            </w:r>
          </w:p>
        </w:tc>
      </w:tr>
      <w:tr w:rsidR="00C13AFE" w:rsidRPr="00085AFE" w14:paraId="4E02004B" w14:textId="77777777" w:rsidTr="00A834DD">
        <w:trPr>
          <w:trHeight w:val="54"/>
        </w:trPr>
        <w:tc>
          <w:tcPr>
            <w:tcW w:w="5278" w:type="dxa"/>
            <w:shd w:val="clear" w:color="auto" w:fill="DEEAF6" w:themeFill="accent1" w:themeFillTint="33"/>
            <w:vAlign w:val="center"/>
          </w:tcPr>
          <w:p w14:paraId="396720E2" w14:textId="77777777" w:rsidR="00C13AFE" w:rsidRPr="00CE1A00" w:rsidRDefault="00C13AFE" w:rsidP="00A834DD">
            <w:pPr>
              <w:ind w:firstLine="0"/>
              <w:jc w:val="left"/>
              <w:rPr>
                <w:color w:val="000000"/>
                <w:sz w:val="20"/>
                <w:szCs w:val="20"/>
              </w:rPr>
            </w:pPr>
            <w:r w:rsidRPr="00CE1A00">
              <w:rPr>
                <w:b/>
                <w:bCs/>
                <w:color w:val="000000"/>
                <w:sz w:val="20"/>
                <w:szCs w:val="20"/>
              </w:rPr>
              <w:t>Fiskālā telpa, % no IKP</w:t>
            </w:r>
          </w:p>
        </w:tc>
        <w:tc>
          <w:tcPr>
            <w:tcW w:w="1443" w:type="dxa"/>
            <w:shd w:val="clear" w:color="auto" w:fill="DEEAF6" w:themeFill="accent1" w:themeFillTint="33"/>
            <w:noWrap/>
            <w:vAlign w:val="center"/>
          </w:tcPr>
          <w:p w14:paraId="44653F5D" w14:textId="77777777" w:rsidR="00C13AFE" w:rsidRPr="00CE1A00" w:rsidRDefault="00C13AFE" w:rsidP="00A834DD">
            <w:pPr>
              <w:ind w:firstLine="0"/>
              <w:jc w:val="left"/>
              <w:rPr>
                <w:rFonts w:eastAsia="Times New Roman" w:cs="Times New Roman"/>
                <w:b/>
                <w:bCs/>
                <w:color w:val="000000"/>
                <w:sz w:val="18"/>
                <w:szCs w:val="18"/>
                <w:lang w:eastAsia="lv-LV"/>
              </w:rPr>
            </w:pPr>
            <w:r w:rsidRPr="00CE1A00">
              <w:rPr>
                <w:rFonts w:eastAsia="Times New Roman" w:cs="Times New Roman"/>
                <w:b/>
                <w:bCs/>
                <w:color w:val="000000"/>
                <w:sz w:val="18"/>
                <w:szCs w:val="18"/>
                <w:lang w:eastAsia="lv-LV"/>
              </w:rPr>
              <w:t>(8)=(5)-(6)-(7)</w:t>
            </w:r>
          </w:p>
        </w:tc>
        <w:tc>
          <w:tcPr>
            <w:tcW w:w="872" w:type="dxa"/>
            <w:shd w:val="clear" w:color="auto" w:fill="DEEAF6" w:themeFill="accent1" w:themeFillTint="33"/>
            <w:noWrap/>
            <w:vAlign w:val="center"/>
          </w:tcPr>
          <w:p w14:paraId="7B3CB4A3" w14:textId="77777777" w:rsidR="00C13AFE" w:rsidRPr="00CE1A00" w:rsidRDefault="00C13AFE" w:rsidP="00A834DD">
            <w:pPr>
              <w:ind w:firstLine="0"/>
              <w:jc w:val="center"/>
              <w:rPr>
                <w:rFonts w:eastAsia="Times New Roman" w:cs="Times New Roman"/>
                <w:b/>
                <w:bCs/>
                <w:color w:val="000000"/>
                <w:sz w:val="18"/>
                <w:szCs w:val="18"/>
                <w:lang w:eastAsia="lv-LV"/>
              </w:rPr>
            </w:pPr>
            <w:r>
              <w:rPr>
                <w:b/>
                <w:bCs/>
                <w:sz w:val="20"/>
                <w:szCs w:val="20"/>
              </w:rPr>
              <w:t>0,04</w:t>
            </w:r>
          </w:p>
        </w:tc>
        <w:tc>
          <w:tcPr>
            <w:tcW w:w="877" w:type="dxa"/>
            <w:shd w:val="clear" w:color="auto" w:fill="DEEAF6" w:themeFill="accent1" w:themeFillTint="33"/>
            <w:noWrap/>
            <w:vAlign w:val="center"/>
          </w:tcPr>
          <w:p w14:paraId="62EAD9F5" w14:textId="77777777" w:rsidR="00C13AFE" w:rsidRPr="00CE1A00" w:rsidRDefault="00C13AFE" w:rsidP="00A834DD">
            <w:pPr>
              <w:ind w:firstLine="0"/>
              <w:jc w:val="center"/>
              <w:rPr>
                <w:rFonts w:eastAsia="Times New Roman" w:cs="Times New Roman"/>
                <w:b/>
                <w:bCs/>
                <w:color w:val="000000"/>
                <w:sz w:val="18"/>
                <w:szCs w:val="18"/>
                <w:lang w:eastAsia="lv-LV"/>
              </w:rPr>
            </w:pPr>
            <w:r>
              <w:rPr>
                <w:b/>
                <w:bCs/>
                <w:sz w:val="20"/>
                <w:szCs w:val="20"/>
              </w:rPr>
              <w:t>0,40</w:t>
            </w:r>
          </w:p>
        </w:tc>
        <w:tc>
          <w:tcPr>
            <w:tcW w:w="876" w:type="dxa"/>
            <w:shd w:val="clear" w:color="auto" w:fill="DEEAF6" w:themeFill="accent1" w:themeFillTint="33"/>
            <w:noWrap/>
            <w:vAlign w:val="center"/>
          </w:tcPr>
          <w:p w14:paraId="66B878DF" w14:textId="77777777" w:rsidR="00C13AFE" w:rsidRPr="00CE1A00" w:rsidRDefault="00C13AFE" w:rsidP="00A834DD">
            <w:pPr>
              <w:ind w:firstLine="0"/>
              <w:jc w:val="center"/>
              <w:rPr>
                <w:rFonts w:eastAsia="Times New Roman" w:cs="Times New Roman"/>
                <w:b/>
                <w:bCs/>
                <w:color w:val="000000"/>
                <w:sz w:val="18"/>
                <w:szCs w:val="18"/>
                <w:lang w:eastAsia="lv-LV"/>
              </w:rPr>
            </w:pPr>
            <w:r>
              <w:rPr>
                <w:b/>
                <w:bCs/>
                <w:sz w:val="20"/>
                <w:szCs w:val="20"/>
              </w:rPr>
              <w:t>0,08</w:t>
            </w:r>
          </w:p>
        </w:tc>
      </w:tr>
    </w:tbl>
    <w:p w14:paraId="3E178C52" w14:textId="0288301F" w:rsidR="00C13AFE" w:rsidRDefault="00C13AFE" w:rsidP="00C13AFE">
      <w:pPr>
        <w:spacing w:before="240"/>
        <w:rPr>
          <w:rFonts w:eastAsia="Calibri" w:cs="Times New Roman"/>
          <w:sz w:val="24"/>
        </w:rPr>
      </w:pPr>
      <w:r w:rsidRPr="00805038">
        <w:rPr>
          <w:rFonts w:eastAsia="Calibri" w:cs="Times New Roman"/>
          <w:sz w:val="24"/>
        </w:rPr>
        <w:lastRenderedPageBreak/>
        <w:t xml:space="preserve">Stabilitātes programmas fiskālās attīstības scenārijs 2024. gadā prognozē pozitīvu fiskālo telpu 0,04 % no IKP apmērā, 2025. gadā 0,40% no IKP un 2026. gadā 0,08% no IKP neskaitot iespējamo papildus finansējumu vienreizējo pasākumu izdevumiem. </w:t>
      </w:r>
    </w:p>
    <w:p w14:paraId="3DAAC4C4" w14:textId="77777777" w:rsidR="00C13AFE" w:rsidRPr="00C13AFE" w:rsidRDefault="00C13AFE" w:rsidP="00C13AFE">
      <w:pPr>
        <w:rPr>
          <w:rFonts w:eastAsia="Calibri" w:cs="Times New Roman"/>
          <w:sz w:val="24"/>
        </w:rPr>
      </w:pPr>
    </w:p>
    <w:p w14:paraId="286F0BC5" w14:textId="695313F0" w:rsidR="00C13AFE" w:rsidRPr="00C13AFE" w:rsidRDefault="00C13AFE" w:rsidP="00C13AFE">
      <w:pPr>
        <w:pStyle w:val="ListParagraph"/>
        <w:spacing w:after="120" w:line="276" w:lineRule="auto"/>
        <w:ind w:left="0" w:firstLine="0"/>
        <w:contextualSpacing w:val="0"/>
        <w:jc w:val="right"/>
        <w:rPr>
          <w:rFonts w:eastAsia="Calibri" w:cs="Times New Roman"/>
          <w:b/>
          <w:sz w:val="24"/>
          <w:szCs w:val="24"/>
        </w:rPr>
      </w:pPr>
      <w:r w:rsidRPr="00BA03D2">
        <w:rPr>
          <w:rFonts w:eastAsia="Calibri" w:cs="Times New Roman"/>
          <w:b/>
          <w:sz w:val="24"/>
          <w:szCs w:val="24"/>
        </w:rPr>
        <w:t>3.</w:t>
      </w:r>
      <w:r w:rsidR="00BA03D2" w:rsidRPr="00BA03D2">
        <w:rPr>
          <w:rFonts w:eastAsia="Calibri" w:cs="Times New Roman"/>
          <w:b/>
          <w:sz w:val="24"/>
          <w:szCs w:val="24"/>
        </w:rPr>
        <w:t>12</w:t>
      </w:r>
      <w:r w:rsidRPr="00BA03D2">
        <w:rPr>
          <w:rFonts w:eastAsia="Calibri" w:cs="Times New Roman"/>
          <w:b/>
          <w:sz w:val="24"/>
          <w:szCs w:val="24"/>
        </w:rPr>
        <w:t>. tabula.</w:t>
      </w:r>
      <w:r w:rsidRPr="00C13AFE">
        <w:rPr>
          <w:rFonts w:eastAsia="Calibri" w:cs="Times New Roman"/>
          <w:b/>
          <w:sz w:val="24"/>
          <w:szCs w:val="24"/>
        </w:rPr>
        <w:t xml:space="preserve"> Vidējā termiņa fiskālās attīstības scenārijs, % no IKP</w:t>
      </w:r>
    </w:p>
    <w:tbl>
      <w:tblPr>
        <w:tblStyle w:val="TableGrid7"/>
        <w:tblW w:w="9054" w:type="dxa"/>
        <w:jc w:val="center"/>
        <w:tblLayout w:type="fixed"/>
        <w:tblLook w:val="0000" w:firstRow="0" w:lastRow="0" w:firstColumn="0" w:lastColumn="0" w:noHBand="0" w:noVBand="0"/>
      </w:tblPr>
      <w:tblGrid>
        <w:gridCol w:w="3647"/>
        <w:gridCol w:w="1022"/>
        <w:gridCol w:w="877"/>
        <w:gridCol w:w="876"/>
        <w:gridCol w:w="877"/>
        <w:gridCol w:w="876"/>
        <w:gridCol w:w="879"/>
      </w:tblGrid>
      <w:tr w:rsidR="00C13AFE" w:rsidRPr="00085AFE" w14:paraId="4C4BCBED" w14:textId="77777777" w:rsidTr="00A834DD">
        <w:trPr>
          <w:trHeight w:val="251"/>
          <w:jc w:val="center"/>
        </w:trPr>
        <w:tc>
          <w:tcPr>
            <w:tcW w:w="3647" w:type="dxa"/>
            <w:shd w:val="clear" w:color="auto" w:fill="BDD6EE" w:themeFill="accent1" w:themeFillTint="66"/>
          </w:tcPr>
          <w:p w14:paraId="47234036" w14:textId="77777777" w:rsidR="00C13AFE" w:rsidRPr="00085AFE" w:rsidRDefault="00C13AFE" w:rsidP="00A834DD">
            <w:pPr>
              <w:ind w:firstLine="0"/>
              <w:rPr>
                <w:rFonts w:eastAsia="Times New Roman" w:cs="Times New Roman"/>
                <w:b/>
                <w:sz w:val="18"/>
                <w:szCs w:val="18"/>
                <w:highlight w:val="lightGray"/>
              </w:rPr>
            </w:pPr>
          </w:p>
        </w:tc>
        <w:tc>
          <w:tcPr>
            <w:tcW w:w="1022" w:type="dxa"/>
            <w:shd w:val="clear" w:color="auto" w:fill="BDD6EE" w:themeFill="accent1" w:themeFillTint="66"/>
          </w:tcPr>
          <w:p w14:paraId="2E632193" w14:textId="77777777" w:rsidR="00C13AFE" w:rsidRPr="00B60E0E" w:rsidRDefault="00C13AFE" w:rsidP="00A834DD">
            <w:pPr>
              <w:ind w:firstLine="0"/>
              <w:rPr>
                <w:rFonts w:eastAsia="Times New Roman" w:cs="Times New Roman"/>
                <w:b/>
                <w:sz w:val="18"/>
                <w:szCs w:val="18"/>
              </w:rPr>
            </w:pPr>
          </w:p>
        </w:tc>
        <w:tc>
          <w:tcPr>
            <w:tcW w:w="877" w:type="dxa"/>
            <w:shd w:val="clear" w:color="auto" w:fill="BDD6EE" w:themeFill="accent1" w:themeFillTint="66"/>
          </w:tcPr>
          <w:p w14:paraId="2C0BC298" w14:textId="77777777" w:rsidR="00C13AFE" w:rsidRPr="00B60E0E" w:rsidRDefault="00C13AFE" w:rsidP="00A834DD">
            <w:pPr>
              <w:ind w:firstLine="0"/>
              <w:jc w:val="center"/>
              <w:rPr>
                <w:rFonts w:eastAsia="Times New Roman" w:cs="Times New Roman"/>
                <w:b/>
                <w:sz w:val="18"/>
                <w:szCs w:val="18"/>
              </w:rPr>
            </w:pPr>
            <w:r w:rsidRPr="00B60E0E">
              <w:rPr>
                <w:rFonts w:eastAsia="Times New Roman" w:cs="Times New Roman"/>
                <w:b/>
                <w:sz w:val="18"/>
                <w:szCs w:val="18"/>
              </w:rPr>
              <w:t>2022</w:t>
            </w:r>
          </w:p>
        </w:tc>
        <w:tc>
          <w:tcPr>
            <w:tcW w:w="876" w:type="dxa"/>
            <w:shd w:val="clear" w:color="auto" w:fill="BDD6EE" w:themeFill="accent1" w:themeFillTint="66"/>
          </w:tcPr>
          <w:p w14:paraId="5A3511EA" w14:textId="77777777" w:rsidR="00C13AFE" w:rsidRPr="00B60E0E" w:rsidRDefault="00C13AFE" w:rsidP="00A834DD">
            <w:pPr>
              <w:ind w:firstLine="0"/>
              <w:jc w:val="center"/>
              <w:rPr>
                <w:rFonts w:eastAsia="Times New Roman" w:cs="Times New Roman"/>
                <w:b/>
                <w:sz w:val="18"/>
                <w:szCs w:val="18"/>
              </w:rPr>
            </w:pPr>
            <w:r w:rsidRPr="00B60E0E">
              <w:rPr>
                <w:rFonts w:eastAsia="Times New Roman" w:cs="Times New Roman"/>
                <w:b/>
                <w:sz w:val="18"/>
                <w:szCs w:val="18"/>
              </w:rPr>
              <w:t>2022</w:t>
            </w:r>
          </w:p>
        </w:tc>
        <w:tc>
          <w:tcPr>
            <w:tcW w:w="877" w:type="dxa"/>
            <w:shd w:val="clear" w:color="auto" w:fill="BDD6EE" w:themeFill="accent1" w:themeFillTint="66"/>
          </w:tcPr>
          <w:p w14:paraId="40FD2FE6" w14:textId="77777777" w:rsidR="00C13AFE" w:rsidRPr="00B60E0E" w:rsidRDefault="00C13AFE" w:rsidP="00A834DD">
            <w:pPr>
              <w:ind w:firstLine="0"/>
              <w:jc w:val="center"/>
              <w:rPr>
                <w:rFonts w:eastAsia="Times New Roman" w:cs="Times New Roman"/>
                <w:b/>
                <w:sz w:val="18"/>
                <w:szCs w:val="18"/>
              </w:rPr>
            </w:pPr>
            <w:r w:rsidRPr="00B60E0E">
              <w:rPr>
                <w:rFonts w:eastAsia="Times New Roman" w:cs="Times New Roman"/>
                <w:b/>
                <w:sz w:val="18"/>
                <w:szCs w:val="18"/>
              </w:rPr>
              <w:t>2023</w:t>
            </w:r>
          </w:p>
        </w:tc>
        <w:tc>
          <w:tcPr>
            <w:tcW w:w="876" w:type="dxa"/>
            <w:shd w:val="clear" w:color="auto" w:fill="BDD6EE" w:themeFill="accent1" w:themeFillTint="66"/>
          </w:tcPr>
          <w:p w14:paraId="4C2367FD" w14:textId="77777777" w:rsidR="00C13AFE" w:rsidRPr="00B60E0E" w:rsidRDefault="00C13AFE" w:rsidP="00A834DD">
            <w:pPr>
              <w:ind w:firstLine="0"/>
              <w:jc w:val="center"/>
              <w:rPr>
                <w:rFonts w:eastAsia="Times New Roman" w:cs="Times New Roman"/>
                <w:b/>
                <w:sz w:val="18"/>
                <w:szCs w:val="18"/>
              </w:rPr>
            </w:pPr>
            <w:r w:rsidRPr="00B60E0E">
              <w:rPr>
                <w:rFonts w:eastAsia="Times New Roman" w:cs="Times New Roman"/>
                <w:b/>
                <w:sz w:val="18"/>
                <w:szCs w:val="18"/>
              </w:rPr>
              <w:t>2025</w:t>
            </w:r>
          </w:p>
        </w:tc>
        <w:tc>
          <w:tcPr>
            <w:tcW w:w="879" w:type="dxa"/>
            <w:shd w:val="clear" w:color="auto" w:fill="BDD6EE" w:themeFill="accent1" w:themeFillTint="66"/>
          </w:tcPr>
          <w:p w14:paraId="05594229" w14:textId="77777777" w:rsidR="00C13AFE" w:rsidRPr="00B60E0E" w:rsidRDefault="00C13AFE" w:rsidP="00A834DD">
            <w:pPr>
              <w:ind w:firstLine="0"/>
              <w:jc w:val="center"/>
              <w:rPr>
                <w:rFonts w:eastAsia="Times New Roman" w:cs="Times New Roman"/>
                <w:b/>
                <w:sz w:val="18"/>
                <w:szCs w:val="18"/>
              </w:rPr>
            </w:pPr>
            <w:r w:rsidRPr="00B60E0E">
              <w:rPr>
                <w:rFonts w:eastAsia="Times New Roman" w:cs="Times New Roman"/>
                <w:b/>
                <w:sz w:val="18"/>
                <w:szCs w:val="18"/>
              </w:rPr>
              <w:t>2026</w:t>
            </w:r>
          </w:p>
        </w:tc>
      </w:tr>
      <w:tr w:rsidR="00C13AFE" w:rsidRPr="00085AFE" w14:paraId="1536EDAD" w14:textId="77777777" w:rsidTr="00A834DD">
        <w:trPr>
          <w:trHeight w:val="239"/>
          <w:jc w:val="center"/>
        </w:trPr>
        <w:tc>
          <w:tcPr>
            <w:tcW w:w="3647" w:type="dxa"/>
          </w:tcPr>
          <w:p w14:paraId="12DB234F" w14:textId="77777777" w:rsidR="00C13AFE" w:rsidRPr="00085AFE" w:rsidRDefault="00C13AFE" w:rsidP="00A834DD">
            <w:pPr>
              <w:ind w:firstLine="0"/>
              <w:rPr>
                <w:rFonts w:eastAsia="Times New Roman" w:cs="Times New Roman"/>
                <w:sz w:val="18"/>
                <w:szCs w:val="18"/>
                <w:highlight w:val="lightGray"/>
              </w:rPr>
            </w:pPr>
          </w:p>
        </w:tc>
        <w:tc>
          <w:tcPr>
            <w:tcW w:w="1022" w:type="dxa"/>
          </w:tcPr>
          <w:p w14:paraId="7BE649DD" w14:textId="77777777" w:rsidR="00C13AFE" w:rsidRPr="00B60E0E" w:rsidRDefault="00C13AFE" w:rsidP="00A834DD">
            <w:pPr>
              <w:ind w:firstLine="0"/>
              <w:jc w:val="center"/>
              <w:rPr>
                <w:rFonts w:eastAsia="Times New Roman" w:cs="Times New Roman"/>
                <w:b/>
                <w:sz w:val="18"/>
                <w:szCs w:val="18"/>
              </w:rPr>
            </w:pPr>
            <w:r w:rsidRPr="00B60E0E">
              <w:rPr>
                <w:rFonts w:eastAsia="Times New Roman" w:cs="Times New Roman"/>
                <w:b/>
                <w:sz w:val="18"/>
                <w:szCs w:val="18"/>
              </w:rPr>
              <w:t>EKS kods</w:t>
            </w:r>
          </w:p>
        </w:tc>
        <w:tc>
          <w:tcPr>
            <w:tcW w:w="4385" w:type="dxa"/>
            <w:gridSpan w:val="5"/>
            <w:vAlign w:val="center"/>
          </w:tcPr>
          <w:p w14:paraId="4CAC9E04" w14:textId="77777777" w:rsidR="00C13AFE" w:rsidRPr="00B60E0E" w:rsidRDefault="00C13AFE" w:rsidP="00A834DD">
            <w:pPr>
              <w:ind w:firstLine="0"/>
              <w:jc w:val="center"/>
              <w:rPr>
                <w:rFonts w:eastAsia="Times New Roman" w:cs="Times New Roman"/>
                <w:b/>
                <w:sz w:val="18"/>
                <w:szCs w:val="18"/>
              </w:rPr>
            </w:pPr>
            <w:r w:rsidRPr="00B60E0E">
              <w:rPr>
                <w:rFonts w:eastAsia="Times New Roman" w:cs="Times New Roman"/>
                <w:b/>
                <w:sz w:val="18"/>
                <w:szCs w:val="18"/>
              </w:rPr>
              <w:t>% no IKP</w:t>
            </w:r>
          </w:p>
        </w:tc>
      </w:tr>
      <w:tr w:rsidR="00C13AFE" w:rsidRPr="00085AFE" w14:paraId="3D170A05" w14:textId="77777777" w:rsidTr="00A834DD">
        <w:trPr>
          <w:trHeight w:val="251"/>
          <w:jc w:val="center"/>
        </w:trPr>
        <w:tc>
          <w:tcPr>
            <w:tcW w:w="9054" w:type="dxa"/>
            <w:gridSpan w:val="7"/>
            <w:shd w:val="clear" w:color="auto" w:fill="BDD6EE" w:themeFill="accent1" w:themeFillTint="66"/>
          </w:tcPr>
          <w:p w14:paraId="7748C0BD" w14:textId="77777777" w:rsidR="00C13AFE" w:rsidRPr="00B60E0E" w:rsidRDefault="00C13AFE" w:rsidP="00A834DD">
            <w:pPr>
              <w:ind w:firstLine="0"/>
              <w:jc w:val="center"/>
              <w:rPr>
                <w:rFonts w:eastAsia="Times New Roman" w:cs="Times New Roman"/>
                <w:b/>
                <w:sz w:val="18"/>
                <w:szCs w:val="18"/>
              </w:rPr>
            </w:pPr>
            <w:r w:rsidRPr="00B60E0E">
              <w:rPr>
                <w:rFonts w:eastAsia="Times New Roman" w:cs="Times New Roman"/>
                <w:b/>
                <w:sz w:val="18"/>
                <w:szCs w:val="18"/>
              </w:rPr>
              <w:t xml:space="preserve">Neto aizdevumi (+) vai aizņēmumi (-) (B.9) pa </w:t>
            </w:r>
            <w:proofErr w:type="spellStart"/>
            <w:r w:rsidRPr="00B60E0E">
              <w:rPr>
                <w:rFonts w:eastAsia="Times New Roman" w:cs="Times New Roman"/>
                <w:b/>
                <w:sz w:val="18"/>
                <w:szCs w:val="18"/>
              </w:rPr>
              <w:t>apakšsektoriem</w:t>
            </w:r>
            <w:proofErr w:type="spellEnd"/>
          </w:p>
        </w:tc>
      </w:tr>
      <w:tr w:rsidR="00C13AFE" w:rsidRPr="00B60E0E" w14:paraId="338ADA31" w14:textId="77777777" w:rsidTr="00A834DD">
        <w:trPr>
          <w:trHeight w:val="251"/>
          <w:jc w:val="center"/>
        </w:trPr>
        <w:tc>
          <w:tcPr>
            <w:tcW w:w="3647" w:type="dxa"/>
          </w:tcPr>
          <w:p w14:paraId="37E8494B" w14:textId="77777777" w:rsidR="00C13AFE" w:rsidRPr="00B60E0E" w:rsidRDefault="00C13AFE" w:rsidP="00A834DD">
            <w:pPr>
              <w:ind w:firstLine="0"/>
              <w:rPr>
                <w:rFonts w:eastAsia="Times New Roman" w:cs="Times New Roman"/>
                <w:snapToGrid w:val="0"/>
                <w:sz w:val="18"/>
                <w:szCs w:val="18"/>
              </w:rPr>
            </w:pPr>
            <w:r w:rsidRPr="00B60E0E">
              <w:rPr>
                <w:rFonts w:eastAsia="Times New Roman" w:cs="Times New Roman"/>
                <w:snapToGrid w:val="0"/>
                <w:sz w:val="18"/>
                <w:szCs w:val="18"/>
              </w:rPr>
              <w:t>Vispārējā valdība</w:t>
            </w:r>
          </w:p>
        </w:tc>
        <w:tc>
          <w:tcPr>
            <w:tcW w:w="1022" w:type="dxa"/>
          </w:tcPr>
          <w:p w14:paraId="6550962A" w14:textId="77777777" w:rsidR="00C13AFE" w:rsidRPr="00B60E0E" w:rsidRDefault="00C13AFE" w:rsidP="00A834DD">
            <w:pPr>
              <w:ind w:firstLine="0"/>
              <w:jc w:val="center"/>
              <w:rPr>
                <w:rFonts w:eastAsia="Times New Roman" w:cs="Times New Roman"/>
                <w:sz w:val="18"/>
                <w:szCs w:val="18"/>
              </w:rPr>
            </w:pPr>
            <w:r w:rsidRPr="00B60E0E">
              <w:rPr>
                <w:rFonts w:eastAsia="Times New Roman" w:cs="Times New Roman"/>
                <w:sz w:val="18"/>
                <w:szCs w:val="18"/>
              </w:rPr>
              <w:t>S.13</w:t>
            </w:r>
          </w:p>
        </w:tc>
        <w:tc>
          <w:tcPr>
            <w:tcW w:w="877" w:type="dxa"/>
            <w:shd w:val="clear" w:color="auto" w:fill="auto"/>
            <w:vAlign w:val="bottom"/>
          </w:tcPr>
          <w:p w14:paraId="5F9DB3E1" w14:textId="77777777" w:rsidR="00C13AFE" w:rsidRPr="00B60E0E" w:rsidRDefault="00C13AFE" w:rsidP="00A834DD">
            <w:pPr>
              <w:ind w:firstLine="0"/>
              <w:jc w:val="center"/>
              <w:rPr>
                <w:rFonts w:eastAsia="Times New Roman" w:cs="Times New Roman"/>
                <w:snapToGrid w:val="0"/>
                <w:sz w:val="18"/>
                <w:szCs w:val="18"/>
              </w:rPr>
            </w:pPr>
            <w:r w:rsidRPr="00B60E0E">
              <w:rPr>
                <w:color w:val="000000"/>
                <w:sz w:val="18"/>
                <w:szCs w:val="18"/>
              </w:rPr>
              <w:t>-4,7</w:t>
            </w:r>
          </w:p>
        </w:tc>
        <w:tc>
          <w:tcPr>
            <w:tcW w:w="876" w:type="dxa"/>
            <w:shd w:val="clear" w:color="auto" w:fill="auto"/>
            <w:vAlign w:val="bottom"/>
          </w:tcPr>
          <w:p w14:paraId="400AAAC9" w14:textId="77777777" w:rsidR="00C13AFE" w:rsidRPr="00B60E0E" w:rsidRDefault="00C13AFE" w:rsidP="00A834DD">
            <w:pPr>
              <w:ind w:firstLine="0"/>
              <w:jc w:val="center"/>
              <w:rPr>
                <w:rFonts w:eastAsia="Times New Roman" w:cs="Times New Roman"/>
                <w:snapToGrid w:val="0"/>
                <w:sz w:val="18"/>
                <w:szCs w:val="18"/>
              </w:rPr>
            </w:pPr>
            <w:r w:rsidRPr="00B60E0E">
              <w:rPr>
                <w:color w:val="000000"/>
                <w:sz w:val="18"/>
                <w:szCs w:val="18"/>
              </w:rPr>
              <w:t>-4,0</w:t>
            </w:r>
          </w:p>
        </w:tc>
        <w:tc>
          <w:tcPr>
            <w:tcW w:w="877" w:type="dxa"/>
            <w:shd w:val="clear" w:color="auto" w:fill="auto"/>
            <w:vAlign w:val="center"/>
          </w:tcPr>
          <w:p w14:paraId="7446B802" w14:textId="77777777" w:rsidR="00C13AFE" w:rsidRPr="00307776" w:rsidRDefault="00C13AFE" w:rsidP="00A834DD">
            <w:pPr>
              <w:ind w:firstLine="0"/>
              <w:jc w:val="center"/>
              <w:rPr>
                <w:rFonts w:eastAsia="Times New Roman" w:cs="Times New Roman"/>
                <w:snapToGrid w:val="0"/>
                <w:sz w:val="18"/>
                <w:szCs w:val="18"/>
              </w:rPr>
            </w:pPr>
            <w:r w:rsidRPr="00307776">
              <w:rPr>
                <w:sz w:val="18"/>
                <w:szCs w:val="18"/>
              </w:rPr>
              <w:t>-2,5</w:t>
            </w:r>
          </w:p>
        </w:tc>
        <w:tc>
          <w:tcPr>
            <w:tcW w:w="876" w:type="dxa"/>
            <w:shd w:val="clear" w:color="auto" w:fill="auto"/>
            <w:vAlign w:val="center"/>
          </w:tcPr>
          <w:p w14:paraId="580E2082" w14:textId="77777777" w:rsidR="00C13AFE" w:rsidRPr="00307776" w:rsidRDefault="00C13AFE" w:rsidP="00A834DD">
            <w:pPr>
              <w:ind w:firstLine="0"/>
              <w:jc w:val="center"/>
              <w:rPr>
                <w:rFonts w:eastAsia="Times New Roman" w:cs="Times New Roman"/>
                <w:snapToGrid w:val="0"/>
                <w:sz w:val="18"/>
                <w:szCs w:val="18"/>
              </w:rPr>
            </w:pPr>
            <w:r w:rsidRPr="00307776">
              <w:rPr>
                <w:sz w:val="18"/>
                <w:szCs w:val="18"/>
              </w:rPr>
              <w:t>-2,2</w:t>
            </w:r>
          </w:p>
        </w:tc>
        <w:tc>
          <w:tcPr>
            <w:tcW w:w="879" w:type="dxa"/>
            <w:shd w:val="clear" w:color="auto" w:fill="auto"/>
            <w:vAlign w:val="center"/>
          </w:tcPr>
          <w:p w14:paraId="3101F7C4" w14:textId="77777777" w:rsidR="00C13AFE" w:rsidRPr="00307776" w:rsidRDefault="00C13AFE" w:rsidP="00A834DD">
            <w:pPr>
              <w:ind w:firstLine="0"/>
              <w:jc w:val="center"/>
              <w:rPr>
                <w:rFonts w:eastAsia="Times New Roman" w:cs="Times New Roman"/>
                <w:snapToGrid w:val="0"/>
                <w:sz w:val="18"/>
                <w:szCs w:val="18"/>
              </w:rPr>
            </w:pPr>
            <w:r w:rsidRPr="00307776">
              <w:rPr>
                <w:sz w:val="18"/>
                <w:szCs w:val="18"/>
              </w:rPr>
              <w:t>-0,7</w:t>
            </w:r>
          </w:p>
        </w:tc>
      </w:tr>
      <w:tr w:rsidR="00C13AFE" w:rsidRPr="00B60E0E" w14:paraId="6DF8D717" w14:textId="77777777" w:rsidTr="00A834DD">
        <w:trPr>
          <w:trHeight w:val="251"/>
          <w:jc w:val="center"/>
        </w:trPr>
        <w:tc>
          <w:tcPr>
            <w:tcW w:w="3647" w:type="dxa"/>
          </w:tcPr>
          <w:p w14:paraId="70E16848" w14:textId="77777777" w:rsidR="00C13AFE" w:rsidRPr="00B60E0E" w:rsidRDefault="00C13AFE" w:rsidP="00A834DD">
            <w:pPr>
              <w:ind w:firstLine="0"/>
              <w:rPr>
                <w:rFonts w:eastAsia="Times New Roman" w:cs="Times New Roman"/>
                <w:snapToGrid w:val="0"/>
                <w:sz w:val="18"/>
                <w:szCs w:val="18"/>
              </w:rPr>
            </w:pPr>
            <w:r w:rsidRPr="00B60E0E">
              <w:rPr>
                <w:rFonts w:eastAsia="Times New Roman" w:cs="Times New Roman"/>
                <w:snapToGrid w:val="0"/>
                <w:sz w:val="18"/>
                <w:szCs w:val="18"/>
              </w:rPr>
              <w:t>Centrālā valdība</w:t>
            </w:r>
          </w:p>
        </w:tc>
        <w:tc>
          <w:tcPr>
            <w:tcW w:w="1022" w:type="dxa"/>
          </w:tcPr>
          <w:p w14:paraId="126A943C" w14:textId="77777777" w:rsidR="00C13AFE" w:rsidRPr="00B60E0E" w:rsidRDefault="00C13AFE" w:rsidP="00A834DD">
            <w:pPr>
              <w:ind w:firstLine="0"/>
              <w:jc w:val="center"/>
              <w:rPr>
                <w:rFonts w:eastAsia="Times New Roman" w:cs="Times New Roman"/>
                <w:sz w:val="18"/>
                <w:szCs w:val="18"/>
              </w:rPr>
            </w:pPr>
            <w:r w:rsidRPr="00B60E0E">
              <w:rPr>
                <w:rFonts w:eastAsia="Times New Roman" w:cs="Times New Roman"/>
                <w:sz w:val="18"/>
                <w:szCs w:val="18"/>
              </w:rPr>
              <w:t>S.1311</w:t>
            </w:r>
          </w:p>
        </w:tc>
        <w:tc>
          <w:tcPr>
            <w:tcW w:w="877" w:type="dxa"/>
            <w:shd w:val="clear" w:color="auto" w:fill="auto"/>
            <w:vAlign w:val="bottom"/>
          </w:tcPr>
          <w:p w14:paraId="1DC581DD" w14:textId="77777777" w:rsidR="00C13AFE" w:rsidRPr="00B60E0E" w:rsidRDefault="00C13AFE" w:rsidP="00A834DD">
            <w:pPr>
              <w:ind w:firstLine="0"/>
              <w:jc w:val="center"/>
              <w:rPr>
                <w:rFonts w:eastAsia="Times New Roman" w:cs="Times New Roman"/>
                <w:snapToGrid w:val="0"/>
                <w:sz w:val="18"/>
                <w:szCs w:val="18"/>
              </w:rPr>
            </w:pPr>
            <w:r w:rsidRPr="00B60E0E">
              <w:rPr>
                <w:color w:val="000000"/>
                <w:sz w:val="18"/>
                <w:szCs w:val="18"/>
              </w:rPr>
              <w:t>-5,5</w:t>
            </w:r>
          </w:p>
        </w:tc>
        <w:tc>
          <w:tcPr>
            <w:tcW w:w="876" w:type="dxa"/>
            <w:shd w:val="clear" w:color="auto" w:fill="auto"/>
            <w:vAlign w:val="bottom"/>
          </w:tcPr>
          <w:p w14:paraId="3D13BA60" w14:textId="77777777" w:rsidR="00C13AFE" w:rsidRPr="00B60E0E" w:rsidRDefault="00C13AFE" w:rsidP="00A834DD">
            <w:pPr>
              <w:ind w:firstLine="0"/>
              <w:jc w:val="center"/>
              <w:rPr>
                <w:rFonts w:eastAsia="Times New Roman" w:cs="Times New Roman"/>
                <w:snapToGrid w:val="0"/>
                <w:sz w:val="18"/>
                <w:szCs w:val="18"/>
              </w:rPr>
            </w:pPr>
            <w:r w:rsidRPr="00B60E0E">
              <w:rPr>
                <w:color w:val="000000"/>
                <w:sz w:val="18"/>
                <w:szCs w:val="18"/>
              </w:rPr>
              <w:t>-4,2</w:t>
            </w:r>
          </w:p>
        </w:tc>
        <w:tc>
          <w:tcPr>
            <w:tcW w:w="877" w:type="dxa"/>
            <w:shd w:val="clear" w:color="auto" w:fill="auto"/>
            <w:vAlign w:val="center"/>
          </w:tcPr>
          <w:p w14:paraId="38E1CC78" w14:textId="77777777" w:rsidR="00C13AFE" w:rsidRPr="00307776" w:rsidRDefault="00C13AFE" w:rsidP="00A834DD">
            <w:pPr>
              <w:ind w:firstLine="0"/>
              <w:jc w:val="center"/>
              <w:rPr>
                <w:rFonts w:eastAsia="Times New Roman" w:cs="Times New Roman"/>
                <w:snapToGrid w:val="0"/>
                <w:sz w:val="18"/>
                <w:szCs w:val="18"/>
              </w:rPr>
            </w:pPr>
            <w:r w:rsidRPr="00307776">
              <w:rPr>
                <w:sz w:val="18"/>
                <w:szCs w:val="18"/>
              </w:rPr>
              <w:t>-2,9</w:t>
            </w:r>
          </w:p>
        </w:tc>
        <w:tc>
          <w:tcPr>
            <w:tcW w:w="876" w:type="dxa"/>
            <w:shd w:val="clear" w:color="auto" w:fill="auto"/>
            <w:vAlign w:val="center"/>
          </w:tcPr>
          <w:p w14:paraId="496DD808" w14:textId="77777777" w:rsidR="00C13AFE" w:rsidRPr="00307776" w:rsidRDefault="00C13AFE" w:rsidP="00A834DD">
            <w:pPr>
              <w:ind w:firstLine="0"/>
              <w:jc w:val="center"/>
              <w:rPr>
                <w:rFonts w:eastAsia="Times New Roman" w:cs="Times New Roman"/>
                <w:snapToGrid w:val="0"/>
                <w:sz w:val="18"/>
                <w:szCs w:val="18"/>
              </w:rPr>
            </w:pPr>
            <w:r w:rsidRPr="00307776">
              <w:rPr>
                <w:sz w:val="18"/>
                <w:szCs w:val="18"/>
              </w:rPr>
              <w:t>-2,3</w:t>
            </w:r>
          </w:p>
        </w:tc>
        <w:tc>
          <w:tcPr>
            <w:tcW w:w="879" w:type="dxa"/>
            <w:shd w:val="clear" w:color="auto" w:fill="auto"/>
            <w:vAlign w:val="center"/>
          </w:tcPr>
          <w:p w14:paraId="16058CD7" w14:textId="77777777" w:rsidR="00C13AFE" w:rsidRPr="00307776" w:rsidRDefault="00C13AFE" w:rsidP="00A834DD">
            <w:pPr>
              <w:ind w:firstLine="0"/>
              <w:jc w:val="center"/>
              <w:rPr>
                <w:rFonts w:eastAsia="Times New Roman" w:cs="Times New Roman"/>
                <w:snapToGrid w:val="0"/>
                <w:sz w:val="18"/>
                <w:szCs w:val="18"/>
              </w:rPr>
            </w:pPr>
            <w:r w:rsidRPr="00307776">
              <w:rPr>
                <w:sz w:val="18"/>
                <w:szCs w:val="18"/>
              </w:rPr>
              <w:t>-0,6</w:t>
            </w:r>
          </w:p>
        </w:tc>
      </w:tr>
      <w:tr w:rsidR="00C13AFE" w:rsidRPr="00B60E0E" w14:paraId="6673BB83" w14:textId="77777777" w:rsidTr="00A834DD">
        <w:trPr>
          <w:trHeight w:val="251"/>
          <w:jc w:val="center"/>
        </w:trPr>
        <w:tc>
          <w:tcPr>
            <w:tcW w:w="3647" w:type="dxa"/>
          </w:tcPr>
          <w:p w14:paraId="7E607607" w14:textId="77777777" w:rsidR="00C13AFE" w:rsidRPr="00B60E0E" w:rsidRDefault="00C13AFE" w:rsidP="00A834DD">
            <w:pPr>
              <w:ind w:firstLine="0"/>
              <w:rPr>
                <w:rFonts w:eastAsia="Times New Roman" w:cs="Times New Roman"/>
                <w:snapToGrid w:val="0"/>
                <w:sz w:val="18"/>
                <w:szCs w:val="18"/>
              </w:rPr>
            </w:pPr>
            <w:r w:rsidRPr="00B60E0E">
              <w:rPr>
                <w:rFonts w:eastAsia="Times New Roman" w:cs="Times New Roman"/>
                <w:snapToGrid w:val="0"/>
                <w:sz w:val="18"/>
                <w:szCs w:val="18"/>
              </w:rPr>
              <w:t>Vietējā valdība</w:t>
            </w:r>
          </w:p>
        </w:tc>
        <w:tc>
          <w:tcPr>
            <w:tcW w:w="1022" w:type="dxa"/>
          </w:tcPr>
          <w:p w14:paraId="559CE14E" w14:textId="77777777" w:rsidR="00C13AFE" w:rsidRPr="00B60E0E" w:rsidRDefault="00C13AFE" w:rsidP="00A834DD">
            <w:pPr>
              <w:ind w:firstLine="0"/>
              <w:jc w:val="center"/>
              <w:rPr>
                <w:rFonts w:eastAsia="Times New Roman" w:cs="Times New Roman"/>
                <w:sz w:val="18"/>
                <w:szCs w:val="18"/>
              </w:rPr>
            </w:pPr>
            <w:r w:rsidRPr="00B60E0E">
              <w:rPr>
                <w:rFonts w:eastAsia="Times New Roman" w:cs="Times New Roman"/>
                <w:sz w:val="18"/>
                <w:szCs w:val="18"/>
              </w:rPr>
              <w:t>S.1313</w:t>
            </w:r>
          </w:p>
        </w:tc>
        <w:tc>
          <w:tcPr>
            <w:tcW w:w="877" w:type="dxa"/>
            <w:shd w:val="clear" w:color="auto" w:fill="auto"/>
            <w:vAlign w:val="bottom"/>
          </w:tcPr>
          <w:p w14:paraId="7E7C436D" w14:textId="77777777" w:rsidR="00C13AFE" w:rsidRPr="00B60E0E" w:rsidRDefault="00C13AFE" w:rsidP="00A834DD">
            <w:pPr>
              <w:ind w:firstLine="0"/>
              <w:jc w:val="center"/>
              <w:rPr>
                <w:rFonts w:eastAsia="Times New Roman" w:cs="Times New Roman"/>
                <w:snapToGrid w:val="0"/>
                <w:sz w:val="18"/>
                <w:szCs w:val="18"/>
              </w:rPr>
            </w:pPr>
            <w:r w:rsidRPr="00B60E0E">
              <w:rPr>
                <w:color w:val="000000"/>
                <w:sz w:val="18"/>
                <w:szCs w:val="18"/>
              </w:rPr>
              <w:t>0,1</w:t>
            </w:r>
          </w:p>
        </w:tc>
        <w:tc>
          <w:tcPr>
            <w:tcW w:w="876" w:type="dxa"/>
            <w:shd w:val="clear" w:color="auto" w:fill="auto"/>
            <w:vAlign w:val="bottom"/>
          </w:tcPr>
          <w:p w14:paraId="0033A17D" w14:textId="77777777" w:rsidR="00C13AFE" w:rsidRPr="00B60E0E" w:rsidRDefault="00C13AFE" w:rsidP="00A834DD">
            <w:pPr>
              <w:ind w:firstLine="0"/>
              <w:jc w:val="center"/>
              <w:rPr>
                <w:rFonts w:eastAsia="Times New Roman" w:cs="Times New Roman"/>
                <w:snapToGrid w:val="0"/>
                <w:sz w:val="18"/>
                <w:szCs w:val="18"/>
              </w:rPr>
            </w:pPr>
            <w:r w:rsidRPr="00B60E0E">
              <w:rPr>
                <w:color w:val="000000"/>
                <w:sz w:val="18"/>
                <w:szCs w:val="18"/>
              </w:rPr>
              <w:t>-0,1</w:t>
            </w:r>
          </w:p>
        </w:tc>
        <w:tc>
          <w:tcPr>
            <w:tcW w:w="877" w:type="dxa"/>
            <w:shd w:val="clear" w:color="auto" w:fill="auto"/>
            <w:vAlign w:val="center"/>
          </w:tcPr>
          <w:p w14:paraId="57C6F9AC" w14:textId="77777777" w:rsidR="00C13AFE" w:rsidRPr="00307776" w:rsidRDefault="00C13AFE" w:rsidP="00A834DD">
            <w:pPr>
              <w:ind w:firstLine="0"/>
              <w:jc w:val="center"/>
              <w:rPr>
                <w:rFonts w:eastAsia="Times New Roman" w:cs="Times New Roman"/>
                <w:snapToGrid w:val="0"/>
                <w:sz w:val="18"/>
                <w:szCs w:val="18"/>
              </w:rPr>
            </w:pPr>
            <w:r w:rsidRPr="00307776">
              <w:rPr>
                <w:sz w:val="18"/>
                <w:szCs w:val="18"/>
              </w:rPr>
              <w:t>0,0</w:t>
            </w:r>
          </w:p>
        </w:tc>
        <w:tc>
          <w:tcPr>
            <w:tcW w:w="876" w:type="dxa"/>
            <w:shd w:val="clear" w:color="auto" w:fill="auto"/>
            <w:vAlign w:val="center"/>
          </w:tcPr>
          <w:p w14:paraId="07651D59" w14:textId="77777777" w:rsidR="00C13AFE" w:rsidRPr="00307776" w:rsidRDefault="00C13AFE" w:rsidP="00A834DD">
            <w:pPr>
              <w:ind w:firstLine="0"/>
              <w:jc w:val="center"/>
              <w:rPr>
                <w:rFonts w:eastAsia="Times New Roman" w:cs="Times New Roman"/>
                <w:snapToGrid w:val="0"/>
                <w:sz w:val="18"/>
                <w:szCs w:val="18"/>
              </w:rPr>
            </w:pPr>
            <w:r w:rsidRPr="00307776">
              <w:rPr>
                <w:sz w:val="18"/>
                <w:szCs w:val="18"/>
              </w:rPr>
              <w:t>0,0</w:t>
            </w:r>
          </w:p>
        </w:tc>
        <w:tc>
          <w:tcPr>
            <w:tcW w:w="879" w:type="dxa"/>
            <w:shd w:val="clear" w:color="auto" w:fill="auto"/>
            <w:vAlign w:val="center"/>
          </w:tcPr>
          <w:p w14:paraId="4D23835F" w14:textId="77777777" w:rsidR="00C13AFE" w:rsidRPr="00307776" w:rsidRDefault="00C13AFE" w:rsidP="00A834DD">
            <w:pPr>
              <w:ind w:firstLine="0"/>
              <w:jc w:val="center"/>
              <w:rPr>
                <w:rFonts w:eastAsia="Times New Roman" w:cs="Times New Roman"/>
                <w:snapToGrid w:val="0"/>
                <w:sz w:val="18"/>
                <w:szCs w:val="18"/>
              </w:rPr>
            </w:pPr>
            <w:r w:rsidRPr="00307776">
              <w:rPr>
                <w:sz w:val="18"/>
                <w:szCs w:val="18"/>
              </w:rPr>
              <w:t>0,1</w:t>
            </w:r>
          </w:p>
        </w:tc>
      </w:tr>
      <w:tr w:rsidR="00C13AFE" w:rsidRPr="00B60E0E" w14:paraId="324630CA" w14:textId="77777777" w:rsidTr="00A834DD">
        <w:trPr>
          <w:trHeight w:val="251"/>
          <w:jc w:val="center"/>
        </w:trPr>
        <w:tc>
          <w:tcPr>
            <w:tcW w:w="3647" w:type="dxa"/>
          </w:tcPr>
          <w:p w14:paraId="00ED6EEE" w14:textId="77777777" w:rsidR="00C13AFE" w:rsidRPr="00B60E0E" w:rsidRDefault="00C13AFE" w:rsidP="00A834DD">
            <w:pPr>
              <w:ind w:firstLine="0"/>
              <w:rPr>
                <w:rFonts w:eastAsia="Times New Roman" w:cs="Times New Roman"/>
                <w:snapToGrid w:val="0"/>
                <w:sz w:val="18"/>
                <w:szCs w:val="18"/>
              </w:rPr>
            </w:pPr>
            <w:r w:rsidRPr="00B60E0E">
              <w:rPr>
                <w:rFonts w:eastAsia="Times New Roman" w:cs="Times New Roman"/>
                <w:snapToGrid w:val="0"/>
                <w:sz w:val="18"/>
                <w:szCs w:val="18"/>
              </w:rPr>
              <w:t>Sociālās nodrošināšanas fondi</w:t>
            </w:r>
          </w:p>
        </w:tc>
        <w:tc>
          <w:tcPr>
            <w:tcW w:w="1022" w:type="dxa"/>
            <w:vAlign w:val="center"/>
          </w:tcPr>
          <w:p w14:paraId="2FC547E0" w14:textId="77777777" w:rsidR="00C13AFE" w:rsidRPr="00B60E0E" w:rsidRDefault="00C13AFE" w:rsidP="00A834DD">
            <w:pPr>
              <w:ind w:firstLine="0"/>
              <w:jc w:val="center"/>
              <w:rPr>
                <w:rFonts w:eastAsia="Times New Roman" w:cs="Times New Roman"/>
                <w:sz w:val="18"/>
                <w:szCs w:val="18"/>
              </w:rPr>
            </w:pPr>
            <w:r w:rsidRPr="00B60E0E">
              <w:rPr>
                <w:rFonts w:eastAsia="Times New Roman" w:cs="Times New Roman"/>
                <w:sz w:val="18"/>
                <w:szCs w:val="18"/>
              </w:rPr>
              <w:t>S.1314</w:t>
            </w:r>
          </w:p>
        </w:tc>
        <w:tc>
          <w:tcPr>
            <w:tcW w:w="877" w:type="dxa"/>
            <w:shd w:val="clear" w:color="auto" w:fill="auto"/>
            <w:vAlign w:val="bottom"/>
          </w:tcPr>
          <w:p w14:paraId="3E6324AF" w14:textId="77777777" w:rsidR="00C13AFE" w:rsidRPr="00B60E0E" w:rsidRDefault="00C13AFE" w:rsidP="00A834DD">
            <w:pPr>
              <w:ind w:firstLine="0"/>
              <w:jc w:val="center"/>
              <w:rPr>
                <w:rFonts w:eastAsia="Times New Roman" w:cs="Times New Roman"/>
                <w:snapToGrid w:val="0"/>
                <w:sz w:val="18"/>
                <w:szCs w:val="18"/>
              </w:rPr>
            </w:pPr>
            <w:r w:rsidRPr="00B60E0E">
              <w:rPr>
                <w:color w:val="000000"/>
                <w:sz w:val="18"/>
                <w:szCs w:val="18"/>
              </w:rPr>
              <w:t>0,7</w:t>
            </w:r>
          </w:p>
        </w:tc>
        <w:tc>
          <w:tcPr>
            <w:tcW w:w="876" w:type="dxa"/>
            <w:shd w:val="clear" w:color="auto" w:fill="auto"/>
            <w:vAlign w:val="bottom"/>
          </w:tcPr>
          <w:p w14:paraId="7C83176A" w14:textId="77777777" w:rsidR="00C13AFE" w:rsidRPr="00B60E0E" w:rsidRDefault="00C13AFE" w:rsidP="00A834DD">
            <w:pPr>
              <w:ind w:firstLine="0"/>
              <w:jc w:val="center"/>
              <w:rPr>
                <w:rFonts w:eastAsia="Times New Roman" w:cs="Times New Roman"/>
                <w:snapToGrid w:val="0"/>
                <w:sz w:val="18"/>
                <w:szCs w:val="18"/>
              </w:rPr>
            </w:pPr>
            <w:r w:rsidRPr="00B60E0E">
              <w:rPr>
                <w:color w:val="000000"/>
                <w:sz w:val="18"/>
                <w:szCs w:val="18"/>
              </w:rPr>
              <w:t>0,3</w:t>
            </w:r>
          </w:p>
        </w:tc>
        <w:tc>
          <w:tcPr>
            <w:tcW w:w="877" w:type="dxa"/>
            <w:shd w:val="clear" w:color="auto" w:fill="auto"/>
            <w:vAlign w:val="center"/>
          </w:tcPr>
          <w:p w14:paraId="4C262AC1" w14:textId="77777777" w:rsidR="00C13AFE" w:rsidRPr="00307776" w:rsidRDefault="00C13AFE" w:rsidP="00A834DD">
            <w:pPr>
              <w:ind w:firstLine="0"/>
              <w:jc w:val="center"/>
              <w:rPr>
                <w:rFonts w:eastAsia="Times New Roman" w:cs="Times New Roman"/>
                <w:snapToGrid w:val="0"/>
                <w:sz w:val="18"/>
                <w:szCs w:val="18"/>
              </w:rPr>
            </w:pPr>
            <w:r w:rsidRPr="00307776">
              <w:rPr>
                <w:sz w:val="18"/>
                <w:szCs w:val="18"/>
              </w:rPr>
              <w:t>0,3</w:t>
            </w:r>
          </w:p>
        </w:tc>
        <w:tc>
          <w:tcPr>
            <w:tcW w:w="876" w:type="dxa"/>
            <w:shd w:val="clear" w:color="auto" w:fill="auto"/>
            <w:vAlign w:val="center"/>
          </w:tcPr>
          <w:p w14:paraId="6F4301A8" w14:textId="77777777" w:rsidR="00C13AFE" w:rsidRPr="00307776" w:rsidRDefault="00C13AFE" w:rsidP="00A834DD">
            <w:pPr>
              <w:ind w:firstLine="0"/>
              <w:jc w:val="center"/>
              <w:rPr>
                <w:rFonts w:eastAsia="Times New Roman" w:cs="Times New Roman"/>
                <w:snapToGrid w:val="0"/>
                <w:sz w:val="18"/>
                <w:szCs w:val="18"/>
              </w:rPr>
            </w:pPr>
            <w:r w:rsidRPr="00307776">
              <w:rPr>
                <w:sz w:val="18"/>
                <w:szCs w:val="18"/>
              </w:rPr>
              <w:t>0,2</w:t>
            </w:r>
          </w:p>
        </w:tc>
        <w:tc>
          <w:tcPr>
            <w:tcW w:w="879" w:type="dxa"/>
            <w:shd w:val="clear" w:color="auto" w:fill="auto"/>
            <w:vAlign w:val="center"/>
          </w:tcPr>
          <w:p w14:paraId="78A3782C" w14:textId="77777777" w:rsidR="00C13AFE" w:rsidRPr="00307776" w:rsidRDefault="00C13AFE" w:rsidP="00A834DD">
            <w:pPr>
              <w:ind w:firstLine="0"/>
              <w:jc w:val="center"/>
              <w:rPr>
                <w:rFonts w:eastAsia="Times New Roman" w:cs="Times New Roman"/>
                <w:snapToGrid w:val="0"/>
                <w:sz w:val="18"/>
                <w:szCs w:val="18"/>
              </w:rPr>
            </w:pPr>
            <w:r w:rsidRPr="00307776">
              <w:rPr>
                <w:sz w:val="18"/>
                <w:szCs w:val="18"/>
              </w:rPr>
              <w:t>-0,1</w:t>
            </w:r>
          </w:p>
        </w:tc>
      </w:tr>
      <w:tr w:rsidR="00C13AFE" w:rsidRPr="00B60E0E" w14:paraId="768A018E" w14:textId="77777777" w:rsidTr="00A834DD">
        <w:trPr>
          <w:trHeight w:val="251"/>
          <w:jc w:val="center"/>
        </w:trPr>
        <w:tc>
          <w:tcPr>
            <w:tcW w:w="9054" w:type="dxa"/>
            <w:gridSpan w:val="7"/>
            <w:shd w:val="clear" w:color="auto" w:fill="BDD6EE" w:themeFill="accent1" w:themeFillTint="66"/>
          </w:tcPr>
          <w:p w14:paraId="49CA7226" w14:textId="77777777" w:rsidR="00C13AFE" w:rsidRPr="00307776" w:rsidRDefault="00C13AFE" w:rsidP="00A834DD">
            <w:pPr>
              <w:ind w:firstLine="0"/>
              <w:jc w:val="center"/>
              <w:rPr>
                <w:rFonts w:eastAsia="Times New Roman" w:cs="Times New Roman"/>
                <w:b/>
                <w:sz w:val="18"/>
                <w:szCs w:val="18"/>
              </w:rPr>
            </w:pPr>
            <w:r w:rsidRPr="00307776">
              <w:rPr>
                <w:rFonts w:eastAsia="Times New Roman" w:cs="Times New Roman"/>
                <w:b/>
                <w:sz w:val="18"/>
                <w:szCs w:val="18"/>
              </w:rPr>
              <w:t>Vispārējā valdība (S.13)</w:t>
            </w:r>
          </w:p>
        </w:tc>
      </w:tr>
      <w:tr w:rsidR="00C13AFE" w:rsidRPr="00B60E0E" w14:paraId="3CC2C6FC" w14:textId="77777777" w:rsidTr="00A834DD">
        <w:trPr>
          <w:trHeight w:val="239"/>
          <w:jc w:val="center"/>
        </w:trPr>
        <w:tc>
          <w:tcPr>
            <w:tcW w:w="3647" w:type="dxa"/>
          </w:tcPr>
          <w:p w14:paraId="276A980D" w14:textId="77777777" w:rsidR="00C13AFE" w:rsidRPr="00B60E0E" w:rsidRDefault="00C13AFE" w:rsidP="00A834DD">
            <w:pPr>
              <w:ind w:firstLine="0"/>
              <w:rPr>
                <w:rFonts w:eastAsia="Times New Roman" w:cs="Times New Roman"/>
                <w:snapToGrid w:val="0"/>
                <w:sz w:val="18"/>
                <w:szCs w:val="18"/>
              </w:rPr>
            </w:pPr>
            <w:r w:rsidRPr="00B60E0E">
              <w:rPr>
                <w:rFonts w:eastAsia="Times New Roman" w:cs="Times New Roman"/>
                <w:snapToGrid w:val="0"/>
                <w:sz w:val="18"/>
                <w:szCs w:val="18"/>
              </w:rPr>
              <w:t xml:space="preserve">Kopējie ieņēmumi </w:t>
            </w:r>
          </w:p>
        </w:tc>
        <w:tc>
          <w:tcPr>
            <w:tcW w:w="1022" w:type="dxa"/>
            <w:shd w:val="clear" w:color="auto" w:fill="auto"/>
          </w:tcPr>
          <w:p w14:paraId="3F58011E" w14:textId="77777777" w:rsidR="00C13AFE" w:rsidRPr="00B60E0E" w:rsidRDefault="00C13AFE" w:rsidP="00A834DD">
            <w:pPr>
              <w:ind w:firstLine="0"/>
              <w:jc w:val="center"/>
              <w:rPr>
                <w:rFonts w:eastAsia="Times New Roman" w:cs="Times New Roman"/>
                <w:sz w:val="18"/>
                <w:szCs w:val="18"/>
              </w:rPr>
            </w:pPr>
            <w:r w:rsidRPr="00B60E0E">
              <w:rPr>
                <w:rFonts w:eastAsia="Times New Roman" w:cs="Times New Roman"/>
                <w:sz w:val="18"/>
                <w:szCs w:val="18"/>
              </w:rPr>
              <w:t>TR</w:t>
            </w:r>
          </w:p>
        </w:tc>
        <w:tc>
          <w:tcPr>
            <w:tcW w:w="877" w:type="dxa"/>
            <w:shd w:val="clear" w:color="auto" w:fill="auto"/>
            <w:vAlign w:val="bottom"/>
          </w:tcPr>
          <w:p w14:paraId="2E2F9FEF" w14:textId="77777777" w:rsidR="00C13AFE" w:rsidRPr="00B60E0E" w:rsidRDefault="00C13AFE" w:rsidP="00A834DD">
            <w:pPr>
              <w:ind w:firstLine="0"/>
              <w:jc w:val="center"/>
              <w:rPr>
                <w:rFonts w:eastAsia="Times New Roman" w:cs="Times New Roman"/>
                <w:snapToGrid w:val="0"/>
                <w:sz w:val="18"/>
                <w:szCs w:val="18"/>
              </w:rPr>
            </w:pPr>
            <w:r w:rsidRPr="00B60E0E">
              <w:rPr>
                <w:color w:val="000000"/>
                <w:sz w:val="18"/>
                <w:szCs w:val="18"/>
              </w:rPr>
              <w:t>36,1</w:t>
            </w:r>
          </w:p>
        </w:tc>
        <w:tc>
          <w:tcPr>
            <w:tcW w:w="876" w:type="dxa"/>
            <w:shd w:val="clear" w:color="auto" w:fill="auto"/>
            <w:vAlign w:val="bottom"/>
          </w:tcPr>
          <w:p w14:paraId="74176AF7" w14:textId="77777777" w:rsidR="00C13AFE" w:rsidRPr="00B60E0E" w:rsidRDefault="00C13AFE" w:rsidP="00A834DD">
            <w:pPr>
              <w:ind w:firstLine="0"/>
              <w:jc w:val="center"/>
              <w:rPr>
                <w:rFonts w:eastAsia="Times New Roman" w:cs="Times New Roman"/>
                <w:snapToGrid w:val="0"/>
                <w:sz w:val="18"/>
                <w:szCs w:val="18"/>
              </w:rPr>
            </w:pPr>
            <w:r w:rsidRPr="00B60E0E">
              <w:rPr>
                <w:color w:val="000000"/>
                <w:sz w:val="18"/>
                <w:szCs w:val="18"/>
              </w:rPr>
              <w:t>36,0</w:t>
            </w:r>
          </w:p>
        </w:tc>
        <w:tc>
          <w:tcPr>
            <w:tcW w:w="877" w:type="dxa"/>
            <w:shd w:val="clear" w:color="auto" w:fill="auto"/>
            <w:vAlign w:val="bottom"/>
          </w:tcPr>
          <w:p w14:paraId="416F6916" w14:textId="77777777" w:rsidR="00C13AFE" w:rsidRPr="00307776" w:rsidRDefault="00C13AFE" w:rsidP="00A834DD">
            <w:pPr>
              <w:ind w:firstLine="0"/>
              <w:jc w:val="center"/>
              <w:rPr>
                <w:rFonts w:eastAsia="Times New Roman" w:cs="Times New Roman"/>
                <w:snapToGrid w:val="0"/>
                <w:sz w:val="18"/>
                <w:szCs w:val="18"/>
              </w:rPr>
            </w:pPr>
            <w:r w:rsidRPr="00307776">
              <w:rPr>
                <w:color w:val="000000"/>
                <w:sz w:val="18"/>
                <w:szCs w:val="18"/>
              </w:rPr>
              <w:t>36,1</w:t>
            </w:r>
          </w:p>
        </w:tc>
        <w:tc>
          <w:tcPr>
            <w:tcW w:w="876" w:type="dxa"/>
            <w:shd w:val="clear" w:color="auto" w:fill="auto"/>
            <w:vAlign w:val="bottom"/>
          </w:tcPr>
          <w:p w14:paraId="6A1F456F" w14:textId="77777777" w:rsidR="00C13AFE" w:rsidRPr="00307776" w:rsidRDefault="00C13AFE" w:rsidP="00A834DD">
            <w:pPr>
              <w:ind w:firstLine="0"/>
              <w:jc w:val="center"/>
              <w:rPr>
                <w:rFonts w:eastAsia="Times New Roman" w:cs="Times New Roman"/>
                <w:snapToGrid w:val="0"/>
                <w:sz w:val="18"/>
                <w:szCs w:val="18"/>
              </w:rPr>
            </w:pPr>
            <w:r w:rsidRPr="00307776">
              <w:rPr>
                <w:color w:val="000000"/>
                <w:sz w:val="18"/>
                <w:szCs w:val="18"/>
              </w:rPr>
              <w:t>35,4</w:t>
            </w:r>
          </w:p>
        </w:tc>
        <w:tc>
          <w:tcPr>
            <w:tcW w:w="879" w:type="dxa"/>
            <w:shd w:val="clear" w:color="auto" w:fill="auto"/>
            <w:vAlign w:val="bottom"/>
          </w:tcPr>
          <w:p w14:paraId="4CB7A85D" w14:textId="77777777" w:rsidR="00C13AFE" w:rsidRPr="00307776" w:rsidRDefault="00C13AFE" w:rsidP="00A834DD">
            <w:pPr>
              <w:ind w:firstLine="0"/>
              <w:jc w:val="center"/>
              <w:rPr>
                <w:rFonts w:eastAsia="Times New Roman" w:cs="Times New Roman"/>
                <w:snapToGrid w:val="0"/>
                <w:sz w:val="18"/>
                <w:szCs w:val="18"/>
              </w:rPr>
            </w:pPr>
            <w:r w:rsidRPr="00307776">
              <w:rPr>
                <w:color w:val="000000"/>
                <w:sz w:val="18"/>
                <w:szCs w:val="18"/>
              </w:rPr>
              <w:t>34,9</w:t>
            </w:r>
          </w:p>
        </w:tc>
      </w:tr>
      <w:tr w:rsidR="00C13AFE" w:rsidRPr="00B60E0E" w14:paraId="428822C2" w14:textId="77777777" w:rsidTr="00A834DD">
        <w:trPr>
          <w:trHeight w:val="189"/>
          <w:jc w:val="center"/>
        </w:trPr>
        <w:tc>
          <w:tcPr>
            <w:tcW w:w="3647" w:type="dxa"/>
            <w:shd w:val="clear" w:color="auto" w:fill="DEEAF6" w:themeFill="accent1" w:themeFillTint="33"/>
          </w:tcPr>
          <w:p w14:paraId="17588B2A" w14:textId="77777777" w:rsidR="00C13AFE" w:rsidRPr="00B60E0E" w:rsidRDefault="00C13AFE" w:rsidP="00A834DD">
            <w:pPr>
              <w:ind w:firstLine="0"/>
              <w:rPr>
                <w:rFonts w:eastAsia="Times New Roman" w:cs="Times New Roman"/>
                <w:snapToGrid w:val="0"/>
                <w:sz w:val="18"/>
                <w:szCs w:val="18"/>
              </w:rPr>
            </w:pPr>
            <w:r w:rsidRPr="00B60E0E">
              <w:rPr>
                <w:rFonts w:eastAsia="Times New Roman" w:cs="Times New Roman"/>
                <w:snapToGrid w:val="0"/>
                <w:sz w:val="18"/>
                <w:szCs w:val="18"/>
              </w:rPr>
              <w:t>Kopējie izdevumi</w:t>
            </w:r>
          </w:p>
        </w:tc>
        <w:tc>
          <w:tcPr>
            <w:tcW w:w="1022" w:type="dxa"/>
            <w:shd w:val="clear" w:color="auto" w:fill="DEEAF6" w:themeFill="accent1" w:themeFillTint="33"/>
          </w:tcPr>
          <w:p w14:paraId="3ADF8706" w14:textId="77777777" w:rsidR="00C13AFE" w:rsidRPr="00B60E0E" w:rsidRDefault="00C13AFE" w:rsidP="00A834DD">
            <w:pPr>
              <w:ind w:firstLine="0"/>
              <w:jc w:val="center"/>
              <w:rPr>
                <w:rFonts w:eastAsia="Times New Roman" w:cs="Times New Roman"/>
                <w:sz w:val="18"/>
                <w:szCs w:val="18"/>
              </w:rPr>
            </w:pPr>
            <w:r w:rsidRPr="00B60E0E">
              <w:rPr>
                <w:rFonts w:eastAsia="Times New Roman" w:cs="Times New Roman"/>
                <w:sz w:val="18"/>
                <w:szCs w:val="18"/>
              </w:rPr>
              <w:t>TE</w:t>
            </w:r>
          </w:p>
        </w:tc>
        <w:tc>
          <w:tcPr>
            <w:tcW w:w="877" w:type="dxa"/>
            <w:shd w:val="clear" w:color="auto" w:fill="DEEAF6" w:themeFill="accent1" w:themeFillTint="33"/>
            <w:vAlign w:val="bottom"/>
          </w:tcPr>
          <w:p w14:paraId="2C4BD6EF" w14:textId="77777777" w:rsidR="00C13AFE" w:rsidRPr="00B60E0E" w:rsidRDefault="00C13AFE" w:rsidP="00A834DD">
            <w:pPr>
              <w:ind w:firstLine="0"/>
              <w:jc w:val="center"/>
              <w:rPr>
                <w:rFonts w:eastAsia="Times New Roman" w:cs="Times New Roman"/>
                <w:snapToGrid w:val="0"/>
                <w:sz w:val="18"/>
                <w:szCs w:val="18"/>
              </w:rPr>
            </w:pPr>
            <w:r w:rsidRPr="00B60E0E">
              <w:rPr>
                <w:color w:val="000000"/>
                <w:sz w:val="18"/>
                <w:szCs w:val="18"/>
              </w:rPr>
              <w:t>40,8</w:t>
            </w:r>
          </w:p>
        </w:tc>
        <w:tc>
          <w:tcPr>
            <w:tcW w:w="876" w:type="dxa"/>
            <w:shd w:val="clear" w:color="auto" w:fill="DEEAF6" w:themeFill="accent1" w:themeFillTint="33"/>
            <w:vAlign w:val="bottom"/>
          </w:tcPr>
          <w:p w14:paraId="74815BEC" w14:textId="77777777" w:rsidR="00C13AFE" w:rsidRPr="00B60E0E" w:rsidRDefault="00C13AFE" w:rsidP="00A834DD">
            <w:pPr>
              <w:ind w:firstLine="0"/>
              <w:jc w:val="center"/>
              <w:rPr>
                <w:rFonts w:eastAsia="Times New Roman" w:cs="Times New Roman"/>
                <w:snapToGrid w:val="0"/>
                <w:sz w:val="18"/>
                <w:szCs w:val="18"/>
              </w:rPr>
            </w:pPr>
            <w:r w:rsidRPr="00B60E0E">
              <w:rPr>
                <w:color w:val="000000"/>
                <w:sz w:val="18"/>
                <w:szCs w:val="18"/>
              </w:rPr>
              <w:t>40,0</w:t>
            </w:r>
          </w:p>
        </w:tc>
        <w:tc>
          <w:tcPr>
            <w:tcW w:w="877" w:type="dxa"/>
            <w:shd w:val="clear" w:color="auto" w:fill="DEEAF6" w:themeFill="accent1" w:themeFillTint="33"/>
            <w:vAlign w:val="center"/>
          </w:tcPr>
          <w:p w14:paraId="21B0696B" w14:textId="77777777" w:rsidR="00C13AFE" w:rsidRPr="00307776" w:rsidRDefault="00C13AFE" w:rsidP="00A834DD">
            <w:pPr>
              <w:ind w:firstLine="0"/>
              <w:jc w:val="center"/>
              <w:rPr>
                <w:rFonts w:eastAsia="Times New Roman" w:cs="Times New Roman"/>
                <w:snapToGrid w:val="0"/>
                <w:sz w:val="18"/>
                <w:szCs w:val="18"/>
              </w:rPr>
            </w:pPr>
            <w:r w:rsidRPr="00307776">
              <w:rPr>
                <w:sz w:val="18"/>
                <w:szCs w:val="18"/>
              </w:rPr>
              <w:t>38,6</w:t>
            </w:r>
          </w:p>
        </w:tc>
        <w:tc>
          <w:tcPr>
            <w:tcW w:w="876" w:type="dxa"/>
            <w:shd w:val="clear" w:color="auto" w:fill="DEEAF6" w:themeFill="accent1" w:themeFillTint="33"/>
            <w:vAlign w:val="center"/>
          </w:tcPr>
          <w:p w14:paraId="07C8EAF1" w14:textId="77777777" w:rsidR="00C13AFE" w:rsidRPr="00307776" w:rsidRDefault="00C13AFE" w:rsidP="00A834DD">
            <w:pPr>
              <w:ind w:firstLine="0"/>
              <w:jc w:val="center"/>
              <w:rPr>
                <w:rFonts w:eastAsia="Times New Roman" w:cs="Times New Roman"/>
                <w:snapToGrid w:val="0"/>
                <w:sz w:val="18"/>
                <w:szCs w:val="18"/>
              </w:rPr>
            </w:pPr>
            <w:r w:rsidRPr="00307776">
              <w:rPr>
                <w:sz w:val="18"/>
                <w:szCs w:val="18"/>
              </w:rPr>
              <w:t>37,6</w:t>
            </w:r>
          </w:p>
        </w:tc>
        <w:tc>
          <w:tcPr>
            <w:tcW w:w="879" w:type="dxa"/>
            <w:shd w:val="clear" w:color="auto" w:fill="DEEAF6" w:themeFill="accent1" w:themeFillTint="33"/>
            <w:vAlign w:val="center"/>
          </w:tcPr>
          <w:p w14:paraId="41E9D473" w14:textId="77777777" w:rsidR="00C13AFE" w:rsidRPr="00307776" w:rsidRDefault="00C13AFE" w:rsidP="00A834DD">
            <w:pPr>
              <w:ind w:firstLine="0"/>
              <w:jc w:val="center"/>
              <w:rPr>
                <w:rFonts w:eastAsia="Times New Roman" w:cs="Times New Roman"/>
                <w:snapToGrid w:val="0"/>
                <w:sz w:val="18"/>
                <w:szCs w:val="18"/>
              </w:rPr>
            </w:pPr>
            <w:r w:rsidRPr="00307776">
              <w:rPr>
                <w:sz w:val="18"/>
                <w:szCs w:val="18"/>
              </w:rPr>
              <w:t>35,6</w:t>
            </w:r>
          </w:p>
        </w:tc>
      </w:tr>
      <w:tr w:rsidR="00C13AFE" w:rsidRPr="00B60E0E" w14:paraId="09D9F709" w14:textId="77777777" w:rsidTr="00A834DD">
        <w:trPr>
          <w:trHeight w:val="83"/>
          <w:jc w:val="center"/>
        </w:trPr>
        <w:tc>
          <w:tcPr>
            <w:tcW w:w="3647" w:type="dxa"/>
          </w:tcPr>
          <w:p w14:paraId="7BAA444A" w14:textId="77777777" w:rsidR="00C13AFE" w:rsidRPr="00B60E0E" w:rsidRDefault="00C13AFE" w:rsidP="00A834DD">
            <w:pPr>
              <w:ind w:firstLine="0"/>
              <w:rPr>
                <w:rFonts w:eastAsia="Times New Roman" w:cs="Times New Roman"/>
                <w:snapToGrid w:val="0"/>
                <w:sz w:val="18"/>
                <w:szCs w:val="18"/>
              </w:rPr>
            </w:pPr>
            <w:r w:rsidRPr="00B60E0E">
              <w:rPr>
                <w:rFonts w:eastAsia="Times New Roman" w:cs="Times New Roman"/>
                <w:snapToGrid w:val="0"/>
                <w:sz w:val="18"/>
                <w:szCs w:val="18"/>
              </w:rPr>
              <w:t>Procentu izdevumi</w:t>
            </w:r>
          </w:p>
        </w:tc>
        <w:tc>
          <w:tcPr>
            <w:tcW w:w="1022" w:type="dxa"/>
          </w:tcPr>
          <w:p w14:paraId="4E0AC697" w14:textId="77777777" w:rsidR="00C13AFE" w:rsidRPr="00B60E0E" w:rsidRDefault="00C13AFE" w:rsidP="00A834DD">
            <w:pPr>
              <w:ind w:firstLine="0"/>
              <w:jc w:val="center"/>
              <w:rPr>
                <w:rFonts w:eastAsia="Times New Roman" w:cs="Times New Roman"/>
                <w:sz w:val="18"/>
                <w:szCs w:val="18"/>
              </w:rPr>
            </w:pPr>
            <w:r w:rsidRPr="00B60E0E">
              <w:rPr>
                <w:rFonts w:eastAsia="Times New Roman" w:cs="Times New Roman"/>
                <w:sz w:val="18"/>
                <w:szCs w:val="18"/>
              </w:rPr>
              <w:t>D.41</w:t>
            </w:r>
          </w:p>
        </w:tc>
        <w:tc>
          <w:tcPr>
            <w:tcW w:w="877" w:type="dxa"/>
            <w:shd w:val="clear" w:color="auto" w:fill="auto"/>
            <w:vAlign w:val="bottom"/>
          </w:tcPr>
          <w:p w14:paraId="0E716480" w14:textId="77777777" w:rsidR="00C13AFE" w:rsidRPr="00B60E0E" w:rsidRDefault="00C13AFE" w:rsidP="00A834DD">
            <w:pPr>
              <w:ind w:firstLine="0"/>
              <w:jc w:val="center"/>
              <w:rPr>
                <w:rFonts w:eastAsia="Times New Roman" w:cs="Times New Roman"/>
                <w:snapToGrid w:val="0"/>
                <w:sz w:val="18"/>
                <w:szCs w:val="18"/>
              </w:rPr>
            </w:pPr>
            <w:r w:rsidRPr="00B60E0E">
              <w:rPr>
                <w:color w:val="000000"/>
                <w:sz w:val="18"/>
                <w:szCs w:val="18"/>
              </w:rPr>
              <w:t>0,5</w:t>
            </w:r>
          </w:p>
        </w:tc>
        <w:tc>
          <w:tcPr>
            <w:tcW w:w="876" w:type="dxa"/>
            <w:shd w:val="clear" w:color="auto" w:fill="auto"/>
            <w:vAlign w:val="bottom"/>
          </w:tcPr>
          <w:p w14:paraId="2F294D94" w14:textId="77777777" w:rsidR="00C13AFE" w:rsidRPr="00B60E0E" w:rsidRDefault="00C13AFE" w:rsidP="00A834DD">
            <w:pPr>
              <w:ind w:firstLine="0"/>
              <w:jc w:val="center"/>
              <w:rPr>
                <w:rFonts w:eastAsia="Times New Roman" w:cs="Times New Roman"/>
                <w:snapToGrid w:val="0"/>
                <w:sz w:val="18"/>
                <w:szCs w:val="18"/>
              </w:rPr>
            </w:pPr>
            <w:r w:rsidRPr="00B60E0E">
              <w:rPr>
                <w:color w:val="000000"/>
                <w:sz w:val="18"/>
                <w:szCs w:val="18"/>
              </w:rPr>
              <w:t>0,6</w:t>
            </w:r>
          </w:p>
        </w:tc>
        <w:tc>
          <w:tcPr>
            <w:tcW w:w="877" w:type="dxa"/>
            <w:shd w:val="clear" w:color="auto" w:fill="auto"/>
            <w:vAlign w:val="bottom"/>
          </w:tcPr>
          <w:p w14:paraId="5E9200C1" w14:textId="77777777" w:rsidR="00C13AFE" w:rsidRPr="00307776" w:rsidRDefault="00C13AFE" w:rsidP="00A834DD">
            <w:pPr>
              <w:ind w:firstLine="0"/>
              <w:jc w:val="center"/>
              <w:rPr>
                <w:rFonts w:eastAsia="Times New Roman" w:cs="Times New Roman"/>
                <w:snapToGrid w:val="0"/>
                <w:sz w:val="18"/>
                <w:szCs w:val="18"/>
              </w:rPr>
            </w:pPr>
            <w:r w:rsidRPr="00307776">
              <w:rPr>
                <w:color w:val="000000"/>
                <w:sz w:val="18"/>
                <w:szCs w:val="18"/>
              </w:rPr>
              <w:t>0,8</w:t>
            </w:r>
          </w:p>
        </w:tc>
        <w:tc>
          <w:tcPr>
            <w:tcW w:w="876" w:type="dxa"/>
            <w:shd w:val="clear" w:color="auto" w:fill="auto"/>
            <w:vAlign w:val="bottom"/>
          </w:tcPr>
          <w:p w14:paraId="2233CBB9" w14:textId="77777777" w:rsidR="00C13AFE" w:rsidRPr="00307776" w:rsidRDefault="00C13AFE" w:rsidP="00A834DD">
            <w:pPr>
              <w:ind w:firstLine="0"/>
              <w:jc w:val="center"/>
              <w:rPr>
                <w:rFonts w:eastAsia="Times New Roman" w:cs="Times New Roman"/>
                <w:snapToGrid w:val="0"/>
                <w:sz w:val="18"/>
                <w:szCs w:val="18"/>
              </w:rPr>
            </w:pPr>
            <w:r w:rsidRPr="00307776">
              <w:rPr>
                <w:color w:val="000000"/>
                <w:sz w:val="18"/>
                <w:szCs w:val="18"/>
              </w:rPr>
              <w:t>1,0</w:t>
            </w:r>
          </w:p>
        </w:tc>
        <w:tc>
          <w:tcPr>
            <w:tcW w:w="879" w:type="dxa"/>
            <w:shd w:val="clear" w:color="auto" w:fill="auto"/>
            <w:vAlign w:val="bottom"/>
          </w:tcPr>
          <w:p w14:paraId="381B495B" w14:textId="77777777" w:rsidR="00C13AFE" w:rsidRPr="00307776" w:rsidRDefault="00C13AFE" w:rsidP="00A834DD">
            <w:pPr>
              <w:ind w:firstLine="0"/>
              <w:jc w:val="center"/>
              <w:rPr>
                <w:rFonts w:eastAsia="Times New Roman" w:cs="Times New Roman"/>
                <w:snapToGrid w:val="0"/>
                <w:sz w:val="18"/>
                <w:szCs w:val="18"/>
              </w:rPr>
            </w:pPr>
            <w:r w:rsidRPr="00307776">
              <w:rPr>
                <w:color w:val="000000"/>
                <w:sz w:val="18"/>
                <w:szCs w:val="18"/>
              </w:rPr>
              <w:t>1,1</w:t>
            </w:r>
          </w:p>
        </w:tc>
      </w:tr>
      <w:tr w:rsidR="00C13AFE" w:rsidRPr="00B60E0E" w14:paraId="781EDE4F" w14:textId="77777777" w:rsidTr="00A834DD">
        <w:trPr>
          <w:trHeight w:val="239"/>
          <w:jc w:val="center"/>
        </w:trPr>
        <w:tc>
          <w:tcPr>
            <w:tcW w:w="9054" w:type="dxa"/>
            <w:gridSpan w:val="7"/>
            <w:shd w:val="clear" w:color="auto" w:fill="BDD6EE" w:themeFill="accent1" w:themeFillTint="66"/>
          </w:tcPr>
          <w:p w14:paraId="09E6D8FB" w14:textId="77777777" w:rsidR="00C13AFE" w:rsidRPr="00307776" w:rsidRDefault="00C13AFE" w:rsidP="00A834DD">
            <w:pPr>
              <w:ind w:firstLine="0"/>
              <w:jc w:val="center"/>
              <w:rPr>
                <w:rFonts w:eastAsia="Times New Roman" w:cs="Times New Roman"/>
                <w:b/>
                <w:sz w:val="18"/>
                <w:szCs w:val="18"/>
              </w:rPr>
            </w:pPr>
            <w:r w:rsidRPr="00307776">
              <w:rPr>
                <w:rFonts w:eastAsia="Times New Roman" w:cs="Times New Roman"/>
                <w:b/>
                <w:sz w:val="18"/>
                <w:szCs w:val="18"/>
              </w:rPr>
              <w:t>Cikliskā attīstība</w:t>
            </w:r>
          </w:p>
        </w:tc>
      </w:tr>
      <w:tr w:rsidR="00C13AFE" w:rsidRPr="00B60E0E" w14:paraId="286ABA70" w14:textId="77777777" w:rsidTr="00A834DD">
        <w:trPr>
          <w:trHeight w:val="251"/>
          <w:jc w:val="center"/>
        </w:trPr>
        <w:tc>
          <w:tcPr>
            <w:tcW w:w="3647" w:type="dxa"/>
            <w:shd w:val="clear" w:color="auto" w:fill="auto"/>
          </w:tcPr>
          <w:p w14:paraId="534387B1" w14:textId="77777777" w:rsidR="00C13AFE" w:rsidRPr="00B60E0E" w:rsidRDefault="00C13AFE" w:rsidP="00A834DD">
            <w:pPr>
              <w:ind w:firstLine="0"/>
              <w:rPr>
                <w:rFonts w:eastAsia="Times New Roman" w:cs="Times New Roman"/>
                <w:snapToGrid w:val="0"/>
                <w:sz w:val="18"/>
                <w:szCs w:val="18"/>
                <w:highlight w:val="lightGray"/>
              </w:rPr>
            </w:pPr>
            <w:r w:rsidRPr="00B60E0E">
              <w:rPr>
                <w:rFonts w:eastAsia="Times New Roman" w:cs="Times New Roman"/>
                <w:snapToGrid w:val="0"/>
                <w:sz w:val="18"/>
                <w:szCs w:val="18"/>
              </w:rPr>
              <w:t>Budžeta bilances cikliskā komponente</w:t>
            </w:r>
            <w:r w:rsidRPr="00B60E0E">
              <w:rPr>
                <w:rFonts w:eastAsia="Times New Roman" w:cs="Times New Roman"/>
                <w:snapToGrid w:val="0"/>
                <w:sz w:val="18"/>
                <w:szCs w:val="18"/>
                <w:vertAlign w:val="superscript"/>
              </w:rPr>
              <w:footnoteReference w:id="14"/>
            </w:r>
          </w:p>
        </w:tc>
        <w:tc>
          <w:tcPr>
            <w:tcW w:w="1022" w:type="dxa"/>
            <w:shd w:val="clear" w:color="auto" w:fill="auto"/>
          </w:tcPr>
          <w:p w14:paraId="60B9690A" w14:textId="77777777" w:rsidR="00C13AFE" w:rsidRPr="00B60E0E" w:rsidRDefault="00C13AFE" w:rsidP="00A834DD">
            <w:pPr>
              <w:ind w:firstLine="0"/>
              <w:rPr>
                <w:rFonts w:eastAsia="Times New Roman" w:cs="Times New Roman"/>
                <w:sz w:val="18"/>
                <w:szCs w:val="18"/>
              </w:rPr>
            </w:pPr>
          </w:p>
        </w:tc>
        <w:tc>
          <w:tcPr>
            <w:tcW w:w="877" w:type="dxa"/>
            <w:shd w:val="clear" w:color="auto" w:fill="auto"/>
          </w:tcPr>
          <w:p w14:paraId="43FF995F" w14:textId="77777777" w:rsidR="00C13AFE" w:rsidRPr="00B60E0E" w:rsidRDefault="00C13AFE" w:rsidP="00A834DD">
            <w:pPr>
              <w:ind w:firstLine="0"/>
              <w:jc w:val="center"/>
              <w:rPr>
                <w:rFonts w:eastAsia="Times New Roman" w:cs="Times New Roman"/>
                <w:snapToGrid w:val="0"/>
                <w:sz w:val="18"/>
                <w:szCs w:val="18"/>
              </w:rPr>
            </w:pPr>
            <w:r w:rsidRPr="00B60E0E">
              <w:rPr>
                <w:color w:val="000000"/>
                <w:sz w:val="18"/>
                <w:szCs w:val="18"/>
              </w:rPr>
              <w:t>0,2</w:t>
            </w:r>
          </w:p>
        </w:tc>
        <w:tc>
          <w:tcPr>
            <w:tcW w:w="876" w:type="dxa"/>
            <w:shd w:val="clear" w:color="auto" w:fill="auto"/>
          </w:tcPr>
          <w:p w14:paraId="3FABAB34" w14:textId="77777777" w:rsidR="00C13AFE" w:rsidRPr="00B60E0E" w:rsidRDefault="00C13AFE" w:rsidP="00A834DD">
            <w:pPr>
              <w:ind w:firstLine="0"/>
              <w:jc w:val="center"/>
              <w:rPr>
                <w:rFonts w:eastAsia="Times New Roman" w:cs="Times New Roman"/>
                <w:snapToGrid w:val="0"/>
                <w:sz w:val="18"/>
                <w:szCs w:val="18"/>
              </w:rPr>
            </w:pPr>
            <w:r w:rsidRPr="00B60E0E">
              <w:rPr>
                <w:color w:val="000000"/>
                <w:sz w:val="18"/>
                <w:szCs w:val="18"/>
              </w:rPr>
              <w:t>-0,5</w:t>
            </w:r>
          </w:p>
        </w:tc>
        <w:tc>
          <w:tcPr>
            <w:tcW w:w="877" w:type="dxa"/>
            <w:shd w:val="clear" w:color="auto" w:fill="auto"/>
          </w:tcPr>
          <w:p w14:paraId="37D3ADA0" w14:textId="77777777" w:rsidR="00C13AFE" w:rsidRPr="00307776" w:rsidRDefault="00C13AFE" w:rsidP="00A834DD">
            <w:pPr>
              <w:ind w:firstLine="0"/>
              <w:jc w:val="center"/>
              <w:rPr>
                <w:rFonts w:eastAsia="Times New Roman" w:cs="Times New Roman"/>
                <w:snapToGrid w:val="0"/>
                <w:sz w:val="18"/>
                <w:szCs w:val="18"/>
              </w:rPr>
            </w:pPr>
            <w:r w:rsidRPr="00307776">
              <w:rPr>
                <w:color w:val="000000"/>
                <w:sz w:val="18"/>
                <w:szCs w:val="18"/>
              </w:rPr>
              <w:t>-0,5</w:t>
            </w:r>
          </w:p>
        </w:tc>
        <w:tc>
          <w:tcPr>
            <w:tcW w:w="876" w:type="dxa"/>
            <w:shd w:val="clear" w:color="auto" w:fill="auto"/>
          </w:tcPr>
          <w:p w14:paraId="4EB8B4C2" w14:textId="77777777" w:rsidR="00C13AFE" w:rsidRPr="00307776" w:rsidRDefault="00C13AFE" w:rsidP="00A834DD">
            <w:pPr>
              <w:ind w:firstLine="0"/>
              <w:jc w:val="center"/>
              <w:rPr>
                <w:rFonts w:eastAsia="Times New Roman" w:cs="Times New Roman"/>
                <w:snapToGrid w:val="0"/>
                <w:sz w:val="18"/>
                <w:szCs w:val="18"/>
              </w:rPr>
            </w:pPr>
            <w:r w:rsidRPr="00307776">
              <w:rPr>
                <w:color w:val="000000"/>
                <w:sz w:val="18"/>
                <w:szCs w:val="18"/>
              </w:rPr>
              <w:t>-0,2</w:t>
            </w:r>
          </w:p>
        </w:tc>
        <w:tc>
          <w:tcPr>
            <w:tcW w:w="879" w:type="dxa"/>
            <w:shd w:val="clear" w:color="auto" w:fill="auto"/>
          </w:tcPr>
          <w:p w14:paraId="1EFB43F4" w14:textId="77777777" w:rsidR="00C13AFE" w:rsidRPr="00307776" w:rsidRDefault="00C13AFE" w:rsidP="00A834DD">
            <w:pPr>
              <w:ind w:firstLine="0"/>
              <w:jc w:val="center"/>
              <w:rPr>
                <w:rFonts w:eastAsia="Times New Roman" w:cs="Times New Roman"/>
                <w:snapToGrid w:val="0"/>
                <w:sz w:val="18"/>
                <w:szCs w:val="18"/>
              </w:rPr>
            </w:pPr>
            <w:r w:rsidRPr="00307776">
              <w:rPr>
                <w:color w:val="000000"/>
                <w:sz w:val="18"/>
                <w:szCs w:val="18"/>
              </w:rPr>
              <w:t>0,0</w:t>
            </w:r>
          </w:p>
        </w:tc>
      </w:tr>
      <w:tr w:rsidR="00C13AFE" w:rsidRPr="00B60E0E" w14:paraId="2314D9C9" w14:textId="77777777" w:rsidTr="00A834DD">
        <w:trPr>
          <w:trHeight w:val="251"/>
          <w:jc w:val="center"/>
        </w:trPr>
        <w:tc>
          <w:tcPr>
            <w:tcW w:w="3647" w:type="dxa"/>
            <w:shd w:val="clear" w:color="auto" w:fill="DEEAF6" w:themeFill="accent1" w:themeFillTint="33"/>
          </w:tcPr>
          <w:p w14:paraId="217F2984" w14:textId="77777777" w:rsidR="00C13AFE" w:rsidRPr="00B60E0E" w:rsidRDefault="00C13AFE" w:rsidP="00A834DD">
            <w:pPr>
              <w:ind w:firstLine="0"/>
              <w:rPr>
                <w:rFonts w:eastAsia="Times New Roman" w:cs="Times New Roman"/>
                <w:snapToGrid w:val="0"/>
                <w:sz w:val="18"/>
                <w:szCs w:val="18"/>
                <w:highlight w:val="lightGray"/>
              </w:rPr>
            </w:pPr>
            <w:r w:rsidRPr="00B60E0E">
              <w:rPr>
                <w:rFonts w:eastAsia="Times New Roman" w:cs="Times New Roman"/>
                <w:snapToGrid w:val="0"/>
                <w:sz w:val="18"/>
                <w:szCs w:val="18"/>
              </w:rPr>
              <w:t>Vienreizējie un citi īslaicīgi pasākumi</w:t>
            </w:r>
            <w:r w:rsidRPr="00B60E0E">
              <w:rPr>
                <w:rFonts w:eastAsia="Times New Roman" w:cs="Times New Roman"/>
                <w:snapToGrid w:val="0"/>
                <w:sz w:val="18"/>
                <w:szCs w:val="18"/>
                <w:vertAlign w:val="superscript"/>
              </w:rPr>
              <w:footnoteReference w:id="15"/>
            </w:r>
          </w:p>
        </w:tc>
        <w:tc>
          <w:tcPr>
            <w:tcW w:w="1022" w:type="dxa"/>
            <w:shd w:val="clear" w:color="auto" w:fill="DEEAF6" w:themeFill="accent1" w:themeFillTint="33"/>
          </w:tcPr>
          <w:p w14:paraId="266863BA" w14:textId="77777777" w:rsidR="00C13AFE" w:rsidRPr="00B60E0E" w:rsidRDefault="00C13AFE" w:rsidP="00A834DD">
            <w:pPr>
              <w:ind w:firstLine="0"/>
              <w:rPr>
                <w:rFonts w:eastAsia="Times New Roman" w:cs="Times New Roman"/>
                <w:sz w:val="18"/>
                <w:szCs w:val="18"/>
              </w:rPr>
            </w:pPr>
          </w:p>
        </w:tc>
        <w:tc>
          <w:tcPr>
            <w:tcW w:w="877" w:type="dxa"/>
            <w:shd w:val="clear" w:color="auto" w:fill="DEEAF6" w:themeFill="accent1" w:themeFillTint="33"/>
          </w:tcPr>
          <w:p w14:paraId="0DC6A7F2" w14:textId="77777777" w:rsidR="00C13AFE" w:rsidRPr="00B60E0E" w:rsidRDefault="00C13AFE" w:rsidP="00A834DD">
            <w:pPr>
              <w:ind w:firstLine="0"/>
              <w:jc w:val="center"/>
              <w:rPr>
                <w:rFonts w:eastAsia="Times New Roman" w:cs="Times New Roman"/>
                <w:snapToGrid w:val="0"/>
                <w:sz w:val="18"/>
                <w:szCs w:val="18"/>
              </w:rPr>
            </w:pPr>
            <w:r w:rsidRPr="00B60E0E">
              <w:rPr>
                <w:color w:val="000000"/>
                <w:sz w:val="18"/>
                <w:szCs w:val="18"/>
              </w:rPr>
              <w:t>-4,8</w:t>
            </w:r>
          </w:p>
        </w:tc>
        <w:tc>
          <w:tcPr>
            <w:tcW w:w="876" w:type="dxa"/>
            <w:shd w:val="clear" w:color="auto" w:fill="DEEAF6" w:themeFill="accent1" w:themeFillTint="33"/>
          </w:tcPr>
          <w:p w14:paraId="1925AC6F" w14:textId="77777777" w:rsidR="00C13AFE" w:rsidRPr="00B60E0E" w:rsidRDefault="00C13AFE" w:rsidP="00A834DD">
            <w:pPr>
              <w:ind w:firstLine="0"/>
              <w:jc w:val="center"/>
              <w:rPr>
                <w:rFonts w:eastAsia="Times New Roman" w:cs="Times New Roman"/>
                <w:snapToGrid w:val="0"/>
                <w:sz w:val="18"/>
                <w:szCs w:val="18"/>
              </w:rPr>
            </w:pPr>
            <w:r w:rsidRPr="00B60E0E">
              <w:rPr>
                <w:color w:val="000000"/>
                <w:sz w:val="18"/>
                <w:szCs w:val="18"/>
              </w:rPr>
              <w:t>-3,0</w:t>
            </w:r>
          </w:p>
        </w:tc>
        <w:tc>
          <w:tcPr>
            <w:tcW w:w="877" w:type="dxa"/>
            <w:shd w:val="clear" w:color="auto" w:fill="DEEAF6" w:themeFill="accent1" w:themeFillTint="33"/>
          </w:tcPr>
          <w:p w14:paraId="5554D6AB" w14:textId="77777777" w:rsidR="00C13AFE" w:rsidRPr="00307776" w:rsidRDefault="00C13AFE" w:rsidP="00A834DD">
            <w:pPr>
              <w:ind w:firstLine="0"/>
              <w:jc w:val="center"/>
              <w:rPr>
                <w:rFonts w:eastAsia="Times New Roman" w:cs="Times New Roman"/>
                <w:snapToGrid w:val="0"/>
                <w:sz w:val="18"/>
                <w:szCs w:val="18"/>
              </w:rPr>
            </w:pPr>
            <w:r w:rsidRPr="00307776">
              <w:rPr>
                <w:color w:val="000000"/>
                <w:sz w:val="18"/>
                <w:szCs w:val="18"/>
              </w:rPr>
              <w:t>-1,5</w:t>
            </w:r>
          </w:p>
        </w:tc>
        <w:tc>
          <w:tcPr>
            <w:tcW w:w="876" w:type="dxa"/>
            <w:shd w:val="clear" w:color="auto" w:fill="DEEAF6" w:themeFill="accent1" w:themeFillTint="33"/>
          </w:tcPr>
          <w:p w14:paraId="32BC4EBD" w14:textId="77777777" w:rsidR="00C13AFE" w:rsidRPr="00307776" w:rsidRDefault="00C13AFE" w:rsidP="00A834DD">
            <w:pPr>
              <w:ind w:firstLine="0"/>
              <w:jc w:val="center"/>
              <w:rPr>
                <w:rFonts w:eastAsia="Times New Roman" w:cs="Times New Roman"/>
                <w:snapToGrid w:val="0"/>
                <w:sz w:val="18"/>
                <w:szCs w:val="18"/>
              </w:rPr>
            </w:pPr>
            <w:r w:rsidRPr="00307776">
              <w:rPr>
                <w:color w:val="000000"/>
                <w:sz w:val="18"/>
                <w:szCs w:val="18"/>
              </w:rPr>
              <w:t>-1,5</w:t>
            </w:r>
          </w:p>
        </w:tc>
        <w:tc>
          <w:tcPr>
            <w:tcW w:w="879" w:type="dxa"/>
            <w:shd w:val="clear" w:color="auto" w:fill="DEEAF6" w:themeFill="accent1" w:themeFillTint="33"/>
          </w:tcPr>
          <w:p w14:paraId="7D2582B8" w14:textId="77777777" w:rsidR="00C13AFE" w:rsidRPr="00307776" w:rsidRDefault="00C13AFE" w:rsidP="00A834DD">
            <w:pPr>
              <w:ind w:firstLine="0"/>
              <w:jc w:val="center"/>
              <w:rPr>
                <w:rFonts w:eastAsia="Times New Roman" w:cs="Times New Roman"/>
                <w:snapToGrid w:val="0"/>
                <w:sz w:val="18"/>
                <w:szCs w:val="18"/>
              </w:rPr>
            </w:pPr>
            <w:r w:rsidRPr="00307776">
              <w:rPr>
                <w:color w:val="000000"/>
                <w:sz w:val="18"/>
                <w:szCs w:val="18"/>
              </w:rPr>
              <w:t>-0,7</w:t>
            </w:r>
          </w:p>
        </w:tc>
      </w:tr>
      <w:tr w:rsidR="00C13AFE" w:rsidRPr="00B60E0E" w14:paraId="47A6BFEE" w14:textId="77777777" w:rsidTr="00A834DD">
        <w:trPr>
          <w:trHeight w:val="251"/>
          <w:jc w:val="center"/>
        </w:trPr>
        <w:tc>
          <w:tcPr>
            <w:tcW w:w="3647" w:type="dxa"/>
            <w:shd w:val="clear" w:color="auto" w:fill="auto"/>
          </w:tcPr>
          <w:p w14:paraId="71F3C11E" w14:textId="77777777" w:rsidR="00C13AFE" w:rsidRPr="00B60E0E" w:rsidRDefault="00C13AFE" w:rsidP="00A834DD">
            <w:pPr>
              <w:ind w:firstLine="0"/>
              <w:rPr>
                <w:rFonts w:eastAsia="Times New Roman" w:cs="Times New Roman"/>
                <w:snapToGrid w:val="0"/>
                <w:sz w:val="18"/>
                <w:szCs w:val="18"/>
                <w:highlight w:val="lightGray"/>
              </w:rPr>
            </w:pPr>
            <w:r w:rsidRPr="00B60E0E">
              <w:rPr>
                <w:rFonts w:eastAsia="Times New Roman" w:cs="Times New Roman"/>
                <w:snapToGrid w:val="0"/>
                <w:sz w:val="18"/>
                <w:szCs w:val="18"/>
              </w:rPr>
              <w:t>Cikliski koriģētā bilance</w:t>
            </w:r>
          </w:p>
        </w:tc>
        <w:tc>
          <w:tcPr>
            <w:tcW w:w="1022" w:type="dxa"/>
            <w:shd w:val="clear" w:color="auto" w:fill="auto"/>
          </w:tcPr>
          <w:p w14:paraId="2F449895" w14:textId="77777777" w:rsidR="00C13AFE" w:rsidRPr="00B60E0E" w:rsidRDefault="00C13AFE" w:rsidP="00A834DD">
            <w:pPr>
              <w:ind w:firstLine="0"/>
              <w:rPr>
                <w:rFonts w:eastAsia="Times New Roman" w:cs="Times New Roman"/>
                <w:sz w:val="18"/>
                <w:szCs w:val="18"/>
                <w:highlight w:val="lightGray"/>
              </w:rPr>
            </w:pPr>
          </w:p>
        </w:tc>
        <w:tc>
          <w:tcPr>
            <w:tcW w:w="877" w:type="dxa"/>
            <w:shd w:val="clear" w:color="auto" w:fill="auto"/>
            <w:vAlign w:val="bottom"/>
          </w:tcPr>
          <w:p w14:paraId="759E4931" w14:textId="77777777" w:rsidR="00C13AFE" w:rsidRPr="00B60E0E" w:rsidRDefault="00C13AFE" w:rsidP="00A834DD">
            <w:pPr>
              <w:ind w:firstLine="0"/>
              <w:jc w:val="center"/>
              <w:rPr>
                <w:rFonts w:eastAsia="Times New Roman" w:cs="Times New Roman"/>
                <w:snapToGrid w:val="0"/>
                <w:sz w:val="18"/>
                <w:szCs w:val="18"/>
                <w:highlight w:val="lightGray"/>
              </w:rPr>
            </w:pPr>
            <w:r w:rsidRPr="00B60E0E">
              <w:rPr>
                <w:sz w:val="18"/>
                <w:szCs w:val="18"/>
              </w:rPr>
              <w:t>-4,9</w:t>
            </w:r>
          </w:p>
        </w:tc>
        <w:tc>
          <w:tcPr>
            <w:tcW w:w="876" w:type="dxa"/>
            <w:shd w:val="clear" w:color="auto" w:fill="auto"/>
            <w:vAlign w:val="bottom"/>
          </w:tcPr>
          <w:p w14:paraId="546ADE6D" w14:textId="77777777" w:rsidR="00C13AFE" w:rsidRPr="00B60E0E" w:rsidRDefault="00C13AFE" w:rsidP="00A834DD">
            <w:pPr>
              <w:ind w:firstLine="0"/>
              <w:jc w:val="center"/>
              <w:rPr>
                <w:rFonts w:eastAsia="Times New Roman" w:cs="Times New Roman"/>
                <w:snapToGrid w:val="0"/>
                <w:sz w:val="18"/>
                <w:szCs w:val="18"/>
                <w:highlight w:val="lightGray"/>
              </w:rPr>
            </w:pPr>
            <w:r w:rsidRPr="00B60E0E">
              <w:rPr>
                <w:sz w:val="18"/>
                <w:szCs w:val="18"/>
              </w:rPr>
              <w:t>-3,5</w:t>
            </w:r>
          </w:p>
        </w:tc>
        <w:tc>
          <w:tcPr>
            <w:tcW w:w="877" w:type="dxa"/>
            <w:shd w:val="clear" w:color="auto" w:fill="auto"/>
            <w:vAlign w:val="bottom"/>
          </w:tcPr>
          <w:p w14:paraId="22E3DEBB" w14:textId="77777777" w:rsidR="00C13AFE" w:rsidRPr="00307776" w:rsidRDefault="00C13AFE" w:rsidP="00A834DD">
            <w:pPr>
              <w:ind w:firstLine="0"/>
              <w:jc w:val="center"/>
              <w:rPr>
                <w:rFonts w:eastAsia="Times New Roman" w:cs="Times New Roman"/>
                <w:snapToGrid w:val="0"/>
                <w:sz w:val="18"/>
                <w:szCs w:val="18"/>
              </w:rPr>
            </w:pPr>
            <w:r w:rsidRPr="00307776">
              <w:rPr>
                <w:sz w:val="18"/>
                <w:szCs w:val="18"/>
              </w:rPr>
              <w:t>-2,0</w:t>
            </w:r>
          </w:p>
        </w:tc>
        <w:tc>
          <w:tcPr>
            <w:tcW w:w="876" w:type="dxa"/>
            <w:shd w:val="clear" w:color="auto" w:fill="auto"/>
            <w:vAlign w:val="bottom"/>
          </w:tcPr>
          <w:p w14:paraId="1AE46B53" w14:textId="77777777" w:rsidR="00C13AFE" w:rsidRPr="00307776" w:rsidRDefault="00C13AFE" w:rsidP="00A834DD">
            <w:pPr>
              <w:ind w:firstLine="0"/>
              <w:jc w:val="center"/>
              <w:rPr>
                <w:rFonts w:eastAsia="Times New Roman" w:cs="Times New Roman"/>
                <w:snapToGrid w:val="0"/>
                <w:sz w:val="18"/>
                <w:szCs w:val="18"/>
              </w:rPr>
            </w:pPr>
            <w:r w:rsidRPr="00307776">
              <w:rPr>
                <w:sz w:val="18"/>
                <w:szCs w:val="18"/>
              </w:rPr>
              <w:t>-2,0</w:t>
            </w:r>
          </w:p>
        </w:tc>
        <w:tc>
          <w:tcPr>
            <w:tcW w:w="879" w:type="dxa"/>
            <w:shd w:val="clear" w:color="auto" w:fill="auto"/>
            <w:vAlign w:val="bottom"/>
          </w:tcPr>
          <w:p w14:paraId="47F61C41" w14:textId="77777777" w:rsidR="00C13AFE" w:rsidRPr="00307776" w:rsidRDefault="00C13AFE" w:rsidP="00A834DD">
            <w:pPr>
              <w:ind w:firstLine="0"/>
              <w:jc w:val="center"/>
              <w:rPr>
                <w:rFonts w:eastAsia="Times New Roman" w:cs="Times New Roman"/>
                <w:snapToGrid w:val="0"/>
                <w:sz w:val="18"/>
                <w:szCs w:val="18"/>
              </w:rPr>
            </w:pPr>
            <w:r w:rsidRPr="00307776">
              <w:rPr>
                <w:sz w:val="18"/>
                <w:szCs w:val="18"/>
              </w:rPr>
              <w:t>-0,7</w:t>
            </w:r>
          </w:p>
        </w:tc>
      </w:tr>
      <w:tr w:rsidR="00C13AFE" w:rsidRPr="00B60E0E" w14:paraId="391B5FE1" w14:textId="77777777" w:rsidTr="00A834DD">
        <w:trPr>
          <w:trHeight w:val="189"/>
          <w:jc w:val="center"/>
        </w:trPr>
        <w:tc>
          <w:tcPr>
            <w:tcW w:w="3647" w:type="dxa"/>
            <w:shd w:val="clear" w:color="auto" w:fill="auto"/>
          </w:tcPr>
          <w:p w14:paraId="631DF0E4" w14:textId="77777777" w:rsidR="00C13AFE" w:rsidRPr="00B60E0E" w:rsidRDefault="00C13AFE" w:rsidP="00A834DD">
            <w:pPr>
              <w:ind w:firstLine="0"/>
              <w:rPr>
                <w:rFonts w:eastAsia="Times New Roman" w:cs="Times New Roman"/>
                <w:snapToGrid w:val="0"/>
                <w:sz w:val="18"/>
                <w:szCs w:val="18"/>
                <w:highlight w:val="lightGray"/>
              </w:rPr>
            </w:pPr>
            <w:r w:rsidRPr="00B60E0E">
              <w:rPr>
                <w:rFonts w:eastAsia="Times New Roman" w:cs="Times New Roman"/>
                <w:snapToGrid w:val="0"/>
                <w:sz w:val="18"/>
                <w:szCs w:val="18"/>
              </w:rPr>
              <w:t>Cikliski koriģētā primārā bilance</w:t>
            </w:r>
          </w:p>
        </w:tc>
        <w:tc>
          <w:tcPr>
            <w:tcW w:w="1022" w:type="dxa"/>
            <w:shd w:val="clear" w:color="auto" w:fill="auto"/>
          </w:tcPr>
          <w:p w14:paraId="0EAF3618" w14:textId="77777777" w:rsidR="00C13AFE" w:rsidRPr="00B60E0E" w:rsidRDefault="00C13AFE" w:rsidP="00A834DD">
            <w:pPr>
              <w:ind w:firstLine="0"/>
              <w:rPr>
                <w:rFonts w:eastAsia="Times New Roman" w:cs="Times New Roman"/>
                <w:sz w:val="18"/>
                <w:szCs w:val="18"/>
                <w:highlight w:val="lightGray"/>
              </w:rPr>
            </w:pPr>
          </w:p>
        </w:tc>
        <w:tc>
          <w:tcPr>
            <w:tcW w:w="877" w:type="dxa"/>
            <w:shd w:val="clear" w:color="auto" w:fill="auto"/>
            <w:vAlign w:val="bottom"/>
          </w:tcPr>
          <w:p w14:paraId="72BAF355" w14:textId="77777777" w:rsidR="00C13AFE" w:rsidRPr="00B60E0E" w:rsidRDefault="00C13AFE" w:rsidP="00A834DD">
            <w:pPr>
              <w:ind w:firstLine="0"/>
              <w:jc w:val="center"/>
              <w:rPr>
                <w:rFonts w:eastAsia="Times New Roman" w:cs="Times New Roman"/>
                <w:snapToGrid w:val="0"/>
                <w:sz w:val="18"/>
                <w:szCs w:val="18"/>
                <w:highlight w:val="lightGray"/>
              </w:rPr>
            </w:pPr>
            <w:r w:rsidRPr="00B60E0E">
              <w:rPr>
                <w:sz w:val="18"/>
                <w:szCs w:val="18"/>
              </w:rPr>
              <w:t>-4,4</w:t>
            </w:r>
          </w:p>
        </w:tc>
        <w:tc>
          <w:tcPr>
            <w:tcW w:w="876" w:type="dxa"/>
            <w:shd w:val="clear" w:color="auto" w:fill="auto"/>
            <w:vAlign w:val="bottom"/>
          </w:tcPr>
          <w:p w14:paraId="09160210" w14:textId="77777777" w:rsidR="00C13AFE" w:rsidRPr="00B60E0E" w:rsidRDefault="00C13AFE" w:rsidP="00A834DD">
            <w:pPr>
              <w:ind w:firstLine="0"/>
              <w:jc w:val="center"/>
              <w:rPr>
                <w:rFonts w:eastAsia="Times New Roman" w:cs="Times New Roman"/>
                <w:snapToGrid w:val="0"/>
                <w:sz w:val="18"/>
                <w:szCs w:val="18"/>
                <w:highlight w:val="lightGray"/>
              </w:rPr>
            </w:pPr>
            <w:r w:rsidRPr="00B60E0E">
              <w:rPr>
                <w:sz w:val="18"/>
                <w:szCs w:val="18"/>
              </w:rPr>
              <w:t>-2,9</w:t>
            </w:r>
          </w:p>
        </w:tc>
        <w:tc>
          <w:tcPr>
            <w:tcW w:w="877" w:type="dxa"/>
            <w:shd w:val="clear" w:color="auto" w:fill="auto"/>
            <w:vAlign w:val="bottom"/>
          </w:tcPr>
          <w:p w14:paraId="2C59CECB" w14:textId="77777777" w:rsidR="00C13AFE" w:rsidRPr="00307776" w:rsidRDefault="00C13AFE" w:rsidP="00A834DD">
            <w:pPr>
              <w:ind w:firstLine="0"/>
              <w:jc w:val="center"/>
              <w:rPr>
                <w:rFonts w:eastAsia="Times New Roman" w:cs="Times New Roman"/>
                <w:snapToGrid w:val="0"/>
                <w:sz w:val="18"/>
                <w:szCs w:val="18"/>
              </w:rPr>
            </w:pPr>
            <w:r w:rsidRPr="00307776">
              <w:rPr>
                <w:sz w:val="18"/>
                <w:szCs w:val="18"/>
              </w:rPr>
              <w:t>-1,2</w:t>
            </w:r>
          </w:p>
        </w:tc>
        <w:tc>
          <w:tcPr>
            <w:tcW w:w="876" w:type="dxa"/>
            <w:shd w:val="clear" w:color="auto" w:fill="auto"/>
            <w:vAlign w:val="bottom"/>
          </w:tcPr>
          <w:p w14:paraId="0C5F1751" w14:textId="77777777" w:rsidR="00C13AFE" w:rsidRPr="00307776" w:rsidRDefault="00C13AFE" w:rsidP="00A834DD">
            <w:pPr>
              <w:ind w:firstLine="0"/>
              <w:jc w:val="center"/>
              <w:rPr>
                <w:rFonts w:eastAsia="Times New Roman" w:cs="Times New Roman"/>
                <w:snapToGrid w:val="0"/>
                <w:sz w:val="18"/>
                <w:szCs w:val="18"/>
              </w:rPr>
            </w:pPr>
            <w:r w:rsidRPr="00307776">
              <w:rPr>
                <w:sz w:val="18"/>
                <w:szCs w:val="18"/>
              </w:rPr>
              <w:t>-1,0</w:t>
            </w:r>
          </w:p>
        </w:tc>
        <w:tc>
          <w:tcPr>
            <w:tcW w:w="879" w:type="dxa"/>
            <w:shd w:val="clear" w:color="auto" w:fill="auto"/>
            <w:vAlign w:val="bottom"/>
          </w:tcPr>
          <w:p w14:paraId="370E4289" w14:textId="77777777" w:rsidR="00C13AFE" w:rsidRPr="00307776" w:rsidRDefault="00C13AFE" w:rsidP="00A834DD">
            <w:pPr>
              <w:ind w:firstLine="0"/>
              <w:jc w:val="center"/>
              <w:rPr>
                <w:rFonts w:eastAsia="Times New Roman" w:cs="Times New Roman"/>
                <w:snapToGrid w:val="0"/>
                <w:sz w:val="18"/>
                <w:szCs w:val="18"/>
              </w:rPr>
            </w:pPr>
            <w:r w:rsidRPr="00307776">
              <w:rPr>
                <w:sz w:val="18"/>
                <w:szCs w:val="18"/>
              </w:rPr>
              <w:t>0,4</w:t>
            </w:r>
          </w:p>
        </w:tc>
      </w:tr>
      <w:tr w:rsidR="00C13AFE" w:rsidRPr="00B60E0E" w14:paraId="17762C03" w14:textId="77777777" w:rsidTr="00A834DD">
        <w:trPr>
          <w:trHeight w:val="189"/>
          <w:jc w:val="center"/>
        </w:trPr>
        <w:tc>
          <w:tcPr>
            <w:tcW w:w="3647" w:type="dxa"/>
            <w:shd w:val="clear" w:color="auto" w:fill="auto"/>
          </w:tcPr>
          <w:p w14:paraId="6A3A19F8" w14:textId="77777777" w:rsidR="00C13AFE" w:rsidRPr="00B60E0E" w:rsidRDefault="00C13AFE" w:rsidP="00A834DD">
            <w:pPr>
              <w:ind w:firstLine="0"/>
              <w:rPr>
                <w:rFonts w:eastAsia="Times New Roman" w:cs="Times New Roman"/>
                <w:snapToGrid w:val="0"/>
                <w:sz w:val="18"/>
                <w:szCs w:val="18"/>
                <w:highlight w:val="lightGray"/>
              </w:rPr>
            </w:pPr>
            <w:r w:rsidRPr="00B60E0E">
              <w:rPr>
                <w:rFonts w:eastAsia="Times New Roman" w:cs="Times New Roman"/>
                <w:snapToGrid w:val="0"/>
                <w:sz w:val="18"/>
                <w:szCs w:val="18"/>
              </w:rPr>
              <w:t>Strukturālā bilance</w:t>
            </w:r>
          </w:p>
        </w:tc>
        <w:tc>
          <w:tcPr>
            <w:tcW w:w="1022" w:type="dxa"/>
            <w:shd w:val="clear" w:color="auto" w:fill="auto"/>
          </w:tcPr>
          <w:p w14:paraId="52033A20" w14:textId="77777777" w:rsidR="00C13AFE" w:rsidRPr="00B60E0E" w:rsidRDefault="00C13AFE" w:rsidP="00A834DD">
            <w:pPr>
              <w:ind w:firstLine="0"/>
              <w:rPr>
                <w:rFonts w:eastAsia="Times New Roman" w:cs="Times New Roman"/>
                <w:sz w:val="18"/>
                <w:szCs w:val="18"/>
                <w:highlight w:val="lightGray"/>
              </w:rPr>
            </w:pPr>
          </w:p>
        </w:tc>
        <w:tc>
          <w:tcPr>
            <w:tcW w:w="877" w:type="dxa"/>
            <w:shd w:val="clear" w:color="auto" w:fill="auto"/>
            <w:vAlign w:val="bottom"/>
          </w:tcPr>
          <w:p w14:paraId="60D9C134" w14:textId="77777777" w:rsidR="00C13AFE" w:rsidRPr="00B60E0E" w:rsidRDefault="00C13AFE" w:rsidP="00A834DD">
            <w:pPr>
              <w:ind w:firstLine="0"/>
              <w:jc w:val="center"/>
              <w:rPr>
                <w:rFonts w:eastAsia="Times New Roman" w:cs="Times New Roman"/>
                <w:snapToGrid w:val="0"/>
                <w:sz w:val="18"/>
                <w:szCs w:val="18"/>
                <w:highlight w:val="lightGray"/>
              </w:rPr>
            </w:pPr>
            <w:r w:rsidRPr="00B60E0E">
              <w:rPr>
                <w:sz w:val="18"/>
                <w:szCs w:val="18"/>
              </w:rPr>
              <w:t>-0,1</w:t>
            </w:r>
          </w:p>
        </w:tc>
        <w:tc>
          <w:tcPr>
            <w:tcW w:w="876" w:type="dxa"/>
            <w:shd w:val="clear" w:color="auto" w:fill="auto"/>
            <w:vAlign w:val="bottom"/>
          </w:tcPr>
          <w:p w14:paraId="1CD5D118" w14:textId="77777777" w:rsidR="00C13AFE" w:rsidRPr="00B60E0E" w:rsidRDefault="00C13AFE" w:rsidP="00A834DD">
            <w:pPr>
              <w:ind w:firstLine="0"/>
              <w:jc w:val="center"/>
              <w:rPr>
                <w:rFonts w:eastAsia="Times New Roman" w:cs="Times New Roman"/>
                <w:snapToGrid w:val="0"/>
                <w:sz w:val="18"/>
                <w:szCs w:val="18"/>
                <w:highlight w:val="lightGray"/>
              </w:rPr>
            </w:pPr>
            <w:r w:rsidRPr="00B60E0E">
              <w:rPr>
                <w:sz w:val="18"/>
                <w:szCs w:val="18"/>
              </w:rPr>
              <w:t>-0,5</w:t>
            </w:r>
          </w:p>
        </w:tc>
        <w:tc>
          <w:tcPr>
            <w:tcW w:w="877" w:type="dxa"/>
            <w:shd w:val="clear" w:color="auto" w:fill="auto"/>
            <w:vAlign w:val="bottom"/>
          </w:tcPr>
          <w:p w14:paraId="51C33A18" w14:textId="77777777" w:rsidR="00C13AFE" w:rsidRPr="00307776" w:rsidRDefault="00C13AFE" w:rsidP="00A834DD">
            <w:pPr>
              <w:ind w:firstLine="0"/>
              <w:jc w:val="center"/>
              <w:rPr>
                <w:rFonts w:eastAsia="Times New Roman" w:cs="Times New Roman"/>
                <w:snapToGrid w:val="0"/>
                <w:sz w:val="18"/>
                <w:szCs w:val="18"/>
              </w:rPr>
            </w:pPr>
            <w:r w:rsidRPr="00307776">
              <w:rPr>
                <w:sz w:val="18"/>
                <w:szCs w:val="18"/>
              </w:rPr>
              <w:t>-0,5</w:t>
            </w:r>
          </w:p>
        </w:tc>
        <w:tc>
          <w:tcPr>
            <w:tcW w:w="876" w:type="dxa"/>
            <w:shd w:val="clear" w:color="auto" w:fill="auto"/>
            <w:vAlign w:val="bottom"/>
          </w:tcPr>
          <w:p w14:paraId="49988349" w14:textId="77777777" w:rsidR="00C13AFE" w:rsidRPr="00307776" w:rsidRDefault="00C13AFE" w:rsidP="00A834DD">
            <w:pPr>
              <w:ind w:firstLine="0"/>
              <w:jc w:val="center"/>
              <w:rPr>
                <w:rFonts w:eastAsia="Times New Roman" w:cs="Times New Roman"/>
                <w:snapToGrid w:val="0"/>
                <w:sz w:val="18"/>
                <w:szCs w:val="18"/>
              </w:rPr>
            </w:pPr>
            <w:r w:rsidRPr="00307776">
              <w:rPr>
                <w:sz w:val="18"/>
                <w:szCs w:val="18"/>
              </w:rPr>
              <w:t>-0,5</w:t>
            </w:r>
          </w:p>
        </w:tc>
        <w:tc>
          <w:tcPr>
            <w:tcW w:w="879" w:type="dxa"/>
            <w:shd w:val="clear" w:color="auto" w:fill="auto"/>
            <w:vAlign w:val="bottom"/>
          </w:tcPr>
          <w:p w14:paraId="7AF155D1" w14:textId="77777777" w:rsidR="00C13AFE" w:rsidRPr="00307776" w:rsidRDefault="00C13AFE" w:rsidP="00A834DD">
            <w:pPr>
              <w:ind w:firstLine="0"/>
              <w:jc w:val="center"/>
              <w:rPr>
                <w:rFonts w:eastAsia="Times New Roman" w:cs="Times New Roman"/>
                <w:snapToGrid w:val="0"/>
                <w:sz w:val="18"/>
                <w:szCs w:val="18"/>
              </w:rPr>
            </w:pPr>
            <w:r w:rsidRPr="00307776">
              <w:rPr>
                <w:sz w:val="18"/>
                <w:szCs w:val="18"/>
              </w:rPr>
              <w:t>0,0</w:t>
            </w:r>
          </w:p>
        </w:tc>
      </w:tr>
    </w:tbl>
    <w:p w14:paraId="082DEA6B" w14:textId="77777777" w:rsidR="00C13AFE" w:rsidRDefault="00C13AFE" w:rsidP="00C13AFE">
      <w:pPr>
        <w:keepNext/>
        <w:rPr>
          <w:rFonts w:eastAsia="Times New Roman" w:cs="Times New Roman"/>
          <w:sz w:val="24"/>
          <w:szCs w:val="24"/>
        </w:rPr>
      </w:pPr>
    </w:p>
    <w:p w14:paraId="2B8336F3" w14:textId="602CBA39" w:rsidR="00C13AFE" w:rsidRPr="00890DEC" w:rsidRDefault="00C13AFE" w:rsidP="00C13AFE">
      <w:pPr>
        <w:keepNext/>
        <w:rPr>
          <w:rFonts w:eastAsia="Times New Roman" w:cs="Times New Roman"/>
          <w:color w:val="000000"/>
          <w:sz w:val="18"/>
        </w:rPr>
      </w:pPr>
      <w:r w:rsidRPr="00890DEC">
        <w:rPr>
          <w:rFonts w:eastAsia="Times New Roman" w:cs="Times New Roman"/>
          <w:sz w:val="24"/>
          <w:szCs w:val="24"/>
        </w:rPr>
        <w:t>Fiskālās attīstības scenārijā tiek pieņemts, ka 2024., 2025. un 2026. gada fiskālā telpa tiek proporcionāli sadalīta starp centrālo valdību un sociālās nodrošināšanas fondu papildus izdevumiem jaunām politikas prioritātēm. Tiek pieņemts, ka fiskālā nodrošinājuma rezerve tiek izlietota – t.i., iestājas fiskālie riski 0,1% no IKP apmērā. Tā kā lēmumi par budžeta attīstības sadaļu tiek pieņemti budžeta veidošanas procesā un pašlaik tie nav zināmi, izdevumu palielinājums tiek veikts proporcionāli pa izdevumu kategorijām attiecīgajos gados, par pamatu pieņemot atsevišķu izdevumu kategoriju proporciju pret kopējiem izdevumiem pie nemainīgas politikas scenārija. Aprēķinot atsevišķu izdevumu kategoriju proporciju pret kopējiem izdevumiem pie nemainīgas politikas scenārija, no aprēķina tiek izslēgti procentu izdevumi. Šāda pieeja tiek izmantota, jo tiek pieņemts, ka budžeta attīstības daļas lēmumi šo izdevumu kategoriju neskar.</w:t>
      </w:r>
    </w:p>
    <w:p w14:paraId="79519D26" w14:textId="77777777" w:rsidR="00C13AFE" w:rsidRPr="00A8405C" w:rsidRDefault="00C13AFE" w:rsidP="00C13AFE">
      <w:pPr>
        <w:rPr>
          <w:rFonts w:eastAsia="Times New Roman" w:cs="Times New Roman"/>
          <w:color w:val="000000"/>
          <w:sz w:val="24"/>
          <w:szCs w:val="24"/>
          <w:highlight w:val="yellow"/>
        </w:rPr>
      </w:pPr>
    </w:p>
    <w:p w14:paraId="792EE7CE" w14:textId="55604043" w:rsidR="00BF4753" w:rsidRPr="00FC586A" w:rsidRDefault="00BF4753" w:rsidP="00C13AFE">
      <w:pPr>
        <w:pStyle w:val="Heading2"/>
        <w:numPr>
          <w:ilvl w:val="1"/>
          <w:numId w:val="29"/>
        </w:numPr>
        <w:spacing w:before="0" w:after="240"/>
        <w:ind w:left="1797"/>
        <w:jc w:val="both"/>
        <w:rPr>
          <w:rFonts w:eastAsia="Calibri"/>
          <w:sz w:val="28"/>
          <w:szCs w:val="24"/>
        </w:rPr>
      </w:pPr>
      <w:bookmarkStart w:id="44" w:name="_Toc131331244"/>
      <w:r w:rsidRPr="00FC586A">
        <w:rPr>
          <w:rFonts w:eastAsia="Calibri"/>
          <w:sz w:val="28"/>
          <w:szCs w:val="24"/>
        </w:rPr>
        <w:t>Valdības parāda vidējā termiņa attīstības tendences</w:t>
      </w:r>
      <w:bookmarkEnd w:id="44"/>
    </w:p>
    <w:bookmarkEnd w:id="34"/>
    <w:p w14:paraId="1906EC38" w14:textId="796D10ED" w:rsidR="00FC586A" w:rsidRPr="00FC586A" w:rsidRDefault="00FC586A" w:rsidP="00D54A07">
      <w:pPr>
        <w:rPr>
          <w:rFonts w:eastAsia="Times New Roman" w:cs="Times New Roman"/>
          <w:sz w:val="24"/>
          <w:szCs w:val="26"/>
        </w:rPr>
      </w:pPr>
      <w:r w:rsidRPr="00FC586A">
        <w:rPr>
          <w:rFonts w:eastAsia="Times New Roman" w:cs="Times New Roman"/>
          <w:sz w:val="24"/>
          <w:szCs w:val="26"/>
        </w:rPr>
        <w:t xml:space="preserve">Valsts parāda vadības pamatprincipus un uzdevumus vidējam termiņam nosaka Valsts parāda un naudas līdzekļu vadības stratēģija, kuru apstiprina finanšu ministrs. Saskaņā ar  stratēģiju valsts parāda un naudas līdzekļu vadības mērķis ir savlaicīgi nodrošināt finanšu resursu pieejamību finansēšanas nepieciešamības segšanai ar zemām valsts parāda apkalpošanas izmaksām, ierobežojot finanšu riskus un vienlaikus sekmējot iekšējā finanšu tirgus attīstību. Valsts parāda un budžeta saistību izpildē tiek izmantota stratēģiska pieeja valsts aizņemšanās un parāda vadības procesa nodrošināšanā, saglabājot pēc iespējas lielāku elastību finanšu tirgos veicamo aizņēmumu nosacījumu (aizņemšanās laiks, instruments, apjoms, termiņš) izvēlē. Tas ļauj </w:t>
      </w:r>
      <w:r w:rsidRPr="00FC586A">
        <w:rPr>
          <w:rFonts w:eastAsia="Times New Roman" w:cs="Times New Roman"/>
          <w:sz w:val="24"/>
          <w:szCs w:val="26"/>
        </w:rPr>
        <w:lastRenderedPageBreak/>
        <w:t>ierobežot finanšu riskus vidējā termiņā, kā arī nodrošināt resursus kopējās finansēšanas nepieciešamības segšanai ar labvēlīgiem nosacījumiem.</w:t>
      </w:r>
    </w:p>
    <w:p w14:paraId="39A0CCB4" w14:textId="6D00C25C" w:rsidR="00FC586A" w:rsidRPr="00FC586A" w:rsidRDefault="00FC586A" w:rsidP="00D54A07">
      <w:pPr>
        <w:rPr>
          <w:rFonts w:eastAsia="Times New Roman" w:cs="Times New Roman"/>
          <w:sz w:val="24"/>
          <w:szCs w:val="24"/>
        </w:rPr>
      </w:pPr>
      <w:r w:rsidRPr="00FC586A">
        <w:rPr>
          <w:rFonts w:eastAsia="Times New Roman" w:cs="Times New Roman"/>
          <w:sz w:val="24"/>
          <w:szCs w:val="24"/>
        </w:rPr>
        <w:t xml:space="preserve">Covid-19 uzliesmojums izraisīja nepieciešamību 2020.-2021. gadā ievērojamā apjomā nodrošināt finansējumu tā ietekmes mazināšanai un ekonomikas atbalstam ārkārtas situācijā, veicot aizņemšanos gan finanšu tirgos, gan no Ziemeļu investīciju bankas un </w:t>
      </w:r>
      <w:r>
        <w:rPr>
          <w:rFonts w:eastAsia="Times New Roman" w:cs="Times New Roman"/>
          <w:sz w:val="24"/>
          <w:szCs w:val="24"/>
        </w:rPr>
        <w:t>EK</w:t>
      </w:r>
      <w:r w:rsidRPr="00FC586A">
        <w:rPr>
          <w:rFonts w:eastAsia="Times New Roman" w:cs="Times New Roman"/>
          <w:sz w:val="24"/>
          <w:szCs w:val="24"/>
        </w:rPr>
        <w:t xml:space="preserve"> (SURE</w:t>
      </w:r>
      <w:r w:rsidR="008D6303">
        <w:rPr>
          <w:rStyle w:val="FootnoteReference"/>
          <w:rFonts w:eastAsia="Times New Roman" w:cs="Times New Roman"/>
          <w:szCs w:val="24"/>
        </w:rPr>
        <w:footnoteReference w:id="16"/>
      </w:r>
      <w:r w:rsidRPr="00FC586A">
        <w:rPr>
          <w:rFonts w:eastAsia="Times New Roman" w:cs="Times New Roman"/>
          <w:sz w:val="24"/>
          <w:szCs w:val="24"/>
        </w:rPr>
        <w:t xml:space="preserve">), kā rezultātā ievērojami palielinājās vispārējās valdības parāds. </w:t>
      </w:r>
      <w:r w:rsidRPr="00FC586A">
        <w:rPr>
          <w:rFonts w:eastAsia="Times New Roman" w:cs="Times New Roman"/>
          <w:sz w:val="24"/>
          <w:szCs w:val="20"/>
        </w:rPr>
        <w:t xml:space="preserve">Ja 2019. gada beigās, pirms Covid-19 uzliesmojuma, vispārējās valdības parāds veidoja 36,5% no IKP (jeb 11,2 mljrd. </w:t>
      </w:r>
      <w:proofErr w:type="spellStart"/>
      <w:r w:rsidRPr="00FC586A">
        <w:rPr>
          <w:rFonts w:eastAsia="Times New Roman" w:cs="Times New Roman"/>
          <w:i/>
          <w:sz w:val="24"/>
          <w:szCs w:val="20"/>
        </w:rPr>
        <w:t>euro</w:t>
      </w:r>
      <w:proofErr w:type="spellEnd"/>
      <w:r w:rsidRPr="00FC586A">
        <w:rPr>
          <w:rFonts w:eastAsia="Times New Roman" w:cs="Times New Roman"/>
          <w:sz w:val="24"/>
          <w:szCs w:val="20"/>
        </w:rPr>
        <w:t>), tad 2021. gada beigās tā līmenis bija 43,</w:t>
      </w:r>
      <w:r w:rsidR="0073677C">
        <w:rPr>
          <w:rFonts w:eastAsia="Times New Roman" w:cs="Times New Roman"/>
          <w:sz w:val="24"/>
          <w:szCs w:val="20"/>
        </w:rPr>
        <w:t>7</w:t>
      </w:r>
      <w:r w:rsidRPr="00FC586A">
        <w:rPr>
          <w:rFonts w:eastAsia="Times New Roman" w:cs="Times New Roman"/>
          <w:sz w:val="24"/>
          <w:szCs w:val="20"/>
        </w:rPr>
        <w:t xml:space="preserve">% no IKP (jeb 14,7 mljrd. </w:t>
      </w:r>
      <w:proofErr w:type="spellStart"/>
      <w:r w:rsidRPr="00FC586A">
        <w:rPr>
          <w:rFonts w:eastAsia="Times New Roman" w:cs="Times New Roman"/>
          <w:i/>
          <w:sz w:val="24"/>
          <w:szCs w:val="20"/>
        </w:rPr>
        <w:t>euro</w:t>
      </w:r>
      <w:proofErr w:type="spellEnd"/>
      <w:r w:rsidRPr="00FC586A">
        <w:rPr>
          <w:rFonts w:eastAsia="Times New Roman" w:cs="Times New Roman"/>
          <w:sz w:val="24"/>
          <w:szCs w:val="20"/>
        </w:rPr>
        <w:t xml:space="preserve">). 2022. gada beigās saskaņā ar Valsts kases operatīvo novērtējumu vispārējās valdības parāds pēc EKS metodoloģijas sasniedza 15,9 mljrd. </w:t>
      </w:r>
      <w:proofErr w:type="spellStart"/>
      <w:r w:rsidRPr="00FC586A">
        <w:rPr>
          <w:rFonts w:eastAsia="Times New Roman" w:cs="Times New Roman"/>
          <w:i/>
          <w:sz w:val="24"/>
          <w:szCs w:val="20"/>
        </w:rPr>
        <w:t>euro</w:t>
      </w:r>
      <w:proofErr w:type="spellEnd"/>
      <w:r w:rsidRPr="00FC586A">
        <w:rPr>
          <w:rFonts w:eastAsia="Times New Roman" w:cs="Times New Roman"/>
          <w:sz w:val="24"/>
          <w:szCs w:val="20"/>
        </w:rPr>
        <w:t xml:space="preserve"> jeb 40,8% no IKP. </w:t>
      </w:r>
    </w:p>
    <w:p w14:paraId="68D9DD3F" w14:textId="08A6ACF9" w:rsidR="00FC586A" w:rsidRPr="00FC586A" w:rsidRDefault="00FC586A" w:rsidP="00D54A07">
      <w:pPr>
        <w:rPr>
          <w:rFonts w:eastAsia="Times New Roman" w:cs="Times New Roman"/>
          <w:sz w:val="24"/>
          <w:szCs w:val="24"/>
        </w:rPr>
      </w:pPr>
      <w:r w:rsidRPr="00FC586A">
        <w:rPr>
          <w:rFonts w:eastAsia="Times New Roman" w:cs="Times New Roman"/>
          <w:sz w:val="24"/>
          <w:szCs w:val="24"/>
        </w:rPr>
        <w:t xml:space="preserve">2022. gadā Krievijas iebrukums Ukrainā izraisīja ģeopolitisko spriedzi reģionā,  energoresursu cenu globālo pieaugumu un inflācijas strauju pieaugumu, kas negatīvi ietekmēja situāciju ekonomikā un valsts budžeta izdevumus 2022. gadā. 2022. gadā resursi kopējās finansēšanas nepieciešamības segšanai, t.sk. atbalsta pasākumiem iedzīvotājiem un uzņēmumiem augsto enerģijas cenu kompensēšanai, kā arī izdevumiem valsts aizsardzības kapacitātes stiprināšanai, tika nodrošināti, veicot aizņēmumus iekšējā un starptautiskajos finanšu tirgos 2 045  milj. </w:t>
      </w:r>
      <w:proofErr w:type="spellStart"/>
      <w:r w:rsidRPr="00FC586A">
        <w:rPr>
          <w:rFonts w:eastAsia="Times New Roman" w:cs="Times New Roman"/>
          <w:i/>
          <w:sz w:val="24"/>
          <w:szCs w:val="24"/>
        </w:rPr>
        <w:t>euro</w:t>
      </w:r>
      <w:proofErr w:type="spellEnd"/>
      <w:r w:rsidRPr="00FC586A">
        <w:rPr>
          <w:rFonts w:eastAsia="Times New Roman" w:cs="Times New Roman"/>
          <w:sz w:val="24"/>
          <w:szCs w:val="24"/>
        </w:rPr>
        <w:t xml:space="preserve"> apmērā. Iekšējā finanšu tirgū 2022. gadā veikti apgrozībā esošo eiroobligāciju papildu laidieni 1 195 milj. </w:t>
      </w:r>
      <w:proofErr w:type="spellStart"/>
      <w:r w:rsidRPr="00FC586A">
        <w:rPr>
          <w:rFonts w:eastAsia="Times New Roman" w:cs="Times New Roman"/>
          <w:i/>
          <w:sz w:val="24"/>
          <w:szCs w:val="24"/>
        </w:rPr>
        <w:t>euro</w:t>
      </w:r>
      <w:proofErr w:type="spellEnd"/>
      <w:r w:rsidRPr="00FC586A">
        <w:rPr>
          <w:rFonts w:eastAsia="Times New Roman" w:cs="Times New Roman"/>
          <w:sz w:val="24"/>
          <w:szCs w:val="24"/>
        </w:rPr>
        <w:t xml:space="preserve"> apmērā. Starptautiskajos finanšu tirgos 2022. gadā piesaistīti resursi 850 milj. </w:t>
      </w:r>
      <w:proofErr w:type="spellStart"/>
      <w:r w:rsidRPr="00FC586A">
        <w:rPr>
          <w:rFonts w:eastAsia="Times New Roman" w:cs="Times New Roman"/>
          <w:i/>
          <w:sz w:val="24"/>
          <w:szCs w:val="24"/>
        </w:rPr>
        <w:t>euro</w:t>
      </w:r>
      <w:proofErr w:type="spellEnd"/>
      <w:r w:rsidRPr="00FC586A">
        <w:rPr>
          <w:rFonts w:eastAsia="Times New Roman" w:cs="Times New Roman"/>
          <w:sz w:val="24"/>
          <w:szCs w:val="24"/>
        </w:rPr>
        <w:t xml:space="preserve"> apmērā, veicot eiroobligāciju emisiju ar dzēšanu 2027. gada martā, kuponu (fiksēto procentu likmi) 3,875% gadā un ienesīgumu 4,198%. Papildus finanšu tirgos veiktajiem aizņēmumiem 2022. gadā ar finansiāli izdevīgiem nosacījumiem saņemts aizdevums </w:t>
      </w:r>
      <w:r>
        <w:rPr>
          <w:rFonts w:eastAsia="Times New Roman" w:cs="Times New Roman"/>
          <w:sz w:val="24"/>
          <w:szCs w:val="24"/>
        </w:rPr>
        <w:t xml:space="preserve">EK </w:t>
      </w:r>
      <w:r w:rsidRPr="00FC586A">
        <w:rPr>
          <w:rFonts w:eastAsia="Times New Roman" w:cs="Times New Roman"/>
          <w:sz w:val="24"/>
          <w:szCs w:val="24"/>
        </w:rPr>
        <w:t xml:space="preserve">finansēšanas instrumenta SURE ietvaros 167 milj. </w:t>
      </w:r>
      <w:proofErr w:type="spellStart"/>
      <w:r w:rsidRPr="00FC586A">
        <w:rPr>
          <w:rFonts w:eastAsia="Times New Roman" w:cs="Times New Roman"/>
          <w:i/>
          <w:sz w:val="24"/>
          <w:szCs w:val="24"/>
        </w:rPr>
        <w:t>euro</w:t>
      </w:r>
      <w:proofErr w:type="spellEnd"/>
      <w:r w:rsidRPr="00FC586A">
        <w:rPr>
          <w:rFonts w:eastAsia="Times New Roman" w:cs="Times New Roman"/>
          <w:sz w:val="24"/>
          <w:szCs w:val="24"/>
        </w:rPr>
        <w:t xml:space="preserve"> apmērā ar atmaksas termiņu 15 gadi un fiksētu procentu likmi 2,75% gadā.</w:t>
      </w:r>
    </w:p>
    <w:p w14:paraId="09099B26" w14:textId="77777777" w:rsidR="00FC586A" w:rsidRPr="00FC586A" w:rsidRDefault="00FC586A" w:rsidP="00D54A07">
      <w:pPr>
        <w:rPr>
          <w:rFonts w:eastAsia="Times New Roman" w:cs="Times New Roman"/>
          <w:sz w:val="24"/>
          <w:szCs w:val="24"/>
        </w:rPr>
      </w:pPr>
      <w:r w:rsidRPr="00FC586A">
        <w:rPr>
          <w:rFonts w:eastAsia="Times New Roman" w:cs="Times New Roman"/>
          <w:sz w:val="24"/>
          <w:szCs w:val="24"/>
        </w:rPr>
        <w:t xml:space="preserve">Aizņemšanās apjomu un valsts parāda līmeni vidējā termiņā ietekmē kopējā finansēšanas nepieciešamība, kuru galvenokārt veido valsts budžeta deficīts, t.sk. dažādi atbalsta pasākumi, valsts parāda atmaksa, valsts aizdevumu izsniegšana (pašvaldībām, valsts kapitālsabiedrībām, ostām un augstskolām), kā arī resursu rezerves uzturēšana Valsts kases kontos dažādu risku vadībai paaugstinātas nenoteiktības apstākļos. </w:t>
      </w:r>
    </w:p>
    <w:p w14:paraId="5091AB70" w14:textId="6FC8ADEF" w:rsidR="00FC586A" w:rsidRPr="00FC586A" w:rsidRDefault="00FC586A" w:rsidP="00D54A07">
      <w:pPr>
        <w:rPr>
          <w:rFonts w:eastAsia="Times New Roman" w:cs="Times New Roman"/>
          <w:sz w:val="24"/>
          <w:szCs w:val="24"/>
        </w:rPr>
      </w:pPr>
      <w:r w:rsidRPr="00FC586A">
        <w:rPr>
          <w:rFonts w:eastAsia="Times New Roman" w:cs="Times New Roman"/>
          <w:sz w:val="24"/>
          <w:szCs w:val="20"/>
        </w:rPr>
        <w:t xml:space="preserve">Ņemot vērā līdz 2023. gada 28. februārim uzņemtās valsts parāda saistības, saskaņā ar valsts parāda atmaksas grafiku 2023. gada martā – 2026. gada decembrī, jāpārfinansē valsts parāda saistības ~7,3 mljrd. </w:t>
      </w:r>
      <w:proofErr w:type="spellStart"/>
      <w:r w:rsidRPr="00FC586A">
        <w:rPr>
          <w:rFonts w:eastAsia="Times New Roman" w:cs="Times New Roman"/>
          <w:i/>
          <w:sz w:val="24"/>
          <w:szCs w:val="20"/>
        </w:rPr>
        <w:t>euro</w:t>
      </w:r>
      <w:proofErr w:type="spellEnd"/>
      <w:r w:rsidRPr="00FC586A">
        <w:rPr>
          <w:rFonts w:eastAsia="Times New Roman" w:cs="Times New Roman"/>
          <w:sz w:val="24"/>
          <w:szCs w:val="20"/>
        </w:rPr>
        <w:t xml:space="preserve"> apmērā (ska</w:t>
      </w:r>
      <w:r w:rsidRPr="00BA03D2">
        <w:rPr>
          <w:rFonts w:eastAsia="Times New Roman" w:cs="Times New Roman"/>
          <w:sz w:val="24"/>
          <w:szCs w:val="20"/>
        </w:rPr>
        <w:t>t. 3.</w:t>
      </w:r>
      <w:r w:rsidR="00BA03D2" w:rsidRPr="00BA03D2">
        <w:rPr>
          <w:rFonts w:eastAsia="Times New Roman" w:cs="Times New Roman"/>
          <w:sz w:val="24"/>
          <w:szCs w:val="20"/>
        </w:rPr>
        <w:t>7.</w:t>
      </w:r>
      <w:r w:rsidRPr="00FC586A">
        <w:rPr>
          <w:rFonts w:eastAsia="Times New Roman" w:cs="Times New Roman"/>
          <w:sz w:val="24"/>
          <w:szCs w:val="20"/>
        </w:rPr>
        <w:t xml:space="preserve"> attēlu). Lielāko daļu no minētajā periodā pārfinansējamā parāda apjoma veido starptautiskajos finanšu tirgos emitētās eiroobligācijas, kurām iestāsies dzēšanas termiņš. </w:t>
      </w:r>
    </w:p>
    <w:p w14:paraId="7F6ACF16" w14:textId="77777777" w:rsidR="00FC586A" w:rsidRPr="00FC586A" w:rsidRDefault="00FC586A" w:rsidP="00FC586A">
      <w:pPr>
        <w:ind w:firstLine="0"/>
        <w:jc w:val="center"/>
        <w:rPr>
          <w:rFonts w:eastAsia="Times New Roman" w:cs="Times New Roman"/>
          <w:i/>
          <w:sz w:val="18"/>
          <w:szCs w:val="18"/>
        </w:rPr>
      </w:pPr>
      <w:r w:rsidRPr="00FC586A">
        <w:rPr>
          <w:rFonts w:eastAsia="Times New Roman" w:cs="Times New Roman"/>
          <w:i/>
          <w:noProof/>
          <w:sz w:val="18"/>
          <w:szCs w:val="18"/>
          <w:lang w:eastAsia="lv-LV"/>
        </w:rPr>
        <w:drawing>
          <wp:inline distT="0" distB="0" distL="0" distR="0" wp14:anchorId="4B772727" wp14:editId="3525DB23">
            <wp:extent cx="5692140" cy="1933776"/>
            <wp:effectExtent l="0" t="0" r="3810" b="9525"/>
            <wp:docPr id="38" name="Picture 38"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Chart, bar chart&#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23786" cy="1944527"/>
                    </a:xfrm>
                    <a:prstGeom prst="rect">
                      <a:avLst/>
                    </a:prstGeom>
                    <a:noFill/>
                  </pic:spPr>
                </pic:pic>
              </a:graphicData>
            </a:graphic>
          </wp:inline>
        </w:drawing>
      </w:r>
    </w:p>
    <w:p w14:paraId="3F97724F" w14:textId="3ABF58CA" w:rsidR="00FC586A" w:rsidRPr="00FC586A" w:rsidRDefault="00FC586A" w:rsidP="00FC586A">
      <w:pPr>
        <w:spacing w:before="240"/>
        <w:ind w:firstLine="709"/>
        <w:jc w:val="center"/>
        <w:rPr>
          <w:rFonts w:eastAsia="Times New Roman" w:cs="Times New Roman"/>
          <w:b/>
          <w:i/>
          <w:sz w:val="24"/>
          <w:szCs w:val="24"/>
        </w:rPr>
      </w:pPr>
      <w:r w:rsidRPr="00BA03D2">
        <w:rPr>
          <w:rFonts w:eastAsia="Times New Roman" w:cs="Times New Roman"/>
          <w:b/>
          <w:i/>
          <w:sz w:val="24"/>
          <w:szCs w:val="24"/>
        </w:rPr>
        <w:t>3.</w:t>
      </w:r>
      <w:r w:rsidR="00BA03D2" w:rsidRPr="00BA03D2">
        <w:rPr>
          <w:rFonts w:eastAsia="Times New Roman" w:cs="Times New Roman"/>
          <w:b/>
          <w:i/>
          <w:sz w:val="24"/>
          <w:szCs w:val="24"/>
        </w:rPr>
        <w:t>7.</w:t>
      </w:r>
      <w:r w:rsidRPr="00BA03D2">
        <w:rPr>
          <w:rFonts w:eastAsia="Times New Roman" w:cs="Times New Roman"/>
          <w:b/>
          <w:i/>
          <w:sz w:val="24"/>
          <w:szCs w:val="24"/>
        </w:rPr>
        <w:t xml:space="preserve"> att</w:t>
      </w:r>
      <w:r w:rsidRPr="00FC586A">
        <w:rPr>
          <w:rFonts w:eastAsia="Times New Roman" w:cs="Times New Roman"/>
          <w:b/>
          <w:i/>
          <w:sz w:val="24"/>
          <w:szCs w:val="24"/>
        </w:rPr>
        <w:t xml:space="preserve">. Centrālās valdības aizņēmumu atmaksas grafiks </w:t>
      </w:r>
    </w:p>
    <w:p w14:paraId="30090928" w14:textId="77777777" w:rsidR="00FC586A" w:rsidRPr="00FC586A" w:rsidRDefault="00FC586A" w:rsidP="00FC586A">
      <w:pPr>
        <w:ind w:firstLine="709"/>
        <w:jc w:val="center"/>
        <w:rPr>
          <w:rFonts w:eastAsia="Times New Roman" w:cs="Times New Roman"/>
          <w:i/>
          <w:sz w:val="24"/>
          <w:szCs w:val="24"/>
        </w:rPr>
      </w:pPr>
      <w:r w:rsidRPr="00FC586A">
        <w:rPr>
          <w:rFonts w:eastAsia="Times New Roman" w:cs="Times New Roman"/>
          <w:i/>
          <w:sz w:val="24"/>
          <w:szCs w:val="24"/>
        </w:rPr>
        <w:t xml:space="preserve">(līdz 2023. gada 28. februārim uzņemtās saistības, nominālvērtībā, milj. </w:t>
      </w:r>
      <w:proofErr w:type="spellStart"/>
      <w:r w:rsidRPr="00FC586A">
        <w:rPr>
          <w:rFonts w:eastAsia="Times New Roman" w:cs="Times New Roman"/>
          <w:i/>
          <w:sz w:val="24"/>
          <w:szCs w:val="24"/>
        </w:rPr>
        <w:t>euro</w:t>
      </w:r>
      <w:proofErr w:type="spellEnd"/>
      <w:r w:rsidRPr="00FC586A">
        <w:rPr>
          <w:rFonts w:eastAsia="Times New Roman" w:cs="Times New Roman"/>
          <w:i/>
          <w:sz w:val="24"/>
          <w:szCs w:val="24"/>
        </w:rPr>
        <w:t>)</w:t>
      </w:r>
    </w:p>
    <w:p w14:paraId="65B10FCE" w14:textId="77777777" w:rsidR="00FC586A" w:rsidRPr="00FC586A" w:rsidRDefault="00FC586A" w:rsidP="00FC586A">
      <w:pPr>
        <w:ind w:firstLine="709"/>
        <w:rPr>
          <w:rFonts w:eastAsia="Times New Roman" w:cs="Times New Roman"/>
          <w:sz w:val="24"/>
          <w:szCs w:val="24"/>
        </w:rPr>
      </w:pPr>
    </w:p>
    <w:p w14:paraId="54B84E97" w14:textId="0FE26DAF" w:rsidR="00FC586A" w:rsidRPr="00FC586A" w:rsidRDefault="00FC586A" w:rsidP="00D54A07">
      <w:pPr>
        <w:rPr>
          <w:rFonts w:eastAsia="Times New Roman" w:cs="Times New Roman"/>
          <w:sz w:val="24"/>
          <w:szCs w:val="24"/>
        </w:rPr>
      </w:pPr>
      <w:r w:rsidRPr="00FC586A">
        <w:rPr>
          <w:rFonts w:eastAsia="Times New Roman" w:cs="Times New Roman"/>
          <w:sz w:val="24"/>
          <w:szCs w:val="24"/>
        </w:rPr>
        <w:t xml:space="preserve">2023.-2025. gadā kopējās finansēšanas nepieciešamības segšanai tiks izmantoti Valsts kases kontos pieejamie resursi un aizņemšanās pasākumi pamatā finanšu tirgos, pieļaujot arī citu </w:t>
      </w:r>
      <w:r w:rsidRPr="00FC586A">
        <w:rPr>
          <w:rFonts w:eastAsia="Times New Roman" w:cs="Times New Roman"/>
          <w:sz w:val="24"/>
          <w:szCs w:val="24"/>
        </w:rPr>
        <w:lastRenderedPageBreak/>
        <w:t>aizņemšanās instrumentu izmantošanu atkarībā no situācijas finanšu tirgos un procentu likmju tendencēm. Iekšējā finanšu tirgū resursu piesaisti plānots veikt ar apgrozībā esošo eiroobligāciju papildu laidieniem, izmantojot iekšējā finanšu tirgus potenciālu. Aizņemšanos starptautiskajos finanšu tirgos plānots nodrošināt ar publiskām ilgtermiņa etalona apjoma eiroobligāciju emisijām, uzturot iespējami elastīgas finansiāli izdevīgu aizņemšanās instrumentu parametru izvēles iespējas.</w:t>
      </w:r>
    </w:p>
    <w:p w14:paraId="3DABE141" w14:textId="77777777" w:rsidR="00FC586A" w:rsidRPr="00FC586A" w:rsidRDefault="00FC586A" w:rsidP="00D54A07">
      <w:pPr>
        <w:rPr>
          <w:rFonts w:eastAsia="Times New Roman" w:cs="Times New Roman"/>
          <w:sz w:val="24"/>
          <w:szCs w:val="24"/>
        </w:rPr>
      </w:pPr>
      <w:r w:rsidRPr="00FC586A">
        <w:rPr>
          <w:rFonts w:eastAsia="Times New Roman" w:cs="Times New Roman"/>
          <w:sz w:val="24"/>
          <w:szCs w:val="24"/>
        </w:rPr>
        <w:t>2023. gada 1.ceturksnī starptautiskajos finanšu tirgos emitētas jaunas 5 gadu obligācijas 750 milj.</w:t>
      </w:r>
      <w:r w:rsidRPr="00FC586A">
        <w:rPr>
          <w:rFonts w:eastAsia="Times New Roman" w:cs="Times New Roman"/>
          <w:i/>
          <w:sz w:val="24"/>
          <w:szCs w:val="24"/>
        </w:rPr>
        <w:t xml:space="preserve"> </w:t>
      </w:r>
      <w:proofErr w:type="spellStart"/>
      <w:r w:rsidRPr="00FC586A">
        <w:rPr>
          <w:rFonts w:eastAsia="Times New Roman" w:cs="Times New Roman"/>
          <w:i/>
          <w:sz w:val="24"/>
          <w:szCs w:val="24"/>
        </w:rPr>
        <w:t>euro</w:t>
      </w:r>
      <w:proofErr w:type="spellEnd"/>
      <w:r w:rsidRPr="00FC586A">
        <w:rPr>
          <w:rFonts w:eastAsia="Times New Roman" w:cs="Times New Roman"/>
          <w:sz w:val="24"/>
          <w:szCs w:val="24"/>
        </w:rPr>
        <w:t xml:space="preserve"> apmērā, ar ienesīgumu 3,693% un fiksējot kupona likmi 3,500%, bet iekšējā finanšu tirgū veiktas apgrozībā esošo 2026., 2028., 2029. un 2031. gadā dzēšamo eiroobligāciju papildu laidiena izsoles 385 milj. </w:t>
      </w:r>
      <w:proofErr w:type="spellStart"/>
      <w:r w:rsidRPr="00FC586A">
        <w:rPr>
          <w:rFonts w:eastAsia="Times New Roman" w:cs="Times New Roman"/>
          <w:i/>
          <w:sz w:val="24"/>
          <w:szCs w:val="24"/>
        </w:rPr>
        <w:t>euro</w:t>
      </w:r>
      <w:proofErr w:type="spellEnd"/>
      <w:r w:rsidRPr="00FC586A">
        <w:rPr>
          <w:rFonts w:eastAsia="Times New Roman" w:cs="Times New Roman"/>
          <w:i/>
          <w:sz w:val="24"/>
          <w:szCs w:val="24"/>
        </w:rPr>
        <w:t xml:space="preserve"> </w:t>
      </w:r>
      <w:r w:rsidRPr="00FC586A">
        <w:rPr>
          <w:rFonts w:eastAsia="Times New Roman" w:cs="Times New Roman"/>
          <w:sz w:val="24"/>
          <w:szCs w:val="24"/>
        </w:rPr>
        <w:t>apmērā.</w:t>
      </w:r>
    </w:p>
    <w:p w14:paraId="05ED51C2" w14:textId="6C34A6DA" w:rsidR="00FC586A" w:rsidRPr="00FC586A" w:rsidRDefault="00FC586A" w:rsidP="006B6CA3">
      <w:pPr>
        <w:spacing w:after="120"/>
        <w:rPr>
          <w:rFonts w:eastAsia="Times New Roman" w:cs="Times New Roman"/>
          <w:sz w:val="24"/>
          <w:szCs w:val="24"/>
        </w:rPr>
      </w:pPr>
      <w:r w:rsidRPr="00FC586A">
        <w:rPr>
          <w:rFonts w:eastAsia="Times New Roman" w:cs="Times New Roman"/>
          <w:sz w:val="24"/>
          <w:szCs w:val="24"/>
        </w:rPr>
        <w:t>Atbalsta pasākumu īstenošana energoresursu cenu pieauguma kompensēšanai, kā arī papildu izdevumi valsts aizsardzības kapacitātes stiprināšanai turpinās ietekmēt valsts parāda tendences vidējā termiņā (</w:t>
      </w:r>
      <w:r w:rsidRPr="00BA03D2">
        <w:rPr>
          <w:rFonts w:eastAsia="Times New Roman" w:cs="Times New Roman"/>
          <w:sz w:val="24"/>
          <w:szCs w:val="24"/>
        </w:rPr>
        <w:t>sk. 3.</w:t>
      </w:r>
      <w:r w:rsidR="00BA03D2" w:rsidRPr="00BA03D2">
        <w:rPr>
          <w:rFonts w:eastAsia="Times New Roman" w:cs="Times New Roman"/>
          <w:sz w:val="24"/>
          <w:szCs w:val="24"/>
        </w:rPr>
        <w:t>8.</w:t>
      </w:r>
      <w:r w:rsidRPr="00BA03D2">
        <w:rPr>
          <w:rFonts w:eastAsia="Times New Roman" w:cs="Times New Roman"/>
          <w:sz w:val="24"/>
          <w:szCs w:val="24"/>
        </w:rPr>
        <w:t xml:space="preserve"> attēlu</w:t>
      </w:r>
      <w:r w:rsidRPr="00FC586A">
        <w:rPr>
          <w:rFonts w:eastAsia="Times New Roman" w:cs="Times New Roman"/>
          <w:sz w:val="24"/>
          <w:szCs w:val="24"/>
        </w:rPr>
        <w:t>).</w:t>
      </w:r>
    </w:p>
    <w:p w14:paraId="7C663C77" w14:textId="77777777" w:rsidR="00FC586A" w:rsidRPr="00FC586A" w:rsidRDefault="00FC586A" w:rsidP="00FC586A">
      <w:pPr>
        <w:ind w:firstLine="0"/>
        <w:jc w:val="center"/>
        <w:rPr>
          <w:rFonts w:eastAsia="Times New Roman" w:cs="Times New Roman"/>
          <w:b/>
          <w:i/>
          <w:sz w:val="24"/>
          <w:szCs w:val="24"/>
        </w:rPr>
      </w:pPr>
      <w:r w:rsidRPr="00FC586A">
        <w:rPr>
          <w:rFonts w:eastAsia="Times New Roman" w:cs="Times New Roman"/>
          <w:b/>
          <w:i/>
          <w:noProof/>
          <w:sz w:val="24"/>
          <w:szCs w:val="24"/>
          <w:lang w:eastAsia="lv-LV"/>
        </w:rPr>
        <w:drawing>
          <wp:inline distT="0" distB="0" distL="0" distR="0" wp14:anchorId="08548AA3" wp14:editId="2E57362E">
            <wp:extent cx="4786837" cy="2368550"/>
            <wp:effectExtent l="0" t="0" r="0" b="0"/>
            <wp:docPr id="39" name="Picture 39"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Chart&#10;&#10;Description automatically generated with medium confidenc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796215" cy="2373190"/>
                    </a:xfrm>
                    <a:prstGeom prst="rect">
                      <a:avLst/>
                    </a:prstGeom>
                    <a:noFill/>
                  </pic:spPr>
                </pic:pic>
              </a:graphicData>
            </a:graphic>
          </wp:inline>
        </w:drawing>
      </w:r>
    </w:p>
    <w:p w14:paraId="792A9BE3" w14:textId="77777777" w:rsidR="00FC586A" w:rsidRPr="00FC586A" w:rsidRDefault="00FC586A" w:rsidP="00FC586A">
      <w:pPr>
        <w:jc w:val="left"/>
        <w:rPr>
          <w:rFonts w:eastAsia="Times New Roman" w:cs="Times New Roman"/>
          <w:i/>
          <w:sz w:val="20"/>
          <w:szCs w:val="24"/>
        </w:rPr>
      </w:pPr>
      <w:r w:rsidRPr="00FC586A">
        <w:rPr>
          <w:rFonts w:eastAsia="Times New Roman" w:cs="Times New Roman"/>
          <w:i/>
          <w:sz w:val="18"/>
          <w:szCs w:val="24"/>
        </w:rPr>
        <w:t>* operatīvais novērtējums</w:t>
      </w:r>
    </w:p>
    <w:p w14:paraId="72AB3AA3" w14:textId="6D28582B" w:rsidR="00FC586A" w:rsidRPr="00FC586A" w:rsidRDefault="00FC586A" w:rsidP="00FC586A">
      <w:pPr>
        <w:ind w:firstLine="0"/>
        <w:jc w:val="center"/>
        <w:rPr>
          <w:rFonts w:eastAsia="Times New Roman" w:cs="Times New Roman"/>
          <w:i/>
          <w:sz w:val="24"/>
          <w:szCs w:val="24"/>
        </w:rPr>
      </w:pPr>
      <w:r w:rsidRPr="00BA03D2">
        <w:rPr>
          <w:rFonts w:eastAsia="Times New Roman" w:cs="Times New Roman"/>
          <w:b/>
          <w:i/>
          <w:sz w:val="24"/>
          <w:szCs w:val="24"/>
        </w:rPr>
        <w:t>3</w:t>
      </w:r>
      <w:r w:rsidR="00BA03D2" w:rsidRPr="00BA03D2">
        <w:rPr>
          <w:rFonts w:eastAsia="Times New Roman" w:cs="Times New Roman"/>
          <w:b/>
          <w:i/>
          <w:sz w:val="24"/>
          <w:szCs w:val="24"/>
        </w:rPr>
        <w:t>.8</w:t>
      </w:r>
      <w:r w:rsidR="00BA03D2">
        <w:rPr>
          <w:rFonts w:eastAsia="Times New Roman" w:cs="Times New Roman"/>
          <w:b/>
          <w:i/>
          <w:sz w:val="24"/>
          <w:szCs w:val="24"/>
        </w:rPr>
        <w:t>.</w:t>
      </w:r>
      <w:r w:rsidRPr="00BA03D2">
        <w:rPr>
          <w:rFonts w:eastAsia="Times New Roman" w:cs="Times New Roman"/>
          <w:b/>
          <w:i/>
          <w:sz w:val="24"/>
          <w:szCs w:val="24"/>
        </w:rPr>
        <w:t xml:space="preserve"> att</w:t>
      </w:r>
      <w:r w:rsidRPr="00FC586A">
        <w:rPr>
          <w:rFonts w:eastAsia="Times New Roman" w:cs="Times New Roman"/>
          <w:b/>
          <w:i/>
          <w:sz w:val="24"/>
          <w:szCs w:val="24"/>
        </w:rPr>
        <w:t xml:space="preserve">. </w:t>
      </w:r>
      <w:r w:rsidRPr="00FC586A">
        <w:rPr>
          <w:rFonts w:eastAsia="Times New Roman" w:cs="Times New Roman"/>
          <w:b/>
          <w:i/>
          <w:sz w:val="24"/>
          <w:szCs w:val="26"/>
        </w:rPr>
        <w:t xml:space="preserve">Vispārējās valdības parāda attīstības tendences </w:t>
      </w:r>
    </w:p>
    <w:p w14:paraId="2DF58410" w14:textId="77777777" w:rsidR="00FC586A" w:rsidRPr="00FC586A" w:rsidRDefault="00FC586A" w:rsidP="00FC586A">
      <w:pPr>
        <w:ind w:firstLine="0"/>
        <w:jc w:val="center"/>
        <w:rPr>
          <w:rFonts w:eastAsia="Times New Roman" w:cs="Times New Roman"/>
          <w:szCs w:val="24"/>
        </w:rPr>
      </w:pPr>
    </w:p>
    <w:p w14:paraId="3ED8359A" w14:textId="73E0E8C3" w:rsidR="00FC586A" w:rsidRPr="00FC586A" w:rsidRDefault="00FC586A" w:rsidP="00FC586A">
      <w:pPr>
        <w:spacing w:after="120"/>
        <w:ind w:firstLine="709"/>
        <w:rPr>
          <w:rFonts w:eastAsia="Times New Roman" w:cs="Times New Roman"/>
          <w:sz w:val="24"/>
          <w:szCs w:val="24"/>
        </w:rPr>
      </w:pPr>
      <w:r w:rsidRPr="00FC586A">
        <w:rPr>
          <w:rFonts w:eastAsia="Times New Roman" w:cs="Times New Roman"/>
          <w:sz w:val="24"/>
          <w:szCs w:val="24"/>
        </w:rPr>
        <w:t xml:space="preserve">Sagaidāms, ka vidējā termiņā </w:t>
      </w:r>
      <w:r>
        <w:rPr>
          <w:rFonts w:eastAsia="Times New Roman" w:cs="Times New Roman"/>
          <w:sz w:val="24"/>
          <w:szCs w:val="24"/>
        </w:rPr>
        <w:t>FDL</w:t>
      </w:r>
      <w:r w:rsidRPr="00FC586A">
        <w:rPr>
          <w:rFonts w:eastAsia="Times New Roman" w:cs="Times New Roman"/>
          <w:sz w:val="24"/>
          <w:szCs w:val="24"/>
        </w:rPr>
        <w:t xml:space="preserve"> noteiktais parāda nosacījums 60% no IKP tiks ievērots un Latvijas vispārējās valdības parāds stabilizēsies līmenī zem 40% no IKP. </w:t>
      </w:r>
    </w:p>
    <w:p w14:paraId="46605000" w14:textId="21955866" w:rsidR="00BF4753" w:rsidRPr="00085AFE" w:rsidRDefault="00FC586A" w:rsidP="00FC586A">
      <w:pPr>
        <w:spacing w:after="160" w:line="259" w:lineRule="auto"/>
        <w:ind w:firstLine="0"/>
        <w:jc w:val="left"/>
        <w:rPr>
          <w:highlight w:val="lightGray"/>
        </w:rPr>
      </w:pPr>
      <w:r>
        <w:rPr>
          <w:highlight w:val="lightGray"/>
        </w:rPr>
        <w:br w:type="page"/>
      </w:r>
    </w:p>
    <w:p w14:paraId="25CC823A" w14:textId="07B0C86B" w:rsidR="00BF4753" w:rsidRPr="001B7A97" w:rsidRDefault="00BF4753" w:rsidP="00FC586A">
      <w:pPr>
        <w:pStyle w:val="Heading1"/>
        <w:spacing w:before="0"/>
        <w:rPr>
          <w:sz w:val="32"/>
          <w:szCs w:val="32"/>
        </w:rPr>
      </w:pPr>
      <w:bookmarkStart w:id="45" w:name="_Toc131331245"/>
      <w:r w:rsidRPr="001B7A97">
        <w:rPr>
          <w:sz w:val="32"/>
          <w:szCs w:val="32"/>
        </w:rPr>
        <w:lastRenderedPageBreak/>
        <w:t>4. Jutīguma analīze un salīdzinājums</w:t>
      </w:r>
      <w:bookmarkEnd w:id="45"/>
    </w:p>
    <w:p w14:paraId="75440C64" w14:textId="0E9AE0F3" w:rsidR="00A120D9" w:rsidRPr="001B7A97" w:rsidRDefault="00A120D9" w:rsidP="00A120D9">
      <w:pPr>
        <w:pStyle w:val="Heading2"/>
        <w:numPr>
          <w:ilvl w:val="0"/>
          <w:numId w:val="0"/>
        </w:numPr>
        <w:spacing w:before="240" w:after="240"/>
        <w:rPr>
          <w:rFonts w:eastAsia="Times New Roman"/>
          <w:sz w:val="28"/>
          <w:szCs w:val="24"/>
          <w:lang w:eastAsia="lv-LV"/>
        </w:rPr>
      </w:pPr>
      <w:bookmarkStart w:id="46" w:name="_Toc68335005"/>
      <w:bookmarkStart w:id="47" w:name="_Toc131331246"/>
      <w:r w:rsidRPr="001B7A97">
        <w:rPr>
          <w:rFonts w:eastAsia="Times New Roman"/>
          <w:sz w:val="28"/>
          <w:szCs w:val="24"/>
          <w:lang w:eastAsia="lv-LV"/>
        </w:rPr>
        <w:t xml:space="preserve">4.1. </w:t>
      </w:r>
      <w:r w:rsidRPr="00636020">
        <w:rPr>
          <w:rFonts w:eastAsia="Times New Roman"/>
          <w:sz w:val="28"/>
          <w:szCs w:val="24"/>
          <w:lang w:eastAsia="lv-LV"/>
        </w:rPr>
        <w:t>Makroekonomiskā scenārija riski</w:t>
      </w:r>
      <w:bookmarkEnd w:id="46"/>
      <w:bookmarkEnd w:id="47"/>
    </w:p>
    <w:p w14:paraId="4806BC80" w14:textId="2BA810A1" w:rsidR="001B7A97" w:rsidRPr="00766520" w:rsidRDefault="001B7A97" w:rsidP="001B7A97">
      <w:pPr>
        <w:autoSpaceDE w:val="0"/>
        <w:autoSpaceDN w:val="0"/>
        <w:adjustRightInd w:val="0"/>
        <w:rPr>
          <w:sz w:val="24"/>
          <w:szCs w:val="20"/>
        </w:rPr>
      </w:pPr>
      <w:r w:rsidRPr="008B07EC">
        <w:rPr>
          <w:sz w:val="24"/>
          <w:szCs w:val="20"/>
        </w:rPr>
        <w:t>Vidējā termiņa makroekonomiskās attīstības scenārij</w:t>
      </w:r>
      <w:r>
        <w:rPr>
          <w:sz w:val="24"/>
          <w:szCs w:val="20"/>
        </w:rPr>
        <w:t xml:space="preserve">u pamatā ir </w:t>
      </w:r>
      <w:r w:rsidRPr="008B07EC">
        <w:rPr>
          <w:sz w:val="24"/>
          <w:szCs w:val="20"/>
        </w:rPr>
        <w:t>konservatīvi pieņēmumi attiecībā uz ekonomisko izaugsmi vidējā laika posmā</w:t>
      </w:r>
      <w:r>
        <w:rPr>
          <w:sz w:val="24"/>
          <w:szCs w:val="20"/>
        </w:rPr>
        <w:t xml:space="preserve"> un m</w:t>
      </w:r>
      <w:r w:rsidRPr="00766520">
        <w:rPr>
          <w:sz w:val="24"/>
          <w:szCs w:val="20"/>
        </w:rPr>
        <w:t xml:space="preserve">akroekonomiskās attīstības scenārijs joprojām ir izstrādāts augstas nenoteiktības apstākļos. </w:t>
      </w:r>
      <w:r>
        <w:rPr>
          <w:sz w:val="24"/>
          <w:szCs w:val="20"/>
        </w:rPr>
        <w:t xml:space="preserve">Tajā pašā laikā </w:t>
      </w:r>
      <w:r w:rsidRPr="00766520">
        <w:rPr>
          <w:sz w:val="24"/>
          <w:szCs w:val="20"/>
        </w:rPr>
        <w:t xml:space="preserve">scenārija prognožu </w:t>
      </w:r>
      <w:proofErr w:type="spellStart"/>
      <w:r w:rsidRPr="00766520">
        <w:rPr>
          <w:sz w:val="24"/>
          <w:szCs w:val="20"/>
        </w:rPr>
        <w:t>augšupvērstie</w:t>
      </w:r>
      <w:proofErr w:type="spellEnd"/>
      <w:r w:rsidRPr="00766520">
        <w:rPr>
          <w:sz w:val="24"/>
          <w:szCs w:val="20"/>
        </w:rPr>
        <w:t xml:space="preserve"> un lejupvērstie riski pašlaik ir sabalansēti. Ekonomikas tālāko attīstību lielā mērā ietekmēs energoresursu piegādes kanālu efektivitāte pēc Krievijas energoresursu importa apturēšanas, un riski ir saistīti ar iespējamiem plašākiem piegāžu traucējumiem, kas var radīt energoresursu un citu preču piedāvājuma samazinājumu un būtiski palielināt to cenas, īpaši sākoties jaunajai apkures sezonai</w:t>
      </w:r>
      <w:r>
        <w:rPr>
          <w:sz w:val="24"/>
          <w:szCs w:val="20"/>
        </w:rPr>
        <w:t>.</w:t>
      </w:r>
    </w:p>
    <w:p w14:paraId="457A669F" w14:textId="77777777" w:rsidR="001B7A97" w:rsidRPr="00766520" w:rsidRDefault="001B7A97" w:rsidP="001B7A97">
      <w:pPr>
        <w:autoSpaceDE w:val="0"/>
        <w:autoSpaceDN w:val="0"/>
        <w:adjustRightInd w:val="0"/>
        <w:rPr>
          <w:sz w:val="24"/>
          <w:szCs w:val="20"/>
        </w:rPr>
      </w:pPr>
      <w:r>
        <w:rPr>
          <w:sz w:val="24"/>
          <w:szCs w:val="20"/>
        </w:rPr>
        <w:t>S</w:t>
      </w:r>
      <w:r w:rsidRPr="00766520">
        <w:rPr>
          <w:sz w:val="24"/>
          <w:szCs w:val="20"/>
        </w:rPr>
        <w:t>traujāka cenu pieauguma ietekmē ekonomikas izaugsmes tempi var izrādīties būtiski zemāki, sarūkot privātā patēriņa un privāto investīciju apjomiem. Papildus tam, patērētāju un uzņēmēju konfidenci var pasliktināt tālāka ģeopolitiskās situācijas saasināšanās un karadarbības paplašināšanās, liekot atteikties no investīcijām reģionā</w:t>
      </w:r>
      <w:r>
        <w:rPr>
          <w:sz w:val="24"/>
          <w:szCs w:val="20"/>
        </w:rPr>
        <w:t>.</w:t>
      </w:r>
    </w:p>
    <w:p w14:paraId="03BFBFBA" w14:textId="77777777" w:rsidR="001B7A97" w:rsidRDefault="001B7A97" w:rsidP="001B7A97">
      <w:pPr>
        <w:autoSpaceDE w:val="0"/>
        <w:autoSpaceDN w:val="0"/>
        <w:adjustRightInd w:val="0"/>
        <w:rPr>
          <w:sz w:val="24"/>
          <w:szCs w:val="20"/>
        </w:rPr>
      </w:pPr>
      <w:r>
        <w:rPr>
          <w:sz w:val="24"/>
          <w:szCs w:val="20"/>
        </w:rPr>
        <w:t>N</w:t>
      </w:r>
      <w:r w:rsidRPr="00766520">
        <w:rPr>
          <w:sz w:val="24"/>
          <w:szCs w:val="20"/>
        </w:rPr>
        <w:t>egatīvie riski ietver arī pamazām pieaugošo spriedzi darba tirgū, samazinoties darbspējas vecuma iedzīvotāju skaitam un pieaugot algām, kas var mazināt uzņēmumu konkurētspēju.</w:t>
      </w:r>
    </w:p>
    <w:p w14:paraId="4E9C609F" w14:textId="3FC7A5EC" w:rsidR="00A120D9" w:rsidRDefault="001B7A97" w:rsidP="001B7A97">
      <w:pPr>
        <w:autoSpaceDE w:val="0"/>
        <w:autoSpaceDN w:val="0"/>
        <w:adjustRightInd w:val="0"/>
        <w:rPr>
          <w:sz w:val="24"/>
          <w:szCs w:val="20"/>
        </w:rPr>
      </w:pPr>
      <w:r>
        <w:rPr>
          <w:sz w:val="24"/>
          <w:szCs w:val="20"/>
        </w:rPr>
        <w:t>Savukārt pozitīvie riski pēc būtības ir pretēji negatīvajiem, proti – energoresursu cenas un ģeopolitiskie riski samazināsies. Krievijas un Ukrainas konfliktam norimstot, uzlabosies arī uzņēmēju noskaņojums.</w:t>
      </w:r>
    </w:p>
    <w:p w14:paraId="69351337" w14:textId="77777777" w:rsidR="001B7A97" w:rsidRPr="001B7A97" w:rsidRDefault="001B7A97" w:rsidP="001B7A97">
      <w:pPr>
        <w:autoSpaceDE w:val="0"/>
        <w:autoSpaceDN w:val="0"/>
        <w:adjustRightInd w:val="0"/>
        <w:rPr>
          <w:sz w:val="24"/>
          <w:szCs w:val="20"/>
        </w:rPr>
      </w:pPr>
    </w:p>
    <w:p w14:paraId="2EF5760C" w14:textId="77777777" w:rsidR="00A120D9" w:rsidRPr="00517641" w:rsidRDefault="00A120D9" w:rsidP="001B7A97">
      <w:pPr>
        <w:pStyle w:val="Heading2"/>
        <w:numPr>
          <w:ilvl w:val="0"/>
          <w:numId w:val="0"/>
        </w:numPr>
        <w:spacing w:before="0" w:after="240"/>
        <w:rPr>
          <w:rFonts w:eastAsia="Times New Roman"/>
          <w:sz w:val="28"/>
          <w:lang w:eastAsia="lv-LV"/>
        </w:rPr>
      </w:pPr>
      <w:bookmarkStart w:id="48" w:name="_Toc68335006"/>
      <w:bookmarkStart w:id="49" w:name="_Toc510790669"/>
      <w:bookmarkStart w:id="50" w:name="_Toc5627376"/>
      <w:bookmarkStart w:id="51" w:name="_Toc5693315"/>
      <w:bookmarkStart w:id="52" w:name="_Toc131331247"/>
      <w:r w:rsidRPr="00517641">
        <w:rPr>
          <w:rFonts w:eastAsia="Times New Roman"/>
          <w:sz w:val="28"/>
          <w:lang w:eastAsia="lv-LV"/>
        </w:rPr>
        <w:t>4.2. Jutīguma analīze</w:t>
      </w:r>
      <w:bookmarkEnd w:id="48"/>
      <w:r w:rsidRPr="00517641">
        <w:rPr>
          <w:rFonts w:eastAsia="Times New Roman"/>
          <w:sz w:val="28"/>
          <w:lang w:eastAsia="lv-LV"/>
        </w:rPr>
        <w:t xml:space="preserve"> – pesimistiskais scenārijs</w:t>
      </w:r>
      <w:bookmarkEnd w:id="52"/>
    </w:p>
    <w:bookmarkEnd w:id="49"/>
    <w:bookmarkEnd w:id="50"/>
    <w:bookmarkEnd w:id="51"/>
    <w:p w14:paraId="01E1791E" w14:textId="7050E8D2" w:rsidR="004D1DFA" w:rsidRPr="00517641" w:rsidRDefault="004D1DFA" w:rsidP="004D1DFA">
      <w:pPr>
        <w:pStyle w:val="H4"/>
        <w:ind w:left="0" w:firstLine="720"/>
        <w:jc w:val="both"/>
        <w:rPr>
          <w:rFonts w:ascii="Times New Roman" w:hAnsi="Times New Roman"/>
          <w:iCs/>
          <w:sz w:val="24"/>
          <w:szCs w:val="22"/>
        </w:rPr>
      </w:pPr>
      <w:r w:rsidRPr="00517641">
        <w:rPr>
          <w:rFonts w:ascii="Times New Roman" w:hAnsi="Times New Roman"/>
          <w:iCs/>
          <w:sz w:val="24"/>
          <w:szCs w:val="22"/>
        </w:rPr>
        <w:t>Ietekme uz ekonomiku</w:t>
      </w:r>
    </w:p>
    <w:p w14:paraId="41F021FB" w14:textId="77777777" w:rsidR="004D1DFA" w:rsidRPr="00517641" w:rsidRDefault="004D1DFA" w:rsidP="004D1DFA">
      <w:pPr>
        <w:autoSpaceDE w:val="0"/>
        <w:autoSpaceDN w:val="0"/>
        <w:adjustRightInd w:val="0"/>
        <w:rPr>
          <w:rFonts w:eastAsia="Times New Roman" w:cs="Times New Roman"/>
          <w:sz w:val="24"/>
          <w:szCs w:val="24"/>
          <w:lang w:eastAsia="lv-LV"/>
        </w:rPr>
      </w:pPr>
      <w:bookmarkStart w:id="53" w:name="_Hlk127201895"/>
      <w:r w:rsidRPr="00517641">
        <w:rPr>
          <w:rFonts w:eastAsia="Times New Roman" w:cs="Times New Roman"/>
          <w:sz w:val="24"/>
          <w:szCs w:val="24"/>
          <w:lang w:eastAsia="lv-LV"/>
        </w:rPr>
        <w:t>Pesimistiskais scenārijs paredz, ka gada otrajā pusē no jauna saasinātos enerģētikas krīze Eiropā, ko izraisītu pieprasījuma pieaugums Ķīnā un piegāžu ķēžu nespēja apmierināt pieprasījumu pēc gāzes un naftas. Nevar izslēgt arī ģeopolitiskās situācijas tālāku saasināšanos, kas vēl vairāk mazinātu konfidenci reģionā. Tādā gadījumā energoresursu cenas atgrieztos tādos augstumos, kādos tās bija pērnā gada beigās, ietekmējot inflāciju un bremzējot privāto patēriņu. Papildus tam arī mazinātos ES fondu līdzekļu ieplūde, līdz ar to investīcijas samazinātos arī nominālā izteiksmē.</w:t>
      </w:r>
    </w:p>
    <w:p w14:paraId="345468DD" w14:textId="356E4197" w:rsidR="004D1DFA" w:rsidRPr="00517641" w:rsidRDefault="004D1DFA" w:rsidP="004D1DFA">
      <w:pPr>
        <w:autoSpaceDE w:val="0"/>
        <w:autoSpaceDN w:val="0"/>
        <w:adjustRightInd w:val="0"/>
        <w:rPr>
          <w:rFonts w:eastAsia="Times New Roman" w:cs="Times New Roman"/>
          <w:sz w:val="24"/>
          <w:lang w:eastAsia="lv-LV"/>
        </w:rPr>
      </w:pPr>
      <w:r w:rsidRPr="00517641">
        <w:rPr>
          <w:rFonts w:eastAsia="Times New Roman" w:cs="Times New Roman"/>
          <w:sz w:val="24"/>
          <w:szCs w:val="24"/>
          <w:lang w:eastAsia="lv-LV"/>
        </w:rPr>
        <w:t xml:space="preserve"> Atbilstoši pesimistiskajam scenārijam Latvijas ekonomika var piedzīvot straujāku izaugsmes tempu samazinājumu nekā bāzes scenārijā. Tā rezultātā 2023. gadā </w:t>
      </w:r>
      <w:r w:rsidR="00517641" w:rsidRPr="00517641">
        <w:rPr>
          <w:rFonts w:eastAsia="Times New Roman" w:cs="Times New Roman"/>
          <w:sz w:val="24"/>
          <w:szCs w:val="24"/>
          <w:lang w:eastAsia="lv-LV"/>
        </w:rPr>
        <w:t>IKP</w:t>
      </w:r>
      <w:r w:rsidRPr="00517641">
        <w:rPr>
          <w:rFonts w:eastAsia="Times New Roman" w:cs="Times New Roman"/>
          <w:sz w:val="24"/>
          <w:szCs w:val="24"/>
          <w:lang w:eastAsia="lv-LV"/>
        </w:rPr>
        <w:t xml:space="preserve"> salīdzināmās cenās varētu samazināties par 1,2% un 2024. gadā tikai nenozīmīgi palielināties par 0,5%, savukārt noturīgāka izaugsme atsāktos tikai 2025. gadā. Šajos gados izaugsme būtu par </w:t>
      </w:r>
      <w:r w:rsidRPr="00517641">
        <w:rPr>
          <w:rFonts w:eastAsia="Times New Roman" w:cs="Times New Roman"/>
          <w:sz w:val="24"/>
          <w:lang w:eastAsia="lv-LV"/>
        </w:rPr>
        <w:t>0,9 </w:t>
      </w:r>
      <w:r w:rsidRPr="00517641">
        <w:rPr>
          <w:rFonts w:eastAsia="Times New Roman" w:cs="Times New Roman"/>
          <w:sz w:val="24"/>
          <w:lang w:eastAsia="lv-LV"/>
        </w:rPr>
        <w:noBreakHyphen/>
        <w:t> 1,5 procentpunktiem lēnāka nekā bāzes scenārijā.</w:t>
      </w:r>
    </w:p>
    <w:p w14:paraId="2547A620" w14:textId="77777777" w:rsidR="004D1DFA" w:rsidRPr="004D1DFA" w:rsidRDefault="004D1DFA" w:rsidP="004D1DFA">
      <w:pPr>
        <w:autoSpaceDE w:val="0"/>
        <w:autoSpaceDN w:val="0"/>
        <w:adjustRightInd w:val="0"/>
        <w:rPr>
          <w:rFonts w:eastAsia="Times New Roman" w:cs="Times New Roman"/>
          <w:sz w:val="24"/>
          <w:szCs w:val="24"/>
          <w:highlight w:val="yellow"/>
          <w:lang w:eastAsia="lv-LV"/>
        </w:rPr>
      </w:pPr>
    </w:p>
    <w:p w14:paraId="48BCEA2C" w14:textId="77777777" w:rsidR="004D1DFA" w:rsidRPr="00BA73EA" w:rsidRDefault="004D1DFA" w:rsidP="004D1DFA">
      <w:pPr>
        <w:autoSpaceDE w:val="0"/>
        <w:autoSpaceDN w:val="0"/>
        <w:adjustRightInd w:val="0"/>
        <w:spacing w:after="120"/>
        <w:jc w:val="right"/>
        <w:rPr>
          <w:rFonts w:cs="Times New Roman"/>
          <w:b/>
          <w:iCs/>
          <w:sz w:val="24"/>
          <w:szCs w:val="24"/>
        </w:rPr>
      </w:pPr>
      <w:r w:rsidRPr="00BA73EA">
        <w:rPr>
          <w:rFonts w:cs="Times New Roman"/>
          <w:b/>
          <w:iCs/>
          <w:sz w:val="24"/>
          <w:szCs w:val="24"/>
        </w:rPr>
        <w:t>4.1. tabula. Pesimistiskais makroekonomiskais scenārijs</w:t>
      </w:r>
    </w:p>
    <w:tbl>
      <w:tblPr>
        <w:tblStyle w:val="GridTable6Colorful-Accent12"/>
        <w:tblW w:w="9209" w:type="dxa"/>
        <w:jc w:val="center"/>
        <w:tblLayout w:type="fixed"/>
        <w:tblCellMar>
          <w:left w:w="57" w:type="dxa"/>
          <w:right w:w="57" w:type="dxa"/>
        </w:tblCellMar>
        <w:tblLook w:val="04A0" w:firstRow="1" w:lastRow="0" w:firstColumn="1" w:lastColumn="0" w:noHBand="0" w:noVBand="1"/>
      </w:tblPr>
      <w:tblGrid>
        <w:gridCol w:w="3397"/>
        <w:gridCol w:w="726"/>
        <w:gridCol w:w="727"/>
        <w:gridCol w:w="726"/>
        <w:gridCol w:w="727"/>
        <w:gridCol w:w="726"/>
        <w:gridCol w:w="727"/>
        <w:gridCol w:w="726"/>
        <w:gridCol w:w="727"/>
      </w:tblGrid>
      <w:tr w:rsidR="004D1DFA" w:rsidRPr="00517641" w14:paraId="2503A219" w14:textId="77777777" w:rsidTr="004902D1">
        <w:trPr>
          <w:cnfStyle w:val="100000000000" w:firstRow="1" w:lastRow="0" w:firstColumn="0" w:lastColumn="0" w:oddVBand="0" w:evenVBand="0" w:oddHBand="0" w:evenHBand="0" w:firstRowFirstColumn="0" w:firstRowLastColumn="0" w:lastRowFirstColumn="0" w:lastRowLastColumn="0"/>
          <w:trHeight w:val="283"/>
          <w:tblHeader/>
          <w:jc w:val="center"/>
        </w:trPr>
        <w:tc>
          <w:tcPr>
            <w:cnfStyle w:val="001000000000" w:firstRow="0" w:lastRow="0" w:firstColumn="1" w:lastColumn="0" w:oddVBand="0" w:evenVBand="0" w:oddHBand="0" w:evenHBand="0" w:firstRowFirstColumn="0" w:firstRowLastColumn="0" w:lastRowFirstColumn="0" w:lastRowLastColumn="0"/>
            <w:tcW w:w="3397" w:type="dxa"/>
            <w:noWrap/>
            <w:vAlign w:val="center"/>
          </w:tcPr>
          <w:p w14:paraId="12707DF1" w14:textId="77777777" w:rsidR="004D1DFA" w:rsidRPr="00517641" w:rsidRDefault="004D1DFA" w:rsidP="00277007">
            <w:pPr>
              <w:spacing w:before="100" w:beforeAutospacing="1" w:after="100" w:afterAutospacing="1"/>
              <w:rPr>
                <w:rFonts w:cs="Times New Roman"/>
                <w:b w:val="0"/>
                <w:color w:val="auto"/>
                <w:sz w:val="18"/>
                <w:szCs w:val="18"/>
              </w:rPr>
            </w:pPr>
          </w:p>
        </w:tc>
        <w:tc>
          <w:tcPr>
            <w:tcW w:w="2906" w:type="dxa"/>
            <w:gridSpan w:val="4"/>
            <w:tcBorders>
              <w:right w:val="double" w:sz="4" w:space="0" w:color="9CC2E5" w:themeColor="accent1" w:themeTint="99"/>
            </w:tcBorders>
            <w:noWrap/>
            <w:vAlign w:val="center"/>
          </w:tcPr>
          <w:p w14:paraId="009C45DF" w14:textId="77777777" w:rsidR="004D1DFA" w:rsidRPr="00517641" w:rsidRDefault="004D1DFA" w:rsidP="00277007">
            <w:pPr>
              <w:spacing w:before="100" w:beforeAutospacing="1" w:after="100" w:afterAutospacing="1"/>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color w:val="auto"/>
                <w:sz w:val="18"/>
                <w:szCs w:val="18"/>
              </w:rPr>
            </w:pPr>
            <w:r w:rsidRPr="00517641">
              <w:rPr>
                <w:rFonts w:cs="Times New Roman"/>
                <w:b w:val="0"/>
                <w:color w:val="auto"/>
                <w:sz w:val="18"/>
                <w:szCs w:val="18"/>
              </w:rPr>
              <w:t>Pesimistiskais scenārijs</w:t>
            </w:r>
          </w:p>
        </w:tc>
        <w:tc>
          <w:tcPr>
            <w:tcW w:w="2906" w:type="dxa"/>
            <w:gridSpan w:val="4"/>
            <w:tcBorders>
              <w:left w:val="double" w:sz="4" w:space="0" w:color="9CC2E5" w:themeColor="accent1" w:themeTint="99"/>
            </w:tcBorders>
            <w:noWrap/>
            <w:vAlign w:val="center"/>
          </w:tcPr>
          <w:p w14:paraId="06311BC9" w14:textId="77777777" w:rsidR="004D1DFA" w:rsidRPr="00517641" w:rsidRDefault="004D1DFA" w:rsidP="00277007">
            <w:pPr>
              <w:spacing w:before="100" w:beforeAutospacing="1" w:after="100" w:afterAutospacing="1"/>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color w:val="auto"/>
                <w:sz w:val="18"/>
                <w:szCs w:val="18"/>
              </w:rPr>
            </w:pPr>
            <w:r w:rsidRPr="00517641">
              <w:rPr>
                <w:rFonts w:cs="Times New Roman"/>
                <w:b w:val="0"/>
                <w:color w:val="auto"/>
                <w:sz w:val="18"/>
                <w:szCs w:val="18"/>
              </w:rPr>
              <w:t>Novirze no bāzes scenārija</w:t>
            </w:r>
          </w:p>
        </w:tc>
      </w:tr>
      <w:tr w:rsidR="004D1DFA" w:rsidRPr="00517641" w14:paraId="1E3BEE3A" w14:textId="77777777" w:rsidTr="00277007">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3397" w:type="dxa"/>
            <w:noWrap/>
            <w:vAlign w:val="center"/>
          </w:tcPr>
          <w:p w14:paraId="176E6146" w14:textId="77777777" w:rsidR="004D1DFA" w:rsidRPr="00517641" w:rsidRDefault="004D1DFA" w:rsidP="00277007">
            <w:pPr>
              <w:spacing w:before="100" w:beforeAutospacing="1" w:after="100" w:afterAutospacing="1"/>
              <w:rPr>
                <w:rFonts w:cs="Times New Roman"/>
                <w:b w:val="0"/>
                <w:color w:val="auto"/>
                <w:sz w:val="18"/>
                <w:szCs w:val="18"/>
              </w:rPr>
            </w:pPr>
          </w:p>
        </w:tc>
        <w:tc>
          <w:tcPr>
            <w:tcW w:w="726" w:type="dxa"/>
            <w:noWrap/>
            <w:vAlign w:val="center"/>
          </w:tcPr>
          <w:p w14:paraId="009679DC" w14:textId="77777777" w:rsidR="004D1DFA" w:rsidRPr="00517641"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517641">
              <w:rPr>
                <w:rFonts w:cs="Times New Roman"/>
                <w:color w:val="auto"/>
                <w:sz w:val="18"/>
                <w:szCs w:val="18"/>
              </w:rPr>
              <w:t>2023</w:t>
            </w:r>
          </w:p>
        </w:tc>
        <w:tc>
          <w:tcPr>
            <w:tcW w:w="727" w:type="dxa"/>
            <w:noWrap/>
            <w:vAlign w:val="center"/>
          </w:tcPr>
          <w:p w14:paraId="27CDAA54" w14:textId="77777777" w:rsidR="004D1DFA" w:rsidRPr="00517641"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517641">
              <w:rPr>
                <w:rFonts w:cs="Times New Roman"/>
                <w:color w:val="auto"/>
                <w:sz w:val="18"/>
                <w:szCs w:val="18"/>
              </w:rPr>
              <w:t>2024</w:t>
            </w:r>
          </w:p>
        </w:tc>
        <w:tc>
          <w:tcPr>
            <w:tcW w:w="726" w:type="dxa"/>
            <w:noWrap/>
            <w:vAlign w:val="center"/>
          </w:tcPr>
          <w:p w14:paraId="180C1998" w14:textId="77777777" w:rsidR="004D1DFA" w:rsidRPr="00517641"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517641">
              <w:rPr>
                <w:rFonts w:cs="Times New Roman"/>
                <w:color w:val="auto"/>
                <w:sz w:val="18"/>
                <w:szCs w:val="18"/>
              </w:rPr>
              <w:t>2025</w:t>
            </w:r>
          </w:p>
        </w:tc>
        <w:tc>
          <w:tcPr>
            <w:tcW w:w="727" w:type="dxa"/>
            <w:tcBorders>
              <w:right w:val="double" w:sz="4" w:space="0" w:color="9CC2E5" w:themeColor="accent1" w:themeTint="99"/>
            </w:tcBorders>
            <w:noWrap/>
            <w:vAlign w:val="center"/>
          </w:tcPr>
          <w:p w14:paraId="233EA4FA" w14:textId="77777777" w:rsidR="004D1DFA" w:rsidRPr="00517641"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517641">
              <w:rPr>
                <w:rFonts w:cs="Times New Roman"/>
                <w:color w:val="auto"/>
                <w:sz w:val="18"/>
                <w:szCs w:val="18"/>
              </w:rPr>
              <w:t>2026</w:t>
            </w:r>
          </w:p>
        </w:tc>
        <w:tc>
          <w:tcPr>
            <w:tcW w:w="726" w:type="dxa"/>
            <w:tcBorders>
              <w:left w:val="double" w:sz="4" w:space="0" w:color="9CC2E5" w:themeColor="accent1" w:themeTint="99"/>
            </w:tcBorders>
            <w:noWrap/>
            <w:vAlign w:val="center"/>
          </w:tcPr>
          <w:p w14:paraId="354BCC9C" w14:textId="77777777" w:rsidR="004D1DFA" w:rsidRPr="00517641"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517641">
              <w:rPr>
                <w:rFonts w:cs="Times New Roman"/>
                <w:color w:val="auto"/>
                <w:sz w:val="18"/>
                <w:szCs w:val="18"/>
              </w:rPr>
              <w:t>2023</w:t>
            </w:r>
          </w:p>
        </w:tc>
        <w:tc>
          <w:tcPr>
            <w:tcW w:w="727" w:type="dxa"/>
            <w:noWrap/>
            <w:vAlign w:val="center"/>
          </w:tcPr>
          <w:p w14:paraId="37F54295" w14:textId="77777777" w:rsidR="004D1DFA" w:rsidRPr="00517641"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517641">
              <w:rPr>
                <w:rFonts w:cs="Times New Roman"/>
                <w:color w:val="auto"/>
                <w:sz w:val="18"/>
                <w:szCs w:val="18"/>
              </w:rPr>
              <w:t>2024</w:t>
            </w:r>
          </w:p>
        </w:tc>
        <w:tc>
          <w:tcPr>
            <w:tcW w:w="726" w:type="dxa"/>
            <w:noWrap/>
            <w:vAlign w:val="center"/>
          </w:tcPr>
          <w:p w14:paraId="570813A9" w14:textId="77777777" w:rsidR="004D1DFA" w:rsidRPr="00517641"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517641">
              <w:rPr>
                <w:rFonts w:cs="Times New Roman"/>
                <w:color w:val="auto"/>
                <w:sz w:val="18"/>
                <w:szCs w:val="18"/>
              </w:rPr>
              <w:t>2025</w:t>
            </w:r>
          </w:p>
        </w:tc>
        <w:tc>
          <w:tcPr>
            <w:tcW w:w="727" w:type="dxa"/>
            <w:noWrap/>
            <w:vAlign w:val="center"/>
          </w:tcPr>
          <w:p w14:paraId="6BE729CF" w14:textId="77777777" w:rsidR="004D1DFA" w:rsidRPr="00517641"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517641">
              <w:rPr>
                <w:rFonts w:cs="Times New Roman"/>
                <w:color w:val="auto"/>
                <w:sz w:val="18"/>
                <w:szCs w:val="18"/>
              </w:rPr>
              <w:t>2026</w:t>
            </w:r>
          </w:p>
        </w:tc>
      </w:tr>
      <w:tr w:rsidR="004D1DFA" w:rsidRPr="00517641" w14:paraId="2493996F" w14:textId="77777777" w:rsidTr="00277007">
        <w:trPr>
          <w:trHeight w:val="340"/>
          <w:jc w:val="center"/>
        </w:trPr>
        <w:tc>
          <w:tcPr>
            <w:cnfStyle w:val="001000000000" w:firstRow="0" w:lastRow="0" w:firstColumn="1" w:lastColumn="0" w:oddVBand="0" w:evenVBand="0" w:oddHBand="0" w:evenHBand="0" w:firstRowFirstColumn="0" w:firstRowLastColumn="0" w:lastRowFirstColumn="0" w:lastRowLastColumn="0"/>
            <w:tcW w:w="3397" w:type="dxa"/>
            <w:noWrap/>
            <w:vAlign w:val="center"/>
          </w:tcPr>
          <w:p w14:paraId="7C2EDCA4" w14:textId="77777777" w:rsidR="004D1DFA" w:rsidRPr="00517641" w:rsidRDefault="004D1DFA" w:rsidP="00277007">
            <w:pPr>
              <w:ind w:left="26" w:firstLine="8"/>
              <w:rPr>
                <w:rFonts w:cs="Times New Roman"/>
                <w:b w:val="0"/>
                <w:color w:val="auto"/>
                <w:sz w:val="18"/>
                <w:szCs w:val="18"/>
              </w:rPr>
            </w:pPr>
            <w:r w:rsidRPr="00517641">
              <w:rPr>
                <w:rFonts w:cs="Times New Roman"/>
                <w:b w:val="0"/>
                <w:color w:val="auto"/>
                <w:sz w:val="18"/>
                <w:szCs w:val="18"/>
              </w:rPr>
              <w:t>IKP pieaugums faktiskajās cenās, %</w:t>
            </w:r>
          </w:p>
        </w:tc>
        <w:tc>
          <w:tcPr>
            <w:tcW w:w="726" w:type="dxa"/>
            <w:noWrap/>
            <w:tcMar>
              <w:left w:w="57" w:type="dxa"/>
              <w:right w:w="57" w:type="dxa"/>
            </w:tcMar>
            <w:vAlign w:val="center"/>
          </w:tcPr>
          <w:p w14:paraId="2CD37AE9" w14:textId="77777777" w:rsidR="004D1DFA" w:rsidRPr="00517641"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517641">
              <w:rPr>
                <w:rFonts w:cs="Times New Roman"/>
                <w:color w:val="000000"/>
                <w:sz w:val="18"/>
                <w:szCs w:val="18"/>
              </w:rPr>
              <w:t>11,9</w:t>
            </w:r>
          </w:p>
        </w:tc>
        <w:tc>
          <w:tcPr>
            <w:tcW w:w="727" w:type="dxa"/>
            <w:noWrap/>
            <w:tcMar>
              <w:left w:w="57" w:type="dxa"/>
              <w:right w:w="57" w:type="dxa"/>
            </w:tcMar>
            <w:vAlign w:val="center"/>
          </w:tcPr>
          <w:p w14:paraId="481F15E2" w14:textId="77777777" w:rsidR="004D1DFA" w:rsidRPr="00517641"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517641">
              <w:rPr>
                <w:rFonts w:cs="Times New Roman"/>
                <w:color w:val="000000"/>
                <w:sz w:val="18"/>
                <w:szCs w:val="18"/>
              </w:rPr>
              <w:t>4,5</w:t>
            </w:r>
          </w:p>
        </w:tc>
        <w:tc>
          <w:tcPr>
            <w:tcW w:w="726" w:type="dxa"/>
            <w:noWrap/>
            <w:tcMar>
              <w:left w:w="57" w:type="dxa"/>
              <w:right w:w="57" w:type="dxa"/>
            </w:tcMar>
            <w:vAlign w:val="center"/>
          </w:tcPr>
          <w:p w14:paraId="6B9765C0" w14:textId="77777777" w:rsidR="004D1DFA" w:rsidRPr="00517641"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517641">
              <w:rPr>
                <w:rFonts w:cs="Times New Roman"/>
                <w:color w:val="000000"/>
                <w:sz w:val="18"/>
                <w:szCs w:val="18"/>
              </w:rPr>
              <w:t>5,2</w:t>
            </w:r>
          </w:p>
        </w:tc>
        <w:tc>
          <w:tcPr>
            <w:tcW w:w="727" w:type="dxa"/>
            <w:tcBorders>
              <w:right w:val="double" w:sz="4" w:space="0" w:color="9CC2E5" w:themeColor="accent1" w:themeTint="99"/>
            </w:tcBorders>
            <w:noWrap/>
            <w:tcMar>
              <w:left w:w="57" w:type="dxa"/>
              <w:right w:w="57" w:type="dxa"/>
            </w:tcMar>
            <w:vAlign w:val="center"/>
          </w:tcPr>
          <w:p w14:paraId="2A27711C" w14:textId="77777777" w:rsidR="004D1DFA" w:rsidRPr="00517641"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517641">
              <w:rPr>
                <w:rFonts w:cs="Times New Roman"/>
                <w:color w:val="000000"/>
                <w:sz w:val="18"/>
                <w:szCs w:val="18"/>
              </w:rPr>
              <w:t>5,5</w:t>
            </w:r>
          </w:p>
        </w:tc>
        <w:tc>
          <w:tcPr>
            <w:tcW w:w="726" w:type="dxa"/>
            <w:tcBorders>
              <w:left w:val="double" w:sz="4" w:space="0" w:color="9CC2E5" w:themeColor="accent1" w:themeTint="99"/>
            </w:tcBorders>
            <w:noWrap/>
            <w:tcMar>
              <w:left w:w="57" w:type="dxa"/>
              <w:right w:w="57" w:type="dxa"/>
            </w:tcMar>
            <w:vAlign w:val="center"/>
          </w:tcPr>
          <w:p w14:paraId="462B0A7A" w14:textId="77777777" w:rsidR="004D1DFA" w:rsidRPr="00517641"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rPr>
            </w:pPr>
            <w:r w:rsidRPr="00517641">
              <w:rPr>
                <w:rFonts w:cs="Times New Roman"/>
                <w:color w:val="auto"/>
                <w:sz w:val="18"/>
                <w:szCs w:val="18"/>
              </w:rPr>
              <w:t>0,2</w:t>
            </w:r>
          </w:p>
        </w:tc>
        <w:tc>
          <w:tcPr>
            <w:tcW w:w="727" w:type="dxa"/>
            <w:noWrap/>
            <w:tcMar>
              <w:left w:w="57" w:type="dxa"/>
              <w:right w:w="57" w:type="dxa"/>
            </w:tcMar>
            <w:vAlign w:val="center"/>
          </w:tcPr>
          <w:p w14:paraId="7C3DB2D9" w14:textId="77777777" w:rsidR="004D1DFA" w:rsidRPr="00517641"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rPr>
            </w:pPr>
            <w:r w:rsidRPr="00517641">
              <w:rPr>
                <w:rFonts w:cs="Times New Roman"/>
                <w:color w:val="auto"/>
                <w:sz w:val="18"/>
                <w:szCs w:val="18"/>
              </w:rPr>
              <w:t>-1,0</w:t>
            </w:r>
          </w:p>
        </w:tc>
        <w:tc>
          <w:tcPr>
            <w:tcW w:w="726" w:type="dxa"/>
            <w:noWrap/>
            <w:tcMar>
              <w:left w:w="57" w:type="dxa"/>
              <w:right w:w="57" w:type="dxa"/>
            </w:tcMar>
            <w:vAlign w:val="center"/>
          </w:tcPr>
          <w:p w14:paraId="66032870" w14:textId="77777777" w:rsidR="004D1DFA" w:rsidRPr="00517641"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rPr>
            </w:pPr>
            <w:r w:rsidRPr="00517641">
              <w:rPr>
                <w:rFonts w:cs="Times New Roman"/>
                <w:color w:val="auto"/>
                <w:sz w:val="18"/>
                <w:szCs w:val="18"/>
              </w:rPr>
              <w:t>-0,5</w:t>
            </w:r>
          </w:p>
        </w:tc>
        <w:tc>
          <w:tcPr>
            <w:tcW w:w="727" w:type="dxa"/>
            <w:noWrap/>
            <w:tcMar>
              <w:left w:w="57" w:type="dxa"/>
              <w:right w:w="57" w:type="dxa"/>
            </w:tcMar>
            <w:vAlign w:val="center"/>
          </w:tcPr>
          <w:p w14:paraId="22334966" w14:textId="77777777" w:rsidR="004D1DFA" w:rsidRPr="00517641"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rPr>
            </w:pPr>
            <w:r w:rsidRPr="00517641">
              <w:rPr>
                <w:rFonts w:cs="Times New Roman"/>
                <w:color w:val="auto"/>
                <w:sz w:val="18"/>
                <w:szCs w:val="18"/>
              </w:rPr>
              <w:t>0,0</w:t>
            </w:r>
          </w:p>
        </w:tc>
      </w:tr>
      <w:tr w:rsidR="004D1DFA" w:rsidRPr="00517641" w14:paraId="5AD92C51" w14:textId="77777777" w:rsidTr="00277007">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397" w:type="dxa"/>
            <w:noWrap/>
            <w:vAlign w:val="center"/>
          </w:tcPr>
          <w:p w14:paraId="4D7206D3" w14:textId="77777777" w:rsidR="004D1DFA" w:rsidRPr="00517641" w:rsidRDefault="004D1DFA" w:rsidP="00277007">
            <w:pPr>
              <w:ind w:left="26" w:firstLine="8"/>
              <w:jc w:val="left"/>
              <w:rPr>
                <w:rFonts w:cs="Times New Roman"/>
                <w:b w:val="0"/>
                <w:color w:val="auto"/>
                <w:sz w:val="18"/>
                <w:szCs w:val="18"/>
              </w:rPr>
            </w:pPr>
            <w:r w:rsidRPr="00517641">
              <w:rPr>
                <w:rFonts w:cs="Times New Roman"/>
                <w:b w:val="0"/>
                <w:color w:val="auto"/>
                <w:sz w:val="18"/>
                <w:szCs w:val="18"/>
              </w:rPr>
              <w:t>IKP pieaugums salīdzināmās cenās, %</w:t>
            </w:r>
          </w:p>
        </w:tc>
        <w:tc>
          <w:tcPr>
            <w:tcW w:w="726" w:type="dxa"/>
            <w:noWrap/>
            <w:tcMar>
              <w:left w:w="57" w:type="dxa"/>
              <w:right w:w="57" w:type="dxa"/>
            </w:tcMar>
            <w:vAlign w:val="center"/>
          </w:tcPr>
          <w:p w14:paraId="2A7C9BC7" w14:textId="77777777" w:rsidR="004D1DFA" w:rsidRPr="00517641"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517641">
              <w:rPr>
                <w:rFonts w:cs="Times New Roman"/>
                <w:color w:val="000000"/>
                <w:sz w:val="18"/>
                <w:szCs w:val="18"/>
              </w:rPr>
              <w:t>-1,2</w:t>
            </w:r>
          </w:p>
        </w:tc>
        <w:tc>
          <w:tcPr>
            <w:tcW w:w="727" w:type="dxa"/>
            <w:noWrap/>
            <w:tcMar>
              <w:left w:w="57" w:type="dxa"/>
              <w:right w:w="57" w:type="dxa"/>
            </w:tcMar>
            <w:vAlign w:val="center"/>
          </w:tcPr>
          <w:p w14:paraId="0970F3F1" w14:textId="77777777" w:rsidR="004D1DFA" w:rsidRPr="00517641"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517641">
              <w:rPr>
                <w:rFonts w:cs="Times New Roman"/>
                <w:color w:val="000000"/>
                <w:sz w:val="18"/>
                <w:szCs w:val="18"/>
              </w:rPr>
              <w:t>0,5</w:t>
            </w:r>
          </w:p>
        </w:tc>
        <w:tc>
          <w:tcPr>
            <w:tcW w:w="726" w:type="dxa"/>
            <w:noWrap/>
            <w:tcMar>
              <w:left w:w="57" w:type="dxa"/>
              <w:right w:w="57" w:type="dxa"/>
            </w:tcMar>
            <w:vAlign w:val="center"/>
          </w:tcPr>
          <w:p w14:paraId="4D4B2570" w14:textId="77777777" w:rsidR="004D1DFA" w:rsidRPr="00517641"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517641">
              <w:rPr>
                <w:rFonts w:cs="Times New Roman"/>
                <w:color w:val="000000"/>
                <w:sz w:val="18"/>
                <w:szCs w:val="18"/>
              </w:rPr>
              <w:t>2,0</w:t>
            </w:r>
          </w:p>
        </w:tc>
        <w:tc>
          <w:tcPr>
            <w:tcW w:w="727" w:type="dxa"/>
            <w:tcBorders>
              <w:right w:val="double" w:sz="4" w:space="0" w:color="9CC2E5" w:themeColor="accent1" w:themeTint="99"/>
            </w:tcBorders>
            <w:noWrap/>
            <w:tcMar>
              <w:left w:w="57" w:type="dxa"/>
              <w:right w:w="57" w:type="dxa"/>
            </w:tcMar>
            <w:vAlign w:val="center"/>
          </w:tcPr>
          <w:p w14:paraId="56E81F10" w14:textId="77777777" w:rsidR="004D1DFA" w:rsidRPr="00517641"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517641">
              <w:rPr>
                <w:rFonts w:cs="Times New Roman"/>
                <w:color w:val="000000"/>
                <w:sz w:val="18"/>
                <w:szCs w:val="18"/>
              </w:rPr>
              <w:t>2,7</w:t>
            </w:r>
          </w:p>
        </w:tc>
        <w:tc>
          <w:tcPr>
            <w:tcW w:w="726" w:type="dxa"/>
            <w:tcBorders>
              <w:left w:val="double" w:sz="4" w:space="0" w:color="9CC2E5" w:themeColor="accent1" w:themeTint="99"/>
            </w:tcBorders>
            <w:noWrap/>
            <w:tcMar>
              <w:left w:w="57" w:type="dxa"/>
              <w:right w:w="57" w:type="dxa"/>
            </w:tcMar>
            <w:vAlign w:val="center"/>
          </w:tcPr>
          <w:p w14:paraId="21FC9FCD" w14:textId="77777777" w:rsidR="004D1DFA" w:rsidRPr="00517641"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517641">
              <w:rPr>
                <w:rFonts w:cs="Times New Roman"/>
                <w:color w:val="auto"/>
                <w:sz w:val="18"/>
                <w:szCs w:val="18"/>
              </w:rPr>
              <w:t>-1,2</w:t>
            </w:r>
          </w:p>
        </w:tc>
        <w:tc>
          <w:tcPr>
            <w:tcW w:w="727" w:type="dxa"/>
            <w:noWrap/>
            <w:tcMar>
              <w:left w:w="57" w:type="dxa"/>
              <w:right w:w="57" w:type="dxa"/>
            </w:tcMar>
            <w:vAlign w:val="center"/>
          </w:tcPr>
          <w:p w14:paraId="738B4007" w14:textId="77777777" w:rsidR="004D1DFA" w:rsidRPr="00517641"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517641">
              <w:rPr>
                <w:rFonts w:cs="Times New Roman"/>
                <w:color w:val="auto"/>
                <w:sz w:val="18"/>
                <w:szCs w:val="18"/>
              </w:rPr>
              <w:t>-1,5</w:t>
            </w:r>
          </w:p>
        </w:tc>
        <w:tc>
          <w:tcPr>
            <w:tcW w:w="726" w:type="dxa"/>
            <w:noWrap/>
            <w:tcMar>
              <w:left w:w="57" w:type="dxa"/>
              <w:right w:w="57" w:type="dxa"/>
            </w:tcMar>
            <w:vAlign w:val="center"/>
          </w:tcPr>
          <w:p w14:paraId="40245477" w14:textId="77777777" w:rsidR="004D1DFA" w:rsidRPr="00517641"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517641">
              <w:rPr>
                <w:rFonts w:cs="Times New Roman"/>
                <w:color w:val="auto"/>
                <w:sz w:val="18"/>
                <w:szCs w:val="18"/>
              </w:rPr>
              <w:t>-0,9</w:t>
            </w:r>
          </w:p>
        </w:tc>
        <w:tc>
          <w:tcPr>
            <w:tcW w:w="727" w:type="dxa"/>
            <w:noWrap/>
            <w:tcMar>
              <w:left w:w="57" w:type="dxa"/>
              <w:right w:w="57" w:type="dxa"/>
            </w:tcMar>
            <w:vAlign w:val="center"/>
          </w:tcPr>
          <w:p w14:paraId="4CC91FE3" w14:textId="77777777" w:rsidR="004D1DFA" w:rsidRPr="00517641"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517641">
              <w:rPr>
                <w:rFonts w:cs="Times New Roman"/>
                <w:color w:val="auto"/>
                <w:sz w:val="18"/>
                <w:szCs w:val="18"/>
              </w:rPr>
              <w:t>0,0</w:t>
            </w:r>
          </w:p>
        </w:tc>
      </w:tr>
      <w:tr w:rsidR="004D1DFA" w:rsidRPr="00517641" w14:paraId="451B19BB" w14:textId="77777777" w:rsidTr="00277007">
        <w:trPr>
          <w:trHeight w:val="340"/>
          <w:jc w:val="center"/>
        </w:trPr>
        <w:tc>
          <w:tcPr>
            <w:cnfStyle w:val="001000000000" w:firstRow="0" w:lastRow="0" w:firstColumn="1" w:lastColumn="0" w:oddVBand="0" w:evenVBand="0" w:oddHBand="0" w:evenHBand="0" w:firstRowFirstColumn="0" w:firstRowLastColumn="0" w:lastRowFirstColumn="0" w:lastRowLastColumn="0"/>
            <w:tcW w:w="3397" w:type="dxa"/>
            <w:shd w:val="clear" w:color="auto" w:fill="auto"/>
            <w:noWrap/>
            <w:vAlign w:val="center"/>
          </w:tcPr>
          <w:p w14:paraId="58860BFF" w14:textId="77777777" w:rsidR="004D1DFA" w:rsidRPr="00517641" w:rsidRDefault="004D1DFA" w:rsidP="00277007">
            <w:pPr>
              <w:ind w:left="26" w:firstLine="8"/>
              <w:jc w:val="left"/>
              <w:rPr>
                <w:rFonts w:cs="Times New Roman"/>
                <w:b w:val="0"/>
                <w:bCs w:val="0"/>
                <w:sz w:val="18"/>
                <w:szCs w:val="18"/>
              </w:rPr>
            </w:pPr>
            <w:r w:rsidRPr="00517641">
              <w:rPr>
                <w:rFonts w:cs="Times New Roman"/>
                <w:b w:val="0"/>
                <w:color w:val="auto"/>
                <w:sz w:val="18"/>
                <w:szCs w:val="18"/>
              </w:rPr>
              <w:t>Patēriņa cenu indeksa izmaiņas, %</w:t>
            </w:r>
          </w:p>
        </w:tc>
        <w:tc>
          <w:tcPr>
            <w:tcW w:w="726" w:type="dxa"/>
            <w:shd w:val="clear" w:color="auto" w:fill="auto"/>
            <w:noWrap/>
            <w:tcMar>
              <w:left w:w="57" w:type="dxa"/>
              <w:right w:w="57" w:type="dxa"/>
            </w:tcMar>
            <w:vAlign w:val="center"/>
          </w:tcPr>
          <w:p w14:paraId="2987170C" w14:textId="77777777" w:rsidR="004D1DFA" w:rsidRPr="00517641"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517641">
              <w:rPr>
                <w:rFonts w:cs="Times New Roman"/>
                <w:color w:val="000000"/>
                <w:sz w:val="18"/>
                <w:szCs w:val="18"/>
              </w:rPr>
              <w:t>11,0</w:t>
            </w:r>
          </w:p>
        </w:tc>
        <w:tc>
          <w:tcPr>
            <w:tcW w:w="727" w:type="dxa"/>
            <w:shd w:val="clear" w:color="auto" w:fill="auto"/>
            <w:noWrap/>
            <w:tcMar>
              <w:left w:w="57" w:type="dxa"/>
              <w:right w:w="57" w:type="dxa"/>
            </w:tcMar>
            <w:vAlign w:val="center"/>
          </w:tcPr>
          <w:p w14:paraId="3E8BDFEE" w14:textId="77777777" w:rsidR="004D1DFA" w:rsidRPr="00517641"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517641">
              <w:rPr>
                <w:rFonts w:cs="Times New Roman"/>
                <w:color w:val="000000"/>
                <w:sz w:val="18"/>
                <w:szCs w:val="18"/>
              </w:rPr>
              <w:t>5,5</w:t>
            </w:r>
          </w:p>
        </w:tc>
        <w:tc>
          <w:tcPr>
            <w:tcW w:w="726" w:type="dxa"/>
            <w:shd w:val="clear" w:color="auto" w:fill="auto"/>
            <w:noWrap/>
            <w:tcMar>
              <w:left w:w="57" w:type="dxa"/>
              <w:right w:w="57" w:type="dxa"/>
            </w:tcMar>
            <w:vAlign w:val="center"/>
          </w:tcPr>
          <w:p w14:paraId="171A8C9F" w14:textId="77777777" w:rsidR="004D1DFA" w:rsidRPr="00517641"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517641">
              <w:rPr>
                <w:rFonts w:cs="Times New Roman"/>
                <w:color w:val="000000"/>
                <w:sz w:val="18"/>
                <w:szCs w:val="18"/>
              </w:rPr>
              <w:t>3,5</w:t>
            </w:r>
          </w:p>
        </w:tc>
        <w:tc>
          <w:tcPr>
            <w:tcW w:w="727" w:type="dxa"/>
            <w:tcBorders>
              <w:right w:val="double" w:sz="4" w:space="0" w:color="9CC2E5" w:themeColor="accent1" w:themeTint="99"/>
            </w:tcBorders>
            <w:shd w:val="clear" w:color="auto" w:fill="auto"/>
            <w:noWrap/>
            <w:tcMar>
              <w:left w:w="57" w:type="dxa"/>
              <w:right w:w="57" w:type="dxa"/>
            </w:tcMar>
            <w:vAlign w:val="center"/>
          </w:tcPr>
          <w:p w14:paraId="70917D76" w14:textId="77777777" w:rsidR="004D1DFA" w:rsidRPr="00517641"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517641">
              <w:rPr>
                <w:rFonts w:cs="Times New Roman"/>
                <w:color w:val="000000"/>
                <w:sz w:val="18"/>
                <w:szCs w:val="18"/>
              </w:rPr>
              <w:t>2,5</w:t>
            </w:r>
          </w:p>
        </w:tc>
        <w:tc>
          <w:tcPr>
            <w:tcW w:w="726" w:type="dxa"/>
            <w:tcBorders>
              <w:left w:val="double" w:sz="4" w:space="0" w:color="9CC2E5" w:themeColor="accent1" w:themeTint="99"/>
            </w:tcBorders>
            <w:shd w:val="clear" w:color="auto" w:fill="auto"/>
            <w:noWrap/>
            <w:tcMar>
              <w:left w:w="57" w:type="dxa"/>
              <w:right w:w="57" w:type="dxa"/>
            </w:tcMar>
            <w:vAlign w:val="center"/>
          </w:tcPr>
          <w:p w14:paraId="1886FF92" w14:textId="77777777" w:rsidR="004D1DFA" w:rsidRPr="00517641"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517641">
              <w:rPr>
                <w:rFonts w:cs="Times New Roman"/>
                <w:color w:val="000000"/>
                <w:sz w:val="18"/>
                <w:szCs w:val="18"/>
              </w:rPr>
              <w:t>1,0</w:t>
            </w:r>
          </w:p>
        </w:tc>
        <w:tc>
          <w:tcPr>
            <w:tcW w:w="727" w:type="dxa"/>
            <w:shd w:val="clear" w:color="auto" w:fill="auto"/>
            <w:noWrap/>
            <w:tcMar>
              <w:left w:w="57" w:type="dxa"/>
              <w:right w:w="57" w:type="dxa"/>
            </w:tcMar>
            <w:vAlign w:val="center"/>
          </w:tcPr>
          <w:p w14:paraId="0E074681" w14:textId="77777777" w:rsidR="004D1DFA" w:rsidRPr="00517641"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517641">
              <w:rPr>
                <w:rFonts w:cs="Times New Roman"/>
                <w:color w:val="000000"/>
                <w:sz w:val="18"/>
                <w:szCs w:val="18"/>
              </w:rPr>
              <w:t>3,3</w:t>
            </w:r>
          </w:p>
        </w:tc>
        <w:tc>
          <w:tcPr>
            <w:tcW w:w="726" w:type="dxa"/>
            <w:shd w:val="clear" w:color="auto" w:fill="auto"/>
            <w:noWrap/>
            <w:tcMar>
              <w:left w:w="57" w:type="dxa"/>
              <w:right w:w="57" w:type="dxa"/>
            </w:tcMar>
            <w:vAlign w:val="center"/>
          </w:tcPr>
          <w:p w14:paraId="48287AC2" w14:textId="77777777" w:rsidR="004D1DFA" w:rsidRPr="00517641"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517641">
              <w:rPr>
                <w:rFonts w:cs="Times New Roman"/>
                <w:color w:val="000000"/>
                <w:sz w:val="18"/>
                <w:szCs w:val="18"/>
              </w:rPr>
              <w:t>1,0</w:t>
            </w:r>
          </w:p>
        </w:tc>
        <w:tc>
          <w:tcPr>
            <w:tcW w:w="727" w:type="dxa"/>
            <w:shd w:val="clear" w:color="auto" w:fill="auto"/>
            <w:noWrap/>
            <w:tcMar>
              <w:left w:w="57" w:type="dxa"/>
              <w:right w:w="57" w:type="dxa"/>
            </w:tcMar>
            <w:vAlign w:val="center"/>
          </w:tcPr>
          <w:p w14:paraId="53FA51A5" w14:textId="77777777" w:rsidR="004D1DFA" w:rsidRPr="00517641"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517641">
              <w:rPr>
                <w:rFonts w:cs="Times New Roman"/>
                <w:color w:val="000000"/>
                <w:sz w:val="18"/>
                <w:szCs w:val="18"/>
              </w:rPr>
              <w:t>0,0</w:t>
            </w:r>
          </w:p>
        </w:tc>
      </w:tr>
      <w:tr w:rsidR="004D1DFA" w:rsidRPr="00517641" w14:paraId="3E16DBF0" w14:textId="77777777" w:rsidTr="00277007">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397" w:type="dxa"/>
            <w:noWrap/>
            <w:vAlign w:val="center"/>
          </w:tcPr>
          <w:p w14:paraId="3BB6FF43" w14:textId="77777777" w:rsidR="004D1DFA" w:rsidRPr="00517641" w:rsidRDefault="004D1DFA" w:rsidP="00277007">
            <w:pPr>
              <w:ind w:left="26" w:firstLine="8"/>
              <w:jc w:val="left"/>
              <w:rPr>
                <w:rFonts w:cs="Times New Roman"/>
                <w:b w:val="0"/>
                <w:color w:val="auto"/>
                <w:sz w:val="18"/>
                <w:szCs w:val="18"/>
              </w:rPr>
            </w:pPr>
            <w:r w:rsidRPr="00517641">
              <w:rPr>
                <w:rFonts w:cs="Times New Roman"/>
                <w:b w:val="0"/>
                <w:color w:val="auto"/>
                <w:sz w:val="18"/>
                <w:szCs w:val="18"/>
              </w:rPr>
              <w:t>Privātais patēriņš, pieaugums salīdzināmās cenās, %</w:t>
            </w:r>
          </w:p>
        </w:tc>
        <w:tc>
          <w:tcPr>
            <w:tcW w:w="726" w:type="dxa"/>
            <w:noWrap/>
            <w:tcMar>
              <w:left w:w="57" w:type="dxa"/>
              <w:right w:w="57" w:type="dxa"/>
            </w:tcMar>
            <w:vAlign w:val="center"/>
          </w:tcPr>
          <w:p w14:paraId="766B8F7E" w14:textId="77777777" w:rsidR="004D1DFA" w:rsidRPr="00517641"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517641">
              <w:rPr>
                <w:rFonts w:cs="Times New Roman"/>
                <w:color w:val="000000"/>
                <w:sz w:val="18"/>
                <w:szCs w:val="18"/>
              </w:rPr>
              <w:t>-0,8</w:t>
            </w:r>
          </w:p>
        </w:tc>
        <w:tc>
          <w:tcPr>
            <w:tcW w:w="727" w:type="dxa"/>
            <w:noWrap/>
            <w:tcMar>
              <w:left w:w="57" w:type="dxa"/>
              <w:right w:w="57" w:type="dxa"/>
            </w:tcMar>
            <w:vAlign w:val="center"/>
          </w:tcPr>
          <w:p w14:paraId="176CD308" w14:textId="77777777" w:rsidR="004D1DFA" w:rsidRPr="00517641"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517641">
              <w:rPr>
                <w:rFonts w:cs="Times New Roman"/>
                <w:color w:val="000000"/>
                <w:sz w:val="18"/>
                <w:szCs w:val="18"/>
              </w:rPr>
              <w:t>-0,8</w:t>
            </w:r>
          </w:p>
        </w:tc>
        <w:tc>
          <w:tcPr>
            <w:tcW w:w="726" w:type="dxa"/>
            <w:noWrap/>
            <w:tcMar>
              <w:left w:w="57" w:type="dxa"/>
              <w:right w:w="57" w:type="dxa"/>
            </w:tcMar>
            <w:vAlign w:val="center"/>
          </w:tcPr>
          <w:p w14:paraId="44E88FEE" w14:textId="77777777" w:rsidR="004D1DFA" w:rsidRPr="00517641"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517641">
              <w:rPr>
                <w:rFonts w:cs="Times New Roman"/>
                <w:color w:val="000000"/>
                <w:sz w:val="18"/>
                <w:szCs w:val="18"/>
              </w:rPr>
              <w:t>3,1</w:t>
            </w:r>
          </w:p>
        </w:tc>
        <w:tc>
          <w:tcPr>
            <w:tcW w:w="727" w:type="dxa"/>
            <w:tcBorders>
              <w:right w:val="double" w:sz="4" w:space="0" w:color="9CC2E5" w:themeColor="accent1" w:themeTint="99"/>
            </w:tcBorders>
            <w:noWrap/>
            <w:tcMar>
              <w:left w:w="57" w:type="dxa"/>
              <w:right w:w="57" w:type="dxa"/>
            </w:tcMar>
            <w:vAlign w:val="center"/>
          </w:tcPr>
          <w:p w14:paraId="28E675E1" w14:textId="77777777" w:rsidR="004D1DFA" w:rsidRPr="00517641"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517641">
              <w:rPr>
                <w:rFonts w:cs="Times New Roman"/>
                <w:color w:val="000000"/>
                <w:sz w:val="18"/>
                <w:szCs w:val="18"/>
              </w:rPr>
              <w:t>3,5</w:t>
            </w:r>
          </w:p>
        </w:tc>
        <w:tc>
          <w:tcPr>
            <w:tcW w:w="726" w:type="dxa"/>
            <w:tcBorders>
              <w:left w:val="double" w:sz="4" w:space="0" w:color="9CC2E5" w:themeColor="accent1" w:themeTint="99"/>
            </w:tcBorders>
            <w:noWrap/>
            <w:tcMar>
              <w:left w:w="57" w:type="dxa"/>
              <w:right w:w="57" w:type="dxa"/>
            </w:tcMar>
            <w:vAlign w:val="center"/>
          </w:tcPr>
          <w:p w14:paraId="2C44F91A" w14:textId="77777777" w:rsidR="004D1DFA" w:rsidRPr="00517641"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517641">
              <w:rPr>
                <w:rFonts w:cs="Times New Roman"/>
                <w:color w:val="auto"/>
                <w:sz w:val="18"/>
                <w:szCs w:val="18"/>
              </w:rPr>
              <w:t>0,1</w:t>
            </w:r>
          </w:p>
        </w:tc>
        <w:tc>
          <w:tcPr>
            <w:tcW w:w="727" w:type="dxa"/>
            <w:noWrap/>
            <w:tcMar>
              <w:left w:w="57" w:type="dxa"/>
              <w:right w:w="57" w:type="dxa"/>
            </w:tcMar>
            <w:vAlign w:val="center"/>
          </w:tcPr>
          <w:p w14:paraId="6D153568" w14:textId="77777777" w:rsidR="004D1DFA" w:rsidRPr="00517641"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517641">
              <w:rPr>
                <w:rFonts w:cs="Times New Roman"/>
                <w:color w:val="auto"/>
                <w:sz w:val="18"/>
                <w:szCs w:val="18"/>
              </w:rPr>
              <w:t>-2,9</w:t>
            </w:r>
          </w:p>
        </w:tc>
        <w:tc>
          <w:tcPr>
            <w:tcW w:w="726" w:type="dxa"/>
            <w:noWrap/>
            <w:tcMar>
              <w:left w:w="57" w:type="dxa"/>
              <w:right w:w="57" w:type="dxa"/>
            </w:tcMar>
            <w:vAlign w:val="center"/>
          </w:tcPr>
          <w:p w14:paraId="61AEC440" w14:textId="77777777" w:rsidR="004D1DFA" w:rsidRPr="00517641"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517641">
              <w:rPr>
                <w:rFonts w:cs="Times New Roman"/>
                <w:color w:val="auto"/>
                <w:sz w:val="18"/>
                <w:szCs w:val="18"/>
              </w:rPr>
              <w:t>-0,9</w:t>
            </w:r>
          </w:p>
        </w:tc>
        <w:tc>
          <w:tcPr>
            <w:tcW w:w="727" w:type="dxa"/>
            <w:noWrap/>
            <w:tcMar>
              <w:left w:w="57" w:type="dxa"/>
              <w:right w:w="57" w:type="dxa"/>
            </w:tcMar>
            <w:vAlign w:val="center"/>
          </w:tcPr>
          <w:p w14:paraId="08ABB3A1" w14:textId="77777777" w:rsidR="004D1DFA" w:rsidRPr="00517641"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517641">
              <w:rPr>
                <w:rFonts w:cs="Times New Roman"/>
                <w:color w:val="auto"/>
                <w:sz w:val="18"/>
                <w:szCs w:val="18"/>
              </w:rPr>
              <w:t>0,0</w:t>
            </w:r>
          </w:p>
        </w:tc>
      </w:tr>
      <w:tr w:rsidR="004D1DFA" w:rsidRPr="00517641" w14:paraId="171F143A" w14:textId="77777777" w:rsidTr="00277007">
        <w:trPr>
          <w:trHeight w:val="340"/>
          <w:jc w:val="center"/>
        </w:trPr>
        <w:tc>
          <w:tcPr>
            <w:cnfStyle w:val="001000000000" w:firstRow="0" w:lastRow="0" w:firstColumn="1" w:lastColumn="0" w:oddVBand="0" w:evenVBand="0" w:oddHBand="0" w:evenHBand="0" w:firstRowFirstColumn="0" w:firstRowLastColumn="0" w:lastRowFirstColumn="0" w:lastRowLastColumn="0"/>
            <w:tcW w:w="3397" w:type="dxa"/>
            <w:noWrap/>
            <w:vAlign w:val="center"/>
          </w:tcPr>
          <w:p w14:paraId="0E0065B9" w14:textId="77777777" w:rsidR="004D1DFA" w:rsidRPr="00517641" w:rsidRDefault="004D1DFA" w:rsidP="00277007">
            <w:pPr>
              <w:ind w:left="26" w:firstLine="8"/>
              <w:jc w:val="left"/>
              <w:rPr>
                <w:rFonts w:cs="Times New Roman"/>
                <w:b w:val="0"/>
                <w:color w:val="auto"/>
                <w:sz w:val="18"/>
                <w:szCs w:val="18"/>
              </w:rPr>
            </w:pPr>
            <w:r w:rsidRPr="00517641">
              <w:rPr>
                <w:rFonts w:cs="Times New Roman"/>
                <w:b w:val="0"/>
                <w:color w:val="auto"/>
                <w:sz w:val="18"/>
                <w:szCs w:val="18"/>
              </w:rPr>
              <w:t xml:space="preserve">Sabiedriskais patēriņš, pieaugums salīdzināmās cenās, % </w:t>
            </w:r>
          </w:p>
        </w:tc>
        <w:tc>
          <w:tcPr>
            <w:tcW w:w="726" w:type="dxa"/>
            <w:noWrap/>
            <w:tcMar>
              <w:left w:w="57" w:type="dxa"/>
              <w:right w:w="57" w:type="dxa"/>
            </w:tcMar>
            <w:vAlign w:val="center"/>
          </w:tcPr>
          <w:p w14:paraId="404B3463" w14:textId="77777777" w:rsidR="004D1DFA" w:rsidRPr="00517641"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517641">
              <w:rPr>
                <w:rFonts w:cs="Times New Roman"/>
                <w:color w:val="000000"/>
                <w:sz w:val="18"/>
                <w:szCs w:val="18"/>
              </w:rPr>
              <w:t>1,4</w:t>
            </w:r>
          </w:p>
        </w:tc>
        <w:tc>
          <w:tcPr>
            <w:tcW w:w="727" w:type="dxa"/>
            <w:noWrap/>
            <w:tcMar>
              <w:left w:w="57" w:type="dxa"/>
              <w:right w:w="57" w:type="dxa"/>
            </w:tcMar>
            <w:vAlign w:val="center"/>
          </w:tcPr>
          <w:p w14:paraId="20258D10" w14:textId="77777777" w:rsidR="004D1DFA" w:rsidRPr="00517641"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517641">
              <w:rPr>
                <w:rFonts w:cs="Times New Roman"/>
                <w:color w:val="000000"/>
                <w:sz w:val="18"/>
                <w:szCs w:val="18"/>
              </w:rPr>
              <w:t>1,3</w:t>
            </w:r>
          </w:p>
        </w:tc>
        <w:tc>
          <w:tcPr>
            <w:tcW w:w="726" w:type="dxa"/>
            <w:noWrap/>
            <w:tcMar>
              <w:left w:w="57" w:type="dxa"/>
              <w:right w:w="57" w:type="dxa"/>
            </w:tcMar>
            <w:vAlign w:val="center"/>
          </w:tcPr>
          <w:p w14:paraId="5BA16325" w14:textId="77777777" w:rsidR="004D1DFA" w:rsidRPr="00517641"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517641">
              <w:rPr>
                <w:rFonts w:cs="Times New Roman"/>
                <w:color w:val="000000"/>
                <w:sz w:val="18"/>
                <w:szCs w:val="18"/>
              </w:rPr>
              <w:t>0,0</w:t>
            </w:r>
          </w:p>
        </w:tc>
        <w:tc>
          <w:tcPr>
            <w:tcW w:w="727" w:type="dxa"/>
            <w:tcBorders>
              <w:right w:val="double" w:sz="4" w:space="0" w:color="9CC2E5" w:themeColor="accent1" w:themeTint="99"/>
            </w:tcBorders>
            <w:noWrap/>
            <w:tcMar>
              <w:left w:w="57" w:type="dxa"/>
              <w:right w:w="57" w:type="dxa"/>
            </w:tcMar>
            <w:vAlign w:val="center"/>
          </w:tcPr>
          <w:p w14:paraId="59657575" w14:textId="77777777" w:rsidR="004D1DFA" w:rsidRPr="00517641"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517641">
              <w:rPr>
                <w:rFonts w:cs="Times New Roman"/>
                <w:color w:val="000000"/>
                <w:sz w:val="18"/>
                <w:szCs w:val="18"/>
              </w:rPr>
              <w:t>0,5</w:t>
            </w:r>
          </w:p>
        </w:tc>
        <w:tc>
          <w:tcPr>
            <w:tcW w:w="726" w:type="dxa"/>
            <w:tcBorders>
              <w:left w:val="double" w:sz="4" w:space="0" w:color="9CC2E5" w:themeColor="accent1" w:themeTint="99"/>
            </w:tcBorders>
            <w:noWrap/>
            <w:tcMar>
              <w:left w:w="57" w:type="dxa"/>
              <w:right w:w="57" w:type="dxa"/>
            </w:tcMar>
            <w:vAlign w:val="center"/>
          </w:tcPr>
          <w:p w14:paraId="2457DC60" w14:textId="77777777" w:rsidR="004D1DFA" w:rsidRPr="00517641"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rPr>
            </w:pPr>
            <w:r w:rsidRPr="00517641">
              <w:rPr>
                <w:rFonts w:cs="Times New Roman"/>
                <w:color w:val="auto"/>
                <w:sz w:val="18"/>
                <w:szCs w:val="18"/>
              </w:rPr>
              <w:t>0,2</w:t>
            </w:r>
          </w:p>
        </w:tc>
        <w:tc>
          <w:tcPr>
            <w:tcW w:w="727" w:type="dxa"/>
            <w:noWrap/>
            <w:tcMar>
              <w:left w:w="57" w:type="dxa"/>
              <w:right w:w="57" w:type="dxa"/>
            </w:tcMar>
            <w:vAlign w:val="center"/>
          </w:tcPr>
          <w:p w14:paraId="59AE24AB" w14:textId="77777777" w:rsidR="004D1DFA" w:rsidRPr="00517641"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rPr>
            </w:pPr>
            <w:r w:rsidRPr="00517641">
              <w:rPr>
                <w:rFonts w:cs="Times New Roman"/>
                <w:color w:val="auto"/>
                <w:sz w:val="18"/>
                <w:szCs w:val="18"/>
              </w:rPr>
              <w:t>0,4</w:t>
            </w:r>
          </w:p>
        </w:tc>
        <w:tc>
          <w:tcPr>
            <w:tcW w:w="726" w:type="dxa"/>
            <w:noWrap/>
            <w:tcMar>
              <w:left w:w="57" w:type="dxa"/>
              <w:right w:w="57" w:type="dxa"/>
            </w:tcMar>
            <w:vAlign w:val="center"/>
          </w:tcPr>
          <w:p w14:paraId="08C18D24" w14:textId="77777777" w:rsidR="004D1DFA" w:rsidRPr="00517641"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rPr>
            </w:pPr>
            <w:r w:rsidRPr="00517641">
              <w:rPr>
                <w:rFonts w:cs="Times New Roman"/>
                <w:color w:val="auto"/>
                <w:sz w:val="18"/>
                <w:szCs w:val="18"/>
              </w:rPr>
              <w:t>0,0</w:t>
            </w:r>
          </w:p>
        </w:tc>
        <w:tc>
          <w:tcPr>
            <w:tcW w:w="727" w:type="dxa"/>
            <w:noWrap/>
            <w:tcMar>
              <w:left w:w="57" w:type="dxa"/>
              <w:right w:w="57" w:type="dxa"/>
            </w:tcMar>
            <w:vAlign w:val="center"/>
          </w:tcPr>
          <w:p w14:paraId="04504977" w14:textId="77777777" w:rsidR="004D1DFA" w:rsidRPr="00517641"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rPr>
            </w:pPr>
            <w:r w:rsidRPr="00517641">
              <w:rPr>
                <w:rFonts w:cs="Times New Roman"/>
                <w:color w:val="auto"/>
                <w:sz w:val="18"/>
                <w:szCs w:val="18"/>
              </w:rPr>
              <w:t>0,0</w:t>
            </w:r>
          </w:p>
        </w:tc>
      </w:tr>
      <w:tr w:rsidR="004D1DFA" w:rsidRPr="00517641" w14:paraId="42B31ED4" w14:textId="77777777" w:rsidTr="00277007">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397" w:type="dxa"/>
            <w:noWrap/>
            <w:vAlign w:val="center"/>
          </w:tcPr>
          <w:p w14:paraId="1E57BF2D" w14:textId="77777777" w:rsidR="004D1DFA" w:rsidRPr="00517641" w:rsidRDefault="004D1DFA" w:rsidP="00277007">
            <w:pPr>
              <w:ind w:left="26" w:firstLine="8"/>
              <w:jc w:val="left"/>
              <w:rPr>
                <w:rFonts w:cs="Times New Roman"/>
                <w:b w:val="0"/>
                <w:color w:val="auto"/>
                <w:sz w:val="18"/>
                <w:szCs w:val="18"/>
              </w:rPr>
            </w:pPr>
            <w:r w:rsidRPr="00517641">
              <w:rPr>
                <w:rFonts w:cs="Times New Roman"/>
                <w:b w:val="0"/>
                <w:color w:val="auto"/>
                <w:sz w:val="18"/>
                <w:szCs w:val="18"/>
              </w:rPr>
              <w:t>Kopējā pamatkapitāla veidošana, pieaugums salīdzināmās cenās, %</w:t>
            </w:r>
          </w:p>
        </w:tc>
        <w:tc>
          <w:tcPr>
            <w:tcW w:w="726" w:type="dxa"/>
            <w:noWrap/>
            <w:tcMar>
              <w:left w:w="57" w:type="dxa"/>
              <w:right w:w="57" w:type="dxa"/>
            </w:tcMar>
            <w:vAlign w:val="center"/>
          </w:tcPr>
          <w:p w14:paraId="274DED7A" w14:textId="77777777" w:rsidR="004D1DFA" w:rsidRPr="00517641"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517641">
              <w:rPr>
                <w:rFonts w:cs="Times New Roman"/>
                <w:color w:val="000000"/>
                <w:sz w:val="18"/>
                <w:szCs w:val="18"/>
              </w:rPr>
              <w:t>-0,1</w:t>
            </w:r>
          </w:p>
        </w:tc>
        <w:tc>
          <w:tcPr>
            <w:tcW w:w="727" w:type="dxa"/>
            <w:noWrap/>
            <w:tcMar>
              <w:left w:w="57" w:type="dxa"/>
              <w:right w:w="57" w:type="dxa"/>
            </w:tcMar>
            <w:vAlign w:val="center"/>
          </w:tcPr>
          <w:p w14:paraId="739C29C6" w14:textId="77777777" w:rsidR="004D1DFA" w:rsidRPr="00517641"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517641">
              <w:rPr>
                <w:rFonts w:cs="Times New Roman"/>
                <w:color w:val="000000"/>
                <w:sz w:val="18"/>
                <w:szCs w:val="18"/>
              </w:rPr>
              <w:t>3,2</w:t>
            </w:r>
          </w:p>
        </w:tc>
        <w:tc>
          <w:tcPr>
            <w:tcW w:w="726" w:type="dxa"/>
            <w:noWrap/>
            <w:tcMar>
              <w:left w:w="57" w:type="dxa"/>
              <w:right w:w="57" w:type="dxa"/>
            </w:tcMar>
            <w:vAlign w:val="center"/>
          </w:tcPr>
          <w:p w14:paraId="48FB8392" w14:textId="77777777" w:rsidR="004D1DFA" w:rsidRPr="00517641"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517641">
              <w:rPr>
                <w:rFonts w:cs="Times New Roman"/>
                <w:color w:val="000000"/>
                <w:sz w:val="18"/>
                <w:szCs w:val="18"/>
              </w:rPr>
              <w:t>5,6</w:t>
            </w:r>
          </w:p>
        </w:tc>
        <w:tc>
          <w:tcPr>
            <w:tcW w:w="727" w:type="dxa"/>
            <w:tcBorders>
              <w:right w:val="double" w:sz="4" w:space="0" w:color="9CC2E5" w:themeColor="accent1" w:themeTint="99"/>
            </w:tcBorders>
            <w:noWrap/>
            <w:tcMar>
              <w:left w:w="57" w:type="dxa"/>
              <w:right w:w="57" w:type="dxa"/>
            </w:tcMar>
            <w:vAlign w:val="center"/>
          </w:tcPr>
          <w:p w14:paraId="73F34E94" w14:textId="77777777" w:rsidR="004D1DFA" w:rsidRPr="00517641"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517641">
              <w:rPr>
                <w:rFonts w:cs="Times New Roman"/>
                <w:color w:val="000000"/>
                <w:sz w:val="18"/>
                <w:szCs w:val="18"/>
              </w:rPr>
              <w:t>5,0</w:t>
            </w:r>
          </w:p>
        </w:tc>
        <w:tc>
          <w:tcPr>
            <w:tcW w:w="726" w:type="dxa"/>
            <w:tcBorders>
              <w:left w:val="double" w:sz="4" w:space="0" w:color="9CC2E5" w:themeColor="accent1" w:themeTint="99"/>
            </w:tcBorders>
            <w:noWrap/>
            <w:tcMar>
              <w:left w:w="57" w:type="dxa"/>
              <w:right w:w="57" w:type="dxa"/>
            </w:tcMar>
            <w:vAlign w:val="center"/>
          </w:tcPr>
          <w:p w14:paraId="581A7C19" w14:textId="77777777" w:rsidR="004D1DFA" w:rsidRPr="00517641"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517641">
              <w:rPr>
                <w:rFonts w:cs="Times New Roman"/>
                <w:color w:val="auto"/>
                <w:sz w:val="18"/>
                <w:szCs w:val="18"/>
              </w:rPr>
              <w:t>-1,1</w:t>
            </w:r>
          </w:p>
        </w:tc>
        <w:tc>
          <w:tcPr>
            <w:tcW w:w="727" w:type="dxa"/>
            <w:noWrap/>
            <w:tcMar>
              <w:left w:w="57" w:type="dxa"/>
              <w:right w:w="57" w:type="dxa"/>
            </w:tcMar>
            <w:vAlign w:val="center"/>
          </w:tcPr>
          <w:p w14:paraId="0B17C080" w14:textId="77777777" w:rsidR="004D1DFA" w:rsidRPr="00517641"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517641">
              <w:rPr>
                <w:rFonts w:cs="Times New Roman"/>
                <w:color w:val="auto"/>
                <w:sz w:val="18"/>
                <w:szCs w:val="18"/>
              </w:rPr>
              <w:t>-1,7</w:t>
            </w:r>
          </w:p>
        </w:tc>
        <w:tc>
          <w:tcPr>
            <w:tcW w:w="726" w:type="dxa"/>
            <w:noWrap/>
            <w:tcMar>
              <w:left w:w="57" w:type="dxa"/>
              <w:right w:w="57" w:type="dxa"/>
            </w:tcMar>
            <w:vAlign w:val="center"/>
          </w:tcPr>
          <w:p w14:paraId="294093D1" w14:textId="77777777" w:rsidR="004D1DFA" w:rsidRPr="00517641"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517641">
              <w:rPr>
                <w:rFonts w:cs="Times New Roman"/>
                <w:color w:val="auto"/>
                <w:sz w:val="18"/>
                <w:szCs w:val="18"/>
              </w:rPr>
              <w:t>0,6</w:t>
            </w:r>
          </w:p>
        </w:tc>
        <w:tc>
          <w:tcPr>
            <w:tcW w:w="727" w:type="dxa"/>
            <w:noWrap/>
            <w:tcMar>
              <w:left w:w="57" w:type="dxa"/>
              <w:right w:w="57" w:type="dxa"/>
            </w:tcMar>
            <w:vAlign w:val="center"/>
          </w:tcPr>
          <w:p w14:paraId="2D737DF0" w14:textId="77777777" w:rsidR="004D1DFA" w:rsidRPr="00517641"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517641">
              <w:rPr>
                <w:rFonts w:cs="Times New Roman"/>
                <w:color w:val="auto"/>
                <w:sz w:val="18"/>
                <w:szCs w:val="18"/>
              </w:rPr>
              <w:t>0,0</w:t>
            </w:r>
          </w:p>
        </w:tc>
      </w:tr>
      <w:tr w:rsidR="004D1DFA" w:rsidRPr="00517641" w14:paraId="4DB2E153" w14:textId="77777777" w:rsidTr="00277007">
        <w:trPr>
          <w:trHeight w:val="340"/>
          <w:jc w:val="center"/>
        </w:trPr>
        <w:tc>
          <w:tcPr>
            <w:cnfStyle w:val="001000000000" w:firstRow="0" w:lastRow="0" w:firstColumn="1" w:lastColumn="0" w:oddVBand="0" w:evenVBand="0" w:oddHBand="0" w:evenHBand="0" w:firstRowFirstColumn="0" w:firstRowLastColumn="0" w:lastRowFirstColumn="0" w:lastRowLastColumn="0"/>
            <w:tcW w:w="3397" w:type="dxa"/>
            <w:noWrap/>
            <w:vAlign w:val="center"/>
          </w:tcPr>
          <w:p w14:paraId="6CB27F28" w14:textId="77777777" w:rsidR="004D1DFA" w:rsidRPr="00517641" w:rsidRDefault="004D1DFA" w:rsidP="00277007">
            <w:pPr>
              <w:ind w:left="26" w:firstLine="8"/>
              <w:jc w:val="left"/>
              <w:rPr>
                <w:rFonts w:cs="Times New Roman"/>
                <w:b w:val="0"/>
                <w:color w:val="auto"/>
                <w:sz w:val="18"/>
                <w:szCs w:val="18"/>
              </w:rPr>
            </w:pPr>
            <w:r w:rsidRPr="00517641">
              <w:rPr>
                <w:rFonts w:cs="Times New Roman"/>
                <w:b w:val="0"/>
                <w:color w:val="auto"/>
                <w:sz w:val="18"/>
                <w:szCs w:val="18"/>
              </w:rPr>
              <w:lastRenderedPageBreak/>
              <w:t>Preču un pakalpojumu eksports, pieaugums salīdzināmās cenās, %</w:t>
            </w:r>
          </w:p>
        </w:tc>
        <w:tc>
          <w:tcPr>
            <w:tcW w:w="726" w:type="dxa"/>
            <w:noWrap/>
            <w:tcMar>
              <w:left w:w="57" w:type="dxa"/>
              <w:right w:w="57" w:type="dxa"/>
            </w:tcMar>
            <w:vAlign w:val="center"/>
          </w:tcPr>
          <w:p w14:paraId="16C52110" w14:textId="77777777" w:rsidR="004D1DFA" w:rsidRPr="00517641"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517641">
              <w:rPr>
                <w:rFonts w:cs="Times New Roman"/>
                <w:color w:val="000000"/>
                <w:sz w:val="18"/>
                <w:szCs w:val="18"/>
              </w:rPr>
              <w:t>-0,4</w:t>
            </w:r>
          </w:p>
        </w:tc>
        <w:tc>
          <w:tcPr>
            <w:tcW w:w="727" w:type="dxa"/>
            <w:noWrap/>
            <w:tcMar>
              <w:left w:w="57" w:type="dxa"/>
              <w:right w:w="57" w:type="dxa"/>
            </w:tcMar>
            <w:vAlign w:val="center"/>
          </w:tcPr>
          <w:p w14:paraId="23921C49" w14:textId="77777777" w:rsidR="004D1DFA" w:rsidRPr="00517641"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517641">
              <w:rPr>
                <w:rFonts w:cs="Times New Roman"/>
                <w:color w:val="000000"/>
                <w:sz w:val="18"/>
                <w:szCs w:val="18"/>
              </w:rPr>
              <w:t>3,7</w:t>
            </w:r>
          </w:p>
        </w:tc>
        <w:tc>
          <w:tcPr>
            <w:tcW w:w="726" w:type="dxa"/>
            <w:noWrap/>
            <w:tcMar>
              <w:left w:w="57" w:type="dxa"/>
              <w:right w:w="57" w:type="dxa"/>
            </w:tcMar>
            <w:vAlign w:val="center"/>
          </w:tcPr>
          <w:p w14:paraId="3753DC36" w14:textId="77777777" w:rsidR="004D1DFA" w:rsidRPr="00517641"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517641">
              <w:rPr>
                <w:rFonts w:cs="Times New Roman"/>
                <w:color w:val="000000"/>
                <w:sz w:val="18"/>
                <w:szCs w:val="18"/>
              </w:rPr>
              <w:t>4,6</w:t>
            </w:r>
          </w:p>
        </w:tc>
        <w:tc>
          <w:tcPr>
            <w:tcW w:w="727" w:type="dxa"/>
            <w:tcBorders>
              <w:right w:val="double" w:sz="4" w:space="0" w:color="9CC2E5" w:themeColor="accent1" w:themeTint="99"/>
            </w:tcBorders>
            <w:noWrap/>
            <w:tcMar>
              <w:left w:w="57" w:type="dxa"/>
              <w:right w:w="57" w:type="dxa"/>
            </w:tcMar>
            <w:vAlign w:val="center"/>
          </w:tcPr>
          <w:p w14:paraId="2733C63B" w14:textId="77777777" w:rsidR="004D1DFA" w:rsidRPr="00517641"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517641">
              <w:rPr>
                <w:rFonts w:cs="Times New Roman"/>
                <w:color w:val="000000"/>
                <w:sz w:val="18"/>
                <w:szCs w:val="18"/>
              </w:rPr>
              <w:t>5,0</w:t>
            </w:r>
          </w:p>
        </w:tc>
        <w:tc>
          <w:tcPr>
            <w:tcW w:w="726" w:type="dxa"/>
            <w:tcBorders>
              <w:left w:val="double" w:sz="4" w:space="0" w:color="9CC2E5" w:themeColor="accent1" w:themeTint="99"/>
            </w:tcBorders>
            <w:noWrap/>
            <w:tcMar>
              <w:left w:w="57" w:type="dxa"/>
              <w:right w:w="57" w:type="dxa"/>
            </w:tcMar>
            <w:vAlign w:val="center"/>
          </w:tcPr>
          <w:p w14:paraId="08488B45" w14:textId="77777777" w:rsidR="004D1DFA" w:rsidRPr="00517641"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rPr>
            </w:pPr>
            <w:r w:rsidRPr="00517641">
              <w:rPr>
                <w:rFonts w:cs="Times New Roman"/>
                <w:color w:val="auto"/>
                <w:sz w:val="18"/>
                <w:szCs w:val="18"/>
              </w:rPr>
              <w:t>-0,4</w:t>
            </w:r>
          </w:p>
        </w:tc>
        <w:tc>
          <w:tcPr>
            <w:tcW w:w="727" w:type="dxa"/>
            <w:noWrap/>
            <w:tcMar>
              <w:left w:w="57" w:type="dxa"/>
              <w:right w:w="57" w:type="dxa"/>
            </w:tcMar>
            <w:vAlign w:val="center"/>
          </w:tcPr>
          <w:p w14:paraId="621394A1" w14:textId="77777777" w:rsidR="004D1DFA" w:rsidRPr="00517641"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rPr>
            </w:pPr>
            <w:r w:rsidRPr="00517641">
              <w:rPr>
                <w:rFonts w:cs="Times New Roman"/>
                <w:color w:val="auto"/>
                <w:sz w:val="18"/>
                <w:szCs w:val="18"/>
              </w:rPr>
              <w:t>-0,6</w:t>
            </w:r>
          </w:p>
        </w:tc>
        <w:tc>
          <w:tcPr>
            <w:tcW w:w="726" w:type="dxa"/>
            <w:noWrap/>
            <w:tcMar>
              <w:left w:w="57" w:type="dxa"/>
              <w:right w:w="57" w:type="dxa"/>
            </w:tcMar>
            <w:vAlign w:val="center"/>
          </w:tcPr>
          <w:p w14:paraId="2439D808" w14:textId="77777777" w:rsidR="004D1DFA" w:rsidRPr="00517641"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rPr>
            </w:pPr>
            <w:r w:rsidRPr="00517641">
              <w:rPr>
                <w:rFonts w:cs="Times New Roman"/>
                <w:color w:val="auto"/>
                <w:sz w:val="18"/>
                <w:szCs w:val="18"/>
              </w:rPr>
              <w:t>0,0</w:t>
            </w:r>
          </w:p>
        </w:tc>
        <w:tc>
          <w:tcPr>
            <w:tcW w:w="727" w:type="dxa"/>
            <w:noWrap/>
            <w:tcMar>
              <w:left w:w="57" w:type="dxa"/>
              <w:right w:w="57" w:type="dxa"/>
            </w:tcMar>
            <w:vAlign w:val="center"/>
          </w:tcPr>
          <w:p w14:paraId="5A2161D4" w14:textId="77777777" w:rsidR="004D1DFA" w:rsidRPr="00517641"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rPr>
            </w:pPr>
            <w:r w:rsidRPr="00517641">
              <w:rPr>
                <w:rFonts w:cs="Times New Roman"/>
                <w:color w:val="auto"/>
                <w:sz w:val="18"/>
                <w:szCs w:val="18"/>
              </w:rPr>
              <w:t>0,0</w:t>
            </w:r>
          </w:p>
        </w:tc>
      </w:tr>
      <w:tr w:rsidR="004D1DFA" w:rsidRPr="00517641" w14:paraId="3C7D7191" w14:textId="77777777" w:rsidTr="00277007">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397" w:type="dxa"/>
            <w:noWrap/>
            <w:vAlign w:val="center"/>
          </w:tcPr>
          <w:p w14:paraId="627B08CA" w14:textId="77777777" w:rsidR="004D1DFA" w:rsidRPr="00517641" w:rsidRDefault="004D1DFA" w:rsidP="00277007">
            <w:pPr>
              <w:ind w:left="26" w:firstLine="8"/>
              <w:jc w:val="left"/>
              <w:rPr>
                <w:rFonts w:cs="Times New Roman"/>
                <w:b w:val="0"/>
                <w:color w:val="auto"/>
                <w:sz w:val="18"/>
                <w:szCs w:val="18"/>
              </w:rPr>
            </w:pPr>
            <w:r w:rsidRPr="00517641">
              <w:rPr>
                <w:rFonts w:cs="Times New Roman"/>
                <w:b w:val="0"/>
                <w:color w:val="auto"/>
                <w:sz w:val="18"/>
                <w:szCs w:val="18"/>
              </w:rPr>
              <w:t>Preču un pakalpojumu imports, pieaugums salīdzināmās cenās, %</w:t>
            </w:r>
          </w:p>
        </w:tc>
        <w:tc>
          <w:tcPr>
            <w:tcW w:w="726" w:type="dxa"/>
            <w:noWrap/>
            <w:tcMar>
              <w:left w:w="57" w:type="dxa"/>
              <w:right w:w="57" w:type="dxa"/>
            </w:tcMar>
            <w:vAlign w:val="center"/>
          </w:tcPr>
          <w:p w14:paraId="250D0CD8" w14:textId="77777777" w:rsidR="004D1DFA" w:rsidRPr="00517641"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517641">
              <w:rPr>
                <w:rFonts w:cs="Times New Roman"/>
                <w:color w:val="000000"/>
                <w:sz w:val="18"/>
                <w:szCs w:val="18"/>
              </w:rPr>
              <w:t>0,7</w:t>
            </w:r>
          </w:p>
        </w:tc>
        <w:tc>
          <w:tcPr>
            <w:tcW w:w="727" w:type="dxa"/>
            <w:noWrap/>
            <w:tcMar>
              <w:left w:w="57" w:type="dxa"/>
              <w:right w:w="57" w:type="dxa"/>
            </w:tcMar>
            <w:vAlign w:val="center"/>
          </w:tcPr>
          <w:p w14:paraId="00B27DAF" w14:textId="77777777" w:rsidR="004D1DFA" w:rsidRPr="00517641"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517641">
              <w:rPr>
                <w:rFonts w:cs="Times New Roman"/>
                <w:color w:val="000000"/>
                <w:sz w:val="18"/>
                <w:szCs w:val="18"/>
              </w:rPr>
              <w:t>3,1</w:t>
            </w:r>
          </w:p>
        </w:tc>
        <w:tc>
          <w:tcPr>
            <w:tcW w:w="726" w:type="dxa"/>
            <w:noWrap/>
            <w:tcMar>
              <w:left w:w="57" w:type="dxa"/>
              <w:right w:w="57" w:type="dxa"/>
            </w:tcMar>
            <w:vAlign w:val="center"/>
          </w:tcPr>
          <w:p w14:paraId="5A8C536D" w14:textId="77777777" w:rsidR="004D1DFA" w:rsidRPr="00517641"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517641">
              <w:rPr>
                <w:rFonts w:cs="Times New Roman"/>
                <w:color w:val="000000"/>
                <w:sz w:val="18"/>
                <w:szCs w:val="18"/>
              </w:rPr>
              <w:t>5,3</w:t>
            </w:r>
          </w:p>
        </w:tc>
        <w:tc>
          <w:tcPr>
            <w:tcW w:w="727" w:type="dxa"/>
            <w:tcBorders>
              <w:right w:val="double" w:sz="4" w:space="0" w:color="9CC2E5" w:themeColor="accent1" w:themeTint="99"/>
            </w:tcBorders>
            <w:noWrap/>
            <w:tcMar>
              <w:left w:w="57" w:type="dxa"/>
              <w:right w:w="57" w:type="dxa"/>
            </w:tcMar>
            <w:vAlign w:val="center"/>
          </w:tcPr>
          <w:p w14:paraId="546966EC" w14:textId="77777777" w:rsidR="004D1DFA" w:rsidRPr="00517641"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517641">
              <w:rPr>
                <w:rFonts w:cs="Times New Roman"/>
                <w:color w:val="000000"/>
                <w:sz w:val="18"/>
                <w:szCs w:val="18"/>
              </w:rPr>
              <w:t>5,0</w:t>
            </w:r>
          </w:p>
        </w:tc>
        <w:tc>
          <w:tcPr>
            <w:tcW w:w="726" w:type="dxa"/>
            <w:tcBorders>
              <w:left w:val="double" w:sz="4" w:space="0" w:color="9CC2E5" w:themeColor="accent1" w:themeTint="99"/>
            </w:tcBorders>
            <w:noWrap/>
            <w:tcMar>
              <w:left w:w="57" w:type="dxa"/>
              <w:right w:w="57" w:type="dxa"/>
            </w:tcMar>
            <w:vAlign w:val="center"/>
          </w:tcPr>
          <w:p w14:paraId="6A9E475F" w14:textId="77777777" w:rsidR="004D1DFA" w:rsidRPr="00517641"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517641">
              <w:rPr>
                <w:rFonts w:cs="Times New Roman"/>
                <w:color w:val="auto"/>
                <w:sz w:val="18"/>
                <w:szCs w:val="18"/>
              </w:rPr>
              <w:t>0,2</w:t>
            </w:r>
          </w:p>
        </w:tc>
        <w:tc>
          <w:tcPr>
            <w:tcW w:w="727" w:type="dxa"/>
            <w:noWrap/>
            <w:tcMar>
              <w:left w:w="57" w:type="dxa"/>
              <w:right w:w="57" w:type="dxa"/>
            </w:tcMar>
            <w:vAlign w:val="center"/>
          </w:tcPr>
          <w:p w14:paraId="5524E6F8" w14:textId="77777777" w:rsidR="004D1DFA" w:rsidRPr="00517641"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517641">
              <w:rPr>
                <w:rFonts w:cs="Times New Roman"/>
                <w:color w:val="auto"/>
                <w:sz w:val="18"/>
                <w:szCs w:val="18"/>
              </w:rPr>
              <w:t>-0,8</w:t>
            </w:r>
          </w:p>
        </w:tc>
        <w:tc>
          <w:tcPr>
            <w:tcW w:w="726" w:type="dxa"/>
            <w:noWrap/>
            <w:tcMar>
              <w:left w:w="57" w:type="dxa"/>
              <w:right w:w="57" w:type="dxa"/>
            </w:tcMar>
            <w:vAlign w:val="center"/>
          </w:tcPr>
          <w:p w14:paraId="03BDA1AC" w14:textId="77777777" w:rsidR="004D1DFA" w:rsidRPr="00517641"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517641">
              <w:rPr>
                <w:rFonts w:cs="Times New Roman"/>
                <w:color w:val="auto"/>
                <w:sz w:val="18"/>
                <w:szCs w:val="18"/>
              </w:rPr>
              <w:t>0,6</w:t>
            </w:r>
          </w:p>
        </w:tc>
        <w:tc>
          <w:tcPr>
            <w:tcW w:w="727" w:type="dxa"/>
            <w:noWrap/>
            <w:tcMar>
              <w:left w:w="57" w:type="dxa"/>
              <w:right w:w="57" w:type="dxa"/>
            </w:tcMar>
            <w:vAlign w:val="center"/>
          </w:tcPr>
          <w:p w14:paraId="1CEFF457" w14:textId="77777777" w:rsidR="004D1DFA" w:rsidRPr="00517641"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517641">
              <w:rPr>
                <w:rFonts w:cs="Times New Roman"/>
                <w:color w:val="auto"/>
                <w:sz w:val="18"/>
                <w:szCs w:val="18"/>
              </w:rPr>
              <w:t>0,0</w:t>
            </w:r>
          </w:p>
        </w:tc>
      </w:tr>
      <w:tr w:rsidR="004D1DFA" w:rsidRPr="00517641" w14:paraId="528625F7" w14:textId="77777777" w:rsidTr="00277007">
        <w:trPr>
          <w:trHeight w:val="340"/>
          <w:jc w:val="center"/>
        </w:trPr>
        <w:tc>
          <w:tcPr>
            <w:cnfStyle w:val="001000000000" w:firstRow="0" w:lastRow="0" w:firstColumn="1" w:lastColumn="0" w:oddVBand="0" w:evenVBand="0" w:oddHBand="0" w:evenHBand="0" w:firstRowFirstColumn="0" w:firstRowLastColumn="0" w:lastRowFirstColumn="0" w:lastRowLastColumn="0"/>
            <w:tcW w:w="3397" w:type="dxa"/>
            <w:noWrap/>
            <w:vAlign w:val="center"/>
            <w:hideMark/>
          </w:tcPr>
          <w:p w14:paraId="337A97DA" w14:textId="77777777" w:rsidR="004D1DFA" w:rsidRPr="00517641" w:rsidRDefault="004D1DFA" w:rsidP="00277007">
            <w:pPr>
              <w:ind w:firstLine="8"/>
              <w:jc w:val="left"/>
              <w:rPr>
                <w:rFonts w:cs="Times New Roman"/>
                <w:b w:val="0"/>
                <w:color w:val="auto"/>
                <w:sz w:val="18"/>
                <w:szCs w:val="18"/>
              </w:rPr>
            </w:pPr>
            <w:r w:rsidRPr="00517641">
              <w:rPr>
                <w:rFonts w:cs="Times New Roman"/>
                <w:b w:val="0"/>
                <w:color w:val="auto"/>
                <w:sz w:val="18"/>
                <w:szCs w:val="18"/>
              </w:rPr>
              <w:t>Vidējās darba samaksas tautsaimniecībā pieaugums faktiskajās cenās, %</w:t>
            </w:r>
          </w:p>
        </w:tc>
        <w:tc>
          <w:tcPr>
            <w:tcW w:w="726" w:type="dxa"/>
            <w:noWrap/>
            <w:tcMar>
              <w:left w:w="57" w:type="dxa"/>
              <w:right w:w="57" w:type="dxa"/>
            </w:tcMar>
            <w:vAlign w:val="center"/>
          </w:tcPr>
          <w:p w14:paraId="01204750" w14:textId="77777777" w:rsidR="004D1DFA" w:rsidRPr="00517641"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517641">
              <w:rPr>
                <w:rFonts w:cs="Times New Roman"/>
                <w:color w:val="000000"/>
                <w:sz w:val="18"/>
                <w:szCs w:val="18"/>
              </w:rPr>
              <w:t>7,0</w:t>
            </w:r>
          </w:p>
        </w:tc>
        <w:tc>
          <w:tcPr>
            <w:tcW w:w="727" w:type="dxa"/>
            <w:noWrap/>
            <w:tcMar>
              <w:left w:w="57" w:type="dxa"/>
              <w:right w:w="57" w:type="dxa"/>
            </w:tcMar>
            <w:vAlign w:val="center"/>
          </w:tcPr>
          <w:p w14:paraId="4E5C759E" w14:textId="77777777" w:rsidR="004D1DFA" w:rsidRPr="00517641"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517641">
              <w:rPr>
                <w:rFonts w:cs="Times New Roman"/>
                <w:color w:val="000000"/>
                <w:sz w:val="18"/>
                <w:szCs w:val="18"/>
              </w:rPr>
              <w:t>5,5</w:t>
            </w:r>
          </w:p>
        </w:tc>
        <w:tc>
          <w:tcPr>
            <w:tcW w:w="726" w:type="dxa"/>
            <w:noWrap/>
            <w:tcMar>
              <w:left w:w="57" w:type="dxa"/>
              <w:right w:w="57" w:type="dxa"/>
            </w:tcMar>
            <w:vAlign w:val="center"/>
          </w:tcPr>
          <w:p w14:paraId="4C191906" w14:textId="77777777" w:rsidR="004D1DFA" w:rsidRPr="00517641"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517641">
              <w:rPr>
                <w:rFonts w:cs="Times New Roman"/>
                <w:color w:val="000000"/>
                <w:sz w:val="18"/>
                <w:szCs w:val="18"/>
              </w:rPr>
              <w:t>4,0</w:t>
            </w:r>
          </w:p>
        </w:tc>
        <w:tc>
          <w:tcPr>
            <w:tcW w:w="727" w:type="dxa"/>
            <w:tcBorders>
              <w:right w:val="double" w:sz="4" w:space="0" w:color="9CC2E5" w:themeColor="accent1" w:themeTint="99"/>
            </w:tcBorders>
            <w:noWrap/>
            <w:tcMar>
              <w:left w:w="57" w:type="dxa"/>
              <w:right w:w="57" w:type="dxa"/>
            </w:tcMar>
            <w:vAlign w:val="center"/>
          </w:tcPr>
          <w:p w14:paraId="79E1CC53" w14:textId="77777777" w:rsidR="004D1DFA" w:rsidRPr="00517641"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517641">
              <w:rPr>
                <w:rFonts w:cs="Times New Roman"/>
                <w:color w:val="000000"/>
                <w:sz w:val="18"/>
                <w:szCs w:val="18"/>
              </w:rPr>
              <w:t>4,0</w:t>
            </w:r>
          </w:p>
        </w:tc>
        <w:tc>
          <w:tcPr>
            <w:tcW w:w="726" w:type="dxa"/>
            <w:tcBorders>
              <w:left w:val="double" w:sz="4" w:space="0" w:color="9CC2E5" w:themeColor="accent1" w:themeTint="99"/>
            </w:tcBorders>
            <w:noWrap/>
            <w:tcMar>
              <w:left w:w="57" w:type="dxa"/>
              <w:right w:w="57" w:type="dxa"/>
            </w:tcMar>
            <w:vAlign w:val="center"/>
          </w:tcPr>
          <w:p w14:paraId="6668817D" w14:textId="77777777" w:rsidR="004D1DFA" w:rsidRPr="00517641"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rPr>
            </w:pPr>
            <w:r w:rsidRPr="00517641">
              <w:rPr>
                <w:rFonts w:cs="Times New Roman"/>
                <w:color w:val="auto"/>
                <w:sz w:val="18"/>
                <w:szCs w:val="18"/>
              </w:rPr>
              <w:t>-1,5</w:t>
            </w:r>
          </w:p>
        </w:tc>
        <w:tc>
          <w:tcPr>
            <w:tcW w:w="727" w:type="dxa"/>
            <w:noWrap/>
            <w:tcMar>
              <w:left w:w="57" w:type="dxa"/>
              <w:right w:w="57" w:type="dxa"/>
            </w:tcMar>
            <w:vAlign w:val="center"/>
          </w:tcPr>
          <w:p w14:paraId="523C83A2" w14:textId="77777777" w:rsidR="004D1DFA" w:rsidRPr="00517641"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rPr>
            </w:pPr>
            <w:r w:rsidRPr="00517641">
              <w:rPr>
                <w:rFonts w:cs="Times New Roman"/>
                <w:color w:val="auto"/>
                <w:sz w:val="18"/>
                <w:szCs w:val="18"/>
              </w:rPr>
              <w:t>-1,0</w:t>
            </w:r>
          </w:p>
        </w:tc>
        <w:tc>
          <w:tcPr>
            <w:tcW w:w="726" w:type="dxa"/>
            <w:noWrap/>
            <w:tcMar>
              <w:left w:w="57" w:type="dxa"/>
              <w:right w:w="57" w:type="dxa"/>
            </w:tcMar>
            <w:vAlign w:val="center"/>
          </w:tcPr>
          <w:p w14:paraId="7692B4EA" w14:textId="77777777" w:rsidR="004D1DFA" w:rsidRPr="00517641"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rPr>
            </w:pPr>
            <w:r w:rsidRPr="00517641">
              <w:rPr>
                <w:rFonts w:cs="Times New Roman"/>
                <w:color w:val="auto"/>
                <w:sz w:val="18"/>
                <w:szCs w:val="18"/>
              </w:rPr>
              <w:t>-1,0</w:t>
            </w:r>
          </w:p>
        </w:tc>
        <w:tc>
          <w:tcPr>
            <w:tcW w:w="727" w:type="dxa"/>
            <w:noWrap/>
            <w:tcMar>
              <w:left w:w="57" w:type="dxa"/>
              <w:right w:w="57" w:type="dxa"/>
            </w:tcMar>
            <w:vAlign w:val="center"/>
          </w:tcPr>
          <w:p w14:paraId="753377C1" w14:textId="77777777" w:rsidR="004D1DFA" w:rsidRPr="00517641"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rPr>
            </w:pPr>
            <w:r w:rsidRPr="00517641">
              <w:rPr>
                <w:rFonts w:cs="Times New Roman"/>
                <w:color w:val="auto"/>
                <w:sz w:val="18"/>
                <w:szCs w:val="18"/>
              </w:rPr>
              <w:t>0,0</w:t>
            </w:r>
          </w:p>
        </w:tc>
      </w:tr>
      <w:tr w:rsidR="004D1DFA" w:rsidRPr="00517641" w14:paraId="6CC3D4DB" w14:textId="77777777" w:rsidTr="00277007">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397" w:type="dxa"/>
            <w:noWrap/>
            <w:vAlign w:val="center"/>
            <w:hideMark/>
          </w:tcPr>
          <w:p w14:paraId="7F6B627F" w14:textId="77777777" w:rsidR="004D1DFA" w:rsidRPr="00517641" w:rsidRDefault="004D1DFA" w:rsidP="00277007">
            <w:pPr>
              <w:ind w:firstLine="8"/>
              <w:jc w:val="left"/>
              <w:rPr>
                <w:rFonts w:cs="Times New Roman"/>
                <w:b w:val="0"/>
                <w:color w:val="auto"/>
                <w:sz w:val="18"/>
                <w:szCs w:val="18"/>
              </w:rPr>
            </w:pPr>
            <w:r w:rsidRPr="00517641">
              <w:rPr>
                <w:rFonts w:cs="Times New Roman"/>
                <w:b w:val="0"/>
                <w:color w:val="auto"/>
                <w:sz w:val="18"/>
                <w:szCs w:val="18"/>
              </w:rPr>
              <w:t>Nodarbinātības pieaugums, %</w:t>
            </w:r>
          </w:p>
        </w:tc>
        <w:tc>
          <w:tcPr>
            <w:tcW w:w="726" w:type="dxa"/>
            <w:noWrap/>
            <w:tcMar>
              <w:left w:w="57" w:type="dxa"/>
              <w:right w:w="57" w:type="dxa"/>
            </w:tcMar>
            <w:vAlign w:val="center"/>
          </w:tcPr>
          <w:p w14:paraId="55AEA64F" w14:textId="77777777" w:rsidR="004D1DFA" w:rsidRPr="00517641"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517641">
              <w:rPr>
                <w:rFonts w:cs="Times New Roman"/>
                <w:color w:val="000000"/>
                <w:sz w:val="18"/>
                <w:szCs w:val="18"/>
              </w:rPr>
              <w:t>-0,3</w:t>
            </w:r>
          </w:p>
        </w:tc>
        <w:tc>
          <w:tcPr>
            <w:tcW w:w="727" w:type="dxa"/>
            <w:noWrap/>
            <w:tcMar>
              <w:left w:w="57" w:type="dxa"/>
              <w:right w:w="57" w:type="dxa"/>
            </w:tcMar>
            <w:vAlign w:val="center"/>
          </w:tcPr>
          <w:p w14:paraId="282F0E6D" w14:textId="77777777" w:rsidR="004D1DFA" w:rsidRPr="00517641"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517641">
              <w:rPr>
                <w:rFonts w:cs="Times New Roman"/>
                <w:color w:val="000000"/>
                <w:sz w:val="18"/>
                <w:szCs w:val="18"/>
              </w:rPr>
              <w:t>-0,9</w:t>
            </w:r>
          </w:p>
        </w:tc>
        <w:tc>
          <w:tcPr>
            <w:tcW w:w="726" w:type="dxa"/>
            <w:noWrap/>
            <w:tcMar>
              <w:left w:w="57" w:type="dxa"/>
              <w:right w:w="57" w:type="dxa"/>
            </w:tcMar>
            <w:vAlign w:val="center"/>
          </w:tcPr>
          <w:p w14:paraId="30492A64" w14:textId="77777777" w:rsidR="004D1DFA" w:rsidRPr="00517641"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517641">
              <w:rPr>
                <w:rFonts w:cs="Times New Roman"/>
                <w:color w:val="000000"/>
                <w:sz w:val="18"/>
                <w:szCs w:val="18"/>
              </w:rPr>
              <w:t>-0,3</w:t>
            </w:r>
          </w:p>
        </w:tc>
        <w:tc>
          <w:tcPr>
            <w:tcW w:w="727" w:type="dxa"/>
            <w:tcBorders>
              <w:right w:val="double" w:sz="4" w:space="0" w:color="9CC2E5" w:themeColor="accent1" w:themeTint="99"/>
            </w:tcBorders>
            <w:noWrap/>
            <w:tcMar>
              <w:left w:w="57" w:type="dxa"/>
              <w:right w:w="57" w:type="dxa"/>
            </w:tcMar>
            <w:vAlign w:val="center"/>
          </w:tcPr>
          <w:p w14:paraId="01EBFA0D" w14:textId="77777777" w:rsidR="004D1DFA" w:rsidRPr="00517641"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517641">
              <w:rPr>
                <w:rFonts w:cs="Times New Roman"/>
                <w:color w:val="000000"/>
                <w:sz w:val="18"/>
                <w:szCs w:val="18"/>
              </w:rPr>
              <w:t>0,0</w:t>
            </w:r>
          </w:p>
        </w:tc>
        <w:tc>
          <w:tcPr>
            <w:tcW w:w="726" w:type="dxa"/>
            <w:tcBorders>
              <w:left w:val="double" w:sz="4" w:space="0" w:color="9CC2E5" w:themeColor="accent1" w:themeTint="99"/>
            </w:tcBorders>
            <w:noWrap/>
            <w:tcMar>
              <w:left w:w="57" w:type="dxa"/>
              <w:right w:w="57" w:type="dxa"/>
            </w:tcMar>
            <w:vAlign w:val="center"/>
          </w:tcPr>
          <w:p w14:paraId="54E46F48" w14:textId="77777777" w:rsidR="004D1DFA" w:rsidRPr="00517641"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517641">
              <w:rPr>
                <w:rFonts w:cs="Times New Roman"/>
                <w:color w:val="auto"/>
                <w:sz w:val="18"/>
                <w:szCs w:val="18"/>
              </w:rPr>
              <w:t>-0,3</w:t>
            </w:r>
          </w:p>
        </w:tc>
        <w:tc>
          <w:tcPr>
            <w:tcW w:w="727" w:type="dxa"/>
            <w:noWrap/>
            <w:tcMar>
              <w:left w:w="57" w:type="dxa"/>
              <w:right w:w="57" w:type="dxa"/>
            </w:tcMar>
            <w:vAlign w:val="center"/>
          </w:tcPr>
          <w:p w14:paraId="5A8DFD97" w14:textId="77777777" w:rsidR="004D1DFA" w:rsidRPr="00517641"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517641">
              <w:rPr>
                <w:rFonts w:cs="Times New Roman"/>
                <w:color w:val="auto"/>
                <w:sz w:val="18"/>
                <w:szCs w:val="18"/>
              </w:rPr>
              <w:t>-0,7</w:t>
            </w:r>
          </w:p>
        </w:tc>
        <w:tc>
          <w:tcPr>
            <w:tcW w:w="726" w:type="dxa"/>
            <w:noWrap/>
            <w:tcMar>
              <w:left w:w="57" w:type="dxa"/>
              <w:right w:w="57" w:type="dxa"/>
            </w:tcMar>
            <w:vAlign w:val="center"/>
          </w:tcPr>
          <w:p w14:paraId="144671EF" w14:textId="77777777" w:rsidR="004D1DFA" w:rsidRPr="00517641"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517641">
              <w:rPr>
                <w:rFonts w:cs="Times New Roman"/>
                <w:color w:val="auto"/>
                <w:sz w:val="18"/>
                <w:szCs w:val="18"/>
              </w:rPr>
              <w:t>0,0</w:t>
            </w:r>
          </w:p>
        </w:tc>
        <w:tc>
          <w:tcPr>
            <w:tcW w:w="727" w:type="dxa"/>
            <w:noWrap/>
            <w:tcMar>
              <w:left w:w="57" w:type="dxa"/>
              <w:right w:w="57" w:type="dxa"/>
            </w:tcMar>
            <w:vAlign w:val="center"/>
          </w:tcPr>
          <w:p w14:paraId="6D8D9CC3" w14:textId="77777777" w:rsidR="004D1DFA" w:rsidRPr="00517641"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517641">
              <w:rPr>
                <w:rFonts w:cs="Times New Roman"/>
                <w:color w:val="auto"/>
                <w:sz w:val="18"/>
                <w:szCs w:val="18"/>
              </w:rPr>
              <w:t>0,6</w:t>
            </w:r>
          </w:p>
        </w:tc>
      </w:tr>
      <w:tr w:rsidR="004D1DFA" w:rsidRPr="00517641" w14:paraId="38398934" w14:textId="77777777" w:rsidTr="00277007">
        <w:trPr>
          <w:trHeight w:val="340"/>
          <w:jc w:val="center"/>
        </w:trPr>
        <w:tc>
          <w:tcPr>
            <w:cnfStyle w:val="001000000000" w:firstRow="0" w:lastRow="0" w:firstColumn="1" w:lastColumn="0" w:oddVBand="0" w:evenVBand="0" w:oddHBand="0" w:evenHBand="0" w:firstRowFirstColumn="0" w:firstRowLastColumn="0" w:lastRowFirstColumn="0" w:lastRowLastColumn="0"/>
            <w:tcW w:w="3397" w:type="dxa"/>
            <w:noWrap/>
            <w:vAlign w:val="center"/>
          </w:tcPr>
          <w:p w14:paraId="2FC9C4AE" w14:textId="77777777" w:rsidR="004D1DFA" w:rsidRPr="00517641" w:rsidRDefault="004D1DFA" w:rsidP="00277007">
            <w:pPr>
              <w:ind w:firstLine="8"/>
              <w:jc w:val="left"/>
              <w:rPr>
                <w:rFonts w:cs="Times New Roman"/>
                <w:b w:val="0"/>
                <w:color w:val="auto"/>
                <w:sz w:val="18"/>
                <w:szCs w:val="18"/>
              </w:rPr>
            </w:pPr>
            <w:r w:rsidRPr="00517641">
              <w:rPr>
                <w:rFonts w:cs="Times New Roman"/>
                <w:b w:val="0"/>
                <w:color w:val="auto"/>
                <w:sz w:val="18"/>
                <w:szCs w:val="18"/>
              </w:rPr>
              <w:t>Bezdarba līmenis, %</w:t>
            </w:r>
          </w:p>
        </w:tc>
        <w:tc>
          <w:tcPr>
            <w:tcW w:w="726" w:type="dxa"/>
            <w:noWrap/>
            <w:tcMar>
              <w:left w:w="57" w:type="dxa"/>
              <w:right w:w="57" w:type="dxa"/>
            </w:tcMar>
            <w:vAlign w:val="center"/>
          </w:tcPr>
          <w:p w14:paraId="6A8B0912" w14:textId="77777777" w:rsidR="004D1DFA" w:rsidRPr="00517641"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517641">
              <w:rPr>
                <w:rFonts w:cs="Times New Roman"/>
                <w:color w:val="000000"/>
                <w:sz w:val="18"/>
                <w:szCs w:val="18"/>
              </w:rPr>
              <w:t>7,5</w:t>
            </w:r>
          </w:p>
        </w:tc>
        <w:tc>
          <w:tcPr>
            <w:tcW w:w="727" w:type="dxa"/>
            <w:noWrap/>
            <w:tcMar>
              <w:left w:w="57" w:type="dxa"/>
              <w:right w:w="57" w:type="dxa"/>
            </w:tcMar>
            <w:vAlign w:val="center"/>
          </w:tcPr>
          <w:p w14:paraId="72E7EAC7" w14:textId="77777777" w:rsidR="004D1DFA" w:rsidRPr="00517641"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517641">
              <w:rPr>
                <w:rFonts w:cs="Times New Roman"/>
                <w:color w:val="000000"/>
                <w:sz w:val="18"/>
                <w:szCs w:val="18"/>
              </w:rPr>
              <w:t>7,8</w:t>
            </w:r>
          </w:p>
        </w:tc>
        <w:tc>
          <w:tcPr>
            <w:tcW w:w="726" w:type="dxa"/>
            <w:noWrap/>
            <w:tcMar>
              <w:left w:w="57" w:type="dxa"/>
              <w:right w:w="57" w:type="dxa"/>
            </w:tcMar>
            <w:vAlign w:val="center"/>
          </w:tcPr>
          <w:p w14:paraId="4626BC12" w14:textId="77777777" w:rsidR="004D1DFA" w:rsidRPr="00517641"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517641">
              <w:rPr>
                <w:rFonts w:cs="Times New Roman"/>
                <w:color w:val="000000"/>
                <w:sz w:val="18"/>
                <w:szCs w:val="18"/>
              </w:rPr>
              <w:t>7,4</w:t>
            </w:r>
          </w:p>
        </w:tc>
        <w:tc>
          <w:tcPr>
            <w:tcW w:w="727" w:type="dxa"/>
            <w:tcBorders>
              <w:right w:val="double" w:sz="4" w:space="0" w:color="9CC2E5" w:themeColor="accent1" w:themeTint="99"/>
            </w:tcBorders>
            <w:noWrap/>
            <w:tcMar>
              <w:left w:w="57" w:type="dxa"/>
              <w:right w:w="57" w:type="dxa"/>
            </w:tcMar>
            <w:vAlign w:val="center"/>
          </w:tcPr>
          <w:p w14:paraId="5709C80B" w14:textId="77777777" w:rsidR="004D1DFA" w:rsidRPr="00517641"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517641">
              <w:rPr>
                <w:rFonts w:cs="Times New Roman"/>
                <w:color w:val="000000"/>
                <w:sz w:val="18"/>
                <w:szCs w:val="18"/>
              </w:rPr>
              <w:t>6,8</w:t>
            </w:r>
          </w:p>
        </w:tc>
        <w:tc>
          <w:tcPr>
            <w:tcW w:w="726" w:type="dxa"/>
            <w:tcBorders>
              <w:left w:val="double" w:sz="4" w:space="0" w:color="9CC2E5" w:themeColor="accent1" w:themeTint="99"/>
            </w:tcBorders>
            <w:noWrap/>
            <w:tcMar>
              <w:left w:w="57" w:type="dxa"/>
              <w:right w:w="57" w:type="dxa"/>
            </w:tcMar>
            <w:vAlign w:val="center"/>
          </w:tcPr>
          <w:p w14:paraId="2D4C2F1B" w14:textId="77777777" w:rsidR="004D1DFA" w:rsidRPr="00517641"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rPr>
            </w:pPr>
            <w:r w:rsidRPr="00517641">
              <w:rPr>
                <w:rFonts w:cs="Times New Roman"/>
                <w:color w:val="auto"/>
                <w:sz w:val="18"/>
                <w:szCs w:val="18"/>
              </w:rPr>
              <w:t>0,4</w:t>
            </w:r>
          </w:p>
        </w:tc>
        <w:tc>
          <w:tcPr>
            <w:tcW w:w="727" w:type="dxa"/>
            <w:noWrap/>
            <w:tcMar>
              <w:left w:w="57" w:type="dxa"/>
              <w:right w:w="57" w:type="dxa"/>
            </w:tcMar>
            <w:vAlign w:val="center"/>
          </w:tcPr>
          <w:p w14:paraId="5EB7E1DE" w14:textId="77777777" w:rsidR="004D1DFA" w:rsidRPr="00517641"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rPr>
            </w:pPr>
            <w:r w:rsidRPr="00517641">
              <w:rPr>
                <w:rFonts w:cs="Times New Roman"/>
                <w:color w:val="auto"/>
                <w:sz w:val="18"/>
                <w:szCs w:val="18"/>
              </w:rPr>
              <w:t>1,0</w:t>
            </w:r>
          </w:p>
        </w:tc>
        <w:tc>
          <w:tcPr>
            <w:tcW w:w="726" w:type="dxa"/>
            <w:noWrap/>
            <w:tcMar>
              <w:left w:w="57" w:type="dxa"/>
              <w:right w:w="57" w:type="dxa"/>
            </w:tcMar>
            <w:vAlign w:val="center"/>
          </w:tcPr>
          <w:p w14:paraId="4F60F14A" w14:textId="77777777" w:rsidR="004D1DFA" w:rsidRPr="00517641"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rPr>
            </w:pPr>
            <w:r w:rsidRPr="00517641">
              <w:rPr>
                <w:rFonts w:cs="Times New Roman"/>
                <w:color w:val="auto"/>
                <w:sz w:val="18"/>
                <w:szCs w:val="18"/>
              </w:rPr>
              <w:t>1,0</w:t>
            </w:r>
          </w:p>
        </w:tc>
        <w:tc>
          <w:tcPr>
            <w:tcW w:w="727" w:type="dxa"/>
            <w:noWrap/>
            <w:tcMar>
              <w:left w:w="57" w:type="dxa"/>
              <w:right w:w="57" w:type="dxa"/>
            </w:tcMar>
            <w:vAlign w:val="center"/>
          </w:tcPr>
          <w:p w14:paraId="55159672" w14:textId="77777777" w:rsidR="004D1DFA" w:rsidRPr="00517641"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rPr>
            </w:pPr>
            <w:r w:rsidRPr="00517641">
              <w:rPr>
                <w:rFonts w:cs="Times New Roman"/>
                <w:color w:val="auto"/>
                <w:sz w:val="18"/>
                <w:szCs w:val="18"/>
              </w:rPr>
              <w:t>0,5</w:t>
            </w:r>
          </w:p>
        </w:tc>
      </w:tr>
    </w:tbl>
    <w:p w14:paraId="1251580D" w14:textId="77777777" w:rsidR="004D1DFA" w:rsidRPr="00517641" w:rsidRDefault="004D1DFA" w:rsidP="004D1DFA">
      <w:pPr>
        <w:autoSpaceDE w:val="0"/>
        <w:autoSpaceDN w:val="0"/>
        <w:adjustRightInd w:val="0"/>
        <w:rPr>
          <w:rFonts w:eastAsia="Times New Roman" w:cs="Times New Roman"/>
          <w:sz w:val="24"/>
          <w:szCs w:val="24"/>
          <w:lang w:eastAsia="lv-LV"/>
        </w:rPr>
      </w:pPr>
    </w:p>
    <w:p w14:paraId="55AB9B20" w14:textId="4BA1BC85" w:rsidR="004D1DFA" w:rsidRPr="00517641" w:rsidRDefault="004D1DFA" w:rsidP="004D1DFA">
      <w:pPr>
        <w:autoSpaceDE w:val="0"/>
        <w:autoSpaceDN w:val="0"/>
        <w:adjustRightInd w:val="0"/>
        <w:rPr>
          <w:rFonts w:eastAsia="Times New Roman" w:cs="Times New Roman"/>
          <w:sz w:val="24"/>
          <w:lang w:eastAsia="lv-LV"/>
        </w:rPr>
      </w:pPr>
      <w:r w:rsidRPr="00517641">
        <w:rPr>
          <w:rFonts w:eastAsia="Times New Roman" w:cs="Times New Roman"/>
          <w:sz w:val="24"/>
          <w:szCs w:val="24"/>
          <w:lang w:eastAsia="lv-LV"/>
        </w:rPr>
        <w:t xml:space="preserve">Ģeopolitiskās situācijas saasināšanās apgrūtinātu arī preču </w:t>
      </w:r>
      <w:r w:rsidR="00C549BA">
        <w:rPr>
          <w:rFonts w:eastAsia="Times New Roman" w:cs="Times New Roman"/>
          <w:sz w:val="24"/>
          <w:szCs w:val="24"/>
          <w:lang w:eastAsia="lv-LV"/>
        </w:rPr>
        <w:t>un</w:t>
      </w:r>
      <w:r w:rsidRPr="00517641">
        <w:rPr>
          <w:rFonts w:eastAsia="Times New Roman" w:cs="Times New Roman"/>
          <w:sz w:val="24"/>
          <w:szCs w:val="24"/>
          <w:lang w:eastAsia="lv-LV"/>
        </w:rPr>
        <w:t xml:space="preserve"> pakalpojumu ārējo tirdzniecību</w:t>
      </w:r>
      <w:r w:rsidRPr="00517641">
        <w:rPr>
          <w:rFonts w:eastAsia="Times New Roman" w:cs="Times New Roman"/>
          <w:sz w:val="24"/>
          <w:lang w:eastAsia="lv-LV"/>
        </w:rPr>
        <w:t>, kas Latvijai nozīmētu eksporta samazinājumu par 0,3% 2023. gadā. Šāds šoks gan būtu īslaicīgs, jo Krievijas īpatsvars ārējā tirdzniecībā noslīdētu līdz minimumam. 2024. gadā eksporta apjoms pieaugtu par 3,7%, bet joprojām būtu par 0,6 procentpunktiem mazāks nekā bāzes scenārijā.</w:t>
      </w:r>
    </w:p>
    <w:p w14:paraId="336B0181" w14:textId="77777777" w:rsidR="004D1DFA" w:rsidRPr="00517641" w:rsidRDefault="004D1DFA" w:rsidP="004D1DFA">
      <w:pPr>
        <w:autoSpaceDE w:val="0"/>
        <w:autoSpaceDN w:val="0"/>
        <w:adjustRightInd w:val="0"/>
        <w:rPr>
          <w:rFonts w:eastAsia="Times New Roman" w:cs="Times New Roman"/>
          <w:sz w:val="24"/>
          <w:lang w:eastAsia="lv-LV"/>
        </w:rPr>
      </w:pPr>
      <w:r w:rsidRPr="00517641">
        <w:rPr>
          <w:rFonts w:eastAsia="Times New Roman" w:cs="Times New Roman"/>
          <w:sz w:val="24"/>
          <w:lang w:eastAsia="lv-LV"/>
        </w:rPr>
        <w:t xml:space="preserve">Energoresursu piedāvājuma samazinājums veicinātu izmaksu un inflācijas pieaugumu. </w:t>
      </w:r>
      <w:proofErr w:type="spellStart"/>
      <w:r w:rsidRPr="00517641">
        <w:rPr>
          <w:rFonts w:eastAsia="Times New Roman" w:cs="Times New Roman"/>
          <w:sz w:val="24"/>
          <w:lang w:eastAsia="lv-LV"/>
        </w:rPr>
        <w:t>Energocenas</w:t>
      </w:r>
      <w:proofErr w:type="spellEnd"/>
      <w:r w:rsidRPr="00517641">
        <w:rPr>
          <w:rFonts w:eastAsia="Times New Roman" w:cs="Times New Roman"/>
          <w:sz w:val="24"/>
          <w:lang w:eastAsia="lv-LV"/>
        </w:rPr>
        <w:t xml:space="preserve"> atgrieztos tādos augstumos kā pērnā gada beigās, ietekmējot inflāciju un 2023. gadā to paaugstinot līdz 11% jeb par 1 procentpunktu. Arī nākamajos gados inflācija nesamazinātos tik strauji kā bāzes scenārijā – būtu augstāka, proti, 5,5% un 3,5% attiecīgi 2024. un 2025. gadā. Vidējā termiņā inflācija pamazām konverģēs uz cenu stabilitātes mērķi virs 2%.</w:t>
      </w:r>
    </w:p>
    <w:p w14:paraId="2B257467" w14:textId="77777777" w:rsidR="004D1DFA" w:rsidRPr="00517641" w:rsidRDefault="004D1DFA" w:rsidP="004D1DFA">
      <w:pPr>
        <w:autoSpaceDE w:val="0"/>
        <w:autoSpaceDN w:val="0"/>
        <w:adjustRightInd w:val="0"/>
        <w:rPr>
          <w:rFonts w:eastAsia="Times New Roman" w:cs="Times New Roman"/>
          <w:sz w:val="24"/>
          <w:lang w:eastAsia="lv-LV"/>
        </w:rPr>
      </w:pPr>
      <w:r w:rsidRPr="00517641">
        <w:rPr>
          <w:rFonts w:eastAsia="Times New Roman" w:cs="Times New Roman"/>
          <w:sz w:val="24"/>
          <w:lang w:eastAsia="lv-LV"/>
        </w:rPr>
        <w:t>Augstā inflācija bremzētu privāto patēriņu, kas gan 2023., gan 2024. gadā samazinātos par 0,8%. Lai arī algu pieaugums saglabātos liels – 2023. gadā 7% un 2024. gadā 5,5%, tomēr pieaugums būtu attiecīgi par 1,5 un 1 procentpunktu zemāks nekā bāzes scenārijā. Augstās inflācijas dēļ reālā algu pirktspēja samazinātos.</w:t>
      </w:r>
      <w:bookmarkEnd w:id="53"/>
      <w:r w:rsidRPr="00517641">
        <w:rPr>
          <w:rFonts w:eastAsia="Times New Roman" w:cs="Times New Roman"/>
          <w:sz w:val="24"/>
          <w:lang w:eastAsia="lv-LV"/>
        </w:rPr>
        <w:t xml:space="preserve"> Arī pieprasījums pēc darbaspēka saruktu – nodarbinātība samazinātos par 0,3%, 0,9% un 0,3% attiecīgi 2023., 2024. un 2025. gadā, bet bezdarba līmenis būtu aptuveni par 1 procentpunktu lielāks.</w:t>
      </w:r>
    </w:p>
    <w:p w14:paraId="56EF5248" w14:textId="77777777" w:rsidR="004D1DFA" w:rsidRPr="00A120D9" w:rsidRDefault="004D1DFA" w:rsidP="004D1DFA">
      <w:pPr>
        <w:autoSpaceDE w:val="0"/>
        <w:autoSpaceDN w:val="0"/>
        <w:adjustRightInd w:val="0"/>
        <w:rPr>
          <w:rFonts w:eastAsia="Times New Roman" w:cs="Times New Roman"/>
          <w:sz w:val="24"/>
          <w:lang w:eastAsia="lv-LV"/>
        </w:rPr>
      </w:pPr>
      <w:r w:rsidRPr="00517641">
        <w:rPr>
          <w:rFonts w:eastAsia="Times New Roman" w:cs="Times New Roman"/>
          <w:sz w:val="24"/>
          <w:lang w:eastAsia="lv-LV"/>
        </w:rPr>
        <w:t>Tikmēr arī investīcijas tik nenoteiktos apstākļos samazinātos, sarūkot par 3,1% 2022. gadā un par 2,7% 2023. gadā. To iespaidotu arī pieaugušās cenas, iepriekš noslēgto valsts projektu apturēšana no izpildītāju puses, kā arī ģeopolitiskā nenoteiktība, mazinot reģiona pievilcību investīcijām.</w:t>
      </w:r>
    </w:p>
    <w:p w14:paraId="36347D35" w14:textId="77777777" w:rsidR="004D1DFA" w:rsidRDefault="004D1DFA" w:rsidP="004D1DFA">
      <w:pPr>
        <w:autoSpaceDE w:val="0"/>
        <w:autoSpaceDN w:val="0"/>
        <w:adjustRightInd w:val="0"/>
        <w:rPr>
          <w:rFonts w:eastAsia="Times New Roman" w:cs="Times New Roman"/>
          <w:sz w:val="24"/>
          <w:lang w:eastAsia="lv-LV"/>
        </w:rPr>
      </w:pPr>
    </w:p>
    <w:p w14:paraId="3200E552" w14:textId="0097198E" w:rsidR="00E510C8" w:rsidRPr="00C549BA" w:rsidRDefault="00E510C8" w:rsidP="00E510C8">
      <w:pPr>
        <w:autoSpaceDE w:val="0"/>
        <w:autoSpaceDN w:val="0"/>
        <w:adjustRightInd w:val="0"/>
        <w:spacing w:after="120"/>
        <w:rPr>
          <w:rFonts w:eastAsia="Times New Roman" w:cs="Times New Roman"/>
          <w:b/>
          <w:color w:val="000000"/>
          <w:sz w:val="24"/>
          <w:szCs w:val="24"/>
          <w:lang w:eastAsia="lv-LV"/>
        </w:rPr>
      </w:pPr>
      <w:r w:rsidRPr="00C549BA">
        <w:rPr>
          <w:rFonts w:eastAsia="Times New Roman" w:cs="Times New Roman"/>
          <w:b/>
          <w:color w:val="000000"/>
          <w:sz w:val="24"/>
          <w:szCs w:val="24"/>
          <w:lang w:eastAsia="lv-LV"/>
        </w:rPr>
        <w:t>Ietekme uz vispārējās valdības budžetu</w:t>
      </w:r>
    </w:p>
    <w:p w14:paraId="676A51DB" w14:textId="3C83568D" w:rsidR="00E510C8" w:rsidRPr="00C549BA" w:rsidRDefault="00E510C8" w:rsidP="00D54A07">
      <w:pPr>
        <w:autoSpaceDE w:val="0"/>
        <w:autoSpaceDN w:val="0"/>
        <w:adjustRightInd w:val="0"/>
        <w:spacing w:after="120"/>
        <w:rPr>
          <w:rFonts w:eastAsia="Times New Roman" w:cs="Times New Roman"/>
          <w:color w:val="000000"/>
          <w:sz w:val="24"/>
          <w:szCs w:val="24"/>
          <w:lang w:eastAsia="lv-LV"/>
        </w:rPr>
      </w:pPr>
      <w:r w:rsidRPr="00C549BA">
        <w:rPr>
          <w:rFonts w:eastAsia="Times New Roman" w:cs="Times New Roman"/>
          <w:color w:val="000000"/>
          <w:sz w:val="24"/>
          <w:szCs w:val="24"/>
          <w:lang w:eastAsia="lv-LV"/>
        </w:rPr>
        <w:t xml:space="preserve">Īstenojoties pesimistiskajam scenārijam, būtiski samazinātos nodokļu ieņēmumi, pieaugtu izdevumi pabalstiem un pasliktinātos vispārējās valdības budžeta bilance. Salīdzinājumā ar bāzes scenāriju pesimistiskā scenārija gadījumā vispārējās valdības budžeta deficīts 2023. gadā pieaugtu par 79,3 milj. </w:t>
      </w:r>
      <w:proofErr w:type="spellStart"/>
      <w:r w:rsidRPr="00C549BA">
        <w:rPr>
          <w:rFonts w:eastAsia="Times New Roman" w:cs="Times New Roman"/>
          <w:i/>
          <w:color w:val="000000"/>
          <w:sz w:val="24"/>
          <w:szCs w:val="24"/>
          <w:lang w:eastAsia="lv-LV"/>
        </w:rPr>
        <w:t>euro</w:t>
      </w:r>
      <w:proofErr w:type="spellEnd"/>
      <w:r w:rsidRPr="00C549BA">
        <w:rPr>
          <w:rFonts w:eastAsia="Times New Roman" w:cs="Times New Roman"/>
          <w:color w:val="000000"/>
          <w:sz w:val="24"/>
          <w:szCs w:val="24"/>
          <w:lang w:eastAsia="lv-LV"/>
        </w:rPr>
        <w:t xml:space="preserve"> jeb 0,2 procentpunktiem no IKP. Savukārt 2024., 2025. un 2026. gadā vispārējās valdības budžeta bilance pasliktinātos attiecīgi par 0,6 (260,3 milj. </w:t>
      </w:r>
      <w:proofErr w:type="spellStart"/>
      <w:r w:rsidRPr="00C549BA">
        <w:rPr>
          <w:rFonts w:eastAsia="Times New Roman" w:cs="Times New Roman"/>
          <w:i/>
          <w:color w:val="000000"/>
          <w:sz w:val="24"/>
          <w:szCs w:val="24"/>
          <w:lang w:eastAsia="lv-LV"/>
        </w:rPr>
        <w:t>euro</w:t>
      </w:r>
      <w:proofErr w:type="spellEnd"/>
      <w:r w:rsidRPr="00C549BA">
        <w:rPr>
          <w:rFonts w:eastAsia="Times New Roman" w:cs="Times New Roman"/>
          <w:color w:val="000000"/>
          <w:sz w:val="24"/>
          <w:szCs w:val="24"/>
          <w:lang w:eastAsia="lv-LV"/>
        </w:rPr>
        <w:t xml:space="preserve">), 0,7 (322,1 milj. </w:t>
      </w:r>
      <w:proofErr w:type="spellStart"/>
      <w:r w:rsidRPr="00C549BA">
        <w:rPr>
          <w:rFonts w:eastAsia="Times New Roman" w:cs="Times New Roman"/>
          <w:i/>
          <w:color w:val="000000"/>
          <w:sz w:val="24"/>
          <w:szCs w:val="24"/>
          <w:lang w:eastAsia="lv-LV"/>
        </w:rPr>
        <w:t>euro</w:t>
      </w:r>
      <w:proofErr w:type="spellEnd"/>
      <w:r w:rsidRPr="00C549BA">
        <w:rPr>
          <w:rFonts w:eastAsia="Times New Roman" w:cs="Times New Roman"/>
          <w:color w:val="000000"/>
          <w:sz w:val="24"/>
          <w:szCs w:val="24"/>
          <w:lang w:eastAsia="lv-LV"/>
        </w:rPr>
        <w:t xml:space="preserve">) un 0,5 (236,2 milj. </w:t>
      </w:r>
      <w:proofErr w:type="spellStart"/>
      <w:r w:rsidRPr="00C549BA">
        <w:rPr>
          <w:rFonts w:eastAsia="Times New Roman" w:cs="Times New Roman"/>
          <w:i/>
          <w:color w:val="000000"/>
          <w:sz w:val="24"/>
          <w:szCs w:val="24"/>
          <w:lang w:eastAsia="lv-LV"/>
        </w:rPr>
        <w:t>euro</w:t>
      </w:r>
      <w:proofErr w:type="spellEnd"/>
      <w:r w:rsidRPr="00C549BA">
        <w:rPr>
          <w:rFonts w:eastAsia="Times New Roman" w:cs="Times New Roman"/>
          <w:color w:val="000000"/>
          <w:sz w:val="24"/>
          <w:szCs w:val="24"/>
          <w:lang w:eastAsia="lv-LV"/>
        </w:rPr>
        <w:t>) procentpunktiem no IKP salīdzinājumā ar bāzes scenāriju. Vispārējās valdības budžeta deficīts pesimistiskajā scenārijā 2023. </w:t>
      </w:r>
      <w:r w:rsidRPr="00C549BA">
        <w:rPr>
          <w:rFonts w:eastAsia="Times New Roman" w:cs="Times New Roman"/>
          <w:sz w:val="24"/>
          <w:szCs w:val="24"/>
        </w:rPr>
        <w:t>gadā pieaugtu līdz 4,2% no IKP</w:t>
      </w:r>
      <w:r w:rsidRPr="00C549BA">
        <w:rPr>
          <w:rFonts w:eastAsia="Times New Roman" w:cs="Times New Roman"/>
          <w:color w:val="000000"/>
          <w:sz w:val="24"/>
          <w:szCs w:val="24"/>
          <w:lang w:eastAsia="lv-LV"/>
        </w:rPr>
        <w:t>, 2024. gadā līdz 3,0% no IKP, 2025. gadā līdz 2,4% no IKP, bet 2026. gadā līdz 1,0% no IKP.</w:t>
      </w:r>
    </w:p>
    <w:p w14:paraId="74D32672" w14:textId="7961CE0C" w:rsidR="00E510C8" w:rsidRPr="00C549BA" w:rsidRDefault="00E510C8" w:rsidP="00E510C8">
      <w:pPr>
        <w:spacing w:before="120" w:after="60"/>
        <w:ind w:firstLine="0"/>
        <w:jc w:val="right"/>
        <w:rPr>
          <w:rFonts w:eastAsia="Times New Roman" w:cs="Times New Roman"/>
          <w:b/>
          <w:sz w:val="24"/>
          <w:szCs w:val="24"/>
        </w:rPr>
      </w:pPr>
      <w:r w:rsidRPr="00C549BA">
        <w:rPr>
          <w:rFonts w:eastAsia="Times New Roman" w:cs="Times New Roman"/>
          <w:b/>
          <w:sz w:val="24"/>
          <w:szCs w:val="24"/>
        </w:rPr>
        <w:t xml:space="preserve">4.2. tabula. Pesimistiskā scenārija ietekme uz vispārējās valdības budžetu, </w:t>
      </w:r>
      <w:r w:rsidRPr="00C549BA">
        <w:rPr>
          <w:rFonts w:eastAsia="Times New Roman" w:cs="Times New Roman"/>
          <w:b/>
          <w:noProof/>
          <w:sz w:val="24"/>
          <w:szCs w:val="24"/>
        </w:rPr>
        <w:t xml:space="preserve">milj. </w:t>
      </w:r>
      <w:r w:rsidRPr="00C549BA">
        <w:rPr>
          <w:rFonts w:eastAsia="Times New Roman" w:cs="Times New Roman"/>
          <w:b/>
          <w:i/>
          <w:noProof/>
          <w:sz w:val="24"/>
          <w:szCs w:val="24"/>
        </w:rPr>
        <w:t>euro</w:t>
      </w:r>
    </w:p>
    <w:tbl>
      <w:tblPr>
        <w:tblW w:w="9073" w:type="dxa"/>
        <w:jc w:val="center"/>
        <w:tblBorders>
          <w:top w:val="single" w:sz="2" w:space="0" w:color="9CC2E5"/>
          <w:left w:val="single" w:sz="2" w:space="0" w:color="9CC2E5"/>
          <w:bottom w:val="single" w:sz="2" w:space="0" w:color="9CC2E5"/>
          <w:right w:val="single" w:sz="2" w:space="0" w:color="9CC2E5"/>
          <w:insideH w:val="single" w:sz="2" w:space="0" w:color="9CC2E5"/>
          <w:insideV w:val="single" w:sz="2" w:space="0" w:color="9CC2E5"/>
        </w:tblBorders>
        <w:tblLayout w:type="fixed"/>
        <w:tblLook w:val="04A0" w:firstRow="1" w:lastRow="0" w:firstColumn="1" w:lastColumn="0" w:noHBand="0" w:noVBand="1"/>
      </w:tblPr>
      <w:tblGrid>
        <w:gridCol w:w="2553"/>
        <w:gridCol w:w="850"/>
        <w:gridCol w:w="993"/>
        <w:gridCol w:w="986"/>
        <w:gridCol w:w="850"/>
        <w:gridCol w:w="709"/>
        <w:gridCol w:w="709"/>
        <w:gridCol w:w="709"/>
        <w:gridCol w:w="704"/>
        <w:gridCol w:w="10"/>
      </w:tblGrid>
      <w:tr w:rsidR="00E510C8" w:rsidRPr="00C549BA" w14:paraId="5BB029C2" w14:textId="77777777" w:rsidTr="00E510C8">
        <w:trPr>
          <w:trHeight w:val="20"/>
          <w:tblHeader/>
          <w:jc w:val="center"/>
        </w:trPr>
        <w:tc>
          <w:tcPr>
            <w:tcW w:w="2553" w:type="dxa"/>
            <w:shd w:val="clear" w:color="auto" w:fill="auto"/>
            <w:vAlign w:val="center"/>
            <w:hideMark/>
          </w:tcPr>
          <w:p w14:paraId="6376CA83" w14:textId="77777777" w:rsidR="00E510C8" w:rsidRPr="00C549BA" w:rsidRDefault="00E510C8" w:rsidP="00E510C8">
            <w:pPr>
              <w:ind w:firstLine="0"/>
              <w:jc w:val="left"/>
              <w:rPr>
                <w:rFonts w:eastAsia="Times New Roman" w:cs="Times New Roman"/>
                <w:sz w:val="20"/>
                <w:szCs w:val="20"/>
                <w:lang w:eastAsia="lv-LV"/>
              </w:rPr>
            </w:pPr>
          </w:p>
        </w:tc>
        <w:tc>
          <w:tcPr>
            <w:tcW w:w="3679" w:type="dxa"/>
            <w:gridSpan w:val="4"/>
            <w:vAlign w:val="center"/>
          </w:tcPr>
          <w:p w14:paraId="5F440165" w14:textId="77777777" w:rsidR="00E510C8" w:rsidRPr="00C549BA" w:rsidRDefault="00E510C8" w:rsidP="00E510C8">
            <w:pPr>
              <w:ind w:firstLine="0"/>
              <w:jc w:val="center"/>
              <w:rPr>
                <w:rFonts w:eastAsia="Times New Roman" w:cs="Times New Roman"/>
                <w:b/>
                <w:sz w:val="20"/>
                <w:szCs w:val="20"/>
                <w:lang w:eastAsia="lv-LV"/>
              </w:rPr>
            </w:pPr>
            <w:r w:rsidRPr="00C549BA">
              <w:rPr>
                <w:rFonts w:eastAsia="Times New Roman" w:cs="Times New Roman"/>
                <w:b/>
                <w:sz w:val="20"/>
                <w:szCs w:val="20"/>
                <w:lang w:eastAsia="lv-LV"/>
              </w:rPr>
              <w:t>Pesimistiskais scenārijs</w:t>
            </w:r>
          </w:p>
        </w:tc>
        <w:tc>
          <w:tcPr>
            <w:tcW w:w="2841" w:type="dxa"/>
            <w:gridSpan w:val="5"/>
            <w:vAlign w:val="center"/>
          </w:tcPr>
          <w:p w14:paraId="4EF6588E" w14:textId="77777777" w:rsidR="00E510C8" w:rsidRPr="00C549BA" w:rsidRDefault="00E510C8" w:rsidP="00E510C8">
            <w:pPr>
              <w:ind w:firstLine="0"/>
              <w:jc w:val="center"/>
              <w:rPr>
                <w:rFonts w:eastAsia="Times New Roman" w:cs="Times New Roman"/>
                <w:b/>
                <w:sz w:val="20"/>
                <w:szCs w:val="20"/>
                <w:lang w:eastAsia="lv-LV"/>
              </w:rPr>
            </w:pPr>
            <w:r w:rsidRPr="00C549BA">
              <w:rPr>
                <w:rFonts w:eastAsia="Times New Roman" w:cs="Times New Roman"/>
                <w:b/>
                <w:sz w:val="20"/>
                <w:szCs w:val="20"/>
                <w:lang w:eastAsia="lv-LV"/>
              </w:rPr>
              <w:t>Novirze no bāzes scenārija</w:t>
            </w:r>
          </w:p>
        </w:tc>
      </w:tr>
      <w:tr w:rsidR="00E510C8" w:rsidRPr="00C549BA" w14:paraId="0571FAE3" w14:textId="77777777" w:rsidTr="00E510C8">
        <w:trPr>
          <w:gridAfter w:val="1"/>
          <w:wAfter w:w="10" w:type="dxa"/>
          <w:trHeight w:val="20"/>
          <w:jc w:val="center"/>
        </w:trPr>
        <w:tc>
          <w:tcPr>
            <w:tcW w:w="2553" w:type="dxa"/>
            <w:shd w:val="clear" w:color="auto" w:fill="auto"/>
            <w:vAlign w:val="center"/>
            <w:hideMark/>
          </w:tcPr>
          <w:p w14:paraId="103EE014" w14:textId="77777777" w:rsidR="00E510C8" w:rsidRPr="00C549BA" w:rsidRDefault="00E510C8" w:rsidP="00E510C8">
            <w:pPr>
              <w:ind w:firstLine="0"/>
              <w:jc w:val="left"/>
              <w:rPr>
                <w:rFonts w:eastAsia="Times New Roman" w:cs="Times New Roman"/>
                <w:sz w:val="20"/>
                <w:szCs w:val="20"/>
                <w:lang w:eastAsia="lv-LV"/>
              </w:rPr>
            </w:pPr>
          </w:p>
        </w:tc>
        <w:tc>
          <w:tcPr>
            <w:tcW w:w="850" w:type="dxa"/>
            <w:shd w:val="clear" w:color="auto" w:fill="auto"/>
            <w:tcMar>
              <w:left w:w="57" w:type="dxa"/>
              <w:right w:w="57" w:type="dxa"/>
            </w:tcMar>
            <w:vAlign w:val="center"/>
          </w:tcPr>
          <w:p w14:paraId="5727289F" w14:textId="77777777" w:rsidR="00E510C8" w:rsidRPr="00C549BA" w:rsidRDefault="00E510C8" w:rsidP="00E510C8">
            <w:pPr>
              <w:ind w:firstLine="0"/>
              <w:jc w:val="center"/>
              <w:rPr>
                <w:rFonts w:eastAsia="Times New Roman" w:cs="Times New Roman"/>
                <w:b/>
                <w:sz w:val="20"/>
                <w:szCs w:val="20"/>
                <w:lang w:eastAsia="lv-LV"/>
              </w:rPr>
            </w:pPr>
            <w:r w:rsidRPr="00C549BA">
              <w:rPr>
                <w:rFonts w:eastAsia="Times New Roman" w:cs="Times New Roman"/>
                <w:b/>
                <w:sz w:val="20"/>
                <w:szCs w:val="20"/>
                <w:lang w:eastAsia="lv-LV"/>
              </w:rPr>
              <w:t>2023</w:t>
            </w:r>
          </w:p>
        </w:tc>
        <w:tc>
          <w:tcPr>
            <w:tcW w:w="993" w:type="dxa"/>
            <w:shd w:val="clear" w:color="auto" w:fill="auto"/>
            <w:tcMar>
              <w:left w:w="57" w:type="dxa"/>
              <w:right w:w="57" w:type="dxa"/>
            </w:tcMar>
            <w:vAlign w:val="center"/>
          </w:tcPr>
          <w:p w14:paraId="144E2EEF" w14:textId="77777777" w:rsidR="00E510C8" w:rsidRPr="00C549BA" w:rsidRDefault="00E510C8" w:rsidP="00E510C8">
            <w:pPr>
              <w:ind w:firstLine="0"/>
              <w:jc w:val="center"/>
              <w:rPr>
                <w:rFonts w:eastAsia="Times New Roman" w:cs="Times New Roman"/>
                <w:b/>
                <w:sz w:val="20"/>
                <w:szCs w:val="20"/>
                <w:lang w:eastAsia="lv-LV"/>
              </w:rPr>
            </w:pPr>
            <w:r w:rsidRPr="00C549BA">
              <w:rPr>
                <w:rFonts w:eastAsia="Times New Roman" w:cs="Times New Roman"/>
                <w:b/>
                <w:sz w:val="20"/>
                <w:szCs w:val="20"/>
                <w:lang w:eastAsia="lv-LV"/>
              </w:rPr>
              <w:t>2024</w:t>
            </w:r>
          </w:p>
        </w:tc>
        <w:tc>
          <w:tcPr>
            <w:tcW w:w="986" w:type="dxa"/>
            <w:tcMar>
              <w:left w:w="57" w:type="dxa"/>
              <w:right w:w="57" w:type="dxa"/>
            </w:tcMar>
            <w:vAlign w:val="center"/>
          </w:tcPr>
          <w:p w14:paraId="166B5221" w14:textId="77777777" w:rsidR="00E510C8" w:rsidRPr="00C549BA" w:rsidRDefault="00E510C8" w:rsidP="00E510C8">
            <w:pPr>
              <w:ind w:firstLine="0"/>
              <w:jc w:val="center"/>
              <w:rPr>
                <w:rFonts w:eastAsia="Times New Roman" w:cs="Times New Roman"/>
                <w:b/>
                <w:sz w:val="20"/>
                <w:szCs w:val="20"/>
                <w:lang w:eastAsia="lv-LV"/>
              </w:rPr>
            </w:pPr>
            <w:r w:rsidRPr="00C549BA">
              <w:rPr>
                <w:rFonts w:eastAsia="Times New Roman" w:cs="Times New Roman"/>
                <w:b/>
                <w:sz w:val="20"/>
                <w:szCs w:val="20"/>
                <w:lang w:eastAsia="lv-LV"/>
              </w:rPr>
              <w:t>2025</w:t>
            </w:r>
          </w:p>
        </w:tc>
        <w:tc>
          <w:tcPr>
            <w:tcW w:w="850" w:type="dxa"/>
            <w:shd w:val="clear" w:color="auto" w:fill="auto"/>
            <w:tcMar>
              <w:left w:w="57" w:type="dxa"/>
              <w:right w:w="57" w:type="dxa"/>
            </w:tcMar>
            <w:vAlign w:val="center"/>
          </w:tcPr>
          <w:p w14:paraId="2E3A8485" w14:textId="77777777" w:rsidR="00E510C8" w:rsidRPr="00C549BA" w:rsidRDefault="00E510C8" w:rsidP="00E510C8">
            <w:pPr>
              <w:ind w:firstLine="0"/>
              <w:jc w:val="center"/>
              <w:rPr>
                <w:rFonts w:eastAsia="Times New Roman" w:cs="Times New Roman"/>
                <w:b/>
                <w:sz w:val="20"/>
                <w:szCs w:val="20"/>
                <w:lang w:eastAsia="lv-LV"/>
              </w:rPr>
            </w:pPr>
            <w:r w:rsidRPr="00C549BA">
              <w:rPr>
                <w:rFonts w:eastAsia="Times New Roman" w:cs="Times New Roman"/>
                <w:b/>
                <w:sz w:val="20"/>
                <w:szCs w:val="20"/>
                <w:lang w:eastAsia="lv-LV"/>
              </w:rPr>
              <w:t>2026</w:t>
            </w:r>
          </w:p>
        </w:tc>
        <w:tc>
          <w:tcPr>
            <w:tcW w:w="709" w:type="dxa"/>
            <w:shd w:val="clear" w:color="auto" w:fill="auto"/>
            <w:tcMar>
              <w:left w:w="57" w:type="dxa"/>
              <w:right w:w="57" w:type="dxa"/>
            </w:tcMar>
            <w:vAlign w:val="center"/>
            <w:hideMark/>
          </w:tcPr>
          <w:p w14:paraId="15FAB591" w14:textId="77777777" w:rsidR="00E510C8" w:rsidRPr="00C549BA" w:rsidRDefault="00E510C8" w:rsidP="00E510C8">
            <w:pPr>
              <w:ind w:firstLine="0"/>
              <w:jc w:val="center"/>
              <w:rPr>
                <w:rFonts w:eastAsia="Times New Roman" w:cs="Times New Roman"/>
                <w:b/>
                <w:sz w:val="20"/>
                <w:szCs w:val="20"/>
                <w:lang w:eastAsia="lv-LV"/>
              </w:rPr>
            </w:pPr>
            <w:r w:rsidRPr="00C549BA">
              <w:rPr>
                <w:rFonts w:eastAsia="Times New Roman" w:cs="Times New Roman"/>
                <w:b/>
                <w:sz w:val="20"/>
                <w:szCs w:val="20"/>
                <w:lang w:eastAsia="lv-LV"/>
              </w:rPr>
              <w:t>2023</w:t>
            </w:r>
          </w:p>
        </w:tc>
        <w:tc>
          <w:tcPr>
            <w:tcW w:w="709" w:type="dxa"/>
            <w:shd w:val="clear" w:color="auto" w:fill="auto"/>
            <w:tcMar>
              <w:left w:w="57" w:type="dxa"/>
              <w:right w:w="57" w:type="dxa"/>
            </w:tcMar>
            <w:vAlign w:val="center"/>
            <w:hideMark/>
          </w:tcPr>
          <w:p w14:paraId="4E142795" w14:textId="77777777" w:rsidR="00E510C8" w:rsidRPr="00C549BA" w:rsidRDefault="00E510C8" w:rsidP="00E510C8">
            <w:pPr>
              <w:ind w:firstLine="0"/>
              <w:jc w:val="center"/>
              <w:rPr>
                <w:rFonts w:eastAsia="Times New Roman" w:cs="Times New Roman"/>
                <w:b/>
                <w:sz w:val="20"/>
                <w:szCs w:val="20"/>
                <w:lang w:eastAsia="lv-LV"/>
              </w:rPr>
            </w:pPr>
            <w:r w:rsidRPr="00C549BA">
              <w:rPr>
                <w:rFonts w:eastAsia="Times New Roman" w:cs="Times New Roman"/>
                <w:b/>
                <w:sz w:val="20"/>
                <w:szCs w:val="20"/>
                <w:lang w:eastAsia="lv-LV"/>
              </w:rPr>
              <w:t>2024</w:t>
            </w:r>
          </w:p>
        </w:tc>
        <w:tc>
          <w:tcPr>
            <w:tcW w:w="709" w:type="dxa"/>
            <w:tcMar>
              <w:left w:w="57" w:type="dxa"/>
              <w:right w:w="57" w:type="dxa"/>
            </w:tcMar>
            <w:vAlign w:val="center"/>
          </w:tcPr>
          <w:p w14:paraId="763F69E6" w14:textId="77777777" w:rsidR="00E510C8" w:rsidRPr="00C549BA" w:rsidRDefault="00E510C8" w:rsidP="00E510C8">
            <w:pPr>
              <w:ind w:firstLine="0"/>
              <w:jc w:val="center"/>
              <w:rPr>
                <w:rFonts w:eastAsia="Times New Roman" w:cs="Times New Roman"/>
                <w:b/>
                <w:sz w:val="20"/>
                <w:szCs w:val="20"/>
                <w:lang w:eastAsia="lv-LV"/>
              </w:rPr>
            </w:pPr>
            <w:r w:rsidRPr="00C549BA">
              <w:rPr>
                <w:rFonts w:eastAsia="Times New Roman" w:cs="Times New Roman"/>
                <w:b/>
                <w:sz w:val="20"/>
                <w:szCs w:val="20"/>
                <w:lang w:eastAsia="lv-LV"/>
              </w:rPr>
              <w:t>2025</w:t>
            </w:r>
          </w:p>
        </w:tc>
        <w:tc>
          <w:tcPr>
            <w:tcW w:w="704" w:type="dxa"/>
            <w:shd w:val="clear" w:color="auto" w:fill="auto"/>
            <w:tcMar>
              <w:left w:w="57" w:type="dxa"/>
              <w:right w:w="57" w:type="dxa"/>
            </w:tcMar>
            <w:vAlign w:val="center"/>
            <w:hideMark/>
          </w:tcPr>
          <w:p w14:paraId="79CE9689" w14:textId="77777777" w:rsidR="00E510C8" w:rsidRPr="00C549BA" w:rsidRDefault="00E510C8" w:rsidP="00E510C8">
            <w:pPr>
              <w:ind w:firstLine="0"/>
              <w:jc w:val="center"/>
              <w:rPr>
                <w:rFonts w:eastAsia="Times New Roman" w:cs="Times New Roman"/>
                <w:b/>
                <w:sz w:val="20"/>
                <w:szCs w:val="20"/>
                <w:lang w:eastAsia="lv-LV"/>
              </w:rPr>
            </w:pPr>
            <w:r w:rsidRPr="00C549BA">
              <w:rPr>
                <w:rFonts w:eastAsia="Times New Roman" w:cs="Times New Roman"/>
                <w:b/>
                <w:sz w:val="20"/>
                <w:szCs w:val="20"/>
                <w:lang w:eastAsia="lv-LV"/>
              </w:rPr>
              <w:t>2026</w:t>
            </w:r>
          </w:p>
        </w:tc>
      </w:tr>
      <w:tr w:rsidR="00E510C8" w:rsidRPr="00C549BA" w14:paraId="687E4829" w14:textId="77777777" w:rsidTr="00E510C8">
        <w:trPr>
          <w:gridAfter w:val="1"/>
          <w:wAfter w:w="10" w:type="dxa"/>
          <w:trHeight w:val="20"/>
          <w:jc w:val="center"/>
        </w:trPr>
        <w:tc>
          <w:tcPr>
            <w:tcW w:w="2553" w:type="dxa"/>
            <w:shd w:val="clear" w:color="auto" w:fill="DEEAF6"/>
            <w:vAlign w:val="center"/>
          </w:tcPr>
          <w:p w14:paraId="00B28659" w14:textId="77777777" w:rsidR="00E510C8" w:rsidRPr="00C549BA" w:rsidRDefault="00E510C8" w:rsidP="00E510C8">
            <w:pPr>
              <w:ind w:firstLine="0"/>
              <w:jc w:val="left"/>
              <w:rPr>
                <w:rFonts w:eastAsia="Times New Roman" w:cs="Times New Roman"/>
                <w:b/>
                <w:sz w:val="20"/>
                <w:szCs w:val="20"/>
                <w:lang w:eastAsia="lv-LV"/>
              </w:rPr>
            </w:pPr>
            <w:r w:rsidRPr="00C549BA">
              <w:rPr>
                <w:rFonts w:eastAsia="Times New Roman" w:cs="Times New Roman"/>
                <w:b/>
                <w:sz w:val="20"/>
                <w:szCs w:val="20"/>
                <w:lang w:eastAsia="lv-LV"/>
              </w:rPr>
              <w:t>Vispārējās valdības budžeta bilance, % no IKP</w:t>
            </w:r>
          </w:p>
        </w:tc>
        <w:tc>
          <w:tcPr>
            <w:tcW w:w="850" w:type="dxa"/>
            <w:shd w:val="clear" w:color="auto" w:fill="DEEAF6"/>
            <w:tcMar>
              <w:left w:w="57" w:type="dxa"/>
              <w:right w:w="57" w:type="dxa"/>
            </w:tcMar>
            <w:vAlign w:val="center"/>
          </w:tcPr>
          <w:p w14:paraId="5BD8BA6E" w14:textId="77777777" w:rsidR="00E510C8" w:rsidRPr="00C549BA" w:rsidRDefault="00E510C8" w:rsidP="00E510C8">
            <w:pPr>
              <w:spacing w:line="259" w:lineRule="auto"/>
              <w:ind w:right="5" w:firstLine="0"/>
              <w:jc w:val="center"/>
              <w:rPr>
                <w:rFonts w:eastAsia="Times New Roman" w:cs="Times New Roman"/>
                <w:b/>
                <w:bCs/>
                <w:color w:val="FF0000"/>
                <w:sz w:val="20"/>
                <w:szCs w:val="20"/>
              </w:rPr>
            </w:pPr>
            <w:r w:rsidRPr="00C549BA">
              <w:rPr>
                <w:rFonts w:eastAsia="Times New Roman" w:cs="Times New Roman"/>
                <w:b/>
                <w:bCs/>
                <w:color w:val="000000"/>
                <w:sz w:val="20"/>
                <w:szCs w:val="20"/>
              </w:rPr>
              <w:t>-4,2</w:t>
            </w:r>
          </w:p>
        </w:tc>
        <w:tc>
          <w:tcPr>
            <w:tcW w:w="993" w:type="dxa"/>
            <w:shd w:val="clear" w:color="auto" w:fill="DEEAF6"/>
            <w:tcMar>
              <w:left w:w="57" w:type="dxa"/>
              <w:right w:w="57" w:type="dxa"/>
            </w:tcMar>
            <w:vAlign w:val="center"/>
          </w:tcPr>
          <w:p w14:paraId="2474ED59" w14:textId="77777777" w:rsidR="00E510C8" w:rsidRPr="00C549BA" w:rsidRDefault="00E510C8" w:rsidP="00E510C8">
            <w:pPr>
              <w:spacing w:line="259" w:lineRule="auto"/>
              <w:ind w:right="5" w:firstLine="0"/>
              <w:jc w:val="center"/>
              <w:rPr>
                <w:rFonts w:eastAsia="Times New Roman" w:cs="Times New Roman"/>
                <w:b/>
                <w:bCs/>
                <w:color w:val="FF0000"/>
                <w:sz w:val="20"/>
                <w:szCs w:val="20"/>
              </w:rPr>
            </w:pPr>
            <w:r w:rsidRPr="00C549BA">
              <w:rPr>
                <w:rFonts w:eastAsia="Times New Roman" w:cs="Times New Roman"/>
                <w:b/>
                <w:bCs/>
                <w:color w:val="000000"/>
                <w:sz w:val="20"/>
                <w:szCs w:val="20"/>
              </w:rPr>
              <w:t>-3,0</w:t>
            </w:r>
          </w:p>
        </w:tc>
        <w:tc>
          <w:tcPr>
            <w:tcW w:w="986" w:type="dxa"/>
            <w:shd w:val="clear" w:color="auto" w:fill="DEEAF6"/>
            <w:tcMar>
              <w:left w:w="57" w:type="dxa"/>
              <w:right w:w="57" w:type="dxa"/>
            </w:tcMar>
            <w:vAlign w:val="center"/>
          </w:tcPr>
          <w:p w14:paraId="34C2370A" w14:textId="77777777" w:rsidR="00E510C8" w:rsidRPr="00C549BA" w:rsidRDefault="00E510C8" w:rsidP="00E510C8">
            <w:pPr>
              <w:spacing w:line="259" w:lineRule="auto"/>
              <w:ind w:right="5" w:firstLine="0"/>
              <w:jc w:val="center"/>
              <w:rPr>
                <w:rFonts w:eastAsia="Times New Roman" w:cs="Times New Roman"/>
                <w:b/>
                <w:bCs/>
                <w:color w:val="FF0000"/>
                <w:sz w:val="20"/>
                <w:szCs w:val="20"/>
              </w:rPr>
            </w:pPr>
            <w:r w:rsidRPr="00C549BA">
              <w:rPr>
                <w:rFonts w:eastAsia="Times New Roman" w:cs="Times New Roman"/>
                <w:b/>
                <w:bCs/>
                <w:color w:val="000000"/>
                <w:sz w:val="20"/>
                <w:szCs w:val="20"/>
              </w:rPr>
              <w:t>-2,4</w:t>
            </w:r>
          </w:p>
        </w:tc>
        <w:tc>
          <w:tcPr>
            <w:tcW w:w="850" w:type="dxa"/>
            <w:shd w:val="clear" w:color="auto" w:fill="DEEAF6"/>
            <w:tcMar>
              <w:left w:w="57" w:type="dxa"/>
              <w:right w:w="57" w:type="dxa"/>
            </w:tcMar>
            <w:vAlign w:val="center"/>
          </w:tcPr>
          <w:p w14:paraId="19C64DF5" w14:textId="77777777" w:rsidR="00E510C8" w:rsidRPr="00C549BA" w:rsidRDefault="00E510C8" w:rsidP="00E510C8">
            <w:pPr>
              <w:spacing w:line="259" w:lineRule="auto"/>
              <w:ind w:right="5" w:firstLine="0"/>
              <w:jc w:val="center"/>
              <w:rPr>
                <w:rFonts w:eastAsia="Times New Roman" w:cs="Times New Roman"/>
                <w:b/>
                <w:bCs/>
                <w:color w:val="FF0000"/>
                <w:sz w:val="20"/>
                <w:szCs w:val="20"/>
              </w:rPr>
            </w:pPr>
            <w:r w:rsidRPr="00C549BA">
              <w:rPr>
                <w:rFonts w:eastAsia="Times New Roman" w:cs="Times New Roman"/>
                <w:b/>
                <w:bCs/>
                <w:color w:val="000000"/>
                <w:sz w:val="20"/>
                <w:szCs w:val="20"/>
              </w:rPr>
              <w:t>-1,0</w:t>
            </w:r>
          </w:p>
        </w:tc>
        <w:tc>
          <w:tcPr>
            <w:tcW w:w="709" w:type="dxa"/>
            <w:shd w:val="clear" w:color="auto" w:fill="DEEAF6"/>
            <w:tcMar>
              <w:left w:w="57" w:type="dxa"/>
              <w:right w:w="57" w:type="dxa"/>
            </w:tcMar>
            <w:vAlign w:val="center"/>
          </w:tcPr>
          <w:p w14:paraId="67A962E1" w14:textId="77777777" w:rsidR="00E510C8" w:rsidRPr="00C549BA" w:rsidRDefault="00E510C8" w:rsidP="00E510C8">
            <w:pPr>
              <w:spacing w:line="259" w:lineRule="auto"/>
              <w:ind w:right="5" w:firstLine="0"/>
              <w:jc w:val="center"/>
              <w:rPr>
                <w:rFonts w:eastAsia="Times New Roman" w:cs="Times New Roman"/>
                <w:b/>
                <w:bCs/>
                <w:color w:val="FF0000"/>
                <w:sz w:val="20"/>
                <w:szCs w:val="20"/>
              </w:rPr>
            </w:pPr>
            <w:r w:rsidRPr="00C549BA">
              <w:rPr>
                <w:rFonts w:eastAsia="Times New Roman" w:cs="Times New Roman"/>
                <w:b/>
                <w:bCs/>
                <w:color w:val="000000"/>
                <w:sz w:val="20"/>
                <w:szCs w:val="20"/>
              </w:rPr>
              <w:t>-0,2</w:t>
            </w:r>
          </w:p>
        </w:tc>
        <w:tc>
          <w:tcPr>
            <w:tcW w:w="709" w:type="dxa"/>
            <w:shd w:val="clear" w:color="auto" w:fill="DEEAF6"/>
            <w:tcMar>
              <w:left w:w="57" w:type="dxa"/>
              <w:right w:w="57" w:type="dxa"/>
            </w:tcMar>
            <w:vAlign w:val="center"/>
          </w:tcPr>
          <w:p w14:paraId="68433863" w14:textId="77777777" w:rsidR="00E510C8" w:rsidRPr="00C549BA" w:rsidRDefault="00E510C8" w:rsidP="00E510C8">
            <w:pPr>
              <w:spacing w:line="259" w:lineRule="auto"/>
              <w:ind w:right="5" w:firstLine="0"/>
              <w:jc w:val="center"/>
              <w:rPr>
                <w:rFonts w:eastAsia="Times New Roman" w:cs="Times New Roman"/>
                <w:b/>
                <w:bCs/>
                <w:color w:val="FF0000"/>
                <w:sz w:val="20"/>
                <w:szCs w:val="20"/>
              </w:rPr>
            </w:pPr>
            <w:r w:rsidRPr="00C549BA">
              <w:rPr>
                <w:rFonts w:eastAsia="Times New Roman" w:cs="Times New Roman"/>
                <w:b/>
                <w:bCs/>
                <w:color w:val="000000"/>
                <w:sz w:val="20"/>
                <w:szCs w:val="20"/>
              </w:rPr>
              <w:t>-0,6</w:t>
            </w:r>
          </w:p>
        </w:tc>
        <w:tc>
          <w:tcPr>
            <w:tcW w:w="709" w:type="dxa"/>
            <w:shd w:val="clear" w:color="auto" w:fill="DEEAF6"/>
            <w:tcMar>
              <w:left w:w="57" w:type="dxa"/>
              <w:right w:w="57" w:type="dxa"/>
            </w:tcMar>
            <w:vAlign w:val="center"/>
          </w:tcPr>
          <w:p w14:paraId="75D72852" w14:textId="77777777" w:rsidR="00E510C8" w:rsidRPr="00C549BA" w:rsidRDefault="00E510C8" w:rsidP="00E510C8">
            <w:pPr>
              <w:spacing w:line="259" w:lineRule="auto"/>
              <w:ind w:right="5" w:firstLine="0"/>
              <w:jc w:val="center"/>
              <w:rPr>
                <w:rFonts w:eastAsia="Times New Roman" w:cs="Times New Roman"/>
                <w:b/>
                <w:bCs/>
                <w:color w:val="FF0000"/>
                <w:sz w:val="20"/>
                <w:szCs w:val="20"/>
              </w:rPr>
            </w:pPr>
            <w:r w:rsidRPr="00C549BA">
              <w:rPr>
                <w:rFonts w:eastAsia="Times New Roman" w:cs="Times New Roman"/>
                <w:b/>
                <w:bCs/>
                <w:color w:val="000000"/>
                <w:sz w:val="20"/>
                <w:szCs w:val="20"/>
              </w:rPr>
              <w:t>-0,7</w:t>
            </w:r>
          </w:p>
        </w:tc>
        <w:tc>
          <w:tcPr>
            <w:tcW w:w="704" w:type="dxa"/>
            <w:shd w:val="clear" w:color="auto" w:fill="DEEAF6"/>
            <w:tcMar>
              <w:left w:w="57" w:type="dxa"/>
              <w:right w:w="57" w:type="dxa"/>
            </w:tcMar>
            <w:vAlign w:val="center"/>
          </w:tcPr>
          <w:p w14:paraId="5A32C361" w14:textId="77777777" w:rsidR="00E510C8" w:rsidRPr="00C549BA" w:rsidRDefault="00E510C8" w:rsidP="00E510C8">
            <w:pPr>
              <w:spacing w:line="259" w:lineRule="auto"/>
              <w:ind w:right="5" w:firstLine="0"/>
              <w:jc w:val="center"/>
              <w:rPr>
                <w:rFonts w:eastAsia="Times New Roman" w:cs="Times New Roman"/>
                <w:b/>
                <w:bCs/>
                <w:color w:val="FF0000"/>
                <w:sz w:val="20"/>
                <w:szCs w:val="20"/>
              </w:rPr>
            </w:pPr>
            <w:r w:rsidRPr="00C549BA">
              <w:rPr>
                <w:rFonts w:eastAsia="Times New Roman" w:cs="Times New Roman"/>
                <w:b/>
                <w:bCs/>
                <w:color w:val="000000"/>
                <w:sz w:val="20"/>
                <w:szCs w:val="20"/>
              </w:rPr>
              <w:t>-0,5</w:t>
            </w:r>
          </w:p>
        </w:tc>
      </w:tr>
      <w:tr w:rsidR="00E510C8" w:rsidRPr="00C549BA" w14:paraId="1B1F7632" w14:textId="77777777" w:rsidTr="00E510C8">
        <w:trPr>
          <w:gridAfter w:val="1"/>
          <w:wAfter w:w="10" w:type="dxa"/>
          <w:trHeight w:val="20"/>
          <w:jc w:val="center"/>
        </w:trPr>
        <w:tc>
          <w:tcPr>
            <w:tcW w:w="2553" w:type="dxa"/>
            <w:shd w:val="clear" w:color="auto" w:fill="auto"/>
            <w:vAlign w:val="center"/>
          </w:tcPr>
          <w:p w14:paraId="4FA34AA0" w14:textId="77777777" w:rsidR="00E510C8" w:rsidRPr="00C549BA" w:rsidRDefault="00E510C8" w:rsidP="00E510C8">
            <w:pPr>
              <w:ind w:firstLine="0"/>
              <w:jc w:val="left"/>
              <w:rPr>
                <w:rFonts w:eastAsia="Times New Roman" w:cs="Times New Roman"/>
                <w:bCs/>
                <w:sz w:val="20"/>
                <w:szCs w:val="20"/>
                <w:lang w:eastAsia="lv-LV"/>
              </w:rPr>
            </w:pPr>
            <w:r w:rsidRPr="00C549BA">
              <w:rPr>
                <w:rFonts w:eastAsia="Times New Roman" w:cs="Times New Roman"/>
                <w:bCs/>
                <w:sz w:val="20"/>
                <w:szCs w:val="20"/>
                <w:lang w:eastAsia="lv-LV"/>
              </w:rPr>
              <w:t>Vispārējās valdības budžeta bilance</w:t>
            </w:r>
          </w:p>
        </w:tc>
        <w:tc>
          <w:tcPr>
            <w:tcW w:w="850" w:type="dxa"/>
            <w:shd w:val="clear" w:color="auto" w:fill="auto"/>
            <w:tcMar>
              <w:left w:w="57" w:type="dxa"/>
              <w:right w:w="57" w:type="dxa"/>
            </w:tcMar>
            <w:vAlign w:val="center"/>
          </w:tcPr>
          <w:p w14:paraId="4672AE06" w14:textId="77777777" w:rsidR="00E510C8" w:rsidRPr="00C549BA" w:rsidRDefault="00E510C8" w:rsidP="00E510C8">
            <w:pPr>
              <w:ind w:firstLine="0"/>
              <w:jc w:val="center"/>
              <w:rPr>
                <w:rFonts w:eastAsia="Times New Roman" w:cs="Times New Roman"/>
                <w:color w:val="FF0000"/>
                <w:sz w:val="20"/>
                <w:szCs w:val="20"/>
                <w:lang w:eastAsia="lv-LV"/>
              </w:rPr>
            </w:pPr>
            <w:r w:rsidRPr="00C549BA">
              <w:rPr>
                <w:rFonts w:eastAsia="Times New Roman" w:cs="Times New Roman"/>
                <w:color w:val="000000"/>
                <w:sz w:val="20"/>
                <w:szCs w:val="20"/>
              </w:rPr>
              <w:t>-1 832,6</w:t>
            </w:r>
          </w:p>
        </w:tc>
        <w:tc>
          <w:tcPr>
            <w:tcW w:w="993" w:type="dxa"/>
            <w:shd w:val="clear" w:color="auto" w:fill="auto"/>
            <w:tcMar>
              <w:left w:w="57" w:type="dxa"/>
              <w:right w:w="57" w:type="dxa"/>
            </w:tcMar>
            <w:vAlign w:val="center"/>
          </w:tcPr>
          <w:p w14:paraId="388AE41D" w14:textId="77777777" w:rsidR="00E510C8" w:rsidRPr="00C549BA" w:rsidRDefault="00E510C8" w:rsidP="00E510C8">
            <w:pPr>
              <w:ind w:firstLine="0"/>
              <w:jc w:val="center"/>
              <w:rPr>
                <w:rFonts w:eastAsia="Times New Roman" w:cs="Times New Roman"/>
                <w:color w:val="FF0000"/>
                <w:sz w:val="20"/>
                <w:szCs w:val="20"/>
                <w:lang w:eastAsia="lv-LV"/>
              </w:rPr>
            </w:pPr>
            <w:r w:rsidRPr="00C549BA">
              <w:rPr>
                <w:rFonts w:eastAsia="Times New Roman" w:cs="Times New Roman"/>
                <w:color w:val="000000"/>
                <w:sz w:val="20"/>
                <w:szCs w:val="20"/>
              </w:rPr>
              <w:t>-1 360,9</w:t>
            </w:r>
          </w:p>
        </w:tc>
        <w:tc>
          <w:tcPr>
            <w:tcW w:w="986" w:type="dxa"/>
            <w:tcMar>
              <w:left w:w="57" w:type="dxa"/>
              <w:right w:w="57" w:type="dxa"/>
            </w:tcMar>
            <w:vAlign w:val="center"/>
          </w:tcPr>
          <w:p w14:paraId="435DEE66" w14:textId="77777777" w:rsidR="00E510C8" w:rsidRPr="00C549BA" w:rsidRDefault="00E510C8" w:rsidP="00E510C8">
            <w:pPr>
              <w:ind w:firstLine="0"/>
              <w:jc w:val="center"/>
              <w:rPr>
                <w:rFonts w:eastAsia="Times New Roman" w:cs="Times New Roman"/>
                <w:color w:val="FF0000"/>
                <w:sz w:val="20"/>
                <w:szCs w:val="20"/>
                <w:lang w:eastAsia="lv-LV"/>
              </w:rPr>
            </w:pPr>
            <w:r w:rsidRPr="00C549BA">
              <w:rPr>
                <w:rFonts w:eastAsia="Times New Roman" w:cs="Times New Roman"/>
                <w:color w:val="000000"/>
                <w:sz w:val="20"/>
                <w:szCs w:val="20"/>
              </w:rPr>
              <w:t>-1 139,6</w:t>
            </w:r>
          </w:p>
        </w:tc>
        <w:tc>
          <w:tcPr>
            <w:tcW w:w="850" w:type="dxa"/>
            <w:shd w:val="clear" w:color="auto" w:fill="auto"/>
            <w:tcMar>
              <w:left w:w="57" w:type="dxa"/>
              <w:right w:w="57" w:type="dxa"/>
            </w:tcMar>
            <w:vAlign w:val="center"/>
          </w:tcPr>
          <w:p w14:paraId="058F8BEF" w14:textId="77777777" w:rsidR="00E510C8" w:rsidRPr="00C549BA" w:rsidRDefault="00E510C8" w:rsidP="00E510C8">
            <w:pPr>
              <w:ind w:firstLine="0"/>
              <w:jc w:val="center"/>
              <w:rPr>
                <w:rFonts w:eastAsia="Times New Roman" w:cs="Times New Roman"/>
                <w:color w:val="FF0000"/>
                <w:sz w:val="20"/>
                <w:szCs w:val="20"/>
                <w:lang w:eastAsia="lv-LV"/>
              </w:rPr>
            </w:pPr>
            <w:r w:rsidRPr="00C549BA">
              <w:rPr>
                <w:rFonts w:eastAsia="Times New Roman" w:cs="Times New Roman"/>
                <w:color w:val="000000"/>
                <w:sz w:val="20"/>
                <w:szCs w:val="20"/>
              </w:rPr>
              <w:t>-483,6</w:t>
            </w:r>
          </w:p>
        </w:tc>
        <w:tc>
          <w:tcPr>
            <w:tcW w:w="709" w:type="dxa"/>
            <w:shd w:val="clear" w:color="auto" w:fill="auto"/>
            <w:tcMar>
              <w:left w:w="57" w:type="dxa"/>
              <w:right w:w="57" w:type="dxa"/>
            </w:tcMar>
            <w:vAlign w:val="center"/>
          </w:tcPr>
          <w:p w14:paraId="6EF8113C" w14:textId="77777777" w:rsidR="00E510C8" w:rsidRPr="00C549BA" w:rsidRDefault="00E510C8" w:rsidP="00E510C8">
            <w:pPr>
              <w:ind w:firstLine="0"/>
              <w:jc w:val="center"/>
              <w:rPr>
                <w:rFonts w:eastAsia="Times New Roman" w:cs="Times New Roman"/>
                <w:color w:val="FF0000"/>
                <w:sz w:val="20"/>
                <w:szCs w:val="20"/>
                <w:lang w:eastAsia="lv-LV"/>
              </w:rPr>
            </w:pPr>
            <w:r w:rsidRPr="00C549BA">
              <w:rPr>
                <w:rFonts w:eastAsia="Times New Roman" w:cs="Times New Roman"/>
                <w:color w:val="000000"/>
                <w:sz w:val="20"/>
                <w:szCs w:val="20"/>
              </w:rPr>
              <w:t>-79,3</w:t>
            </w:r>
          </w:p>
        </w:tc>
        <w:tc>
          <w:tcPr>
            <w:tcW w:w="709" w:type="dxa"/>
            <w:shd w:val="clear" w:color="auto" w:fill="auto"/>
            <w:tcMar>
              <w:left w:w="57" w:type="dxa"/>
              <w:right w:w="57" w:type="dxa"/>
            </w:tcMar>
            <w:vAlign w:val="center"/>
          </w:tcPr>
          <w:p w14:paraId="3DBA1A97" w14:textId="77777777" w:rsidR="00E510C8" w:rsidRPr="00C549BA" w:rsidRDefault="00E510C8" w:rsidP="00E510C8">
            <w:pPr>
              <w:spacing w:line="259" w:lineRule="auto"/>
              <w:ind w:firstLine="0"/>
              <w:jc w:val="center"/>
              <w:rPr>
                <w:rFonts w:eastAsia="Times New Roman" w:cs="Times New Roman"/>
                <w:color w:val="FF0000"/>
                <w:sz w:val="20"/>
                <w:szCs w:val="20"/>
                <w:lang w:eastAsia="lv-LV"/>
              </w:rPr>
            </w:pPr>
            <w:r w:rsidRPr="00C549BA">
              <w:rPr>
                <w:rFonts w:eastAsia="Times New Roman" w:cs="Times New Roman"/>
                <w:color w:val="000000"/>
                <w:sz w:val="20"/>
                <w:szCs w:val="20"/>
              </w:rPr>
              <w:t>-260,3</w:t>
            </w:r>
          </w:p>
        </w:tc>
        <w:tc>
          <w:tcPr>
            <w:tcW w:w="709" w:type="dxa"/>
            <w:tcMar>
              <w:left w:w="57" w:type="dxa"/>
              <w:right w:w="57" w:type="dxa"/>
            </w:tcMar>
            <w:vAlign w:val="center"/>
          </w:tcPr>
          <w:p w14:paraId="279AECFF" w14:textId="77777777" w:rsidR="00E510C8" w:rsidRPr="00C549BA" w:rsidRDefault="00E510C8" w:rsidP="00E510C8">
            <w:pPr>
              <w:spacing w:line="259" w:lineRule="auto"/>
              <w:ind w:firstLine="0"/>
              <w:jc w:val="center"/>
              <w:rPr>
                <w:rFonts w:eastAsia="Times New Roman" w:cs="Times New Roman"/>
                <w:color w:val="FF0000"/>
                <w:sz w:val="20"/>
                <w:szCs w:val="20"/>
                <w:lang w:eastAsia="lv-LV"/>
              </w:rPr>
            </w:pPr>
            <w:r w:rsidRPr="00C549BA">
              <w:rPr>
                <w:rFonts w:eastAsia="Times New Roman" w:cs="Times New Roman"/>
                <w:color w:val="000000"/>
                <w:sz w:val="20"/>
                <w:szCs w:val="20"/>
              </w:rPr>
              <w:t>-322,1</w:t>
            </w:r>
          </w:p>
        </w:tc>
        <w:tc>
          <w:tcPr>
            <w:tcW w:w="704" w:type="dxa"/>
            <w:shd w:val="clear" w:color="auto" w:fill="auto"/>
            <w:tcMar>
              <w:left w:w="57" w:type="dxa"/>
              <w:right w:w="57" w:type="dxa"/>
            </w:tcMar>
            <w:vAlign w:val="center"/>
          </w:tcPr>
          <w:p w14:paraId="7D82B9D1" w14:textId="77777777" w:rsidR="00E510C8" w:rsidRPr="00C549BA" w:rsidRDefault="00E510C8" w:rsidP="00E510C8">
            <w:pPr>
              <w:spacing w:line="259" w:lineRule="auto"/>
              <w:ind w:firstLine="0"/>
              <w:jc w:val="center"/>
              <w:rPr>
                <w:rFonts w:eastAsia="Times New Roman" w:cs="Times New Roman"/>
                <w:color w:val="FF0000"/>
                <w:sz w:val="20"/>
                <w:szCs w:val="20"/>
                <w:lang w:eastAsia="lv-LV"/>
              </w:rPr>
            </w:pPr>
            <w:r w:rsidRPr="00C549BA">
              <w:rPr>
                <w:rFonts w:eastAsia="Times New Roman" w:cs="Times New Roman"/>
                <w:color w:val="000000"/>
                <w:sz w:val="20"/>
                <w:szCs w:val="20"/>
              </w:rPr>
              <w:t>-236,2</w:t>
            </w:r>
          </w:p>
        </w:tc>
      </w:tr>
      <w:tr w:rsidR="00E510C8" w:rsidRPr="00C549BA" w14:paraId="5C5A69AD" w14:textId="77777777" w:rsidTr="00E510C8">
        <w:trPr>
          <w:gridAfter w:val="1"/>
          <w:wAfter w:w="10" w:type="dxa"/>
          <w:trHeight w:val="20"/>
          <w:jc w:val="center"/>
        </w:trPr>
        <w:tc>
          <w:tcPr>
            <w:tcW w:w="2553" w:type="dxa"/>
            <w:shd w:val="clear" w:color="auto" w:fill="DEEAF6"/>
            <w:vAlign w:val="center"/>
          </w:tcPr>
          <w:p w14:paraId="21062BF7" w14:textId="77777777" w:rsidR="00E510C8" w:rsidRPr="00C549BA" w:rsidRDefault="00E510C8" w:rsidP="00E510C8">
            <w:pPr>
              <w:ind w:left="166" w:firstLine="0"/>
              <w:jc w:val="left"/>
              <w:rPr>
                <w:rFonts w:eastAsia="Times New Roman" w:cs="Times New Roman"/>
                <w:bCs/>
                <w:sz w:val="20"/>
                <w:szCs w:val="20"/>
                <w:lang w:eastAsia="lv-LV"/>
              </w:rPr>
            </w:pPr>
            <w:r w:rsidRPr="00C549BA">
              <w:rPr>
                <w:rFonts w:eastAsia="Times New Roman" w:cs="Times New Roman"/>
                <w:bCs/>
                <w:sz w:val="20"/>
                <w:szCs w:val="20"/>
                <w:lang w:eastAsia="lv-LV"/>
              </w:rPr>
              <w:t>Nodokļu ieņēmumi</w:t>
            </w:r>
          </w:p>
        </w:tc>
        <w:tc>
          <w:tcPr>
            <w:tcW w:w="850" w:type="dxa"/>
            <w:shd w:val="clear" w:color="auto" w:fill="DEEAF6"/>
            <w:tcMar>
              <w:left w:w="57" w:type="dxa"/>
              <w:right w:w="57" w:type="dxa"/>
            </w:tcMar>
            <w:vAlign w:val="center"/>
          </w:tcPr>
          <w:p w14:paraId="04D1675E"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12 404,0</w:t>
            </w:r>
          </w:p>
        </w:tc>
        <w:tc>
          <w:tcPr>
            <w:tcW w:w="993" w:type="dxa"/>
            <w:shd w:val="clear" w:color="auto" w:fill="DEEAF6"/>
            <w:tcMar>
              <w:left w:w="57" w:type="dxa"/>
              <w:right w:w="57" w:type="dxa"/>
            </w:tcMar>
            <w:vAlign w:val="center"/>
          </w:tcPr>
          <w:p w14:paraId="7077434F"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13 030,4</w:t>
            </w:r>
          </w:p>
        </w:tc>
        <w:tc>
          <w:tcPr>
            <w:tcW w:w="986" w:type="dxa"/>
            <w:shd w:val="clear" w:color="auto" w:fill="DEEAF6"/>
            <w:tcMar>
              <w:left w:w="57" w:type="dxa"/>
              <w:right w:w="57" w:type="dxa"/>
            </w:tcMar>
            <w:vAlign w:val="center"/>
          </w:tcPr>
          <w:p w14:paraId="2A5E1673"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13 700,9</w:t>
            </w:r>
          </w:p>
        </w:tc>
        <w:tc>
          <w:tcPr>
            <w:tcW w:w="850" w:type="dxa"/>
            <w:shd w:val="clear" w:color="auto" w:fill="DEEAF6"/>
            <w:tcMar>
              <w:left w:w="57" w:type="dxa"/>
              <w:right w:w="57" w:type="dxa"/>
            </w:tcMar>
            <w:vAlign w:val="center"/>
          </w:tcPr>
          <w:p w14:paraId="76901137"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14 400,4</w:t>
            </w:r>
          </w:p>
        </w:tc>
        <w:tc>
          <w:tcPr>
            <w:tcW w:w="709" w:type="dxa"/>
            <w:shd w:val="clear" w:color="auto" w:fill="DEEAF6"/>
            <w:tcMar>
              <w:left w:w="57" w:type="dxa"/>
              <w:right w:w="57" w:type="dxa"/>
            </w:tcMar>
            <w:vAlign w:val="center"/>
          </w:tcPr>
          <w:p w14:paraId="0FF16A36"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-66,2</w:t>
            </w:r>
          </w:p>
        </w:tc>
        <w:tc>
          <w:tcPr>
            <w:tcW w:w="709" w:type="dxa"/>
            <w:shd w:val="clear" w:color="auto" w:fill="DEEAF6"/>
            <w:tcMar>
              <w:left w:w="57" w:type="dxa"/>
              <w:right w:w="57" w:type="dxa"/>
            </w:tcMar>
            <w:vAlign w:val="center"/>
          </w:tcPr>
          <w:p w14:paraId="3B845D94"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-197,8</w:t>
            </w:r>
          </w:p>
        </w:tc>
        <w:tc>
          <w:tcPr>
            <w:tcW w:w="709" w:type="dxa"/>
            <w:shd w:val="clear" w:color="auto" w:fill="DEEAF6"/>
            <w:tcMar>
              <w:left w:w="57" w:type="dxa"/>
              <w:right w:w="57" w:type="dxa"/>
            </w:tcMar>
            <w:vAlign w:val="center"/>
          </w:tcPr>
          <w:p w14:paraId="6006C6F0"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-241,8</w:t>
            </w:r>
          </w:p>
        </w:tc>
        <w:tc>
          <w:tcPr>
            <w:tcW w:w="704" w:type="dxa"/>
            <w:shd w:val="clear" w:color="auto" w:fill="DEEAF6"/>
            <w:tcMar>
              <w:left w:w="57" w:type="dxa"/>
              <w:right w:w="57" w:type="dxa"/>
            </w:tcMar>
            <w:vAlign w:val="center"/>
          </w:tcPr>
          <w:p w14:paraId="7F0ACCA9"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-240,1</w:t>
            </w:r>
          </w:p>
        </w:tc>
      </w:tr>
      <w:tr w:rsidR="00E510C8" w:rsidRPr="00C549BA" w14:paraId="254C8B59" w14:textId="77777777" w:rsidTr="00E510C8">
        <w:trPr>
          <w:gridAfter w:val="1"/>
          <w:wAfter w:w="10" w:type="dxa"/>
          <w:trHeight w:val="20"/>
          <w:jc w:val="center"/>
        </w:trPr>
        <w:tc>
          <w:tcPr>
            <w:tcW w:w="2553" w:type="dxa"/>
            <w:shd w:val="clear" w:color="auto" w:fill="auto"/>
          </w:tcPr>
          <w:p w14:paraId="1394FC79" w14:textId="77777777" w:rsidR="00E510C8" w:rsidRPr="00C549BA" w:rsidRDefault="00E510C8" w:rsidP="00E510C8">
            <w:pPr>
              <w:spacing w:line="259" w:lineRule="auto"/>
              <w:ind w:left="283" w:firstLine="0"/>
              <w:jc w:val="left"/>
              <w:rPr>
                <w:rFonts w:eastAsia="Times New Roman" w:cs="Times New Roman"/>
                <w:bCs/>
                <w:i/>
                <w:sz w:val="20"/>
                <w:szCs w:val="20"/>
              </w:rPr>
            </w:pPr>
            <w:r w:rsidRPr="00C549BA">
              <w:rPr>
                <w:rFonts w:eastAsia="Times New Roman" w:cs="Times New Roman"/>
                <w:bCs/>
                <w:i/>
                <w:sz w:val="20"/>
                <w:szCs w:val="20"/>
              </w:rPr>
              <w:t>Iedzīvotāju ienākuma nodoklis</w:t>
            </w:r>
          </w:p>
        </w:tc>
        <w:tc>
          <w:tcPr>
            <w:tcW w:w="850" w:type="dxa"/>
            <w:shd w:val="clear" w:color="auto" w:fill="auto"/>
            <w:tcMar>
              <w:left w:w="57" w:type="dxa"/>
              <w:right w:w="57" w:type="dxa"/>
            </w:tcMar>
            <w:vAlign w:val="center"/>
          </w:tcPr>
          <w:p w14:paraId="55A673A4"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2 330,9</w:t>
            </w:r>
          </w:p>
        </w:tc>
        <w:tc>
          <w:tcPr>
            <w:tcW w:w="993" w:type="dxa"/>
            <w:shd w:val="clear" w:color="auto" w:fill="auto"/>
            <w:tcMar>
              <w:left w:w="57" w:type="dxa"/>
              <w:right w:w="57" w:type="dxa"/>
            </w:tcMar>
            <w:vAlign w:val="center"/>
          </w:tcPr>
          <w:p w14:paraId="6DAF3191"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2 457,6</w:t>
            </w:r>
          </w:p>
        </w:tc>
        <w:tc>
          <w:tcPr>
            <w:tcW w:w="986" w:type="dxa"/>
            <w:tcMar>
              <w:left w:w="57" w:type="dxa"/>
              <w:right w:w="57" w:type="dxa"/>
            </w:tcMar>
            <w:vAlign w:val="center"/>
          </w:tcPr>
          <w:p w14:paraId="750D8374"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2 555,9</w:t>
            </w:r>
          </w:p>
        </w:tc>
        <w:tc>
          <w:tcPr>
            <w:tcW w:w="850" w:type="dxa"/>
            <w:shd w:val="clear" w:color="auto" w:fill="auto"/>
            <w:tcMar>
              <w:left w:w="57" w:type="dxa"/>
              <w:right w:w="57" w:type="dxa"/>
            </w:tcMar>
            <w:vAlign w:val="center"/>
          </w:tcPr>
          <w:p w14:paraId="2278FC0B"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2 691,6</w:t>
            </w:r>
          </w:p>
        </w:tc>
        <w:tc>
          <w:tcPr>
            <w:tcW w:w="709" w:type="dxa"/>
            <w:shd w:val="clear" w:color="auto" w:fill="auto"/>
            <w:tcMar>
              <w:left w:w="57" w:type="dxa"/>
              <w:right w:w="57" w:type="dxa"/>
            </w:tcMar>
            <w:vAlign w:val="center"/>
          </w:tcPr>
          <w:p w14:paraId="1669F210"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-37,1</w:t>
            </w:r>
          </w:p>
        </w:tc>
        <w:tc>
          <w:tcPr>
            <w:tcW w:w="709" w:type="dxa"/>
            <w:shd w:val="clear" w:color="auto" w:fill="auto"/>
            <w:tcMar>
              <w:left w:w="57" w:type="dxa"/>
              <w:right w:w="57" w:type="dxa"/>
            </w:tcMar>
            <w:vAlign w:val="center"/>
          </w:tcPr>
          <w:p w14:paraId="79780EE6"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-83,4</w:t>
            </w:r>
          </w:p>
        </w:tc>
        <w:tc>
          <w:tcPr>
            <w:tcW w:w="709" w:type="dxa"/>
            <w:tcMar>
              <w:left w:w="57" w:type="dxa"/>
              <w:right w:w="57" w:type="dxa"/>
            </w:tcMar>
            <w:vAlign w:val="center"/>
          </w:tcPr>
          <w:p w14:paraId="0DE08B83"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-116,1</w:t>
            </w:r>
          </w:p>
        </w:tc>
        <w:tc>
          <w:tcPr>
            <w:tcW w:w="704" w:type="dxa"/>
            <w:shd w:val="clear" w:color="auto" w:fill="auto"/>
            <w:tcMar>
              <w:left w:w="57" w:type="dxa"/>
              <w:right w:w="57" w:type="dxa"/>
            </w:tcMar>
            <w:vAlign w:val="center"/>
          </w:tcPr>
          <w:p w14:paraId="7A54E11A"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-108,4</w:t>
            </w:r>
          </w:p>
        </w:tc>
      </w:tr>
      <w:tr w:rsidR="00E510C8" w:rsidRPr="00C549BA" w14:paraId="0B3D126C" w14:textId="77777777" w:rsidTr="00E510C8">
        <w:trPr>
          <w:gridAfter w:val="1"/>
          <w:wAfter w:w="10" w:type="dxa"/>
          <w:trHeight w:val="20"/>
          <w:jc w:val="center"/>
        </w:trPr>
        <w:tc>
          <w:tcPr>
            <w:tcW w:w="2553" w:type="dxa"/>
            <w:shd w:val="clear" w:color="auto" w:fill="DEEAF6"/>
          </w:tcPr>
          <w:p w14:paraId="048A9433" w14:textId="77777777" w:rsidR="00E510C8" w:rsidRPr="00C549BA" w:rsidRDefault="00E510C8" w:rsidP="00E510C8">
            <w:pPr>
              <w:spacing w:line="259" w:lineRule="auto"/>
              <w:ind w:left="283" w:firstLine="0"/>
              <w:jc w:val="left"/>
              <w:rPr>
                <w:rFonts w:eastAsia="Times New Roman" w:cs="Times New Roman"/>
                <w:bCs/>
                <w:i/>
                <w:sz w:val="20"/>
                <w:szCs w:val="20"/>
              </w:rPr>
            </w:pPr>
            <w:r w:rsidRPr="00C549BA">
              <w:rPr>
                <w:rFonts w:eastAsia="Times New Roman" w:cs="Times New Roman"/>
                <w:bCs/>
                <w:i/>
                <w:sz w:val="20"/>
                <w:szCs w:val="20"/>
              </w:rPr>
              <w:t>Uzņēmuma ienākuma nodoklis</w:t>
            </w:r>
          </w:p>
        </w:tc>
        <w:tc>
          <w:tcPr>
            <w:tcW w:w="850" w:type="dxa"/>
            <w:shd w:val="clear" w:color="auto" w:fill="DEEAF6"/>
            <w:tcMar>
              <w:left w:w="57" w:type="dxa"/>
              <w:right w:w="57" w:type="dxa"/>
            </w:tcMar>
            <w:vAlign w:val="center"/>
          </w:tcPr>
          <w:p w14:paraId="53642B36"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402,7</w:t>
            </w:r>
          </w:p>
        </w:tc>
        <w:tc>
          <w:tcPr>
            <w:tcW w:w="993" w:type="dxa"/>
            <w:shd w:val="clear" w:color="auto" w:fill="DEEAF6"/>
            <w:tcMar>
              <w:left w:w="57" w:type="dxa"/>
              <w:right w:w="57" w:type="dxa"/>
            </w:tcMar>
            <w:vAlign w:val="center"/>
          </w:tcPr>
          <w:p w14:paraId="44DAA9C8"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418,9</w:t>
            </w:r>
          </w:p>
        </w:tc>
        <w:tc>
          <w:tcPr>
            <w:tcW w:w="986" w:type="dxa"/>
            <w:shd w:val="clear" w:color="auto" w:fill="DEEAF6"/>
            <w:tcMar>
              <w:left w:w="57" w:type="dxa"/>
              <w:right w:w="57" w:type="dxa"/>
            </w:tcMar>
            <w:vAlign w:val="center"/>
          </w:tcPr>
          <w:p w14:paraId="13B03E77"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441,5</w:t>
            </w:r>
          </w:p>
        </w:tc>
        <w:tc>
          <w:tcPr>
            <w:tcW w:w="850" w:type="dxa"/>
            <w:shd w:val="clear" w:color="auto" w:fill="DEEAF6"/>
            <w:tcMar>
              <w:left w:w="57" w:type="dxa"/>
              <w:right w:w="57" w:type="dxa"/>
            </w:tcMar>
            <w:vAlign w:val="center"/>
          </w:tcPr>
          <w:p w14:paraId="6B5928C7"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488,0</w:t>
            </w:r>
          </w:p>
        </w:tc>
        <w:tc>
          <w:tcPr>
            <w:tcW w:w="709" w:type="dxa"/>
            <w:shd w:val="clear" w:color="auto" w:fill="DEEAF6"/>
            <w:tcMar>
              <w:left w:w="57" w:type="dxa"/>
              <w:right w:w="57" w:type="dxa"/>
            </w:tcMar>
            <w:vAlign w:val="center"/>
          </w:tcPr>
          <w:p w14:paraId="567E5A6B"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0,7</w:t>
            </w:r>
          </w:p>
        </w:tc>
        <w:tc>
          <w:tcPr>
            <w:tcW w:w="709" w:type="dxa"/>
            <w:shd w:val="clear" w:color="auto" w:fill="DEEAF6"/>
            <w:tcMar>
              <w:left w:w="57" w:type="dxa"/>
              <w:right w:w="57" w:type="dxa"/>
            </w:tcMar>
            <w:vAlign w:val="center"/>
          </w:tcPr>
          <w:p w14:paraId="485FAC16"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-3,1</w:t>
            </w:r>
          </w:p>
        </w:tc>
        <w:tc>
          <w:tcPr>
            <w:tcW w:w="709" w:type="dxa"/>
            <w:shd w:val="clear" w:color="auto" w:fill="DEEAF6"/>
            <w:tcMar>
              <w:left w:w="57" w:type="dxa"/>
              <w:right w:w="57" w:type="dxa"/>
            </w:tcMar>
            <w:vAlign w:val="center"/>
          </w:tcPr>
          <w:p w14:paraId="1959B371"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-5,5</w:t>
            </w:r>
          </w:p>
        </w:tc>
        <w:tc>
          <w:tcPr>
            <w:tcW w:w="704" w:type="dxa"/>
            <w:shd w:val="clear" w:color="auto" w:fill="DEEAF6"/>
            <w:tcMar>
              <w:left w:w="57" w:type="dxa"/>
              <w:right w:w="57" w:type="dxa"/>
            </w:tcMar>
            <w:vAlign w:val="center"/>
          </w:tcPr>
          <w:p w14:paraId="2145BBA9"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-6,3</w:t>
            </w:r>
          </w:p>
        </w:tc>
      </w:tr>
      <w:tr w:rsidR="00E510C8" w:rsidRPr="00C549BA" w14:paraId="01239168" w14:textId="77777777" w:rsidTr="00E510C8">
        <w:trPr>
          <w:gridAfter w:val="1"/>
          <w:wAfter w:w="10" w:type="dxa"/>
          <w:trHeight w:val="20"/>
          <w:jc w:val="center"/>
        </w:trPr>
        <w:tc>
          <w:tcPr>
            <w:tcW w:w="2553" w:type="dxa"/>
            <w:shd w:val="clear" w:color="auto" w:fill="auto"/>
          </w:tcPr>
          <w:p w14:paraId="40F86C69" w14:textId="77777777" w:rsidR="00E510C8" w:rsidRPr="00C549BA" w:rsidRDefault="00E510C8" w:rsidP="00E510C8">
            <w:pPr>
              <w:spacing w:line="259" w:lineRule="auto"/>
              <w:ind w:left="283" w:firstLine="0"/>
              <w:jc w:val="left"/>
              <w:rPr>
                <w:rFonts w:eastAsia="Times New Roman" w:cs="Times New Roman"/>
                <w:bCs/>
                <w:i/>
                <w:sz w:val="20"/>
                <w:szCs w:val="20"/>
              </w:rPr>
            </w:pPr>
            <w:r w:rsidRPr="00C549BA">
              <w:rPr>
                <w:rFonts w:eastAsia="Times New Roman" w:cs="Times New Roman"/>
                <w:bCs/>
                <w:i/>
                <w:sz w:val="20"/>
                <w:szCs w:val="20"/>
              </w:rPr>
              <w:t>PVN</w:t>
            </w:r>
          </w:p>
        </w:tc>
        <w:tc>
          <w:tcPr>
            <w:tcW w:w="850" w:type="dxa"/>
            <w:shd w:val="clear" w:color="auto" w:fill="auto"/>
            <w:tcMar>
              <w:left w:w="57" w:type="dxa"/>
              <w:right w:w="57" w:type="dxa"/>
            </w:tcMar>
            <w:vAlign w:val="center"/>
          </w:tcPr>
          <w:p w14:paraId="1563D44F"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3 928,8</w:t>
            </w:r>
          </w:p>
        </w:tc>
        <w:tc>
          <w:tcPr>
            <w:tcW w:w="993" w:type="dxa"/>
            <w:shd w:val="clear" w:color="auto" w:fill="auto"/>
            <w:tcMar>
              <w:left w:w="57" w:type="dxa"/>
              <w:right w:w="57" w:type="dxa"/>
            </w:tcMar>
            <w:vAlign w:val="center"/>
          </w:tcPr>
          <w:p w14:paraId="31D49E36"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4 128,8</w:t>
            </w:r>
          </w:p>
        </w:tc>
        <w:tc>
          <w:tcPr>
            <w:tcW w:w="986" w:type="dxa"/>
            <w:tcMar>
              <w:left w:w="57" w:type="dxa"/>
              <w:right w:w="57" w:type="dxa"/>
            </w:tcMar>
            <w:vAlign w:val="center"/>
          </w:tcPr>
          <w:p w14:paraId="44C64A58"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4 384,2</w:t>
            </w:r>
          </w:p>
        </w:tc>
        <w:tc>
          <w:tcPr>
            <w:tcW w:w="850" w:type="dxa"/>
            <w:shd w:val="clear" w:color="auto" w:fill="auto"/>
            <w:tcMar>
              <w:left w:w="57" w:type="dxa"/>
              <w:right w:w="57" w:type="dxa"/>
            </w:tcMar>
            <w:vAlign w:val="center"/>
          </w:tcPr>
          <w:p w14:paraId="061EEBD0"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4 625,5</w:t>
            </w:r>
          </w:p>
        </w:tc>
        <w:tc>
          <w:tcPr>
            <w:tcW w:w="709" w:type="dxa"/>
            <w:shd w:val="clear" w:color="auto" w:fill="auto"/>
            <w:tcMar>
              <w:left w:w="57" w:type="dxa"/>
              <w:right w:w="57" w:type="dxa"/>
            </w:tcMar>
            <w:vAlign w:val="center"/>
          </w:tcPr>
          <w:p w14:paraId="6B4935DE"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34,0</w:t>
            </w:r>
          </w:p>
        </w:tc>
        <w:tc>
          <w:tcPr>
            <w:tcW w:w="709" w:type="dxa"/>
            <w:shd w:val="clear" w:color="auto" w:fill="auto"/>
            <w:tcMar>
              <w:left w:w="57" w:type="dxa"/>
              <w:right w:w="57" w:type="dxa"/>
            </w:tcMar>
            <w:vAlign w:val="center"/>
          </w:tcPr>
          <w:p w14:paraId="72A48566"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41,9</w:t>
            </w:r>
          </w:p>
        </w:tc>
        <w:tc>
          <w:tcPr>
            <w:tcW w:w="709" w:type="dxa"/>
            <w:tcMar>
              <w:left w:w="57" w:type="dxa"/>
              <w:right w:w="57" w:type="dxa"/>
            </w:tcMar>
            <w:vAlign w:val="center"/>
          </w:tcPr>
          <w:p w14:paraId="2C9E8EB8"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49,4</w:t>
            </w:r>
          </w:p>
        </w:tc>
        <w:tc>
          <w:tcPr>
            <w:tcW w:w="704" w:type="dxa"/>
            <w:shd w:val="clear" w:color="auto" w:fill="auto"/>
            <w:tcMar>
              <w:left w:w="57" w:type="dxa"/>
              <w:right w:w="57" w:type="dxa"/>
            </w:tcMar>
            <w:vAlign w:val="center"/>
          </w:tcPr>
          <w:p w14:paraId="59D5FBA3"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51,8</w:t>
            </w:r>
          </w:p>
        </w:tc>
      </w:tr>
      <w:tr w:rsidR="00E510C8" w:rsidRPr="00C549BA" w14:paraId="4E4BC15D" w14:textId="77777777" w:rsidTr="00E510C8">
        <w:trPr>
          <w:gridAfter w:val="1"/>
          <w:wAfter w:w="10" w:type="dxa"/>
          <w:trHeight w:val="20"/>
          <w:jc w:val="center"/>
        </w:trPr>
        <w:tc>
          <w:tcPr>
            <w:tcW w:w="2553" w:type="dxa"/>
            <w:shd w:val="clear" w:color="auto" w:fill="DEEAF6"/>
          </w:tcPr>
          <w:p w14:paraId="4C8DF98E" w14:textId="77777777" w:rsidR="00E510C8" w:rsidRPr="00C549BA" w:rsidRDefault="00E510C8" w:rsidP="00E510C8">
            <w:pPr>
              <w:spacing w:line="259" w:lineRule="auto"/>
              <w:ind w:left="283" w:firstLine="0"/>
              <w:jc w:val="left"/>
              <w:rPr>
                <w:rFonts w:eastAsia="Times New Roman" w:cs="Times New Roman"/>
                <w:bCs/>
                <w:i/>
                <w:sz w:val="20"/>
                <w:szCs w:val="20"/>
              </w:rPr>
            </w:pPr>
            <w:r w:rsidRPr="00C549BA">
              <w:rPr>
                <w:rFonts w:eastAsia="Times New Roman" w:cs="Times New Roman"/>
                <w:bCs/>
                <w:i/>
                <w:sz w:val="20"/>
                <w:szCs w:val="20"/>
              </w:rPr>
              <w:lastRenderedPageBreak/>
              <w:t>Valsts sociālās apdrošināšanas obligātās  iemaksas</w:t>
            </w:r>
            <w:r w:rsidRPr="00C549BA">
              <w:rPr>
                <w:rFonts w:eastAsia="Times New Roman" w:cs="Times New Roman"/>
                <w:bCs/>
                <w:i/>
                <w:sz w:val="20"/>
                <w:szCs w:val="20"/>
                <w:vertAlign w:val="superscript"/>
              </w:rPr>
              <w:footnoteReference w:id="17"/>
            </w:r>
          </w:p>
        </w:tc>
        <w:tc>
          <w:tcPr>
            <w:tcW w:w="850" w:type="dxa"/>
            <w:shd w:val="clear" w:color="auto" w:fill="DEEAF6"/>
            <w:tcMar>
              <w:left w:w="57" w:type="dxa"/>
              <w:right w:w="57" w:type="dxa"/>
            </w:tcMar>
            <w:vAlign w:val="center"/>
          </w:tcPr>
          <w:p w14:paraId="7DAB8DF5"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4 017,2</w:t>
            </w:r>
          </w:p>
        </w:tc>
        <w:tc>
          <w:tcPr>
            <w:tcW w:w="993" w:type="dxa"/>
            <w:shd w:val="clear" w:color="auto" w:fill="DEEAF6"/>
            <w:tcMar>
              <w:left w:w="57" w:type="dxa"/>
              <w:right w:w="57" w:type="dxa"/>
            </w:tcMar>
            <w:vAlign w:val="center"/>
          </w:tcPr>
          <w:p w14:paraId="3971DF59"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4 255,2</w:t>
            </w:r>
          </w:p>
        </w:tc>
        <w:tc>
          <w:tcPr>
            <w:tcW w:w="986" w:type="dxa"/>
            <w:shd w:val="clear" w:color="auto" w:fill="DEEAF6"/>
            <w:tcMar>
              <w:left w:w="57" w:type="dxa"/>
              <w:right w:w="57" w:type="dxa"/>
            </w:tcMar>
            <w:vAlign w:val="center"/>
          </w:tcPr>
          <w:p w14:paraId="6092302C"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4 500,3</w:t>
            </w:r>
          </w:p>
        </w:tc>
        <w:tc>
          <w:tcPr>
            <w:tcW w:w="850" w:type="dxa"/>
            <w:shd w:val="clear" w:color="auto" w:fill="DEEAF6"/>
            <w:tcMar>
              <w:left w:w="57" w:type="dxa"/>
              <w:right w:w="57" w:type="dxa"/>
            </w:tcMar>
            <w:vAlign w:val="center"/>
          </w:tcPr>
          <w:p w14:paraId="634EF5D4"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4 718,1</w:t>
            </w:r>
          </w:p>
        </w:tc>
        <w:tc>
          <w:tcPr>
            <w:tcW w:w="709" w:type="dxa"/>
            <w:shd w:val="clear" w:color="auto" w:fill="DEEAF6"/>
            <w:tcMar>
              <w:left w:w="57" w:type="dxa"/>
              <w:right w:w="57" w:type="dxa"/>
            </w:tcMar>
            <w:vAlign w:val="center"/>
          </w:tcPr>
          <w:p w14:paraId="6739AACB"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-64,0</w:t>
            </w:r>
          </w:p>
        </w:tc>
        <w:tc>
          <w:tcPr>
            <w:tcW w:w="709" w:type="dxa"/>
            <w:shd w:val="clear" w:color="auto" w:fill="DEEAF6"/>
            <w:tcMar>
              <w:left w:w="57" w:type="dxa"/>
              <w:right w:w="57" w:type="dxa"/>
            </w:tcMar>
            <w:vAlign w:val="center"/>
          </w:tcPr>
          <w:p w14:paraId="2A5A135A"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-144,4</w:t>
            </w:r>
          </w:p>
        </w:tc>
        <w:tc>
          <w:tcPr>
            <w:tcW w:w="709" w:type="dxa"/>
            <w:shd w:val="clear" w:color="auto" w:fill="DEEAF6"/>
            <w:tcMar>
              <w:left w:w="57" w:type="dxa"/>
              <w:right w:w="57" w:type="dxa"/>
            </w:tcMar>
            <w:vAlign w:val="center"/>
          </w:tcPr>
          <w:p w14:paraId="5CA522DC"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-154,5</w:t>
            </w:r>
          </w:p>
        </w:tc>
        <w:tc>
          <w:tcPr>
            <w:tcW w:w="704" w:type="dxa"/>
            <w:shd w:val="clear" w:color="auto" w:fill="DEEAF6"/>
            <w:tcMar>
              <w:left w:w="57" w:type="dxa"/>
              <w:right w:w="57" w:type="dxa"/>
            </w:tcMar>
            <w:vAlign w:val="center"/>
          </w:tcPr>
          <w:p w14:paraId="4637307B"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-161,2</w:t>
            </w:r>
          </w:p>
        </w:tc>
      </w:tr>
      <w:tr w:rsidR="00E510C8" w:rsidRPr="00C549BA" w14:paraId="45171265" w14:textId="77777777" w:rsidTr="00E510C8">
        <w:trPr>
          <w:gridAfter w:val="1"/>
          <w:wAfter w:w="10" w:type="dxa"/>
          <w:trHeight w:val="20"/>
          <w:jc w:val="center"/>
        </w:trPr>
        <w:tc>
          <w:tcPr>
            <w:tcW w:w="2553" w:type="dxa"/>
            <w:shd w:val="clear" w:color="auto" w:fill="auto"/>
          </w:tcPr>
          <w:p w14:paraId="4B45EF17" w14:textId="77777777" w:rsidR="00E510C8" w:rsidRPr="00C549BA" w:rsidRDefault="00E510C8" w:rsidP="00E510C8">
            <w:pPr>
              <w:spacing w:line="259" w:lineRule="auto"/>
              <w:ind w:left="283" w:firstLine="0"/>
              <w:jc w:val="left"/>
              <w:rPr>
                <w:rFonts w:eastAsia="Times New Roman" w:cs="Times New Roman"/>
                <w:bCs/>
                <w:i/>
                <w:sz w:val="20"/>
                <w:szCs w:val="20"/>
              </w:rPr>
            </w:pPr>
            <w:r w:rsidRPr="00C549BA">
              <w:rPr>
                <w:rFonts w:eastAsia="Times New Roman" w:cs="Times New Roman"/>
                <w:bCs/>
                <w:i/>
                <w:sz w:val="20"/>
                <w:szCs w:val="20"/>
              </w:rPr>
              <w:t>Akcīzes nodoklis</w:t>
            </w:r>
          </w:p>
        </w:tc>
        <w:tc>
          <w:tcPr>
            <w:tcW w:w="850" w:type="dxa"/>
            <w:shd w:val="clear" w:color="auto" w:fill="auto"/>
            <w:tcMar>
              <w:left w:w="57" w:type="dxa"/>
              <w:right w:w="57" w:type="dxa"/>
            </w:tcMar>
            <w:vAlign w:val="center"/>
          </w:tcPr>
          <w:p w14:paraId="54F22B2F"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1 187,9</w:t>
            </w:r>
          </w:p>
        </w:tc>
        <w:tc>
          <w:tcPr>
            <w:tcW w:w="993" w:type="dxa"/>
            <w:shd w:val="clear" w:color="auto" w:fill="auto"/>
            <w:tcMar>
              <w:left w:w="57" w:type="dxa"/>
              <w:right w:w="57" w:type="dxa"/>
            </w:tcMar>
            <w:vAlign w:val="center"/>
          </w:tcPr>
          <w:p w14:paraId="696F7E24"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1 221,4</w:t>
            </w:r>
          </w:p>
        </w:tc>
        <w:tc>
          <w:tcPr>
            <w:tcW w:w="986" w:type="dxa"/>
            <w:tcMar>
              <w:left w:w="57" w:type="dxa"/>
              <w:right w:w="57" w:type="dxa"/>
            </w:tcMar>
            <w:vAlign w:val="center"/>
          </w:tcPr>
          <w:p w14:paraId="754723A3"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1 257,4</w:t>
            </w:r>
          </w:p>
        </w:tc>
        <w:tc>
          <w:tcPr>
            <w:tcW w:w="850" w:type="dxa"/>
            <w:shd w:val="clear" w:color="auto" w:fill="auto"/>
            <w:tcMar>
              <w:left w:w="57" w:type="dxa"/>
              <w:right w:w="57" w:type="dxa"/>
            </w:tcMar>
            <w:vAlign w:val="center"/>
          </w:tcPr>
          <w:p w14:paraId="452F0805"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1 300,4</w:t>
            </w:r>
          </w:p>
        </w:tc>
        <w:tc>
          <w:tcPr>
            <w:tcW w:w="709" w:type="dxa"/>
            <w:shd w:val="clear" w:color="auto" w:fill="auto"/>
            <w:tcMar>
              <w:left w:w="57" w:type="dxa"/>
              <w:right w:w="57" w:type="dxa"/>
            </w:tcMar>
            <w:vAlign w:val="center"/>
          </w:tcPr>
          <w:p w14:paraId="38537F8F"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0,0</w:t>
            </w:r>
          </w:p>
        </w:tc>
        <w:tc>
          <w:tcPr>
            <w:tcW w:w="709" w:type="dxa"/>
            <w:shd w:val="clear" w:color="auto" w:fill="auto"/>
            <w:tcMar>
              <w:left w:w="57" w:type="dxa"/>
              <w:right w:w="57" w:type="dxa"/>
            </w:tcMar>
            <w:vAlign w:val="center"/>
          </w:tcPr>
          <w:p w14:paraId="76515F52"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-8,3</w:t>
            </w:r>
          </w:p>
        </w:tc>
        <w:tc>
          <w:tcPr>
            <w:tcW w:w="709" w:type="dxa"/>
            <w:tcMar>
              <w:left w:w="57" w:type="dxa"/>
              <w:right w:w="57" w:type="dxa"/>
            </w:tcMar>
            <w:vAlign w:val="center"/>
          </w:tcPr>
          <w:p w14:paraId="2AC2CCD8"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-14,2</w:t>
            </w:r>
          </w:p>
        </w:tc>
        <w:tc>
          <w:tcPr>
            <w:tcW w:w="704" w:type="dxa"/>
            <w:shd w:val="clear" w:color="auto" w:fill="auto"/>
            <w:tcMar>
              <w:left w:w="57" w:type="dxa"/>
              <w:right w:w="57" w:type="dxa"/>
            </w:tcMar>
            <w:vAlign w:val="center"/>
          </w:tcPr>
          <w:p w14:paraId="0E393E48"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-15,1</w:t>
            </w:r>
          </w:p>
        </w:tc>
      </w:tr>
      <w:tr w:rsidR="00E510C8" w:rsidRPr="00C549BA" w14:paraId="2C3A0C91" w14:textId="77777777" w:rsidTr="00E510C8">
        <w:trPr>
          <w:gridAfter w:val="1"/>
          <w:wAfter w:w="10" w:type="dxa"/>
          <w:trHeight w:val="20"/>
          <w:jc w:val="center"/>
        </w:trPr>
        <w:tc>
          <w:tcPr>
            <w:tcW w:w="2553" w:type="dxa"/>
            <w:shd w:val="clear" w:color="auto" w:fill="DEEAF6"/>
            <w:vAlign w:val="center"/>
          </w:tcPr>
          <w:p w14:paraId="2129760C" w14:textId="77777777" w:rsidR="00E510C8" w:rsidRPr="00C549BA" w:rsidRDefault="00E510C8" w:rsidP="00E510C8">
            <w:pPr>
              <w:ind w:left="166" w:firstLine="0"/>
              <w:jc w:val="left"/>
              <w:rPr>
                <w:rFonts w:eastAsia="Times New Roman" w:cs="Times New Roman"/>
                <w:bCs/>
                <w:noProof/>
                <w:sz w:val="20"/>
                <w:szCs w:val="20"/>
                <w:lang w:eastAsia="lv-LV"/>
              </w:rPr>
            </w:pPr>
            <w:r w:rsidRPr="00C549BA">
              <w:rPr>
                <w:rFonts w:eastAsia="Times New Roman" w:cs="Times New Roman"/>
                <w:bCs/>
                <w:noProof/>
                <w:sz w:val="20"/>
                <w:szCs w:val="20"/>
                <w:lang w:eastAsia="lv-LV"/>
              </w:rPr>
              <w:t>Nenodokļu ieņēmumi</w:t>
            </w:r>
          </w:p>
        </w:tc>
        <w:tc>
          <w:tcPr>
            <w:tcW w:w="850" w:type="dxa"/>
            <w:shd w:val="clear" w:color="auto" w:fill="DEEAF6"/>
            <w:tcMar>
              <w:left w:w="57" w:type="dxa"/>
              <w:right w:w="57" w:type="dxa"/>
            </w:tcMar>
            <w:vAlign w:val="bottom"/>
          </w:tcPr>
          <w:p w14:paraId="4EA27D87"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861,8</w:t>
            </w:r>
          </w:p>
        </w:tc>
        <w:tc>
          <w:tcPr>
            <w:tcW w:w="993" w:type="dxa"/>
            <w:shd w:val="clear" w:color="auto" w:fill="DEEAF6"/>
            <w:tcMar>
              <w:left w:w="57" w:type="dxa"/>
              <w:right w:w="57" w:type="dxa"/>
            </w:tcMar>
            <w:vAlign w:val="bottom"/>
          </w:tcPr>
          <w:p w14:paraId="4AB695B5"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718,9</w:t>
            </w:r>
          </w:p>
        </w:tc>
        <w:tc>
          <w:tcPr>
            <w:tcW w:w="986" w:type="dxa"/>
            <w:shd w:val="clear" w:color="auto" w:fill="DEEAF6"/>
            <w:tcMar>
              <w:left w:w="57" w:type="dxa"/>
              <w:right w:w="57" w:type="dxa"/>
            </w:tcMar>
            <w:vAlign w:val="bottom"/>
          </w:tcPr>
          <w:p w14:paraId="599A2FA6"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728,8</w:t>
            </w:r>
          </w:p>
        </w:tc>
        <w:tc>
          <w:tcPr>
            <w:tcW w:w="850" w:type="dxa"/>
            <w:shd w:val="clear" w:color="auto" w:fill="DEEAF6"/>
            <w:tcMar>
              <w:left w:w="57" w:type="dxa"/>
              <w:right w:w="57" w:type="dxa"/>
            </w:tcMar>
            <w:vAlign w:val="bottom"/>
          </w:tcPr>
          <w:p w14:paraId="0B22C68E"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647,1</w:t>
            </w:r>
          </w:p>
        </w:tc>
        <w:tc>
          <w:tcPr>
            <w:tcW w:w="709" w:type="dxa"/>
            <w:shd w:val="clear" w:color="auto" w:fill="DEEAF6"/>
            <w:tcMar>
              <w:left w:w="57" w:type="dxa"/>
              <w:right w:w="57" w:type="dxa"/>
            </w:tcMar>
            <w:vAlign w:val="center"/>
          </w:tcPr>
          <w:p w14:paraId="5027E17E"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0,0</w:t>
            </w:r>
          </w:p>
        </w:tc>
        <w:tc>
          <w:tcPr>
            <w:tcW w:w="709" w:type="dxa"/>
            <w:shd w:val="clear" w:color="auto" w:fill="DEEAF6"/>
            <w:tcMar>
              <w:left w:w="57" w:type="dxa"/>
              <w:right w:w="57" w:type="dxa"/>
            </w:tcMar>
            <w:vAlign w:val="center"/>
          </w:tcPr>
          <w:p w14:paraId="2502898C"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-4,8</w:t>
            </w:r>
          </w:p>
        </w:tc>
        <w:tc>
          <w:tcPr>
            <w:tcW w:w="709" w:type="dxa"/>
            <w:shd w:val="clear" w:color="auto" w:fill="DEEAF6"/>
            <w:tcMar>
              <w:left w:w="57" w:type="dxa"/>
              <w:right w:w="57" w:type="dxa"/>
            </w:tcMar>
            <w:vAlign w:val="center"/>
          </w:tcPr>
          <w:p w14:paraId="6D63937A"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-8,0</w:t>
            </w:r>
          </w:p>
        </w:tc>
        <w:tc>
          <w:tcPr>
            <w:tcW w:w="704" w:type="dxa"/>
            <w:shd w:val="clear" w:color="auto" w:fill="DEEAF6"/>
            <w:tcMar>
              <w:left w:w="57" w:type="dxa"/>
              <w:right w:w="57" w:type="dxa"/>
            </w:tcMar>
            <w:vAlign w:val="center"/>
          </w:tcPr>
          <w:p w14:paraId="201DA46F"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-7,2</w:t>
            </w:r>
          </w:p>
        </w:tc>
      </w:tr>
      <w:tr w:rsidR="00E510C8" w:rsidRPr="00C549BA" w14:paraId="631B19C4" w14:textId="77777777" w:rsidTr="00E510C8">
        <w:trPr>
          <w:gridAfter w:val="1"/>
          <w:wAfter w:w="10" w:type="dxa"/>
          <w:trHeight w:val="20"/>
          <w:jc w:val="center"/>
        </w:trPr>
        <w:tc>
          <w:tcPr>
            <w:tcW w:w="2553" w:type="dxa"/>
            <w:shd w:val="clear" w:color="auto" w:fill="auto"/>
            <w:vAlign w:val="center"/>
          </w:tcPr>
          <w:p w14:paraId="4A00F323" w14:textId="77777777" w:rsidR="00E510C8" w:rsidRPr="00C549BA" w:rsidRDefault="00E510C8" w:rsidP="00E510C8">
            <w:pPr>
              <w:ind w:left="166" w:firstLine="0"/>
              <w:jc w:val="left"/>
              <w:rPr>
                <w:rFonts w:eastAsia="Times New Roman" w:cs="Times New Roman"/>
                <w:bCs/>
                <w:noProof/>
                <w:sz w:val="20"/>
                <w:szCs w:val="20"/>
                <w:lang w:eastAsia="lv-LV"/>
              </w:rPr>
            </w:pPr>
            <w:r w:rsidRPr="00C549BA">
              <w:rPr>
                <w:rFonts w:eastAsia="Times New Roman" w:cs="Times New Roman"/>
                <w:bCs/>
                <w:noProof/>
                <w:sz w:val="20"/>
                <w:szCs w:val="20"/>
                <w:lang w:eastAsia="lv-LV"/>
              </w:rPr>
              <w:t>Procentu izdevumi</w:t>
            </w:r>
          </w:p>
        </w:tc>
        <w:tc>
          <w:tcPr>
            <w:tcW w:w="850" w:type="dxa"/>
            <w:shd w:val="clear" w:color="auto" w:fill="auto"/>
            <w:tcMar>
              <w:left w:w="57" w:type="dxa"/>
              <w:right w:w="57" w:type="dxa"/>
            </w:tcMar>
            <w:vAlign w:val="bottom"/>
          </w:tcPr>
          <w:p w14:paraId="217C651A"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232,9</w:t>
            </w:r>
          </w:p>
        </w:tc>
        <w:tc>
          <w:tcPr>
            <w:tcW w:w="993" w:type="dxa"/>
            <w:shd w:val="clear" w:color="auto" w:fill="auto"/>
            <w:tcMar>
              <w:left w:w="57" w:type="dxa"/>
              <w:right w:w="57" w:type="dxa"/>
            </w:tcMar>
            <w:vAlign w:val="bottom"/>
          </w:tcPr>
          <w:p w14:paraId="3C3F52B0"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369,1</w:t>
            </w:r>
          </w:p>
        </w:tc>
        <w:tc>
          <w:tcPr>
            <w:tcW w:w="986" w:type="dxa"/>
            <w:tcMar>
              <w:left w:w="57" w:type="dxa"/>
              <w:right w:w="57" w:type="dxa"/>
            </w:tcMar>
            <w:vAlign w:val="bottom"/>
          </w:tcPr>
          <w:p w14:paraId="64540546"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454,8</w:t>
            </w:r>
          </w:p>
        </w:tc>
        <w:tc>
          <w:tcPr>
            <w:tcW w:w="850" w:type="dxa"/>
            <w:shd w:val="clear" w:color="auto" w:fill="auto"/>
            <w:tcMar>
              <w:left w:w="57" w:type="dxa"/>
              <w:right w:w="57" w:type="dxa"/>
            </w:tcMar>
            <w:vAlign w:val="bottom"/>
          </w:tcPr>
          <w:p w14:paraId="065B3862"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549,5</w:t>
            </w:r>
          </w:p>
        </w:tc>
        <w:tc>
          <w:tcPr>
            <w:tcW w:w="709" w:type="dxa"/>
            <w:shd w:val="clear" w:color="auto" w:fill="auto"/>
            <w:tcMar>
              <w:left w:w="57" w:type="dxa"/>
              <w:right w:w="57" w:type="dxa"/>
            </w:tcMar>
            <w:vAlign w:val="center"/>
          </w:tcPr>
          <w:p w14:paraId="748EB4EE" w14:textId="77777777" w:rsidR="00E510C8" w:rsidRPr="00C549BA" w:rsidRDefault="00E510C8" w:rsidP="00E510C8">
            <w:pPr>
              <w:spacing w:line="259" w:lineRule="auto"/>
              <w:ind w:right="5" w:firstLine="0"/>
              <w:jc w:val="center"/>
              <w:rPr>
                <w:rFonts w:eastAsia="Times New Roman" w:cs="Times New Roman"/>
                <w:sz w:val="20"/>
                <w:szCs w:val="20"/>
              </w:rPr>
            </w:pPr>
            <w:r w:rsidRPr="00C549BA">
              <w:rPr>
                <w:rFonts w:eastAsia="Times New Roman" w:cs="Times New Roman"/>
                <w:sz w:val="20"/>
                <w:szCs w:val="20"/>
              </w:rPr>
              <w:t>0,0</w:t>
            </w:r>
          </w:p>
        </w:tc>
        <w:tc>
          <w:tcPr>
            <w:tcW w:w="709" w:type="dxa"/>
            <w:shd w:val="clear" w:color="auto" w:fill="auto"/>
            <w:tcMar>
              <w:left w:w="57" w:type="dxa"/>
              <w:right w:w="57" w:type="dxa"/>
            </w:tcMar>
            <w:vAlign w:val="center"/>
          </w:tcPr>
          <w:p w14:paraId="21C00A8B" w14:textId="77777777" w:rsidR="00E510C8" w:rsidRPr="00C549BA" w:rsidRDefault="00E510C8" w:rsidP="00E510C8">
            <w:pPr>
              <w:spacing w:line="259" w:lineRule="auto"/>
              <w:ind w:right="5" w:firstLine="0"/>
              <w:jc w:val="center"/>
              <w:rPr>
                <w:rFonts w:eastAsia="Times New Roman" w:cs="Times New Roman"/>
                <w:sz w:val="20"/>
                <w:szCs w:val="20"/>
              </w:rPr>
            </w:pPr>
            <w:r w:rsidRPr="00C549BA">
              <w:rPr>
                <w:rFonts w:eastAsia="Times New Roman" w:cs="Times New Roman"/>
                <w:sz w:val="20"/>
                <w:szCs w:val="20"/>
              </w:rPr>
              <w:t>2,4</w:t>
            </w:r>
          </w:p>
        </w:tc>
        <w:tc>
          <w:tcPr>
            <w:tcW w:w="709" w:type="dxa"/>
            <w:tcMar>
              <w:left w:w="57" w:type="dxa"/>
              <w:right w:w="57" w:type="dxa"/>
            </w:tcMar>
            <w:vAlign w:val="center"/>
          </w:tcPr>
          <w:p w14:paraId="5F61488A" w14:textId="77777777" w:rsidR="00E510C8" w:rsidRPr="00C549BA" w:rsidRDefault="00E510C8" w:rsidP="00E510C8">
            <w:pPr>
              <w:spacing w:line="259" w:lineRule="auto"/>
              <w:ind w:right="5" w:firstLine="0"/>
              <w:jc w:val="center"/>
              <w:rPr>
                <w:rFonts w:eastAsia="Times New Roman" w:cs="Times New Roman"/>
                <w:sz w:val="20"/>
                <w:szCs w:val="20"/>
              </w:rPr>
            </w:pPr>
            <w:r w:rsidRPr="00C549BA">
              <w:rPr>
                <w:rFonts w:eastAsia="Times New Roman" w:cs="Times New Roman"/>
                <w:sz w:val="20"/>
                <w:szCs w:val="20"/>
              </w:rPr>
              <w:t>10,4</w:t>
            </w:r>
          </w:p>
        </w:tc>
        <w:tc>
          <w:tcPr>
            <w:tcW w:w="704" w:type="dxa"/>
            <w:shd w:val="clear" w:color="auto" w:fill="auto"/>
            <w:tcMar>
              <w:left w:w="57" w:type="dxa"/>
              <w:right w:w="57" w:type="dxa"/>
            </w:tcMar>
            <w:vAlign w:val="center"/>
          </w:tcPr>
          <w:p w14:paraId="3228D25D" w14:textId="77777777" w:rsidR="00E510C8" w:rsidRPr="00C549BA" w:rsidRDefault="00E510C8" w:rsidP="00E510C8">
            <w:pPr>
              <w:spacing w:line="259" w:lineRule="auto"/>
              <w:ind w:right="5" w:firstLine="0"/>
              <w:jc w:val="center"/>
              <w:rPr>
                <w:rFonts w:eastAsia="Times New Roman" w:cs="Times New Roman"/>
                <w:sz w:val="20"/>
                <w:szCs w:val="20"/>
              </w:rPr>
            </w:pPr>
            <w:r w:rsidRPr="00C549BA">
              <w:rPr>
                <w:rFonts w:eastAsia="Times New Roman" w:cs="Times New Roman"/>
                <w:sz w:val="20"/>
                <w:szCs w:val="20"/>
              </w:rPr>
              <w:t>19,6</w:t>
            </w:r>
          </w:p>
        </w:tc>
      </w:tr>
      <w:tr w:rsidR="00E510C8" w:rsidRPr="00C549BA" w14:paraId="285E8DC0" w14:textId="77777777" w:rsidTr="00E510C8">
        <w:trPr>
          <w:gridAfter w:val="1"/>
          <w:wAfter w:w="10" w:type="dxa"/>
          <w:trHeight w:val="20"/>
          <w:jc w:val="center"/>
        </w:trPr>
        <w:tc>
          <w:tcPr>
            <w:tcW w:w="2553" w:type="dxa"/>
            <w:shd w:val="clear" w:color="auto" w:fill="DEEAF6"/>
            <w:vAlign w:val="center"/>
          </w:tcPr>
          <w:p w14:paraId="21B86832" w14:textId="77777777" w:rsidR="00E510C8" w:rsidRPr="00C549BA" w:rsidRDefault="00E510C8" w:rsidP="00E510C8">
            <w:pPr>
              <w:ind w:left="166" w:firstLine="0"/>
              <w:jc w:val="left"/>
              <w:rPr>
                <w:rFonts w:eastAsia="Times New Roman" w:cs="Times New Roman"/>
                <w:bCs/>
                <w:noProof/>
                <w:sz w:val="20"/>
                <w:szCs w:val="20"/>
                <w:lang w:eastAsia="lv-LV"/>
              </w:rPr>
            </w:pPr>
            <w:r w:rsidRPr="00C549BA">
              <w:rPr>
                <w:rFonts w:eastAsia="Times New Roman" w:cs="Times New Roman"/>
                <w:bCs/>
                <w:noProof/>
                <w:sz w:val="20"/>
                <w:szCs w:val="20"/>
                <w:lang w:eastAsia="lv-LV"/>
              </w:rPr>
              <w:t>Izdevumi sociālajiem pabalstiem</w:t>
            </w:r>
          </w:p>
        </w:tc>
        <w:tc>
          <w:tcPr>
            <w:tcW w:w="850" w:type="dxa"/>
            <w:shd w:val="clear" w:color="auto" w:fill="DEEAF6"/>
            <w:tcMar>
              <w:left w:w="57" w:type="dxa"/>
              <w:right w:w="57" w:type="dxa"/>
            </w:tcMar>
            <w:vAlign w:val="center"/>
          </w:tcPr>
          <w:p w14:paraId="3A820089"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4 884,4</w:t>
            </w:r>
          </w:p>
        </w:tc>
        <w:tc>
          <w:tcPr>
            <w:tcW w:w="993" w:type="dxa"/>
            <w:shd w:val="clear" w:color="auto" w:fill="DEEAF6"/>
            <w:tcMar>
              <w:left w:w="57" w:type="dxa"/>
              <w:right w:w="57" w:type="dxa"/>
            </w:tcMar>
            <w:vAlign w:val="center"/>
          </w:tcPr>
          <w:p w14:paraId="285B4E5B"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5 264,1</w:t>
            </w:r>
          </w:p>
        </w:tc>
        <w:tc>
          <w:tcPr>
            <w:tcW w:w="986" w:type="dxa"/>
            <w:shd w:val="clear" w:color="auto" w:fill="DEEAF6"/>
            <w:tcMar>
              <w:left w:w="57" w:type="dxa"/>
              <w:right w:w="57" w:type="dxa"/>
            </w:tcMar>
            <w:vAlign w:val="center"/>
          </w:tcPr>
          <w:p w14:paraId="51D9B094"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5 621,0</w:t>
            </w:r>
          </w:p>
        </w:tc>
        <w:tc>
          <w:tcPr>
            <w:tcW w:w="850" w:type="dxa"/>
            <w:shd w:val="clear" w:color="auto" w:fill="DEEAF6"/>
            <w:tcMar>
              <w:left w:w="57" w:type="dxa"/>
              <w:right w:w="57" w:type="dxa"/>
            </w:tcMar>
            <w:vAlign w:val="center"/>
          </w:tcPr>
          <w:p w14:paraId="27580E76"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5 863,4</w:t>
            </w:r>
          </w:p>
        </w:tc>
        <w:tc>
          <w:tcPr>
            <w:tcW w:w="709" w:type="dxa"/>
            <w:shd w:val="clear" w:color="auto" w:fill="DEEAF6"/>
            <w:tcMar>
              <w:left w:w="57" w:type="dxa"/>
              <w:right w:w="57" w:type="dxa"/>
            </w:tcMar>
            <w:vAlign w:val="center"/>
          </w:tcPr>
          <w:p w14:paraId="782F7F88"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13,1</w:t>
            </w:r>
          </w:p>
        </w:tc>
        <w:tc>
          <w:tcPr>
            <w:tcW w:w="709" w:type="dxa"/>
            <w:shd w:val="clear" w:color="auto" w:fill="DEEAF6"/>
            <w:tcMar>
              <w:left w:w="57" w:type="dxa"/>
              <w:right w:w="57" w:type="dxa"/>
            </w:tcMar>
            <w:vAlign w:val="center"/>
          </w:tcPr>
          <w:p w14:paraId="513C8D39"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55,4</w:t>
            </w:r>
          </w:p>
        </w:tc>
        <w:tc>
          <w:tcPr>
            <w:tcW w:w="709" w:type="dxa"/>
            <w:shd w:val="clear" w:color="auto" w:fill="DEEAF6"/>
            <w:tcMar>
              <w:left w:w="57" w:type="dxa"/>
              <w:right w:w="57" w:type="dxa"/>
            </w:tcMar>
            <w:vAlign w:val="center"/>
          </w:tcPr>
          <w:p w14:paraId="1B02B7A0"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61,9</w:t>
            </w:r>
          </w:p>
        </w:tc>
        <w:tc>
          <w:tcPr>
            <w:tcW w:w="704" w:type="dxa"/>
            <w:shd w:val="clear" w:color="auto" w:fill="DEEAF6"/>
            <w:tcMar>
              <w:left w:w="57" w:type="dxa"/>
              <w:right w:w="57" w:type="dxa"/>
            </w:tcMar>
            <w:vAlign w:val="center"/>
          </w:tcPr>
          <w:p w14:paraId="524B2886" w14:textId="77777777" w:rsidR="00E510C8" w:rsidRPr="00C549BA" w:rsidRDefault="00E510C8" w:rsidP="00E510C8">
            <w:pPr>
              <w:spacing w:line="259" w:lineRule="auto"/>
              <w:ind w:right="5" w:firstLine="0"/>
              <w:jc w:val="center"/>
              <w:rPr>
                <w:rFonts w:eastAsia="Times New Roman" w:cs="Times New Roman"/>
                <w:color w:val="FF0000"/>
                <w:sz w:val="20"/>
                <w:szCs w:val="20"/>
              </w:rPr>
            </w:pPr>
            <w:r w:rsidRPr="00C549BA">
              <w:rPr>
                <w:rFonts w:eastAsia="Times New Roman" w:cs="Times New Roman"/>
                <w:color w:val="000000"/>
                <w:sz w:val="20"/>
                <w:szCs w:val="20"/>
              </w:rPr>
              <w:t>-30,7</w:t>
            </w:r>
          </w:p>
        </w:tc>
      </w:tr>
      <w:tr w:rsidR="00E510C8" w:rsidRPr="00C549BA" w14:paraId="5C94C212" w14:textId="77777777" w:rsidTr="00E510C8">
        <w:trPr>
          <w:gridAfter w:val="1"/>
          <w:wAfter w:w="10" w:type="dxa"/>
          <w:trHeight w:val="20"/>
          <w:jc w:val="center"/>
        </w:trPr>
        <w:tc>
          <w:tcPr>
            <w:tcW w:w="2553" w:type="dxa"/>
            <w:shd w:val="clear" w:color="auto" w:fill="auto"/>
            <w:vAlign w:val="center"/>
          </w:tcPr>
          <w:p w14:paraId="4E70B5E6" w14:textId="77777777" w:rsidR="00E510C8" w:rsidRPr="00C549BA" w:rsidRDefault="00E510C8" w:rsidP="00E510C8">
            <w:pPr>
              <w:ind w:firstLine="0"/>
              <w:jc w:val="left"/>
              <w:rPr>
                <w:rFonts w:eastAsia="Times New Roman" w:cs="Times New Roman"/>
                <w:b/>
                <w:noProof/>
                <w:sz w:val="20"/>
                <w:szCs w:val="20"/>
                <w:lang w:eastAsia="lv-LV"/>
              </w:rPr>
            </w:pPr>
            <w:r w:rsidRPr="00C549BA">
              <w:rPr>
                <w:rFonts w:eastAsia="Times New Roman" w:cs="Times New Roman"/>
                <w:b/>
                <w:noProof/>
                <w:sz w:val="20"/>
                <w:szCs w:val="20"/>
                <w:lang w:eastAsia="lv-LV"/>
              </w:rPr>
              <w:t>Vispārējās valdības parāds, % no IKP</w:t>
            </w:r>
          </w:p>
        </w:tc>
        <w:tc>
          <w:tcPr>
            <w:tcW w:w="850" w:type="dxa"/>
            <w:shd w:val="clear" w:color="auto" w:fill="auto"/>
            <w:tcMar>
              <w:left w:w="57" w:type="dxa"/>
              <w:right w:w="57" w:type="dxa"/>
            </w:tcMar>
            <w:vAlign w:val="center"/>
          </w:tcPr>
          <w:p w14:paraId="54FF0667" w14:textId="77777777" w:rsidR="00E510C8" w:rsidRPr="00C549BA" w:rsidRDefault="00E510C8" w:rsidP="00E510C8">
            <w:pPr>
              <w:spacing w:line="259" w:lineRule="auto"/>
              <w:ind w:right="5" w:firstLine="0"/>
              <w:jc w:val="center"/>
              <w:rPr>
                <w:rFonts w:eastAsia="Times New Roman" w:cs="Times New Roman"/>
                <w:b/>
                <w:bCs/>
                <w:sz w:val="20"/>
                <w:szCs w:val="20"/>
              </w:rPr>
            </w:pPr>
            <w:r w:rsidRPr="00C549BA">
              <w:rPr>
                <w:rFonts w:eastAsia="Times New Roman" w:cs="Times New Roman"/>
                <w:b/>
                <w:bCs/>
                <w:color w:val="000000"/>
                <w:sz w:val="20"/>
                <w:szCs w:val="20"/>
              </w:rPr>
              <w:t>39,7</w:t>
            </w:r>
          </w:p>
        </w:tc>
        <w:tc>
          <w:tcPr>
            <w:tcW w:w="993" w:type="dxa"/>
            <w:shd w:val="clear" w:color="auto" w:fill="auto"/>
            <w:tcMar>
              <w:left w:w="57" w:type="dxa"/>
              <w:right w:w="57" w:type="dxa"/>
            </w:tcMar>
            <w:vAlign w:val="center"/>
          </w:tcPr>
          <w:p w14:paraId="56A5930E" w14:textId="77777777" w:rsidR="00E510C8" w:rsidRPr="00C549BA" w:rsidRDefault="00E510C8" w:rsidP="00E510C8">
            <w:pPr>
              <w:spacing w:line="259" w:lineRule="auto"/>
              <w:ind w:right="5" w:firstLine="0"/>
              <w:jc w:val="center"/>
              <w:rPr>
                <w:rFonts w:eastAsia="Times New Roman" w:cs="Times New Roman"/>
                <w:b/>
                <w:bCs/>
                <w:sz w:val="20"/>
                <w:szCs w:val="20"/>
              </w:rPr>
            </w:pPr>
            <w:r w:rsidRPr="00C549BA">
              <w:rPr>
                <w:rFonts w:eastAsia="Times New Roman" w:cs="Times New Roman"/>
                <w:b/>
                <w:bCs/>
                <w:color w:val="000000"/>
                <w:sz w:val="20"/>
                <w:szCs w:val="20"/>
              </w:rPr>
              <w:t>40,8</w:t>
            </w:r>
          </w:p>
        </w:tc>
        <w:tc>
          <w:tcPr>
            <w:tcW w:w="986" w:type="dxa"/>
            <w:shd w:val="clear" w:color="auto" w:fill="auto"/>
            <w:tcMar>
              <w:left w:w="57" w:type="dxa"/>
              <w:right w:w="57" w:type="dxa"/>
            </w:tcMar>
            <w:vAlign w:val="center"/>
          </w:tcPr>
          <w:p w14:paraId="290760AC" w14:textId="77777777" w:rsidR="00E510C8" w:rsidRPr="00C549BA" w:rsidRDefault="00E510C8" w:rsidP="00E510C8">
            <w:pPr>
              <w:spacing w:line="259" w:lineRule="auto"/>
              <w:ind w:right="5" w:firstLine="0"/>
              <w:jc w:val="center"/>
              <w:rPr>
                <w:rFonts w:eastAsia="Times New Roman" w:cs="Times New Roman"/>
                <w:b/>
                <w:bCs/>
                <w:sz w:val="20"/>
                <w:szCs w:val="20"/>
              </w:rPr>
            </w:pPr>
            <w:r w:rsidRPr="00C549BA">
              <w:rPr>
                <w:rFonts w:eastAsia="Times New Roman" w:cs="Times New Roman"/>
                <w:b/>
                <w:bCs/>
                <w:color w:val="000000"/>
                <w:sz w:val="20"/>
                <w:szCs w:val="20"/>
              </w:rPr>
              <w:t>41,7</w:t>
            </w:r>
          </w:p>
        </w:tc>
        <w:tc>
          <w:tcPr>
            <w:tcW w:w="850" w:type="dxa"/>
            <w:shd w:val="clear" w:color="auto" w:fill="auto"/>
            <w:tcMar>
              <w:left w:w="57" w:type="dxa"/>
              <w:right w:w="57" w:type="dxa"/>
            </w:tcMar>
            <w:vAlign w:val="center"/>
          </w:tcPr>
          <w:p w14:paraId="1B145F22" w14:textId="77777777" w:rsidR="00E510C8" w:rsidRPr="00C549BA" w:rsidRDefault="00E510C8" w:rsidP="00E510C8">
            <w:pPr>
              <w:spacing w:line="259" w:lineRule="auto"/>
              <w:ind w:right="5" w:firstLine="0"/>
              <w:jc w:val="center"/>
              <w:rPr>
                <w:rFonts w:eastAsia="Times New Roman" w:cs="Times New Roman"/>
                <w:b/>
                <w:bCs/>
                <w:sz w:val="20"/>
                <w:szCs w:val="20"/>
              </w:rPr>
            </w:pPr>
            <w:r w:rsidRPr="00C549BA">
              <w:rPr>
                <w:rFonts w:eastAsia="Times New Roman" w:cs="Times New Roman"/>
                <w:b/>
                <w:bCs/>
                <w:color w:val="000000"/>
                <w:sz w:val="20"/>
                <w:szCs w:val="20"/>
              </w:rPr>
              <w:t>41,2</w:t>
            </w:r>
          </w:p>
        </w:tc>
        <w:tc>
          <w:tcPr>
            <w:tcW w:w="709" w:type="dxa"/>
            <w:shd w:val="clear" w:color="auto" w:fill="auto"/>
            <w:tcMar>
              <w:left w:w="57" w:type="dxa"/>
              <w:right w:w="57" w:type="dxa"/>
            </w:tcMar>
            <w:vAlign w:val="center"/>
          </w:tcPr>
          <w:p w14:paraId="77925B1D" w14:textId="77777777" w:rsidR="00E510C8" w:rsidRPr="00C549BA" w:rsidRDefault="00E510C8" w:rsidP="00E510C8">
            <w:pPr>
              <w:spacing w:line="259" w:lineRule="auto"/>
              <w:ind w:right="5" w:firstLine="0"/>
              <w:jc w:val="center"/>
              <w:rPr>
                <w:rFonts w:eastAsia="Times New Roman" w:cs="Times New Roman"/>
                <w:b/>
                <w:bCs/>
                <w:sz w:val="20"/>
                <w:szCs w:val="20"/>
              </w:rPr>
            </w:pPr>
            <w:r w:rsidRPr="00C549BA">
              <w:rPr>
                <w:rFonts w:eastAsia="Times New Roman" w:cs="Times New Roman"/>
                <w:b/>
                <w:bCs/>
                <w:color w:val="000000"/>
                <w:sz w:val="20"/>
                <w:szCs w:val="20"/>
              </w:rPr>
              <w:t>0,1</w:t>
            </w:r>
          </w:p>
        </w:tc>
        <w:tc>
          <w:tcPr>
            <w:tcW w:w="709" w:type="dxa"/>
            <w:shd w:val="clear" w:color="auto" w:fill="auto"/>
            <w:tcMar>
              <w:left w:w="57" w:type="dxa"/>
              <w:right w:w="57" w:type="dxa"/>
            </w:tcMar>
            <w:vAlign w:val="center"/>
          </w:tcPr>
          <w:p w14:paraId="44BE577A" w14:textId="77777777" w:rsidR="00E510C8" w:rsidRPr="00C549BA" w:rsidRDefault="00E510C8" w:rsidP="00E510C8">
            <w:pPr>
              <w:spacing w:line="259" w:lineRule="auto"/>
              <w:ind w:right="5" w:firstLine="0"/>
              <w:jc w:val="center"/>
              <w:rPr>
                <w:rFonts w:eastAsia="Times New Roman" w:cs="Times New Roman"/>
                <w:b/>
                <w:bCs/>
                <w:sz w:val="20"/>
                <w:szCs w:val="20"/>
              </w:rPr>
            </w:pPr>
            <w:r w:rsidRPr="00C549BA">
              <w:rPr>
                <w:rFonts w:eastAsia="Times New Roman" w:cs="Times New Roman"/>
                <w:b/>
                <w:bCs/>
                <w:color w:val="000000"/>
                <w:sz w:val="20"/>
                <w:szCs w:val="20"/>
              </w:rPr>
              <w:t>1,0</w:t>
            </w:r>
          </w:p>
        </w:tc>
        <w:tc>
          <w:tcPr>
            <w:tcW w:w="709" w:type="dxa"/>
            <w:shd w:val="clear" w:color="auto" w:fill="auto"/>
            <w:tcMar>
              <w:left w:w="57" w:type="dxa"/>
              <w:right w:w="57" w:type="dxa"/>
            </w:tcMar>
            <w:vAlign w:val="center"/>
          </w:tcPr>
          <w:p w14:paraId="552ECB8B" w14:textId="77777777" w:rsidR="00E510C8" w:rsidRPr="00C549BA" w:rsidRDefault="00E510C8" w:rsidP="00E510C8">
            <w:pPr>
              <w:spacing w:line="259" w:lineRule="auto"/>
              <w:ind w:right="5" w:firstLine="0"/>
              <w:jc w:val="center"/>
              <w:rPr>
                <w:rFonts w:eastAsia="Times New Roman" w:cs="Times New Roman"/>
                <w:b/>
                <w:bCs/>
                <w:sz w:val="20"/>
                <w:szCs w:val="20"/>
              </w:rPr>
            </w:pPr>
            <w:r w:rsidRPr="00C549BA">
              <w:rPr>
                <w:rFonts w:eastAsia="Times New Roman" w:cs="Times New Roman"/>
                <w:b/>
                <w:bCs/>
                <w:color w:val="000000"/>
                <w:sz w:val="20"/>
                <w:szCs w:val="20"/>
              </w:rPr>
              <w:t>1,9</w:t>
            </w:r>
          </w:p>
        </w:tc>
        <w:tc>
          <w:tcPr>
            <w:tcW w:w="704" w:type="dxa"/>
            <w:shd w:val="clear" w:color="auto" w:fill="auto"/>
            <w:tcMar>
              <w:left w:w="57" w:type="dxa"/>
              <w:right w:w="57" w:type="dxa"/>
            </w:tcMar>
            <w:vAlign w:val="center"/>
          </w:tcPr>
          <w:p w14:paraId="7F4386BB" w14:textId="77777777" w:rsidR="00E510C8" w:rsidRPr="00C549BA" w:rsidRDefault="00E510C8" w:rsidP="00E510C8">
            <w:pPr>
              <w:spacing w:line="259" w:lineRule="auto"/>
              <w:ind w:right="5" w:firstLine="0"/>
              <w:jc w:val="center"/>
              <w:rPr>
                <w:rFonts w:eastAsia="Times New Roman" w:cs="Times New Roman"/>
                <w:b/>
                <w:bCs/>
                <w:sz w:val="20"/>
                <w:szCs w:val="20"/>
              </w:rPr>
            </w:pPr>
            <w:r w:rsidRPr="00C549BA">
              <w:rPr>
                <w:rFonts w:eastAsia="Times New Roman" w:cs="Times New Roman"/>
                <w:b/>
                <w:bCs/>
                <w:color w:val="000000"/>
                <w:sz w:val="20"/>
                <w:szCs w:val="20"/>
              </w:rPr>
              <w:t>2,3</w:t>
            </w:r>
          </w:p>
        </w:tc>
      </w:tr>
    </w:tbl>
    <w:p w14:paraId="51E61C68" w14:textId="77777777" w:rsidR="00E510C8" w:rsidRPr="00C549BA" w:rsidRDefault="00E510C8" w:rsidP="00E510C8">
      <w:pPr>
        <w:rPr>
          <w:rFonts w:eastAsia="Times New Roman" w:cs="Times New Roman"/>
          <w:sz w:val="24"/>
          <w:szCs w:val="24"/>
        </w:rPr>
      </w:pPr>
    </w:p>
    <w:p w14:paraId="03DCA2E4" w14:textId="77777777" w:rsidR="00E510C8" w:rsidRPr="00C549BA" w:rsidRDefault="00E510C8" w:rsidP="00E510C8">
      <w:pPr>
        <w:rPr>
          <w:rFonts w:eastAsia="Times New Roman" w:cs="Times New Roman"/>
          <w:sz w:val="24"/>
          <w:szCs w:val="24"/>
        </w:rPr>
      </w:pPr>
      <w:r w:rsidRPr="00C549BA">
        <w:rPr>
          <w:rFonts w:eastAsia="Times New Roman" w:cs="Times New Roman"/>
          <w:sz w:val="24"/>
          <w:szCs w:val="24"/>
        </w:rPr>
        <w:t xml:space="preserve">Īstenojoties ekonomiskās attīstības pesimistiskākajam scenārijam, nodokļu ieņēmumu samazināšanās ietekmē pieaugtu valsts budžeta deficīts, kā rezultātā palielinātos kopējā finansēšanas nepieciešamība un attiecīgi arī aizņemšanās apjoms attiecīgajā periodā, salīdzinot ar bāzes scenāriju. Papildus aizņemšanās izraisītu procentu izdevumu pieaugumu. Pesimistiskā scenārija gadījumā procentu izdevumi 2023. gadā nemainītos, bet 2024. gadā būtu par 2,4 milj. </w:t>
      </w:r>
      <w:proofErr w:type="spellStart"/>
      <w:r w:rsidRPr="00C549BA">
        <w:rPr>
          <w:rFonts w:eastAsia="Times New Roman" w:cs="Times New Roman"/>
          <w:i/>
          <w:sz w:val="24"/>
          <w:szCs w:val="24"/>
        </w:rPr>
        <w:t>euro</w:t>
      </w:r>
      <w:proofErr w:type="spellEnd"/>
      <w:r w:rsidRPr="00C549BA">
        <w:rPr>
          <w:rFonts w:eastAsia="Times New Roman" w:cs="Times New Roman"/>
          <w:sz w:val="24"/>
          <w:szCs w:val="24"/>
        </w:rPr>
        <w:t xml:space="preserve"> lielāki, 2025. gadā par 10,4 milj. </w:t>
      </w:r>
      <w:proofErr w:type="spellStart"/>
      <w:r w:rsidRPr="00C549BA">
        <w:rPr>
          <w:rFonts w:eastAsia="Times New Roman" w:cs="Times New Roman"/>
          <w:i/>
          <w:sz w:val="24"/>
          <w:szCs w:val="24"/>
        </w:rPr>
        <w:t>euro</w:t>
      </w:r>
      <w:proofErr w:type="spellEnd"/>
      <w:r w:rsidRPr="00C549BA">
        <w:rPr>
          <w:rFonts w:eastAsia="Times New Roman" w:cs="Times New Roman"/>
          <w:sz w:val="24"/>
          <w:szCs w:val="24"/>
        </w:rPr>
        <w:t xml:space="preserve"> un 2026. gadā attiecīgi par 19,6 milj. </w:t>
      </w:r>
      <w:proofErr w:type="spellStart"/>
      <w:r w:rsidRPr="00C549BA">
        <w:rPr>
          <w:rFonts w:eastAsia="Times New Roman" w:cs="Times New Roman"/>
          <w:i/>
          <w:sz w:val="24"/>
          <w:szCs w:val="24"/>
        </w:rPr>
        <w:t>euro</w:t>
      </w:r>
      <w:proofErr w:type="spellEnd"/>
      <w:r w:rsidRPr="00C549BA">
        <w:rPr>
          <w:rFonts w:eastAsia="Times New Roman" w:cs="Times New Roman"/>
          <w:sz w:val="24"/>
          <w:szCs w:val="24"/>
        </w:rPr>
        <w:t xml:space="preserve"> lielāki nekā bāzes scenārijā.</w:t>
      </w:r>
    </w:p>
    <w:p w14:paraId="072618FE" w14:textId="15D332BF" w:rsidR="00471221" w:rsidRPr="00C549BA" w:rsidRDefault="00471221" w:rsidP="00E510C8">
      <w:pPr>
        <w:autoSpaceDE w:val="0"/>
        <w:autoSpaceDN w:val="0"/>
        <w:adjustRightInd w:val="0"/>
        <w:ind w:firstLine="0"/>
        <w:rPr>
          <w:rFonts w:cs="Times New Roman"/>
          <w:sz w:val="24"/>
          <w:szCs w:val="24"/>
        </w:rPr>
      </w:pPr>
    </w:p>
    <w:p w14:paraId="37944912" w14:textId="77777777" w:rsidR="004D1DFA" w:rsidRPr="00C549BA" w:rsidRDefault="004D1DFA" w:rsidP="004D1DFA">
      <w:pPr>
        <w:pStyle w:val="Heading2"/>
        <w:numPr>
          <w:ilvl w:val="0"/>
          <w:numId w:val="0"/>
        </w:numPr>
        <w:spacing w:before="0" w:after="240"/>
        <w:rPr>
          <w:rFonts w:eastAsia="Times New Roman"/>
          <w:sz w:val="28"/>
          <w:lang w:eastAsia="lv-LV"/>
        </w:rPr>
      </w:pPr>
      <w:bookmarkStart w:id="54" w:name="_Toc131331248"/>
      <w:r w:rsidRPr="00C549BA">
        <w:rPr>
          <w:rFonts w:eastAsia="Times New Roman"/>
          <w:sz w:val="28"/>
          <w:lang w:eastAsia="lv-LV"/>
        </w:rPr>
        <w:t>4.3. Jutīguma analīze – optimistiskais scenārijs</w:t>
      </w:r>
      <w:bookmarkEnd w:id="54"/>
    </w:p>
    <w:p w14:paraId="4EC40F34" w14:textId="77777777" w:rsidR="004D1DFA" w:rsidRPr="00C549BA" w:rsidRDefault="004D1DFA" w:rsidP="004D1DFA">
      <w:pPr>
        <w:pStyle w:val="H4"/>
        <w:ind w:left="0" w:firstLine="720"/>
        <w:jc w:val="both"/>
        <w:rPr>
          <w:rFonts w:ascii="Times New Roman" w:hAnsi="Times New Roman"/>
          <w:iCs/>
          <w:sz w:val="24"/>
          <w:szCs w:val="22"/>
        </w:rPr>
      </w:pPr>
      <w:r w:rsidRPr="00C549BA">
        <w:rPr>
          <w:rFonts w:ascii="Times New Roman" w:hAnsi="Times New Roman"/>
          <w:iCs/>
          <w:sz w:val="24"/>
          <w:szCs w:val="22"/>
        </w:rPr>
        <w:t>Ietekme uz ekonomiku</w:t>
      </w:r>
    </w:p>
    <w:p w14:paraId="52882BA9" w14:textId="67A22DE6" w:rsidR="004D1DFA" w:rsidRPr="00C549BA" w:rsidRDefault="004D1DFA" w:rsidP="004D1DFA">
      <w:pPr>
        <w:autoSpaceDE w:val="0"/>
        <w:autoSpaceDN w:val="0"/>
        <w:adjustRightInd w:val="0"/>
        <w:rPr>
          <w:rFonts w:eastAsia="Times New Roman" w:cs="Times New Roman"/>
          <w:sz w:val="24"/>
          <w:lang w:eastAsia="lv-LV"/>
        </w:rPr>
      </w:pPr>
      <w:r w:rsidRPr="00C549BA">
        <w:rPr>
          <w:rFonts w:eastAsia="Times New Roman" w:cs="Times New Roman"/>
          <w:sz w:val="24"/>
          <w:lang w:eastAsia="lv-LV"/>
        </w:rPr>
        <w:t xml:space="preserve">Optimistiskais scenārijs ietver būtisku ģeopolitisko risku mazināšanos, energoresursu cenu samazinājumu un noteiktību, līdz ar to arī investīciju </w:t>
      </w:r>
      <w:r w:rsidRPr="00A54420">
        <w:rPr>
          <w:rFonts w:eastAsia="Times New Roman" w:cs="Times New Roman"/>
          <w:sz w:val="24"/>
          <w:lang w:eastAsia="lv-LV"/>
        </w:rPr>
        <w:t>pieaugums</w:t>
      </w:r>
      <w:r w:rsidR="001C1BD5">
        <w:rPr>
          <w:rFonts w:eastAsia="Times New Roman" w:cs="Times New Roman"/>
          <w:sz w:val="24"/>
          <w:lang w:eastAsia="lv-LV"/>
        </w:rPr>
        <w:t>.</w:t>
      </w:r>
      <w:r w:rsidRPr="00A54420">
        <w:rPr>
          <w:rFonts w:eastAsia="Times New Roman" w:cs="Times New Roman"/>
          <w:sz w:val="24"/>
          <w:lang w:eastAsia="lv-LV"/>
        </w:rPr>
        <w:t xml:space="preserve"> </w:t>
      </w:r>
      <w:r w:rsidR="001C1BD5">
        <w:rPr>
          <w:rFonts w:eastAsia="Times New Roman" w:cs="Times New Roman"/>
          <w:sz w:val="24"/>
          <w:lang w:eastAsia="lv-LV"/>
        </w:rPr>
        <w:t>A</w:t>
      </w:r>
      <w:r w:rsidR="00A54420" w:rsidRPr="00A54420">
        <w:rPr>
          <w:rFonts w:eastAsia="Times New Roman" w:cs="Times New Roman"/>
          <w:sz w:val="24"/>
          <w:lang w:eastAsia="lv-LV"/>
        </w:rPr>
        <w:t xml:space="preserve">rī </w:t>
      </w:r>
      <w:r w:rsidRPr="001C1BD5">
        <w:rPr>
          <w:rFonts w:eastAsia="Times New Roman" w:cs="Times New Roman"/>
          <w:sz w:val="24"/>
          <w:lang w:eastAsia="lv-LV"/>
        </w:rPr>
        <w:t>ES fondu līdzekļu ieplūd</w:t>
      </w:r>
      <w:r w:rsidR="00A54420" w:rsidRPr="001C1BD5">
        <w:rPr>
          <w:rFonts w:eastAsia="Times New Roman" w:cs="Times New Roman"/>
          <w:sz w:val="24"/>
          <w:lang w:eastAsia="lv-LV"/>
        </w:rPr>
        <w:t>e</w:t>
      </w:r>
      <w:r w:rsidRPr="00A54420">
        <w:rPr>
          <w:rFonts w:eastAsia="Times New Roman" w:cs="Times New Roman"/>
          <w:sz w:val="24"/>
          <w:lang w:eastAsia="lv-LV"/>
        </w:rPr>
        <w:t xml:space="preserve"> </w:t>
      </w:r>
      <w:r w:rsidR="001C1BD5">
        <w:rPr>
          <w:rFonts w:eastAsia="Times New Roman" w:cs="Times New Roman"/>
          <w:sz w:val="24"/>
          <w:lang w:eastAsia="lv-LV"/>
        </w:rPr>
        <w:t>o</w:t>
      </w:r>
      <w:r w:rsidR="001C1BD5" w:rsidRPr="001C1BD5">
        <w:rPr>
          <w:rFonts w:eastAsia="Times New Roman" w:cs="Times New Roman"/>
          <w:sz w:val="24"/>
          <w:lang w:eastAsia="lv-LV"/>
        </w:rPr>
        <w:t>ptimistisk</w:t>
      </w:r>
      <w:r w:rsidR="001C1BD5">
        <w:rPr>
          <w:rFonts w:eastAsia="Times New Roman" w:cs="Times New Roman"/>
          <w:sz w:val="24"/>
          <w:lang w:eastAsia="lv-LV"/>
        </w:rPr>
        <w:t>ajā</w:t>
      </w:r>
      <w:r w:rsidR="001C1BD5" w:rsidRPr="001C1BD5">
        <w:rPr>
          <w:rFonts w:eastAsia="Times New Roman" w:cs="Times New Roman"/>
          <w:sz w:val="24"/>
          <w:lang w:eastAsia="lv-LV"/>
        </w:rPr>
        <w:t xml:space="preserve"> scenārij</w:t>
      </w:r>
      <w:r w:rsidR="001C1BD5">
        <w:rPr>
          <w:rFonts w:eastAsia="Times New Roman" w:cs="Times New Roman"/>
          <w:sz w:val="24"/>
          <w:lang w:eastAsia="lv-LV"/>
        </w:rPr>
        <w:t>ā</w:t>
      </w:r>
      <w:r w:rsidR="001C1BD5" w:rsidRPr="001C1BD5">
        <w:rPr>
          <w:rFonts w:eastAsia="Times New Roman" w:cs="Times New Roman"/>
          <w:sz w:val="24"/>
          <w:lang w:eastAsia="lv-LV"/>
        </w:rPr>
        <w:t xml:space="preserve"> </w:t>
      </w:r>
      <w:r w:rsidRPr="00A54420">
        <w:rPr>
          <w:rFonts w:eastAsia="Times New Roman" w:cs="Times New Roman"/>
          <w:sz w:val="24"/>
          <w:lang w:eastAsia="lv-LV"/>
        </w:rPr>
        <w:t>būtu straujāk</w:t>
      </w:r>
      <w:r w:rsidR="00A54420" w:rsidRPr="00A54420">
        <w:rPr>
          <w:rFonts w:eastAsia="Times New Roman" w:cs="Times New Roman"/>
          <w:sz w:val="24"/>
          <w:lang w:eastAsia="lv-LV"/>
        </w:rPr>
        <w:t>a</w:t>
      </w:r>
      <w:r w:rsidRPr="00A54420">
        <w:rPr>
          <w:rFonts w:eastAsia="Times New Roman" w:cs="Times New Roman"/>
          <w:sz w:val="24"/>
          <w:lang w:eastAsia="lv-LV"/>
        </w:rPr>
        <w:t xml:space="preserve"> nekā bāzes scenārijā, izraisot īslaicīgu ekonomikās aktivitātes paātrināšanos. </w:t>
      </w:r>
      <w:r w:rsidRPr="00A54420">
        <w:rPr>
          <w:rFonts w:eastAsia="Times New Roman" w:cs="Times New Roman"/>
          <w:sz w:val="24"/>
          <w:szCs w:val="24"/>
          <w:lang w:eastAsia="lv-LV"/>
        </w:rPr>
        <w:t xml:space="preserve">Atbilstoši optimistiskajam scenārijam, Latvijas ekonomika sasniegtu straujākus izaugsmes tempus nekā paredzēts bāzes scenārijā. Rezultātā 2023. gadā </w:t>
      </w:r>
      <w:r w:rsidR="00517641" w:rsidRPr="00A54420">
        <w:rPr>
          <w:rFonts w:eastAsia="Times New Roman" w:cs="Times New Roman"/>
          <w:sz w:val="24"/>
          <w:szCs w:val="24"/>
          <w:lang w:eastAsia="lv-LV"/>
        </w:rPr>
        <w:t>IKP</w:t>
      </w:r>
      <w:r w:rsidRPr="00A54420">
        <w:rPr>
          <w:rFonts w:eastAsia="Times New Roman" w:cs="Times New Roman"/>
          <w:sz w:val="24"/>
          <w:szCs w:val="24"/>
          <w:lang w:eastAsia="lv-LV"/>
        </w:rPr>
        <w:t xml:space="preserve"> salīdzināmās cenās varētu</w:t>
      </w:r>
      <w:r w:rsidRPr="00C549BA">
        <w:rPr>
          <w:rFonts w:eastAsia="Times New Roman" w:cs="Times New Roman"/>
          <w:sz w:val="24"/>
          <w:szCs w:val="24"/>
          <w:lang w:eastAsia="lv-LV"/>
        </w:rPr>
        <w:t xml:space="preserve"> palielināties par 1% un 2024. gadā – par 3,3%, kas ir vairāk nekā par 1 procentpunktu vairāk nekā bāzes scenārijā.</w:t>
      </w:r>
    </w:p>
    <w:p w14:paraId="4CFFD034" w14:textId="1F884D00" w:rsidR="004D1DFA" w:rsidRPr="00A54420" w:rsidRDefault="004D1DFA" w:rsidP="004D1DFA">
      <w:pPr>
        <w:autoSpaceDE w:val="0"/>
        <w:autoSpaceDN w:val="0"/>
        <w:adjustRightInd w:val="0"/>
        <w:rPr>
          <w:rFonts w:eastAsia="Times New Roman" w:cs="Times New Roman"/>
          <w:sz w:val="24"/>
          <w:lang w:eastAsia="lv-LV"/>
        </w:rPr>
      </w:pPr>
      <w:r w:rsidRPr="00C549BA">
        <w:rPr>
          <w:rFonts w:eastAsia="Times New Roman" w:cs="Times New Roman"/>
          <w:sz w:val="24"/>
          <w:lang w:eastAsia="lv-LV"/>
        </w:rPr>
        <w:t xml:space="preserve">Lielāko izaugsmes devumu (1,4 procentpunkti) dotu tieši investīciju pieaugums, kas 2023. gadā sasniegtu 6,1% un 2024. gadā 6% un būtu attiecīgi par 5 un 1,1 procentpunktiem lielāks nekā bāzes scenārijā. Investīciju pieaugumu veicinātu inflācijas samazināšanās, ģeopolitisko risku </w:t>
      </w:r>
      <w:proofErr w:type="spellStart"/>
      <w:r w:rsidRPr="00C549BA">
        <w:rPr>
          <w:rFonts w:eastAsia="Times New Roman" w:cs="Times New Roman"/>
          <w:sz w:val="24"/>
          <w:lang w:eastAsia="lv-LV"/>
        </w:rPr>
        <w:t>de</w:t>
      </w:r>
      <w:proofErr w:type="spellEnd"/>
      <w:r w:rsidRPr="00C549BA">
        <w:rPr>
          <w:rFonts w:eastAsia="Times New Roman" w:cs="Times New Roman"/>
          <w:sz w:val="24"/>
          <w:lang w:eastAsia="lv-LV"/>
        </w:rPr>
        <w:t xml:space="preserve">-eskalācija, augstāka uzņēmēju </w:t>
      </w:r>
      <w:r w:rsidRPr="00A54420">
        <w:rPr>
          <w:rFonts w:eastAsia="Times New Roman" w:cs="Times New Roman"/>
          <w:sz w:val="24"/>
          <w:lang w:eastAsia="lv-LV"/>
        </w:rPr>
        <w:t xml:space="preserve">konfidence, </w:t>
      </w:r>
      <w:r w:rsidRPr="00166ED9">
        <w:rPr>
          <w:rFonts w:eastAsia="Times New Roman" w:cs="Times New Roman"/>
          <w:sz w:val="24"/>
          <w:lang w:eastAsia="lv-LV"/>
        </w:rPr>
        <w:t xml:space="preserve">kā arī straujāka </w:t>
      </w:r>
      <w:r w:rsidR="00F00223" w:rsidRPr="00166ED9">
        <w:rPr>
          <w:rFonts w:eastAsia="Times New Roman" w:cs="Times New Roman"/>
          <w:sz w:val="24"/>
          <w:lang w:eastAsia="lv-LV"/>
        </w:rPr>
        <w:t>ES</w:t>
      </w:r>
      <w:r w:rsidRPr="00166ED9">
        <w:rPr>
          <w:rFonts w:eastAsia="Times New Roman" w:cs="Times New Roman"/>
          <w:sz w:val="24"/>
          <w:lang w:eastAsia="lv-LV"/>
        </w:rPr>
        <w:t xml:space="preserve"> fondu un ANM finansējuma izmantošana</w:t>
      </w:r>
      <w:r w:rsidR="00166ED9">
        <w:rPr>
          <w:rFonts w:eastAsia="Times New Roman" w:cs="Times New Roman"/>
          <w:sz w:val="24"/>
          <w:lang w:eastAsia="lv-LV"/>
        </w:rPr>
        <w:t xml:space="preserve"> un </w:t>
      </w:r>
      <w:r w:rsidRPr="00A54420">
        <w:rPr>
          <w:rFonts w:eastAsia="Times New Roman" w:cs="Times New Roman"/>
          <w:i/>
          <w:iCs/>
          <w:sz w:val="24"/>
          <w:lang w:eastAsia="lv-LV"/>
        </w:rPr>
        <w:t xml:space="preserve">Rail </w:t>
      </w:r>
      <w:proofErr w:type="spellStart"/>
      <w:r w:rsidRPr="00A54420">
        <w:rPr>
          <w:rFonts w:eastAsia="Times New Roman" w:cs="Times New Roman"/>
          <w:i/>
          <w:iCs/>
          <w:sz w:val="24"/>
          <w:lang w:eastAsia="lv-LV"/>
        </w:rPr>
        <w:t>Baltica</w:t>
      </w:r>
      <w:proofErr w:type="spellEnd"/>
      <w:r w:rsidRPr="00A54420">
        <w:rPr>
          <w:rFonts w:eastAsia="Times New Roman" w:cs="Times New Roman"/>
          <w:sz w:val="24"/>
          <w:lang w:eastAsia="lv-LV"/>
        </w:rPr>
        <w:t xml:space="preserve"> projekta realizācija atbilstoši plānotajam apjomam.</w:t>
      </w:r>
    </w:p>
    <w:p w14:paraId="0CE3449E" w14:textId="77777777" w:rsidR="004D1DFA" w:rsidRPr="00C549BA" w:rsidRDefault="004D1DFA" w:rsidP="004D1DFA">
      <w:pPr>
        <w:autoSpaceDE w:val="0"/>
        <w:autoSpaceDN w:val="0"/>
        <w:adjustRightInd w:val="0"/>
        <w:rPr>
          <w:rFonts w:eastAsia="Times New Roman" w:cs="Times New Roman"/>
          <w:sz w:val="24"/>
          <w:lang w:eastAsia="lv-LV"/>
        </w:rPr>
      </w:pPr>
      <w:r w:rsidRPr="00A54420">
        <w:rPr>
          <w:rFonts w:eastAsia="Times New Roman" w:cs="Times New Roman"/>
          <w:sz w:val="24"/>
          <w:lang w:eastAsia="lv-LV"/>
        </w:rPr>
        <w:t>Inflācijas samazinājums un mājsaimniecību konfidences</w:t>
      </w:r>
      <w:r w:rsidRPr="00C549BA">
        <w:rPr>
          <w:rFonts w:eastAsia="Times New Roman" w:cs="Times New Roman"/>
          <w:sz w:val="24"/>
          <w:lang w:eastAsia="lv-LV"/>
        </w:rPr>
        <w:t xml:space="preserve"> pieaugums veicinātu arī privātā patēriņa pieaugumu par 0,3% 2023. gadā jeb par 1,2 procentpunktiem vairāk, nekā paredzēts bāzes scenārijā, un par 2,4% 2024. gadā, bet tālākajos gados privātais patēriņš augtu kā bāzes scenārijā.</w:t>
      </w:r>
    </w:p>
    <w:p w14:paraId="05CC2031" w14:textId="77777777" w:rsidR="004D1DFA" w:rsidRPr="00F00223" w:rsidRDefault="004D1DFA" w:rsidP="004D1DFA">
      <w:pPr>
        <w:autoSpaceDE w:val="0"/>
        <w:autoSpaceDN w:val="0"/>
        <w:adjustRightInd w:val="0"/>
        <w:rPr>
          <w:rFonts w:eastAsia="Times New Roman" w:cs="Times New Roman"/>
          <w:sz w:val="24"/>
          <w:lang w:eastAsia="lv-LV"/>
        </w:rPr>
      </w:pPr>
      <w:r w:rsidRPr="00C549BA">
        <w:rPr>
          <w:rFonts w:eastAsia="Times New Roman" w:cs="Times New Roman"/>
          <w:sz w:val="24"/>
          <w:lang w:eastAsia="lv-LV"/>
        </w:rPr>
        <w:t>Jūtama pozitīva ietekme uz ekonomikas izaugsmi 2023. un 2024. gadā būtu arī eksporta pieaugumam, kas varētu sasniegt attiecīgi 3,2</w:t>
      </w:r>
      <w:r w:rsidRPr="00F00223">
        <w:rPr>
          <w:rFonts w:eastAsia="Times New Roman" w:cs="Times New Roman"/>
          <w:sz w:val="24"/>
          <w:lang w:eastAsia="lv-LV"/>
        </w:rPr>
        <w:t>% un 6,9%, eksportu veicinot pieaugušajam ārējam pieprasījumam. Tomēr, pieaugot iekšzemes pieprasījumam, straujāk pieaugtu arī imports. Līdz ar to ārējai tirdzniecībai jeb neto eksportam kopumā būtu negatīvs devums IKP pieaugumā.</w:t>
      </w:r>
    </w:p>
    <w:p w14:paraId="02FBB386" w14:textId="4A1A26AA" w:rsidR="004D1DFA" w:rsidRPr="00F00223" w:rsidRDefault="004D1DFA" w:rsidP="004D1DFA">
      <w:pPr>
        <w:autoSpaceDE w:val="0"/>
        <w:autoSpaceDN w:val="0"/>
        <w:adjustRightInd w:val="0"/>
        <w:rPr>
          <w:rFonts w:eastAsia="Times New Roman" w:cs="Times New Roman"/>
          <w:sz w:val="24"/>
          <w:lang w:eastAsia="lv-LV"/>
        </w:rPr>
      </w:pPr>
      <w:r w:rsidRPr="00F00223">
        <w:rPr>
          <w:rFonts w:eastAsia="Times New Roman" w:cs="Times New Roman"/>
          <w:sz w:val="24"/>
          <w:lang w:eastAsia="lv-LV"/>
        </w:rPr>
        <w:t>Pieņemot, ka energoresursu cenas samazināsies, inflācija 2023. gadā samazinātos līdz 7,5% jeb par 2,5 procentpunktiem zemāk nekā bāzes scenārijā. Inflāciju pamatā uzturēs otrreizējie cenu veidošanās faktori, uzņēmējiem cenšoties kompensēt 2022. gada straujo inflācijas pieaugumu. Savukārt 2024. gadā atsevišķos mēnešos iespējams arī cenu kritums, līdz ar to gada vidējā inflācija būtu 1% jeb par 1,2 procentpunktiem mazāka nekā bāzes scenārijā.</w:t>
      </w:r>
    </w:p>
    <w:p w14:paraId="0A1BF299" w14:textId="2EFEB48D" w:rsidR="004D1DFA" w:rsidRDefault="004D1DFA" w:rsidP="00F00223">
      <w:pPr>
        <w:autoSpaceDE w:val="0"/>
        <w:autoSpaceDN w:val="0"/>
        <w:adjustRightInd w:val="0"/>
        <w:rPr>
          <w:rFonts w:eastAsia="Times New Roman" w:cs="Times New Roman"/>
          <w:sz w:val="24"/>
          <w:lang w:eastAsia="lv-LV"/>
        </w:rPr>
      </w:pPr>
      <w:r w:rsidRPr="00F00223">
        <w:rPr>
          <w:rFonts w:eastAsia="Times New Roman" w:cs="Times New Roman"/>
          <w:sz w:val="24"/>
          <w:lang w:eastAsia="lv-LV"/>
        </w:rPr>
        <w:t xml:space="preserve">Lielākas ekonomiskās aktivitātes rezultātā pieaugtu arī pieprasījums pēc darbaspēka – nodarbinātība 2023. gadā pieaugtu par 0,1%, tomēr nākamajos gados, pieaugot demogrāfiskajam spiedienam, nodarbinātība samazinātos, lai arī samazinājums būtu par 0,1 procentpunktu mazāks </w:t>
      </w:r>
      <w:r w:rsidRPr="00F00223">
        <w:rPr>
          <w:rFonts w:eastAsia="Times New Roman" w:cs="Times New Roman"/>
          <w:sz w:val="24"/>
          <w:lang w:eastAsia="lv-LV"/>
        </w:rPr>
        <w:lastRenderedPageBreak/>
        <w:t>nekā bāzes scenārijā. Līdz ar to bezdarba līmenis samazinātos straujāk – no 6,8% 2023. gadā līdz 5,5% 2026. gadā.</w:t>
      </w:r>
    </w:p>
    <w:p w14:paraId="7C614369" w14:textId="77777777" w:rsidR="00F00223" w:rsidRPr="00F00223" w:rsidRDefault="00F00223" w:rsidP="00F00223">
      <w:pPr>
        <w:autoSpaceDE w:val="0"/>
        <w:autoSpaceDN w:val="0"/>
        <w:adjustRightInd w:val="0"/>
        <w:rPr>
          <w:rFonts w:eastAsia="Times New Roman" w:cs="Times New Roman"/>
          <w:sz w:val="24"/>
          <w:lang w:eastAsia="lv-LV"/>
        </w:rPr>
      </w:pPr>
    </w:p>
    <w:p w14:paraId="6D369948" w14:textId="329A7143" w:rsidR="004D1DFA" w:rsidRPr="00BA73EA" w:rsidRDefault="004D1DFA" w:rsidP="004D1DFA">
      <w:pPr>
        <w:autoSpaceDE w:val="0"/>
        <w:autoSpaceDN w:val="0"/>
        <w:adjustRightInd w:val="0"/>
        <w:spacing w:after="120"/>
        <w:jc w:val="right"/>
        <w:rPr>
          <w:rFonts w:cs="Times New Roman"/>
          <w:b/>
          <w:iCs/>
          <w:sz w:val="24"/>
          <w:szCs w:val="24"/>
        </w:rPr>
      </w:pPr>
      <w:r w:rsidRPr="00BA73EA">
        <w:rPr>
          <w:rFonts w:cs="Times New Roman"/>
          <w:b/>
          <w:iCs/>
          <w:sz w:val="24"/>
          <w:szCs w:val="24"/>
        </w:rPr>
        <w:t>4.</w:t>
      </w:r>
      <w:r w:rsidR="00E510C8" w:rsidRPr="00BA73EA">
        <w:rPr>
          <w:rFonts w:cs="Times New Roman"/>
          <w:b/>
          <w:iCs/>
          <w:sz w:val="24"/>
          <w:szCs w:val="24"/>
        </w:rPr>
        <w:t>3</w:t>
      </w:r>
      <w:r w:rsidRPr="00BA73EA">
        <w:rPr>
          <w:rFonts w:cs="Times New Roman"/>
          <w:b/>
          <w:iCs/>
          <w:sz w:val="24"/>
          <w:szCs w:val="24"/>
        </w:rPr>
        <w:t>. tabula. Optimistiskais makroekonomiskais scenārijs</w:t>
      </w:r>
    </w:p>
    <w:tbl>
      <w:tblPr>
        <w:tblStyle w:val="GridTable6Colorful-Accent12"/>
        <w:tblW w:w="9209" w:type="dxa"/>
        <w:jc w:val="center"/>
        <w:tblLayout w:type="fixed"/>
        <w:tblCellMar>
          <w:left w:w="57" w:type="dxa"/>
          <w:right w:w="57" w:type="dxa"/>
        </w:tblCellMar>
        <w:tblLook w:val="04A0" w:firstRow="1" w:lastRow="0" w:firstColumn="1" w:lastColumn="0" w:noHBand="0" w:noVBand="1"/>
      </w:tblPr>
      <w:tblGrid>
        <w:gridCol w:w="3397"/>
        <w:gridCol w:w="726"/>
        <w:gridCol w:w="727"/>
        <w:gridCol w:w="726"/>
        <w:gridCol w:w="727"/>
        <w:gridCol w:w="726"/>
        <w:gridCol w:w="727"/>
        <w:gridCol w:w="726"/>
        <w:gridCol w:w="727"/>
      </w:tblGrid>
      <w:tr w:rsidR="004D1DFA" w:rsidRPr="00F00223" w14:paraId="13C9D343" w14:textId="77777777" w:rsidTr="00277007">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3397" w:type="dxa"/>
            <w:noWrap/>
            <w:vAlign w:val="center"/>
          </w:tcPr>
          <w:p w14:paraId="62A35B90" w14:textId="77777777" w:rsidR="004D1DFA" w:rsidRPr="00F00223" w:rsidRDefault="004D1DFA" w:rsidP="00277007">
            <w:pPr>
              <w:spacing w:before="100" w:beforeAutospacing="1" w:after="100" w:afterAutospacing="1"/>
              <w:rPr>
                <w:rFonts w:cs="Times New Roman"/>
                <w:b w:val="0"/>
                <w:color w:val="auto"/>
                <w:sz w:val="18"/>
                <w:szCs w:val="18"/>
              </w:rPr>
            </w:pPr>
          </w:p>
        </w:tc>
        <w:tc>
          <w:tcPr>
            <w:tcW w:w="2906" w:type="dxa"/>
            <w:gridSpan w:val="4"/>
            <w:tcBorders>
              <w:right w:val="double" w:sz="4" w:space="0" w:color="9CC2E5" w:themeColor="accent1" w:themeTint="99"/>
            </w:tcBorders>
            <w:noWrap/>
            <w:vAlign w:val="center"/>
          </w:tcPr>
          <w:p w14:paraId="2FFC98BA" w14:textId="77777777" w:rsidR="004D1DFA" w:rsidRPr="00F00223" w:rsidRDefault="004D1DFA" w:rsidP="00277007">
            <w:pPr>
              <w:spacing w:before="100" w:beforeAutospacing="1" w:after="100" w:afterAutospacing="1"/>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color w:val="auto"/>
                <w:sz w:val="18"/>
                <w:szCs w:val="18"/>
              </w:rPr>
            </w:pPr>
            <w:r w:rsidRPr="00F00223">
              <w:rPr>
                <w:rFonts w:cs="Times New Roman"/>
                <w:b w:val="0"/>
                <w:color w:val="auto"/>
                <w:sz w:val="18"/>
                <w:szCs w:val="18"/>
              </w:rPr>
              <w:t>Optimistiskais scenārijs</w:t>
            </w:r>
          </w:p>
        </w:tc>
        <w:tc>
          <w:tcPr>
            <w:tcW w:w="2906" w:type="dxa"/>
            <w:gridSpan w:val="4"/>
            <w:tcBorders>
              <w:left w:val="double" w:sz="4" w:space="0" w:color="9CC2E5" w:themeColor="accent1" w:themeTint="99"/>
            </w:tcBorders>
            <w:noWrap/>
            <w:vAlign w:val="center"/>
          </w:tcPr>
          <w:p w14:paraId="087BE340" w14:textId="77777777" w:rsidR="004D1DFA" w:rsidRPr="00F00223" w:rsidRDefault="004D1DFA" w:rsidP="00277007">
            <w:pPr>
              <w:spacing w:before="100" w:beforeAutospacing="1" w:after="100" w:afterAutospacing="1"/>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color w:val="auto"/>
                <w:sz w:val="18"/>
                <w:szCs w:val="18"/>
              </w:rPr>
            </w:pPr>
            <w:r w:rsidRPr="00F00223">
              <w:rPr>
                <w:rFonts w:cs="Times New Roman"/>
                <w:b w:val="0"/>
                <w:color w:val="auto"/>
                <w:sz w:val="18"/>
                <w:szCs w:val="18"/>
              </w:rPr>
              <w:t>Novirze no bāzes scenārija</w:t>
            </w:r>
          </w:p>
        </w:tc>
      </w:tr>
      <w:tr w:rsidR="004D1DFA" w:rsidRPr="00F00223" w14:paraId="51F8B982" w14:textId="77777777" w:rsidTr="00277007">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3397" w:type="dxa"/>
            <w:noWrap/>
            <w:vAlign w:val="center"/>
          </w:tcPr>
          <w:p w14:paraId="40BA6FFB" w14:textId="77777777" w:rsidR="004D1DFA" w:rsidRPr="00F00223" w:rsidRDefault="004D1DFA" w:rsidP="00277007">
            <w:pPr>
              <w:spacing w:before="100" w:beforeAutospacing="1" w:after="100" w:afterAutospacing="1"/>
              <w:rPr>
                <w:rFonts w:cs="Times New Roman"/>
                <w:b w:val="0"/>
                <w:color w:val="auto"/>
                <w:sz w:val="18"/>
                <w:szCs w:val="18"/>
              </w:rPr>
            </w:pPr>
          </w:p>
        </w:tc>
        <w:tc>
          <w:tcPr>
            <w:tcW w:w="726" w:type="dxa"/>
            <w:noWrap/>
            <w:vAlign w:val="center"/>
          </w:tcPr>
          <w:p w14:paraId="4B66C454" w14:textId="77777777" w:rsidR="004D1DFA" w:rsidRPr="00F00223"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F00223">
              <w:rPr>
                <w:rFonts w:cs="Times New Roman"/>
                <w:color w:val="auto"/>
                <w:sz w:val="18"/>
                <w:szCs w:val="18"/>
              </w:rPr>
              <w:t>2023</w:t>
            </w:r>
          </w:p>
        </w:tc>
        <w:tc>
          <w:tcPr>
            <w:tcW w:w="727" w:type="dxa"/>
            <w:noWrap/>
            <w:vAlign w:val="center"/>
          </w:tcPr>
          <w:p w14:paraId="4086A3AE" w14:textId="77777777" w:rsidR="004D1DFA" w:rsidRPr="00F00223"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F00223">
              <w:rPr>
                <w:rFonts w:cs="Times New Roman"/>
                <w:color w:val="auto"/>
                <w:sz w:val="18"/>
                <w:szCs w:val="18"/>
              </w:rPr>
              <w:t>2024</w:t>
            </w:r>
          </w:p>
        </w:tc>
        <w:tc>
          <w:tcPr>
            <w:tcW w:w="726" w:type="dxa"/>
            <w:noWrap/>
            <w:vAlign w:val="center"/>
          </w:tcPr>
          <w:p w14:paraId="084229E6" w14:textId="77777777" w:rsidR="004D1DFA" w:rsidRPr="00F00223"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F00223">
              <w:rPr>
                <w:rFonts w:cs="Times New Roman"/>
                <w:color w:val="auto"/>
                <w:sz w:val="18"/>
                <w:szCs w:val="18"/>
              </w:rPr>
              <w:t>2025</w:t>
            </w:r>
          </w:p>
        </w:tc>
        <w:tc>
          <w:tcPr>
            <w:tcW w:w="727" w:type="dxa"/>
            <w:tcBorders>
              <w:right w:val="double" w:sz="4" w:space="0" w:color="9CC2E5" w:themeColor="accent1" w:themeTint="99"/>
            </w:tcBorders>
            <w:noWrap/>
            <w:vAlign w:val="center"/>
          </w:tcPr>
          <w:p w14:paraId="6D4E0E4E" w14:textId="77777777" w:rsidR="004D1DFA" w:rsidRPr="00F00223"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F00223">
              <w:rPr>
                <w:rFonts w:cs="Times New Roman"/>
                <w:color w:val="auto"/>
                <w:sz w:val="18"/>
                <w:szCs w:val="18"/>
              </w:rPr>
              <w:t>2026</w:t>
            </w:r>
          </w:p>
        </w:tc>
        <w:tc>
          <w:tcPr>
            <w:tcW w:w="726" w:type="dxa"/>
            <w:tcBorders>
              <w:left w:val="double" w:sz="4" w:space="0" w:color="9CC2E5" w:themeColor="accent1" w:themeTint="99"/>
            </w:tcBorders>
            <w:noWrap/>
            <w:vAlign w:val="center"/>
          </w:tcPr>
          <w:p w14:paraId="6687B78D" w14:textId="77777777" w:rsidR="004D1DFA" w:rsidRPr="00F00223"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F00223">
              <w:rPr>
                <w:rFonts w:cs="Times New Roman"/>
                <w:color w:val="auto"/>
                <w:sz w:val="18"/>
                <w:szCs w:val="18"/>
              </w:rPr>
              <w:t>2023</w:t>
            </w:r>
          </w:p>
        </w:tc>
        <w:tc>
          <w:tcPr>
            <w:tcW w:w="727" w:type="dxa"/>
            <w:noWrap/>
            <w:vAlign w:val="center"/>
          </w:tcPr>
          <w:p w14:paraId="7F9987BE" w14:textId="77777777" w:rsidR="004D1DFA" w:rsidRPr="00F00223"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F00223">
              <w:rPr>
                <w:rFonts w:cs="Times New Roman"/>
                <w:color w:val="auto"/>
                <w:sz w:val="18"/>
                <w:szCs w:val="18"/>
              </w:rPr>
              <w:t>2024</w:t>
            </w:r>
          </w:p>
        </w:tc>
        <w:tc>
          <w:tcPr>
            <w:tcW w:w="726" w:type="dxa"/>
            <w:noWrap/>
            <w:vAlign w:val="center"/>
          </w:tcPr>
          <w:p w14:paraId="3FF976F7" w14:textId="77777777" w:rsidR="004D1DFA" w:rsidRPr="00F00223"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F00223">
              <w:rPr>
                <w:rFonts w:cs="Times New Roman"/>
                <w:color w:val="auto"/>
                <w:sz w:val="18"/>
                <w:szCs w:val="18"/>
              </w:rPr>
              <w:t>2025</w:t>
            </w:r>
          </w:p>
        </w:tc>
        <w:tc>
          <w:tcPr>
            <w:tcW w:w="727" w:type="dxa"/>
            <w:noWrap/>
            <w:vAlign w:val="center"/>
          </w:tcPr>
          <w:p w14:paraId="6055ADC8" w14:textId="77777777" w:rsidR="004D1DFA" w:rsidRPr="00F00223"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rPr>
            </w:pPr>
            <w:r w:rsidRPr="00F00223">
              <w:rPr>
                <w:rFonts w:cs="Times New Roman"/>
                <w:color w:val="auto"/>
                <w:sz w:val="18"/>
                <w:szCs w:val="18"/>
              </w:rPr>
              <w:t>2026</w:t>
            </w:r>
          </w:p>
        </w:tc>
      </w:tr>
      <w:tr w:rsidR="004D1DFA" w:rsidRPr="00F00223" w14:paraId="446822C7" w14:textId="77777777" w:rsidTr="00277007">
        <w:trPr>
          <w:trHeight w:val="340"/>
          <w:jc w:val="center"/>
        </w:trPr>
        <w:tc>
          <w:tcPr>
            <w:cnfStyle w:val="001000000000" w:firstRow="0" w:lastRow="0" w:firstColumn="1" w:lastColumn="0" w:oddVBand="0" w:evenVBand="0" w:oddHBand="0" w:evenHBand="0" w:firstRowFirstColumn="0" w:firstRowLastColumn="0" w:lastRowFirstColumn="0" w:lastRowLastColumn="0"/>
            <w:tcW w:w="3397" w:type="dxa"/>
            <w:noWrap/>
            <w:vAlign w:val="center"/>
          </w:tcPr>
          <w:p w14:paraId="4DF180A0" w14:textId="77777777" w:rsidR="004D1DFA" w:rsidRPr="00F00223" w:rsidRDefault="004D1DFA" w:rsidP="00277007">
            <w:pPr>
              <w:ind w:left="26" w:firstLine="8"/>
              <w:rPr>
                <w:rFonts w:cs="Times New Roman"/>
                <w:b w:val="0"/>
                <w:color w:val="auto"/>
                <w:sz w:val="18"/>
                <w:szCs w:val="18"/>
              </w:rPr>
            </w:pPr>
            <w:r w:rsidRPr="00F00223">
              <w:rPr>
                <w:rFonts w:cs="Times New Roman"/>
                <w:b w:val="0"/>
                <w:color w:val="auto"/>
                <w:sz w:val="18"/>
                <w:szCs w:val="18"/>
              </w:rPr>
              <w:t>IKP pieaugums faktiskajās cenās, %</w:t>
            </w:r>
          </w:p>
        </w:tc>
        <w:tc>
          <w:tcPr>
            <w:tcW w:w="726" w:type="dxa"/>
            <w:noWrap/>
            <w:tcMar>
              <w:left w:w="57" w:type="dxa"/>
              <w:right w:w="57" w:type="dxa"/>
            </w:tcMar>
            <w:vAlign w:val="center"/>
          </w:tcPr>
          <w:p w14:paraId="44E05025" w14:textId="77777777" w:rsidR="004D1DFA" w:rsidRPr="00F00223"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11,2</w:t>
            </w:r>
          </w:p>
        </w:tc>
        <w:tc>
          <w:tcPr>
            <w:tcW w:w="727" w:type="dxa"/>
            <w:noWrap/>
            <w:tcMar>
              <w:left w:w="57" w:type="dxa"/>
              <w:right w:w="57" w:type="dxa"/>
            </w:tcMar>
            <w:vAlign w:val="center"/>
          </w:tcPr>
          <w:p w14:paraId="6C6F62FF" w14:textId="77777777" w:rsidR="004D1DFA" w:rsidRPr="00F00223"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6,1</w:t>
            </w:r>
          </w:p>
        </w:tc>
        <w:tc>
          <w:tcPr>
            <w:tcW w:w="726" w:type="dxa"/>
            <w:noWrap/>
            <w:tcMar>
              <w:left w:w="57" w:type="dxa"/>
              <w:right w:w="57" w:type="dxa"/>
            </w:tcMar>
            <w:vAlign w:val="center"/>
          </w:tcPr>
          <w:p w14:paraId="0835BC63" w14:textId="77777777" w:rsidR="004D1DFA" w:rsidRPr="00F00223"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5,4</w:t>
            </w:r>
          </w:p>
        </w:tc>
        <w:tc>
          <w:tcPr>
            <w:tcW w:w="727" w:type="dxa"/>
            <w:tcBorders>
              <w:right w:val="double" w:sz="4" w:space="0" w:color="9CC2E5" w:themeColor="accent1" w:themeTint="99"/>
            </w:tcBorders>
            <w:noWrap/>
            <w:tcMar>
              <w:left w:w="57" w:type="dxa"/>
              <w:right w:w="57" w:type="dxa"/>
            </w:tcMar>
            <w:vAlign w:val="center"/>
          </w:tcPr>
          <w:p w14:paraId="1088DD3D" w14:textId="77777777" w:rsidR="004D1DFA" w:rsidRPr="00F00223"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5,6</w:t>
            </w:r>
          </w:p>
        </w:tc>
        <w:tc>
          <w:tcPr>
            <w:tcW w:w="726" w:type="dxa"/>
            <w:tcBorders>
              <w:left w:val="double" w:sz="4" w:space="0" w:color="9CC2E5" w:themeColor="accent1" w:themeTint="99"/>
            </w:tcBorders>
            <w:noWrap/>
            <w:tcMar>
              <w:left w:w="57" w:type="dxa"/>
              <w:right w:w="57" w:type="dxa"/>
            </w:tcMar>
            <w:vAlign w:val="center"/>
          </w:tcPr>
          <w:p w14:paraId="6D9C1445" w14:textId="77777777" w:rsidR="004D1DFA" w:rsidRPr="00F00223"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-0,5</w:t>
            </w:r>
          </w:p>
        </w:tc>
        <w:tc>
          <w:tcPr>
            <w:tcW w:w="727" w:type="dxa"/>
            <w:noWrap/>
            <w:tcMar>
              <w:left w:w="57" w:type="dxa"/>
              <w:right w:w="57" w:type="dxa"/>
            </w:tcMar>
            <w:vAlign w:val="center"/>
          </w:tcPr>
          <w:p w14:paraId="17C2943A" w14:textId="77777777" w:rsidR="004D1DFA" w:rsidRPr="00F00223"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0,7</w:t>
            </w:r>
          </w:p>
        </w:tc>
        <w:tc>
          <w:tcPr>
            <w:tcW w:w="726" w:type="dxa"/>
            <w:noWrap/>
            <w:tcMar>
              <w:left w:w="57" w:type="dxa"/>
              <w:right w:w="57" w:type="dxa"/>
            </w:tcMar>
            <w:vAlign w:val="center"/>
          </w:tcPr>
          <w:p w14:paraId="1EBD43F9" w14:textId="77777777" w:rsidR="004D1DFA" w:rsidRPr="00F00223"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-0,3</w:t>
            </w:r>
          </w:p>
        </w:tc>
        <w:tc>
          <w:tcPr>
            <w:tcW w:w="727" w:type="dxa"/>
            <w:noWrap/>
            <w:tcMar>
              <w:left w:w="57" w:type="dxa"/>
              <w:right w:w="57" w:type="dxa"/>
            </w:tcMar>
            <w:vAlign w:val="center"/>
          </w:tcPr>
          <w:p w14:paraId="5DE56532" w14:textId="77777777" w:rsidR="004D1DFA" w:rsidRPr="00F00223"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0,1</w:t>
            </w:r>
          </w:p>
        </w:tc>
      </w:tr>
      <w:tr w:rsidR="004D1DFA" w:rsidRPr="00F00223" w14:paraId="75B43818" w14:textId="77777777" w:rsidTr="00277007">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397" w:type="dxa"/>
            <w:noWrap/>
            <w:vAlign w:val="center"/>
          </w:tcPr>
          <w:p w14:paraId="6A0B108B" w14:textId="77777777" w:rsidR="004D1DFA" w:rsidRPr="00F00223" w:rsidRDefault="004D1DFA" w:rsidP="00277007">
            <w:pPr>
              <w:ind w:left="26" w:firstLine="8"/>
              <w:jc w:val="left"/>
              <w:rPr>
                <w:rFonts w:cs="Times New Roman"/>
                <w:b w:val="0"/>
                <w:color w:val="auto"/>
                <w:sz w:val="18"/>
                <w:szCs w:val="18"/>
              </w:rPr>
            </w:pPr>
            <w:r w:rsidRPr="00F00223">
              <w:rPr>
                <w:rFonts w:cs="Times New Roman"/>
                <w:b w:val="0"/>
                <w:color w:val="auto"/>
                <w:sz w:val="18"/>
                <w:szCs w:val="18"/>
              </w:rPr>
              <w:t>IKP pieaugums salīdzināmās cenās, %</w:t>
            </w:r>
          </w:p>
        </w:tc>
        <w:tc>
          <w:tcPr>
            <w:tcW w:w="726" w:type="dxa"/>
            <w:noWrap/>
            <w:tcMar>
              <w:left w:w="57" w:type="dxa"/>
              <w:right w:w="57" w:type="dxa"/>
            </w:tcMar>
            <w:vAlign w:val="center"/>
          </w:tcPr>
          <w:p w14:paraId="4586A60C" w14:textId="77777777" w:rsidR="004D1DFA" w:rsidRPr="00F00223"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1,0</w:t>
            </w:r>
          </w:p>
        </w:tc>
        <w:tc>
          <w:tcPr>
            <w:tcW w:w="727" w:type="dxa"/>
            <w:noWrap/>
            <w:tcMar>
              <w:left w:w="57" w:type="dxa"/>
              <w:right w:w="57" w:type="dxa"/>
            </w:tcMar>
            <w:vAlign w:val="center"/>
          </w:tcPr>
          <w:p w14:paraId="599CF65F" w14:textId="77777777" w:rsidR="004D1DFA" w:rsidRPr="00F00223"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3,3</w:t>
            </w:r>
          </w:p>
        </w:tc>
        <w:tc>
          <w:tcPr>
            <w:tcW w:w="726" w:type="dxa"/>
            <w:noWrap/>
            <w:tcMar>
              <w:left w:w="57" w:type="dxa"/>
              <w:right w:w="57" w:type="dxa"/>
            </w:tcMar>
            <w:vAlign w:val="center"/>
          </w:tcPr>
          <w:p w14:paraId="75A47672" w14:textId="77777777" w:rsidR="004D1DFA" w:rsidRPr="00F00223"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2,9</w:t>
            </w:r>
          </w:p>
        </w:tc>
        <w:tc>
          <w:tcPr>
            <w:tcW w:w="727" w:type="dxa"/>
            <w:tcBorders>
              <w:right w:val="double" w:sz="4" w:space="0" w:color="9CC2E5" w:themeColor="accent1" w:themeTint="99"/>
            </w:tcBorders>
            <w:noWrap/>
            <w:tcMar>
              <w:left w:w="57" w:type="dxa"/>
              <w:right w:w="57" w:type="dxa"/>
            </w:tcMar>
            <w:vAlign w:val="center"/>
          </w:tcPr>
          <w:p w14:paraId="4160EEBF" w14:textId="77777777" w:rsidR="004D1DFA" w:rsidRPr="00F00223"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2,8</w:t>
            </w:r>
          </w:p>
        </w:tc>
        <w:tc>
          <w:tcPr>
            <w:tcW w:w="726" w:type="dxa"/>
            <w:tcBorders>
              <w:left w:val="double" w:sz="4" w:space="0" w:color="9CC2E5" w:themeColor="accent1" w:themeTint="99"/>
            </w:tcBorders>
            <w:noWrap/>
            <w:tcMar>
              <w:left w:w="57" w:type="dxa"/>
              <w:right w:w="57" w:type="dxa"/>
            </w:tcMar>
            <w:vAlign w:val="center"/>
          </w:tcPr>
          <w:p w14:paraId="3EB3EEA0" w14:textId="77777777" w:rsidR="004D1DFA" w:rsidRPr="00F00223"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1,0</w:t>
            </w:r>
          </w:p>
        </w:tc>
        <w:tc>
          <w:tcPr>
            <w:tcW w:w="727" w:type="dxa"/>
            <w:noWrap/>
            <w:tcMar>
              <w:left w:w="57" w:type="dxa"/>
              <w:right w:w="57" w:type="dxa"/>
            </w:tcMar>
            <w:vAlign w:val="center"/>
          </w:tcPr>
          <w:p w14:paraId="17D656C8" w14:textId="77777777" w:rsidR="004D1DFA" w:rsidRPr="00F00223"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1,3</w:t>
            </w:r>
          </w:p>
        </w:tc>
        <w:tc>
          <w:tcPr>
            <w:tcW w:w="726" w:type="dxa"/>
            <w:noWrap/>
            <w:tcMar>
              <w:left w:w="57" w:type="dxa"/>
              <w:right w:w="57" w:type="dxa"/>
            </w:tcMar>
            <w:vAlign w:val="center"/>
          </w:tcPr>
          <w:p w14:paraId="14CBE44A" w14:textId="77777777" w:rsidR="004D1DFA" w:rsidRPr="00F00223"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0,0</w:t>
            </w:r>
          </w:p>
        </w:tc>
        <w:tc>
          <w:tcPr>
            <w:tcW w:w="727" w:type="dxa"/>
            <w:noWrap/>
            <w:tcMar>
              <w:left w:w="57" w:type="dxa"/>
              <w:right w:w="57" w:type="dxa"/>
            </w:tcMar>
            <w:vAlign w:val="center"/>
          </w:tcPr>
          <w:p w14:paraId="6D01B61C" w14:textId="77777777" w:rsidR="004D1DFA" w:rsidRPr="00F00223"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0,0</w:t>
            </w:r>
          </w:p>
        </w:tc>
      </w:tr>
      <w:tr w:rsidR="004D1DFA" w:rsidRPr="00F00223" w14:paraId="254AFE8A" w14:textId="77777777" w:rsidTr="00277007">
        <w:trPr>
          <w:trHeight w:val="340"/>
          <w:jc w:val="center"/>
        </w:trPr>
        <w:tc>
          <w:tcPr>
            <w:cnfStyle w:val="001000000000" w:firstRow="0" w:lastRow="0" w:firstColumn="1" w:lastColumn="0" w:oddVBand="0" w:evenVBand="0" w:oddHBand="0" w:evenHBand="0" w:firstRowFirstColumn="0" w:firstRowLastColumn="0" w:lastRowFirstColumn="0" w:lastRowLastColumn="0"/>
            <w:tcW w:w="3397" w:type="dxa"/>
            <w:noWrap/>
            <w:vAlign w:val="center"/>
          </w:tcPr>
          <w:p w14:paraId="1DD8EE87" w14:textId="77777777" w:rsidR="004D1DFA" w:rsidRPr="00F00223" w:rsidRDefault="004D1DFA" w:rsidP="00277007">
            <w:pPr>
              <w:ind w:left="26" w:firstLine="8"/>
              <w:jc w:val="left"/>
              <w:rPr>
                <w:rFonts w:cs="Times New Roman"/>
                <w:b w:val="0"/>
                <w:bCs w:val="0"/>
                <w:sz w:val="18"/>
                <w:szCs w:val="18"/>
              </w:rPr>
            </w:pPr>
            <w:r w:rsidRPr="00F00223">
              <w:rPr>
                <w:rFonts w:cs="Times New Roman"/>
                <w:b w:val="0"/>
                <w:color w:val="auto"/>
                <w:sz w:val="18"/>
                <w:szCs w:val="18"/>
              </w:rPr>
              <w:t>Patēriņa cenu indeksa izmaiņas, %</w:t>
            </w:r>
          </w:p>
        </w:tc>
        <w:tc>
          <w:tcPr>
            <w:tcW w:w="726" w:type="dxa"/>
            <w:noWrap/>
            <w:tcMar>
              <w:left w:w="57" w:type="dxa"/>
              <w:right w:w="57" w:type="dxa"/>
            </w:tcMar>
            <w:vAlign w:val="center"/>
          </w:tcPr>
          <w:p w14:paraId="2643639F" w14:textId="77777777" w:rsidR="004D1DFA" w:rsidRPr="00F00223"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7,5</w:t>
            </w:r>
          </w:p>
        </w:tc>
        <w:tc>
          <w:tcPr>
            <w:tcW w:w="727" w:type="dxa"/>
            <w:noWrap/>
            <w:tcMar>
              <w:left w:w="57" w:type="dxa"/>
              <w:right w:w="57" w:type="dxa"/>
            </w:tcMar>
            <w:vAlign w:val="center"/>
          </w:tcPr>
          <w:p w14:paraId="0251958B" w14:textId="77777777" w:rsidR="004D1DFA" w:rsidRPr="00F00223"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1,0</w:t>
            </w:r>
          </w:p>
        </w:tc>
        <w:tc>
          <w:tcPr>
            <w:tcW w:w="726" w:type="dxa"/>
            <w:noWrap/>
            <w:tcMar>
              <w:left w:w="57" w:type="dxa"/>
              <w:right w:w="57" w:type="dxa"/>
            </w:tcMar>
            <w:vAlign w:val="center"/>
          </w:tcPr>
          <w:p w14:paraId="0EE2B39D" w14:textId="77777777" w:rsidR="004D1DFA" w:rsidRPr="00F00223"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2,0</w:t>
            </w:r>
          </w:p>
        </w:tc>
        <w:tc>
          <w:tcPr>
            <w:tcW w:w="727" w:type="dxa"/>
            <w:tcBorders>
              <w:right w:val="double" w:sz="4" w:space="0" w:color="9CC2E5" w:themeColor="accent1" w:themeTint="99"/>
            </w:tcBorders>
            <w:noWrap/>
            <w:tcMar>
              <w:left w:w="57" w:type="dxa"/>
              <w:right w:w="57" w:type="dxa"/>
            </w:tcMar>
            <w:vAlign w:val="center"/>
          </w:tcPr>
          <w:p w14:paraId="2A1157C5" w14:textId="77777777" w:rsidR="004D1DFA" w:rsidRPr="00F00223"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2,5</w:t>
            </w:r>
          </w:p>
        </w:tc>
        <w:tc>
          <w:tcPr>
            <w:tcW w:w="726" w:type="dxa"/>
            <w:tcBorders>
              <w:left w:val="double" w:sz="4" w:space="0" w:color="9CC2E5" w:themeColor="accent1" w:themeTint="99"/>
            </w:tcBorders>
            <w:noWrap/>
            <w:tcMar>
              <w:left w:w="57" w:type="dxa"/>
              <w:right w:w="57" w:type="dxa"/>
            </w:tcMar>
            <w:vAlign w:val="center"/>
          </w:tcPr>
          <w:p w14:paraId="7660E0DA" w14:textId="77777777" w:rsidR="004D1DFA" w:rsidRPr="00F00223"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-2,5</w:t>
            </w:r>
          </w:p>
        </w:tc>
        <w:tc>
          <w:tcPr>
            <w:tcW w:w="727" w:type="dxa"/>
            <w:noWrap/>
            <w:tcMar>
              <w:left w:w="57" w:type="dxa"/>
              <w:right w:w="57" w:type="dxa"/>
            </w:tcMar>
            <w:vAlign w:val="center"/>
          </w:tcPr>
          <w:p w14:paraId="7D9F058D" w14:textId="77777777" w:rsidR="004D1DFA" w:rsidRPr="00F00223"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-1,2</w:t>
            </w:r>
          </w:p>
        </w:tc>
        <w:tc>
          <w:tcPr>
            <w:tcW w:w="726" w:type="dxa"/>
            <w:noWrap/>
            <w:tcMar>
              <w:left w:w="57" w:type="dxa"/>
              <w:right w:w="57" w:type="dxa"/>
            </w:tcMar>
            <w:vAlign w:val="center"/>
          </w:tcPr>
          <w:p w14:paraId="58A4E3E3" w14:textId="77777777" w:rsidR="004D1DFA" w:rsidRPr="00F00223"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-0,5</w:t>
            </w:r>
          </w:p>
        </w:tc>
        <w:tc>
          <w:tcPr>
            <w:tcW w:w="727" w:type="dxa"/>
            <w:noWrap/>
            <w:tcMar>
              <w:left w:w="57" w:type="dxa"/>
              <w:right w:w="57" w:type="dxa"/>
            </w:tcMar>
            <w:vAlign w:val="center"/>
          </w:tcPr>
          <w:p w14:paraId="48C76A6F" w14:textId="77777777" w:rsidR="004D1DFA" w:rsidRPr="00F00223"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0,0</w:t>
            </w:r>
          </w:p>
        </w:tc>
      </w:tr>
      <w:tr w:rsidR="004D1DFA" w:rsidRPr="00F00223" w14:paraId="0A982519" w14:textId="77777777" w:rsidTr="00277007">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397" w:type="dxa"/>
            <w:noWrap/>
            <w:vAlign w:val="center"/>
          </w:tcPr>
          <w:p w14:paraId="4913C248" w14:textId="77777777" w:rsidR="004D1DFA" w:rsidRPr="00F00223" w:rsidRDefault="004D1DFA" w:rsidP="00277007">
            <w:pPr>
              <w:ind w:left="26" w:firstLine="8"/>
              <w:jc w:val="left"/>
              <w:rPr>
                <w:rFonts w:cs="Times New Roman"/>
                <w:b w:val="0"/>
                <w:color w:val="auto"/>
                <w:sz w:val="18"/>
                <w:szCs w:val="18"/>
              </w:rPr>
            </w:pPr>
            <w:r w:rsidRPr="00F00223">
              <w:rPr>
                <w:rFonts w:cs="Times New Roman"/>
                <w:b w:val="0"/>
                <w:color w:val="auto"/>
                <w:sz w:val="18"/>
                <w:szCs w:val="18"/>
              </w:rPr>
              <w:t>Privātais patēriņš, pieaugums salīdzināmās cenās, %</w:t>
            </w:r>
          </w:p>
        </w:tc>
        <w:tc>
          <w:tcPr>
            <w:tcW w:w="726" w:type="dxa"/>
            <w:noWrap/>
            <w:tcMar>
              <w:left w:w="57" w:type="dxa"/>
              <w:right w:w="57" w:type="dxa"/>
            </w:tcMar>
            <w:vAlign w:val="center"/>
          </w:tcPr>
          <w:p w14:paraId="16112F4E" w14:textId="77777777" w:rsidR="004D1DFA" w:rsidRPr="00F00223"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0,3</w:t>
            </w:r>
          </w:p>
        </w:tc>
        <w:tc>
          <w:tcPr>
            <w:tcW w:w="727" w:type="dxa"/>
            <w:noWrap/>
            <w:tcMar>
              <w:left w:w="57" w:type="dxa"/>
              <w:right w:w="57" w:type="dxa"/>
            </w:tcMar>
            <w:vAlign w:val="center"/>
          </w:tcPr>
          <w:p w14:paraId="2C509370" w14:textId="77777777" w:rsidR="004D1DFA" w:rsidRPr="00F00223"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2,4</w:t>
            </w:r>
          </w:p>
        </w:tc>
        <w:tc>
          <w:tcPr>
            <w:tcW w:w="726" w:type="dxa"/>
            <w:noWrap/>
            <w:tcMar>
              <w:left w:w="57" w:type="dxa"/>
              <w:right w:w="57" w:type="dxa"/>
            </w:tcMar>
            <w:vAlign w:val="center"/>
          </w:tcPr>
          <w:p w14:paraId="2A34E9D5" w14:textId="77777777" w:rsidR="004D1DFA" w:rsidRPr="00F00223"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4,0</w:t>
            </w:r>
          </w:p>
        </w:tc>
        <w:tc>
          <w:tcPr>
            <w:tcW w:w="727" w:type="dxa"/>
            <w:tcBorders>
              <w:right w:val="double" w:sz="4" w:space="0" w:color="9CC2E5" w:themeColor="accent1" w:themeTint="99"/>
            </w:tcBorders>
            <w:noWrap/>
            <w:tcMar>
              <w:left w:w="57" w:type="dxa"/>
              <w:right w:w="57" w:type="dxa"/>
            </w:tcMar>
            <w:vAlign w:val="center"/>
          </w:tcPr>
          <w:p w14:paraId="4AFB686B" w14:textId="77777777" w:rsidR="004D1DFA" w:rsidRPr="00F00223"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3,5</w:t>
            </w:r>
          </w:p>
        </w:tc>
        <w:tc>
          <w:tcPr>
            <w:tcW w:w="726" w:type="dxa"/>
            <w:tcBorders>
              <w:left w:val="double" w:sz="4" w:space="0" w:color="9CC2E5" w:themeColor="accent1" w:themeTint="99"/>
            </w:tcBorders>
            <w:noWrap/>
            <w:tcMar>
              <w:left w:w="57" w:type="dxa"/>
              <w:right w:w="57" w:type="dxa"/>
            </w:tcMar>
            <w:vAlign w:val="center"/>
          </w:tcPr>
          <w:p w14:paraId="29E1BB1F" w14:textId="77777777" w:rsidR="004D1DFA" w:rsidRPr="00F00223"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1,2</w:t>
            </w:r>
          </w:p>
        </w:tc>
        <w:tc>
          <w:tcPr>
            <w:tcW w:w="727" w:type="dxa"/>
            <w:noWrap/>
            <w:tcMar>
              <w:left w:w="57" w:type="dxa"/>
              <w:right w:w="57" w:type="dxa"/>
            </w:tcMar>
            <w:vAlign w:val="center"/>
          </w:tcPr>
          <w:p w14:paraId="53D45D77" w14:textId="77777777" w:rsidR="004D1DFA" w:rsidRPr="00F00223"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0,3</w:t>
            </w:r>
          </w:p>
        </w:tc>
        <w:tc>
          <w:tcPr>
            <w:tcW w:w="726" w:type="dxa"/>
            <w:noWrap/>
            <w:tcMar>
              <w:left w:w="57" w:type="dxa"/>
              <w:right w:w="57" w:type="dxa"/>
            </w:tcMar>
            <w:vAlign w:val="center"/>
          </w:tcPr>
          <w:p w14:paraId="151289D5" w14:textId="77777777" w:rsidR="004D1DFA" w:rsidRPr="00F00223"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0,0</w:t>
            </w:r>
          </w:p>
        </w:tc>
        <w:tc>
          <w:tcPr>
            <w:tcW w:w="727" w:type="dxa"/>
            <w:noWrap/>
            <w:tcMar>
              <w:left w:w="57" w:type="dxa"/>
              <w:right w:w="57" w:type="dxa"/>
            </w:tcMar>
            <w:vAlign w:val="center"/>
          </w:tcPr>
          <w:p w14:paraId="033E5D91" w14:textId="77777777" w:rsidR="004D1DFA" w:rsidRPr="00F00223"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0,0</w:t>
            </w:r>
          </w:p>
        </w:tc>
      </w:tr>
      <w:tr w:rsidR="004D1DFA" w:rsidRPr="00F00223" w14:paraId="4DFBB394" w14:textId="77777777" w:rsidTr="00277007">
        <w:trPr>
          <w:trHeight w:val="340"/>
          <w:jc w:val="center"/>
        </w:trPr>
        <w:tc>
          <w:tcPr>
            <w:cnfStyle w:val="001000000000" w:firstRow="0" w:lastRow="0" w:firstColumn="1" w:lastColumn="0" w:oddVBand="0" w:evenVBand="0" w:oddHBand="0" w:evenHBand="0" w:firstRowFirstColumn="0" w:firstRowLastColumn="0" w:lastRowFirstColumn="0" w:lastRowLastColumn="0"/>
            <w:tcW w:w="3397" w:type="dxa"/>
            <w:noWrap/>
            <w:vAlign w:val="center"/>
          </w:tcPr>
          <w:p w14:paraId="09D3E403" w14:textId="77777777" w:rsidR="004D1DFA" w:rsidRPr="00F00223" w:rsidRDefault="004D1DFA" w:rsidP="00277007">
            <w:pPr>
              <w:ind w:left="26" w:firstLine="8"/>
              <w:jc w:val="left"/>
              <w:rPr>
                <w:rFonts w:cs="Times New Roman"/>
                <w:b w:val="0"/>
                <w:color w:val="auto"/>
                <w:sz w:val="18"/>
                <w:szCs w:val="18"/>
              </w:rPr>
            </w:pPr>
            <w:r w:rsidRPr="00F00223">
              <w:rPr>
                <w:rFonts w:cs="Times New Roman"/>
                <w:b w:val="0"/>
                <w:color w:val="auto"/>
                <w:sz w:val="18"/>
                <w:szCs w:val="18"/>
              </w:rPr>
              <w:t xml:space="preserve">Sabiedriskais patēriņš, pieaugums salīdzināmās cenās, % </w:t>
            </w:r>
          </w:p>
        </w:tc>
        <w:tc>
          <w:tcPr>
            <w:tcW w:w="726" w:type="dxa"/>
            <w:noWrap/>
            <w:tcMar>
              <w:left w:w="57" w:type="dxa"/>
              <w:right w:w="57" w:type="dxa"/>
            </w:tcMar>
            <w:vAlign w:val="center"/>
          </w:tcPr>
          <w:p w14:paraId="20DF0CD7" w14:textId="77777777" w:rsidR="004D1DFA" w:rsidRPr="00F00223"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1,2</w:t>
            </w:r>
          </w:p>
        </w:tc>
        <w:tc>
          <w:tcPr>
            <w:tcW w:w="727" w:type="dxa"/>
            <w:noWrap/>
            <w:tcMar>
              <w:left w:w="57" w:type="dxa"/>
              <w:right w:w="57" w:type="dxa"/>
            </w:tcMar>
            <w:vAlign w:val="center"/>
          </w:tcPr>
          <w:p w14:paraId="27FC62CF" w14:textId="77777777" w:rsidR="004D1DFA" w:rsidRPr="00F00223"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0,8</w:t>
            </w:r>
          </w:p>
        </w:tc>
        <w:tc>
          <w:tcPr>
            <w:tcW w:w="726" w:type="dxa"/>
            <w:noWrap/>
            <w:tcMar>
              <w:left w:w="57" w:type="dxa"/>
              <w:right w:w="57" w:type="dxa"/>
            </w:tcMar>
            <w:vAlign w:val="center"/>
          </w:tcPr>
          <w:p w14:paraId="186775D2" w14:textId="77777777" w:rsidR="004D1DFA" w:rsidRPr="00F00223"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0,1</w:t>
            </w:r>
          </w:p>
        </w:tc>
        <w:tc>
          <w:tcPr>
            <w:tcW w:w="727" w:type="dxa"/>
            <w:tcBorders>
              <w:right w:val="double" w:sz="4" w:space="0" w:color="9CC2E5" w:themeColor="accent1" w:themeTint="99"/>
            </w:tcBorders>
            <w:noWrap/>
            <w:tcMar>
              <w:left w:w="57" w:type="dxa"/>
              <w:right w:w="57" w:type="dxa"/>
            </w:tcMar>
            <w:vAlign w:val="center"/>
          </w:tcPr>
          <w:p w14:paraId="541FABDD" w14:textId="77777777" w:rsidR="004D1DFA" w:rsidRPr="00F00223"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0,5</w:t>
            </w:r>
          </w:p>
        </w:tc>
        <w:tc>
          <w:tcPr>
            <w:tcW w:w="726" w:type="dxa"/>
            <w:tcBorders>
              <w:left w:val="double" w:sz="4" w:space="0" w:color="9CC2E5" w:themeColor="accent1" w:themeTint="99"/>
            </w:tcBorders>
            <w:noWrap/>
            <w:tcMar>
              <w:left w:w="57" w:type="dxa"/>
              <w:right w:w="57" w:type="dxa"/>
            </w:tcMar>
            <w:vAlign w:val="center"/>
          </w:tcPr>
          <w:p w14:paraId="5E112E6D" w14:textId="77777777" w:rsidR="004D1DFA" w:rsidRPr="00F00223"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0,0</w:t>
            </w:r>
          </w:p>
        </w:tc>
        <w:tc>
          <w:tcPr>
            <w:tcW w:w="727" w:type="dxa"/>
            <w:noWrap/>
            <w:tcMar>
              <w:left w:w="57" w:type="dxa"/>
              <w:right w:w="57" w:type="dxa"/>
            </w:tcMar>
            <w:vAlign w:val="center"/>
          </w:tcPr>
          <w:p w14:paraId="542EF013" w14:textId="77777777" w:rsidR="004D1DFA" w:rsidRPr="00F00223"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0,0</w:t>
            </w:r>
          </w:p>
        </w:tc>
        <w:tc>
          <w:tcPr>
            <w:tcW w:w="726" w:type="dxa"/>
            <w:noWrap/>
            <w:tcMar>
              <w:left w:w="57" w:type="dxa"/>
              <w:right w:w="57" w:type="dxa"/>
            </w:tcMar>
            <w:vAlign w:val="center"/>
          </w:tcPr>
          <w:p w14:paraId="27BCF8FF" w14:textId="77777777" w:rsidR="004D1DFA" w:rsidRPr="00F00223"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0,0</w:t>
            </w:r>
          </w:p>
        </w:tc>
        <w:tc>
          <w:tcPr>
            <w:tcW w:w="727" w:type="dxa"/>
            <w:noWrap/>
            <w:tcMar>
              <w:left w:w="57" w:type="dxa"/>
              <w:right w:w="57" w:type="dxa"/>
            </w:tcMar>
            <w:vAlign w:val="center"/>
          </w:tcPr>
          <w:p w14:paraId="17A91E4A" w14:textId="77777777" w:rsidR="004D1DFA" w:rsidRPr="00F00223"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0,0</w:t>
            </w:r>
          </w:p>
        </w:tc>
      </w:tr>
      <w:tr w:rsidR="004D1DFA" w:rsidRPr="00F00223" w14:paraId="518BA793" w14:textId="77777777" w:rsidTr="00277007">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397" w:type="dxa"/>
            <w:noWrap/>
            <w:vAlign w:val="center"/>
          </w:tcPr>
          <w:p w14:paraId="4C252588" w14:textId="77777777" w:rsidR="004D1DFA" w:rsidRPr="00F00223" w:rsidRDefault="004D1DFA" w:rsidP="00277007">
            <w:pPr>
              <w:ind w:left="26" w:firstLine="8"/>
              <w:jc w:val="left"/>
              <w:rPr>
                <w:rFonts w:cs="Times New Roman"/>
                <w:b w:val="0"/>
                <w:color w:val="auto"/>
                <w:sz w:val="18"/>
                <w:szCs w:val="18"/>
              </w:rPr>
            </w:pPr>
            <w:r w:rsidRPr="00F00223">
              <w:rPr>
                <w:rFonts w:cs="Times New Roman"/>
                <w:b w:val="0"/>
                <w:color w:val="auto"/>
                <w:sz w:val="18"/>
                <w:szCs w:val="18"/>
              </w:rPr>
              <w:t>Kopējā pamatkapitāla veidošana, pieaugums salīdzināmās cenās, %</w:t>
            </w:r>
          </w:p>
        </w:tc>
        <w:tc>
          <w:tcPr>
            <w:tcW w:w="726" w:type="dxa"/>
            <w:noWrap/>
            <w:tcMar>
              <w:left w:w="57" w:type="dxa"/>
              <w:right w:w="57" w:type="dxa"/>
            </w:tcMar>
            <w:vAlign w:val="center"/>
          </w:tcPr>
          <w:p w14:paraId="481DBA68" w14:textId="77777777" w:rsidR="004D1DFA" w:rsidRPr="00F00223"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6,1</w:t>
            </w:r>
          </w:p>
        </w:tc>
        <w:tc>
          <w:tcPr>
            <w:tcW w:w="727" w:type="dxa"/>
            <w:noWrap/>
            <w:tcMar>
              <w:left w:w="57" w:type="dxa"/>
              <w:right w:w="57" w:type="dxa"/>
            </w:tcMar>
            <w:vAlign w:val="center"/>
          </w:tcPr>
          <w:p w14:paraId="3785061E" w14:textId="77777777" w:rsidR="004D1DFA" w:rsidRPr="00F00223"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6,0</w:t>
            </w:r>
          </w:p>
        </w:tc>
        <w:tc>
          <w:tcPr>
            <w:tcW w:w="726" w:type="dxa"/>
            <w:noWrap/>
            <w:tcMar>
              <w:left w:w="57" w:type="dxa"/>
              <w:right w:w="57" w:type="dxa"/>
            </w:tcMar>
            <w:vAlign w:val="center"/>
          </w:tcPr>
          <w:p w14:paraId="05487AAE" w14:textId="77777777" w:rsidR="004D1DFA" w:rsidRPr="00F00223"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5,0</w:t>
            </w:r>
          </w:p>
        </w:tc>
        <w:tc>
          <w:tcPr>
            <w:tcW w:w="727" w:type="dxa"/>
            <w:tcBorders>
              <w:right w:val="double" w:sz="4" w:space="0" w:color="9CC2E5" w:themeColor="accent1" w:themeTint="99"/>
            </w:tcBorders>
            <w:noWrap/>
            <w:tcMar>
              <w:left w:w="57" w:type="dxa"/>
              <w:right w:w="57" w:type="dxa"/>
            </w:tcMar>
            <w:vAlign w:val="center"/>
          </w:tcPr>
          <w:p w14:paraId="48970727" w14:textId="77777777" w:rsidR="004D1DFA" w:rsidRPr="00F00223"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5,0</w:t>
            </w:r>
          </w:p>
        </w:tc>
        <w:tc>
          <w:tcPr>
            <w:tcW w:w="726" w:type="dxa"/>
            <w:tcBorders>
              <w:left w:val="double" w:sz="4" w:space="0" w:color="9CC2E5" w:themeColor="accent1" w:themeTint="99"/>
            </w:tcBorders>
            <w:noWrap/>
            <w:tcMar>
              <w:left w:w="57" w:type="dxa"/>
              <w:right w:w="57" w:type="dxa"/>
            </w:tcMar>
            <w:vAlign w:val="center"/>
          </w:tcPr>
          <w:p w14:paraId="64FA47DF" w14:textId="77777777" w:rsidR="004D1DFA" w:rsidRPr="00F00223"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5,0</w:t>
            </w:r>
          </w:p>
        </w:tc>
        <w:tc>
          <w:tcPr>
            <w:tcW w:w="727" w:type="dxa"/>
            <w:noWrap/>
            <w:tcMar>
              <w:left w:w="57" w:type="dxa"/>
              <w:right w:w="57" w:type="dxa"/>
            </w:tcMar>
            <w:vAlign w:val="center"/>
          </w:tcPr>
          <w:p w14:paraId="70A414A5" w14:textId="77777777" w:rsidR="004D1DFA" w:rsidRPr="00F00223"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1,1</w:t>
            </w:r>
          </w:p>
        </w:tc>
        <w:tc>
          <w:tcPr>
            <w:tcW w:w="726" w:type="dxa"/>
            <w:noWrap/>
            <w:tcMar>
              <w:left w:w="57" w:type="dxa"/>
              <w:right w:w="57" w:type="dxa"/>
            </w:tcMar>
            <w:vAlign w:val="center"/>
          </w:tcPr>
          <w:p w14:paraId="61B8E797" w14:textId="77777777" w:rsidR="004D1DFA" w:rsidRPr="00F00223"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0,0</w:t>
            </w:r>
          </w:p>
        </w:tc>
        <w:tc>
          <w:tcPr>
            <w:tcW w:w="727" w:type="dxa"/>
            <w:noWrap/>
            <w:tcMar>
              <w:left w:w="57" w:type="dxa"/>
              <w:right w:w="57" w:type="dxa"/>
            </w:tcMar>
            <w:vAlign w:val="center"/>
          </w:tcPr>
          <w:p w14:paraId="0D996A32" w14:textId="77777777" w:rsidR="004D1DFA" w:rsidRPr="00F00223"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0,0</w:t>
            </w:r>
          </w:p>
        </w:tc>
      </w:tr>
      <w:tr w:rsidR="004D1DFA" w:rsidRPr="00F00223" w14:paraId="2889AB1D" w14:textId="77777777" w:rsidTr="00277007">
        <w:trPr>
          <w:trHeight w:val="340"/>
          <w:jc w:val="center"/>
        </w:trPr>
        <w:tc>
          <w:tcPr>
            <w:cnfStyle w:val="001000000000" w:firstRow="0" w:lastRow="0" w:firstColumn="1" w:lastColumn="0" w:oddVBand="0" w:evenVBand="0" w:oddHBand="0" w:evenHBand="0" w:firstRowFirstColumn="0" w:firstRowLastColumn="0" w:lastRowFirstColumn="0" w:lastRowLastColumn="0"/>
            <w:tcW w:w="3397" w:type="dxa"/>
            <w:noWrap/>
            <w:vAlign w:val="center"/>
          </w:tcPr>
          <w:p w14:paraId="75A8A112" w14:textId="77777777" w:rsidR="004D1DFA" w:rsidRPr="00F00223" w:rsidRDefault="004D1DFA" w:rsidP="00277007">
            <w:pPr>
              <w:ind w:left="26" w:firstLine="8"/>
              <w:jc w:val="left"/>
              <w:rPr>
                <w:rFonts w:cs="Times New Roman"/>
                <w:b w:val="0"/>
                <w:color w:val="auto"/>
                <w:sz w:val="18"/>
                <w:szCs w:val="18"/>
              </w:rPr>
            </w:pPr>
            <w:r w:rsidRPr="00F00223">
              <w:rPr>
                <w:rFonts w:cs="Times New Roman"/>
                <w:b w:val="0"/>
                <w:color w:val="auto"/>
                <w:sz w:val="18"/>
                <w:szCs w:val="18"/>
              </w:rPr>
              <w:t>Preču un pakalpojumu eksports, pieaugums salīdzināmās cenās, %</w:t>
            </w:r>
          </w:p>
        </w:tc>
        <w:tc>
          <w:tcPr>
            <w:tcW w:w="726" w:type="dxa"/>
            <w:noWrap/>
            <w:tcMar>
              <w:left w:w="57" w:type="dxa"/>
              <w:right w:w="57" w:type="dxa"/>
            </w:tcMar>
            <w:vAlign w:val="center"/>
          </w:tcPr>
          <w:p w14:paraId="6138143E" w14:textId="77777777" w:rsidR="004D1DFA" w:rsidRPr="00F00223"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3,2</w:t>
            </w:r>
          </w:p>
        </w:tc>
        <w:tc>
          <w:tcPr>
            <w:tcW w:w="727" w:type="dxa"/>
            <w:noWrap/>
            <w:tcMar>
              <w:left w:w="57" w:type="dxa"/>
              <w:right w:w="57" w:type="dxa"/>
            </w:tcMar>
            <w:vAlign w:val="center"/>
          </w:tcPr>
          <w:p w14:paraId="3F6D6D29" w14:textId="77777777" w:rsidR="004D1DFA" w:rsidRPr="00F00223"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6,9</w:t>
            </w:r>
          </w:p>
        </w:tc>
        <w:tc>
          <w:tcPr>
            <w:tcW w:w="726" w:type="dxa"/>
            <w:noWrap/>
            <w:tcMar>
              <w:left w:w="57" w:type="dxa"/>
              <w:right w:w="57" w:type="dxa"/>
            </w:tcMar>
            <w:vAlign w:val="center"/>
          </w:tcPr>
          <w:p w14:paraId="6401812E" w14:textId="77777777" w:rsidR="004D1DFA" w:rsidRPr="00F00223"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5,2</w:t>
            </w:r>
          </w:p>
        </w:tc>
        <w:tc>
          <w:tcPr>
            <w:tcW w:w="727" w:type="dxa"/>
            <w:tcBorders>
              <w:right w:val="double" w:sz="4" w:space="0" w:color="9CC2E5" w:themeColor="accent1" w:themeTint="99"/>
            </w:tcBorders>
            <w:noWrap/>
            <w:tcMar>
              <w:left w:w="57" w:type="dxa"/>
              <w:right w:w="57" w:type="dxa"/>
            </w:tcMar>
            <w:vAlign w:val="center"/>
          </w:tcPr>
          <w:p w14:paraId="28C59FE6" w14:textId="77777777" w:rsidR="004D1DFA" w:rsidRPr="00F00223"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5,0</w:t>
            </w:r>
          </w:p>
        </w:tc>
        <w:tc>
          <w:tcPr>
            <w:tcW w:w="726" w:type="dxa"/>
            <w:tcBorders>
              <w:left w:val="double" w:sz="4" w:space="0" w:color="9CC2E5" w:themeColor="accent1" w:themeTint="99"/>
            </w:tcBorders>
            <w:noWrap/>
            <w:tcMar>
              <w:left w:w="57" w:type="dxa"/>
              <w:right w:w="57" w:type="dxa"/>
            </w:tcMar>
            <w:vAlign w:val="center"/>
          </w:tcPr>
          <w:p w14:paraId="4093FA65" w14:textId="77777777" w:rsidR="004D1DFA" w:rsidRPr="00F00223"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3,2</w:t>
            </w:r>
          </w:p>
        </w:tc>
        <w:tc>
          <w:tcPr>
            <w:tcW w:w="727" w:type="dxa"/>
            <w:noWrap/>
            <w:tcMar>
              <w:left w:w="57" w:type="dxa"/>
              <w:right w:w="57" w:type="dxa"/>
            </w:tcMar>
            <w:vAlign w:val="center"/>
          </w:tcPr>
          <w:p w14:paraId="07F9C53E" w14:textId="77777777" w:rsidR="004D1DFA" w:rsidRPr="00F00223"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2,5</w:t>
            </w:r>
          </w:p>
        </w:tc>
        <w:tc>
          <w:tcPr>
            <w:tcW w:w="726" w:type="dxa"/>
            <w:noWrap/>
            <w:tcMar>
              <w:left w:w="57" w:type="dxa"/>
              <w:right w:w="57" w:type="dxa"/>
            </w:tcMar>
            <w:vAlign w:val="center"/>
          </w:tcPr>
          <w:p w14:paraId="1410991E" w14:textId="77777777" w:rsidR="004D1DFA" w:rsidRPr="00F00223"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0,6</w:t>
            </w:r>
          </w:p>
        </w:tc>
        <w:tc>
          <w:tcPr>
            <w:tcW w:w="727" w:type="dxa"/>
            <w:noWrap/>
            <w:tcMar>
              <w:left w:w="57" w:type="dxa"/>
              <w:right w:w="57" w:type="dxa"/>
            </w:tcMar>
            <w:vAlign w:val="center"/>
          </w:tcPr>
          <w:p w14:paraId="5BCED336" w14:textId="77777777" w:rsidR="004D1DFA" w:rsidRPr="00F00223"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0,0</w:t>
            </w:r>
          </w:p>
        </w:tc>
      </w:tr>
      <w:tr w:rsidR="004D1DFA" w:rsidRPr="00F00223" w14:paraId="6233745A" w14:textId="77777777" w:rsidTr="00277007">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397" w:type="dxa"/>
            <w:noWrap/>
            <w:vAlign w:val="center"/>
          </w:tcPr>
          <w:p w14:paraId="447651F9" w14:textId="77777777" w:rsidR="004D1DFA" w:rsidRPr="00F00223" w:rsidRDefault="004D1DFA" w:rsidP="00277007">
            <w:pPr>
              <w:ind w:left="26" w:firstLine="8"/>
              <w:jc w:val="left"/>
              <w:rPr>
                <w:rFonts w:cs="Times New Roman"/>
                <w:b w:val="0"/>
                <w:color w:val="auto"/>
                <w:sz w:val="18"/>
                <w:szCs w:val="18"/>
              </w:rPr>
            </w:pPr>
            <w:r w:rsidRPr="00F00223">
              <w:rPr>
                <w:rFonts w:cs="Times New Roman"/>
                <w:b w:val="0"/>
                <w:color w:val="auto"/>
                <w:sz w:val="18"/>
                <w:szCs w:val="18"/>
              </w:rPr>
              <w:t>Preču un pakalpojumu imports, pieaugums salīdzināmās cenās, %</w:t>
            </w:r>
          </w:p>
        </w:tc>
        <w:tc>
          <w:tcPr>
            <w:tcW w:w="726" w:type="dxa"/>
            <w:noWrap/>
            <w:tcMar>
              <w:left w:w="57" w:type="dxa"/>
              <w:right w:w="57" w:type="dxa"/>
            </w:tcMar>
            <w:vAlign w:val="center"/>
          </w:tcPr>
          <w:p w14:paraId="0A33A084" w14:textId="77777777" w:rsidR="004D1DFA" w:rsidRPr="00F00223"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3,6</w:t>
            </w:r>
          </w:p>
        </w:tc>
        <w:tc>
          <w:tcPr>
            <w:tcW w:w="727" w:type="dxa"/>
            <w:noWrap/>
            <w:tcMar>
              <w:left w:w="57" w:type="dxa"/>
              <w:right w:w="57" w:type="dxa"/>
            </w:tcMar>
            <w:vAlign w:val="center"/>
          </w:tcPr>
          <w:p w14:paraId="79A1A05F" w14:textId="77777777" w:rsidR="004D1DFA" w:rsidRPr="00F00223"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5,5</w:t>
            </w:r>
          </w:p>
        </w:tc>
        <w:tc>
          <w:tcPr>
            <w:tcW w:w="726" w:type="dxa"/>
            <w:noWrap/>
            <w:tcMar>
              <w:left w:w="57" w:type="dxa"/>
              <w:right w:w="57" w:type="dxa"/>
            </w:tcMar>
            <w:vAlign w:val="center"/>
          </w:tcPr>
          <w:p w14:paraId="48925419" w14:textId="77777777" w:rsidR="004D1DFA" w:rsidRPr="00F00223"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5,3</w:t>
            </w:r>
          </w:p>
        </w:tc>
        <w:tc>
          <w:tcPr>
            <w:tcW w:w="727" w:type="dxa"/>
            <w:tcBorders>
              <w:right w:val="double" w:sz="4" w:space="0" w:color="9CC2E5" w:themeColor="accent1" w:themeTint="99"/>
            </w:tcBorders>
            <w:noWrap/>
            <w:tcMar>
              <w:left w:w="57" w:type="dxa"/>
              <w:right w:w="57" w:type="dxa"/>
            </w:tcMar>
            <w:vAlign w:val="center"/>
          </w:tcPr>
          <w:p w14:paraId="30B11907" w14:textId="77777777" w:rsidR="004D1DFA" w:rsidRPr="00F00223"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5,0</w:t>
            </w:r>
          </w:p>
        </w:tc>
        <w:tc>
          <w:tcPr>
            <w:tcW w:w="726" w:type="dxa"/>
            <w:tcBorders>
              <w:left w:val="double" w:sz="4" w:space="0" w:color="9CC2E5" w:themeColor="accent1" w:themeTint="99"/>
            </w:tcBorders>
            <w:noWrap/>
            <w:tcMar>
              <w:left w:w="57" w:type="dxa"/>
              <w:right w:w="57" w:type="dxa"/>
            </w:tcMar>
            <w:vAlign w:val="center"/>
          </w:tcPr>
          <w:p w14:paraId="1519E222" w14:textId="77777777" w:rsidR="004D1DFA" w:rsidRPr="00F00223"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3,1</w:t>
            </w:r>
          </w:p>
        </w:tc>
        <w:tc>
          <w:tcPr>
            <w:tcW w:w="727" w:type="dxa"/>
            <w:noWrap/>
            <w:tcMar>
              <w:left w:w="57" w:type="dxa"/>
              <w:right w:w="57" w:type="dxa"/>
            </w:tcMar>
            <w:vAlign w:val="center"/>
          </w:tcPr>
          <w:p w14:paraId="1D04FBDC" w14:textId="77777777" w:rsidR="004D1DFA" w:rsidRPr="00F00223"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1,6</w:t>
            </w:r>
          </w:p>
        </w:tc>
        <w:tc>
          <w:tcPr>
            <w:tcW w:w="726" w:type="dxa"/>
            <w:noWrap/>
            <w:tcMar>
              <w:left w:w="57" w:type="dxa"/>
              <w:right w:w="57" w:type="dxa"/>
            </w:tcMar>
            <w:vAlign w:val="center"/>
          </w:tcPr>
          <w:p w14:paraId="633EE1AA" w14:textId="77777777" w:rsidR="004D1DFA" w:rsidRPr="00F00223"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0,6</w:t>
            </w:r>
          </w:p>
        </w:tc>
        <w:tc>
          <w:tcPr>
            <w:tcW w:w="727" w:type="dxa"/>
            <w:noWrap/>
            <w:tcMar>
              <w:left w:w="57" w:type="dxa"/>
              <w:right w:w="57" w:type="dxa"/>
            </w:tcMar>
            <w:vAlign w:val="center"/>
          </w:tcPr>
          <w:p w14:paraId="7E64202E" w14:textId="77777777" w:rsidR="004D1DFA" w:rsidRPr="00F00223"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0,0</w:t>
            </w:r>
          </w:p>
        </w:tc>
      </w:tr>
      <w:tr w:rsidR="004D1DFA" w:rsidRPr="00F00223" w14:paraId="26080030" w14:textId="77777777" w:rsidTr="00277007">
        <w:trPr>
          <w:trHeight w:val="340"/>
          <w:jc w:val="center"/>
        </w:trPr>
        <w:tc>
          <w:tcPr>
            <w:cnfStyle w:val="001000000000" w:firstRow="0" w:lastRow="0" w:firstColumn="1" w:lastColumn="0" w:oddVBand="0" w:evenVBand="0" w:oddHBand="0" w:evenHBand="0" w:firstRowFirstColumn="0" w:firstRowLastColumn="0" w:lastRowFirstColumn="0" w:lastRowLastColumn="0"/>
            <w:tcW w:w="3397" w:type="dxa"/>
            <w:noWrap/>
            <w:vAlign w:val="center"/>
            <w:hideMark/>
          </w:tcPr>
          <w:p w14:paraId="6B039369" w14:textId="77777777" w:rsidR="004D1DFA" w:rsidRPr="00F00223" w:rsidRDefault="004D1DFA" w:rsidP="00277007">
            <w:pPr>
              <w:ind w:firstLine="8"/>
              <w:jc w:val="left"/>
              <w:rPr>
                <w:rFonts w:cs="Times New Roman"/>
                <w:b w:val="0"/>
                <w:color w:val="auto"/>
                <w:sz w:val="18"/>
                <w:szCs w:val="18"/>
              </w:rPr>
            </w:pPr>
            <w:r w:rsidRPr="00F00223">
              <w:rPr>
                <w:rFonts w:cs="Times New Roman"/>
                <w:b w:val="0"/>
                <w:color w:val="auto"/>
                <w:sz w:val="18"/>
                <w:szCs w:val="18"/>
              </w:rPr>
              <w:t>Vidējās darba samaksas tautsaimniecībā pieaugums faktiskajās cenās, %</w:t>
            </w:r>
          </w:p>
        </w:tc>
        <w:tc>
          <w:tcPr>
            <w:tcW w:w="726" w:type="dxa"/>
            <w:noWrap/>
            <w:tcMar>
              <w:left w:w="57" w:type="dxa"/>
              <w:right w:w="57" w:type="dxa"/>
            </w:tcMar>
            <w:vAlign w:val="center"/>
          </w:tcPr>
          <w:p w14:paraId="033B0082" w14:textId="77777777" w:rsidR="004D1DFA" w:rsidRPr="00F00223"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9,0</w:t>
            </w:r>
          </w:p>
        </w:tc>
        <w:tc>
          <w:tcPr>
            <w:tcW w:w="727" w:type="dxa"/>
            <w:noWrap/>
            <w:tcMar>
              <w:left w:w="57" w:type="dxa"/>
              <w:right w:w="57" w:type="dxa"/>
            </w:tcMar>
            <w:vAlign w:val="center"/>
          </w:tcPr>
          <w:p w14:paraId="098F3B4B" w14:textId="77777777" w:rsidR="004D1DFA" w:rsidRPr="00F00223"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7,0</w:t>
            </w:r>
          </w:p>
        </w:tc>
        <w:tc>
          <w:tcPr>
            <w:tcW w:w="726" w:type="dxa"/>
            <w:noWrap/>
            <w:tcMar>
              <w:left w:w="57" w:type="dxa"/>
              <w:right w:w="57" w:type="dxa"/>
            </w:tcMar>
            <w:vAlign w:val="center"/>
          </w:tcPr>
          <w:p w14:paraId="56E26B56" w14:textId="77777777" w:rsidR="004D1DFA" w:rsidRPr="00F00223"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4,5</w:t>
            </w:r>
          </w:p>
        </w:tc>
        <w:tc>
          <w:tcPr>
            <w:tcW w:w="727" w:type="dxa"/>
            <w:tcBorders>
              <w:right w:val="double" w:sz="4" w:space="0" w:color="9CC2E5" w:themeColor="accent1" w:themeTint="99"/>
            </w:tcBorders>
            <w:noWrap/>
            <w:tcMar>
              <w:left w:w="57" w:type="dxa"/>
              <w:right w:w="57" w:type="dxa"/>
            </w:tcMar>
            <w:vAlign w:val="center"/>
          </w:tcPr>
          <w:p w14:paraId="473CB0D4" w14:textId="77777777" w:rsidR="004D1DFA" w:rsidRPr="00F00223"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4,0</w:t>
            </w:r>
          </w:p>
        </w:tc>
        <w:tc>
          <w:tcPr>
            <w:tcW w:w="726" w:type="dxa"/>
            <w:tcBorders>
              <w:left w:val="double" w:sz="4" w:space="0" w:color="9CC2E5" w:themeColor="accent1" w:themeTint="99"/>
            </w:tcBorders>
            <w:noWrap/>
            <w:tcMar>
              <w:left w:w="57" w:type="dxa"/>
              <w:right w:w="57" w:type="dxa"/>
            </w:tcMar>
            <w:vAlign w:val="center"/>
          </w:tcPr>
          <w:p w14:paraId="7E588376" w14:textId="77777777" w:rsidR="004D1DFA" w:rsidRPr="00F00223"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0,5</w:t>
            </w:r>
          </w:p>
        </w:tc>
        <w:tc>
          <w:tcPr>
            <w:tcW w:w="727" w:type="dxa"/>
            <w:noWrap/>
            <w:tcMar>
              <w:left w:w="57" w:type="dxa"/>
              <w:right w:w="57" w:type="dxa"/>
            </w:tcMar>
            <w:vAlign w:val="center"/>
          </w:tcPr>
          <w:p w14:paraId="24B84CE4" w14:textId="77777777" w:rsidR="004D1DFA" w:rsidRPr="00F00223"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0,5</w:t>
            </w:r>
          </w:p>
        </w:tc>
        <w:tc>
          <w:tcPr>
            <w:tcW w:w="726" w:type="dxa"/>
            <w:noWrap/>
            <w:tcMar>
              <w:left w:w="57" w:type="dxa"/>
              <w:right w:w="57" w:type="dxa"/>
            </w:tcMar>
            <w:vAlign w:val="center"/>
          </w:tcPr>
          <w:p w14:paraId="4D6A8697" w14:textId="77777777" w:rsidR="004D1DFA" w:rsidRPr="00F00223"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-0,5</w:t>
            </w:r>
          </w:p>
        </w:tc>
        <w:tc>
          <w:tcPr>
            <w:tcW w:w="727" w:type="dxa"/>
            <w:noWrap/>
            <w:tcMar>
              <w:left w:w="57" w:type="dxa"/>
              <w:right w:w="57" w:type="dxa"/>
            </w:tcMar>
            <w:vAlign w:val="center"/>
          </w:tcPr>
          <w:p w14:paraId="0ABA3ECD" w14:textId="77777777" w:rsidR="004D1DFA" w:rsidRPr="00F00223"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0,0</w:t>
            </w:r>
          </w:p>
        </w:tc>
      </w:tr>
      <w:tr w:rsidR="004D1DFA" w:rsidRPr="00F00223" w14:paraId="75F33FAB" w14:textId="77777777" w:rsidTr="00277007">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397" w:type="dxa"/>
            <w:noWrap/>
            <w:vAlign w:val="center"/>
            <w:hideMark/>
          </w:tcPr>
          <w:p w14:paraId="1BFBF061" w14:textId="77777777" w:rsidR="004D1DFA" w:rsidRPr="00F00223" w:rsidRDefault="004D1DFA" w:rsidP="00277007">
            <w:pPr>
              <w:ind w:firstLine="8"/>
              <w:jc w:val="left"/>
              <w:rPr>
                <w:rFonts w:cs="Times New Roman"/>
                <w:b w:val="0"/>
                <w:color w:val="auto"/>
                <w:sz w:val="18"/>
                <w:szCs w:val="18"/>
              </w:rPr>
            </w:pPr>
            <w:r w:rsidRPr="00F00223">
              <w:rPr>
                <w:rFonts w:cs="Times New Roman"/>
                <w:b w:val="0"/>
                <w:color w:val="auto"/>
                <w:sz w:val="18"/>
                <w:szCs w:val="18"/>
              </w:rPr>
              <w:t>Nodarbinātības pieaugums, %</w:t>
            </w:r>
          </w:p>
        </w:tc>
        <w:tc>
          <w:tcPr>
            <w:tcW w:w="726" w:type="dxa"/>
            <w:noWrap/>
            <w:tcMar>
              <w:left w:w="57" w:type="dxa"/>
              <w:right w:w="57" w:type="dxa"/>
            </w:tcMar>
            <w:vAlign w:val="center"/>
          </w:tcPr>
          <w:p w14:paraId="2B4182E5" w14:textId="77777777" w:rsidR="004D1DFA" w:rsidRPr="00F00223"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0,1</w:t>
            </w:r>
          </w:p>
        </w:tc>
        <w:tc>
          <w:tcPr>
            <w:tcW w:w="727" w:type="dxa"/>
            <w:noWrap/>
            <w:tcMar>
              <w:left w:w="57" w:type="dxa"/>
              <w:right w:w="57" w:type="dxa"/>
            </w:tcMar>
            <w:vAlign w:val="center"/>
          </w:tcPr>
          <w:p w14:paraId="0B4753E0" w14:textId="77777777" w:rsidR="004D1DFA" w:rsidRPr="00F00223"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-0,1</w:t>
            </w:r>
          </w:p>
        </w:tc>
        <w:tc>
          <w:tcPr>
            <w:tcW w:w="726" w:type="dxa"/>
            <w:noWrap/>
            <w:tcMar>
              <w:left w:w="57" w:type="dxa"/>
              <w:right w:w="57" w:type="dxa"/>
            </w:tcMar>
            <w:vAlign w:val="center"/>
          </w:tcPr>
          <w:p w14:paraId="4A697332" w14:textId="77777777" w:rsidR="004D1DFA" w:rsidRPr="00F00223"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-0,2</w:t>
            </w:r>
          </w:p>
        </w:tc>
        <w:tc>
          <w:tcPr>
            <w:tcW w:w="727" w:type="dxa"/>
            <w:tcBorders>
              <w:right w:val="double" w:sz="4" w:space="0" w:color="9CC2E5" w:themeColor="accent1" w:themeTint="99"/>
            </w:tcBorders>
            <w:noWrap/>
            <w:tcMar>
              <w:left w:w="57" w:type="dxa"/>
              <w:right w:w="57" w:type="dxa"/>
            </w:tcMar>
            <w:vAlign w:val="center"/>
          </w:tcPr>
          <w:p w14:paraId="4A750F31" w14:textId="77777777" w:rsidR="004D1DFA" w:rsidRPr="00F00223"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-0,2</w:t>
            </w:r>
          </w:p>
        </w:tc>
        <w:tc>
          <w:tcPr>
            <w:tcW w:w="726" w:type="dxa"/>
            <w:tcBorders>
              <w:left w:val="double" w:sz="4" w:space="0" w:color="9CC2E5" w:themeColor="accent1" w:themeTint="99"/>
            </w:tcBorders>
            <w:noWrap/>
            <w:tcMar>
              <w:left w:w="57" w:type="dxa"/>
              <w:right w:w="57" w:type="dxa"/>
            </w:tcMar>
            <w:vAlign w:val="center"/>
          </w:tcPr>
          <w:p w14:paraId="07D4B654" w14:textId="77777777" w:rsidR="004D1DFA" w:rsidRPr="00F00223"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0,1</w:t>
            </w:r>
          </w:p>
        </w:tc>
        <w:tc>
          <w:tcPr>
            <w:tcW w:w="727" w:type="dxa"/>
            <w:noWrap/>
            <w:tcMar>
              <w:left w:w="57" w:type="dxa"/>
              <w:right w:w="57" w:type="dxa"/>
            </w:tcMar>
            <w:vAlign w:val="center"/>
          </w:tcPr>
          <w:p w14:paraId="06635ABC" w14:textId="77777777" w:rsidR="004D1DFA" w:rsidRPr="00F00223"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0,1</w:t>
            </w:r>
          </w:p>
        </w:tc>
        <w:tc>
          <w:tcPr>
            <w:tcW w:w="726" w:type="dxa"/>
            <w:noWrap/>
            <w:tcMar>
              <w:left w:w="57" w:type="dxa"/>
              <w:right w:w="57" w:type="dxa"/>
            </w:tcMar>
            <w:vAlign w:val="center"/>
          </w:tcPr>
          <w:p w14:paraId="2C9C83D6" w14:textId="77777777" w:rsidR="004D1DFA" w:rsidRPr="00F00223"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0,1</w:t>
            </w:r>
          </w:p>
        </w:tc>
        <w:tc>
          <w:tcPr>
            <w:tcW w:w="727" w:type="dxa"/>
            <w:noWrap/>
            <w:tcMar>
              <w:left w:w="57" w:type="dxa"/>
              <w:right w:w="57" w:type="dxa"/>
            </w:tcMar>
            <w:vAlign w:val="center"/>
          </w:tcPr>
          <w:p w14:paraId="0B7A82A9" w14:textId="77777777" w:rsidR="004D1DFA" w:rsidRPr="00F00223" w:rsidRDefault="004D1DFA" w:rsidP="00277007">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0,4</w:t>
            </w:r>
          </w:p>
        </w:tc>
      </w:tr>
      <w:tr w:rsidR="004D1DFA" w:rsidRPr="00F00223" w14:paraId="4EE8CECC" w14:textId="77777777" w:rsidTr="00277007">
        <w:trPr>
          <w:trHeight w:val="340"/>
          <w:jc w:val="center"/>
        </w:trPr>
        <w:tc>
          <w:tcPr>
            <w:cnfStyle w:val="001000000000" w:firstRow="0" w:lastRow="0" w:firstColumn="1" w:lastColumn="0" w:oddVBand="0" w:evenVBand="0" w:oddHBand="0" w:evenHBand="0" w:firstRowFirstColumn="0" w:firstRowLastColumn="0" w:lastRowFirstColumn="0" w:lastRowLastColumn="0"/>
            <w:tcW w:w="3397" w:type="dxa"/>
            <w:noWrap/>
            <w:vAlign w:val="center"/>
          </w:tcPr>
          <w:p w14:paraId="0FDE7EC2" w14:textId="77777777" w:rsidR="004D1DFA" w:rsidRPr="00F00223" w:rsidRDefault="004D1DFA" w:rsidP="00277007">
            <w:pPr>
              <w:ind w:firstLine="8"/>
              <w:jc w:val="left"/>
              <w:rPr>
                <w:rFonts w:cs="Times New Roman"/>
                <w:b w:val="0"/>
                <w:color w:val="auto"/>
                <w:sz w:val="18"/>
                <w:szCs w:val="18"/>
              </w:rPr>
            </w:pPr>
            <w:r w:rsidRPr="00F00223">
              <w:rPr>
                <w:rFonts w:cs="Times New Roman"/>
                <w:b w:val="0"/>
                <w:color w:val="auto"/>
                <w:sz w:val="18"/>
                <w:szCs w:val="18"/>
              </w:rPr>
              <w:t>Bezdarba līmenis, %</w:t>
            </w:r>
          </w:p>
        </w:tc>
        <w:tc>
          <w:tcPr>
            <w:tcW w:w="726" w:type="dxa"/>
            <w:noWrap/>
            <w:tcMar>
              <w:left w:w="57" w:type="dxa"/>
              <w:right w:w="57" w:type="dxa"/>
            </w:tcMar>
            <w:vAlign w:val="center"/>
          </w:tcPr>
          <w:p w14:paraId="65B180DC" w14:textId="77777777" w:rsidR="004D1DFA" w:rsidRPr="00F00223"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6,8</w:t>
            </w:r>
          </w:p>
        </w:tc>
        <w:tc>
          <w:tcPr>
            <w:tcW w:w="727" w:type="dxa"/>
            <w:noWrap/>
            <w:tcMar>
              <w:left w:w="57" w:type="dxa"/>
              <w:right w:w="57" w:type="dxa"/>
            </w:tcMar>
            <w:vAlign w:val="center"/>
          </w:tcPr>
          <w:p w14:paraId="65A97473" w14:textId="77777777" w:rsidR="004D1DFA" w:rsidRPr="00F00223"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6,7</w:t>
            </w:r>
          </w:p>
        </w:tc>
        <w:tc>
          <w:tcPr>
            <w:tcW w:w="726" w:type="dxa"/>
            <w:noWrap/>
            <w:tcMar>
              <w:left w:w="57" w:type="dxa"/>
              <w:right w:w="57" w:type="dxa"/>
            </w:tcMar>
            <w:vAlign w:val="center"/>
          </w:tcPr>
          <w:p w14:paraId="30E55BA3" w14:textId="77777777" w:rsidR="004D1DFA" w:rsidRPr="00F00223"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6,1</w:t>
            </w:r>
          </w:p>
        </w:tc>
        <w:tc>
          <w:tcPr>
            <w:tcW w:w="727" w:type="dxa"/>
            <w:tcBorders>
              <w:right w:val="double" w:sz="4" w:space="0" w:color="9CC2E5" w:themeColor="accent1" w:themeTint="99"/>
            </w:tcBorders>
            <w:noWrap/>
            <w:tcMar>
              <w:left w:w="57" w:type="dxa"/>
              <w:right w:w="57" w:type="dxa"/>
            </w:tcMar>
            <w:vAlign w:val="center"/>
          </w:tcPr>
          <w:p w14:paraId="69F9395B" w14:textId="77777777" w:rsidR="004D1DFA" w:rsidRPr="00F00223"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5,7</w:t>
            </w:r>
          </w:p>
        </w:tc>
        <w:tc>
          <w:tcPr>
            <w:tcW w:w="726" w:type="dxa"/>
            <w:tcBorders>
              <w:left w:val="double" w:sz="4" w:space="0" w:color="9CC2E5" w:themeColor="accent1" w:themeTint="99"/>
            </w:tcBorders>
            <w:noWrap/>
            <w:tcMar>
              <w:left w:w="57" w:type="dxa"/>
              <w:right w:w="57" w:type="dxa"/>
            </w:tcMar>
            <w:vAlign w:val="center"/>
          </w:tcPr>
          <w:p w14:paraId="191A3A4B" w14:textId="77777777" w:rsidR="004D1DFA" w:rsidRPr="00F00223"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-0,4</w:t>
            </w:r>
          </w:p>
        </w:tc>
        <w:tc>
          <w:tcPr>
            <w:tcW w:w="727" w:type="dxa"/>
            <w:noWrap/>
            <w:tcMar>
              <w:left w:w="57" w:type="dxa"/>
              <w:right w:w="57" w:type="dxa"/>
            </w:tcMar>
            <w:vAlign w:val="center"/>
          </w:tcPr>
          <w:p w14:paraId="1E3B07BF" w14:textId="77777777" w:rsidR="004D1DFA" w:rsidRPr="00F00223"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-0,2</w:t>
            </w:r>
          </w:p>
        </w:tc>
        <w:tc>
          <w:tcPr>
            <w:tcW w:w="726" w:type="dxa"/>
            <w:noWrap/>
            <w:tcMar>
              <w:left w:w="57" w:type="dxa"/>
              <w:right w:w="57" w:type="dxa"/>
            </w:tcMar>
            <w:vAlign w:val="center"/>
          </w:tcPr>
          <w:p w14:paraId="59A4DC36" w14:textId="77777777" w:rsidR="004D1DFA" w:rsidRPr="00F00223"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-0,3</w:t>
            </w:r>
          </w:p>
        </w:tc>
        <w:tc>
          <w:tcPr>
            <w:tcW w:w="727" w:type="dxa"/>
            <w:noWrap/>
            <w:tcMar>
              <w:left w:w="57" w:type="dxa"/>
              <w:right w:w="57" w:type="dxa"/>
            </w:tcMar>
            <w:vAlign w:val="center"/>
          </w:tcPr>
          <w:p w14:paraId="24A0FBCE" w14:textId="77777777" w:rsidR="004D1DFA" w:rsidRPr="00F00223" w:rsidRDefault="004D1DFA" w:rsidP="00277007">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F00223">
              <w:rPr>
                <w:rFonts w:cs="Times New Roman"/>
                <w:color w:val="000000"/>
                <w:sz w:val="18"/>
                <w:szCs w:val="18"/>
              </w:rPr>
              <w:t>-0,6</w:t>
            </w:r>
          </w:p>
        </w:tc>
      </w:tr>
    </w:tbl>
    <w:p w14:paraId="54525474" w14:textId="77777777" w:rsidR="004D1DFA" w:rsidRPr="004D1DFA" w:rsidRDefault="004D1DFA" w:rsidP="004D1DFA">
      <w:pPr>
        <w:autoSpaceDE w:val="0"/>
        <w:autoSpaceDN w:val="0"/>
        <w:adjustRightInd w:val="0"/>
        <w:rPr>
          <w:rFonts w:eastAsia="Times New Roman" w:cs="Times New Roman"/>
          <w:sz w:val="24"/>
          <w:highlight w:val="yellow"/>
          <w:lang w:eastAsia="lv-LV"/>
        </w:rPr>
      </w:pPr>
    </w:p>
    <w:p w14:paraId="4CBEAADA" w14:textId="6134F1FD" w:rsidR="00E510C8" w:rsidRPr="00636020" w:rsidRDefault="00E510C8" w:rsidP="00E510C8">
      <w:pPr>
        <w:autoSpaceDE w:val="0"/>
        <w:autoSpaceDN w:val="0"/>
        <w:adjustRightInd w:val="0"/>
        <w:spacing w:after="120"/>
        <w:rPr>
          <w:rFonts w:eastAsia="Times New Roman" w:cs="Times New Roman"/>
          <w:b/>
          <w:color w:val="000000"/>
          <w:sz w:val="24"/>
          <w:szCs w:val="24"/>
          <w:lang w:eastAsia="lv-LV"/>
        </w:rPr>
      </w:pPr>
      <w:r w:rsidRPr="00636020">
        <w:rPr>
          <w:rFonts w:eastAsia="Times New Roman" w:cs="Times New Roman"/>
          <w:b/>
          <w:color w:val="000000"/>
          <w:sz w:val="24"/>
          <w:szCs w:val="24"/>
          <w:lang w:eastAsia="lv-LV"/>
        </w:rPr>
        <w:t>Ietekme uz vispārējās valdības budžetu</w:t>
      </w:r>
    </w:p>
    <w:p w14:paraId="49AD3D25" w14:textId="015CA354" w:rsidR="00E510C8" w:rsidRPr="00636020" w:rsidRDefault="00E510C8" w:rsidP="00E510C8">
      <w:pPr>
        <w:autoSpaceDE w:val="0"/>
        <w:autoSpaceDN w:val="0"/>
        <w:adjustRightInd w:val="0"/>
        <w:spacing w:after="120"/>
        <w:rPr>
          <w:rFonts w:eastAsia="Times New Roman" w:cs="Times New Roman"/>
          <w:color w:val="000000"/>
          <w:sz w:val="24"/>
          <w:szCs w:val="24"/>
          <w:lang w:eastAsia="lv-LV"/>
        </w:rPr>
      </w:pPr>
      <w:r w:rsidRPr="00636020">
        <w:rPr>
          <w:rFonts w:eastAsia="Times New Roman" w:cs="Times New Roman"/>
          <w:color w:val="000000"/>
          <w:sz w:val="24"/>
          <w:szCs w:val="24"/>
          <w:lang w:eastAsia="lv-LV"/>
        </w:rPr>
        <w:t xml:space="preserve">Īstenojoties optimistiskajam scenārijam, kurā palielinās nodokļu un ne-nodokļu ieņēmumi, kā arī samazinās pabalstu izdevumi valsts speciālajā budžetā un valsts pamatbudžetā un procentu izdevumi valsts parāda finansēšanai, vispārējās valdības budžeta bilance uzlabotos. Salīdzinājumā ar bāzes scenāriju optimistiskā scenārija gadījumā vispārējās valdības budžeta deficīts 2023. gadā samazinātos par 97,8 milj. </w:t>
      </w:r>
      <w:proofErr w:type="spellStart"/>
      <w:r w:rsidRPr="00636020">
        <w:rPr>
          <w:rFonts w:eastAsia="Times New Roman" w:cs="Times New Roman"/>
          <w:i/>
          <w:color w:val="000000"/>
          <w:sz w:val="24"/>
          <w:szCs w:val="24"/>
          <w:lang w:eastAsia="lv-LV"/>
        </w:rPr>
        <w:t>euro</w:t>
      </w:r>
      <w:proofErr w:type="spellEnd"/>
      <w:r w:rsidRPr="00636020">
        <w:rPr>
          <w:rFonts w:eastAsia="Times New Roman" w:cs="Times New Roman"/>
          <w:color w:val="000000"/>
          <w:sz w:val="24"/>
          <w:szCs w:val="24"/>
          <w:lang w:eastAsia="lv-LV"/>
        </w:rPr>
        <w:t xml:space="preserve"> jeb 0,2 procentpunktiem no IKP. Savukārt 2024., 2025. un 2026. gadā vispārējās valdības budžeta bilance uzlabotos ik gadu par 0,5 procentpunktiem no IKP salīdzinājumā ar bāzes scenāriju, jeb attiecīgi par 251,1 milj. </w:t>
      </w:r>
      <w:proofErr w:type="spellStart"/>
      <w:r w:rsidRPr="00636020">
        <w:rPr>
          <w:rFonts w:eastAsia="Times New Roman" w:cs="Times New Roman"/>
          <w:i/>
          <w:color w:val="000000"/>
          <w:sz w:val="24"/>
          <w:szCs w:val="24"/>
          <w:lang w:eastAsia="lv-LV"/>
        </w:rPr>
        <w:t>euro</w:t>
      </w:r>
      <w:proofErr w:type="spellEnd"/>
      <w:r w:rsidRPr="00636020">
        <w:rPr>
          <w:rFonts w:eastAsia="Times New Roman" w:cs="Times New Roman"/>
          <w:color w:val="000000"/>
          <w:sz w:val="24"/>
          <w:szCs w:val="24"/>
          <w:lang w:eastAsia="lv-LV"/>
        </w:rPr>
        <w:t xml:space="preserve">, 251,8 milj. </w:t>
      </w:r>
      <w:proofErr w:type="spellStart"/>
      <w:r w:rsidRPr="00636020">
        <w:rPr>
          <w:rFonts w:eastAsia="Times New Roman" w:cs="Times New Roman"/>
          <w:i/>
          <w:color w:val="000000"/>
          <w:sz w:val="24"/>
          <w:szCs w:val="24"/>
          <w:lang w:eastAsia="lv-LV"/>
        </w:rPr>
        <w:t>euro</w:t>
      </w:r>
      <w:proofErr w:type="spellEnd"/>
      <w:r w:rsidRPr="00636020">
        <w:rPr>
          <w:rFonts w:eastAsia="Times New Roman" w:cs="Times New Roman"/>
          <w:color w:val="000000"/>
          <w:sz w:val="24"/>
          <w:szCs w:val="24"/>
          <w:lang w:eastAsia="lv-LV"/>
        </w:rPr>
        <w:t xml:space="preserve"> un 276,5 milj. </w:t>
      </w:r>
      <w:proofErr w:type="spellStart"/>
      <w:r w:rsidRPr="00636020">
        <w:rPr>
          <w:rFonts w:eastAsia="Times New Roman" w:cs="Times New Roman"/>
          <w:i/>
          <w:color w:val="000000"/>
          <w:sz w:val="24"/>
          <w:szCs w:val="24"/>
          <w:lang w:eastAsia="lv-LV"/>
        </w:rPr>
        <w:t>euro</w:t>
      </w:r>
      <w:proofErr w:type="spellEnd"/>
      <w:r w:rsidRPr="00636020">
        <w:rPr>
          <w:rFonts w:eastAsia="Times New Roman" w:cs="Times New Roman"/>
          <w:color w:val="000000"/>
          <w:sz w:val="24"/>
          <w:szCs w:val="24"/>
          <w:lang w:eastAsia="lv-LV"/>
        </w:rPr>
        <w:t xml:space="preserve">. </w:t>
      </w:r>
    </w:p>
    <w:p w14:paraId="160F8704" w14:textId="2DFD0111" w:rsidR="00E510C8" w:rsidRPr="00636020" w:rsidRDefault="00E510C8" w:rsidP="00E510C8">
      <w:pPr>
        <w:spacing w:before="120" w:after="60"/>
        <w:ind w:firstLine="0"/>
        <w:jc w:val="right"/>
        <w:rPr>
          <w:rFonts w:eastAsia="Times New Roman" w:cs="Times New Roman"/>
          <w:b/>
          <w:sz w:val="24"/>
          <w:szCs w:val="24"/>
        </w:rPr>
      </w:pPr>
      <w:r w:rsidRPr="00636020">
        <w:rPr>
          <w:rFonts w:eastAsia="Times New Roman" w:cs="Times New Roman"/>
          <w:b/>
          <w:sz w:val="24"/>
          <w:szCs w:val="24"/>
        </w:rPr>
        <w:t>4.4.</w:t>
      </w:r>
      <w:r w:rsidR="00167099" w:rsidRPr="00636020">
        <w:rPr>
          <w:rFonts w:eastAsia="Times New Roman" w:cs="Times New Roman"/>
          <w:b/>
          <w:sz w:val="24"/>
          <w:szCs w:val="24"/>
        </w:rPr>
        <w:t xml:space="preserve"> </w:t>
      </w:r>
      <w:r w:rsidRPr="00636020">
        <w:rPr>
          <w:rFonts w:eastAsia="Times New Roman" w:cs="Times New Roman"/>
          <w:b/>
          <w:sz w:val="24"/>
          <w:szCs w:val="24"/>
        </w:rPr>
        <w:t xml:space="preserve">tabula. Optimistiskā scenārija ietekme uz vispārējās valdības budžetu, </w:t>
      </w:r>
      <w:r w:rsidRPr="00636020">
        <w:rPr>
          <w:rFonts w:eastAsia="Times New Roman" w:cs="Times New Roman"/>
          <w:b/>
          <w:noProof/>
          <w:sz w:val="24"/>
          <w:szCs w:val="24"/>
        </w:rPr>
        <w:t xml:space="preserve">milj. </w:t>
      </w:r>
      <w:r w:rsidRPr="00636020">
        <w:rPr>
          <w:rFonts w:eastAsia="Times New Roman" w:cs="Times New Roman"/>
          <w:b/>
          <w:i/>
          <w:noProof/>
          <w:sz w:val="24"/>
          <w:szCs w:val="24"/>
        </w:rPr>
        <w:t>euro</w:t>
      </w:r>
    </w:p>
    <w:tbl>
      <w:tblPr>
        <w:tblW w:w="9073" w:type="dxa"/>
        <w:jc w:val="cente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A0" w:firstRow="1" w:lastRow="0" w:firstColumn="1" w:lastColumn="0" w:noHBand="0" w:noVBand="1"/>
      </w:tblPr>
      <w:tblGrid>
        <w:gridCol w:w="2836"/>
        <w:gridCol w:w="851"/>
        <w:gridCol w:w="844"/>
        <w:gridCol w:w="851"/>
        <w:gridCol w:w="850"/>
        <w:gridCol w:w="709"/>
        <w:gridCol w:w="709"/>
        <w:gridCol w:w="709"/>
        <w:gridCol w:w="704"/>
        <w:gridCol w:w="10"/>
      </w:tblGrid>
      <w:tr w:rsidR="00E510C8" w:rsidRPr="00636020" w14:paraId="0F54D4C4" w14:textId="77777777" w:rsidTr="00E510C8">
        <w:trPr>
          <w:tblHeader/>
          <w:jc w:val="center"/>
        </w:trPr>
        <w:tc>
          <w:tcPr>
            <w:tcW w:w="2836" w:type="dxa"/>
            <w:shd w:val="clear" w:color="auto" w:fill="auto"/>
            <w:vAlign w:val="center"/>
            <w:hideMark/>
          </w:tcPr>
          <w:p w14:paraId="6CBB5E5F" w14:textId="77777777" w:rsidR="00E510C8" w:rsidRPr="00636020" w:rsidRDefault="00E510C8" w:rsidP="00E510C8">
            <w:pPr>
              <w:ind w:firstLine="0"/>
              <w:jc w:val="left"/>
              <w:rPr>
                <w:rFonts w:eastAsia="Times New Roman" w:cs="Times New Roman"/>
                <w:sz w:val="20"/>
                <w:szCs w:val="20"/>
                <w:lang w:eastAsia="lv-LV"/>
              </w:rPr>
            </w:pPr>
          </w:p>
        </w:tc>
        <w:tc>
          <w:tcPr>
            <w:tcW w:w="3396" w:type="dxa"/>
            <w:gridSpan w:val="4"/>
            <w:vAlign w:val="center"/>
          </w:tcPr>
          <w:p w14:paraId="6B204C02" w14:textId="77777777" w:rsidR="00E510C8" w:rsidRPr="00636020" w:rsidRDefault="00E510C8" w:rsidP="00E510C8">
            <w:pPr>
              <w:ind w:firstLine="0"/>
              <w:jc w:val="center"/>
              <w:rPr>
                <w:rFonts w:eastAsia="Times New Roman" w:cs="Times New Roman"/>
                <w:b/>
                <w:sz w:val="20"/>
                <w:szCs w:val="20"/>
                <w:lang w:eastAsia="lv-LV"/>
              </w:rPr>
            </w:pPr>
            <w:r w:rsidRPr="00636020">
              <w:rPr>
                <w:rFonts w:eastAsia="Times New Roman" w:cs="Times New Roman"/>
                <w:b/>
                <w:sz w:val="20"/>
                <w:szCs w:val="20"/>
                <w:lang w:eastAsia="lv-LV"/>
              </w:rPr>
              <w:t>Optimistiskais scenārijs</w:t>
            </w:r>
          </w:p>
        </w:tc>
        <w:tc>
          <w:tcPr>
            <w:tcW w:w="2841" w:type="dxa"/>
            <w:gridSpan w:val="5"/>
            <w:vAlign w:val="center"/>
          </w:tcPr>
          <w:p w14:paraId="5110DF56" w14:textId="77777777" w:rsidR="00E510C8" w:rsidRPr="00636020" w:rsidRDefault="00E510C8" w:rsidP="00E510C8">
            <w:pPr>
              <w:ind w:firstLine="0"/>
              <w:jc w:val="center"/>
              <w:rPr>
                <w:rFonts w:eastAsia="Times New Roman" w:cs="Times New Roman"/>
                <w:b/>
                <w:sz w:val="20"/>
                <w:szCs w:val="20"/>
                <w:lang w:eastAsia="lv-LV"/>
              </w:rPr>
            </w:pPr>
            <w:r w:rsidRPr="00636020">
              <w:rPr>
                <w:rFonts w:eastAsia="Times New Roman" w:cs="Times New Roman"/>
                <w:b/>
                <w:sz w:val="20"/>
                <w:szCs w:val="20"/>
                <w:lang w:eastAsia="lv-LV"/>
              </w:rPr>
              <w:t>Novirze no bāzes scenārija</w:t>
            </w:r>
          </w:p>
        </w:tc>
      </w:tr>
      <w:tr w:rsidR="00E510C8" w:rsidRPr="00636020" w14:paraId="6B8DF825" w14:textId="77777777" w:rsidTr="00E510C8">
        <w:trPr>
          <w:gridAfter w:val="1"/>
          <w:wAfter w:w="10" w:type="dxa"/>
          <w:jc w:val="center"/>
        </w:trPr>
        <w:tc>
          <w:tcPr>
            <w:tcW w:w="2836" w:type="dxa"/>
            <w:shd w:val="clear" w:color="auto" w:fill="auto"/>
            <w:vAlign w:val="center"/>
            <w:hideMark/>
          </w:tcPr>
          <w:p w14:paraId="4473139B" w14:textId="77777777" w:rsidR="00E510C8" w:rsidRPr="00636020" w:rsidRDefault="00E510C8" w:rsidP="00E510C8">
            <w:pPr>
              <w:ind w:firstLine="0"/>
              <w:jc w:val="left"/>
              <w:rPr>
                <w:rFonts w:eastAsia="Times New Roman" w:cs="Times New Roman"/>
                <w:sz w:val="20"/>
                <w:szCs w:val="20"/>
                <w:lang w:eastAsia="lv-LV"/>
              </w:rPr>
            </w:pPr>
          </w:p>
        </w:tc>
        <w:tc>
          <w:tcPr>
            <w:tcW w:w="851" w:type="dxa"/>
            <w:shd w:val="clear" w:color="auto" w:fill="auto"/>
            <w:tcMar>
              <w:left w:w="57" w:type="dxa"/>
              <w:right w:w="57" w:type="dxa"/>
            </w:tcMar>
            <w:vAlign w:val="center"/>
          </w:tcPr>
          <w:p w14:paraId="0DC40830" w14:textId="77777777" w:rsidR="00E510C8" w:rsidRPr="00636020" w:rsidRDefault="00E510C8" w:rsidP="00E510C8">
            <w:pPr>
              <w:ind w:firstLine="0"/>
              <w:jc w:val="center"/>
              <w:rPr>
                <w:rFonts w:eastAsia="Times New Roman" w:cs="Times New Roman"/>
                <w:b/>
                <w:sz w:val="20"/>
                <w:szCs w:val="20"/>
                <w:lang w:eastAsia="lv-LV"/>
              </w:rPr>
            </w:pPr>
            <w:r w:rsidRPr="00636020">
              <w:rPr>
                <w:rFonts w:eastAsia="Times New Roman" w:cs="Times New Roman"/>
                <w:b/>
                <w:sz w:val="20"/>
                <w:szCs w:val="20"/>
                <w:lang w:eastAsia="lv-LV"/>
              </w:rPr>
              <w:t>2023</w:t>
            </w:r>
          </w:p>
        </w:tc>
        <w:tc>
          <w:tcPr>
            <w:tcW w:w="844" w:type="dxa"/>
            <w:shd w:val="clear" w:color="auto" w:fill="auto"/>
            <w:tcMar>
              <w:left w:w="57" w:type="dxa"/>
              <w:right w:w="57" w:type="dxa"/>
            </w:tcMar>
            <w:vAlign w:val="center"/>
          </w:tcPr>
          <w:p w14:paraId="347ADBFA" w14:textId="77777777" w:rsidR="00E510C8" w:rsidRPr="00636020" w:rsidRDefault="00E510C8" w:rsidP="00E510C8">
            <w:pPr>
              <w:ind w:firstLine="0"/>
              <w:jc w:val="center"/>
              <w:rPr>
                <w:rFonts w:eastAsia="Times New Roman" w:cs="Times New Roman"/>
                <w:b/>
                <w:sz w:val="20"/>
                <w:szCs w:val="20"/>
                <w:lang w:eastAsia="lv-LV"/>
              </w:rPr>
            </w:pPr>
            <w:r w:rsidRPr="00636020">
              <w:rPr>
                <w:rFonts w:eastAsia="Times New Roman" w:cs="Times New Roman"/>
                <w:b/>
                <w:sz w:val="20"/>
                <w:szCs w:val="20"/>
                <w:lang w:eastAsia="lv-LV"/>
              </w:rPr>
              <w:t>2024</w:t>
            </w:r>
          </w:p>
        </w:tc>
        <w:tc>
          <w:tcPr>
            <w:tcW w:w="851" w:type="dxa"/>
            <w:tcMar>
              <w:left w:w="57" w:type="dxa"/>
              <w:right w:w="57" w:type="dxa"/>
            </w:tcMar>
            <w:vAlign w:val="center"/>
          </w:tcPr>
          <w:p w14:paraId="6855C4AF" w14:textId="77777777" w:rsidR="00E510C8" w:rsidRPr="00636020" w:rsidRDefault="00E510C8" w:rsidP="00E510C8">
            <w:pPr>
              <w:ind w:firstLine="0"/>
              <w:jc w:val="center"/>
              <w:rPr>
                <w:rFonts w:eastAsia="Times New Roman" w:cs="Times New Roman"/>
                <w:b/>
                <w:sz w:val="20"/>
                <w:szCs w:val="20"/>
                <w:lang w:eastAsia="lv-LV"/>
              </w:rPr>
            </w:pPr>
            <w:r w:rsidRPr="00636020">
              <w:rPr>
                <w:rFonts w:eastAsia="Times New Roman" w:cs="Times New Roman"/>
                <w:b/>
                <w:sz w:val="20"/>
                <w:szCs w:val="20"/>
                <w:lang w:eastAsia="lv-LV"/>
              </w:rPr>
              <w:t>2025</w:t>
            </w:r>
          </w:p>
        </w:tc>
        <w:tc>
          <w:tcPr>
            <w:tcW w:w="850" w:type="dxa"/>
            <w:shd w:val="clear" w:color="auto" w:fill="auto"/>
            <w:tcMar>
              <w:left w:w="57" w:type="dxa"/>
              <w:right w:w="57" w:type="dxa"/>
            </w:tcMar>
            <w:vAlign w:val="center"/>
          </w:tcPr>
          <w:p w14:paraId="3D6756A0" w14:textId="77777777" w:rsidR="00E510C8" w:rsidRPr="00636020" w:rsidRDefault="00E510C8" w:rsidP="00E510C8">
            <w:pPr>
              <w:ind w:firstLine="0"/>
              <w:jc w:val="center"/>
              <w:rPr>
                <w:rFonts w:eastAsia="Times New Roman" w:cs="Times New Roman"/>
                <w:b/>
                <w:sz w:val="20"/>
                <w:szCs w:val="20"/>
                <w:lang w:eastAsia="lv-LV"/>
              </w:rPr>
            </w:pPr>
            <w:r w:rsidRPr="00636020">
              <w:rPr>
                <w:rFonts w:eastAsia="Times New Roman" w:cs="Times New Roman"/>
                <w:b/>
                <w:sz w:val="20"/>
                <w:szCs w:val="20"/>
                <w:lang w:eastAsia="lv-LV"/>
              </w:rPr>
              <w:t>2026</w:t>
            </w:r>
          </w:p>
        </w:tc>
        <w:tc>
          <w:tcPr>
            <w:tcW w:w="709" w:type="dxa"/>
            <w:shd w:val="clear" w:color="auto" w:fill="auto"/>
            <w:tcMar>
              <w:left w:w="57" w:type="dxa"/>
              <w:right w:w="57" w:type="dxa"/>
            </w:tcMar>
            <w:vAlign w:val="center"/>
            <w:hideMark/>
          </w:tcPr>
          <w:p w14:paraId="407304ED" w14:textId="77777777" w:rsidR="00E510C8" w:rsidRPr="00636020" w:rsidRDefault="00E510C8" w:rsidP="00E510C8">
            <w:pPr>
              <w:ind w:firstLine="0"/>
              <w:jc w:val="center"/>
              <w:rPr>
                <w:rFonts w:eastAsia="Times New Roman" w:cs="Times New Roman"/>
                <w:b/>
                <w:sz w:val="20"/>
                <w:szCs w:val="20"/>
                <w:lang w:eastAsia="lv-LV"/>
              </w:rPr>
            </w:pPr>
            <w:r w:rsidRPr="00636020">
              <w:rPr>
                <w:rFonts w:eastAsia="Times New Roman" w:cs="Times New Roman"/>
                <w:b/>
                <w:sz w:val="20"/>
                <w:szCs w:val="20"/>
                <w:lang w:eastAsia="lv-LV"/>
              </w:rPr>
              <w:t>2023</w:t>
            </w:r>
          </w:p>
        </w:tc>
        <w:tc>
          <w:tcPr>
            <w:tcW w:w="709" w:type="dxa"/>
            <w:shd w:val="clear" w:color="auto" w:fill="auto"/>
            <w:tcMar>
              <w:left w:w="57" w:type="dxa"/>
              <w:right w:w="57" w:type="dxa"/>
            </w:tcMar>
            <w:vAlign w:val="center"/>
            <w:hideMark/>
          </w:tcPr>
          <w:p w14:paraId="1790D8E8" w14:textId="77777777" w:rsidR="00E510C8" w:rsidRPr="00636020" w:rsidRDefault="00E510C8" w:rsidP="00E510C8">
            <w:pPr>
              <w:ind w:firstLine="0"/>
              <w:jc w:val="center"/>
              <w:rPr>
                <w:rFonts w:eastAsia="Times New Roman" w:cs="Times New Roman"/>
                <w:b/>
                <w:sz w:val="20"/>
                <w:szCs w:val="20"/>
                <w:lang w:eastAsia="lv-LV"/>
              </w:rPr>
            </w:pPr>
            <w:r w:rsidRPr="00636020">
              <w:rPr>
                <w:rFonts w:eastAsia="Times New Roman" w:cs="Times New Roman"/>
                <w:b/>
                <w:sz w:val="20"/>
                <w:szCs w:val="20"/>
                <w:lang w:eastAsia="lv-LV"/>
              </w:rPr>
              <w:t>2024</w:t>
            </w:r>
          </w:p>
        </w:tc>
        <w:tc>
          <w:tcPr>
            <w:tcW w:w="709" w:type="dxa"/>
            <w:tcMar>
              <w:left w:w="57" w:type="dxa"/>
              <w:right w:w="57" w:type="dxa"/>
            </w:tcMar>
            <w:vAlign w:val="center"/>
          </w:tcPr>
          <w:p w14:paraId="2ADE09D5" w14:textId="77777777" w:rsidR="00E510C8" w:rsidRPr="00636020" w:rsidRDefault="00E510C8" w:rsidP="00E510C8">
            <w:pPr>
              <w:ind w:firstLine="0"/>
              <w:jc w:val="center"/>
              <w:rPr>
                <w:rFonts w:eastAsia="Times New Roman" w:cs="Times New Roman"/>
                <w:b/>
                <w:sz w:val="20"/>
                <w:szCs w:val="20"/>
                <w:lang w:eastAsia="lv-LV"/>
              </w:rPr>
            </w:pPr>
            <w:r w:rsidRPr="00636020">
              <w:rPr>
                <w:rFonts w:eastAsia="Times New Roman" w:cs="Times New Roman"/>
                <w:b/>
                <w:sz w:val="20"/>
                <w:szCs w:val="20"/>
                <w:lang w:eastAsia="lv-LV"/>
              </w:rPr>
              <w:t>2025</w:t>
            </w:r>
          </w:p>
        </w:tc>
        <w:tc>
          <w:tcPr>
            <w:tcW w:w="704" w:type="dxa"/>
            <w:shd w:val="clear" w:color="auto" w:fill="auto"/>
            <w:tcMar>
              <w:left w:w="57" w:type="dxa"/>
              <w:right w:w="57" w:type="dxa"/>
            </w:tcMar>
            <w:vAlign w:val="center"/>
            <w:hideMark/>
          </w:tcPr>
          <w:p w14:paraId="232C0A25" w14:textId="77777777" w:rsidR="00E510C8" w:rsidRPr="00636020" w:rsidRDefault="00E510C8" w:rsidP="00E510C8">
            <w:pPr>
              <w:ind w:firstLine="0"/>
              <w:jc w:val="center"/>
              <w:rPr>
                <w:rFonts w:eastAsia="Times New Roman" w:cs="Times New Roman"/>
                <w:b/>
                <w:sz w:val="20"/>
                <w:szCs w:val="20"/>
                <w:lang w:eastAsia="lv-LV"/>
              </w:rPr>
            </w:pPr>
            <w:r w:rsidRPr="00636020">
              <w:rPr>
                <w:rFonts w:eastAsia="Times New Roman" w:cs="Times New Roman"/>
                <w:b/>
                <w:sz w:val="20"/>
                <w:szCs w:val="20"/>
                <w:lang w:eastAsia="lv-LV"/>
              </w:rPr>
              <w:t>2026</w:t>
            </w:r>
          </w:p>
        </w:tc>
      </w:tr>
      <w:tr w:rsidR="00E510C8" w:rsidRPr="00636020" w14:paraId="1D35C462" w14:textId="77777777" w:rsidTr="00E510C8">
        <w:trPr>
          <w:gridAfter w:val="1"/>
          <w:wAfter w:w="10" w:type="dxa"/>
          <w:jc w:val="center"/>
        </w:trPr>
        <w:tc>
          <w:tcPr>
            <w:tcW w:w="2836" w:type="dxa"/>
            <w:shd w:val="clear" w:color="auto" w:fill="DEEAF6"/>
            <w:vAlign w:val="center"/>
          </w:tcPr>
          <w:p w14:paraId="407580F4" w14:textId="77777777" w:rsidR="00E510C8" w:rsidRPr="00636020" w:rsidRDefault="00E510C8" w:rsidP="00E510C8">
            <w:pPr>
              <w:ind w:firstLine="0"/>
              <w:jc w:val="left"/>
              <w:rPr>
                <w:rFonts w:eastAsia="Times New Roman" w:cs="Times New Roman"/>
                <w:b/>
                <w:sz w:val="20"/>
                <w:szCs w:val="20"/>
                <w:lang w:eastAsia="lv-LV"/>
              </w:rPr>
            </w:pPr>
            <w:r w:rsidRPr="00636020">
              <w:rPr>
                <w:rFonts w:eastAsia="Times New Roman" w:cs="Times New Roman"/>
                <w:b/>
                <w:sz w:val="20"/>
                <w:szCs w:val="20"/>
                <w:lang w:eastAsia="lv-LV"/>
              </w:rPr>
              <w:t>Vispārējās valdības budžeta bilance, % no IKP</w:t>
            </w:r>
          </w:p>
        </w:tc>
        <w:tc>
          <w:tcPr>
            <w:tcW w:w="851" w:type="dxa"/>
            <w:shd w:val="clear" w:color="auto" w:fill="DEEAF6"/>
            <w:tcMar>
              <w:left w:w="57" w:type="dxa"/>
              <w:right w:w="57" w:type="dxa"/>
            </w:tcMar>
            <w:vAlign w:val="center"/>
          </w:tcPr>
          <w:p w14:paraId="76E0DE7D" w14:textId="77777777" w:rsidR="00E510C8" w:rsidRPr="00636020" w:rsidRDefault="00E510C8" w:rsidP="00E510C8">
            <w:pPr>
              <w:spacing w:line="259" w:lineRule="auto"/>
              <w:ind w:right="5" w:firstLine="0"/>
              <w:jc w:val="center"/>
              <w:rPr>
                <w:rFonts w:eastAsia="Times New Roman" w:cs="Times New Roman"/>
                <w:b/>
                <w:color w:val="FF0000"/>
                <w:sz w:val="20"/>
                <w:szCs w:val="20"/>
              </w:rPr>
            </w:pPr>
            <w:r w:rsidRPr="00636020">
              <w:rPr>
                <w:rFonts w:eastAsia="Times New Roman" w:cs="Times New Roman"/>
                <w:b/>
                <w:color w:val="000000"/>
                <w:sz w:val="20"/>
                <w:szCs w:val="20"/>
              </w:rPr>
              <w:t>-3,8</w:t>
            </w:r>
          </w:p>
        </w:tc>
        <w:tc>
          <w:tcPr>
            <w:tcW w:w="844" w:type="dxa"/>
            <w:shd w:val="clear" w:color="auto" w:fill="DEEAF6"/>
            <w:tcMar>
              <w:left w:w="57" w:type="dxa"/>
              <w:right w:w="57" w:type="dxa"/>
            </w:tcMar>
            <w:vAlign w:val="center"/>
          </w:tcPr>
          <w:p w14:paraId="2BC4570D" w14:textId="77777777" w:rsidR="00E510C8" w:rsidRPr="00636020" w:rsidRDefault="00E510C8" w:rsidP="00E510C8">
            <w:pPr>
              <w:spacing w:line="259" w:lineRule="auto"/>
              <w:ind w:right="5" w:firstLine="0"/>
              <w:jc w:val="center"/>
              <w:rPr>
                <w:rFonts w:eastAsia="Times New Roman" w:cs="Times New Roman"/>
                <w:b/>
                <w:color w:val="FF0000"/>
                <w:sz w:val="20"/>
                <w:szCs w:val="20"/>
              </w:rPr>
            </w:pPr>
            <w:r w:rsidRPr="00636020">
              <w:rPr>
                <w:rFonts w:eastAsia="Times New Roman" w:cs="Times New Roman"/>
                <w:b/>
                <w:color w:val="000000"/>
                <w:sz w:val="20"/>
                <w:szCs w:val="20"/>
              </w:rPr>
              <w:t>-1,8</w:t>
            </w:r>
          </w:p>
        </w:tc>
        <w:tc>
          <w:tcPr>
            <w:tcW w:w="851" w:type="dxa"/>
            <w:shd w:val="clear" w:color="auto" w:fill="DEEAF6"/>
            <w:tcMar>
              <w:left w:w="57" w:type="dxa"/>
              <w:right w:w="57" w:type="dxa"/>
            </w:tcMar>
            <w:vAlign w:val="center"/>
          </w:tcPr>
          <w:p w14:paraId="264C4818" w14:textId="77777777" w:rsidR="00E510C8" w:rsidRPr="00636020" w:rsidRDefault="00E510C8" w:rsidP="00E510C8">
            <w:pPr>
              <w:spacing w:line="259" w:lineRule="auto"/>
              <w:ind w:right="5" w:firstLine="0"/>
              <w:jc w:val="center"/>
              <w:rPr>
                <w:rFonts w:eastAsia="Times New Roman" w:cs="Times New Roman"/>
                <w:b/>
                <w:color w:val="FF0000"/>
                <w:sz w:val="20"/>
                <w:szCs w:val="20"/>
              </w:rPr>
            </w:pPr>
            <w:r w:rsidRPr="00636020">
              <w:rPr>
                <w:rFonts w:eastAsia="Times New Roman" w:cs="Times New Roman"/>
                <w:b/>
                <w:color w:val="000000"/>
                <w:sz w:val="20"/>
                <w:szCs w:val="20"/>
              </w:rPr>
              <w:t>-1,2</w:t>
            </w:r>
          </w:p>
        </w:tc>
        <w:tc>
          <w:tcPr>
            <w:tcW w:w="850" w:type="dxa"/>
            <w:shd w:val="clear" w:color="auto" w:fill="DEEAF6"/>
            <w:tcMar>
              <w:left w:w="57" w:type="dxa"/>
              <w:right w:w="57" w:type="dxa"/>
            </w:tcMar>
            <w:vAlign w:val="center"/>
          </w:tcPr>
          <w:p w14:paraId="5776874D" w14:textId="77777777" w:rsidR="00E510C8" w:rsidRPr="00636020" w:rsidRDefault="00E510C8" w:rsidP="00E510C8">
            <w:pPr>
              <w:spacing w:line="259" w:lineRule="auto"/>
              <w:ind w:right="5" w:firstLine="0"/>
              <w:jc w:val="center"/>
              <w:rPr>
                <w:rFonts w:eastAsia="Times New Roman" w:cs="Times New Roman"/>
                <w:b/>
                <w:color w:val="FF0000"/>
                <w:sz w:val="20"/>
                <w:szCs w:val="20"/>
              </w:rPr>
            </w:pPr>
            <w:r w:rsidRPr="00636020">
              <w:rPr>
                <w:rFonts w:eastAsia="Times New Roman" w:cs="Times New Roman"/>
                <w:b/>
                <w:color w:val="000000"/>
                <w:sz w:val="20"/>
                <w:szCs w:val="20"/>
              </w:rPr>
              <w:t>0,1</w:t>
            </w:r>
          </w:p>
        </w:tc>
        <w:tc>
          <w:tcPr>
            <w:tcW w:w="709" w:type="dxa"/>
            <w:shd w:val="clear" w:color="auto" w:fill="DEEAF6"/>
            <w:tcMar>
              <w:left w:w="57" w:type="dxa"/>
              <w:right w:w="57" w:type="dxa"/>
            </w:tcMar>
            <w:vAlign w:val="center"/>
          </w:tcPr>
          <w:p w14:paraId="793172DB" w14:textId="77777777" w:rsidR="00E510C8" w:rsidRPr="00636020" w:rsidRDefault="00E510C8" w:rsidP="00E510C8">
            <w:pPr>
              <w:spacing w:line="259" w:lineRule="auto"/>
              <w:ind w:right="5" w:firstLine="0"/>
              <w:jc w:val="center"/>
              <w:rPr>
                <w:rFonts w:eastAsia="Times New Roman" w:cs="Times New Roman"/>
                <w:b/>
                <w:color w:val="FF0000"/>
                <w:sz w:val="20"/>
                <w:szCs w:val="20"/>
              </w:rPr>
            </w:pPr>
            <w:r w:rsidRPr="00636020">
              <w:rPr>
                <w:rFonts w:eastAsia="Times New Roman" w:cs="Times New Roman"/>
                <w:b/>
                <w:color w:val="000000"/>
                <w:sz w:val="20"/>
                <w:szCs w:val="20"/>
              </w:rPr>
              <w:t>0,2</w:t>
            </w:r>
          </w:p>
        </w:tc>
        <w:tc>
          <w:tcPr>
            <w:tcW w:w="709" w:type="dxa"/>
            <w:shd w:val="clear" w:color="auto" w:fill="DEEAF6"/>
            <w:tcMar>
              <w:left w:w="57" w:type="dxa"/>
              <w:right w:w="57" w:type="dxa"/>
            </w:tcMar>
            <w:vAlign w:val="center"/>
          </w:tcPr>
          <w:p w14:paraId="79102C3F" w14:textId="77777777" w:rsidR="00E510C8" w:rsidRPr="00636020" w:rsidRDefault="00E510C8" w:rsidP="00E510C8">
            <w:pPr>
              <w:spacing w:line="259" w:lineRule="auto"/>
              <w:ind w:right="5" w:firstLine="0"/>
              <w:jc w:val="center"/>
              <w:rPr>
                <w:rFonts w:eastAsia="Times New Roman" w:cs="Times New Roman"/>
                <w:b/>
                <w:color w:val="FF0000"/>
                <w:sz w:val="20"/>
                <w:szCs w:val="20"/>
              </w:rPr>
            </w:pPr>
            <w:r w:rsidRPr="00636020">
              <w:rPr>
                <w:rFonts w:eastAsia="Times New Roman" w:cs="Times New Roman"/>
                <w:b/>
                <w:color w:val="000000"/>
                <w:sz w:val="20"/>
                <w:szCs w:val="20"/>
              </w:rPr>
              <w:t>0,5</w:t>
            </w:r>
          </w:p>
        </w:tc>
        <w:tc>
          <w:tcPr>
            <w:tcW w:w="709" w:type="dxa"/>
            <w:shd w:val="clear" w:color="auto" w:fill="DEEAF6"/>
            <w:tcMar>
              <w:left w:w="57" w:type="dxa"/>
              <w:right w:w="57" w:type="dxa"/>
            </w:tcMar>
            <w:vAlign w:val="center"/>
          </w:tcPr>
          <w:p w14:paraId="7C7E7447" w14:textId="77777777" w:rsidR="00E510C8" w:rsidRPr="00636020" w:rsidRDefault="00E510C8" w:rsidP="00E510C8">
            <w:pPr>
              <w:spacing w:line="259" w:lineRule="auto"/>
              <w:ind w:right="5" w:firstLine="0"/>
              <w:jc w:val="center"/>
              <w:rPr>
                <w:rFonts w:eastAsia="Times New Roman" w:cs="Times New Roman"/>
                <w:b/>
                <w:color w:val="FF0000"/>
                <w:sz w:val="20"/>
                <w:szCs w:val="20"/>
              </w:rPr>
            </w:pPr>
            <w:r w:rsidRPr="00636020">
              <w:rPr>
                <w:rFonts w:eastAsia="Times New Roman" w:cs="Times New Roman"/>
                <w:b/>
                <w:color w:val="000000"/>
                <w:sz w:val="20"/>
                <w:szCs w:val="20"/>
              </w:rPr>
              <w:t>0,5</w:t>
            </w:r>
          </w:p>
        </w:tc>
        <w:tc>
          <w:tcPr>
            <w:tcW w:w="704" w:type="dxa"/>
            <w:shd w:val="clear" w:color="auto" w:fill="DEEAF6"/>
            <w:tcMar>
              <w:left w:w="57" w:type="dxa"/>
              <w:right w:w="57" w:type="dxa"/>
            </w:tcMar>
            <w:vAlign w:val="center"/>
          </w:tcPr>
          <w:p w14:paraId="1A3FD0B1" w14:textId="77777777" w:rsidR="00E510C8" w:rsidRPr="00636020" w:rsidRDefault="00E510C8" w:rsidP="00E510C8">
            <w:pPr>
              <w:spacing w:line="259" w:lineRule="auto"/>
              <w:ind w:right="5" w:firstLine="0"/>
              <w:jc w:val="center"/>
              <w:rPr>
                <w:rFonts w:eastAsia="Times New Roman" w:cs="Times New Roman"/>
                <w:b/>
                <w:color w:val="FF0000"/>
                <w:sz w:val="20"/>
                <w:szCs w:val="20"/>
              </w:rPr>
            </w:pPr>
            <w:r w:rsidRPr="00636020">
              <w:rPr>
                <w:rFonts w:eastAsia="Times New Roman" w:cs="Times New Roman"/>
                <w:b/>
                <w:color w:val="000000"/>
                <w:sz w:val="20"/>
                <w:szCs w:val="20"/>
              </w:rPr>
              <w:t>0,5</w:t>
            </w:r>
          </w:p>
        </w:tc>
      </w:tr>
      <w:tr w:rsidR="00E510C8" w:rsidRPr="00636020" w14:paraId="6EF4C9E2" w14:textId="77777777" w:rsidTr="00E510C8">
        <w:trPr>
          <w:gridAfter w:val="1"/>
          <w:wAfter w:w="10" w:type="dxa"/>
          <w:jc w:val="center"/>
        </w:trPr>
        <w:tc>
          <w:tcPr>
            <w:tcW w:w="2836" w:type="dxa"/>
            <w:shd w:val="clear" w:color="auto" w:fill="auto"/>
            <w:vAlign w:val="center"/>
          </w:tcPr>
          <w:p w14:paraId="32BBB247" w14:textId="77777777" w:rsidR="00E510C8" w:rsidRPr="00636020" w:rsidRDefault="00E510C8" w:rsidP="00E510C8">
            <w:pPr>
              <w:ind w:firstLine="0"/>
              <w:jc w:val="left"/>
              <w:rPr>
                <w:rFonts w:eastAsia="Times New Roman" w:cs="Times New Roman"/>
                <w:bCs/>
                <w:sz w:val="20"/>
                <w:szCs w:val="20"/>
                <w:lang w:eastAsia="lv-LV"/>
              </w:rPr>
            </w:pPr>
            <w:r w:rsidRPr="00636020">
              <w:rPr>
                <w:rFonts w:eastAsia="Times New Roman" w:cs="Times New Roman"/>
                <w:bCs/>
                <w:sz w:val="20"/>
                <w:szCs w:val="20"/>
                <w:lang w:eastAsia="lv-LV"/>
              </w:rPr>
              <w:t>Vispārējās valdības budžeta bilance</w:t>
            </w:r>
          </w:p>
        </w:tc>
        <w:tc>
          <w:tcPr>
            <w:tcW w:w="851" w:type="dxa"/>
            <w:shd w:val="clear" w:color="auto" w:fill="auto"/>
            <w:tcMar>
              <w:left w:w="57" w:type="dxa"/>
              <w:right w:w="57" w:type="dxa"/>
            </w:tcMar>
            <w:vAlign w:val="center"/>
          </w:tcPr>
          <w:p w14:paraId="65B31CFD" w14:textId="77777777" w:rsidR="00E510C8" w:rsidRPr="00636020" w:rsidRDefault="00E510C8" w:rsidP="00E510C8">
            <w:pPr>
              <w:ind w:firstLine="0"/>
              <w:jc w:val="center"/>
              <w:rPr>
                <w:rFonts w:eastAsia="Times New Roman" w:cs="Times New Roman"/>
                <w:color w:val="FF0000"/>
                <w:sz w:val="20"/>
                <w:szCs w:val="20"/>
                <w:lang w:eastAsia="lv-LV"/>
              </w:rPr>
            </w:pPr>
            <w:r w:rsidRPr="00636020">
              <w:rPr>
                <w:rFonts w:eastAsia="Times New Roman" w:cs="Times New Roman"/>
                <w:color w:val="000000"/>
                <w:sz w:val="20"/>
                <w:szCs w:val="20"/>
              </w:rPr>
              <w:t>-1 655,5</w:t>
            </w:r>
          </w:p>
        </w:tc>
        <w:tc>
          <w:tcPr>
            <w:tcW w:w="844" w:type="dxa"/>
            <w:shd w:val="clear" w:color="auto" w:fill="auto"/>
            <w:tcMar>
              <w:left w:w="57" w:type="dxa"/>
              <w:right w:w="57" w:type="dxa"/>
            </w:tcMar>
            <w:vAlign w:val="center"/>
          </w:tcPr>
          <w:p w14:paraId="236C15E4" w14:textId="77777777" w:rsidR="00E510C8" w:rsidRPr="00636020" w:rsidRDefault="00E510C8" w:rsidP="00E510C8">
            <w:pPr>
              <w:ind w:firstLine="0"/>
              <w:jc w:val="center"/>
              <w:rPr>
                <w:rFonts w:eastAsia="Times New Roman" w:cs="Times New Roman"/>
                <w:color w:val="FF0000"/>
                <w:sz w:val="20"/>
                <w:szCs w:val="20"/>
                <w:lang w:eastAsia="lv-LV"/>
              </w:rPr>
            </w:pPr>
            <w:r w:rsidRPr="00636020">
              <w:rPr>
                <w:rFonts w:eastAsia="Times New Roman" w:cs="Times New Roman"/>
                <w:color w:val="000000"/>
                <w:sz w:val="20"/>
                <w:szCs w:val="20"/>
              </w:rPr>
              <w:t>-849,5</w:t>
            </w:r>
          </w:p>
        </w:tc>
        <w:tc>
          <w:tcPr>
            <w:tcW w:w="851" w:type="dxa"/>
            <w:tcMar>
              <w:left w:w="57" w:type="dxa"/>
              <w:right w:w="57" w:type="dxa"/>
            </w:tcMar>
            <w:vAlign w:val="center"/>
          </w:tcPr>
          <w:p w14:paraId="04908899" w14:textId="77777777" w:rsidR="00E510C8" w:rsidRPr="00636020" w:rsidRDefault="00E510C8" w:rsidP="00E510C8">
            <w:pPr>
              <w:ind w:firstLine="0"/>
              <w:jc w:val="center"/>
              <w:rPr>
                <w:rFonts w:eastAsia="Times New Roman" w:cs="Times New Roman"/>
                <w:color w:val="FF0000"/>
                <w:sz w:val="20"/>
                <w:szCs w:val="20"/>
                <w:lang w:eastAsia="lv-LV"/>
              </w:rPr>
            </w:pPr>
            <w:r w:rsidRPr="00636020">
              <w:rPr>
                <w:rFonts w:eastAsia="Times New Roman" w:cs="Times New Roman"/>
                <w:color w:val="000000"/>
                <w:sz w:val="20"/>
                <w:szCs w:val="20"/>
              </w:rPr>
              <w:t>-565,7</w:t>
            </w:r>
          </w:p>
        </w:tc>
        <w:tc>
          <w:tcPr>
            <w:tcW w:w="850" w:type="dxa"/>
            <w:shd w:val="clear" w:color="auto" w:fill="auto"/>
            <w:tcMar>
              <w:left w:w="57" w:type="dxa"/>
              <w:right w:w="57" w:type="dxa"/>
            </w:tcMar>
            <w:vAlign w:val="center"/>
          </w:tcPr>
          <w:p w14:paraId="37D514F9" w14:textId="77777777" w:rsidR="00E510C8" w:rsidRPr="00636020" w:rsidRDefault="00E510C8" w:rsidP="00E510C8">
            <w:pPr>
              <w:ind w:firstLine="0"/>
              <w:jc w:val="center"/>
              <w:rPr>
                <w:rFonts w:eastAsia="Times New Roman" w:cs="Times New Roman"/>
                <w:color w:val="FF0000"/>
                <w:sz w:val="20"/>
                <w:szCs w:val="20"/>
                <w:lang w:eastAsia="lv-LV"/>
              </w:rPr>
            </w:pPr>
            <w:r w:rsidRPr="00636020">
              <w:rPr>
                <w:rFonts w:eastAsia="Times New Roman" w:cs="Times New Roman"/>
                <w:color w:val="000000"/>
                <w:sz w:val="20"/>
                <w:szCs w:val="20"/>
              </w:rPr>
              <w:t>29,1</w:t>
            </w:r>
          </w:p>
        </w:tc>
        <w:tc>
          <w:tcPr>
            <w:tcW w:w="709" w:type="dxa"/>
            <w:shd w:val="clear" w:color="auto" w:fill="auto"/>
            <w:tcMar>
              <w:left w:w="57" w:type="dxa"/>
              <w:right w:w="57" w:type="dxa"/>
            </w:tcMar>
            <w:vAlign w:val="center"/>
          </w:tcPr>
          <w:p w14:paraId="04926190" w14:textId="77777777" w:rsidR="00E510C8" w:rsidRPr="00636020" w:rsidRDefault="00E510C8" w:rsidP="00E510C8">
            <w:pPr>
              <w:ind w:firstLine="0"/>
              <w:jc w:val="center"/>
              <w:rPr>
                <w:rFonts w:eastAsia="Times New Roman" w:cs="Times New Roman"/>
                <w:color w:val="FF0000"/>
                <w:sz w:val="20"/>
                <w:szCs w:val="20"/>
                <w:lang w:eastAsia="lv-LV"/>
              </w:rPr>
            </w:pPr>
            <w:r w:rsidRPr="00636020">
              <w:rPr>
                <w:rFonts w:eastAsia="Times New Roman" w:cs="Times New Roman"/>
                <w:color w:val="000000"/>
                <w:sz w:val="20"/>
                <w:szCs w:val="20"/>
              </w:rPr>
              <w:t>97,8</w:t>
            </w:r>
          </w:p>
        </w:tc>
        <w:tc>
          <w:tcPr>
            <w:tcW w:w="709" w:type="dxa"/>
            <w:shd w:val="clear" w:color="auto" w:fill="auto"/>
            <w:tcMar>
              <w:left w:w="57" w:type="dxa"/>
              <w:right w:w="57" w:type="dxa"/>
            </w:tcMar>
            <w:vAlign w:val="center"/>
          </w:tcPr>
          <w:p w14:paraId="7EB58143" w14:textId="77777777" w:rsidR="00E510C8" w:rsidRPr="00636020" w:rsidRDefault="00E510C8" w:rsidP="00E510C8">
            <w:pPr>
              <w:spacing w:line="259" w:lineRule="auto"/>
              <w:ind w:firstLine="0"/>
              <w:jc w:val="center"/>
              <w:rPr>
                <w:rFonts w:eastAsia="Times New Roman" w:cs="Times New Roman"/>
                <w:color w:val="FF0000"/>
                <w:sz w:val="20"/>
                <w:szCs w:val="20"/>
                <w:lang w:eastAsia="lv-LV"/>
              </w:rPr>
            </w:pPr>
            <w:r w:rsidRPr="00636020">
              <w:rPr>
                <w:rFonts w:eastAsia="Times New Roman" w:cs="Times New Roman"/>
                <w:color w:val="000000"/>
                <w:sz w:val="20"/>
                <w:szCs w:val="20"/>
              </w:rPr>
              <w:t>251,1</w:t>
            </w:r>
          </w:p>
        </w:tc>
        <w:tc>
          <w:tcPr>
            <w:tcW w:w="709" w:type="dxa"/>
            <w:tcMar>
              <w:left w:w="57" w:type="dxa"/>
              <w:right w:w="57" w:type="dxa"/>
            </w:tcMar>
            <w:vAlign w:val="center"/>
          </w:tcPr>
          <w:p w14:paraId="142CF123" w14:textId="77777777" w:rsidR="00E510C8" w:rsidRPr="00636020" w:rsidRDefault="00E510C8" w:rsidP="00E510C8">
            <w:pPr>
              <w:spacing w:line="259" w:lineRule="auto"/>
              <w:ind w:firstLine="0"/>
              <w:jc w:val="center"/>
              <w:rPr>
                <w:rFonts w:eastAsia="Times New Roman" w:cs="Times New Roman"/>
                <w:color w:val="FF0000"/>
                <w:sz w:val="20"/>
                <w:szCs w:val="20"/>
                <w:lang w:eastAsia="lv-LV"/>
              </w:rPr>
            </w:pPr>
            <w:r w:rsidRPr="00636020">
              <w:rPr>
                <w:rFonts w:eastAsia="Times New Roman" w:cs="Times New Roman"/>
                <w:color w:val="000000"/>
                <w:sz w:val="20"/>
                <w:szCs w:val="20"/>
              </w:rPr>
              <w:t>251,8</w:t>
            </w:r>
          </w:p>
        </w:tc>
        <w:tc>
          <w:tcPr>
            <w:tcW w:w="704" w:type="dxa"/>
            <w:shd w:val="clear" w:color="auto" w:fill="auto"/>
            <w:tcMar>
              <w:left w:w="57" w:type="dxa"/>
              <w:right w:w="57" w:type="dxa"/>
            </w:tcMar>
            <w:vAlign w:val="center"/>
          </w:tcPr>
          <w:p w14:paraId="1B2B80B1" w14:textId="77777777" w:rsidR="00E510C8" w:rsidRPr="00636020" w:rsidRDefault="00E510C8" w:rsidP="00E510C8">
            <w:pPr>
              <w:spacing w:line="259" w:lineRule="auto"/>
              <w:ind w:firstLine="0"/>
              <w:jc w:val="center"/>
              <w:rPr>
                <w:rFonts w:eastAsia="Times New Roman" w:cs="Times New Roman"/>
                <w:color w:val="FF0000"/>
                <w:sz w:val="20"/>
                <w:szCs w:val="20"/>
                <w:lang w:eastAsia="lv-LV"/>
              </w:rPr>
            </w:pPr>
            <w:r w:rsidRPr="00636020">
              <w:rPr>
                <w:rFonts w:eastAsia="Times New Roman" w:cs="Times New Roman"/>
                <w:color w:val="000000"/>
                <w:sz w:val="20"/>
                <w:szCs w:val="20"/>
              </w:rPr>
              <w:t>276,5</w:t>
            </w:r>
          </w:p>
        </w:tc>
      </w:tr>
      <w:tr w:rsidR="00E510C8" w:rsidRPr="00636020" w14:paraId="4F8E0784" w14:textId="77777777" w:rsidTr="00E510C8">
        <w:trPr>
          <w:gridAfter w:val="1"/>
          <w:wAfter w:w="10" w:type="dxa"/>
          <w:jc w:val="center"/>
        </w:trPr>
        <w:tc>
          <w:tcPr>
            <w:tcW w:w="2836" w:type="dxa"/>
            <w:shd w:val="clear" w:color="auto" w:fill="DEEAF6"/>
            <w:vAlign w:val="center"/>
          </w:tcPr>
          <w:p w14:paraId="3FF1DD29" w14:textId="77777777" w:rsidR="00E510C8" w:rsidRPr="00636020" w:rsidRDefault="00E510C8" w:rsidP="00E510C8">
            <w:pPr>
              <w:ind w:left="166" w:firstLine="0"/>
              <w:jc w:val="left"/>
              <w:rPr>
                <w:rFonts w:eastAsia="Times New Roman" w:cs="Times New Roman"/>
                <w:bCs/>
                <w:sz w:val="20"/>
                <w:szCs w:val="20"/>
                <w:lang w:eastAsia="lv-LV"/>
              </w:rPr>
            </w:pPr>
            <w:r w:rsidRPr="00636020">
              <w:rPr>
                <w:rFonts w:eastAsia="Times New Roman" w:cs="Times New Roman"/>
                <w:bCs/>
                <w:sz w:val="20"/>
                <w:szCs w:val="20"/>
                <w:lang w:eastAsia="lv-LV"/>
              </w:rPr>
              <w:t>Nodokļu ieņēmumi</w:t>
            </w:r>
          </w:p>
        </w:tc>
        <w:tc>
          <w:tcPr>
            <w:tcW w:w="851" w:type="dxa"/>
            <w:shd w:val="clear" w:color="auto" w:fill="DEEAF6"/>
            <w:tcMar>
              <w:left w:w="57" w:type="dxa"/>
              <w:right w:w="57" w:type="dxa"/>
            </w:tcMar>
            <w:vAlign w:val="center"/>
          </w:tcPr>
          <w:p w14:paraId="3CBE43B0" w14:textId="77777777" w:rsidR="00E510C8" w:rsidRPr="00636020" w:rsidRDefault="00E510C8" w:rsidP="00E510C8">
            <w:pPr>
              <w:spacing w:line="259" w:lineRule="auto"/>
              <w:ind w:right="5" w:firstLine="0"/>
              <w:jc w:val="center"/>
              <w:rPr>
                <w:rFonts w:eastAsia="Times New Roman" w:cs="Times New Roman"/>
                <w:color w:val="FF0000"/>
                <w:sz w:val="20"/>
                <w:szCs w:val="20"/>
              </w:rPr>
            </w:pPr>
            <w:r w:rsidRPr="00636020">
              <w:rPr>
                <w:rFonts w:eastAsia="Times New Roman" w:cs="Times New Roman"/>
                <w:sz w:val="20"/>
                <w:szCs w:val="20"/>
              </w:rPr>
              <w:t>12 543,1</w:t>
            </w:r>
          </w:p>
        </w:tc>
        <w:tc>
          <w:tcPr>
            <w:tcW w:w="844" w:type="dxa"/>
            <w:shd w:val="clear" w:color="auto" w:fill="DEEAF6"/>
            <w:tcMar>
              <w:left w:w="57" w:type="dxa"/>
              <w:right w:w="57" w:type="dxa"/>
            </w:tcMar>
            <w:vAlign w:val="center"/>
          </w:tcPr>
          <w:p w14:paraId="6A378FF3" w14:textId="77777777" w:rsidR="00E510C8" w:rsidRPr="00636020" w:rsidRDefault="00E510C8" w:rsidP="00E510C8">
            <w:pPr>
              <w:spacing w:line="259" w:lineRule="auto"/>
              <w:ind w:right="5" w:firstLine="0"/>
              <w:jc w:val="center"/>
              <w:rPr>
                <w:rFonts w:eastAsia="Times New Roman" w:cs="Times New Roman"/>
                <w:color w:val="FF0000"/>
                <w:sz w:val="20"/>
                <w:szCs w:val="20"/>
              </w:rPr>
            </w:pPr>
            <w:r w:rsidRPr="00636020">
              <w:rPr>
                <w:rFonts w:eastAsia="Times New Roman" w:cs="Times New Roman"/>
                <w:sz w:val="20"/>
                <w:szCs w:val="20"/>
              </w:rPr>
              <w:t>13 365,9</w:t>
            </w:r>
          </w:p>
        </w:tc>
        <w:tc>
          <w:tcPr>
            <w:tcW w:w="851" w:type="dxa"/>
            <w:shd w:val="clear" w:color="auto" w:fill="DEEAF6"/>
            <w:tcMar>
              <w:left w:w="57" w:type="dxa"/>
              <w:right w:w="57" w:type="dxa"/>
            </w:tcMar>
            <w:vAlign w:val="center"/>
          </w:tcPr>
          <w:p w14:paraId="709A5562" w14:textId="77777777" w:rsidR="00E510C8" w:rsidRPr="00636020" w:rsidRDefault="00E510C8" w:rsidP="00E510C8">
            <w:pPr>
              <w:spacing w:line="259" w:lineRule="auto"/>
              <w:ind w:right="5" w:firstLine="0"/>
              <w:jc w:val="center"/>
              <w:rPr>
                <w:rFonts w:eastAsia="Times New Roman" w:cs="Times New Roman"/>
                <w:color w:val="FF0000"/>
                <w:sz w:val="20"/>
                <w:szCs w:val="20"/>
              </w:rPr>
            </w:pPr>
            <w:r w:rsidRPr="00636020">
              <w:rPr>
                <w:rFonts w:eastAsia="Times New Roman" w:cs="Times New Roman"/>
                <w:sz w:val="20"/>
                <w:szCs w:val="20"/>
              </w:rPr>
              <w:t>14 068,9</w:t>
            </w:r>
          </w:p>
        </w:tc>
        <w:tc>
          <w:tcPr>
            <w:tcW w:w="850" w:type="dxa"/>
            <w:shd w:val="clear" w:color="auto" w:fill="DEEAF6"/>
            <w:tcMar>
              <w:left w:w="57" w:type="dxa"/>
              <w:right w:w="57" w:type="dxa"/>
            </w:tcMar>
            <w:vAlign w:val="center"/>
          </w:tcPr>
          <w:p w14:paraId="6BCA9752" w14:textId="77777777" w:rsidR="00E510C8" w:rsidRPr="00636020" w:rsidRDefault="00E510C8" w:rsidP="00E510C8">
            <w:pPr>
              <w:spacing w:line="259" w:lineRule="auto"/>
              <w:ind w:right="5" w:firstLine="0"/>
              <w:jc w:val="center"/>
              <w:rPr>
                <w:rFonts w:eastAsia="Times New Roman" w:cs="Times New Roman"/>
                <w:color w:val="FF0000"/>
                <w:sz w:val="20"/>
                <w:szCs w:val="20"/>
              </w:rPr>
            </w:pPr>
            <w:r w:rsidRPr="00636020">
              <w:rPr>
                <w:rFonts w:eastAsia="Times New Roman" w:cs="Times New Roman"/>
                <w:sz w:val="20"/>
                <w:szCs w:val="20"/>
              </w:rPr>
              <w:t>14 789,6</w:t>
            </w:r>
          </w:p>
        </w:tc>
        <w:tc>
          <w:tcPr>
            <w:tcW w:w="709" w:type="dxa"/>
            <w:shd w:val="clear" w:color="auto" w:fill="DEEAF6"/>
            <w:tcMar>
              <w:left w:w="57" w:type="dxa"/>
              <w:right w:w="57" w:type="dxa"/>
            </w:tcMar>
            <w:vAlign w:val="center"/>
          </w:tcPr>
          <w:p w14:paraId="561C1568" w14:textId="77777777" w:rsidR="00E510C8" w:rsidRPr="00636020" w:rsidRDefault="00E510C8" w:rsidP="00E510C8">
            <w:pPr>
              <w:spacing w:line="259" w:lineRule="auto"/>
              <w:ind w:right="5" w:firstLine="0"/>
              <w:jc w:val="center"/>
              <w:rPr>
                <w:rFonts w:eastAsia="Times New Roman" w:cs="Times New Roman"/>
                <w:color w:val="FF0000"/>
                <w:sz w:val="20"/>
                <w:szCs w:val="20"/>
              </w:rPr>
            </w:pPr>
            <w:r w:rsidRPr="00636020">
              <w:rPr>
                <w:rFonts w:eastAsia="Times New Roman" w:cs="Times New Roman"/>
                <w:color w:val="000000"/>
                <w:sz w:val="20"/>
                <w:szCs w:val="20"/>
              </w:rPr>
              <w:t>72,9</w:t>
            </w:r>
          </w:p>
        </w:tc>
        <w:tc>
          <w:tcPr>
            <w:tcW w:w="709" w:type="dxa"/>
            <w:shd w:val="clear" w:color="auto" w:fill="DEEAF6"/>
            <w:tcMar>
              <w:left w:w="57" w:type="dxa"/>
              <w:right w:w="57" w:type="dxa"/>
            </w:tcMar>
            <w:vAlign w:val="center"/>
          </w:tcPr>
          <w:p w14:paraId="0E6E10EC" w14:textId="77777777" w:rsidR="00E510C8" w:rsidRPr="00636020" w:rsidRDefault="00E510C8" w:rsidP="00E510C8">
            <w:pPr>
              <w:spacing w:line="259" w:lineRule="auto"/>
              <w:ind w:right="5" w:firstLine="0"/>
              <w:jc w:val="center"/>
              <w:rPr>
                <w:rFonts w:eastAsia="Times New Roman" w:cs="Times New Roman"/>
                <w:color w:val="FF0000"/>
                <w:sz w:val="20"/>
                <w:szCs w:val="20"/>
              </w:rPr>
            </w:pPr>
            <w:r w:rsidRPr="00636020">
              <w:rPr>
                <w:rFonts w:eastAsia="Times New Roman" w:cs="Times New Roman"/>
                <w:color w:val="000000"/>
                <w:sz w:val="20"/>
                <w:szCs w:val="20"/>
              </w:rPr>
              <w:t>137,7</w:t>
            </w:r>
          </w:p>
        </w:tc>
        <w:tc>
          <w:tcPr>
            <w:tcW w:w="709" w:type="dxa"/>
            <w:shd w:val="clear" w:color="auto" w:fill="DEEAF6"/>
            <w:tcMar>
              <w:left w:w="57" w:type="dxa"/>
              <w:right w:w="57" w:type="dxa"/>
            </w:tcMar>
            <w:vAlign w:val="center"/>
          </w:tcPr>
          <w:p w14:paraId="2F8BF4EB" w14:textId="77777777" w:rsidR="00E510C8" w:rsidRPr="00636020" w:rsidRDefault="00E510C8" w:rsidP="00E510C8">
            <w:pPr>
              <w:spacing w:line="259" w:lineRule="auto"/>
              <w:ind w:right="5" w:firstLine="0"/>
              <w:jc w:val="center"/>
              <w:rPr>
                <w:rFonts w:eastAsia="Times New Roman" w:cs="Times New Roman"/>
                <w:color w:val="FF0000"/>
                <w:sz w:val="20"/>
                <w:szCs w:val="20"/>
              </w:rPr>
            </w:pPr>
            <w:r w:rsidRPr="00636020">
              <w:rPr>
                <w:rFonts w:eastAsia="Times New Roman" w:cs="Times New Roman"/>
                <w:color w:val="000000"/>
                <w:sz w:val="20"/>
                <w:szCs w:val="20"/>
              </w:rPr>
              <w:t>126,2</w:t>
            </w:r>
          </w:p>
        </w:tc>
        <w:tc>
          <w:tcPr>
            <w:tcW w:w="704" w:type="dxa"/>
            <w:shd w:val="clear" w:color="auto" w:fill="DEEAF6"/>
            <w:tcMar>
              <w:left w:w="57" w:type="dxa"/>
              <w:right w:w="57" w:type="dxa"/>
            </w:tcMar>
            <w:vAlign w:val="center"/>
          </w:tcPr>
          <w:p w14:paraId="273FA447" w14:textId="77777777" w:rsidR="00E510C8" w:rsidRPr="00636020" w:rsidRDefault="00E510C8" w:rsidP="00E510C8">
            <w:pPr>
              <w:spacing w:line="259" w:lineRule="auto"/>
              <w:ind w:right="5" w:firstLine="0"/>
              <w:jc w:val="center"/>
              <w:rPr>
                <w:rFonts w:eastAsia="Times New Roman" w:cs="Times New Roman"/>
                <w:color w:val="FF0000"/>
                <w:sz w:val="20"/>
                <w:szCs w:val="20"/>
              </w:rPr>
            </w:pPr>
            <w:r w:rsidRPr="00636020">
              <w:rPr>
                <w:rFonts w:eastAsia="Times New Roman" w:cs="Times New Roman"/>
                <w:color w:val="000000"/>
                <w:sz w:val="20"/>
                <w:szCs w:val="20"/>
              </w:rPr>
              <w:t>149,2</w:t>
            </w:r>
          </w:p>
        </w:tc>
      </w:tr>
      <w:tr w:rsidR="00E510C8" w:rsidRPr="00636020" w14:paraId="796233D2" w14:textId="77777777" w:rsidTr="00E510C8">
        <w:trPr>
          <w:gridAfter w:val="1"/>
          <w:wAfter w:w="10" w:type="dxa"/>
          <w:jc w:val="center"/>
        </w:trPr>
        <w:tc>
          <w:tcPr>
            <w:tcW w:w="2836" w:type="dxa"/>
            <w:shd w:val="clear" w:color="auto" w:fill="auto"/>
          </w:tcPr>
          <w:p w14:paraId="16C336FC" w14:textId="77777777" w:rsidR="00E510C8" w:rsidRPr="00636020" w:rsidRDefault="00E510C8" w:rsidP="00E510C8">
            <w:pPr>
              <w:spacing w:line="259" w:lineRule="auto"/>
              <w:ind w:left="283" w:firstLine="0"/>
              <w:jc w:val="left"/>
              <w:rPr>
                <w:rFonts w:eastAsia="Times New Roman" w:cs="Times New Roman"/>
                <w:bCs/>
                <w:i/>
                <w:sz w:val="20"/>
                <w:szCs w:val="20"/>
              </w:rPr>
            </w:pPr>
            <w:r w:rsidRPr="00636020">
              <w:rPr>
                <w:rFonts w:eastAsia="Times New Roman" w:cs="Times New Roman"/>
                <w:bCs/>
                <w:i/>
                <w:sz w:val="20"/>
                <w:szCs w:val="20"/>
              </w:rPr>
              <w:t>Iedzīvotāju ienākuma nodoklis</w:t>
            </w:r>
          </w:p>
        </w:tc>
        <w:tc>
          <w:tcPr>
            <w:tcW w:w="851" w:type="dxa"/>
            <w:shd w:val="clear" w:color="auto" w:fill="auto"/>
            <w:tcMar>
              <w:left w:w="57" w:type="dxa"/>
              <w:right w:w="57" w:type="dxa"/>
            </w:tcMar>
            <w:vAlign w:val="center"/>
          </w:tcPr>
          <w:p w14:paraId="5A2127D4" w14:textId="77777777" w:rsidR="00E510C8" w:rsidRPr="00636020" w:rsidRDefault="00E510C8" w:rsidP="00E510C8">
            <w:pPr>
              <w:spacing w:line="259" w:lineRule="auto"/>
              <w:ind w:right="5" w:firstLine="0"/>
              <w:jc w:val="center"/>
              <w:rPr>
                <w:rFonts w:eastAsia="Times New Roman" w:cs="Times New Roman"/>
                <w:color w:val="FF0000"/>
                <w:sz w:val="20"/>
                <w:szCs w:val="20"/>
              </w:rPr>
            </w:pPr>
            <w:r w:rsidRPr="00636020">
              <w:rPr>
                <w:rFonts w:eastAsia="Times New Roman" w:cs="Times New Roman"/>
                <w:sz w:val="20"/>
                <w:szCs w:val="20"/>
              </w:rPr>
              <w:t>2 383,3</w:t>
            </w:r>
          </w:p>
        </w:tc>
        <w:tc>
          <w:tcPr>
            <w:tcW w:w="844" w:type="dxa"/>
            <w:shd w:val="clear" w:color="auto" w:fill="auto"/>
            <w:tcMar>
              <w:left w:w="57" w:type="dxa"/>
              <w:right w:w="57" w:type="dxa"/>
            </w:tcMar>
            <w:vAlign w:val="center"/>
          </w:tcPr>
          <w:p w14:paraId="4501D864" w14:textId="77777777" w:rsidR="00E510C8" w:rsidRPr="00636020" w:rsidRDefault="00E510C8" w:rsidP="00E510C8">
            <w:pPr>
              <w:spacing w:line="259" w:lineRule="auto"/>
              <w:ind w:right="5" w:firstLine="0"/>
              <w:jc w:val="center"/>
              <w:rPr>
                <w:rFonts w:eastAsia="Times New Roman" w:cs="Times New Roman"/>
                <w:color w:val="FF0000"/>
                <w:sz w:val="20"/>
                <w:szCs w:val="20"/>
              </w:rPr>
            </w:pPr>
            <w:r w:rsidRPr="00636020">
              <w:rPr>
                <w:rFonts w:eastAsia="Times New Roman" w:cs="Times New Roman"/>
                <w:sz w:val="20"/>
                <w:szCs w:val="20"/>
              </w:rPr>
              <w:t>2 576,4</w:t>
            </w:r>
          </w:p>
        </w:tc>
        <w:tc>
          <w:tcPr>
            <w:tcW w:w="851" w:type="dxa"/>
            <w:tcMar>
              <w:left w:w="57" w:type="dxa"/>
              <w:right w:w="57" w:type="dxa"/>
            </w:tcMar>
            <w:vAlign w:val="center"/>
          </w:tcPr>
          <w:p w14:paraId="72D74F23" w14:textId="77777777" w:rsidR="00E510C8" w:rsidRPr="00636020" w:rsidRDefault="00E510C8" w:rsidP="00E510C8">
            <w:pPr>
              <w:spacing w:line="259" w:lineRule="auto"/>
              <w:ind w:right="5" w:firstLine="0"/>
              <w:jc w:val="center"/>
              <w:rPr>
                <w:rFonts w:eastAsia="Times New Roman" w:cs="Times New Roman"/>
                <w:color w:val="FF0000"/>
                <w:sz w:val="20"/>
                <w:szCs w:val="20"/>
              </w:rPr>
            </w:pPr>
            <w:r w:rsidRPr="00636020">
              <w:rPr>
                <w:rFonts w:eastAsia="Times New Roman" w:cs="Times New Roman"/>
                <w:sz w:val="20"/>
                <w:szCs w:val="20"/>
              </w:rPr>
              <w:t>2 703,5</w:t>
            </w:r>
          </w:p>
        </w:tc>
        <w:tc>
          <w:tcPr>
            <w:tcW w:w="850" w:type="dxa"/>
            <w:shd w:val="clear" w:color="auto" w:fill="auto"/>
            <w:tcMar>
              <w:left w:w="57" w:type="dxa"/>
              <w:right w:w="57" w:type="dxa"/>
            </w:tcMar>
            <w:vAlign w:val="center"/>
          </w:tcPr>
          <w:p w14:paraId="4903F79D" w14:textId="77777777" w:rsidR="00E510C8" w:rsidRPr="00636020" w:rsidRDefault="00E510C8" w:rsidP="00E510C8">
            <w:pPr>
              <w:spacing w:line="259" w:lineRule="auto"/>
              <w:ind w:right="5" w:firstLine="0"/>
              <w:jc w:val="center"/>
              <w:rPr>
                <w:rFonts w:eastAsia="Times New Roman" w:cs="Times New Roman"/>
                <w:color w:val="FF0000"/>
                <w:sz w:val="20"/>
                <w:szCs w:val="20"/>
              </w:rPr>
            </w:pPr>
            <w:r w:rsidRPr="00636020">
              <w:rPr>
                <w:rFonts w:eastAsia="Times New Roman" w:cs="Times New Roman"/>
                <w:sz w:val="20"/>
                <w:szCs w:val="20"/>
              </w:rPr>
              <w:t>2 845,7</w:t>
            </w:r>
          </w:p>
        </w:tc>
        <w:tc>
          <w:tcPr>
            <w:tcW w:w="709" w:type="dxa"/>
            <w:shd w:val="clear" w:color="auto" w:fill="auto"/>
            <w:tcMar>
              <w:left w:w="57" w:type="dxa"/>
              <w:right w:w="57" w:type="dxa"/>
            </w:tcMar>
            <w:vAlign w:val="center"/>
          </w:tcPr>
          <w:p w14:paraId="383F0C4A" w14:textId="77777777" w:rsidR="00E510C8" w:rsidRPr="00636020" w:rsidRDefault="00E510C8" w:rsidP="00E510C8">
            <w:pPr>
              <w:spacing w:line="259" w:lineRule="auto"/>
              <w:ind w:right="5" w:firstLine="0"/>
              <w:jc w:val="center"/>
              <w:rPr>
                <w:rFonts w:eastAsia="Times New Roman" w:cs="Times New Roman"/>
                <w:sz w:val="20"/>
                <w:szCs w:val="20"/>
              </w:rPr>
            </w:pPr>
            <w:r w:rsidRPr="00636020">
              <w:rPr>
                <w:rFonts w:eastAsia="Times New Roman" w:cs="Times New Roman"/>
                <w:sz w:val="20"/>
                <w:szCs w:val="20"/>
              </w:rPr>
              <w:t>15,3</w:t>
            </w:r>
          </w:p>
        </w:tc>
        <w:tc>
          <w:tcPr>
            <w:tcW w:w="709" w:type="dxa"/>
            <w:shd w:val="clear" w:color="auto" w:fill="auto"/>
            <w:tcMar>
              <w:left w:w="57" w:type="dxa"/>
              <w:right w:w="57" w:type="dxa"/>
            </w:tcMar>
            <w:vAlign w:val="center"/>
          </w:tcPr>
          <w:p w14:paraId="65C74CF2" w14:textId="77777777" w:rsidR="00E510C8" w:rsidRPr="00636020" w:rsidRDefault="00E510C8" w:rsidP="00E510C8">
            <w:pPr>
              <w:spacing w:line="259" w:lineRule="auto"/>
              <w:ind w:right="5" w:firstLine="0"/>
              <w:jc w:val="center"/>
              <w:rPr>
                <w:rFonts w:eastAsia="Times New Roman" w:cs="Times New Roman"/>
                <w:sz w:val="20"/>
                <w:szCs w:val="20"/>
              </w:rPr>
            </w:pPr>
            <w:r w:rsidRPr="00636020">
              <w:rPr>
                <w:rFonts w:eastAsia="Times New Roman" w:cs="Times New Roman"/>
                <w:sz w:val="20"/>
                <w:szCs w:val="20"/>
              </w:rPr>
              <w:t>35,4</w:t>
            </w:r>
          </w:p>
        </w:tc>
        <w:tc>
          <w:tcPr>
            <w:tcW w:w="709" w:type="dxa"/>
            <w:tcMar>
              <w:left w:w="57" w:type="dxa"/>
              <w:right w:w="57" w:type="dxa"/>
            </w:tcMar>
            <w:vAlign w:val="center"/>
          </w:tcPr>
          <w:p w14:paraId="29DFC67E" w14:textId="77777777" w:rsidR="00E510C8" w:rsidRPr="00636020" w:rsidRDefault="00E510C8" w:rsidP="00E510C8">
            <w:pPr>
              <w:spacing w:line="259" w:lineRule="auto"/>
              <w:ind w:right="5" w:firstLine="0"/>
              <w:jc w:val="center"/>
              <w:rPr>
                <w:rFonts w:eastAsia="Times New Roman" w:cs="Times New Roman"/>
                <w:sz w:val="20"/>
                <w:szCs w:val="20"/>
              </w:rPr>
            </w:pPr>
            <w:r w:rsidRPr="00636020">
              <w:rPr>
                <w:rFonts w:eastAsia="Times New Roman" w:cs="Times New Roman"/>
                <w:sz w:val="20"/>
                <w:szCs w:val="20"/>
              </w:rPr>
              <w:t>31,5</w:t>
            </w:r>
          </w:p>
        </w:tc>
        <w:tc>
          <w:tcPr>
            <w:tcW w:w="704" w:type="dxa"/>
            <w:shd w:val="clear" w:color="auto" w:fill="auto"/>
            <w:tcMar>
              <w:left w:w="57" w:type="dxa"/>
              <w:right w:w="57" w:type="dxa"/>
            </w:tcMar>
            <w:vAlign w:val="center"/>
          </w:tcPr>
          <w:p w14:paraId="08CE9CCE" w14:textId="77777777" w:rsidR="00E510C8" w:rsidRPr="00636020" w:rsidRDefault="00E510C8" w:rsidP="00E510C8">
            <w:pPr>
              <w:spacing w:line="259" w:lineRule="auto"/>
              <w:ind w:right="5" w:firstLine="0"/>
              <w:jc w:val="center"/>
              <w:rPr>
                <w:rFonts w:eastAsia="Times New Roman" w:cs="Times New Roman"/>
                <w:sz w:val="20"/>
                <w:szCs w:val="20"/>
              </w:rPr>
            </w:pPr>
            <w:r w:rsidRPr="00636020">
              <w:rPr>
                <w:rFonts w:eastAsia="Times New Roman" w:cs="Times New Roman"/>
                <w:sz w:val="20"/>
                <w:szCs w:val="20"/>
              </w:rPr>
              <w:t>45,7</w:t>
            </w:r>
          </w:p>
        </w:tc>
      </w:tr>
      <w:tr w:rsidR="00E510C8" w:rsidRPr="00636020" w14:paraId="5DF167A2" w14:textId="77777777" w:rsidTr="00E510C8">
        <w:trPr>
          <w:gridAfter w:val="1"/>
          <w:wAfter w:w="10" w:type="dxa"/>
          <w:jc w:val="center"/>
        </w:trPr>
        <w:tc>
          <w:tcPr>
            <w:tcW w:w="2836" w:type="dxa"/>
            <w:shd w:val="clear" w:color="auto" w:fill="DEEAF6"/>
          </w:tcPr>
          <w:p w14:paraId="476AE6D7" w14:textId="77777777" w:rsidR="00E510C8" w:rsidRPr="00636020" w:rsidRDefault="00E510C8" w:rsidP="00E510C8">
            <w:pPr>
              <w:spacing w:line="259" w:lineRule="auto"/>
              <w:ind w:left="283" w:firstLine="0"/>
              <w:jc w:val="left"/>
              <w:rPr>
                <w:rFonts w:eastAsia="Times New Roman" w:cs="Times New Roman"/>
                <w:bCs/>
                <w:i/>
                <w:sz w:val="20"/>
                <w:szCs w:val="20"/>
              </w:rPr>
            </w:pPr>
            <w:r w:rsidRPr="00636020">
              <w:rPr>
                <w:rFonts w:eastAsia="Times New Roman" w:cs="Times New Roman"/>
                <w:bCs/>
                <w:i/>
                <w:sz w:val="20"/>
                <w:szCs w:val="20"/>
              </w:rPr>
              <w:t>Uzņēmuma ienākuma nodoklis</w:t>
            </w:r>
          </w:p>
        </w:tc>
        <w:tc>
          <w:tcPr>
            <w:tcW w:w="851" w:type="dxa"/>
            <w:shd w:val="clear" w:color="auto" w:fill="DEEAF6"/>
            <w:tcMar>
              <w:left w:w="57" w:type="dxa"/>
              <w:right w:w="57" w:type="dxa"/>
            </w:tcMar>
            <w:vAlign w:val="center"/>
          </w:tcPr>
          <w:p w14:paraId="6B26A124" w14:textId="77777777" w:rsidR="00E510C8" w:rsidRPr="00636020" w:rsidRDefault="00E510C8" w:rsidP="00E510C8">
            <w:pPr>
              <w:spacing w:line="259" w:lineRule="auto"/>
              <w:ind w:right="5" w:firstLine="0"/>
              <w:jc w:val="center"/>
              <w:rPr>
                <w:rFonts w:eastAsia="Times New Roman" w:cs="Times New Roman"/>
                <w:color w:val="FF0000"/>
                <w:sz w:val="20"/>
                <w:szCs w:val="20"/>
              </w:rPr>
            </w:pPr>
            <w:r w:rsidRPr="00636020">
              <w:rPr>
                <w:rFonts w:eastAsia="Times New Roman" w:cs="Times New Roman"/>
                <w:sz w:val="20"/>
                <w:szCs w:val="20"/>
              </w:rPr>
              <w:t>400,4</w:t>
            </w:r>
          </w:p>
        </w:tc>
        <w:tc>
          <w:tcPr>
            <w:tcW w:w="844" w:type="dxa"/>
            <w:shd w:val="clear" w:color="auto" w:fill="DEEAF6"/>
            <w:tcMar>
              <w:left w:w="57" w:type="dxa"/>
              <w:right w:w="57" w:type="dxa"/>
            </w:tcMar>
            <w:vAlign w:val="center"/>
          </w:tcPr>
          <w:p w14:paraId="4400D684" w14:textId="77777777" w:rsidR="00E510C8" w:rsidRPr="00636020" w:rsidRDefault="00E510C8" w:rsidP="00E510C8">
            <w:pPr>
              <w:spacing w:line="259" w:lineRule="auto"/>
              <w:ind w:right="5" w:firstLine="0"/>
              <w:jc w:val="center"/>
              <w:rPr>
                <w:rFonts w:eastAsia="Times New Roman" w:cs="Times New Roman"/>
                <w:color w:val="FF0000"/>
                <w:sz w:val="20"/>
                <w:szCs w:val="20"/>
              </w:rPr>
            </w:pPr>
            <w:r w:rsidRPr="00636020">
              <w:rPr>
                <w:rFonts w:eastAsia="Times New Roman" w:cs="Times New Roman"/>
                <w:sz w:val="20"/>
                <w:szCs w:val="20"/>
              </w:rPr>
              <w:t>422,9</w:t>
            </w:r>
          </w:p>
        </w:tc>
        <w:tc>
          <w:tcPr>
            <w:tcW w:w="851" w:type="dxa"/>
            <w:shd w:val="clear" w:color="auto" w:fill="DEEAF6"/>
            <w:tcMar>
              <w:left w:w="57" w:type="dxa"/>
              <w:right w:w="57" w:type="dxa"/>
            </w:tcMar>
            <w:vAlign w:val="center"/>
          </w:tcPr>
          <w:p w14:paraId="6F326A48" w14:textId="77777777" w:rsidR="00E510C8" w:rsidRPr="00636020" w:rsidRDefault="00E510C8" w:rsidP="00E510C8">
            <w:pPr>
              <w:spacing w:line="259" w:lineRule="auto"/>
              <w:ind w:right="5" w:firstLine="0"/>
              <w:jc w:val="center"/>
              <w:rPr>
                <w:rFonts w:eastAsia="Times New Roman" w:cs="Times New Roman"/>
                <w:color w:val="FF0000"/>
                <w:sz w:val="20"/>
                <w:szCs w:val="20"/>
              </w:rPr>
            </w:pPr>
            <w:r w:rsidRPr="00636020">
              <w:rPr>
                <w:rFonts w:eastAsia="Times New Roman" w:cs="Times New Roman"/>
                <w:sz w:val="20"/>
                <w:szCs w:val="20"/>
              </w:rPr>
              <w:t>446,8</w:t>
            </w:r>
          </w:p>
        </w:tc>
        <w:tc>
          <w:tcPr>
            <w:tcW w:w="850" w:type="dxa"/>
            <w:shd w:val="clear" w:color="auto" w:fill="DEEAF6"/>
            <w:tcMar>
              <w:left w:w="57" w:type="dxa"/>
              <w:right w:w="57" w:type="dxa"/>
            </w:tcMar>
            <w:vAlign w:val="center"/>
          </w:tcPr>
          <w:p w14:paraId="7C242E4F" w14:textId="77777777" w:rsidR="00E510C8" w:rsidRPr="00636020" w:rsidRDefault="00E510C8" w:rsidP="00E510C8">
            <w:pPr>
              <w:spacing w:line="259" w:lineRule="auto"/>
              <w:ind w:right="5" w:firstLine="0"/>
              <w:jc w:val="center"/>
              <w:rPr>
                <w:rFonts w:eastAsia="Times New Roman" w:cs="Times New Roman"/>
                <w:color w:val="FF0000"/>
                <w:sz w:val="20"/>
                <w:szCs w:val="20"/>
              </w:rPr>
            </w:pPr>
            <w:r w:rsidRPr="00636020">
              <w:rPr>
                <w:rFonts w:eastAsia="Times New Roman" w:cs="Times New Roman"/>
                <w:sz w:val="20"/>
                <w:szCs w:val="20"/>
              </w:rPr>
              <w:t>494,3</w:t>
            </w:r>
          </w:p>
        </w:tc>
        <w:tc>
          <w:tcPr>
            <w:tcW w:w="709" w:type="dxa"/>
            <w:shd w:val="clear" w:color="auto" w:fill="DEEAF6"/>
            <w:tcMar>
              <w:left w:w="57" w:type="dxa"/>
              <w:right w:w="57" w:type="dxa"/>
            </w:tcMar>
            <w:vAlign w:val="center"/>
          </w:tcPr>
          <w:p w14:paraId="13118B1B" w14:textId="77777777" w:rsidR="00E510C8" w:rsidRPr="00636020" w:rsidRDefault="00E510C8" w:rsidP="00E510C8">
            <w:pPr>
              <w:spacing w:line="259" w:lineRule="auto"/>
              <w:ind w:right="5" w:firstLine="0"/>
              <w:jc w:val="center"/>
              <w:rPr>
                <w:rFonts w:eastAsia="Times New Roman" w:cs="Times New Roman"/>
                <w:sz w:val="20"/>
                <w:szCs w:val="20"/>
              </w:rPr>
            </w:pPr>
            <w:r w:rsidRPr="00636020">
              <w:rPr>
                <w:rFonts w:eastAsia="Times New Roman" w:cs="Times New Roman"/>
                <w:sz w:val="20"/>
                <w:szCs w:val="20"/>
              </w:rPr>
              <w:t>-1,6</w:t>
            </w:r>
          </w:p>
        </w:tc>
        <w:tc>
          <w:tcPr>
            <w:tcW w:w="709" w:type="dxa"/>
            <w:shd w:val="clear" w:color="auto" w:fill="DEEAF6"/>
            <w:tcMar>
              <w:left w:w="57" w:type="dxa"/>
              <w:right w:w="57" w:type="dxa"/>
            </w:tcMar>
            <w:vAlign w:val="center"/>
          </w:tcPr>
          <w:p w14:paraId="23124EC5" w14:textId="77777777" w:rsidR="00E510C8" w:rsidRPr="00636020" w:rsidRDefault="00E510C8" w:rsidP="00E510C8">
            <w:pPr>
              <w:spacing w:line="259" w:lineRule="auto"/>
              <w:ind w:right="5" w:firstLine="0"/>
              <w:jc w:val="center"/>
              <w:rPr>
                <w:rFonts w:eastAsia="Times New Roman" w:cs="Times New Roman"/>
                <w:sz w:val="20"/>
                <w:szCs w:val="20"/>
              </w:rPr>
            </w:pPr>
            <w:r w:rsidRPr="00636020">
              <w:rPr>
                <w:rFonts w:eastAsia="Times New Roman" w:cs="Times New Roman"/>
                <w:sz w:val="20"/>
                <w:szCs w:val="20"/>
              </w:rPr>
              <w:t>0,9</w:t>
            </w:r>
          </w:p>
        </w:tc>
        <w:tc>
          <w:tcPr>
            <w:tcW w:w="709" w:type="dxa"/>
            <w:shd w:val="clear" w:color="auto" w:fill="DEEAF6"/>
            <w:tcMar>
              <w:left w:w="57" w:type="dxa"/>
              <w:right w:w="57" w:type="dxa"/>
            </w:tcMar>
            <w:vAlign w:val="center"/>
          </w:tcPr>
          <w:p w14:paraId="1064ABBE" w14:textId="77777777" w:rsidR="00E510C8" w:rsidRPr="00636020" w:rsidRDefault="00E510C8" w:rsidP="00E510C8">
            <w:pPr>
              <w:spacing w:line="259" w:lineRule="auto"/>
              <w:ind w:right="5" w:firstLine="0"/>
              <w:jc w:val="center"/>
              <w:rPr>
                <w:rFonts w:eastAsia="Times New Roman" w:cs="Times New Roman"/>
                <w:sz w:val="20"/>
                <w:szCs w:val="20"/>
              </w:rPr>
            </w:pPr>
            <w:r w:rsidRPr="00636020">
              <w:rPr>
                <w:rFonts w:eastAsia="Times New Roman" w:cs="Times New Roman"/>
                <w:sz w:val="20"/>
                <w:szCs w:val="20"/>
              </w:rPr>
              <w:t>-0,2</w:t>
            </w:r>
          </w:p>
        </w:tc>
        <w:tc>
          <w:tcPr>
            <w:tcW w:w="704" w:type="dxa"/>
            <w:shd w:val="clear" w:color="auto" w:fill="DEEAF6"/>
            <w:tcMar>
              <w:left w:w="57" w:type="dxa"/>
              <w:right w:w="57" w:type="dxa"/>
            </w:tcMar>
            <w:vAlign w:val="center"/>
          </w:tcPr>
          <w:p w14:paraId="011D5924" w14:textId="77777777" w:rsidR="00E510C8" w:rsidRPr="00636020" w:rsidRDefault="00E510C8" w:rsidP="00E510C8">
            <w:pPr>
              <w:spacing w:line="259" w:lineRule="auto"/>
              <w:ind w:right="5" w:firstLine="0"/>
              <w:jc w:val="center"/>
              <w:rPr>
                <w:rFonts w:eastAsia="Times New Roman" w:cs="Times New Roman"/>
                <w:sz w:val="20"/>
                <w:szCs w:val="20"/>
              </w:rPr>
            </w:pPr>
            <w:r w:rsidRPr="00636020">
              <w:rPr>
                <w:rFonts w:eastAsia="Times New Roman" w:cs="Times New Roman"/>
                <w:sz w:val="20"/>
                <w:szCs w:val="20"/>
              </w:rPr>
              <w:t>0,05</w:t>
            </w:r>
          </w:p>
        </w:tc>
      </w:tr>
      <w:tr w:rsidR="00E510C8" w:rsidRPr="00636020" w14:paraId="14A3E3AA" w14:textId="77777777" w:rsidTr="00E510C8">
        <w:trPr>
          <w:gridAfter w:val="1"/>
          <w:wAfter w:w="10" w:type="dxa"/>
          <w:jc w:val="center"/>
        </w:trPr>
        <w:tc>
          <w:tcPr>
            <w:tcW w:w="2836" w:type="dxa"/>
            <w:shd w:val="clear" w:color="auto" w:fill="auto"/>
          </w:tcPr>
          <w:p w14:paraId="11219C7B" w14:textId="77777777" w:rsidR="00E510C8" w:rsidRPr="00636020" w:rsidRDefault="00E510C8" w:rsidP="00E510C8">
            <w:pPr>
              <w:spacing w:line="259" w:lineRule="auto"/>
              <w:ind w:left="283" w:firstLine="0"/>
              <w:jc w:val="left"/>
              <w:rPr>
                <w:rFonts w:eastAsia="Times New Roman" w:cs="Times New Roman"/>
                <w:bCs/>
                <w:i/>
                <w:sz w:val="20"/>
                <w:szCs w:val="20"/>
              </w:rPr>
            </w:pPr>
            <w:r w:rsidRPr="00636020">
              <w:rPr>
                <w:rFonts w:eastAsia="Times New Roman" w:cs="Times New Roman"/>
                <w:bCs/>
                <w:i/>
                <w:sz w:val="20"/>
                <w:szCs w:val="20"/>
              </w:rPr>
              <w:t>PVN</w:t>
            </w:r>
          </w:p>
        </w:tc>
        <w:tc>
          <w:tcPr>
            <w:tcW w:w="851" w:type="dxa"/>
            <w:shd w:val="clear" w:color="auto" w:fill="auto"/>
            <w:tcMar>
              <w:left w:w="57" w:type="dxa"/>
              <w:right w:w="57" w:type="dxa"/>
            </w:tcMar>
            <w:vAlign w:val="center"/>
          </w:tcPr>
          <w:p w14:paraId="517CC578" w14:textId="77777777" w:rsidR="00E510C8" w:rsidRPr="00636020" w:rsidRDefault="00E510C8" w:rsidP="00E510C8">
            <w:pPr>
              <w:spacing w:line="259" w:lineRule="auto"/>
              <w:ind w:right="5" w:firstLine="0"/>
              <w:jc w:val="center"/>
              <w:rPr>
                <w:rFonts w:eastAsia="Times New Roman" w:cs="Times New Roman"/>
                <w:color w:val="FF0000"/>
                <w:sz w:val="20"/>
                <w:szCs w:val="20"/>
              </w:rPr>
            </w:pPr>
            <w:r w:rsidRPr="00636020">
              <w:rPr>
                <w:rFonts w:eastAsia="Times New Roman" w:cs="Times New Roman"/>
                <w:sz w:val="20"/>
                <w:szCs w:val="20"/>
              </w:rPr>
              <w:t>3 929,9</w:t>
            </w:r>
          </w:p>
        </w:tc>
        <w:tc>
          <w:tcPr>
            <w:tcW w:w="844" w:type="dxa"/>
            <w:shd w:val="clear" w:color="auto" w:fill="auto"/>
            <w:tcMar>
              <w:left w:w="57" w:type="dxa"/>
              <w:right w:w="57" w:type="dxa"/>
            </w:tcMar>
            <w:vAlign w:val="center"/>
          </w:tcPr>
          <w:p w14:paraId="3AB05B92" w14:textId="77777777" w:rsidR="00E510C8" w:rsidRPr="00636020" w:rsidRDefault="00E510C8" w:rsidP="00E510C8">
            <w:pPr>
              <w:spacing w:line="259" w:lineRule="auto"/>
              <w:ind w:right="5" w:firstLine="0"/>
              <w:jc w:val="center"/>
              <w:rPr>
                <w:rFonts w:eastAsia="Times New Roman" w:cs="Times New Roman"/>
                <w:color w:val="FF0000"/>
                <w:sz w:val="20"/>
                <w:szCs w:val="20"/>
              </w:rPr>
            </w:pPr>
            <w:r w:rsidRPr="00636020">
              <w:rPr>
                <w:rFonts w:eastAsia="Times New Roman" w:cs="Times New Roman"/>
                <w:sz w:val="20"/>
                <w:szCs w:val="20"/>
              </w:rPr>
              <w:t>4 125,7</w:t>
            </w:r>
          </w:p>
        </w:tc>
        <w:tc>
          <w:tcPr>
            <w:tcW w:w="851" w:type="dxa"/>
            <w:tcMar>
              <w:left w:w="57" w:type="dxa"/>
              <w:right w:w="57" w:type="dxa"/>
            </w:tcMar>
            <w:vAlign w:val="center"/>
          </w:tcPr>
          <w:p w14:paraId="1AB5B4C0" w14:textId="77777777" w:rsidR="00E510C8" w:rsidRPr="00636020" w:rsidRDefault="00E510C8" w:rsidP="00E510C8">
            <w:pPr>
              <w:spacing w:line="259" w:lineRule="auto"/>
              <w:ind w:right="5" w:firstLine="0"/>
              <w:jc w:val="center"/>
              <w:rPr>
                <w:rFonts w:eastAsia="Times New Roman" w:cs="Times New Roman"/>
                <w:color w:val="FF0000"/>
                <w:sz w:val="20"/>
                <w:szCs w:val="20"/>
              </w:rPr>
            </w:pPr>
            <w:r w:rsidRPr="00636020">
              <w:rPr>
                <w:rFonts w:eastAsia="Times New Roman" w:cs="Times New Roman"/>
                <w:sz w:val="20"/>
                <w:szCs w:val="20"/>
              </w:rPr>
              <w:t>4 365,8</w:t>
            </w:r>
          </w:p>
        </w:tc>
        <w:tc>
          <w:tcPr>
            <w:tcW w:w="850" w:type="dxa"/>
            <w:shd w:val="clear" w:color="auto" w:fill="auto"/>
            <w:tcMar>
              <w:left w:w="57" w:type="dxa"/>
              <w:right w:w="57" w:type="dxa"/>
            </w:tcMar>
            <w:vAlign w:val="center"/>
          </w:tcPr>
          <w:p w14:paraId="47E3F2E1" w14:textId="77777777" w:rsidR="00E510C8" w:rsidRPr="00636020" w:rsidRDefault="00E510C8" w:rsidP="00E510C8">
            <w:pPr>
              <w:spacing w:line="259" w:lineRule="auto"/>
              <w:ind w:right="5" w:firstLine="0"/>
              <w:jc w:val="center"/>
              <w:rPr>
                <w:rFonts w:eastAsia="Times New Roman" w:cs="Times New Roman"/>
                <w:color w:val="FF0000"/>
                <w:sz w:val="20"/>
                <w:szCs w:val="20"/>
              </w:rPr>
            </w:pPr>
            <w:r w:rsidRPr="00636020">
              <w:rPr>
                <w:rFonts w:eastAsia="Times New Roman" w:cs="Times New Roman"/>
                <w:sz w:val="20"/>
                <w:szCs w:val="20"/>
              </w:rPr>
              <w:t>4 608,7</w:t>
            </w:r>
          </w:p>
        </w:tc>
        <w:tc>
          <w:tcPr>
            <w:tcW w:w="709" w:type="dxa"/>
            <w:shd w:val="clear" w:color="auto" w:fill="auto"/>
            <w:tcMar>
              <w:left w:w="57" w:type="dxa"/>
              <w:right w:w="57" w:type="dxa"/>
            </w:tcMar>
            <w:vAlign w:val="center"/>
          </w:tcPr>
          <w:p w14:paraId="0EE9865F" w14:textId="77777777" w:rsidR="00E510C8" w:rsidRPr="00636020" w:rsidRDefault="00E510C8" w:rsidP="00E510C8">
            <w:pPr>
              <w:spacing w:line="259" w:lineRule="auto"/>
              <w:ind w:right="5" w:firstLine="0"/>
              <w:jc w:val="center"/>
              <w:rPr>
                <w:rFonts w:eastAsia="Times New Roman" w:cs="Times New Roman"/>
                <w:sz w:val="20"/>
                <w:szCs w:val="20"/>
              </w:rPr>
            </w:pPr>
            <w:r w:rsidRPr="00636020">
              <w:rPr>
                <w:rFonts w:eastAsia="Times New Roman" w:cs="Times New Roman"/>
                <w:sz w:val="20"/>
                <w:szCs w:val="20"/>
              </w:rPr>
              <w:t>35,2</w:t>
            </w:r>
          </w:p>
        </w:tc>
        <w:tc>
          <w:tcPr>
            <w:tcW w:w="709" w:type="dxa"/>
            <w:shd w:val="clear" w:color="auto" w:fill="auto"/>
            <w:tcMar>
              <w:left w:w="57" w:type="dxa"/>
              <w:right w:w="57" w:type="dxa"/>
            </w:tcMar>
            <w:vAlign w:val="center"/>
          </w:tcPr>
          <w:p w14:paraId="2FD49BD1" w14:textId="77777777" w:rsidR="00E510C8" w:rsidRPr="00636020" w:rsidRDefault="00E510C8" w:rsidP="00E510C8">
            <w:pPr>
              <w:spacing w:line="259" w:lineRule="auto"/>
              <w:ind w:right="5" w:firstLine="0"/>
              <w:jc w:val="center"/>
              <w:rPr>
                <w:rFonts w:eastAsia="Times New Roman" w:cs="Times New Roman"/>
                <w:sz w:val="20"/>
                <w:szCs w:val="20"/>
              </w:rPr>
            </w:pPr>
            <w:r w:rsidRPr="00636020">
              <w:rPr>
                <w:rFonts w:eastAsia="Times New Roman" w:cs="Times New Roman"/>
                <w:sz w:val="20"/>
                <w:szCs w:val="20"/>
              </w:rPr>
              <w:t>38,8</w:t>
            </w:r>
          </w:p>
        </w:tc>
        <w:tc>
          <w:tcPr>
            <w:tcW w:w="709" w:type="dxa"/>
            <w:tcMar>
              <w:left w:w="57" w:type="dxa"/>
              <w:right w:w="57" w:type="dxa"/>
            </w:tcMar>
            <w:vAlign w:val="center"/>
          </w:tcPr>
          <w:p w14:paraId="0A6A6856" w14:textId="77777777" w:rsidR="00E510C8" w:rsidRPr="00636020" w:rsidRDefault="00E510C8" w:rsidP="00E510C8">
            <w:pPr>
              <w:spacing w:line="259" w:lineRule="auto"/>
              <w:ind w:right="5" w:firstLine="0"/>
              <w:jc w:val="center"/>
              <w:rPr>
                <w:rFonts w:eastAsia="Times New Roman" w:cs="Times New Roman"/>
                <w:sz w:val="20"/>
                <w:szCs w:val="20"/>
              </w:rPr>
            </w:pPr>
            <w:r w:rsidRPr="00636020">
              <w:rPr>
                <w:rFonts w:eastAsia="Times New Roman" w:cs="Times New Roman"/>
                <w:sz w:val="20"/>
                <w:szCs w:val="20"/>
              </w:rPr>
              <w:t>31,0</w:t>
            </w:r>
          </w:p>
        </w:tc>
        <w:tc>
          <w:tcPr>
            <w:tcW w:w="704" w:type="dxa"/>
            <w:shd w:val="clear" w:color="auto" w:fill="auto"/>
            <w:tcMar>
              <w:left w:w="57" w:type="dxa"/>
              <w:right w:w="57" w:type="dxa"/>
            </w:tcMar>
            <w:vAlign w:val="center"/>
          </w:tcPr>
          <w:p w14:paraId="2F3162B1" w14:textId="77777777" w:rsidR="00E510C8" w:rsidRPr="00636020" w:rsidRDefault="00E510C8" w:rsidP="00E510C8">
            <w:pPr>
              <w:spacing w:line="259" w:lineRule="auto"/>
              <w:ind w:right="5" w:firstLine="0"/>
              <w:jc w:val="center"/>
              <w:rPr>
                <w:rFonts w:eastAsia="Times New Roman" w:cs="Times New Roman"/>
                <w:sz w:val="20"/>
                <w:szCs w:val="20"/>
              </w:rPr>
            </w:pPr>
            <w:r w:rsidRPr="00636020">
              <w:rPr>
                <w:rFonts w:eastAsia="Times New Roman" w:cs="Times New Roman"/>
                <w:sz w:val="20"/>
                <w:szCs w:val="20"/>
              </w:rPr>
              <w:t>35,1</w:t>
            </w:r>
          </w:p>
        </w:tc>
      </w:tr>
      <w:tr w:rsidR="00E510C8" w:rsidRPr="00636020" w14:paraId="16986EB0" w14:textId="77777777" w:rsidTr="00E510C8">
        <w:trPr>
          <w:gridAfter w:val="1"/>
          <w:wAfter w:w="10" w:type="dxa"/>
          <w:jc w:val="center"/>
        </w:trPr>
        <w:tc>
          <w:tcPr>
            <w:tcW w:w="2836" w:type="dxa"/>
            <w:shd w:val="clear" w:color="auto" w:fill="DEEAF6"/>
          </w:tcPr>
          <w:p w14:paraId="6E61AF8C" w14:textId="77777777" w:rsidR="00E510C8" w:rsidRPr="00636020" w:rsidRDefault="00E510C8" w:rsidP="00E510C8">
            <w:pPr>
              <w:spacing w:line="259" w:lineRule="auto"/>
              <w:ind w:left="283" w:firstLine="0"/>
              <w:jc w:val="left"/>
              <w:rPr>
                <w:rFonts w:eastAsia="Times New Roman" w:cs="Times New Roman"/>
                <w:bCs/>
                <w:i/>
                <w:sz w:val="20"/>
                <w:szCs w:val="20"/>
              </w:rPr>
            </w:pPr>
            <w:r w:rsidRPr="00636020">
              <w:rPr>
                <w:rFonts w:eastAsia="Times New Roman" w:cs="Times New Roman"/>
                <w:bCs/>
                <w:i/>
                <w:sz w:val="20"/>
                <w:szCs w:val="20"/>
              </w:rPr>
              <w:t>Valsts sociālās apdrošināšanas obligātās  iemaksas</w:t>
            </w:r>
            <w:r w:rsidRPr="00636020">
              <w:rPr>
                <w:rFonts w:eastAsia="Times New Roman" w:cs="Times New Roman"/>
                <w:bCs/>
                <w:i/>
                <w:sz w:val="20"/>
                <w:szCs w:val="20"/>
                <w:vertAlign w:val="superscript"/>
              </w:rPr>
              <w:footnoteReference w:id="18"/>
            </w:r>
          </w:p>
        </w:tc>
        <w:tc>
          <w:tcPr>
            <w:tcW w:w="851" w:type="dxa"/>
            <w:shd w:val="clear" w:color="auto" w:fill="DEEAF6"/>
            <w:tcMar>
              <w:left w:w="57" w:type="dxa"/>
              <w:right w:w="57" w:type="dxa"/>
            </w:tcMar>
            <w:vAlign w:val="center"/>
          </w:tcPr>
          <w:p w14:paraId="34986FF1" w14:textId="77777777" w:rsidR="00E510C8" w:rsidRPr="00636020" w:rsidRDefault="00E510C8" w:rsidP="00E510C8">
            <w:pPr>
              <w:spacing w:line="259" w:lineRule="auto"/>
              <w:ind w:right="5" w:firstLine="0"/>
              <w:jc w:val="center"/>
              <w:rPr>
                <w:rFonts w:eastAsia="Times New Roman" w:cs="Times New Roman"/>
                <w:color w:val="FF0000"/>
                <w:sz w:val="20"/>
                <w:szCs w:val="20"/>
              </w:rPr>
            </w:pPr>
            <w:r w:rsidRPr="00636020">
              <w:rPr>
                <w:rFonts w:eastAsia="Times New Roman" w:cs="Times New Roman"/>
                <w:sz w:val="20"/>
                <w:szCs w:val="20"/>
              </w:rPr>
              <w:t>4 107,6</w:t>
            </w:r>
          </w:p>
        </w:tc>
        <w:tc>
          <w:tcPr>
            <w:tcW w:w="844" w:type="dxa"/>
            <w:shd w:val="clear" w:color="auto" w:fill="DEEAF6"/>
            <w:tcMar>
              <w:left w:w="57" w:type="dxa"/>
              <w:right w:w="57" w:type="dxa"/>
            </w:tcMar>
            <w:vAlign w:val="center"/>
          </w:tcPr>
          <w:p w14:paraId="570B418C" w14:textId="77777777" w:rsidR="00E510C8" w:rsidRPr="00636020" w:rsidRDefault="00E510C8" w:rsidP="00E510C8">
            <w:pPr>
              <w:spacing w:line="259" w:lineRule="auto"/>
              <w:ind w:right="5" w:firstLine="0"/>
              <w:jc w:val="center"/>
              <w:rPr>
                <w:rFonts w:eastAsia="Times New Roman" w:cs="Times New Roman"/>
                <w:color w:val="FF0000"/>
                <w:sz w:val="20"/>
                <w:szCs w:val="20"/>
              </w:rPr>
            </w:pPr>
            <w:r w:rsidRPr="00636020">
              <w:rPr>
                <w:rFonts w:eastAsia="Times New Roman" w:cs="Times New Roman"/>
                <w:sz w:val="20"/>
                <w:szCs w:val="20"/>
              </w:rPr>
              <w:t>4 460,9</w:t>
            </w:r>
          </w:p>
        </w:tc>
        <w:tc>
          <w:tcPr>
            <w:tcW w:w="851" w:type="dxa"/>
            <w:shd w:val="clear" w:color="auto" w:fill="DEEAF6"/>
            <w:tcMar>
              <w:left w:w="57" w:type="dxa"/>
              <w:right w:w="57" w:type="dxa"/>
            </w:tcMar>
            <w:vAlign w:val="center"/>
          </w:tcPr>
          <w:p w14:paraId="65DE7F42" w14:textId="77777777" w:rsidR="00E510C8" w:rsidRPr="00636020" w:rsidRDefault="00E510C8" w:rsidP="00E510C8">
            <w:pPr>
              <w:spacing w:line="259" w:lineRule="auto"/>
              <w:ind w:right="5" w:firstLine="0"/>
              <w:jc w:val="center"/>
              <w:rPr>
                <w:rFonts w:eastAsia="Times New Roman" w:cs="Times New Roman"/>
                <w:color w:val="FF0000"/>
                <w:sz w:val="20"/>
                <w:szCs w:val="20"/>
              </w:rPr>
            </w:pPr>
            <w:r w:rsidRPr="00636020">
              <w:rPr>
                <w:rFonts w:eastAsia="Times New Roman" w:cs="Times New Roman"/>
                <w:sz w:val="20"/>
                <w:szCs w:val="20"/>
              </w:rPr>
              <w:t>4 719,2</w:t>
            </w:r>
          </w:p>
        </w:tc>
        <w:tc>
          <w:tcPr>
            <w:tcW w:w="850" w:type="dxa"/>
            <w:shd w:val="clear" w:color="auto" w:fill="DEEAF6"/>
            <w:tcMar>
              <w:left w:w="57" w:type="dxa"/>
              <w:right w:w="57" w:type="dxa"/>
            </w:tcMar>
            <w:vAlign w:val="center"/>
          </w:tcPr>
          <w:p w14:paraId="23C4FA4B" w14:textId="77777777" w:rsidR="00E510C8" w:rsidRPr="00636020" w:rsidRDefault="00E510C8" w:rsidP="00E510C8">
            <w:pPr>
              <w:spacing w:line="259" w:lineRule="auto"/>
              <w:ind w:right="5" w:firstLine="0"/>
              <w:jc w:val="center"/>
              <w:rPr>
                <w:rFonts w:eastAsia="Times New Roman" w:cs="Times New Roman"/>
                <w:color w:val="FF0000"/>
                <w:sz w:val="20"/>
                <w:szCs w:val="20"/>
              </w:rPr>
            </w:pPr>
            <w:r w:rsidRPr="00636020">
              <w:rPr>
                <w:rFonts w:eastAsia="Times New Roman" w:cs="Times New Roman"/>
                <w:sz w:val="20"/>
                <w:szCs w:val="20"/>
              </w:rPr>
              <w:t>4 947,6</w:t>
            </w:r>
          </w:p>
        </w:tc>
        <w:tc>
          <w:tcPr>
            <w:tcW w:w="709" w:type="dxa"/>
            <w:shd w:val="clear" w:color="auto" w:fill="DEEAF6"/>
            <w:tcMar>
              <w:left w:w="57" w:type="dxa"/>
              <w:right w:w="57" w:type="dxa"/>
            </w:tcMar>
            <w:vAlign w:val="center"/>
          </w:tcPr>
          <w:p w14:paraId="56C2D7A0" w14:textId="77777777" w:rsidR="00E510C8" w:rsidRPr="00636020" w:rsidRDefault="00E510C8" w:rsidP="00E510C8">
            <w:pPr>
              <w:spacing w:line="259" w:lineRule="auto"/>
              <w:ind w:right="5" w:firstLine="0"/>
              <w:jc w:val="center"/>
              <w:rPr>
                <w:rFonts w:eastAsia="Times New Roman" w:cs="Times New Roman"/>
                <w:sz w:val="20"/>
                <w:szCs w:val="20"/>
              </w:rPr>
            </w:pPr>
            <w:r w:rsidRPr="00636020">
              <w:rPr>
                <w:rFonts w:eastAsia="Times New Roman" w:cs="Times New Roman"/>
                <w:sz w:val="20"/>
                <w:szCs w:val="20"/>
              </w:rPr>
              <w:t>26,4</w:t>
            </w:r>
          </w:p>
        </w:tc>
        <w:tc>
          <w:tcPr>
            <w:tcW w:w="709" w:type="dxa"/>
            <w:shd w:val="clear" w:color="auto" w:fill="DEEAF6"/>
            <w:tcMar>
              <w:left w:w="57" w:type="dxa"/>
              <w:right w:w="57" w:type="dxa"/>
            </w:tcMar>
            <w:vAlign w:val="center"/>
          </w:tcPr>
          <w:p w14:paraId="0BD700CD" w14:textId="77777777" w:rsidR="00E510C8" w:rsidRPr="00636020" w:rsidRDefault="00E510C8" w:rsidP="00E510C8">
            <w:pPr>
              <w:spacing w:line="259" w:lineRule="auto"/>
              <w:ind w:right="5" w:firstLine="0"/>
              <w:jc w:val="center"/>
              <w:rPr>
                <w:rFonts w:eastAsia="Times New Roman" w:cs="Times New Roman"/>
                <w:sz w:val="20"/>
                <w:szCs w:val="20"/>
              </w:rPr>
            </w:pPr>
            <w:r w:rsidRPr="00636020">
              <w:rPr>
                <w:rFonts w:eastAsia="Times New Roman" w:cs="Times New Roman"/>
                <w:sz w:val="20"/>
                <w:szCs w:val="20"/>
              </w:rPr>
              <w:t>61,3</w:t>
            </w:r>
          </w:p>
        </w:tc>
        <w:tc>
          <w:tcPr>
            <w:tcW w:w="709" w:type="dxa"/>
            <w:shd w:val="clear" w:color="auto" w:fill="DEEAF6"/>
            <w:tcMar>
              <w:left w:w="57" w:type="dxa"/>
              <w:right w:w="57" w:type="dxa"/>
            </w:tcMar>
            <w:vAlign w:val="center"/>
          </w:tcPr>
          <w:p w14:paraId="52466C9F" w14:textId="77777777" w:rsidR="00E510C8" w:rsidRPr="00636020" w:rsidRDefault="00E510C8" w:rsidP="00E510C8">
            <w:pPr>
              <w:spacing w:line="259" w:lineRule="auto"/>
              <w:ind w:right="5" w:firstLine="0"/>
              <w:jc w:val="center"/>
              <w:rPr>
                <w:rFonts w:eastAsia="Times New Roman" w:cs="Times New Roman"/>
                <w:sz w:val="20"/>
                <w:szCs w:val="20"/>
              </w:rPr>
            </w:pPr>
            <w:r w:rsidRPr="00636020">
              <w:rPr>
                <w:rFonts w:eastAsia="Times New Roman" w:cs="Times New Roman"/>
                <w:sz w:val="20"/>
                <w:szCs w:val="20"/>
              </w:rPr>
              <w:t>64,4</w:t>
            </w:r>
          </w:p>
        </w:tc>
        <w:tc>
          <w:tcPr>
            <w:tcW w:w="704" w:type="dxa"/>
            <w:shd w:val="clear" w:color="auto" w:fill="DEEAF6"/>
            <w:tcMar>
              <w:left w:w="57" w:type="dxa"/>
              <w:right w:w="57" w:type="dxa"/>
            </w:tcMar>
            <w:vAlign w:val="center"/>
          </w:tcPr>
          <w:p w14:paraId="72C1F9C8" w14:textId="77777777" w:rsidR="00E510C8" w:rsidRPr="00636020" w:rsidRDefault="00E510C8" w:rsidP="00E510C8">
            <w:pPr>
              <w:spacing w:line="259" w:lineRule="auto"/>
              <w:ind w:right="5" w:firstLine="0"/>
              <w:jc w:val="center"/>
              <w:rPr>
                <w:rFonts w:eastAsia="Times New Roman" w:cs="Times New Roman"/>
                <w:sz w:val="20"/>
                <w:szCs w:val="20"/>
              </w:rPr>
            </w:pPr>
            <w:r w:rsidRPr="00636020">
              <w:rPr>
                <w:rFonts w:eastAsia="Times New Roman" w:cs="Times New Roman"/>
                <w:sz w:val="20"/>
                <w:szCs w:val="20"/>
              </w:rPr>
              <w:t>68,4</w:t>
            </w:r>
          </w:p>
        </w:tc>
      </w:tr>
      <w:tr w:rsidR="00E510C8" w:rsidRPr="00636020" w14:paraId="3F41E973" w14:textId="77777777" w:rsidTr="00E510C8">
        <w:trPr>
          <w:gridAfter w:val="1"/>
          <w:wAfter w:w="10" w:type="dxa"/>
          <w:jc w:val="center"/>
        </w:trPr>
        <w:tc>
          <w:tcPr>
            <w:tcW w:w="2836" w:type="dxa"/>
            <w:shd w:val="clear" w:color="auto" w:fill="auto"/>
          </w:tcPr>
          <w:p w14:paraId="70DB0151" w14:textId="77777777" w:rsidR="00E510C8" w:rsidRPr="00636020" w:rsidRDefault="00E510C8" w:rsidP="00E510C8">
            <w:pPr>
              <w:spacing w:line="259" w:lineRule="auto"/>
              <w:ind w:left="283" w:firstLine="0"/>
              <w:jc w:val="left"/>
              <w:rPr>
                <w:rFonts w:eastAsia="Times New Roman" w:cs="Times New Roman"/>
                <w:bCs/>
                <w:i/>
                <w:sz w:val="20"/>
                <w:szCs w:val="20"/>
              </w:rPr>
            </w:pPr>
            <w:r w:rsidRPr="00636020">
              <w:rPr>
                <w:rFonts w:eastAsia="Times New Roman" w:cs="Times New Roman"/>
                <w:bCs/>
                <w:i/>
                <w:sz w:val="20"/>
                <w:szCs w:val="20"/>
              </w:rPr>
              <w:t>Akcīzes nodoklis</w:t>
            </w:r>
          </w:p>
        </w:tc>
        <w:tc>
          <w:tcPr>
            <w:tcW w:w="851" w:type="dxa"/>
            <w:shd w:val="clear" w:color="auto" w:fill="auto"/>
            <w:tcMar>
              <w:left w:w="57" w:type="dxa"/>
              <w:right w:w="57" w:type="dxa"/>
            </w:tcMar>
            <w:vAlign w:val="center"/>
          </w:tcPr>
          <w:p w14:paraId="1CCE8726" w14:textId="77777777" w:rsidR="00E510C8" w:rsidRPr="00636020" w:rsidRDefault="00E510C8" w:rsidP="00E510C8">
            <w:pPr>
              <w:spacing w:line="259" w:lineRule="auto"/>
              <w:ind w:right="5" w:firstLine="0"/>
              <w:jc w:val="center"/>
              <w:rPr>
                <w:rFonts w:eastAsia="Times New Roman" w:cs="Times New Roman"/>
                <w:color w:val="FF0000"/>
                <w:sz w:val="20"/>
                <w:szCs w:val="20"/>
              </w:rPr>
            </w:pPr>
            <w:r w:rsidRPr="00636020">
              <w:rPr>
                <w:rFonts w:eastAsia="Times New Roman" w:cs="Times New Roman"/>
                <w:sz w:val="20"/>
                <w:szCs w:val="20"/>
              </w:rPr>
              <w:t>1 185,9</w:t>
            </w:r>
          </w:p>
        </w:tc>
        <w:tc>
          <w:tcPr>
            <w:tcW w:w="844" w:type="dxa"/>
            <w:shd w:val="clear" w:color="auto" w:fill="auto"/>
            <w:tcMar>
              <w:left w:w="57" w:type="dxa"/>
              <w:right w:w="57" w:type="dxa"/>
            </w:tcMar>
            <w:vAlign w:val="center"/>
          </w:tcPr>
          <w:p w14:paraId="3A23870F" w14:textId="77777777" w:rsidR="00E510C8" w:rsidRPr="00636020" w:rsidRDefault="00E510C8" w:rsidP="00E510C8">
            <w:pPr>
              <w:spacing w:line="259" w:lineRule="auto"/>
              <w:ind w:right="5" w:firstLine="0"/>
              <w:jc w:val="center"/>
              <w:rPr>
                <w:rFonts w:eastAsia="Times New Roman" w:cs="Times New Roman"/>
                <w:color w:val="FF0000"/>
                <w:sz w:val="20"/>
                <w:szCs w:val="20"/>
              </w:rPr>
            </w:pPr>
            <w:r w:rsidRPr="00636020">
              <w:rPr>
                <w:rFonts w:eastAsia="Times New Roman" w:cs="Times New Roman"/>
                <w:sz w:val="20"/>
                <w:szCs w:val="20"/>
              </w:rPr>
              <w:t>1 230,8</w:t>
            </w:r>
          </w:p>
        </w:tc>
        <w:tc>
          <w:tcPr>
            <w:tcW w:w="851" w:type="dxa"/>
            <w:tcMar>
              <w:left w:w="57" w:type="dxa"/>
              <w:right w:w="57" w:type="dxa"/>
            </w:tcMar>
            <w:vAlign w:val="center"/>
          </w:tcPr>
          <w:p w14:paraId="00012484" w14:textId="77777777" w:rsidR="00E510C8" w:rsidRPr="00636020" w:rsidRDefault="00E510C8" w:rsidP="00E510C8">
            <w:pPr>
              <w:spacing w:line="259" w:lineRule="auto"/>
              <w:ind w:right="5" w:firstLine="0"/>
              <w:jc w:val="center"/>
              <w:rPr>
                <w:rFonts w:eastAsia="Times New Roman" w:cs="Times New Roman"/>
                <w:color w:val="FF0000"/>
                <w:sz w:val="20"/>
                <w:szCs w:val="20"/>
              </w:rPr>
            </w:pPr>
            <w:r w:rsidRPr="00636020">
              <w:rPr>
                <w:rFonts w:eastAsia="Times New Roman" w:cs="Times New Roman"/>
                <w:sz w:val="20"/>
                <w:szCs w:val="20"/>
              </w:rPr>
              <w:t>1 271,1</w:t>
            </w:r>
          </w:p>
        </w:tc>
        <w:tc>
          <w:tcPr>
            <w:tcW w:w="850" w:type="dxa"/>
            <w:shd w:val="clear" w:color="auto" w:fill="auto"/>
            <w:tcMar>
              <w:left w:w="57" w:type="dxa"/>
              <w:right w:w="57" w:type="dxa"/>
            </w:tcMar>
            <w:vAlign w:val="center"/>
          </w:tcPr>
          <w:p w14:paraId="46E29C2B" w14:textId="77777777" w:rsidR="00E510C8" w:rsidRPr="00636020" w:rsidRDefault="00E510C8" w:rsidP="00E510C8">
            <w:pPr>
              <w:spacing w:line="259" w:lineRule="auto"/>
              <w:ind w:right="5" w:firstLine="0"/>
              <w:jc w:val="center"/>
              <w:rPr>
                <w:rFonts w:eastAsia="Times New Roman" w:cs="Times New Roman"/>
                <w:color w:val="FF0000"/>
                <w:sz w:val="20"/>
                <w:szCs w:val="20"/>
              </w:rPr>
            </w:pPr>
            <w:r w:rsidRPr="00636020">
              <w:rPr>
                <w:rFonts w:eastAsia="Times New Roman" w:cs="Times New Roman"/>
                <w:sz w:val="20"/>
                <w:szCs w:val="20"/>
              </w:rPr>
              <w:t>1 315,5</w:t>
            </w:r>
          </w:p>
        </w:tc>
        <w:tc>
          <w:tcPr>
            <w:tcW w:w="709" w:type="dxa"/>
            <w:shd w:val="clear" w:color="auto" w:fill="auto"/>
            <w:tcMar>
              <w:left w:w="57" w:type="dxa"/>
              <w:right w:w="57" w:type="dxa"/>
            </w:tcMar>
            <w:vAlign w:val="center"/>
          </w:tcPr>
          <w:p w14:paraId="7E8DEAA5" w14:textId="77777777" w:rsidR="00E510C8" w:rsidRPr="00636020" w:rsidRDefault="00E510C8" w:rsidP="00E510C8">
            <w:pPr>
              <w:spacing w:line="259" w:lineRule="auto"/>
              <w:ind w:right="5" w:firstLine="0"/>
              <w:jc w:val="center"/>
              <w:rPr>
                <w:rFonts w:eastAsia="Times New Roman" w:cs="Times New Roman"/>
                <w:sz w:val="20"/>
                <w:szCs w:val="20"/>
              </w:rPr>
            </w:pPr>
            <w:r w:rsidRPr="00636020">
              <w:rPr>
                <w:rFonts w:eastAsia="Times New Roman" w:cs="Times New Roman"/>
                <w:sz w:val="20"/>
                <w:szCs w:val="20"/>
              </w:rPr>
              <w:t>-2,0</w:t>
            </w:r>
          </w:p>
        </w:tc>
        <w:tc>
          <w:tcPr>
            <w:tcW w:w="709" w:type="dxa"/>
            <w:shd w:val="clear" w:color="auto" w:fill="auto"/>
            <w:tcMar>
              <w:left w:w="57" w:type="dxa"/>
              <w:right w:w="57" w:type="dxa"/>
            </w:tcMar>
            <w:vAlign w:val="center"/>
          </w:tcPr>
          <w:p w14:paraId="256FBF84" w14:textId="77777777" w:rsidR="00E510C8" w:rsidRPr="00636020" w:rsidRDefault="00E510C8" w:rsidP="00E510C8">
            <w:pPr>
              <w:spacing w:line="259" w:lineRule="auto"/>
              <w:ind w:right="5" w:firstLine="0"/>
              <w:jc w:val="center"/>
              <w:rPr>
                <w:rFonts w:eastAsia="Times New Roman" w:cs="Times New Roman"/>
                <w:sz w:val="20"/>
                <w:szCs w:val="20"/>
              </w:rPr>
            </w:pPr>
            <w:r w:rsidRPr="00636020">
              <w:rPr>
                <w:rFonts w:eastAsia="Times New Roman" w:cs="Times New Roman"/>
                <w:sz w:val="20"/>
                <w:szCs w:val="20"/>
              </w:rPr>
              <w:t>1,1</w:t>
            </w:r>
          </w:p>
        </w:tc>
        <w:tc>
          <w:tcPr>
            <w:tcW w:w="709" w:type="dxa"/>
            <w:tcMar>
              <w:left w:w="57" w:type="dxa"/>
              <w:right w:w="57" w:type="dxa"/>
            </w:tcMar>
            <w:vAlign w:val="center"/>
          </w:tcPr>
          <w:p w14:paraId="4B13034B" w14:textId="77777777" w:rsidR="00E510C8" w:rsidRPr="00636020" w:rsidRDefault="00E510C8" w:rsidP="00E510C8">
            <w:pPr>
              <w:spacing w:line="259" w:lineRule="auto"/>
              <w:ind w:right="5" w:firstLine="0"/>
              <w:jc w:val="center"/>
              <w:rPr>
                <w:rFonts w:eastAsia="Times New Roman" w:cs="Times New Roman"/>
                <w:sz w:val="20"/>
                <w:szCs w:val="20"/>
              </w:rPr>
            </w:pPr>
            <w:r w:rsidRPr="00636020">
              <w:rPr>
                <w:rFonts w:eastAsia="Times New Roman" w:cs="Times New Roman"/>
                <w:sz w:val="20"/>
                <w:szCs w:val="20"/>
              </w:rPr>
              <w:t>-0,5</w:t>
            </w:r>
          </w:p>
        </w:tc>
        <w:tc>
          <w:tcPr>
            <w:tcW w:w="704" w:type="dxa"/>
            <w:shd w:val="clear" w:color="auto" w:fill="auto"/>
            <w:tcMar>
              <w:left w:w="57" w:type="dxa"/>
              <w:right w:w="57" w:type="dxa"/>
            </w:tcMar>
            <w:vAlign w:val="center"/>
          </w:tcPr>
          <w:p w14:paraId="33723401" w14:textId="77777777" w:rsidR="00E510C8" w:rsidRPr="00636020" w:rsidRDefault="00E510C8" w:rsidP="00E510C8">
            <w:pPr>
              <w:spacing w:line="259" w:lineRule="auto"/>
              <w:ind w:right="5" w:firstLine="0"/>
              <w:jc w:val="center"/>
              <w:rPr>
                <w:rFonts w:eastAsia="Times New Roman" w:cs="Times New Roman"/>
                <w:sz w:val="20"/>
                <w:szCs w:val="20"/>
              </w:rPr>
            </w:pPr>
            <w:r w:rsidRPr="00636020">
              <w:rPr>
                <w:rFonts w:eastAsia="Times New Roman" w:cs="Times New Roman"/>
                <w:sz w:val="20"/>
                <w:szCs w:val="20"/>
              </w:rPr>
              <w:t>0,0</w:t>
            </w:r>
          </w:p>
        </w:tc>
      </w:tr>
      <w:tr w:rsidR="00E510C8" w:rsidRPr="00636020" w14:paraId="0597D981" w14:textId="77777777" w:rsidTr="00E510C8">
        <w:trPr>
          <w:gridAfter w:val="1"/>
          <w:wAfter w:w="10" w:type="dxa"/>
          <w:jc w:val="center"/>
        </w:trPr>
        <w:tc>
          <w:tcPr>
            <w:tcW w:w="2836" w:type="dxa"/>
            <w:shd w:val="clear" w:color="auto" w:fill="DEEAF6"/>
            <w:vAlign w:val="center"/>
          </w:tcPr>
          <w:p w14:paraId="5EA5A782" w14:textId="77777777" w:rsidR="00E510C8" w:rsidRPr="00636020" w:rsidRDefault="00E510C8" w:rsidP="00E510C8">
            <w:pPr>
              <w:ind w:left="166" w:firstLine="0"/>
              <w:jc w:val="left"/>
              <w:rPr>
                <w:rFonts w:eastAsia="Times New Roman" w:cs="Times New Roman"/>
                <w:bCs/>
                <w:noProof/>
                <w:sz w:val="20"/>
                <w:szCs w:val="20"/>
                <w:lang w:eastAsia="lv-LV"/>
              </w:rPr>
            </w:pPr>
            <w:r w:rsidRPr="00636020">
              <w:rPr>
                <w:rFonts w:eastAsia="Times New Roman" w:cs="Times New Roman"/>
                <w:bCs/>
                <w:noProof/>
                <w:sz w:val="20"/>
                <w:szCs w:val="20"/>
                <w:lang w:eastAsia="lv-LV"/>
              </w:rPr>
              <w:t>Nenodokļu ieņēmumi</w:t>
            </w:r>
          </w:p>
        </w:tc>
        <w:tc>
          <w:tcPr>
            <w:tcW w:w="851" w:type="dxa"/>
            <w:shd w:val="clear" w:color="auto" w:fill="DEEAF6"/>
            <w:tcMar>
              <w:left w:w="57" w:type="dxa"/>
              <w:right w:w="57" w:type="dxa"/>
            </w:tcMar>
            <w:vAlign w:val="center"/>
          </w:tcPr>
          <w:p w14:paraId="1418120D" w14:textId="77777777" w:rsidR="00E510C8" w:rsidRPr="00636020" w:rsidRDefault="00E510C8" w:rsidP="00E510C8">
            <w:pPr>
              <w:spacing w:line="259" w:lineRule="auto"/>
              <w:ind w:right="6" w:firstLine="0"/>
              <w:jc w:val="center"/>
              <w:rPr>
                <w:rFonts w:eastAsia="Times New Roman" w:cs="Times New Roman"/>
                <w:color w:val="FF0000"/>
                <w:sz w:val="20"/>
                <w:szCs w:val="20"/>
              </w:rPr>
            </w:pPr>
            <w:r w:rsidRPr="00636020">
              <w:rPr>
                <w:rFonts w:eastAsia="Times New Roman" w:cs="Times New Roman"/>
                <w:color w:val="000000"/>
                <w:sz w:val="20"/>
                <w:szCs w:val="20"/>
              </w:rPr>
              <w:t>858,7</w:t>
            </w:r>
          </w:p>
        </w:tc>
        <w:tc>
          <w:tcPr>
            <w:tcW w:w="844" w:type="dxa"/>
            <w:shd w:val="clear" w:color="auto" w:fill="DEEAF6"/>
            <w:tcMar>
              <w:left w:w="57" w:type="dxa"/>
              <w:right w:w="57" w:type="dxa"/>
            </w:tcMar>
            <w:vAlign w:val="center"/>
          </w:tcPr>
          <w:p w14:paraId="7A793ECE" w14:textId="77777777" w:rsidR="00E510C8" w:rsidRPr="00636020" w:rsidRDefault="00E510C8" w:rsidP="00E510C8">
            <w:pPr>
              <w:spacing w:line="259" w:lineRule="auto"/>
              <w:ind w:right="6" w:firstLine="0"/>
              <w:jc w:val="center"/>
              <w:rPr>
                <w:rFonts w:eastAsia="Times New Roman" w:cs="Times New Roman"/>
                <w:color w:val="FF0000"/>
                <w:sz w:val="20"/>
                <w:szCs w:val="20"/>
              </w:rPr>
            </w:pPr>
            <w:r w:rsidRPr="00636020">
              <w:rPr>
                <w:rFonts w:eastAsia="Times New Roman" w:cs="Times New Roman"/>
                <w:color w:val="000000"/>
                <w:sz w:val="20"/>
                <w:szCs w:val="20"/>
              </w:rPr>
              <w:t>725,1</w:t>
            </w:r>
          </w:p>
        </w:tc>
        <w:tc>
          <w:tcPr>
            <w:tcW w:w="851" w:type="dxa"/>
            <w:shd w:val="clear" w:color="auto" w:fill="DEEAF6"/>
            <w:tcMar>
              <w:left w:w="57" w:type="dxa"/>
              <w:right w:w="57" w:type="dxa"/>
            </w:tcMar>
            <w:vAlign w:val="center"/>
          </w:tcPr>
          <w:p w14:paraId="186B6CFC" w14:textId="77777777" w:rsidR="00E510C8" w:rsidRPr="00636020" w:rsidRDefault="00E510C8" w:rsidP="00E510C8">
            <w:pPr>
              <w:spacing w:line="259" w:lineRule="auto"/>
              <w:ind w:right="6" w:firstLine="0"/>
              <w:jc w:val="center"/>
              <w:rPr>
                <w:rFonts w:eastAsia="Times New Roman" w:cs="Times New Roman"/>
                <w:color w:val="FF0000"/>
                <w:sz w:val="20"/>
                <w:szCs w:val="20"/>
              </w:rPr>
            </w:pPr>
            <w:r w:rsidRPr="00636020">
              <w:rPr>
                <w:rFonts w:eastAsia="Times New Roman" w:cs="Times New Roman"/>
                <w:color w:val="000000"/>
                <w:sz w:val="20"/>
                <w:szCs w:val="20"/>
              </w:rPr>
              <w:t>736,5</w:t>
            </w:r>
          </w:p>
        </w:tc>
        <w:tc>
          <w:tcPr>
            <w:tcW w:w="850" w:type="dxa"/>
            <w:shd w:val="clear" w:color="auto" w:fill="DEEAF6"/>
            <w:tcMar>
              <w:left w:w="57" w:type="dxa"/>
              <w:right w:w="57" w:type="dxa"/>
            </w:tcMar>
            <w:vAlign w:val="center"/>
          </w:tcPr>
          <w:p w14:paraId="6C40B4AB" w14:textId="77777777" w:rsidR="00E510C8" w:rsidRPr="00636020" w:rsidRDefault="00E510C8" w:rsidP="00E510C8">
            <w:pPr>
              <w:spacing w:line="259" w:lineRule="auto"/>
              <w:ind w:right="6" w:firstLine="0"/>
              <w:jc w:val="center"/>
              <w:rPr>
                <w:rFonts w:eastAsia="Times New Roman" w:cs="Times New Roman"/>
                <w:color w:val="FF0000"/>
                <w:sz w:val="20"/>
                <w:szCs w:val="20"/>
              </w:rPr>
            </w:pPr>
            <w:r w:rsidRPr="00636020">
              <w:rPr>
                <w:rFonts w:eastAsia="Times New Roman" w:cs="Times New Roman"/>
                <w:color w:val="000000"/>
                <w:sz w:val="20"/>
                <w:szCs w:val="20"/>
              </w:rPr>
              <w:t>654,4</w:t>
            </w:r>
          </w:p>
        </w:tc>
        <w:tc>
          <w:tcPr>
            <w:tcW w:w="709" w:type="dxa"/>
            <w:shd w:val="clear" w:color="auto" w:fill="DEEAF6"/>
            <w:tcMar>
              <w:left w:w="57" w:type="dxa"/>
              <w:right w:w="57" w:type="dxa"/>
            </w:tcMar>
            <w:vAlign w:val="center"/>
          </w:tcPr>
          <w:p w14:paraId="095FFC03" w14:textId="77777777" w:rsidR="00E510C8" w:rsidRPr="00636020" w:rsidRDefault="00E510C8" w:rsidP="00E510C8">
            <w:pPr>
              <w:spacing w:line="259" w:lineRule="auto"/>
              <w:ind w:right="6" w:firstLine="0"/>
              <w:jc w:val="center"/>
              <w:rPr>
                <w:rFonts w:eastAsia="Times New Roman" w:cs="Times New Roman"/>
                <w:color w:val="FF0000"/>
                <w:sz w:val="20"/>
                <w:szCs w:val="20"/>
              </w:rPr>
            </w:pPr>
            <w:r w:rsidRPr="00636020">
              <w:rPr>
                <w:rFonts w:eastAsia="Times New Roman" w:cs="Times New Roman"/>
                <w:color w:val="000000"/>
                <w:sz w:val="20"/>
                <w:szCs w:val="20"/>
              </w:rPr>
              <w:t>-3,1</w:t>
            </w:r>
          </w:p>
        </w:tc>
        <w:tc>
          <w:tcPr>
            <w:tcW w:w="709" w:type="dxa"/>
            <w:shd w:val="clear" w:color="auto" w:fill="DEEAF6"/>
            <w:tcMar>
              <w:left w:w="57" w:type="dxa"/>
              <w:right w:w="57" w:type="dxa"/>
            </w:tcMar>
            <w:vAlign w:val="center"/>
          </w:tcPr>
          <w:p w14:paraId="4253A42E" w14:textId="77777777" w:rsidR="00E510C8" w:rsidRPr="00636020" w:rsidRDefault="00E510C8" w:rsidP="00E510C8">
            <w:pPr>
              <w:spacing w:line="259" w:lineRule="auto"/>
              <w:ind w:right="6" w:firstLine="0"/>
              <w:jc w:val="center"/>
              <w:rPr>
                <w:rFonts w:eastAsia="Times New Roman" w:cs="Times New Roman"/>
                <w:color w:val="FF0000"/>
                <w:sz w:val="20"/>
                <w:szCs w:val="20"/>
              </w:rPr>
            </w:pPr>
            <w:r w:rsidRPr="00636020">
              <w:rPr>
                <w:rFonts w:eastAsia="Times New Roman" w:cs="Times New Roman"/>
                <w:color w:val="000000"/>
                <w:sz w:val="20"/>
                <w:szCs w:val="20"/>
              </w:rPr>
              <w:t>1,4</w:t>
            </w:r>
          </w:p>
        </w:tc>
        <w:tc>
          <w:tcPr>
            <w:tcW w:w="709" w:type="dxa"/>
            <w:shd w:val="clear" w:color="auto" w:fill="DEEAF6"/>
            <w:tcMar>
              <w:left w:w="57" w:type="dxa"/>
              <w:right w:w="57" w:type="dxa"/>
            </w:tcMar>
            <w:vAlign w:val="center"/>
          </w:tcPr>
          <w:p w14:paraId="1DCE4F2E" w14:textId="77777777" w:rsidR="00E510C8" w:rsidRPr="00636020" w:rsidRDefault="00E510C8" w:rsidP="00E510C8">
            <w:pPr>
              <w:spacing w:line="259" w:lineRule="auto"/>
              <w:ind w:right="6" w:firstLine="0"/>
              <w:jc w:val="center"/>
              <w:rPr>
                <w:rFonts w:eastAsia="Times New Roman" w:cs="Times New Roman"/>
                <w:color w:val="FF0000"/>
                <w:sz w:val="20"/>
                <w:szCs w:val="20"/>
              </w:rPr>
            </w:pPr>
            <w:r w:rsidRPr="00636020">
              <w:rPr>
                <w:rFonts w:eastAsia="Times New Roman" w:cs="Times New Roman"/>
                <w:color w:val="000000"/>
                <w:sz w:val="20"/>
                <w:szCs w:val="20"/>
              </w:rPr>
              <w:t>-0,3</w:t>
            </w:r>
          </w:p>
        </w:tc>
        <w:tc>
          <w:tcPr>
            <w:tcW w:w="704" w:type="dxa"/>
            <w:shd w:val="clear" w:color="auto" w:fill="DEEAF6"/>
            <w:tcMar>
              <w:left w:w="57" w:type="dxa"/>
              <w:right w:w="57" w:type="dxa"/>
            </w:tcMar>
            <w:vAlign w:val="center"/>
          </w:tcPr>
          <w:p w14:paraId="0EC062B8" w14:textId="77777777" w:rsidR="00E510C8" w:rsidRPr="00636020" w:rsidRDefault="00E510C8" w:rsidP="00E510C8">
            <w:pPr>
              <w:spacing w:line="259" w:lineRule="auto"/>
              <w:ind w:right="6" w:firstLine="0"/>
              <w:jc w:val="center"/>
              <w:rPr>
                <w:rFonts w:eastAsia="Times New Roman" w:cs="Times New Roman"/>
                <w:color w:val="FF0000"/>
                <w:sz w:val="20"/>
                <w:szCs w:val="20"/>
              </w:rPr>
            </w:pPr>
            <w:r w:rsidRPr="00636020">
              <w:rPr>
                <w:rFonts w:eastAsia="Times New Roman" w:cs="Times New Roman"/>
                <w:color w:val="000000"/>
                <w:sz w:val="20"/>
                <w:szCs w:val="20"/>
              </w:rPr>
              <w:t>0,1</w:t>
            </w:r>
          </w:p>
        </w:tc>
      </w:tr>
      <w:tr w:rsidR="00E510C8" w:rsidRPr="00636020" w14:paraId="314B7EE9" w14:textId="77777777" w:rsidTr="00E510C8">
        <w:trPr>
          <w:gridAfter w:val="1"/>
          <w:wAfter w:w="10" w:type="dxa"/>
          <w:jc w:val="center"/>
        </w:trPr>
        <w:tc>
          <w:tcPr>
            <w:tcW w:w="2836" w:type="dxa"/>
            <w:shd w:val="clear" w:color="auto" w:fill="auto"/>
            <w:vAlign w:val="center"/>
          </w:tcPr>
          <w:p w14:paraId="2D7FE73B" w14:textId="77777777" w:rsidR="00E510C8" w:rsidRPr="00636020" w:rsidRDefault="00E510C8" w:rsidP="00E510C8">
            <w:pPr>
              <w:ind w:left="166" w:firstLine="0"/>
              <w:jc w:val="left"/>
              <w:rPr>
                <w:rFonts w:eastAsia="Times New Roman" w:cs="Times New Roman"/>
                <w:bCs/>
                <w:noProof/>
                <w:sz w:val="20"/>
                <w:szCs w:val="20"/>
                <w:lang w:eastAsia="lv-LV"/>
              </w:rPr>
            </w:pPr>
            <w:r w:rsidRPr="00636020">
              <w:rPr>
                <w:rFonts w:eastAsia="Times New Roman" w:cs="Times New Roman"/>
                <w:bCs/>
                <w:noProof/>
                <w:sz w:val="20"/>
                <w:szCs w:val="20"/>
                <w:lang w:eastAsia="lv-LV"/>
              </w:rPr>
              <w:lastRenderedPageBreak/>
              <w:t>Procentu izdevumi</w:t>
            </w:r>
          </w:p>
        </w:tc>
        <w:tc>
          <w:tcPr>
            <w:tcW w:w="851" w:type="dxa"/>
            <w:shd w:val="clear" w:color="auto" w:fill="auto"/>
            <w:tcMar>
              <w:left w:w="57" w:type="dxa"/>
              <w:right w:w="57" w:type="dxa"/>
            </w:tcMar>
            <w:vAlign w:val="center"/>
          </w:tcPr>
          <w:p w14:paraId="1ED69335" w14:textId="77777777" w:rsidR="00E510C8" w:rsidRPr="00636020" w:rsidRDefault="00E510C8" w:rsidP="00E510C8">
            <w:pPr>
              <w:spacing w:line="259" w:lineRule="auto"/>
              <w:ind w:right="5" w:firstLine="0"/>
              <w:jc w:val="center"/>
              <w:rPr>
                <w:rFonts w:eastAsia="Times New Roman" w:cs="Times New Roman"/>
                <w:color w:val="FF0000"/>
                <w:sz w:val="20"/>
                <w:szCs w:val="20"/>
              </w:rPr>
            </w:pPr>
            <w:r w:rsidRPr="00636020">
              <w:rPr>
                <w:rFonts w:eastAsia="Times New Roman" w:cs="Times New Roman"/>
                <w:color w:val="000000"/>
                <w:sz w:val="20"/>
                <w:szCs w:val="20"/>
              </w:rPr>
              <w:t>232,9</w:t>
            </w:r>
          </w:p>
        </w:tc>
        <w:tc>
          <w:tcPr>
            <w:tcW w:w="844" w:type="dxa"/>
            <w:shd w:val="clear" w:color="auto" w:fill="auto"/>
            <w:tcMar>
              <w:left w:w="57" w:type="dxa"/>
              <w:right w:w="57" w:type="dxa"/>
            </w:tcMar>
            <w:vAlign w:val="center"/>
          </w:tcPr>
          <w:p w14:paraId="28DA2AC0" w14:textId="77777777" w:rsidR="00E510C8" w:rsidRPr="00636020" w:rsidRDefault="00E510C8" w:rsidP="00E510C8">
            <w:pPr>
              <w:spacing w:line="259" w:lineRule="auto"/>
              <w:ind w:right="5" w:firstLine="0"/>
              <w:jc w:val="center"/>
              <w:rPr>
                <w:rFonts w:eastAsia="Times New Roman" w:cs="Times New Roman"/>
                <w:color w:val="FF0000"/>
                <w:sz w:val="20"/>
                <w:szCs w:val="20"/>
              </w:rPr>
            </w:pPr>
            <w:r w:rsidRPr="00636020">
              <w:rPr>
                <w:rFonts w:eastAsia="Times New Roman" w:cs="Times New Roman"/>
                <w:color w:val="000000"/>
                <w:sz w:val="20"/>
                <w:szCs w:val="20"/>
              </w:rPr>
              <w:t>363,1</w:t>
            </w:r>
          </w:p>
        </w:tc>
        <w:tc>
          <w:tcPr>
            <w:tcW w:w="851" w:type="dxa"/>
            <w:tcMar>
              <w:left w:w="57" w:type="dxa"/>
              <w:right w:w="57" w:type="dxa"/>
            </w:tcMar>
            <w:vAlign w:val="center"/>
          </w:tcPr>
          <w:p w14:paraId="54A6E110" w14:textId="77777777" w:rsidR="00E510C8" w:rsidRPr="00636020" w:rsidRDefault="00E510C8" w:rsidP="00E510C8">
            <w:pPr>
              <w:spacing w:line="259" w:lineRule="auto"/>
              <w:ind w:right="5" w:firstLine="0"/>
              <w:jc w:val="center"/>
              <w:rPr>
                <w:rFonts w:eastAsia="Times New Roman" w:cs="Times New Roman"/>
                <w:color w:val="FF0000"/>
                <w:sz w:val="20"/>
                <w:szCs w:val="20"/>
              </w:rPr>
            </w:pPr>
            <w:r w:rsidRPr="00636020">
              <w:rPr>
                <w:rFonts w:eastAsia="Times New Roman" w:cs="Times New Roman"/>
                <w:color w:val="000000"/>
                <w:sz w:val="20"/>
                <w:szCs w:val="20"/>
              </w:rPr>
              <w:t>432,0</w:t>
            </w:r>
          </w:p>
        </w:tc>
        <w:tc>
          <w:tcPr>
            <w:tcW w:w="850" w:type="dxa"/>
            <w:shd w:val="clear" w:color="auto" w:fill="auto"/>
            <w:tcMar>
              <w:left w:w="57" w:type="dxa"/>
              <w:right w:w="57" w:type="dxa"/>
            </w:tcMar>
            <w:vAlign w:val="center"/>
          </w:tcPr>
          <w:p w14:paraId="2115106F" w14:textId="77777777" w:rsidR="00E510C8" w:rsidRPr="00636020" w:rsidRDefault="00E510C8" w:rsidP="00E510C8">
            <w:pPr>
              <w:spacing w:line="259" w:lineRule="auto"/>
              <w:ind w:right="5" w:firstLine="0"/>
              <w:jc w:val="center"/>
              <w:rPr>
                <w:rFonts w:eastAsia="Times New Roman" w:cs="Times New Roman"/>
                <w:color w:val="FF0000"/>
                <w:sz w:val="20"/>
                <w:szCs w:val="20"/>
              </w:rPr>
            </w:pPr>
            <w:r w:rsidRPr="00636020">
              <w:rPr>
                <w:rFonts w:eastAsia="Times New Roman" w:cs="Times New Roman"/>
                <w:color w:val="000000"/>
                <w:sz w:val="20"/>
                <w:szCs w:val="20"/>
              </w:rPr>
              <w:t>508,7</w:t>
            </w:r>
          </w:p>
        </w:tc>
        <w:tc>
          <w:tcPr>
            <w:tcW w:w="709" w:type="dxa"/>
            <w:shd w:val="clear" w:color="auto" w:fill="auto"/>
            <w:tcMar>
              <w:left w:w="57" w:type="dxa"/>
              <w:right w:w="57" w:type="dxa"/>
            </w:tcMar>
            <w:vAlign w:val="center"/>
          </w:tcPr>
          <w:p w14:paraId="40244233" w14:textId="77777777" w:rsidR="00E510C8" w:rsidRPr="00636020" w:rsidRDefault="00E510C8" w:rsidP="00E510C8">
            <w:pPr>
              <w:spacing w:line="259" w:lineRule="auto"/>
              <w:ind w:right="5" w:firstLine="0"/>
              <w:jc w:val="center"/>
              <w:rPr>
                <w:rFonts w:eastAsia="Times New Roman" w:cs="Times New Roman"/>
                <w:sz w:val="20"/>
                <w:szCs w:val="20"/>
              </w:rPr>
            </w:pPr>
            <w:r w:rsidRPr="00636020">
              <w:rPr>
                <w:rFonts w:eastAsia="Times New Roman" w:cs="Times New Roman"/>
                <w:sz w:val="20"/>
                <w:szCs w:val="20"/>
              </w:rPr>
              <w:t>0,0</w:t>
            </w:r>
          </w:p>
        </w:tc>
        <w:tc>
          <w:tcPr>
            <w:tcW w:w="709" w:type="dxa"/>
            <w:shd w:val="clear" w:color="auto" w:fill="auto"/>
            <w:tcMar>
              <w:left w:w="57" w:type="dxa"/>
              <w:right w:w="57" w:type="dxa"/>
            </w:tcMar>
            <w:vAlign w:val="center"/>
          </w:tcPr>
          <w:p w14:paraId="4A0C6A21" w14:textId="77777777" w:rsidR="00E510C8" w:rsidRPr="00636020" w:rsidRDefault="00E510C8" w:rsidP="00E510C8">
            <w:pPr>
              <w:spacing w:line="259" w:lineRule="auto"/>
              <w:ind w:right="5" w:firstLine="0"/>
              <w:jc w:val="center"/>
              <w:rPr>
                <w:rFonts w:eastAsia="Times New Roman" w:cs="Times New Roman"/>
                <w:sz w:val="20"/>
                <w:szCs w:val="20"/>
              </w:rPr>
            </w:pPr>
            <w:r w:rsidRPr="00636020">
              <w:rPr>
                <w:rFonts w:eastAsia="Times New Roman" w:cs="Times New Roman"/>
                <w:sz w:val="20"/>
                <w:szCs w:val="20"/>
              </w:rPr>
              <w:t>-3,6</w:t>
            </w:r>
          </w:p>
        </w:tc>
        <w:tc>
          <w:tcPr>
            <w:tcW w:w="709" w:type="dxa"/>
            <w:tcMar>
              <w:left w:w="57" w:type="dxa"/>
              <w:right w:w="57" w:type="dxa"/>
            </w:tcMar>
            <w:vAlign w:val="center"/>
          </w:tcPr>
          <w:p w14:paraId="59505864" w14:textId="77777777" w:rsidR="00E510C8" w:rsidRPr="00636020" w:rsidRDefault="00E510C8" w:rsidP="00E510C8">
            <w:pPr>
              <w:spacing w:line="259" w:lineRule="auto"/>
              <w:ind w:right="5" w:firstLine="0"/>
              <w:jc w:val="center"/>
              <w:rPr>
                <w:rFonts w:eastAsia="Times New Roman" w:cs="Times New Roman"/>
                <w:sz w:val="20"/>
                <w:szCs w:val="20"/>
              </w:rPr>
            </w:pPr>
            <w:r w:rsidRPr="00636020">
              <w:rPr>
                <w:rFonts w:eastAsia="Times New Roman" w:cs="Times New Roman"/>
                <w:sz w:val="20"/>
                <w:szCs w:val="20"/>
              </w:rPr>
              <w:t>-12,4</w:t>
            </w:r>
          </w:p>
        </w:tc>
        <w:tc>
          <w:tcPr>
            <w:tcW w:w="704" w:type="dxa"/>
            <w:shd w:val="clear" w:color="auto" w:fill="auto"/>
            <w:tcMar>
              <w:left w:w="57" w:type="dxa"/>
              <w:right w:w="57" w:type="dxa"/>
            </w:tcMar>
            <w:vAlign w:val="center"/>
          </w:tcPr>
          <w:p w14:paraId="7A5BDD73" w14:textId="77777777" w:rsidR="00E510C8" w:rsidRPr="00636020" w:rsidRDefault="00E510C8" w:rsidP="00E510C8">
            <w:pPr>
              <w:spacing w:line="259" w:lineRule="auto"/>
              <w:ind w:right="5" w:firstLine="0"/>
              <w:jc w:val="center"/>
              <w:rPr>
                <w:rFonts w:eastAsia="Times New Roman" w:cs="Times New Roman"/>
                <w:sz w:val="20"/>
                <w:szCs w:val="20"/>
              </w:rPr>
            </w:pPr>
            <w:r w:rsidRPr="00636020">
              <w:rPr>
                <w:rFonts w:eastAsia="Times New Roman" w:cs="Times New Roman"/>
                <w:sz w:val="20"/>
                <w:szCs w:val="20"/>
              </w:rPr>
              <w:t>-21,2</w:t>
            </w:r>
          </w:p>
        </w:tc>
      </w:tr>
      <w:tr w:rsidR="00E510C8" w:rsidRPr="00636020" w14:paraId="0657863E" w14:textId="77777777" w:rsidTr="00E510C8">
        <w:trPr>
          <w:gridAfter w:val="1"/>
          <w:wAfter w:w="10" w:type="dxa"/>
          <w:jc w:val="center"/>
        </w:trPr>
        <w:tc>
          <w:tcPr>
            <w:tcW w:w="2836" w:type="dxa"/>
            <w:shd w:val="clear" w:color="auto" w:fill="DEEAF6"/>
            <w:vAlign w:val="center"/>
          </w:tcPr>
          <w:p w14:paraId="38508D7B" w14:textId="77777777" w:rsidR="00E510C8" w:rsidRPr="00636020" w:rsidRDefault="00E510C8" w:rsidP="00E510C8">
            <w:pPr>
              <w:ind w:left="166" w:firstLine="0"/>
              <w:jc w:val="left"/>
              <w:rPr>
                <w:rFonts w:eastAsia="Times New Roman" w:cs="Times New Roman"/>
                <w:bCs/>
                <w:noProof/>
                <w:sz w:val="20"/>
                <w:szCs w:val="20"/>
                <w:lang w:eastAsia="lv-LV"/>
              </w:rPr>
            </w:pPr>
            <w:r w:rsidRPr="00636020">
              <w:rPr>
                <w:rFonts w:eastAsia="Times New Roman" w:cs="Times New Roman"/>
                <w:bCs/>
                <w:noProof/>
                <w:sz w:val="20"/>
                <w:szCs w:val="20"/>
                <w:lang w:eastAsia="lv-LV"/>
              </w:rPr>
              <w:t>Izdevumi sociālajiem pabalstiem</w:t>
            </w:r>
          </w:p>
        </w:tc>
        <w:tc>
          <w:tcPr>
            <w:tcW w:w="851" w:type="dxa"/>
            <w:shd w:val="clear" w:color="auto" w:fill="DEEAF6"/>
            <w:tcMar>
              <w:left w:w="57" w:type="dxa"/>
              <w:right w:w="57" w:type="dxa"/>
            </w:tcMar>
            <w:vAlign w:val="center"/>
          </w:tcPr>
          <w:p w14:paraId="0550838D" w14:textId="77777777" w:rsidR="00E510C8" w:rsidRPr="00636020" w:rsidRDefault="00E510C8" w:rsidP="00E510C8">
            <w:pPr>
              <w:spacing w:line="259" w:lineRule="auto"/>
              <w:ind w:right="5" w:firstLine="0"/>
              <w:jc w:val="center"/>
              <w:rPr>
                <w:rFonts w:eastAsia="Times New Roman" w:cs="Times New Roman"/>
                <w:color w:val="FF0000"/>
                <w:sz w:val="20"/>
                <w:szCs w:val="20"/>
              </w:rPr>
            </w:pPr>
            <w:r w:rsidRPr="00636020">
              <w:rPr>
                <w:rFonts w:eastAsia="Times New Roman" w:cs="Times New Roman"/>
                <w:color w:val="000000"/>
                <w:sz w:val="20"/>
                <w:szCs w:val="20"/>
              </w:rPr>
              <w:t>4 843,3</w:t>
            </w:r>
          </w:p>
        </w:tc>
        <w:tc>
          <w:tcPr>
            <w:tcW w:w="844" w:type="dxa"/>
            <w:shd w:val="clear" w:color="auto" w:fill="DEEAF6"/>
            <w:tcMar>
              <w:left w:w="57" w:type="dxa"/>
              <w:right w:w="57" w:type="dxa"/>
            </w:tcMar>
            <w:vAlign w:val="center"/>
          </w:tcPr>
          <w:p w14:paraId="7CD35FDB" w14:textId="77777777" w:rsidR="00E510C8" w:rsidRPr="00636020" w:rsidRDefault="00E510C8" w:rsidP="00E510C8">
            <w:pPr>
              <w:spacing w:line="259" w:lineRule="auto"/>
              <w:ind w:right="5" w:firstLine="0"/>
              <w:jc w:val="center"/>
              <w:rPr>
                <w:rFonts w:eastAsia="Times New Roman" w:cs="Times New Roman"/>
                <w:color w:val="FF0000"/>
                <w:sz w:val="20"/>
                <w:szCs w:val="20"/>
              </w:rPr>
            </w:pPr>
            <w:r w:rsidRPr="00636020">
              <w:rPr>
                <w:rFonts w:eastAsia="Times New Roman" w:cs="Times New Roman"/>
                <w:color w:val="000000"/>
                <w:sz w:val="20"/>
                <w:szCs w:val="20"/>
              </w:rPr>
              <w:t>5 100,4</w:t>
            </w:r>
          </w:p>
        </w:tc>
        <w:tc>
          <w:tcPr>
            <w:tcW w:w="851" w:type="dxa"/>
            <w:shd w:val="clear" w:color="auto" w:fill="DEEAF6"/>
            <w:tcMar>
              <w:left w:w="57" w:type="dxa"/>
              <w:right w:w="57" w:type="dxa"/>
            </w:tcMar>
            <w:vAlign w:val="center"/>
          </w:tcPr>
          <w:p w14:paraId="54115822" w14:textId="77777777" w:rsidR="00E510C8" w:rsidRPr="00636020" w:rsidRDefault="00E510C8" w:rsidP="00E510C8">
            <w:pPr>
              <w:spacing w:line="259" w:lineRule="auto"/>
              <w:ind w:right="5" w:firstLine="0"/>
              <w:jc w:val="center"/>
              <w:rPr>
                <w:rFonts w:eastAsia="Times New Roman" w:cs="Times New Roman"/>
                <w:color w:val="FF0000"/>
                <w:sz w:val="20"/>
                <w:szCs w:val="20"/>
              </w:rPr>
            </w:pPr>
            <w:r w:rsidRPr="00636020">
              <w:rPr>
                <w:rFonts w:eastAsia="Times New Roman" w:cs="Times New Roman"/>
                <w:color w:val="000000"/>
                <w:sz w:val="20"/>
                <w:szCs w:val="20"/>
              </w:rPr>
              <w:t>5 445,7</w:t>
            </w:r>
          </w:p>
        </w:tc>
        <w:tc>
          <w:tcPr>
            <w:tcW w:w="850" w:type="dxa"/>
            <w:shd w:val="clear" w:color="auto" w:fill="DEEAF6"/>
            <w:tcMar>
              <w:left w:w="57" w:type="dxa"/>
              <w:right w:w="57" w:type="dxa"/>
            </w:tcMar>
            <w:vAlign w:val="center"/>
          </w:tcPr>
          <w:p w14:paraId="386EE8B1" w14:textId="77777777" w:rsidR="00E510C8" w:rsidRPr="00636020" w:rsidRDefault="00E510C8" w:rsidP="00E510C8">
            <w:pPr>
              <w:spacing w:line="259" w:lineRule="auto"/>
              <w:ind w:right="5" w:firstLine="0"/>
              <w:jc w:val="center"/>
              <w:rPr>
                <w:rFonts w:eastAsia="Times New Roman" w:cs="Times New Roman"/>
                <w:color w:val="FF0000"/>
                <w:sz w:val="20"/>
                <w:szCs w:val="20"/>
              </w:rPr>
            </w:pPr>
            <w:r w:rsidRPr="00636020">
              <w:rPr>
                <w:rFonts w:eastAsia="Times New Roman" w:cs="Times New Roman"/>
                <w:color w:val="000000"/>
                <w:sz w:val="20"/>
                <w:szCs w:val="20"/>
              </w:rPr>
              <w:t>5 788,1</w:t>
            </w:r>
          </w:p>
        </w:tc>
        <w:tc>
          <w:tcPr>
            <w:tcW w:w="709" w:type="dxa"/>
            <w:shd w:val="clear" w:color="auto" w:fill="DEEAF6"/>
            <w:tcMar>
              <w:left w:w="57" w:type="dxa"/>
              <w:right w:w="57" w:type="dxa"/>
            </w:tcMar>
            <w:vAlign w:val="center"/>
          </w:tcPr>
          <w:p w14:paraId="11E1AE10" w14:textId="77777777" w:rsidR="00E510C8" w:rsidRPr="00636020" w:rsidRDefault="00E510C8" w:rsidP="00E510C8">
            <w:pPr>
              <w:spacing w:line="259" w:lineRule="auto"/>
              <w:ind w:right="5" w:firstLine="0"/>
              <w:jc w:val="center"/>
              <w:rPr>
                <w:rFonts w:eastAsia="Times New Roman" w:cs="Times New Roman"/>
                <w:color w:val="FF0000"/>
                <w:sz w:val="20"/>
                <w:szCs w:val="20"/>
              </w:rPr>
            </w:pPr>
            <w:r w:rsidRPr="00636020">
              <w:rPr>
                <w:rFonts w:eastAsia="Times New Roman" w:cs="Times New Roman"/>
                <w:color w:val="000000"/>
                <w:sz w:val="20"/>
                <w:szCs w:val="20"/>
              </w:rPr>
              <w:t>-28,1</w:t>
            </w:r>
          </w:p>
        </w:tc>
        <w:tc>
          <w:tcPr>
            <w:tcW w:w="709" w:type="dxa"/>
            <w:shd w:val="clear" w:color="auto" w:fill="DEEAF6"/>
            <w:tcMar>
              <w:left w:w="57" w:type="dxa"/>
              <w:right w:w="57" w:type="dxa"/>
            </w:tcMar>
            <w:vAlign w:val="center"/>
          </w:tcPr>
          <w:p w14:paraId="19DF5489" w14:textId="77777777" w:rsidR="00E510C8" w:rsidRPr="00636020" w:rsidRDefault="00E510C8" w:rsidP="00E510C8">
            <w:pPr>
              <w:spacing w:line="259" w:lineRule="auto"/>
              <w:ind w:right="5" w:firstLine="0"/>
              <w:jc w:val="center"/>
              <w:rPr>
                <w:rFonts w:eastAsia="Times New Roman" w:cs="Times New Roman"/>
                <w:color w:val="FF0000"/>
                <w:sz w:val="20"/>
                <w:szCs w:val="20"/>
              </w:rPr>
            </w:pPr>
            <w:r w:rsidRPr="00636020">
              <w:rPr>
                <w:rFonts w:eastAsia="Times New Roman" w:cs="Times New Roman"/>
                <w:color w:val="000000"/>
                <w:sz w:val="20"/>
                <w:szCs w:val="20"/>
              </w:rPr>
              <w:t>-108,4</w:t>
            </w:r>
          </w:p>
        </w:tc>
        <w:tc>
          <w:tcPr>
            <w:tcW w:w="709" w:type="dxa"/>
            <w:shd w:val="clear" w:color="auto" w:fill="DEEAF6"/>
            <w:tcMar>
              <w:left w:w="57" w:type="dxa"/>
              <w:right w:w="57" w:type="dxa"/>
            </w:tcMar>
            <w:vAlign w:val="center"/>
          </w:tcPr>
          <w:p w14:paraId="27BAD281" w14:textId="77777777" w:rsidR="00E510C8" w:rsidRPr="00636020" w:rsidRDefault="00E510C8" w:rsidP="00E510C8">
            <w:pPr>
              <w:spacing w:line="259" w:lineRule="auto"/>
              <w:ind w:right="5" w:firstLine="0"/>
              <w:jc w:val="center"/>
              <w:rPr>
                <w:rFonts w:eastAsia="Times New Roman" w:cs="Times New Roman"/>
                <w:color w:val="FF0000"/>
                <w:sz w:val="20"/>
                <w:szCs w:val="20"/>
              </w:rPr>
            </w:pPr>
            <w:r w:rsidRPr="00636020">
              <w:rPr>
                <w:rFonts w:eastAsia="Times New Roman" w:cs="Times New Roman"/>
                <w:color w:val="000000"/>
                <w:sz w:val="20"/>
                <w:szCs w:val="20"/>
              </w:rPr>
              <w:t>-113,4</w:t>
            </w:r>
          </w:p>
        </w:tc>
        <w:tc>
          <w:tcPr>
            <w:tcW w:w="704" w:type="dxa"/>
            <w:shd w:val="clear" w:color="auto" w:fill="DEEAF6"/>
            <w:tcMar>
              <w:left w:w="57" w:type="dxa"/>
              <w:right w:w="57" w:type="dxa"/>
            </w:tcMar>
            <w:vAlign w:val="center"/>
          </w:tcPr>
          <w:p w14:paraId="452A6452" w14:textId="77777777" w:rsidR="00E510C8" w:rsidRPr="00636020" w:rsidRDefault="00E510C8" w:rsidP="00E510C8">
            <w:pPr>
              <w:spacing w:line="259" w:lineRule="auto"/>
              <w:ind w:right="5" w:firstLine="0"/>
              <w:jc w:val="center"/>
              <w:rPr>
                <w:rFonts w:eastAsia="Times New Roman" w:cs="Times New Roman"/>
                <w:color w:val="FF0000"/>
                <w:sz w:val="20"/>
                <w:szCs w:val="20"/>
              </w:rPr>
            </w:pPr>
            <w:r w:rsidRPr="00636020">
              <w:rPr>
                <w:rFonts w:eastAsia="Times New Roman" w:cs="Times New Roman"/>
                <w:color w:val="000000"/>
                <w:sz w:val="20"/>
                <w:szCs w:val="20"/>
              </w:rPr>
              <w:t>-106,1</w:t>
            </w:r>
          </w:p>
        </w:tc>
      </w:tr>
      <w:tr w:rsidR="00E510C8" w:rsidRPr="00636020" w14:paraId="08928EBF" w14:textId="77777777" w:rsidTr="00E510C8">
        <w:trPr>
          <w:gridAfter w:val="1"/>
          <w:wAfter w:w="10" w:type="dxa"/>
          <w:jc w:val="center"/>
        </w:trPr>
        <w:tc>
          <w:tcPr>
            <w:tcW w:w="2836" w:type="dxa"/>
            <w:shd w:val="clear" w:color="auto" w:fill="auto"/>
            <w:vAlign w:val="center"/>
          </w:tcPr>
          <w:p w14:paraId="66C5B3F1" w14:textId="77777777" w:rsidR="00E510C8" w:rsidRPr="00636020" w:rsidRDefault="00E510C8" w:rsidP="00E510C8">
            <w:pPr>
              <w:ind w:firstLine="0"/>
              <w:jc w:val="left"/>
              <w:rPr>
                <w:rFonts w:eastAsia="Times New Roman" w:cs="Times New Roman"/>
                <w:b/>
                <w:noProof/>
                <w:sz w:val="20"/>
                <w:szCs w:val="20"/>
                <w:lang w:eastAsia="lv-LV"/>
              </w:rPr>
            </w:pPr>
            <w:r w:rsidRPr="00636020">
              <w:rPr>
                <w:rFonts w:eastAsia="Times New Roman" w:cs="Times New Roman"/>
                <w:b/>
                <w:noProof/>
                <w:sz w:val="20"/>
                <w:szCs w:val="20"/>
                <w:lang w:eastAsia="lv-LV"/>
              </w:rPr>
              <w:t>Vispārējās valdības parāds,</w:t>
            </w:r>
            <w:r w:rsidRPr="00636020">
              <w:rPr>
                <w:rFonts w:eastAsia="Times New Roman" w:cs="Times New Roman"/>
                <w:b/>
                <w:noProof/>
                <w:sz w:val="20"/>
                <w:szCs w:val="20"/>
                <w:lang w:eastAsia="lv-LV"/>
              </w:rPr>
              <w:br/>
              <w:t>% no IKP</w:t>
            </w:r>
          </w:p>
        </w:tc>
        <w:tc>
          <w:tcPr>
            <w:tcW w:w="851" w:type="dxa"/>
            <w:shd w:val="clear" w:color="auto" w:fill="auto"/>
            <w:tcMar>
              <w:left w:w="57" w:type="dxa"/>
              <w:right w:w="57" w:type="dxa"/>
            </w:tcMar>
            <w:vAlign w:val="center"/>
          </w:tcPr>
          <w:p w14:paraId="4994FFF7" w14:textId="77777777" w:rsidR="00E510C8" w:rsidRPr="00636020" w:rsidRDefault="00E510C8" w:rsidP="00E510C8">
            <w:pPr>
              <w:spacing w:line="259" w:lineRule="auto"/>
              <w:ind w:right="5" w:firstLine="0"/>
              <w:jc w:val="center"/>
              <w:rPr>
                <w:rFonts w:eastAsia="Times New Roman" w:cs="Times New Roman"/>
                <w:b/>
                <w:bCs/>
                <w:sz w:val="20"/>
                <w:szCs w:val="20"/>
              </w:rPr>
            </w:pPr>
            <w:r w:rsidRPr="00636020">
              <w:rPr>
                <w:rFonts w:eastAsia="Times New Roman" w:cs="Times New Roman"/>
                <w:b/>
                <w:bCs/>
                <w:color w:val="000000"/>
                <w:sz w:val="20"/>
                <w:szCs w:val="20"/>
              </w:rPr>
              <w:t>39,5</w:t>
            </w:r>
          </w:p>
        </w:tc>
        <w:tc>
          <w:tcPr>
            <w:tcW w:w="844" w:type="dxa"/>
            <w:shd w:val="clear" w:color="auto" w:fill="auto"/>
            <w:tcMar>
              <w:left w:w="57" w:type="dxa"/>
              <w:right w:w="57" w:type="dxa"/>
            </w:tcMar>
            <w:vAlign w:val="center"/>
          </w:tcPr>
          <w:p w14:paraId="742C7148" w14:textId="77777777" w:rsidR="00E510C8" w:rsidRPr="00636020" w:rsidRDefault="00E510C8" w:rsidP="00E510C8">
            <w:pPr>
              <w:spacing w:line="259" w:lineRule="auto"/>
              <w:ind w:right="5" w:firstLine="0"/>
              <w:jc w:val="center"/>
              <w:rPr>
                <w:rFonts w:eastAsia="Times New Roman" w:cs="Times New Roman"/>
                <w:b/>
                <w:bCs/>
                <w:sz w:val="20"/>
                <w:szCs w:val="20"/>
              </w:rPr>
            </w:pPr>
            <w:r w:rsidRPr="00636020">
              <w:rPr>
                <w:rFonts w:eastAsia="Times New Roman" w:cs="Times New Roman"/>
                <w:b/>
                <w:bCs/>
                <w:color w:val="000000"/>
                <w:sz w:val="20"/>
                <w:szCs w:val="20"/>
              </w:rPr>
              <w:t>38,9</w:t>
            </w:r>
          </w:p>
        </w:tc>
        <w:tc>
          <w:tcPr>
            <w:tcW w:w="851" w:type="dxa"/>
            <w:shd w:val="clear" w:color="auto" w:fill="auto"/>
            <w:tcMar>
              <w:left w:w="57" w:type="dxa"/>
              <w:right w:w="57" w:type="dxa"/>
            </w:tcMar>
            <w:vAlign w:val="center"/>
          </w:tcPr>
          <w:p w14:paraId="6802CD17" w14:textId="77777777" w:rsidR="00E510C8" w:rsidRPr="00636020" w:rsidRDefault="00E510C8" w:rsidP="00E510C8">
            <w:pPr>
              <w:spacing w:line="259" w:lineRule="auto"/>
              <w:ind w:right="5" w:firstLine="0"/>
              <w:jc w:val="center"/>
              <w:rPr>
                <w:rFonts w:eastAsia="Times New Roman" w:cs="Times New Roman"/>
                <w:b/>
                <w:bCs/>
                <w:sz w:val="20"/>
                <w:szCs w:val="20"/>
              </w:rPr>
            </w:pPr>
            <w:r w:rsidRPr="00636020">
              <w:rPr>
                <w:rFonts w:eastAsia="Times New Roman" w:cs="Times New Roman"/>
                <w:b/>
                <w:bCs/>
                <w:color w:val="000000"/>
                <w:sz w:val="20"/>
                <w:szCs w:val="20"/>
              </w:rPr>
              <w:t>38,6</w:t>
            </w:r>
          </w:p>
        </w:tc>
        <w:tc>
          <w:tcPr>
            <w:tcW w:w="850" w:type="dxa"/>
            <w:shd w:val="clear" w:color="auto" w:fill="auto"/>
            <w:tcMar>
              <w:left w:w="57" w:type="dxa"/>
              <w:right w:w="57" w:type="dxa"/>
            </w:tcMar>
            <w:vAlign w:val="center"/>
          </w:tcPr>
          <w:p w14:paraId="4E82E7F6" w14:textId="77777777" w:rsidR="00E510C8" w:rsidRPr="00636020" w:rsidRDefault="00E510C8" w:rsidP="00E510C8">
            <w:pPr>
              <w:spacing w:line="259" w:lineRule="auto"/>
              <w:ind w:right="5" w:firstLine="0"/>
              <w:jc w:val="center"/>
              <w:rPr>
                <w:rFonts w:eastAsia="Times New Roman" w:cs="Times New Roman"/>
                <w:b/>
                <w:bCs/>
                <w:sz w:val="20"/>
                <w:szCs w:val="20"/>
              </w:rPr>
            </w:pPr>
            <w:r w:rsidRPr="00636020">
              <w:rPr>
                <w:rFonts w:eastAsia="Times New Roman" w:cs="Times New Roman"/>
                <w:b/>
                <w:bCs/>
                <w:color w:val="000000"/>
                <w:sz w:val="20"/>
                <w:szCs w:val="20"/>
              </w:rPr>
              <w:t>37,2</w:t>
            </w:r>
          </w:p>
        </w:tc>
        <w:tc>
          <w:tcPr>
            <w:tcW w:w="709" w:type="dxa"/>
            <w:shd w:val="clear" w:color="auto" w:fill="auto"/>
            <w:tcMar>
              <w:left w:w="57" w:type="dxa"/>
              <w:right w:w="57" w:type="dxa"/>
            </w:tcMar>
            <w:vAlign w:val="center"/>
          </w:tcPr>
          <w:p w14:paraId="0F09A4D5" w14:textId="77777777" w:rsidR="00E510C8" w:rsidRPr="00636020" w:rsidRDefault="00E510C8" w:rsidP="00E510C8">
            <w:pPr>
              <w:spacing w:line="259" w:lineRule="auto"/>
              <w:ind w:right="5" w:firstLine="0"/>
              <w:jc w:val="center"/>
              <w:rPr>
                <w:rFonts w:eastAsia="Times New Roman" w:cs="Times New Roman"/>
                <w:b/>
                <w:bCs/>
                <w:sz w:val="20"/>
                <w:szCs w:val="20"/>
              </w:rPr>
            </w:pPr>
            <w:r w:rsidRPr="00636020">
              <w:rPr>
                <w:rFonts w:eastAsia="Times New Roman" w:cs="Times New Roman"/>
                <w:b/>
                <w:bCs/>
                <w:color w:val="000000"/>
                <w:sz w:val="20"/>
                <w:szCs w:val="20"/>
              </w:rPr>
              <w:t>-0,1</w:t>
            </w:r>
          </w:p>
        </w:tc>
        <w:tc>
          <w:tcPr>
            <w:tcW w:w="709" w:type="dxa"/>
            <w:shd w:val="clear" w:color="auto" w:fill="auto"/>
            <w:tcMar>
              <w:left w:w="57" w:type="dxa"/>
              <w:right w:w="57" w:type="dxa"/>
            </w:tcMar>
            <w:vAlign w:val="center"/>
          </w:tcPr>
          <w:p w14:paraId="00053867" w14:textId="77777777" w:rsidR="00E510C8" w:rsidRPr="00636020" w:rsidRDefault="00E510C8" w:rsidP="00E510C8">
            <w:pPr>
              <w:spacing w:line="259" w:lineRule="auto"/>
              <w:ind w:right="5" w:firstLine="0"/>
              <w:jc w:val="center"/>
              <w:rPr>
                <w:rFonts w:eastAsia="Times New Roman" w:cs="Times New Roman"/>
                <w:b/>
                <w:bCs/>
                <w:sz w:val="20"/>
                <w:szCs w:val="20"/>
              </w:rPr>
            </w:pPr>
            <w:r w:rsidRPr="00636020">
              <w:rPr>
                <w:rFonts w:eastAsia="Times New Roman" w:cs="Times New Roman"/>
                <w:b/>
                <w:bCs/>
                <w:color w:val="000000"/>
                <w:sz w:val="20"/>
                <w:szCs w:val="20"/>
              </w:rPr>
              <w:t>-0,8</w:t>
            </w:r>
          </w:p>
        </w:tc>
        <w:tc>
          <w:tcPr>
            <w:tcW w:w="709" w:type="dxa"/>
            <w:shd w:val="clear" w:color="auto" w:fill="auto"/>
            <w:tcMar>
              <w:left w:w="57" w:type="dxa"/>
              <w:right w:w="57" w:type="dxa"/>
            </w:tcMar>
            <w:vAlign w:val="center"/>
          </w:tcPr>
          <w:p w14:paraId="635183A9" w14:textId="77777777" w:rsidR="00E510C8" w:rsidRPr="00636020" w:rsidRDefault="00E510C8" w:rsidP="00E510C8">
            <w:pPr>
              <w:spacing w:line="259" w:lineRule="auto"/>
              <w:ind w:right="5" w:firstLine="0"/>
              <w:jc w:val="center"/>
              <w:rPr>
                <w:rFonts w:eastAsia="Times New Roman" w:cs="Times New Roman"/>
                <w:b/>
                <w:bCs/>
                <w:sz w:val="20"/>
                <w:szCs w:val="20"/>
              </w:rPr>
            </w:pPr>
            <w:r w:rsidRPr="00636020">
              <w:rPr>
                <w:rFonts w:eastAsia="Times New Roman" w:cs="Times New Roman"/>
                <w:b/>
                <w:bCs/>
                <w:color w:val="000000"/>
                <w:sz w:val="20"/>
                <w:szCs w:val="20"/>
              </w:rPr>
              <w:t>-1,2</w:t>
            </w:r>
          </w:p>
        </w:tc>
        <w:tc>
          <w:tcPr>
            <w:tcW w:w="704" w:type="dxa"/>
            <w:shd w:val="clear" w:color="auto" w:fill="auto"/>
            <w:tcMar>
              <w:left w:w="57" w:type="dxa"/>
              <w:right w:w="57" w:type="dxa"/>
            </w:tcMar>
            <w:vAlign w:val="center"/>
          </w:tcPr>
          <w:p w14:paraId="4934C5BC" w14:textId="77777777" w:rsidR="00E510C8" w:rsidRPr="00636020" w:rsidRDefault="00E510C8" w:rsidP="00E510C8">
            <w:pPr>
              <w:spacing w:line="259" w:lineRule="auto"/>
              <w:ind w:right="5" w:firstLine="0"/>
              <w:jc w:val="center"/>
              <w:rPr>
                <w:rFonts w:eastAsia="Times New Roman" w:cs="Times New Roman"/>
                <w:b/>
                <w:bCs/>
                <w:sz w:val="20"/>
                <w:szCs w:val="20"/>
              </w:rPr>
            </w:pPr>
            <w:r w:rsidRPr="00636020">
              <w:rPr>
                <w:rFonts w:eastAsia="Times New Roman" w:cs="Times New Roman"/>
                <w:b/>
                <w:bCs/>
                <w:color w:val="000000"/>
                <w:sz w:val="20"/>
                <w:szCs w:val="20"/>
              </w:rPr>
              <w:t>-1,7</w:t>
            </w:r>
          </w:p>
        </w:tc>
      </w:tr>
    </w:tbl>
    <w:p w14:paraId="0A500960" w14:textId="77777777" w:rsidR="00E510C8" w:rsidRPr="00636020" w:rsidRDefault="00E510C8" w:rsidP="00E510C8">
      <w:pPr>
        <w:autoSpaceDE w:val="0"/>
        <w:autoSpaceDN w:val="0"/>
        <w:adjustRightInd w:val="0"/>
        <w:rPr>
          <w:rFonts w:eastAsia="Times New Roman" w:cs="Times New Roman"/>
          <w:color w:val="000000"/>
          <w:sz w:val="24"/>
          <w:szCs w:val="24"/>
          <w:lang w:eastAsia="lv-LV"/>
        </w:rPr>
      </w:pPr>
    </w:p>
    <w:p w14:paraId="1E57E6AA" w14:textId="4D4C7C79" w:rsidR="004D1DFA" w:rsidRPr="00636020" w:rsidRDefault="00E510C8" w:rsidP="00E510C8">
      <w:pPr>
        <w:autoSpaceDE w:val="0"/>
        <w:autoSpaceDN w:val="0"/>
        <w:adjustRightInd w:val="0"/>
        <w:rPr>
          <w:rFonts w:eastAsia="Times New Roman" w:cs="Times New Roman"/>
          <w:color w:val="000000"/>
          <w:sz w:val="24"/>
          <w:szCs w:val="24"/>
          <w:lang w:eastAsia="lv-LV"/>
        </w:rPr>
      </w:pPr>
      <w:r w:rsidRPr="00636020">
        <w:rPr>
          <w:rFonts w:eastAsia="Times New Roman" w:cs="Times New Roman"/>
          <w:color w:val="000000"/>
          <w:sz w:val="24"/>
          <w:szCs w:val="24"/>
          <w:lang w:eastAsia="lv-LV"/>
        </w:rPr>
        <w:t xml:space="preserve">Īstenojoties ekonomiskās attīstības optimistiskajam scenārijam, nodokļu ieņēmumu palielināšanās ietekmē uzlabotos valsts budžeta finansiālā bilance, kā rezultātā samazinātos kopējā finansēšanas nepieciešamība un attiecīgi arī aizņemšanās apjoms attiecīgajā periodā, salīdzinot ar bāzes scenāriju. Mazāki aizņēmumi izraisītu ietaupījumu procentu izdevumos. Optimistiskā scenārija gadījumā procentu izdevumi 2023. gadā nemainītos, bet 2024. gadā būtu par 3,6 milj. </w:t>
      </w:r>
      <w:proofErr w:type="spellStart"/>
      <w:r w:rsidRPr="00636020">
        <w:rPr>
          <w:rFonts w:eastAsia="Times New Roman" w:cs="Times New Roman"/>
          <w:i/>
          <w:color w:val="000000"/>
          <w:sz w:val="24"/>
          <w:szCs w:val="24"/>
          <w:lang w:eastAsia="lv-LV"/>
        </w:rPr>
        <w:t>euro</w:t>
      </w:r>
      <w:proofErr w:type="spellEnd"/>
      <w:r w:rsidRPr="00636020">
        <w:rPr>
          <w:rFonts w:eastAsia="Times New Roman" w:cs="Times New Roman"/>
          <w:color w:val="000000"/>
          <w:sz w:val="24"/>
          <w:szCs w:val="24"/>
          <w:lang w:eastAsia="lv-LV"/>
        </w:rPr>
        <w:t xml:space="preserve"> mazāki, 2025. gadā par 12,4 milj. </w:t>
      </w:r>
      <w:proofErr w:type="spellStart"/>
      <w:r w:rsidRPr="00636020">
        <w:rPr>
          <w:rFonts w:eastAsia="Times New Roman" w:cs="Times New Roman"/>
          <w:i/>
          <w:color w:val="000000"/>
          <w:sz w:val="24"/>
          <w:szCs w:val="24"/>
          <w:lang w:eastAsia="lv-LV"/>
        </w:rPr>
        <w:t>euro</w:t>
      </w:r>
      <w:proofErr w:type="spellEnd"/>
      <w:r w:rsidRPr="00636020">
        <w:rPr>
          <w:rFonts w:eastAsia="Times New Roman" w:cs="Times New Roman"/>
          <w:color w:val="000000"/>
          <w:sz w:val="24"/>
          <w:szCs w:val="24"/>
          <w:lang w:eastAsia="lv-LV"/>
        </w:rPr>
        <w:t xml:space="preserve"> un 2026. gadā attiecīgi par 21,2 milj. </w:t>
      </w:r>
      <w:proofErr w:type="spellStart"/>
      <w:r w:rsidRPr="00636020">
        <w:rPr>
          <w:rFonts w:eastAsia="Times New Roman" w:cs="Times New Roman"/>
          <w:i/>
          <w:color w:val="000000"/>
          <w:sz w:val="24"/>
          <w:szCs w:val="24"/>
          <w:lang w:eastAsia="lv-LV"/>
        </w:rPr>
        <w:t>euro</w:t>
      </w:r>
      <w:proofErr w:type="spellEnd"/>
      <w:r w:rsidRPr="00636020">
        <w:rPr>
          <w:rFonts w:eastAsia="Times New Roman" w:cs="Times New Roman"/>
          <w:color w:val="000000"/>
          <w:sz w:val="24"/>
          <w:szCs w:val="24"/>
          <w:lang w:eastAsia="lv-LV"/>
        </w:rPr>
        <w:t xml:space="preserve"> mazāki nekā bāzes scenārijā. </w:t>
      </w:r>
    </w:p>
    <w:p w14:paraId="47F70A0E" w14:textId="77777777" w:rsidR="00471221" w:rsidRPr="00636020" w:rsidRDefault="00471221" w:rsidP="00B26796">
      <w:pPr>
        <w:autoSpaceDE w:val="0"/>
        <w:autoSpaceDN w:val="0"/>
        <w:adjustRightInd w:val="0"/>
        <w:rPr>
          <w:rFonts w:eastAsia="Times New Roman" w:cs="Times New Roman"/>
          <w:sz w:val="24"/>
          <w:lang w:eastAsia="lv-LV"/>
        </w:rPr>
      </w:pPr>
    </w:p>
    <w:p w14:paraId="0F5ECA6F" w14:textId="3ABE4B9E" w:rsidR="00BF4753" w:rsidRPr="00636020" w:rsidRDefault="00BF4753" w:rsidP="00BF4753">
      <w:pPr>
        <w:pStyle w:val="Heading2"/>
        <w:numPr>
          <w:ilvl w:val="0"/>
          <w:numId w:val="0"/>
        </w:numPr>
        <w:spacing w:before="240" w:after="240"/>
        <w:rPr>
          <w:rFonts w:eastAsia="Times New Roman"/>
          <w:sz w:val="28"/>
          <w:szCs w:val="24"/>
          <w:lang w:eastAsia="lv-LV"/>
        </w:rPr>
      </w:pPr>
      <w:bookmarkStart w:id="55" w:name="_Toc131331249"/>
      <w:r w:rsidRPr="00636020">
        <w:rPr>
          <w:rFonts w:eastAsia="Times New Roman"/>
          <w:sz w:val="28"/>
          <w:szCs w:val="24"/>
          <w:lang w:eastAsia="lv-LV"/>
        </w:rPr>
        <w:t>4.</w:t>
      </w:r>
      <w:r w:rsidR="00281D96" w:rsidRPr="00636020">
        <w:rPr>
          <w:rFonts w:eastAsia="Times New Roman"/>
          <w:sz w:val="28"/>
          <w:szCs w:val="24"/>
          <w:lang w:eastAsia="lv-LV"/>
        </w:rPr>
        <w:t>4</w:t>
      </w:r>
      <w:r w:rsidRPr="00636020">
        <w:rPr>
          <w:rFonts w:eastAsia="Times New Roman"/>
          <w:sz w:val="28"/>
          <w:szCs w:val="24"/>
          <w:lang w:eastAsia="lv-LV"/>
        </w:rPr>
        <w:t>. Vispārējās valdības budžeta bilances un parāda prognožu salīdzinājums ar Latvijas Stabilitātes programmu 202</w:t>
      </w:r>
      <w:r w:rsidR="00EF6192" w:rsidRPr="00636020">
        <w:rPr>
          <w:rFonts w:eastAsia="Times New Roman"/>
          <w:sz w:val="28"/>
          <w:szCs w:val="24"/>
          <w:lang w:eastAsia="lv-LV"/>
        </w:rPr>
        <w:t>2</w:t>
      </w:r>
      <w:r w:rsidR="00CF68FC" w:rsidRPr="00636020">
        <w:rPr>
          <w:rFonts w:eastAsia="Times New Roman"/>
          <w:sz w:val="28"/>
          <w:szCs w:val="24"/>
          <w:lang w:eastAsia="lv-LV"/>
        </w:rPr>
        <w:t>.-</w:t>
      </w:r>
      <w:r w:rsidRPr="00636020">
        <w:rPr>
          <w:rFonts w:eastAsia="Times New Roman"/>
          <w:sz w:val="28"/>
          <w:szCs w:val="24"/>
          <w:lang w:eastAsia="lv-LV"/>
        </w:rPr>
        <w:t>202</w:t>
      </w:r>
      <w:r w:rsidR="00EF6192" w:rsidRPr="00636020">
        <w:rPr>
          <w:rFonts w:eastAsia="Times New Roman"/>
          <w:sz w:val="28"/>
          <w:szCs w:val="24"/>
          <w:lang w:eastAsia="lv-LV"/>
        </w:rPr>
        <w:t>5</w:t>
      </w:r>
      <w:r w:rsidR="00CF68FC" w:rsidRPr="00636020">
        <w:rPr>
          <w:rFonts w:eastAsia="Times New Roman"/>
          <w:sz w:val="28"/>
          <w:szCs w:val="24"/>
          <w:lang w:eastAsia="lv-LV"/>
        </w:rPr>
        <w:t>. </w:t>
      </w:r>
      <w:r w:rsidRPr="00636020">
        <w:rPr>
          <w:rFonts w:eastAsia="Times New Roman"/>
          <w:sz w:val="28"/>
          <w:szCs w:val="24"/>
          <w:lang w:eastAsia="lv-LV"/>
        </w:rPr>
        <w:t>gadam</w:t>
      </w:r>
      <w:bookmarkEnd w:id="55"/>
    </w:p>
    <w:p w14:paraId="6D52A0A6" w14:textId="3971660B" w:rsidR="00F2699C" w:rsidRDefault="00F2699C" w:rsidP="00F2699C">
      <w:pPr>
        <w:rPr>
          <w:rFonts w:eastAsia="Calibri" w:cs="Times New Roman"/>
          <w:sz w:val="24"/>
          <w:szCs w:val="24"/>
        </w:rPr>
      </w:pPr>
      <w:r w:rsidRPr="00636020">
        <w:rPr>
          <w:rFonts w:eastAsia="Calibri" w:cs="Times New Roman"/>
          <w:sz w:val="24"/>
          <w:szCs w:val="24"/>
        </w:rPr>
        <w:t>Salīdzinot ar Latvijas Stabilitātes programmu 2022.-2025. gadam, IKP prognoze 2023. gadam tika samazināta par 2,5 procentpunktiem, kas ir saistīts ar Krievijas uzsākto karadarbību Ukrainā un līdz ar to pieaugušām energoresursu cenām, radot nepieciešamību mainīt energoresursu piegādes kanālus. Šādas strukturālās izmaiņas mazināja ekonomiskās izaugsmes prognozes arī vidējam termiņam – attiecīgi par 1,3 procentpunktiem 2024. gadā un par 0,5 procentpunktiem 2025. gadā.</w:t>
      </w:r>
    </w:p>
    <w:p w14:paraId="5FD0316D" w14:textId="77777777" w:rsidR="004902D1" w:rsidRPr="00636020" w:rsidRDefault="004902D1" w:rsidP="004902D1">
      <w:pPr>
        <w:keepNext/>
        <w:spacing w:after="120"/>
        <w:ind w:firstLine="0"/>
        <w:jc w:val="right"/>
        <w:rPr>
          <w:rFonts w:eastAsia="Times New Roman" w:cs="Times New Roman"/>
          <w:b/>
          <w:sz w:val="24"/>
          <w:szCs w:val="20"/>
        </w:rPr>
      </w:pPr>
      <w:r w:rsidRPr="00636020">
        <w:rPr>
          <w:rFonts w:eastAsia="Times New Roman" w:cs="Times New Roman"/>
          <w:b/>
          <w:sz w:val="24"/>
          <w:szCs w:val="20"/>
        </w:rPr>
        <w:t>4.5. tabula. Salīdzinājums ar 2022. – 2025.</w:t>
      </w:r>
      <w:r>
        <w:rPr>
          <w:rFonts w:eastAsia="Times New Roman" w:cs="Times New Roman"/>
          <w:b/>
          <w:sz w:val="24"/>
          <w:szCs w:val="20"/>
        </w:rPr>
        <w:t xml:space="preserve"> </w:t>
      </w:r>
      <w:r w:rsidRPr="00636020">
        <w:rPr>
          <w:rFonts w:eastAsia="Times New Roman" w:cs="Times New Roman"/>
          <w:b/>
          <w:sz w:val="24"/>
          <w:szCs w:val="20"/>
        </w:rPr>
        <w:t>gada</w:t>
      </w:r>
      <w:r w:rsidRPr="00636020">
        <w:rPr>
          <w:rFonts w:eastAsia="Times New Roman" w:cs="Times New Roman"/>
          <w:b/>
          <w:sz w:val="24"/>
          <w:szCs w:val="20"/>
        </w:rPr>
        <w:br/>
        <w:t>Stabilitātes programmas prognozēm</w:t>
      </w:r>
      <w:r>
        <w:rPr>
          <w:rFonts w:eastAsia="Times New Roman" w:cs="Times New Roman"/>
          <w:b/>
          <w:sz w:val="24"/>
          <w:szCs w:val="20"/>
        </w:rPr>
        <w:t xml:space="preserve"> (pie nemainīgas politikas)</w:t>
      </w:r>
    </w:p>
    <w:tbl>
      <w:tblPr>
        <w:tblW w:w="8496" w:type="dxa"/>
        <w:jc w:val="cente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A0" w:firstRow="1" w:lastRow="0" w:firstColumn="1" w:lastColumn="0" w:noHBand="0" w:noVBand="1"/>
      </w:tblPr>
      <w:tblGrid>
        <w:gridCol w:w="3545"/>
        <w:gridCol w:w="709"/>
        <w:gridCol w:w="840"/>
        <w:gridCol w:w="851"/>
        <w:gridCol w:w="850"/>
        <w:gridCol w:w="851"/>
        <w:gridCol w:w="850"/>
      </w:tblGrid>
      <w:tr w:rsidR="004902D1" w:rsidRPr="00636020" w14:paraId="08CD1E4C" w14:textId="77777777" w:rsidTr="006E7F95">
        <w:trPr>
          <w:jc w:val="center"/>
        </w:trPr>
        <w:tc>
          <w:tcPr>
            <w:tcW w:w="3545" w:type="dxa"/>
            <w:shd w:val="clear" w:color="auto" w:fill="BDD6EE"/>
          </w:tcPr>
          <w:p w14:paraId="51051324" w14:textId="77777777" w:rsidR="004902D1" w:rsidRPr="00636020" w:rsidRDefault="004902D1" w:rsidP="006E7F95">
            <w:pPr>
              <w:ind w:firstLine="0"/>
              <w:jc w:val="left"/>
              <w:rPr>
                <w:rFonts w:eastAsia="Times New Roman" w:cs="Times New Roman"/>
                <w:b/>
                <w:bCs/>
                <w:sz w:val="20"/>
                <w:szCs w:val="20"/>
              </w:rPr>
            </w:pPr>
          </w:p>
        </w:tc>
        <w:tc>
          <w:tcPr>
            <w:tcW w:w="709" w:type="dxa"/>
            <w:shd w:val="clear" w:color="auto" w:fill="BDD6EE"/>
            <w:vAlign w:val="center"/>
          </w:tcPr>
          <w:p w14:paraId="4ABC1F2C" w14:textId="77777777" w:rsidR="004902D1" w:rsidRPr="00636020" w:rsidRDefault="004902D1" w:rsidP="006E7F95">
            <w:pPr>
              <w:ind w:firstLine="0"/>
              <w:jc w:val="center"/>
              <w:rPr>
                <w:rFonts w:eastAsia="Times New Roman" w:cs="Times New Roman"/>
                <w:b/>
                <w:bCs/>
                <w:sz w:val="20"/>
                <w:szCs w:val="20"/>
              </w:rPr>
            </w:pPr>
            <w:r w:rsidRPr="00636020">
              <w:rPr>
                <w:rFonts w:eastAsia="Times New Roman" w:cs="Times New Roman"/>
                <w:b/>
                <w:bCs/>
                <w:sz w:val="20"/>
                <w:szCs w:val="20"/>
              </w:rPr>
              <w:t>EKS kods</w:t>
            </w:r>
          </w:p>
        </w:tc>
        <w:tc>
          <w:tcPr>
            <w:tcW w:w="840" w:type="dxa"/>
            <w:shd w:val="clear" w:color="auto" w:fill="BDD6EE"/>
            <w:vAlign w:val="center"/>
          </w:tcPr>
          <w:p w14:paraId="2E04C5AF" w14:textId="77777777" w:rsidR="004902D1" w:rsidRPr="00636020" w:rsidRDefault="004902D1" w:rsidP="006E7F95">
            <w:pPr>
              <w:ind w:firstLine="0"/>
              <w:jc w:val="center"/>
              <w:rPr>
                <w:rFonts w:eastAsia="Times New Roman" w:cs="Times New Roman"/>
                <w:b/>
                <w:bCs/>
                <w:sz w:val="20"/>
                <w:szCs w:val="20"/>
              </w:rPr>
            </w:pPr>
            <w:r w:rsidRPr="00636020">
              <w:rPr>
                <w:rFonts w:eastAsia="Times New Roman" w:cs="Times New Roman"/>
                <w:b/>
                <w:bCs/>
                <w:sz w:val="20"/>
                <w:szCs w:val="20"/>
              </w:rPr>
              <w:t>2022</w:t>
            </w:r>
          </w:p>
        </w:tc>
        <w:tc>
          <w:tcPr>
            <w:tcW w:w="851" w:type="dxa"/>
            <w:shd w:val="clear" w:color="auto" w:fill="BDD6EE"/>
            <w:vAlign w:val="center"/>
          </w:tcPr>
          <w:p w14:paraId="0820973B" w14:textId="77777777" w:rsidR="004902D1" w:rsidRPr="00636020" w:rsidRDefault="004902D1" w:rsidP="006E7F95">
            <w:pPr>
              <w:ind w:firstLine="0"/>
              <w:jc w:val="center"/>
              <w:rPr>
                <w:rFonts w:eastAsia="Times New Roman" w:cs="Times New Roman"/>
                <w:b/>
                <w:bCs/>
                <w:sz w:val="20"/>
                <w:szCs w:val="20"/>
              </w:rPr>
            </w:pPr>
            <w:r w:rsidRPr="00636020">
              <w:rPr>
                <w:rFonts w:eastAsia="Times New Roman" w:cs="Times New Roman"/>
                <w:b/>
                <w:bCs/>
                <w:sz w:val="20"/>
                <w:szCs w:val="20"/>
              </w:rPr>
              <w:t>2023</w:t>
            </w:r>
          </w:p>
        </w:tc>
        <w:tc>
          <w:tcPr>
            <w:tcW w:w="850" w:type="dxa"/>
            <w:shd w:val="clear" w:color="auto" w:fill="BDD6EE"/>
            <w:vAlign w:val="center"/>
          </w:tcPr>
          <w:p w14:paraId="65565EF0" w14:textId="77777777" w:rsidR="004902D1" w:rsidRPr="00636020" w:rsidRDefault="004902D1" w:rsidP="006E7F95">
            <w:pPr>
              <w:ind w:firstLine="0"/>
              <w:jc w:val="center"/>
              <w:rPr>
                <w:rFonts w:eastAsia="Times New Roman" w:cs="Times New Roman"/>
                <w:b/>
                <w:bCs/>
                <w:sz w:val="20"/>
                <w:szCs w:val="20"/>
              </w:rPr>
            </w:pPr>
            <w:r w:rsidRPr="00636020">
              <w:rPr>
                <w:rFonts w:eastAsia="Times New Roman" w:cs="Times New Roman"/>
                <w:b/>
                <w:bCs/>
                <w:sz w:val="20"/>
                <w:szCs w:val="20"/>
              </w:rPr>
              <w:t>2024</w:t>
            </w:r>
          </w:p>
        </w:tc>
        <w:tc>
          <w:tcPr>
            <w:tcW w:w="851" w:type="dxa"/>
            <w:shd w:val="clear" w:color="auto" w:fill="BDD6EE"/>
            <w:vAlign w:val="center"/>
          </w:tcPr>
          <w:p w14:paraId="3D851958" w14:textId="77777777" w:rsidR="004902D1" w:rsidRPr="00636020" w:rsidRDefault="004902D1" w:rsidP="006E7F95">
            <w:pPr>
              <w:ind w:firstLine="0"/>
              <w:jc w:val="center"/>
              <w:rPr>
                <w:rFonts w:eastAsia="Times New Roman" w:cs="Times New Roman"/>
                <w:b/>
                <w:bCs/>
                <w:sz w:val="20"/>
                <w:szCs w:val="20"/>
              </w:rPr>
            </w:pPr>
            <w:r w:rsidRPr="00636020">
              <w:rPr>
                <w:rFonts w:eastAsia="Times New Roman" w:cs="Times New Roman"/>
                <w:b/>
                <w:bCs/>
                <w:sz w:val="20"/>
                <w:szCs w:val="20"/>
              </w:rPr>
              <w:t>2025</w:t>
            </w:r>
          </w:p>
        </w:tc>
        <w:tc>
          <w:tcPr>
            <w:tcW w:w="850" w:type="dxa"/>
            <w:shd w:val="clear" w:color="auto" w:fill="BDD6EE"/>
            <w:vAlign w:val="center"/>
          </w:tcPr>
          <w:p w14:paraId="362A1DFC" w14:textId="77777777" w:rsidR="004902D1" w:rsidRPr="00636020" w:rsidRDefault="004902D1" w:rsidP="006E7F95">
            <w:pPr>
              <w:ind w:firstLine="0"/>
              <w:jc w:val="center"/>
              <w:rPr>
                <w:rFonts w:eastAsia="Times New Roman" w:cs="Times New Roman"/>
                <w:b/>
                <w:bCs/>
                <w:sz w:val="20"/>
                <w:szCs w:val="20"/>
              </w:rPr>
            </w:pPr>
            <w:r w:rsidRPr="00636020">
              <w:rPr>
                <w:rFonts w:eastAsia="Times New Roman" w:cs="Times New Roman"/>
                <w:b/>
                <w:bCs/>
                <w:sz w:val="20"/>
                <w:szCs w:val="20"/>
              </w:rPr>
              <w:t>2026</w:t>
            </w:r>
          </w:p>
        </w:tc>
      </w:tr>
      <w:tr w:rsidR="004902D1" w:rsidRPr="00636020" w14:paraId="1DAD7E86" w14:textId="77777777" w:rsidTr="006E7F95">
        <w:trPr>
          <w:jc w:val="center"/>
        </w:trPr>
        <w:tc>
          <w:tcPr>
            <w:tcW w:w="3545" w:type="dxa"/>
            <w:shd w:val="clear" w:color="auto" w:fill="auto"/>
          </w:tcPr>
          <w:p w14:paraId="4010039B" w14:textId="77777777" w:rsidR="004902D1" w:rsidRPr="00636020" w:rsidRDefault="004902D1" w:rsidP="006E7F95">
            <w:pPr>
              <w:ind w:firstLine="0"/>
              <w:jc w:val="left"/>
              <w:rPr>
                <w:rFonts w:eastAsia="Times New Roman" w:cs="Times New Roman"/>
                <w:b/>
                <w:snapToGrid w:val="0"/>
                <w:sz w:val="20"/>
                <w:szCs w:val="20"/>
              </w:rPr>
            </w:pPr>
            <w:r w:rsidRPr="00636020">
              <w:rPr>
                <w:rFonts w:eastAsia="Times New Roman" w:cs="Times New Roman"/>
                <w:b/>
                <w:sz w:val="20"/>
                <w:szCs w:val="20"/>
              </w:rPr>
              <w:t>IKP pieaugums (%)</w:t>
            </w:r>
          </w:p>
        </w:tc>
        <w:tc>
          <w:tcPr>
            <w:tcW w:w="709" w:type="dxa"/>
            <w:shd w:val="clear" w:color="auto" w:fill="auto"/>
            <w:vAlign w:val="center"/>
          </w:tcPr>
          <w:p w14:paraId="41671B6A" w14:textId="77777777" w:rsidR="004902D1" w:rsidRPr="00636020" w:rsidRDefault="004902D1" w:rsidP="006E7F95">
            <w:pPr>
              <w:ind w:firstLine="0"/>
              <w:jc w:val="center"/>
              <w:rPr>
                <w:rFonts w:eastAsia="Times New Roman" w:cs="Times New Roman"/>
                <w:sz w:val="20"/>
                <w:szCs w:val="20"/>
              </w:rPr>
            </w:pPr>
            <w:r w:rsidRPr="00636020">
              <w:rPr>
                <w:rFonts w:eastAsia="Times New Roman" w:cs="Times New Roman"/>
                <w:sz w:val="20"/>
                <w:szCs w:val="20"/>
              </w:rPr>
              <w:t>B1g</w:t>
            </w:r>
          </w:p>
        </w:tc>
        <w:tc>
          <w:tcPr>
            <w:tcW w:w="840" w:type="dxa"/>
            <w:shd w:val="clear" w:color="auto" w:fill="auto"/>
            <w:vAlign w:val="center"/>
          </w:tcPr>
          <w:p w14:paraId="2B937DA3" w14:textId="77777777" w:rsidR="004902D1" w:rsidRPr="00636020" w:rsidRDefault="004902D1" w:rsidP="006E7F95">
            <w:pPr>
              <w:ind w:firstLine="0"/>
              <w:jc w:val="left"/>
              <w:rPr>
                <w:rFonts w:eastAsia="Times New Roman" w:cs="Times New Roman"/>
                <w:sz w:val="20"/>
                <w:szCs w:val="20"/>
              </w:rPr>
            </w:pPr>
          </w:p>
        </w:tc>
        <w:tc>
          <w:tcPr>
            <w:tcW w:w="851" w:type="dxa"/>
            <w:shd w:val="clear" w:color="auto" w:fill="auto"/>
            <w:vAlign w:val="center"/>
          </w:tcPr>
          <w:p w14:paraId="54479EAB" w14:textId="77777777" w:rsidR="004902D1" w:rsidRPr="00636020" w:rsidRDefault="004902D1" w:rsidP="006E7F95">
            <w:pPr>
              <w:ind w:firstLine="0"/>
              <w:jc w:val="left"/>
              <w:rPr>
                <w:rFonts w:eastAsia="Times New Roman" w:cs="Times New Roman"/>
                <w:sz w:val="20"/>
                <w:szCs w:val="20"/>
              </w:rPr>
            </w:pPr>
          </w:p>
        </w:tc>
        <w:tc>
          <w:tcPr>
            <w:tcW w:w="850" w:type="dxa"/>
            <w:shd w:val="clear" w:color="auto" w:fill="auto"/>
            <w:vAlign w:val="center"/>
          </w:tcPr>
          <w:p w14:paraId="5A9EF8C3" w14:textId="77777777" w:rsidR="004902D1" w:rsidRPr="00636020" w:rsidRDefault="004902D1" w:rsidP="006E7F95">
            <w:pPr>
              <w:ind w:firstLine="0"/>
              <w:jc w:val="left"/>
              <w:rPr>
                <w:rFonts w:eastAsia="Arial Unicode MS" w:cs="Times New Roman"/>
                <w:sz w:val="20"/>
                <w:szCs w:val="20"/>
              </w:rPr>
            </w:pPr>
          </w:p>
        </w:tc>
        <w:tc>
          <w:tcPr>
            <w:tcW w:w="851" w:type="dxa"/>
            <w:shd w:val="clear" w:color="auto" w:fill="auto"/>
            <w:vAlign w:val="center"/>
          </w:tcPr>
          <w:p w14:paraId="1FBA273C" w14:textId="77777777" w:rsidR="004902D1" w:rsidRPr="00636020" w:rsidRDefault="004902D1" w:rsidP="006E7F95">
            <w:pPr>
              <w:ind w:firstLine="0"/>
              <w:jc w:val="left"/>
              <w:rPr>
                <w:rFonts w:eastAsia="Times New Roman" w:cs="Times New Roman"/>
                <w:sz w:val="20"/>
                <w:szCs w:val="20"/>
              </w:rPr>
            </w:pPr>
          </w:p>
        </w:tc>
        <w:tc>
          <w:tcPr>
            <w:tcW w:w="850" w:type="dxa"/>
            <w:shd w:val="clear" w:color="auto" w:fill="auto"/>
            <w:vAlign w:val="center"/>
          </w:tcPr>
          <w:p w14:paraId="437FECD5" w14:textId="77777777" w:rsidR="004902D1" w:rsidRPr="00636020" w:rsidRDefault="004902D1" w:rsidP="006E7F95">
            <w:pPr>
              <w:ind w:firstLine="0"/>
              <w:jc w:val="left"/>
              <w:rPr>
                <w:rFonts w:eastAsia="Times New Roman" w:cs="Times New Roman"/>
                <w:sz w:val="20"/>
                <w:szCs w:val="20"/>
              </w:rPr>
            </w:pPr>
          </w:p>
        </w:tc>
      </w:tr>
      <w:tr w:rsidR="004902D1" w:rsidRPr="00636020" w14:paraId="4497F7EC" w14:textId="77777777" w:rsidTr="006E7F95">
        <w:trPr>
          <w:jc w:val="center"/>
        </w:trPr>
        <w:tc>
          <w:tcPr>
            <w:tcW w:w="3545" w:type="dxa"/>
            <w:shd w:val="clear" w:color="auto" w:fill="DEEAF6"/>
          </w:tcPr>
          <w:p w14:paraId="23DB97AC" w14:textId="77777777" w:rsidR="004902D1" w:rsidRPr="00636020" w:rsidRDefault="004902D1" w:rsidP="006E7F95">
            <w:pPr>
              <w:ind w:firstLine="0"/>
              <w:jc w:val="right"/>
              <w:rPr>
                <w:rFonts w:eastAsia="Times New Roman" w:cs="Times New Roman"/>
                <w:bCs/>
                <w:sz w:val="20"/>
                <w:szCs w:val="20"/>
              </w:rPr>
            </w:pPr>
            <w:r w:rsidRPr="00636020">
              <w:rPr>
                <w:rFonts w:eastAsia="Times New Roman" w:cs="Times New Roman"/>
                <w:bCs/>
                <w:sz w:val="20"/>
                <w:szCs w:val="20"/>
              </w:rPr>
              <w:t>2022.gads</w:t>
            </w:r>
          </w:p>
        </w:tc>
        <w:tc>
          <w:tcPr>
            <w:tcW w:w="709" w:type="dxa"/>
            <w:shd w:val="clear" w:color="auto" w:fill="DEEAF6"/>
            <w:vAlign w:val="center"/>
          </w:tcPr>
          <w:p w14:paraId="3A5675C8" w14:textId="77777777" w:rsidR="004902D1" w:rsidRPr="00636020" w:rsidRDefault="004902D1" w:rsidP="006E7F95">
            <w:pPr>
              <w:ind w:firstLine="0"/>
              <w:jc w:val="center"/>
              <w:rPr>
                <w:rFonts w:eastAsia="Times New Roman" w:cs="Times New Roman"/>
                <w:sz w:val="20"/>
                <w:szCs w:val="20"/>
              </w:rPr>
            </w:pPr>
          </w:p>
        </w:tc>
        <w:tc>
          <w:tcPr>
            <w:tcW w:w="840" w:type="dxa"/>
            <w:shd w:val="clear" w:color="auto" w:fill="DEEAF6"/>
            <w:vAlign w:val="bottom"/>
          </w:tcPr>
          <w:p w14:paraId="21F13A65" w14:textId="77777777" w:rsidR="004902D1" w:rsidRPr="00636020" w:rsidRDefault="004902D1" w:rsidP="006E7F95">
            <w:pPr>
              <w:ind w:firstLine="0"/>
              <w:jc w:val="right"/>
              <w:rPr>
                <w:rFonts w:eastAsia="Calibri" w:cs="Times New Roman"/>
                <w:sz w:val="20"/>
                <w:szCs w:val="20"/>
              </w:rPr>
            </w:pPr>
            <w:r w:rsidRPr="00636020">
              <w:rPr>
                <w:rFonts w:eastAsia="Times New Roman" w:cs="Times New Roman"/>
                <w:sz w:val="20"/>
                <w:szCs w:val="20"/>
              </w:rPr>
              <w:t>2,1</w:t>
            </w:r>
          </w:p>
        </w:tc>
        <w:tc>
          <w:tcPr>
            <w:tcW w:w="851" w:type="dxa"/>
            <w:shd w:val="clear" w:color="auto" w:fill="DEEAF6"/>
            <w:vAlign w:val="bottom"/>
          </w:tcPr>
          <w:p w14:paraId="3E5A0C22" w14:textId="77777777" w:rsidR="004902D1" w:rsidRPr="00636020" w:rsidRDefault="004902D1" w:rsidP="006E7F95">
            <w:pPr>
              <w:ind w:firstLine="0"/>
              <w:jc w:val="right"/>
              <w:rPr>
                <w:rFonts w:eastAsia="Calibri" w:cs="Times New Roman"/>
                <w:sz w:val="20"/>
                <w:szCs w:val="20"/>
              </w:rPr>
            </w:pPr>
            <w:r w:rsidRPr="00636020">
              <w:rPr>
                <w:rFonts w:eastAsia="Times New Roman" w:cs="Times New Roman"/>
                <w:sz w:val="20"/>
                <w:szCs w:val="20"/>
              </w:rPr>
              <w:t>2,5</w:t>
            </w:r>
          </w:p>
        </w:tc>
        <w:tc>
          <w:tcPr>
            <w:tcW w:w="850" w:type="dxa"/>
            <w:shd w:val="clear" w:color="auto" w:fill="DEEAF6"/>
            <w:vAlign w:val="bottom"/>
          </w:tcPr>
          <w:p w14:paraId="1F904D38" w14:textId="77777777" w:rsidR="004902D1" w:rsidRPr="00636020" w:rsidRDefault="004902D1" w:rsidP="006E7F95">
            <w:pPr>
              <w:ind w:firstLine="0"/>
              <w:jc w:val="right"/>
              <w:rPr>
                <w:rFonts w:eastAsia="Calibri" w:cs="Times New Roman"/>
                <w:sz w:val="20"/>
                <w:szCs w:val="20"/>
              </w:rPr>
            </w:pPr>
            <w:r w:rsidRPr="00636020">
              <w:rPr>
                <w:rFonts w:eastAsia="Times New Roman" w:cs="Times New Roman"/>
                <w:sz w:val="20"/>
                <w:szCs w:val="20"/>
              </w:rPr>
              <w:t>3,3</w:t>
            </w:r>
          </w:p>
        </w:tc>
        <w:tc>
          <w:tcPr>
            <w:tcW w:w="851" w:type="dxa"/>
            <w:shd w:val="clear" w:color="auto" w:fill="DEEAF6"/>
            <w:vAlign w:val="bottom"/>
          </w:tcPr>
          <w:p w14:paraId="7DEF2127" w14:textId="77777777" w:rsidR="004902D1" w:rsidRPr="00636020" w:rsidRDefault="004902D1" w:rsidP="006E7F95">
            <w:pPr>
              <w:ind w:firstLine="0"/>
              <w:jc w:val="right"/>
              <w:rPr>
                <w:rFonts w:eastAsia="Calibri" w:cs="Times New Roman"/>
                <w:sz w:val="20"/>
                <w:szCs w:val="20"/>
              </w:rPr>
            </w:pPr>
            <w:r w:rsidRPr="00636020">
              <w:rPr>
                <w:rFonts w:eastAsia="Times New Roman" w:cs="Times New Roman"/>
                <w:sz w:val="20"/>
                <w:szCs w:val="20"/>
              </w:rPr>
              <w:t>3,4</w:t>
            </w:r>
          </w:p>
        </w:tc>
        <w:tc>
          <w:tcPr>
            <w:tcW w:w="850" w:type="dxa"/>
            <w:shd w:val="clear" w:color="auto" w:fill="DEEAF6"/>
            <w:vAlign w:val="bottom"/>
          </w:tcPr>
          <w:p w14:paraId="59D7BDC4" w14:textId="77777777" w:rsidR="004902D1" w:rsidRPr="00636020" w:rsidRDefault="004902D1" w:rsidP="006E7F95">
            <w:pPr>
              <w:ind w:firstLine="0"/>
              <w:jc w:val="right"/>
              <w:rPr>
                <w:rFonts w:eastAsia="Calibri" w:cs="Times New Roman"/>
                <w:sz w:val="20"/>
                <w:szCs w:val="20"/>
              </w:rPr>
            </w:pPr>
            <w:r w:rsidRPr="00636020">
              <w:rPr>
                <w:rFonts w:eastAsia="Times New Roman" w:cs="Times New Roman"/>
                <w:sz w:val="20"/>
                <w:szCs w:val="20"/>
              </w:rPr>
              <w:t>-</w:t>
            </w:r>
          </w:p>
        </w:tc>
      </w:tr>
      <w:tr w:rsidR="004902D1" w:rsidRPr="00636020" w14:paraId="70646240" w14:textId="77777777" w:rsidTr="006E7F95">
        <w:trPr>
          <w:jc w:val="center"/>
        </w:trPr>
        <w:tc>
          <w:tcPr>
            <w:tcW w:w="3545" w:type="dxa"/>
            <w:shd w:val="clear" w:color="auto" w:fill="auto"/>
          </w:tcPr>
          <w:p w14:paraId="150EEBE8" w14:textId="77777777" w:rsidR="004902D1" w:rsidRPr="00636020" w:rsidRDefault="004902D1" w:rsidP="006E7F95">
            <w:pPr>
              <w:ind w:firstLine="0"/>
              <w:jc w:val="right"/>
              <w:rPr>
                <w:rFonts w:eastAsia="Times New Roman" w:cs="Times New Roman"/>
                <w:bCs/>
                <w:sz w:val="20"/>
                <w:szCs w:val="20"/>
              </w:rPr>
            </w:pPr>
            <w:r w:rsidRPr="00636020">
              <w:rPr>
                <w:rFonts w:eastAsia="Times New Roman" w:cs="Times New Roman"/>
                <w:bCs/>
                <w:sz w:val="20"/>
                <w:szCs w:val="20"/>
              </w:rPr>
              <w:t xml:space="preserve">2023.gads  </w:t>
            </w:r>
          </w:p>
        </w:tc>
        <w:tc>
          <w:tcPr>
            <w:tcW w:w="709" w:type="dxa"/>
            <w:shd w:val="clear" w:color="auto" w:fill="auto"/>
            <w:vAlign w:val="center"/>
          </w:tcPr>
          <w:p w14:paraId="787CEE95" w14:textId="77777777" w:rsidR="004902D1" w:rsidRPr="00636020" w:rsidRDefault="004902D1" w:rsidP="006E7F95">
            <w:pPr>
              <w:ind w:firstLine="0"/>
              <w:jc w:val="center"/>
              <w:rPr>
                <w:rFonts w:eastAsia="Times New Roman" w:cs="Times New Roman"/>
                <w:sz w:val="20"/>
                <w:szCs w:val="20"/>
              </w:rPr>
            </w:pPr>
          </w:p>
        </w:tc>
        <w:tc>
          <w:tcPr>
            <w:tcW w:w="840" w:type="dxa"/>
            <w:shd w:val="clear" w:color="auto" w:fill="auto"/>
            <w:vAlign w:val="bottom"/>
          </w:tcPr>
          <w:p w14:paraId="6BD9B905" w14:textId="77777777" w:rsidR="004902D1" w:rsidRPr="00636020" w:rsidRDefault="004902D1" w:rsidP="006E7F95">
            <w:pPr>
              <w:ind w:firstLine="0"/>
              <w:jc w:val="right"/>
              <w:rPr>
                <w:rFonts w:eastAsia="Calibri" w:cs="Times New Roman"/>
                <w:sz w:val="20"/>
                <w:szCs w:val="20"/>
              </w:rPr>
            </w:pPr>
            <w:r w:rsidRPr="00636020">
              <w:rPr>
                <w:rFonts w:eastAsia="Times New Roman" w:cs="Times New Roman"/>
                <w:sz w:val="20"/>
                <w:szCs w:val="20"/>
              </w:rPr>
              <w:t>2,0</w:t>
            </w:r>
          </w:p>
        </w:tc>
        <w:tc>
          <w:tcPr>
            <w:tcW w:w="851" w:type="dxa"/>
            <w:shd w:val="clear" w:color="auto" w:fill="auto"/>
            <w:vAlign w:val="bottom"/>
          </w:tcPr>
          <w:p w14:paraId="1A9BEE6D" w14:textId="77777777" w:rsidR="004902D1" w:rsidRPr="00636020" w:rsidRDefault="004902D1" w:rsidP="006E7F95">
            <w:pPr>
              <w:ind w:firstLine="0"/>
              <w:jc w:val="right"/>
              <w:rPr>
                <w:rFonts w:eastAsia="Calibri" w:cs="Times New Roman"/>
                <w:sz w:val="20"/>
                <w:szCs w:val="20"/>
              </w:rPr>
            </w:pPr>
            <w:r w:rsidRPr="00636020">
              <w:rPr>
                <w:rFonts w:eastAsia="Times New Roman" w:cs="Times New Roman"/>
                <w:sz w:val="20"/>
                <w:szCs w:val="20"/>
              </w:rPr>
              <w:t>0,0</w:t>
            </w:r>
          </w:p>
        </w:tc>
        <w:tc>
          <w:tcPr>
            <w:tcW w:w="850" w:type="dxa"/>
            <w:shd w:val="clear" w:color="auto" w:fill="auto"/>
            <w:vAlign w:val="bottom"/>
          </w:tcPr>
          <w:p w14:paraId="6B169DF1" w14:textId="77777777" w:rsidR="004902D1" w:rsidRPr="00636020" w:rsidRDefault="004902D1" w:rsidP="006E7F95">
            <w:pPr>
              <w:ind w:firstLine="0"/>
              <w:jc w:val="right"/>
              <w:rPr>
                <w:rFonts w:eastAsia="Calibri" w:cs="Times New Roman"/>
                <w:sz w:val="20"/>
                <w:szCs w:val="20"/>
              </w:rPr>
            </w:pPr>
            <w:r w:rsidRPr="00636020">
              <w:rPr>
                <w:rFonts w:eastAsia="Times New Roman" w:cs="Times New Roman"/>
                <w:sz w:val="20"/>
                <w:szCs w:val="20"/>
              </w:rPr>
              <w:t>2,0</w:t>
            </w:r>
          </w:p>
        </w:tc>
        <w:tc>
          <w:tcPr>
            <w:tcW w:w="851" w:type="dxa"/>
            <w:shd w:val="clear" w:color="auto" w:fill="auto"/>
            <w:vAlign w:val="bottom"/>
          </w:tcPr>
          <w:p w14:paraId="5DB6184A" w14:textId="77777777" w:rsidR="004902D1" w:rsidRPr="00636020" w:rsidRDefault="004902D1" w:rsidP="006E7F95">
            <w:pPr>
              <w:ind w:firstLine="0"/>
              <w:jc w:val="right"/>
              <w:rPr>
                <w:rFonts w:eastAsia="Calibri" w:cs="Times New Roman"/>
                <w:sz w:val="20"/>
                <w:szCs w:val="20"/>
              </w:rPr>
            </w:pPr>
            <w:r w:rsidRPr="00636020">
              <w:rPr>
                <w:rFonts w:eastAsia="Times New Roman" w:cs="Times New Roman"/>
                <w:sz w:val="20"/>
                <w:szCs w:val="20"/>
              </w:rPr>
              <w:t>2,9</w:t>
            </w:r>
          </w:p>
        </w:tc>
        <w:tc>
          <w:tcPr>
            <w:tcW w:w="850" w:type="dxa"/>
            <w:shd w:val="clear" w:color="auto" w:fill="auto"/>
            <w:vAlign w:val="bottom"/>
          </w:tcPr>
          <w:p w14:paraId="2DCEC4E5" w14:textId="77777777" w:rsidR="004902D1" w:rsidRPr="00636020" w:rsidRDefault="004902D1" w:rsidP="006E7F95">
            <w:pPr>
              <w:ind w:firstLine="0"/>
              <w:jc w:val="right"/>
              <w:rPr>
                <w:rFonts w:eastAsia="Calibri" w:cs="Times New Roman"/>
                <w:sz w:val="20"/>
                <w:szCs w:val="20"/>
              </w:rPr>
            </w:pPr>
            <w:r w:rsidRPr="00636020">
              <w:rPr>
                <w:rFonts w:eastAsia="Times New Roman" w:cs="Times New Roman"/>
                <w:sz w:val="20"/>
                <w:szCs w:val="20"/>
              </w:rPr>
              <w:t>2,8</w:t>
            </w:r>
          </w:p>
        </w:tc>
      </w:tr>
      <w:tr w:rsidR="004902D1" w:rsidRPr="00636020" w14:paraId="3E605592" w14:textId="77777777" w:rsidTr="006E7F95">
        <w:trPr>
          <w:jc w:val="center"/>
        </w:trPr>
        <w:tc>
          <w:tcPr>
            <w:tcW w:w="3545" w:type="dxa"/>
            <w:shd w:val="clear" w:color="auto" w:fill="DEEAF6"/>
          </w:tcPr>
          <w:p w14:paraId="561A2204" w14:textId="77777777" w:rsidR="004902D1" w:rsidRPr="00636020" w:rsidRDefault="004902D1" w:rsidP="006E7F95">
            <w:pPr>
              <w:ind w:firstLine="0"/>
              <w:jc w:val="right"/>
              <w:rPr>
                <w:rFonts w:eastAsia="Times New Roman" w:cs="Times New Roman"/>
                <w:bCs/>
                <w:sz w:val="20"/>
                <w:szCs w:val="20"/>
              </w:rPr>
            </w:pPr>
            <w:r w:rsidRPr="00636020">
              <w:rPr>
                <w:rFonts w:eastAsia="Times New Roman" w:cs="Times New Roman"/>
                <w:bCs/>
                <w:snapToGrid w:val="0"/>
                <w:sz w:val="20"/>
                <w:szCs w:val="20"/>
              </w:rPr>
              <w:t>Izmaiņas</w:t>
            </w:r>
          </w:p>
        </w:tc>
        <w:tc>
          <w:tcPr>
            <w:tcW w:w="709" w:type="dxa"/>
            <w:shd w:val="clear" w:color="auto" w:fill="DEEAF6"/>
            <w:vAlign w:val="center"/>
          </w:tcPr>
          <w:p w14:paraId="4397DB87" w14:textId="77777777" w:rsidR="004902D1" w:rsidRPr="00636020" w:rsidRDefault="004902D1" w:rsidP="006E7F95">
            <w:pPr>
              <w:ind w:firstLine="0"/>
              <w:jc w:val="center"/>
              <w:rPr>
                <w:rFonts w:eastAsia="Times New Roman" w:cs="Times New Roman"/>
                <w:sz w:val="20"/>
                <w:szCs w:val="20"/>
              </w:rPr>
            </w:pPr>
          </w:p>
        </w:tc>
        <w:tc>
          <w:tcPr>
            <w:tcW w:w="840" w:type="dxa"/>
            <w:shd w:val="clear" w:color="auto" w:fill="DEEAF6"/>
            <w:vAlign w:val="bottom"/>
          </w:tcPr>
          <w:p w14:paraId="33CDAF59" w14:textId="77777777" w:rsidR="004902D1" w:rsidRPr="00636020" w:rsidRDefault="004902D1" w:rsidP="006E7F95">
            <w:pPr>
              <w:ind w:firstLine="0"/>
              <w:jc w:val="right"/>
              <w:rPr>
                <w:rFonts w:eastAsia="Calibri" w:cs="Times New Roman"/>
                <w:sz w:val="20"/>
                <w:szCs w:val="20"/>
              </w:rPr>
            </w:pPr>
            <w:r w:rsidRPr="00636020">
              <w:rPr>
                <w:rFonts w:eastAsia="Times New Roman" w:cs="Times New Roman"/>
                <w:sz w:val="20"/>
                <w:szCs w:val="20"/>
              </w:rPr>
              <w:t>-0,1</w:t>
            </w:r>
          </w:p>
        </w:tc>
        <w:tc>
          <w:tcPr>
            <w:tcW w:w="851" w:type="dxa"/>
            <w:shd w:val="clear" w:color="auto" w:fill="DEEAF6"/>
            <w:vAlign w:val="bottom"/>
          </w:tcPr>
          <w:p w14:paraId="74CCB2FC" w14:textId="77777777" w:rsidR="004902D1" w:rsidRPr="00636020" w:rsidRDefault="004902D1" w:rsidP="006E7F95">
            <w:pPr>
              <w:ind w:firstLine="0"/>
              <w:jc w:val="right"/>
              <w:rPr>
                <w:rFonts w:eastAsia="Calibri" w:cs="Times New Roman"/>
                <w:sz w:val="20"/>
                <w:szCs w:val="20"/>
              </w:rPr>
            </w:pPr>
            <w:r w:rsidRPr="00636020">
              <w:rPr>
                <w:rFonts w:eastAsia="Times New Roman" w:cs="Times New Roman"/>
                <w:sz w:val="20"/>
                <w:szCs w:val="20"/>
              </w:rPr>
              <w:t>-2,5</w:t>
            </w:r>
          </w:p>
        </w:tc>
        <w:tc>
          <w:tcPr>
            <w:tcW w:w="850" w:type="dxa"/>
            <w:shd w:val="clear" w:color="auto" w:fill="DEEAF6"/>
            <w:vAlign w:val="bottom"/>
          </w:tcPr>
          <w:p w14:paraId="6BFB5C97" w14:textId="77777777" w:rsidR="004902D1" w:rsidRPr="00636020" w:rsidRDefault="004902D1" w:rsidP="006E7F95">
            <w:pPr>
              <w:ind w:firstLine="0"/>
              <w:jc w:val="right"/>
              <w:rPr>
                <w:rFonts w:eastAsia="Calibri" w:cs="Times New Roman"/>
                <w:sz w:val="20"/>
                <w:szCs w:val="20"/>
              </w:rPr>
            </w:pPr>
            <w:r w:rsidRPr="00636020">
              <w:rPr>
                <w:rFonts w:eastAsia="Times New Roman" w:cs="Times New Roman"/>
                <w:sz w:val="20"/>
                <w:szCs w:val="20"/>
              </w:rPr>
              <w:t>-1,3</w:t>
            </w:r>
          </w:p>
        </w:tc>
        <w:tc>
          <w:tcPr>
            <w:tcW w:w="851" w:type="dxa"/>
            <w:shd w:val="clear" w:color="auto" w:fill="DEEAF6"/>
            <w:vAlign w:val="bottom"/>
          </w:tcPr>
          <w:p w14:paraId="251BEE30" w14:textId="77777777" w:rsidR="004902D1" w:rsidRPr="00636020" w:rsidRDefault="004902D1" w:rsidP="006E7F95">
            <w:pPr>
              <w:ind w:firstLine="0"/>
              <w:jc w:val="right"/>
              <w:rPr>
                <w:rFonts w:eastAsia="Calibri" w:cs="Times New Roman"/>
                <w:sz w:val="20"/>
                <w:szCs w:val="20"/>
              </w:rPr>
            </w:pPr>
            <w:r w:rsidRPr="00636020">
              <w:rPr>
                <w:rFonts w:eastAsia="Times New Roman" w:cs="Times New Roman"/>
                <w:sz w:val="20"/>
                <w:szCs w:val="20"/>
              </w:rPr>
              <w:t>-0,5</w:t>
            </w:r>
          </w:p>
        </w:tc>
        <w:tc>
          <w:tcPr>
            <w:tcW w:w="850" w:type="dxa"/>
            <w:shd w:val="clear" w:color="auto" w:fill="DEEAF6"/>
            <w:vAlign w:val="bottom"/>
          </w:tcPr>
          <w:p w14:paraId="3B8D7F7B" w14:textId="77777777" w:rsidR="004902D1" w:rsidRPr="00636020" w:rsidRDefault="004902D1" w:rsidP="006E7F95">
            <w:pPr>
              <w:ind w:firstLine="0"/>
              <w:jc w:val="right"/>
              <w:rPr>
                <w:rFonts w:eastAsia="Calibri" w:cs="Times New Roman"/>
                <w:sz w:val="20"/>
                <w:szCs w:val="20"/>
              </w:rPr>
            </w:pPr>
            <w:r w:rsidRPr="00636020">
              <w:rPr>
                <w:rFonts w:eastAsia="Times New Roman" w:cs="Times New Roman"/>
                <w:sz w:val="20"/>
                <w:szCs w:val="20"/>
              </w:rPr>
              <w:t>-</w:t>
            </w:r>
          </w:p>
        </w:tc>
      </w:tr>
      <w:tr w:rsidR="004902D1" w:rsidRPr="00636020" w14:paraId="23A03F35" w14:textId="77777777" w:rsidTr="006E7F95">
        <w:trPr>
          <w:jc w:val="center"/>
        </w:trPr>
        <w:tc>
          <w:tcPr>
            <w:tcW w:w="3545" w:type="dxa"/>
            <w:shd w:val="clear" w:color="auto" w:fill="auto"/>
          </w:tcPr>
          <w:p w14:paraId="10BF8B3F" w14:textId="77777777" w:rsidR="004902D1" w:rsidRPr="00636020" w:rsidRDefault="004902D1" w:rsidP="006E7F95">
            <w:pPr>
              <w:ind w:firstLine="0"/>
              <w:rPr>
                <w:rFonts w:eastAsia="Times New Roman" w:cs="Times New Roman"/>
                <w:b/>
                <w:sz w:val="20"/>
                <w:szCs w:val="20"/>
              </w:rPr>
            </w:pPr>
            <w:r w:rsidRPr="00636020">
              <w:rPr>
                <w:rFonts w:eastAsia="Times New Roman" w:cs="Times New Roman"/>
                <w:b/>
                <w:sz w:val="20"/>
                <w:szCs w:val="20"/>
              </w:rPr>
              <w:t>Faktiskā budžeta bilance</w:t>
            </w:r>
          </w:p>
          <w:p w14:paraId="1F4DB51F" w14:textId="77777777" w:rsidR="004902D1" w:rsidRPr="00636020" w:rsidRDefault="004902D1" w:rsidP="006E7F95">
            <w:pPr>
              <w:ind w:firstLine="0"/>
              <w:jc w:val="left"/>
              <w:rPr>
                <w:rFonts w:eastAsia="Times New Roman" w:cs="Times New Roman"/>
                <w:bCs/>
                <w:snapToGrid w:val="0"/>
                <w:sz w:val="20"/>
                <w:szCs w:val="20"/>
              </w:rPr>
            </w:pPr>
            <w:r w:rsidRPr="00636020">
              <w:rPr>
                <w:rFonts w:eastAsia="Times New Roman" w:cs="Times New Roman"/>
                <w:b/>
                <w:sz w:val="20"/>
                <w:szCs w:val="20"/>
              </w:rPr>
              <w:t>(% no IKP)</w:t>
            </w:r>
          </w:p>
        </w:tc>
        <w:tc>
          <w:tcPr>
            <w:tcW w:w="709" w:type="dxa"/>
            <w:shd w:val="clear" w:color="auto" w:fill="auto"/>
            <w:vAlign w:val="center"/>
          </w:tcPr>
          <w:p w14:paraId="032A39D0" w14:textId="77777777" w:rsidR="004902D1" w:rsidRPr="00636020" w:rsidRDefault="004902D1" w:rsidP="006E7F95">
            <w:pPr>
              <w:ind w:firstLine="0"/>
              <w:jc w:val="center"/>
              <w:rPr>
                <w:rFonts w:eastAsia="Times New Roman" w:cs="Times New Roman"/>
                <w:sz w:val="20"/>
                <w:szCs w:val="20"/>
              </w:rPr>
            </w:pPr>
            <w:r w:rsidRPr="00636020">
              <w:rPr>
                <w:rFonts w:eastAsia="Times New Roman" w:cs="Times New Roman"/>
                <w:sz w:val="20"/>
                <w:szCs w:val="20"/>
              </w:rPr>
              <w:t>B.9</w:t>
            </w:r>
          </w:p>
        </w:tc>
        <w:tc>
          <w:tcPr>
            <w:tcW w:w="840" w:type="dxa"/>
            <w:shd w:val="clear" w:color="auto" w:fill="auto"/>
            <w:vAlign w:val="center"/>
          </w:tcPr>
          <w:p w14:paraId="05F881FC" w14:textId="77777777" w:rsidR="004902D1" w:rsidRPr="00636020" w:rsidRDefault="004902D1" w:rsidP="006E7F95">
            <w:pPr>
              <w:ind w:firstLine="0"/>
              <w:jc w:val="right"/>
              <w:rPr>
                <w:rFonts w:eastAsia="Calibri" w:cs="Times New Roman"/>
                <w:sz w:val="20"/>
                <w:szCs w:val="20"/>
              </w:rPr>
            </w:pPr>
          </w:p>
        </w:tc>
        <w:tc>
          <w:tcPr>
            <w:tcW w:w="851" w:type="dxa"/>
            <w:shd w:val="clear" w:color="auto" w:fill="auto"/>
            <w:vAlign w:val="center"/>
          </w:tcPr>
          <w:p w14:paraId="299F547A" w14:textId="77777777" w:rsidR="004902D1" w:rsidRPr="00636020" w:rsidRDefault="004902D1" w:rsidP="006E7F95">
            <w:pPr>
              <w:ind w:firstLine="0"/>
              <w:jc w:val="right"/>
              <w:rPr>
                <w:rFonts w:eastAsia="Calibri" w:cs="Times New Roman"/>
                <w:sz w:val="20"/>
                <w:szCs w:val="20"/>
              </w:rPr>
            </w:pPr>
          </w:p>
        </w:tc>
        <w:tc>
          <w:tcPr>
            <w:tcW w:w="850" w:type="dxa"/>
            <w:shd w:val="clear" w:color="auto" w:fill="auto"/>
            <w:vAlign w:val="center"/>
          </w:tcPr>
          <w:p w14:paraId="60789211" w14:textId="77777777" w:rsidR="004902D1" w:rsidRPr="00636020" w:rsidRDefault="004902D1" w:rsidP="006E7F95">
            <w:pPr>
              <w:ind w:firstLine="0"/>
              <w:jc w:val="right"/>
              <w:rPr>
                <w:rFonts w:eastAsia="Calibri" w:cs="Times New Roman"/>
                <w:sz w:val="20"/>
                <w:szCs w:val="20"/>
              </w:rPr>
            </w:pPr>
          </w:p>
        </w:tc>
        <w:tc>
          <w:tcPr>
            <w:tcW w:w="851" w:type="dxa"/>
            <w:shd w:val="clear" w:color="auto" w:fill="auto"/>
            <w:vAlign w:val="center"/>
          </w:tcPr>
          <w:p w14:paraId="0C888B41" w14:textId="77777777" w:rsidR="004902D1" w:rsidRPr="00636020" w:rsidRDefault="004902D1" w:rsidP="006E7F95">
            <w:pPr>
              <w:ind w:firstLine="0"/>
              <w:jc w:val="right"/>
              <w:rPr>
                <w:rFonts w:eastAsia="Calibri" w:cs="Times New Roman"/>
                <w:sz w:val="20"/>
                <w:szCs w:val="20"/>
              </w:rPr>
            </w:pPr>
          </w:p>
        </w:tc>
        <w:tc>
          <w:tcPr>
            <w:tcW w:w="850" w:type="dxa"/>
            <w:shd w:val="clear" w:color="auto" w:fill="auto"/>
            <w:vAlign w:val="center"/>
          </w:tcPr>
          <w:p w14:paraId="6D52FC26" w14:textId="77777777" w:rsidR="004902D1" w:rsidRPr="00636020" w:rsidRDefault="004902D1" w:rsidP="006E7F95">
            <w:pPr>
              <w:ind w:firstLine="0"/>
              <w:jc w:val="right"/>
              <w:rPr>
                <w:rFonts w:eastAsia="Calibri" w:cs="Times New Roman"/>
                <w:sz w:val="20"/>
                <w:szCs w:val="20"/>
              </w:rPr>
            </w:pPr>
          </w:p>
        </w:tc>
      </w:tr>
      <w:tr w:rsidR="004902D1" w:rsidRPr="00636020" w14:paraId="27B37D5F" w14:textId="77777777" w:rsidTr="006E7F95">
        <w:trPr>
          <w:jc w:val="center"/>
        </w:trPr>
        <w:tc>
          <w:tcPr>
            <w:tcW w:w="3545" w:type="dxa"/>
            <w:shd w:val="clear" w:color="auto" w:fill="DEEAF6"/>
          </w:tcPr>
          <w:p w14:paraId="55A5A267" w14:textId="77777777" w:rsidR="004902D1" w:rsidRPr="00636020" w:rsidRDefault="004902D1" w:rsidP="006E7F95">
            <w:pPr>
              <w:ind w:firstLine="0"/>
              <w:jc w:val="right"/>
              <w:rPr>
                <w:rFonts w:eastAsia="Times New Roman" w:cs="Times New Roman"/>
                <w:b/>
                <w:bCs/>
                <w:snapToGrid w:val="0"/>
                <w:sz w:val="20"/>
                <w:szCs w:val="20"/>
              </w:rPr>
            </w:pPr>
            <w:r w:rsidRPr="00636020">
              <w:rPr>
                <w:rFonts w:eastAsia="Times New Roman" w:cs="Times New Roman"/>
                <w:bCs/>
                <w:sz w:val="20"/>
                <w:szCs w:val="20"/>
              </w:rPr>
              <w:t>2022.gads</w:t>
            </w:r>
          </w:p>
        </w:tc>
        <w:tc>
          <w:tcPr>
            <w:tcW w:w="709" w:type="dxa"/>
            <w:shd w:val="clear" w:color="auto" w:fill="DEEAF6"/>
            <w:vAlign w:val="center"/>
          </w:tcPr>
          <w:p w14:paraId="4E543491" w14:textId="77777777" w:rsidR="004902D1" w:rsidRPr="00636020" w:rsidRDefault="004902D1" w:rsidP="006E7F95">
            <w:pPr>
              <w:ind w:firstLine="0"/>
              <w:jc w:val="center"/>
              <w:rPr>
                <w:rFonts w:eastAsia="Times New Roman" w:cs="Times New Roman"/>
                <w:sz w:val="20"/>
                <w:szCs w:val="20"/>
              </w:rPr>
            </w:pPr>
          </w:p>
        </w:tc>
        <w:tc>
          <w:tcPr>
            <w:tcW w:w="840" w:type="dxa"/>
            <w:shd w:val="clear" w:color="auto" w:fill="DEEAF6"/>
            <w:vAlign w:val="bottom"/>
          </w:tcPr>
          <w:p w14:paraId="0F716EC7" w14:textId="77777777" w:rsidR="004902D1" w:rsidRPr="00636020" w:rsidRDefault="004902D1" w:rsidP="006E7F95">
            <w:pPr>
              <w:ind w:firstLine="0"/>
              <w:jc w:val="right"/>
              <w:rPr>
                <w:rFonts w:eastAsia="Times New Roman" w:cs="Times New Roman"/>
                <w:sz w:val="20"/>
                <w:szCs w:val="20"/>
              </w:rPr>
            </w:pPr>
            <w:r w:rsidRPr="00636020">
              <w:rPr>
                <w:rFonts w:eastAsia="Times New Roman" w:cs="Times New Roman"/>
                <w:sz w:val="20"/>
                <w:szCs w:val="20"/>
              </w:rPr>
              <w:t>-6,5</w:t>
            </w:r>
          </w:p>
        </w:tc>
        <w:tc>
          <w:tcPr>
            <w:tcW w:w="851" w:type="dxa"/>
            <w:shd w:val="clear" w:color="auto" w:fill="DEEAF6"/>
            <w:vAlign w:val="bottom"/>
          </w:tcPr>
          <w:p w14:paraId="0DB38271" w14:textId="77777777" w:rsidR="004902D1" w:rsidRPr="00636020" w:rsidRDefault="004902D1" w:rsidP="006E7F95">
            <w:pPr>
              <w:ind w:firstLine="0"/>
              <w:jc w:val="right"/>
              <w:rPr>
                <w:rFonts w:eastAsia="Times New Roman" w:cs="Times New Roman"/>
                <w:sz w:val="20"/>
                <w:szCs w:val="20"/>
              </w:rPr>
            </w:pPr>
            <w:r w:rsidRPr="00636020">
              <w:rPr>
                <w:rFonts w:eastAsia="Times New Roman" w:cs="Times New Roman"/>
                <w:sz w:val="20"/>
                <w:szCs w:val="20"/>
              </w:rPr>
              <w:t>-2,4</w:t>
            </w:r>
          </w:p>
        </w:tc>
        <w:tc>
          <w:tcPr>
            <w:tcW w:w="850" w:type="dxa"/>
            <w:shd w:val="clear" w:color="auto" w:fill="DEEAF6"/>
            <w:vAlign w:val="bottom"/>
          </w:tcPr>
          <w:p w14:paraId="3A9FDABB" w14:textId="77777777" w:rsidR="004902D1" w:rsidRPr="00636020" w:rsidRDefault="004902D1" w:rsidP="006E7F95">
            <w:pPr>
              <w:ind w:firstLine="0"/>
              <w:jc w:val="right"/>
              <w:rPr>
                <w:rFonts w:eastAsia="Times New Roman" w:cs="Times New Roman"/>
                <w:sz w:val="20"/>
                <w:szCs w:val="20"/>
              </w:rPr>
            </w:pPr>
            <w:r w:rsidRPr="00636020">
              <w:rPr>
                <w:rFonts w:eastAsia="Times New Roman" w:cs="Times New Roman"/>
                <w:sz w:val="20"/>
                <w:szCs w:val="20"/>
              </w:rPr>
              <w:t>-1,8</w:t>
            </w:r>
          </w:p>
        </w:tc>
        <w:tc>
          <w:tcPr>
            <w:tcW w:w="851" w:type="dxa"/>
            <w:shd w:val="clear" w:color="auto" w:fill="DEEAF6"/>
            <w:vAlign w:val="bottom"/>
          </w:tcPr>
          <w:p w14:paraId="2196FBD2" w14:textId="77777777" w:rsidR="004902D1" w:rsidRPr="00636020" w:rsidRDefault="004902D1" w:rsidP="006E7F95">
            <w:pPr>
              <w:ind w:firstLine="0"/>
              <w:jc w:val="right"/>
              <w:rPr>
                <w:rFonts w:eastAsia="Times New Roman" w:cs="Times New Roman"/>
                <w:sz w:val="20"/>
                <w:szCs w:val="20"/>
              </w:rPr>
            </w:pPr>
            <w:r w:rsidRPr="00636020">
              <w:rPr>
                <w:rFonts w:eastAsia="Times New Roman" w:cs="Times New Roman"/>
                <w:sz w:val="20"/>
                <w:szCs w:val="20"/>
              </w:rPr>
              <w:t>-0,9</w:t>
            </w:r>
          </w:p>
        </w:tc>
        <w:tc>
          <w:tcPr>
            <w:tcW w:w="850" w:type="dxa"/>
            <w:shd w:val="clear" w:color="auto" w:fill="DEEAF6"/>
            <w:vAlign w:val="bottom"/>
          </w:tcPr>
          <w:p w14:paraId="3847707F" w14:textId="77777777" w:rsidR="004902D1" w:rsidRPr="00636020" w:rsidRDefault="004902D1" w:rsidP="006E7F95">
            <w:pPr>
              <w:tabs>
                <w:tab w:val="decimal" w:pos="330"/>
              </w:tabs>
              <w:ind w:firstLine="0"/>
              <w:jc w:val="right"/>
              <w:rPr>
                <w:rFonts w:eastAsia="Times New Roman" w:cs="Times New Roman"/>
                <w:sz w:val="20"/>
                <w:szCs w:val="20"/>
              </w:rPr>
            </w:pPr>
            <w:r w:rsidRPr="00636020">
              <w:rPr>
                <w:rFonts w:eastAsia="Times New Roman" w:cs="Times New Roman"/>
                <w:sz w:val="20"/>
                <w:szCs w:val="20"/>
              </w:rPr>
              <w:t xml:space="preserve"> -</w:t>
            </w:r>
          </w:p>
        </w:tc>
      </w:tr>
      <w:tr w:rsidR="004902D1" w:rsidRPr="00636020" w14:paraId="4343A840" w14:textId="77777777" w:rsidTr="006E7F95">
        <w:trPr>
          <w:jc w:val="center"/>
        </w:trPr>
        <w:tc>
          <w:tcPr>
            <w:tcW w:w="3545" w:type="dxa"/>
            <w:shd w:val="clear" w:color="auto" w:fill="auto"/>
          </w:tcPr>
          <w:p w14:paraId="2BDD790F" w14:textId="77777777" w:rsidR="004902D1" w:rsidRPr="00636020" w:rsidRDefault="004902D1" w:rsidP="006E7F95">
            <w:pPr>
              <w:ind w:firstLine="0"/>
              <w:jc w:val="right"/>
              <w:rPr>
                <w:rFonts w:eastAsia="Times New Roman" w:cs="Times New Roman"/>
                <w:bCs/>
                <w:sz w:val="20"/>
                <w:szCs w:val="20"/>
              </w:rPr>
            </w:pPr>
            <w:r w:rsidRPr="00636020">
              <w:rPr>
                <w:rFonts w:eastAsia="Times New Roman" w:cs="Times New Roman"/>
                <w:bCs/>
                <w:sz w:val="20"/>
                <w:szCs w:val="20"/>
              </w:rPr>
              <w:t>2023.gads</w:t>
            </w:r>
          </w:p>
        </w:tc>
        <w:tc>
          <w:tcPr>
            <w:tcW w:w="709" w:type="dxa"/>
            <w:shd w:val="clear" w:color="auto" w:fill="auto"/>
            <w:vAlign w:val="center"/>
          </w:tcPr>
          <w:p w14:paraId="6A79FC3A" w14:textId="77777777" w:rsidR="004902D1" w:rsidRPr="00636020" w:rsidRDefault="004902D1" w:rsidP="006E7F95">
            <w:pPr>
              <w:ind w:firstLine="0"/>
              <w:jc w:val="center"/>
              <w:rPr>
                <w:rFonts w:eastAsia="Times New Roman" w:cs="Times New Roman"/>
                <w:sz w:val="20"/>
                <w:szCs w:val="20"/>
              </w:rPr>
            </w:pPr>
          </w:p>
        </w:tc>
        <w:tc>
          <w:tcPr>
            <w:tcW w:w="840" w:type="dxa"/>
            <w:shd w:val="clear" w:color="auto" w:fill="auto"/>
            <w:vAlign w:val="bottom"/>
          </w:tcPr>
          <w:p w14:paraId="64CE3DB8" w14:textId="77777777" w:rsidR="004902D1" w:rsidRPr="00636020" w:rsidRDefault="004902D1" w:rsidP="006E7F95">
            <w:pPr>
              <w:tabs>
                <w:tab w:val="decimal" w:pos="330"/>
              </w:tabs>
              <w:ind w:firstLine="0"/>
              <w:jc w:val="right"/>
              <w:rPr>
                <w:rFonts w:eastAsia="Times New Roman" w:cs="Times New Roman"/>
                <w:sz w:val="20"/>
                <w:szCs w:val="20"/>
              </w:rPr>
            </w:pPr>
            <w:r w:rsidRPr="00636020">
              <w:rPr>
                <w:rFonts w:eastAsia="Times New Roman" w:cs="Times New Roman"/>
                <w:sz w:val="20"/>
                <w:szCs w:val="20"/>
              </w:rPr>
              <w:t>-4,7</w:t>
            </w:r>
          </w:p>
        </w:tc>
        <w:tc>
          <w:tcPr>
            <w:tcW w:w="851" w:type="dxa"/>
            <w:shd w:val="clear" w:color="auto" w:fill="auto"/>
            <w:vAlign w:val="bottom"/>
          </w:tcPr>
          <w:p w14:paraId="5722B753" w14:textId="77777777" w:rsidR="004902D1" w:rsidRPr="00636020" w:rsidRDefault="004902D1" w:rsidP="006E7F95">
            <w:pPr>
              <w:tabs>
                <w:tab w:val="decimal" w:pos="330"/>
              </w:tabs>
              <w:ind w:firstLine="0"/>
              <w:jc w:val="right"/>
              <w:rPr>
                <w:rFonts w:eastAsia="Times New Roman" w:cs="Times New Roman"/>
                <w:sz w:val="20"/>
                <w:szCs w:val="20"/>
              </w:rPr>
            </w:pPr>
            <w:r w:rsidRPr="00636020">
              <w:rPr>
                <w:rFonts w:eastAsia="Times New Roman" w:cs="Times New Roman"/>
                <w:sz w:val="20"/>
                <w:szCs w:val="20"/>
              </w:rPr>
              <w:t>-4,0</w:t>
            </w:r>
          </w:p>
        </w:tc>
        <w:tc>
          <w:tcPr>
            <w:tcW w:w="850" w:type="dxa"/>
            <w:shd w:val="clear" w:color="auto" w:fill="auto"/>
            <w:vAlign w:val="bottom"/>
          </w:tcPr>
          <w:p w14:paraId="69DFD22D" w14:textId="77777777" w:rsidR="004902D1" w:rsidRPr="00636020" w:rsidRDefault="004902D1" w:rsidP="006E7F95">
            <w:pPr>
              <w:tabs>
                <w:tab w:val="decimal" w:pos="330"/>
              </w:tabs>
              <w:ind w:firstLine="0"/>
              <w:jc w:val="right"/>
              <w:rPr>
                <w:rFonts w:eastAsia="Times New Roman" w:cs="Times New Roman"/>
                <w:sz w:val="20"/>
                <w:szCs w:val="20"/>
              </w:rPr>
            </w:pPr>
            <w:r w:rsidRPr="00636020">
              <w:rPr>
                <w:rFonts w:eastAsia="Times New Roman" w:cs="Times New Roman"/>
                <w:sz w:val="20"/>
                <w:szCs w:val="20"/>
              </w:rPr>
              <w:t>-2,4</w:t>
            </w:r>
          </w:p>
        </w:tc>
        <w:tc>
          <w:tcPr>
            <w:tcW w:w="851" w:type="dxa"/>
            <w:shd w:val="clear" w:color="auto" w:fill="auto"/>
            <w:vAlign w:val="bottom"/>
          </w:tcPr>
          <w:p w14:paraId="4A8EFF2F" w14:textId="77777777" w:rsidR="004902D1" w:rsidRPr="00636020" w:rsidRDefault="004902D1" w:rsidP="006E7F95">
            <w:pPr>
              <w:tabs>
                <w:tab w:val="decimal" w:pos="330"/>
              </w:tabs>
              <w:ind w:firstLine="0"/>
              <w:jc w:val="right"/>
              <w:rPr>
                <w:rFonts w:eastAsia="Arial Unicode MS" w:cs="Times New Roman"/>
                <w:sz w:val="20"/>
                <w:szCs w:val="20"/>
              </w:rPr>
            </w:pPr>
            <w:r w:rsidRPr="00636020">
              <w:rPr>
                <w:rFonts w:eastAsia="Times New Roman" w:cs="Times New Roman"/>
                <w:sz w:val="20"/>
                <w:szCs w:val="20"/>
              </w:rPr>
              <w:t>-1,7</w:t>
            </w:r>
          </w:p>
        </w:tc>
        <w:tc>
          <w:tcPr>
            <w:tcW w:w="850" w:type="dxa"/>
            <w:shd w:val="clear" w:color="auto" w:fill="auto"/>
            <w:vAlign w:val="bottom"/>
          </w:tcPr>
          <w:p w14:paraId="6AE08B0F" w14:textId="77777777" w:rsidR="004902D1" w:rsidRPr="00636020" w:rsidRDefault="004902D1" w:rsidP="006E7F95">
            <w:pPr>
              <w:tabs>
                <w:tab w:val="decimal" w:pos="330"/>
              </w:tabs>
              <w:ind w:firstLine="0"/>
              <w:jc w:val="right"/>
              <w:rPr>
                <w:rFonts w:eastAsia="Times New Roman" w:cs="Times New Roman"/>
                <w:sz w:val="20"/>
                <w:szCs w:val="20"/>
              </w:rPr>
            </w:pPr>
            <w:r w:rsidRPr="00636020">
              <w:rPr>
                <w:rFonts w:eastAsia="Times New Roman" w:cs="Times New Roman"/>
                <w:sz w:val="20"/>
                <w:szCs w:val="20"/>
              </w:rPr>
              <w:t>-0,5</w:t>
            </w:r>
          </w:p>
        </w:tc>
      </w:tr>
      <w:tr w:rsidR="004902D1" w:rsidRPr="00636020" w14:paraId="71112DE6" w14:textId="77777777" w:rsidTr="006E7F95">
        <w:trPr>
          <w:jc w:val="center"/>
        </w:trPr>
        <w:tc>
          <w:tcPr>
            <w:tcW w:w="3545" w:type="dxa"/>
            <w:shd w:val="clear" w:color="auto" w:fill="DEEAF6"/>
          </w:tcPr>
          <w:p w14:paraId="159A6503" w14:textId="77777777" w:rsidR="004902D1" w:rsidRPr="00636020" w:rsidRDefault="004902D1" w:rsidP="006E7F95">
            <w:pPr>
              <w:ind w:firstLine="0"/>
              <w:jc w:val="right"/>
              <w:rPr>
                <w:rFonts w:eastAsia="Times New Roman" w:cs="Times New Roman"/>
                <w:bCs/>
                <w:sz w:val="20"/>
                <w:szCs w:val="20"/>
              </w:rPr>
            </w:pPr>
            <w:r w:rsidRPr="00636020">
              <w:rPr>
                <w:rFonts w:eastAsia="Times New Roman" w:cs="Times New Roman"/>
                <w:bCs/>
                <w:snapToGrid w:val="0"/>
                <w:sz w:val="20"/>
                <w:szCs w:val="20"/>
              </w:rPr>
              <w:t>Izmaiņas</w:t>
            </w:r>
          </w:p>
        </w:tc>
        <w:tc>
          <w:tcPr>
            <w:tcW w:w="709" w:type="dxa"/>
            <w:shd w:val="clear" w:color="auto" w:fill="DEEAF6"/>
            <w:vAlign w:val="center"/>
          </w:tcPr>
          <w:p w14:paraId="5F21DBAF" w14:textId="77777777" w:rsidR="004902D1" w:rsidRPr="00636020" w:rsidRDefault="004902D1" w:rsidP="006E7F95">
            <w:pPr>
              <w:ind w:firstLine="0"/>
              <w:jc w:val="center"/>
              <w:rPr>
                <w:rFonts w:eastAsia="Times New Roman" w:cs="Times New Roman"/>
                <w:sz w:val="20"/>
                <w:szCs w:val="20"/>
              </w:rPr>
            </w:pPr>
          </w:p>
        </w:tc>
        <w:tc>
          <w:tcPr>
            <w:tcW w:w="840" w:type="dxa"/>
            <w:shd w:val="clear" w:color="auto" w:fill="DEEAF6"/>
            <w:vAlign w:val="bottom"/>
          </w:tcPr>
          <w:p w14:paraId="30F5C03C" w14:textId="77777777" w:rsidR="004902D1" w:rsidRPr="00636020" w:rsidRDefault="004902D1" w:rsidP="006E7F95">
            <w:pPr>
              <w:ind w:firstLine="0"/>
              <w:jc w:val="right"/>
              <w:rPr>
                <w:rFonts w:eastAsia="Calibri" w:cs="Times New Roman"/>
                <w:sz w:val="20"/>
                <w:szCs w:val="20"/>
              </w:rPr>
            </w:pPr>
            <w:r w:rsidRPr="00636020">
              <w:rPr>
                <w:rFonts w:eastAsia="Times New Roman" w:cs="Times New Roman"/>
                <w:sz w:val="20"/>
                <w:szCs w:val="20"/>
              </w:rPr>
              <w:t>1,8</w:t>
            </w:r>
          </w:p>
        </w:tc>
        <w:tc>
          <w:tcPr>
            <w:tcW w:w="851" w:type="dxa"/>
            <w:shd w:val="clear" w:color="auto" w:fill="DEEAF6"/>
            <w:vAlign w:val="bottom"/>
          </w:tcPr>
          <w:p w14:paraId="5EDC9AB5" w14:textId="77777777" w:rsidR="004902D1" w:rsidRPr="00636020" w:rsidRDefault="004902D1" w:rsidP="006E7F95">
            <w:pPr>
              <w:ind w:firstLine="0"/>
              <w:jc w:val="right"/>
              <w:rPr>
                <w:rFonts w:eastAsia="Calibri" w:cs="Times New Roman"/>
                <w:sz w:val="20"/>
                <w:szCs w:val="20"/>
              </w:rPr>
            </w:pPr>
            <w:r w:rsidRPr="00636020">
              <w:rPr>
                <w:rFonts w:eastAsia="Times New Roman" w:cs="Times New Roman"/>
                <w:sz w:val="20"/>
                <w:szCs w:val="20"/>
              </w:rPr>
              <w:t>-1,7</w:t>
            </w:r>
          </w:p>
        </w:tc>
        <w:tc>
          <w:tcPr>
            <w:tcW w:w="850" w:type="dxa"/>
            <w:shd w:val="clear" w:color="auto" w:fill="DEEAF6"/>
            <w:vAlign w:val="bottom"/>
          </w:tcPr>
          <w:p w14:paraId="5027F495" w14:textId="77777777" w:rsidR="004902D1" w:rsidRPr="00636020" w:rsidRDefault="004902D1" w:rsidP="006E7F95">
            <w:pPr>
              <w:ind w:firstLine="0"/>
              <w:jc w:val="right"/>
              <w:rPr>
                <w:rFonts w:eastAsia="Calibri" w:cs="Times New Roman"/>
                <w:sz w:val="20"/>
                <w:szCs w:val="20"/>
              </w:rPr>
            </w:pPr>
            <w:r w:rsidRPr="00636020">
              <w:rPr>
                <w:rFonts w:eastAsia="Times New Roman" w:cs="Times New Roman"/>
                <w:sz w:val="20"/>
                <w:szCs w:val="20"/>
              </w:rPr>
              <w:t>-0,6</w:t>
            </w:r>
          </w:p>
        </w:tc>
        <w:tc>
          <w:tcPr>
            <w:tcW w:w="851" w:type="dxa"/>
            <w:shd w:val="clear" w:color="auto" w:fill="DEEAF6"/>
            <w:vAlign w:val="bottom"/>
          </w:tcPr>
          <w:p w14:paraId="27DEE860" w14:textId="77777777" w:rsidR="004902D1" w:rsidRPr="00636020" w:rsidRDefault="004902D1" w:rsidP="006E7F95">
            <w:pPr>
              <w:ind w:firstLine="0"/>
              <w:jc w:val="right"/>
              <w:rPr>
                <w:rFonts w:eastAsia="Calibri" w:cs="Times New Roman"/>
                <w:sz w:val="20"/>
                <w:szCs w:val="20"/>
              </w:rPr>
            </w:pPr>
            <w:r w:rsidRPr="00636020">
              <w:rPr>
                <w:rFonts w:eastAsia="Times New Roman" w:cs="Times New Roman"/>
                <w:sz w:val="20"/>
                <w:szCs w:val="20"/>
              </w:rPr>
              <w:t>-0,7</w:t>
            </w:r>
          </w:p>
        </w:tc>
        <w:tc>
          <w:tcPr>
            <w:tcW w:w="850" w:type="dxa"/>
            <w:shd w:val="clear" w:color="auto" w:fill="DEEAF6"/>
            <w:vAlign w:val="bottom"/>
          </w:tcPr>
          <w:p w14:paraId="2D856219" w14:textId="77777777" w:rsidR="004902D1" w:rsidRPr="00636020" w:rsidRDefault="004902D1" w:rsidP="006E7F95">
            <w:pPr>
              <w:ind w:firstLine="0"/>
              <w:jc w:val="right"/>
              <w:rPr>
                <w:rFonts w:eastAsia="Calibri" w:cs="Times New Roman"/>
                <w:sz w:val="20"/>
                <w:szCs w:val="20"/>
              </w:rPr>
            </w:pPr>
            <w:r w:rsidRPr="00636020">
              <w:rPr>
                <w:rFonts w:eastAsia="Times New Roman" w:cs="Times New Roman"/>
                <w:sz w:val="20"/>
                <w:szCs w:val="20"/>
              </w:rPr>
              <w:t xml:space="preserve"> -</w:t>
            </w:r>
          </w:p>
        </w:tc>
      </w:tr>
      <w:tr w:rsidR="004902D1" w:rsidRPr="00636020" w14:paraId="715B52C2" w14:textId="77777777" w:rsidTr="006E7F95">
        <w:trPr>
          <w:jc w:val="center"/>
        </w:trPr>
        <w:tc>
          <w:tcPr>
            <w:tcW w:w="3545" w:type="dxa"/>
            <w:shd w:val="clear" w:color="auto" w:fill="auto"/>
          </w:tcPr>
          <w:p w14:paraId="3B1AC212" w14:textId="77777777" w:rsidR="004902D1" w:rsidRPr="00636020" w:rsidRDefault="004902D1" w:rsidP="006E7F95">
            <w:pPr>
              <w:ind w:firstLine="0"/>
              <w:jc w:val="left"/>
              <w:rPr>
                <w:rFonts w:eastAsia="Times New Roman" w:cs="Times New Roman"/>
                <w:b/>
                <w:sz w:val="20"/>
                <w:szCs w:val="20"/>
              </w:rPr>
            </w:pPr>
            <w:r w:rsidRPr="00636020">
              <w:rPr>
                <w:rFonts w:eastAsia="Times New Roman" w:cs="Times New Roman"/>
                <w:b/>
                <w:sz w:val="20"/>
                <w:szCs w:val="20"/>
              </w:rPr>
              <w:t>Vispārējās valdības parāds</w:t>
            </w:r>
            <w:r w:rsidRPr="00636020">
              <w:rPr>
                <w:rFonts w:eastAsia="Times New Roman" w:cs="Times New Roman"/>
                <w:b/>
                <w:sz w:val="20"/>
                <w:szCs w:val="20"/>
              </w:rPr>
              <w:br/>
              <w:t>(% no IKP)</w:t>
            </w:r>
          </w:p>
        </w:tc>
        <w:tc>
          <w:tcPr>
            <w:tcW w:w="709" w:type="dxa"/>
            <w:shd w:val="clear" w:color="auto" w:fill="auto"/>
            <w:vAlign w:val="center"/>
          </w:tcPr>
          <w:p w14:paraId="0C940D93" w14:textId="77777777" w:rsidR="004902D1" w:rsidRPr="00636020" w:rsidRDefault="004902D1" w:rsidP="006E7F95">
            <w:pPr>
              <w:ind w:firstLine="0"/>
              <w:jc w:val="center"/>
              <w:rPr>
                <w:rFonts w:eastAsia="Times New Roman" w:cs="Times New Roman"/>
                <w:sz w:val="20"/>
                <w:szCs w:val="20"/>
              </w:rPr>
            </w:pPr>
          </w:p>
        </w:tc>
        <w:tc>
          <w:tcPr>
            <w:tcW w:w="840" w:type="dxa"/>
            <w:shd w:val="clear" w:color="auto" w:fill="auto"/>
            <w:vAlign w:val="center"/>
          </w:tcPr>
          <w:p w14:paraId="26D97C7F" w14:textId="77777777" w:rsidR="004902D1" w:rsidRPr="00636020" w:rsidRDefault="004902D1" w:rsidP="006E7F95">
            <w:pPr>
              <w:ind w:firstLine="0"/>
              <w:jc w:val="right"/>
              <w:rPr>
                <w:rFonts w:eastAsia="Calibri" w:cs="Times New Roman"/>
                <w:sz w:val="20"/>
                <w:szCs w:val="20"/>
              </w:rPr>
            </w:pPr>
          </w:p>
        </w:tc>
        <w:tc>
          <w:tcPr>
            <w:tcW w:w="851" w:type="dxa"/>
            <w:shd w:val="clear" w:color="auto" w:fill="auto"/>
            <w:vAlign w:val="center"/>
          </w:tcPr>
          <w:p w14:paraId="0089E18B" w14:textId="77777777" w:rsidR="004902D1" w:rsidRPr="00636020" w:rsidRDefault="004902D1" w:rsidP="006E7F95">
            <w:pPr>
              <w:ind w:firstLine="0"/>
              <w:jc w:val="right"/>
              <w:rPr>
                <w:rFonts w:eastAsia="Calibri" w:cs="Times New Roman"/>
                <w:sz w:val="20"/>
                <w:szCs w:val="20"/>
              </w:rPr>
            </w:pPr>
          </w:p>
        </w:tc>
        <w:tc>
          <w:tcPr>
            <w:tcW w:w="850" w:type="dxa"/>
            <w:shd w:val="clear" w:color="auto" w:fill="auto"/>
            <w:vAlign w:val="center"/>
          </w:tcPr>
          <w:p w14:paraId="449E36F6" w14:textId="77777777" w:rsidR="004902D1" w:rsidRPr="00636020" w:rsidRDefault="004902D1" w:rsidP="006E7F95">
            <w:pPr>
              <w:ind w:firstLine="0"/>
              <w:jc w:val="right"/>
              <w:rPr>
                <w:rFonts w:eastAsia="Calibri" w:cs="Times New Roman"/>
                <w:sz w:val="20"/>
                <w:szCs w:val="20"/>
              </w:rPr>
            </w:pPr>
          </w:p>
        </w:tc>
        <w:tc>
          <w:tcPr>
            <w:tcW w:w="851" w:type="dxa"/>
            <w:shd w:val="clear" w:color="auto" w:fill="auto"/>
            <w:vAlign w:val="center"/>
          </w:tcPr>
          <w:p w14:paraId="04AF4E51" w14:textId="77777777" w:rsidR="004902D1" w:rsidRPr="00636020" w:rsidRDefault="004902D1" w:rsidP="006E7F95">
            <w:pPr>
              <w:ind w:firstLine="0"/>
              <w:jc w:val="right"/>
              <w:rPr>
                <w:rFonts w:eastAsia="Calibri" w:cs="Times New Roman"/>
                <w:sz w:val="20"/>
                <w:szCs w:val="20"/>
              </w:rPr>
            </w:pPr>
          </w:p>
        </w:tc>
        <w:tc>
          <w:tcPr>
            <w:tcW w:w="850" w:type="dxa"/>
            <w:shd w:val="clear" w:color="auto" w:fill="auto"/>
            <w:vAlign w:val="center"/>
          </w:tcPr>
          <w:p w14:paraId="545C3B49" w14:textId="77777777" w:rsidR="004902D1" w:rsidRPr="00636020" w:rsidRDefault="004902D1" w:rsidP="006E7F95">
            <w:pPr>
              <w:ind w:firstLine="0"/>
              <w:jc w:val="right"/>
              <w:rPr>
                <w:rFonts w:eastAsia="Calibri" w:cs="Times New Roman"/>
                <w:sz w:val="20"/>
                <w:szCs w:val="20"/>
              </w:rPr>
            </w:pPr>
          </w:p>
        </w:tc>
      </w:tr>
      <w:tr w:rsidR="004902D1" w:rsidRPr="00636020" w14:paraId="03E484E8" w14:textId="77777777" w:rsidTr="006E7F95">
        <w:trPr>
          <w:jc w:val="center"/>
        </w:trPr>
        <w:tc>
          <w:tcPr>
            <w:tcW w:w="3545" w:type="dxa"/>
            <w:shd w:val="clear" w:color="auto" w:fill="DEEAF6"/>
          </w:tcPr>
          <w:p w14:paraId="5782C440" w14:textId="77777777" w:rsidR="004902D1" w:rsidRPr="00636020" w:rsidRDefault="004902D1" w:rsidP="006E7F95">
            <w:pPr>
              <w:ind w:firstLine="0"/>
              <w:jc w:val="right"/>
              <w:rPr>
                <w:rFonts w:eastAsia="Times New Roman" w:cs="Times New Roman"/>
                <w:bCs/>
                <w:sz w:val="20"/>
                <w:szCs w:val="20"/>
              </w:rPr>
            </w:pPr>
            <w:r w:rsidRPr="00636020">
              <w:rPr>
                <w:rFonts w:eastAsia="Times New Roman" w:cs="Times New Roman"/>
                <w:bCs/>
                <w:sz w:val="20"/>
                <w:szCs w:val="20"/>
              </w:rPr>
              <w:t>2022.gads</w:t>
            </w:r>
          </w:p>
        </w:tc>
        <w:tc>
          <w:tcPr>
            <w:tcW w:w="709" w:type="dxa"/>
            <w:shd w:val="clear" w:color="auto" w:fill="DEEAF6"/>
            <w:vAlign w:val="center"/>
          </w:tcPr>
          <w:p w14:paraId="4EAFBB1E" w14:textId="77777777" w:rsidR="004902D1" w:rsidRPr="00636020" w:rsidRDefault="004902D1" w:rsidP="006E7F95">
            <w:pPr>
              <w:ind w:firstLine="0"/>
              <w:jc w:val="center"/>
              <w:rPr>
                <w:rFonts w:eastAsia="Times New Roman" w:cs="Times New Roman"/>
                <w:sz w:val="20"/>
                <w:szCs w:val="20"/>
              </w:rPr>
            </w:pPr>
          </w:p>
        </w:tc>
        <w:tc>
          <w:tcPr>
            <w:tcW w:w="840" w:type="dxa"/>
            <w:shd w:val="clear" w:color="auto" w:fill="DEEAF6"/>
            <w:vAlign w:val="center"/>
          </w:tcPr>
          <w:p w14:paraId="46AA4F01" w14:textId="77777777" w:rsidR="004902D1" w:rsidRPr="00636020" w:rsidRDefault="004902D1" w:rsidP="006E7F95">
            <w:pPr>
              <w:ind w:firstLine="0"/>
              <w:jc w:val="right"/>
              <w:rPr>
                <w:rFonts w:eastAsia="Times New Roman" w:cs="Times New Roman"/>
                <w:sz w:val="20"/>
                <w:szCs w:val="20"/>
              </w:rPr>
            </w:pPr>
            <w:r w:rsidRPr="00636020">
              <w:rPr>
                <w:rFonts w:eastAsia="Times New Roman" w:cs="Times New Roman"/>
                <w:sz w:val="20"/>
                <w:szCs w:val="20"/>
              </w:rPr>
              <w:t>45,7</w:t>
            </w:r>
          </w:p>
        </w:tc>
        <w:tc>
          <w:tcPr>
            <w:tcW w:w="851" w:type="dxa"/>
            <w:shd w:val="clear" w:color="auto" w:fill="DEEAF6"/>
            <w:vAlign w:val="center"/>
          </w:tcPr>
          <w:p w14:paraId="0EA5C2CA" w14:textId="77777777" w:rsidR="004902D1" w:rsidRPr="00636020" w:rsidRDefault="004902D1" w:rsidP="006E7F95">
            <w:pPr>
              <w:ind w:firstLine="0"/>
              <w:jc w:val="right"/>
              <w:rPr>
                <w:rFonts w:eastAsia="Times New Roman" w:cs="Times New Roman"/>
                <w:sz w:val="20"/>
                <w:szCs w:val="20"/>
              </w:rPr>
            </w:pPr>
            <w:r w:rsidRPr="00636020">
              <w:rPr>
                <w:rFonts w:eastAsia="Times New Roman" w:cs="Times New Roman"/>
                <w:sz w:val="20"/>
                <w:szCs w:val="20"/>
              </w:rPr>
              <w:t>45,2</w:t>
            </w:r>
          </w:p>
        </w:tc>
        <w:tc>
          <w:tcPr>
            <w:tcW w:w="850" w:type="dxa"/>
            <w:shd w:val="clear" w:color="auto" w:fill="DEEAF6"/>
            <w:vAlign w:val="center"/>
          </w:tcPr>
          <w:p w14:paraId="082E88AB" w14:textId="77777777" w:rsidR="004902D1" w:rsidRPr="00636020" w:rsidRDefault="004902D1" w:rsidP="006E7F95">
            <w:pPr>
              <w:ind w:firstLine="0"/>
              <w:jc w:val="right"/>
              <w:rPr>
                <w:rFonts w:eastAsia="Times New Roman" w:cs="Times New Roman"/>
                <w:sz w:val="20"/>
                <w:szCs w:val="20"/>
              </w:rPr>
            </w:pPr>
            <w:r w:rsidRPr="00636020">
              <w:rPr>
                <w:rFonts w:eastAsia="Times New Roman" w:cs="Times New Roman"/>
                <w:sz w:val="20"/>
                <w:szCs w:val="20"/>
              </w:rPr>
              <w:t>44,5</w:t>
            </w:r>
          </w:p>
        </w:tc>
        <w:tc>
          <w:tcPr>
            <w:tcW w:w="851" w:type="dxa"/>
            <w:shd w:val="clear" w:color="auto" w:fill="DEEAF6"/>
            <w:vAlign w:val="center"/>
          </w:tcPr>
          <w:p w14:paraId="7C3DADF5" w14:textId="77777777" w:rsidR="004902D1" w:rsidRPr="00636020" w:rsidRDefault="004902D1" w:rsidP="006E7F95">
            <w:pPr>
              <w:ind w:firstLine="0"/>
              <w:jc w:val="right"/>
              <w:rPr>
                <w:rFonts w:eastAsia="Times New Roman" w:cs="Times New Roman"/>
                <w:sz w:val="20"/>
                <w:szCs w:val="20"/>
              </w:rPr>
            </w:pPr>
            <w:r w:rsidRPr="00636020">
              <w:rPr>
                <w:rFonts w:eastAsia="Times New Roman" w:cs="Times New Roman"/>
                <w:sz w:val="20"/>
                <w:szCs w:val="20"/>
              </w:rPr>
              <w:t>43,4</w:t>
            </w:r>
          </w:p>
        </w:tc>
        <w:tc>
          <w:tcPr>
            <w:tcW w:w="850" w:type="dxa"/>
            <w:shd w:val="clear" w:color="auto" w:fill="DEEAF6"/>
            <w:vAlign w:val="center"/>
          </w:tcPr>
          <w:p w14:paraId="654785CA" w14:textId="77777777" w:rsidR="004902D1" w:rsidRPr="00636020" w:rsidRDefault="004902D1" w:rsidP="006E7F95">
            <w:pPr>
              <w:ind w:firstLine="0"/>
              <w:jc w:val="right"/>
              <w:rPr>
                <w:rFonts w:eastAsia="Calibri" w:cs="Times New Roman"/>
                <w:sz w:val="20"/>
                <w:szCs w:val="20"/>
              </w:rPr>
            </w:pPr>
            <w:r w:rsidRPr="00636020">
              <w:rPr>
                <w:rFonts w:eastAsia="Times New Roman" w:cs="Times New Roman"/>
                <w:sz w:val="20"/>
                <w:szCs w:val="20"/>
              </w:rPr>
              <w:t>-</w:t>
            </w:r>
          </w:p>
        </w:tc>
      </w:tr>
      <w:tr w:rsidR="004902D1" w:rsidRPr="00636020" w14:paraId="16CA3320" w14:textId="77777777" w:rsidTr="006E7F95">
        <w:trPr>
          <w:jc w:val="center"/>
        </w:trPr>
        <w:tc>
          <w:tcPr>
            <w:tcW w:w="3545" w:type="dxa"/>
            <w:shd w:val="clear" w:color="auto" w:fill="auto"/>
          </w:tcPr>
          <w:p w14:paraId="70CB68AF" w14:textId="77777777" w:rsidR="004902D1" w:rsidRPr="00636020" w:rsidRDefault="004902D1" w:rsidP="006E7F95">
            <w:pPr>
              <w:ind w:firstLine="0"/>
              <w:jc w:val="right"/>
              <w:rPr>
                <w:rFonts w:eastAsia="Times New Roman" w:cs="Times New Roman"/>
                <w:bCs/>
                <w:sz w:val="20"/>
                <w:szCs w:val="20"/>
              </w:rPr>
            </w:pPr>
            <w:r w:rsidRPr="00636020">
              <w:rPr>
                <w:rFonts w:eastAsia="Times New Roman" w:cs="Times New Roman"/>
                <w:bCs/>
                <w:sz w:val="20"/>
                <w:szCs w:val="20"/>
              </w:rPr>
              <w:t>2023.gads</w:t>
            </w:r>
          </w:p>
        </w:tc>
        <w:tc>
          <w:tcPr>
            <w:tcW w:w="709" w:type="dxa"/>
            <w:shd w:val="clear" w:color="auto" w:fill="auto"/>
            <w:vAlign w:val="center"/>
          </w:tcPr>
          <w:p w14:paraId="467BE873" w14:textId="77777777" w:rsidR="004902D1" w:rsidRPr="00636020" w:rsidRDefault="004902D1" w:rsidP="006E7F95">
            <w:pPr>
              <w:ind w:firstLine="0"/>
              <w:jc w:val="center"/>
              <w:rPr>
                <w:rFonts w:eastAsia="Times New Roman" w:cs="Times New Roman"/>
                <w:sz w:val="20"/>
                <w:szCs w:val="20"/>
              </w:rPr>
            </w:pPr>
          </w:p>
        </w:tc>
        <w:tc>
          <w:tcPr>
            <w:tcW w:w="840" w:type="dxa"/>
            <w:shd w:val="clear" w:color="auto" w:fill="auto"/>
            <w:vAlign w:val="center"/>
          </w:tcPr>
          <w:p w14:paraId="1A916CC1" w14:textId="77777777" w:rsidR="004902D1" w:rsidRPr="00636020" w:rsidRDefault="004902D1" w:rsidP="006E7F95">
            <w:pPr>
              <w:tabs>
                <w:tab w:val="decimal" w:pos="330"/>
              </w:tabs>
              <w:ind w:firstLine="0"/>
              <w:jc w:val="right"/>
              <w:rPr>
                <w:rFonts w:eastAsia="Times New Roman" w:cs="Times New Roman"/>
                <w:sz w:val="20"/>
                <w:szCs w:val="20"/>
              </w:rPr>
            </w:pPr>
            <w:r w:rsidRPr="00636020">
              <w:rPr>
                <w:rFonts w:eastAsia="Times New Roman" w:cs="Times New Roman"/>
                <w:sz w:val="20"/>
                <w:szCs w:val="20"/>
              </w:rPr>
              <w:t>40,8</w:t>
            </w:r>
          </w:p>
        </w:tc>
        <w:tc>
          <w:tcPr>
            <w:tcW w:w="851" w:type="dxa"/>
            <w:shd w:val="clear" w:color="auto" w:fill="auto"/>
            <w:vAlign w:val="center"/>
          </w:tcPr>
          <w:p w14:paraId="5805EDF2" w14:textId="77777777" w:rsidR="004902D1" w:rsidRPr="00636020" w:rsidRDefault="004902D1" w:rsidP="006E7F95">
            <w:pPr>
              <w:tabs>
                <w:tab w:val="decimal" w:pos="330"/>
              </w:tabs>
              <w:ind w:firstLine="0"/>
              <w:jc w:val="right"/>
              <w:rPr>
                <w:rFonts w:eastAsia="Times New Roman" w:cs="Times New Roman"/>
                <w:sz w:val="20"/>
                <w:szCs w:val="20"/>
              </w:rPr>
            </w:pPr>
            <w:r w:rsidRPr="00636020">
              <w:rPr>
                <w:rFonts w:eastAsia="Times New Roman" w:cs="Times New Roman"/>
                <w:sz w:val="20"/>
                <w:szCs w:val="20"/>
              </w:rPr>
              <w:t>39,6</w:t>
            </w:r>
          </w:p>
        </w:tc>
        <w:tc>
          <w:tcPr>
            <w:tcW w:w="850" w:type="dxa"/>
            <w:shd w:val="clear" w:color="auto" w:fill="auto"/>
            <w:vAlign w:val="center"/>
          </w:tcPr>
          <w:p w14:paraId="768641D7" w14:textId="77777777" w:rsidR="004902D1" w:rsidRPr="00636020" w:rsidRDefault="004902D1" w:rsidP="006E7F95">
            <w:pPr>
              <w:tabs>
                <w:tab w:val="decimal" w:pos="330"/>
              </w:tabs>
              <w:ind w:firstLine="0"/>
              <w:jc w:val="right"/>
              <w:rPr>
                <w:rFonts w:eastAsia="Times New Roman" w:cs="Times New Roman"/>
                <w:sz w:val="20"/>
                <w:szCs w:val="20"/>
              </w:rPr>
            </w:pPr>
            <w:r w:rsidRPr="00636020">
              <w:rPr>
                <w:rFonts w:eastAsia="Times New Roman" w:cs="Times New Roman"/>
                <w:sz w:val="20"/>
                <w:szCs w:val="20"/>
              </w:rPr>
              <w:t>39,7</w:t>
            </w:r>
          </w:p>
        </w:tc>
        <w:tc>
          <w:tcPr>
            <w:tcW w:w="851" w:type="dxa"/>
            <w:shd w:val="clear" w:color="auto" w:fill="auto"/>
            <w:vAlign w:val="center"/>
          </w:tcPr>
          <w:p w14:paraId="1798C8A6" w14:textId="77777777" w:rsidR="004902D1" w:rsidRPr="00636020" w:rsidRDefault="004902D1" w:rsidP="006E7F95">
            <w:pPr>
              <w:tabs>
                <w:tab w:val="decimal" w:pos="330"/>
              </w:tabs>
              <w:ind w:firstLine="0"/>
              <w:jc w:val="right"/>
              <w:rPr>
                <w:rFonts w:eastAsia="Arial Unicode MS" w:cs="Times New Roman"/>
                <w:sz w:val="20"/>
                <w:szCs w:val="20"/>
              </w:rPr>
            </w:pPr>
            <w:r w:rsidRPr="00636020">
              <w:rPr>
                <w:rFonts w:eastAsia="Times New Roman" w:cs="Times New Roman"/>
                <w:sz w:val="20"/>
                <w:szCs w:val="20"/>
              </w:rPr>
              <w:t>39,8</w:t>
            </w:r>
          </w:p>
        </w:tc>
        <w:tc>
          <w:tcPr>
            <w:tcW w:w="850" w:type="dxa"/>
            <w:shd w:val="clear" w:color="auto" w:fill="auto"/>
            <w:vAlign w:val="center"/>
          </w:tcPr>
          <w:p w14:paraId="5B563F60" w14:textId="77777777" w:rsidR="004902D1" w:rsidRPr="00636020" w:rsidRDefault="004902D1" w:rsidP="006E7F95">
            <w:pPr>
              <w:ind w:firstLine="0"/>
              <w:jc w:val="right"/>
              <w:rPr>
                <w:rFonts w:eastAsia="Times New Roman" w:cs="Times New Roman"/>
                <w:sz w:val="20"/>
                <w:szCs w:val="20"/>
              </w:rPr>
            </w:pPr>
            <w:r w:rsidRPr="00636020">
              <w:rPr>
                <w:rFonts w:eastAsia="Times New Roman" w:cs="Times New Roman"/>
                <w:sz w:val="20"/>
                <w:szCs w:val="20"/>
              </w:rPr>
              <w:t>38,9</w:t>
            </w:r>
          </w:p>
        </w:tc>
      </w:tr>
      <w:tr w:rsidR="004902D1" w:rsidRPr="00636020" w14:paraId="23869C3B" w14:textId="77777777" w:rsidTr="006E7F95">
        <w:trPr>
          <w:jc w:val="center"/>
        </w:trPr>
        <w:tc>
          <w:tcPr>
            <w:tcW w:w="3545" w:type="dxa"/>
            <w:shd w:val="clear" w:color="auto" w:fill="DEEAF6"/>
          </w:tcPr>
          <w:p w14:paraId="6617FFA8" w14:textId="77777777" w:rsidR="004902D1" w:rsidRPr="00636020" w:rsidRDefault="004902D1" w:rsidP="006E7F95">
            <w:pPr>
              <w:ind w:firstLine="0"/>
              <w:jc w:val="right"/>
              <w:rPr>
                <w:rFonts w:eastAsia="Times New Roman" w:cs="Times New Roman"/>
                <w:bCs/>
                <w:sz w:val="20"/>
                <w:szCs w:val="20"/>
              </w:rPr>
            </w:pPr>
            <w:r w:rsidRPr="00636020">
              <w:rPr>
                <w:rFonts w:eastAsia="Times New Roman" w:cs="Times New Roman"/>
                <w:bCs/>
                <w:snapToGrid w:val="0"/>
                <w:sz w:val="20"/>
                <w:szCs w:val="20"/>
              </w:rPr>
              <w:t>Izmaiņas</w:t>
            </w:r>
          </w:p>
        </w:tc>
        <w:tc>
          <w:tcPr>
            <w:tcW w:w="709" w:type="dxa"/>
            <w:shd w:val="clear" w:color="auto" w:fill="DEEAF6"/>
            <w:vAlign w:val="center"/>
          </w:tcPr>
          <w:p w14:paraId="41B7B03D" w14:textId="77777777" w:rsidR="004902D1" w:rsidRPr="00636020" w:rsidRDefault="004902D1" w:rsidP="006E7F95">
            <w:pPr>
              <w:ind w:firstLine="0"/>
              <w:jc w:val="center"/>
              <w:rPr>
                <w:rFonts w:eastAsia="Times New Roman" w:cs="Times New Roman"/>
                <w:sz w:val="20"/>
                <w:szCs w:val="20"/>
              </w:rPr>
            </w:pPr>
          </w:p>
        </w:tc>
        <w:tc>
          <w:tcPr>
            <w:tcW w:w="840" w:type="dxa"/>
            <w:shd w:val="clear" w:color="auto" w:fill="DEEAF6"/>
            <w:vAlign w:val="bottom"/>
          </w:tcPr>
          <w:p w14:paraId="3EF0F6B1" w14:textId="77777777" w:rsidR="004902D1" w:rsidRPr="00636020" w:rsidRDefault="004902D1" w:rsidP="006E7F95">
            <w:pPr>
              <w:ind w:firstLine="0"/>
              <w:jc w:val="right"/>
              <w:rPr>
                <w:rFonts w:eastAsia="Times New Roman" w:cs="Times New Roman"/>
                <w:sz w:val="20"/>
                <w:szCs w:val="20"/>
              </w:rPr>
            </w:pPr>
            <w:r w:rsidRPr="00636020">
              <w:rPr>
                <w:rFonts w:eastAsia="Times New Roman" w:cs="Times New Roman"/>
                <w:sz w:val="20"/>
                <w:szCs w:val="20"/>
              </w:rPr>
              <w:t>-4,9</w:t>
            </w:r>
          </w:p>
        </w:tc>
        <w:tc>
          <w:tcPr>
            <w:tcW w:w="851" w:type="dxa"/>
            <w:shd w:val="clear" w:color="auto" w:fill="DEEAF6"/>
            <w:vAlign w:val="bottom"/>
          </w:tcPr>
          <w:p w14:paraId="3D34B8AC" w14:textId="77777777" w:rsidR="004902D1" w:rsidRPr="00636020" w:rsidRDefault="004902D1" w:rsidP="006E7F95">
            <w:pPr>
              <w:ind w:firstLine="0"/>
              <w:jc w:val="right"/>
              <w:rPr>
                <w:rFonts w:eastAsia="Times New Roman" w:cs="Times New Roman"/>
                <w:color w:val="FF0000"/>
                <w:sz w:val="20"/>
                <w:szCs w:val="20"/>
              </w:rPr>
            </w:pPr>
            <w:r w:rsidRPr="00636020">
              <w:rPr>
                <w:rFonts w:eastAsia="Times New Roman" w:cs="Times New Roman"/>
                <w:sz w:val="20"/>
                <w:szCs w:val="20"/>
              </w:rPr>
              <w:t>-5,6</w:t>
            </w:r>
          </w:p>
        </w:tc>
        <w:tc>
          <w:tcPr>
            <w:tcW w:w="850" w:type="dxa"/>
            <w:shd w:val="clear" w:color="auto" w:fill="DEEAF6"/>
            <w:vAlign w:val="bottom"/>
          </w:tcPr>
          <w:p w14:paraId="2A9D6631" w14:textId="77777777" w:rsidR="004902D1" w:rsidRPr="00636020" w:rsidRDefault="004902D1" w:rsidP="006E7F95">
            <w:pPr>
              <w:ind w:firstLine="0"/>
              <w:jc w:val="right"/>
              <w:rPr>
                <w:rFonts w:eastAsia="Times New Roman" w:cs="Times New Roman"/>
                <w:color w:val="FF0000"/>
                <w:sz w:val="20"/>
                <w:szCs w:val="20"/>
              </w:rPr>
            </w:pPr>
            <w:r w:rsidRPr="00636020">
              <w:rPr>
                <w:rFonts w:eastAsia="Times New Roman" w:cs="Times New Roman"/>
                <w:sz w:val="20"/>
                <w:szCs w:val="20"/>
              </w:rPr>
              <w:t>-4,8</w:t>
            </w:r>
          </w:p>
        </w:tc>
        <w:tc>
          <w:tcPr>
            <w:tcW w:w="851" w:type="dxa"/>
            <w:shd w:val="clear" w:color="auto" w:fill="DEEAF6"/>
            <w:vAlign w:val="bottom"/>
          </w:tcPr>
          <w:p w14:paraId="7366391E" w14:textId="77777777" w:rsidR="004902D1" w:rsidRPr="00636020" w:rsidRDefault="004902D1" w:rsidP="006E7F95">
            <w:pPr>
              <w:ind w:firstLine="0"/>
              <w:jc w:val="right"/>
              <w:rPr>
                <w:rFonts w:eastAsia="Times New Roman" w:cs="Times New Roman"/>
                <w:color w:val="FF0000"/>
                <w:sz w:val="20"/>
                <w:szCs w:val="20"/>
              </w:rPr>
            </w:pPr>
            <w:r w:rsidRPr="00636020">
              <w:rPr>
                <w:rFonts w:eastAsia="Times New Roman" w:cs="Times New Roman"/>
                <w:sz w:val="20"/>
                <w:szCs w:val="20"/>
              </w:rPr>
              <w:t>-3,6</w:t>
            </w:r>
          </w:p>
        </w:tc>
        <w:tc>
          <w:tcPr>
            <w:tcW w:w="850" w:type="dxa"/>
            <w:shd w:val="clear" w:color="auto" w:fill="DEEAF6"/>
            <w:vAlign w:val="center"/>
          </w:tcPr>
          <w:p w14:paraId="33AA3381" w14:textId="77777777" w:rsidR="004902D1" w:rsidRPr="00636020" w:rsidRDefault="004902D1" w:rsidP="006E7F95">
            <w:pPr>
              <w:tabs>
                <w:tab w:val="decimal" w:pos="330"/>
              </w:tabs>
              <w:ind w:firstLine="0"/>
              <w:jc w:val="right"/>
              <w:rPr>
                <w:rFonts w:eastAsia="Times New Roman" w:cs="Times New Roman"/>
                <w:sz w:val="20"/>
                <w:szCs w:val="20"/>
              </w:rPr>
            </w:pPr>
            <w:r w:rsidRPr="00636020">
              <w:rPr>
                <w:rFonts w:eastAsia="Times New Roman" w:cs="Times New Roman"/>
                <w:sz w:val="20"/>
                <w:szCs w:val="20"/>
              </w:rPr>
              <w:t>-</w:t>
            </w:r>
          </w:p>
        </w:tc>
      </w:tr>
    </w:tbl>
    <w:p w14:paraId="4E648525" w14:textId="77777777" w:rsidR="004902D1" w:rsidRPr="00636020" w:rsidRDefault="004902D1" w:rsidP="00F2699C">
      <w:pPr>
        <w:rPr>
          <w:rFonts w:eastAsia="Calibri" w:cs="Times New Roman"/>
          <w:sz w:val="24"/>
          <w:szCs w:val="24"/>
        </w:rPr>
      </w:pPr>
    </w:p>
    <w:p w14:paraId="15EA0455" w14:textId="1ACA7B37" w:rsidR="00F2699C" w:rsidRPr="00636020" w:rsidRDefault="00F2699C" w:rsidP="00F2699C">
      <w:pPr>
        <w:rPr>
          <w:rFonts w:eastAsia="Calibri" w:cs="Times New Roman"/>
          <w:sz w:val="24"/>
          <w:szCs w:val="24"/>
        </w:rPr>
      </w:pPr>
      <w:r w:rsidRPr="00636020">
        <w:rPr>
          <w:rFonts w:eastAsia="Calibri" w:cs="Times New Roman"/>
          <w:sz w:val="24"/>
          <w:szCs w:val="24"/>
        </w:rPr>
        <w:t>Atbilstoši FM novērtējumam vispārējās valdības budžeta deficīts 2022. gadā bija 4,7% no IKP, kas ir zemāks nekā prognozēts Latvijas Stabilitātes programmā 2022.–2025. gadam, kad, ņemot vērā augsto nenoteiktību Krievijas uzsāktās karadarbības Ukrainā dēļ, ietekme uz ekonomiku un nodokļu ieņēmumiem tika prognozēta negatīvāka. Augstā līmenī saglabājoties inflācijai un turpinoties karadarbībai Ukrainā, joprojām saglabājas liela nenoteiktība. Arī 2023. gada pirmajos mēnešos tiek sniegts valdības apstiprinātais atbalsts, lai mazinātu energoresursu cenu pieauguma ietekmi uz sabiedrību, tāpat nozīmīgs papildus finansējums ticis paredzēts valsts drošības un aizsardzības spēju palielināšanai, nosakot augstāku deficīta līmeni vidējā termiņā nekā plānots pērn Stabilitātes programmā. 2024. gadā un turpmāk</w:t>
      </w:r>
      <w:r w:rsidR="00167099" w:rsidRPr="00636020">
        <w:rPr>
          <w:rFonts w:eastAsia="Calibri" w:cs="Times New Roman"/>
          <w:sz w:val="24"/>
          <w:szCs w:val="24"/>
        </w:rPr>
        <w:t>,</w:t>
      </w:r>
      <w:r w:rsidRPr="00636020">
        <w:rPr>
          <w:rFonts w:eastAsia="Calibri" w:cs="Times New Roman"/>
          <w:sz w:val="24"/>
          <w:szCs w:val="24"/>
        </w:rPr>
        <w:t xml:space="preserve"> ekonomikai attīstoties un augot nodokļu ieņēmumiem, tiek prognozēts, ka vispārējās valdības budžeta deficīts </w:t>
      </w:r>
      <w:r w:rsidRPr="00636020">
        <w:rPr>
          <w:rFonts w:eastAsia="Calibri" w:cs="Times New Roman"/>
          <w:sz w:val="24"/>
          <w:szCs w:val="24"/>
        </w:rPr>
        <w:lastRenderedPageBreak/>
        <w:t>samazināsies, tomēr</w:t>
      </w:r>
      <w:r w:rsidR="00167099" w:rsidRPr="00636020">
        <w:rPr>
          <w:rFonts w:eastAsia="Calibri" w:cs="Times New Roman"/>
          <w:sz w:val="24"/>
          <w:szCs w:val="24"/>
        </w:rPr>
        <w:t>,</w:t>
      </w:r>
      <w:r w:rsidRPr="00636020">
        <w:rPr>
          <w:rFonts w:eastAsia="Calibri" w:cs="Times New Roman"/>
          <w:sz w:val="24"/>
          <w:szCs w:val="24"/>
        </w:rPr>
        <w:t xml:space="preserve"> turpinot pieaugt izdevumiem aizsardzībai, tas joprojām pie nemainīgas politikas tiek prognozēts augstāks nekā iepriekšējā Latvijas Stabilitātes programmā.</w:t>
      </w:r>
    </w:p>
    <w:p w14:paraId="70CA1CF6" w14:textId="739465ED" w:rsidR="00167099" w:rsidRDefault="00F2699C" w:rsidP="00167099">
      <w:pPr>
        <w:rPr>
          <w:rFonts w:eastAsia="Calibri" w:cs="Times New Roman"/>
          <w:sz w:val="24"/>
          <w:szCs w:val="24"/>
        </w:rPr>
      </w:pPr>
      <w:r w:rsidRPr="00636020">
        <w:rPr>
          <w:rFonts w:eastAsia="Calibri" w:cs="Times New Roman"/>
          <w:sz w:val="24"/>
          <w:szCs w:val="24"/>
        </w:rPr>
        <w:t xml:space="preserve">Vispārējās valdības parāda prognoze ir samazināta 2023.-2025. gadā, salīdzinot ar Latvijas Stabilitātes programmas 2022.-2025. gadam prognozēm. Izmaiņas noteica galvenokārt aktualizētās IKP prognozes, atbilstoši kurām nominālais IKP (milj. </w:t>
      </w:r>
      <w:proofErr w:type="spellStart"/>
      <w:r w:rsidRPr="00636020">
        <w:rPr>
          <w:rFonts w:eastAsia="Calibri" w:cs="Times New Roman"/>
          <w:i/>
          <w:iCs/>
          <w:sz w:val="24"/>
          <w:szCs w:val="24"/>
        </w:rPr>
        <w:t>euro</w:t>
      </w:r>
      <w:proofErr w:type="spellEnd"/>
      <w:r w:rsidRPr="00636020">
        <w:rPr>
          <w:rFonts w:eastAsia="Calibri" w:cs="Times New Roman"/>
          <w:sz w:val="24"/>
          <w:szCs w:val="24"/>
        </w:rPr>
        <w:t>) vidējā termiņā ir lielāks salīdzinājumā ar iepriekš prognozēto. Aktualizētās IKP prognozes nodrošina zemākus parāda līmeņus attiecībā pret IKP.</w:t>
      </w:r>
    </w:p>
    <w:p w14:paraId="1F1738F9" w14:textId="77777777" w:rsidR="007D47AF" w:rsidRPr="00636020" w:rsidRDefault="007D47AF" w:rsidP="00167099">
      <w:pPr>
        <w:rPr>
          <w:rFonts w:eastAsia="Calibri" w:cs="Times New Roman"/>
          <w:sz w:val="24"/>
          <w:szCs w:val="24"/>
        </w:rPr>
      </w:pPr>
    </w:p>
    <w:p w14:paraId="420866EB" w14:textId="4E867860" w:rsidR="00F2699C" w:rsidRPr="004902D1" w:rsidRDefault="00F2699C">
      <w:pPr>
        <w:spacing w:after="160" w:line="259" w:lineRule="auto"/>
        <w:ind w:firstLine="0"/>
        <w:jc w:val="left"/>
        <w:rPr>
          <w:rFonts w:eastAsia="Calibri" w:cs="Times New Roman"/>
          <w:sz w:val="24"/>
          <w:szCs w:val="24"/>
        </w:rPr>
      </w:pPr>
      <w:r w:rsidRPr="00636020">
        <w:rPr>
          <w:sz w:val="32"/>
          <w:szCs w:val="32"/>
        </w:rPr>
        <w:br w:type="page"/>
      </w:r>
    </w:p>
    <w:p w14:paraId="3E178BA8" w14:textId="4A9B473A" w:rsidR="00BF4753" w:rsidRPr="00636020" w:rsidRDefault="00BF4753" w:rsidP="00EF6192">
      <w:pPr>
        <w:pStyle w:val="Heading1"/>
        <w:spacing w:before="0" w:after="360"/>
        <w:rPr>
          <w:sz w:val="32"/>
          <w:szCs w:val="32"/>
        </w:rPr>
      </w:pPr>
      <w:bookmarkStart w:id="56" w:name="_Toc131331250"/>
      <w:r w:rsidRPr="00636020">
        <w:rPr>
          <w:sz w:val="32"/>
          <w:szCs w:val="32"/>
        </w:rPr>
        <w:lastRenderedPageBreak/>
        <w:t>5. Valsts finanšu kvalitāte</w:t>
      </w:r>
      <w:bookmarkEnd w:id="56"/>
    </w:p>
    <w:p w14:paraId="2855832D" w14:textId="38537CF8" w:rsidR="00BF4753" w:rsidRPr="00636020" w:rsidRDefault="00BF4753" w:rsidP="00A01024">
      <w:pPr>
        <w:pStyle w:val="Heading2"/>
        <w:numPr>
          <w:ilvl w:val="0"/>
          <w:numId w:val="0"/>
        </w:numPr>
        <w:spacing w:before="0" w:after="360"/>
        <w:rPr>
          <w:sz w:val="28"/>
          <w:szCs w:val="24"/>
        </w:rPr>
      </w:pPr>
      <w:bookmarkStart w:id="57" w:name="_Toc510790673"/>
      <w:bookmarkStart w:id="58" w:name="_Toc5627380"/>
      <w:bookmarkStart w:id="59" w:name="_Toc5798635"/>
      <w:bookmarkStart w:id="60" w:name="_Toc131331251"/>
      <w:r w:rsidRPr="00636020">
        <w:rPr>
          <w:sz w:val="28"/>
          <w:szCs w:val="24"/>
        </w:rPr>
        <w:t>5.1. Valsts budžeta līdzekļu efektivitāte un izlietojuma kontrole</w:t>
      </w:r>
      <w:bookmarkEnd w:id="57"/>
      <w:bookmarkEnd w:id="58"/>
      <w:bookmarkEnd w:id="59"/>
      <w:bookmarkEnd w:id="60"/>
    </w:p>
    <w:p w14:paraId="6632405D" w14:textId="77777777" w:rsidR="00B2533B" w:rsidRPr="00636020" w:rsidRDefault="00B2533B" w:rsidP="00B2533B">
      <w:pPr>
        <w:pStyle w:val="Default"/>
        <w:ind w:firstLine="720"/>
        <w:jc w:val="both"/>
        <w:rPr>
          <w:color w:val="auto"/>
        </w:rPr>
      </w:pPr>
      <w:r w:rsidRPr="00636020">
        <w:t>Valsts budžeta izstrādāšanas, apstiprināšanas un izpildes kārtību un atbildību budžeta procesā nosaka LBFV.</w:t>
      </w:r>
    </w:p>
    <w:p w14:paraId="30DC1F81" w14:textId="77777777" w:rsidR="00B2533B" w:rsidRPr="007D4AE9" w:rsidRDefault="00B2533B" w:rsidP="00B2533B">
      <w:pPr>
        <w:pStyle w:val="Default"/>
        <w:ind w:firstLine="720"/>
        <w:jc w:val="both"/>
      </w:pPr>
      <w:r w:rsidRPr="00636020">
        <w:t>Saskaņā ar LBFV finanšu ministrs  ir atbildīgs par valsts budžeta likumprojekta (budžeta likumprojektu paketes) un tam pievienojamo paskaidrojumu izstrādāšanu, kā arī nodrošina</w:t>
      </w:r>
      <w:r w:rsidRPr="00CE3BD2">
        <w:t xml:space="preserve"> </w:t>
      </w:r>
      <w:r w:rsidRPr="00261E2F">
        <w:t>valsts budžeta likumprojekta</w:t>
      </w:r>
      <w:r>
        <w:t xml:space="preserve"> </w:t>
      </w:r>
      <w:r w:rsidRPr="00CE3BD2">
        <w:t>izstrādāšanu, pamatojoties uz budžeta pieprasījumiem</w:t>
      </w:r>
      <w:r>
        <w:t xml:space="preserve">. </w:t>
      </w:r>
      <w:r w:rsidRPr="00CE3BD2">
        <w:t xml:space="preserve">Finanšu ministrs jebkurā valsts budžeta likumprojekta izskatīšanas stadijā līdz tā iesniegšanai </w:t>
      </w:r>
      <w:r>
        <w:t>MK</w:t>
      </w:r>
      <w:r w:rsidRPr="00CE3BD2">
        <w:t xml:space="preserve"> var pieprasīt nepieciešamo papildu informāciju, izteikt savu viedokli, pievienot nepieciešamos atzinumus, kā arī atsevišķu revīziju rezultātus, lai izvērtētu atbilstību paredzētajiem mērķiem un sasniedzamajiem rezultātiem. Pamatojoties uz šāda </w:t>
      </w:r>
      <w:proofErr w:type="spellStart"/>
      <w:r w:rsidRPr="00CE3BD2">
        <w:t>izvērtējuma</w:t>
      </w:r>
      <w:proofErr w:type="spellEnd"/>
      <w:r w:rsidRPr="00CE3BD2">
        <w:t xml:space="preserve"> rezultātiem un sniegto informāciju, finanšu ministrs pieņem lēmumu par budžeta pieprasījumu iekļaušanu valsts budžeta likumprojektā</w:t>
      </w:r>
      <w:r>
        <w:t xml:space="preserve">. </w:t>
      </w:r>
    </w:p>
    <w:p w14:paraId="07B16B0A" w14:textId="77777777" w:rsidR="00B2533B" w:rsidRPr="007D4AE9" w:rsidRDefault="00B2533B" w:rsidP="00B2533B">
      <w:pPr>
        <w:pStyle w:val="Default"/>
        <w:ind w:firstLine="720"/>
        <w:jc w:val="both"/>
        <w:rPr>
          <w:color w:val="auto"/>
        </w:rPr>
      </w:pPr>
      <w:r w:rsidRPr="007D4AE9">
        <w:rPr>
          <w:color w:val="auto"/>
        </w:rPr>
        <w:t>Finanšu ministrs</w:t>
      </w:r>
      <w:r w:rsidRPr="007D4AE9">
        <w:t xml:space="preserve"> arī </w:t>
      </w:r>
      <w:r w:rsidRPr="007D4AE9">
        <w:rPr>
          <w:color w:val="auto"/>
        </w:rPr>
        <w:t>ir atbildīgs</w:t>
      </w:r>
      <w:r w:rsidRPr="007D4AE9">
        <w:t xml:space="preserve"> par valsts budžeta izpildes procesa organizāciju un vadību, </w:t>
      </w:r>
      <w:r w:rsidRPr="007D4AE9">
        <w:rPr>
          <w:color w:val="auto"/>
        </w:rPr>
        <w:t>kā arī VK darbības uzraudzību atbilstoši LBFV prasībām.</w:t>
      </w:r>
    </w:p>
    <w:p w14:paraId="3C640393" w14:textId="77777777" w:rsidR="00B2533B" w:rsidRPr="007D4AE9" w:rsidRDefault="00B2533B" w:rsidP="00B2533B">
      <w:pPr>
        <w:pStyle w:val="Default"/>
        <w:ind w:firstLine="720"/>
        <w:jc w:val="both"/>
      </w:pPr>
      <w:r w:rsidRPr="007D4AE9">
        <w:t>Finanšu ministrs valsts budžeta likumprojekta vai tā grozījumu izstrādes procesa laikā informē Saeimas Budžeta un finanšu (nodokļu) komisiju par valsts budžeta plānošanas gaitu, kā arī ne retāk kā reizi ceturksnī – par valsts budžeta izpildes gaitu.</w:t>
      </w:r>
    </w:p>
    <w:p w14:paraId="63E9E6EE" w14:textId="77777777" w:rsidR="00B2533B" w:rsidRPr="007D4AE9" w:rsidRDefault="00B2533B" w:rsidP="00B2533B">
      <w:pPr>
        <w:pStyle w:val="Default"/>
        <w:ind w:firstLine="720"/>
        <w:jc w:val="both"/>
      </w:pPr>
      <w:r w:rsidRPr="007D4AE9">
        <w:rPr>
          <w:color w:val="auto"/>
        </w:rPr>
        <w:t>Sa</w:t>
      </w:r>
      <w:r w:rsidRPr="007D4AE9">
        <w:t xml:space="preserve">skaņā ar LBFV budžeta finansētu institūciju, budžeta nefinansētu iestāžu un pašvaldību, kā arī kapitālsabiedrību, kurās ieguldīta valsts vai pašvaldību kapitāla daļa, vadītāji ir atbildīgi par minētajā likumā noteiktās kārtības un prasību ievērošanu, izpildi un kontroli, kā arī par budžeta līdzekļu efektīvu un ekonomisku izlietošanu atbilstoši paredzētajiem mērķiem. </w:t>
      </w:r>
    </w:p>
    <w:p w14:paraId="1F4D3212" w14:textId="77777777" w:rsidR="00B2533B" w:rsidRPr="007D4AE9" w:rsidRDefault="00B2533B" w:rsidP="00B2533B">
      <w:pPr>
        <w:pStyle w:val="Default"/>
        <w:ind w:firstLine="720"/>
        <w:jc w:val="both"/>
      </w:pPr>
      <w:r w:rsidRPr="007D4AE9">
        <w:rPr>
          <w:color w:val="auto"/>
        </w:rPr>
        <w:t xml:space="preserve">LBFV ir </w:t>
      </w:r>
      <w:r>
        <w:rPr>
          <w:color w:val="auto"/>
        </w:rPr>
        <w:t>noteikta</w:t>
      </w:r>
      <w:r w:rsidRPr="007D4AE9">
        <w:rPr>
          <w:color w:val="auto"/>
        </w:rPr>
        <w:t xml:space="preserve"> norma, kas paredz MK nodrošināt pastāvīgu un sistemātisku valsts budžeta izdevumu pārskatīšanu, ļaujot efektīvāk un ekonomiskāk īstenot valsts politiku, kā arī optimizēt budžeta izdevumus un izvērtēt to atbilstību attīstības plānošanas dokumentos noteiktajām prioritātēm un mērķiem. </w:t>
      </w:r>
      <w:r w:rsidRPr="007D4AE9">
        <w:t xml:space="preserve">MK ik gadu pieņem lēmumu par valsts budžeta izdevumu pārskatīšanas tvērumu vienlaikus ar budžeta sagatavošanas grafika apstiprināšanu. Savukārt finanšu ministrs atbilstoši minētajam grafikam iesniedz MK valsts budžeta izdevumu pārskatīšanas rezultātus un priekšlikumus par šo rezultātu izmantošanu </w:t>
      </w:r>
      <w:r w:rsidRPr="00B7719F">
        <w:t>valsts budžeta likumprojekta</w:t>
      </w:r>
      <w:r>
        <w:t xml:space="preserve"> </w:t>
      </w:r>
      <w:r w:rsidRPr="007D4AE9">
        <w:t>izstrādes procesā.</w:t>
      </w:r>
    </w:p>
    <w:p w14:paraId="6F86AECF" w14:textId="77777777" w:rsidR="00B2533B" w:rsidRPr="00960550" w:rsidRDefault="00B2533B" w:rsidP="00B2533B">
      <w:pPr>
        <w:pStyle w:val="Default"/>
        <w:ind w:firstLine="720"/>
        <w:jc w:val="both"/>
      </w:pPr>
      <w:r w:rsidRPr="00960550">
        <w:t>202</w:t>
      </w:r>
      <w:r>
        <w:t>3</w:t>
      </w:r>
      <w:r w:rsidRPr="00960550">
        <w:t xml:space="preserve">. gadā izdevumu pārskatīšana strukturēta </w:t>
      </w:r>
      <w:r w:rsidRPr="00960550">
        <w:rPr>
          <w:b/>
          <w:bCs/>
        </w:rPr>
        <w:t>divos virzienos</w:t>
      </w:r>
      <w:r w:rsidRPr="00960550">
        <w:t xml:space="preserve"> – gadskārtējā valsts budžeta izdevumu pārskatīšana un vidēja termiņa valsts budžeta izdevumu analīze.</w:t>
      </w:r>
    </w:p>
    <w:p w14:paraId="1CED25F9" w14:textId="77777777" w:rsidR="00B2533B" w:rsidRPr="00960550" w:rsidRDefault="00B2533B" w:rsidP="00B2533B">
      <w:pPr>
        <w:pStyle w:val="Default"/>
        <w:ind w:firstLine="720"/>
        <w:jc w:val="both"/>
      </w:pPr>
      <w:r w:rsidRPr="00960550">
        <w:rPr>
          <w:b/>
          <w:bCs/>
        </w:rPr>
        <w:t>Gadskārtējās valsts budžeta izdevumu pārskatīšanas ietvaros</w:t>
      </w:r>
      <w:r w:rsidRPr="00960550">
        <w:t xml:space="preserve"> paredzēti trīs galvenie bloki – Nozaru ministriju pārraudzībā esošo finansēšanas politiku analīze</w:t>
      </w:r>
      <w:r>
        <w:t>, kuras ietvaros</w:t>
      </w:r>
      <w:r w:rsidRPr="00E23126">
        <w:t xml:space="preserve"> </w:t>
      </w:r>
      <w:r>
        <w:t>tiks veikta veselības un izglītības nozares izvērtēšana, Vides aizsardzības un reģionālās attīstības ministrijas pārraudzībā esošās informācijas un komunikācijas tehnoloģiju jomas analīze</w:t>
      </w:r>
      <w:r w:rsidRPr="00960550">
        <w:t xml:space="preserve">, </w:t>
      </w:r>
      <w:r>
        <w:t xml:space="preserve">kā arī interešu un profesionālās ievirzes izglītības programmu analīze, </w:t>
      </w:r>
      <w:r w:rsidRPr="00960550">
        <w:t xml:space="preserve">horizontālie pasākumi finanšu resursu pārdalei par labu aktuālajām prioritātēm, </w:t>
      </w:r>
      <w:r>
        <w:t xml:space="preserve">paredzot </w:t>
      </w:r>
      <w:r w:rsidRPr="00867842">
        <w:t>ministriju bāzes izdevumu p</w:t>
      </w:r>
      <w:r>
        <w:t>ārskatīšanu,</w:t>
      </w:r>
      <w:r w:rsidRPr="00867842">
        <w:t xml:space="preserve"> </w:t>
      </w:r>
      <w:r>
        <w:t>mobilo lietotņu izmaksu, tulkojumu pakalpojumu un citu jautājumu izvērtēšanu,</w:t>
      </w:r>
      <w:r w:rsidRPr="00960550">
        <w:t xml:space="preserve"> kā arī procesu un sistēmu pilnveidošana. </w:t>
      </w:r>
    </w:p>
    <w:p w14:paraId="50D69527" w14:textId="2F437C1C" w:rsidR="00B2533B" w:rsidRPr="00960550" w:rsidRDefault="00B2533B" w:rsidP="00B2533B">
      <w:pPr>
        <w:pStyle w:val="Default"/>
        <w:ind w:firstLine="720"/>
        <w:jc w:val="both"/>
      </w:pPr>
      <w:r w:rsidRPr="00960550">
        <w:rPr>
          <w:b/>
          <w:bCs/>
        </w:rPr>
        <w:t>Vidēja termiņa valsts budžeta izdevumu analīzes ietvaros</w:t>
      </w:r>
      <w:r w:rsidRPr="00960550">
        <w:t xml:space="preserve"> paredzēts </w:t>
      </w:r>
      <w:r>
        <w:t>turpināt</w:t>
      </w:r>
      <w:r w:rsidRPr="00960550">
        <w:t xml:space="preserve"> veikt datu un informācijas analīzi, lai </w:t>
      </w:r>
      <w:proofErr w:type="spellStart"/>
      <w:r w:rsidRPr="00960550">
        <w:t>efektivizētu</w:t>
      </w:r>
      <w:proofErr w:type="spellEnd"/>
      <w:r w:rsidRPr="00960550">
        <w:t xml:space="preserve"> izdevumus, kas saistīti ar nekustamo īpašumu nomu un uzturēšanu</w:t>
      </w:r>
      <w:r>
        <w:t xml:space="preserve">, uzmanību veltot tām biroja telpām, kas atrodas reģionos </w:t>
      </w:r>
      <w:r w:rsidRPr="00960550">
        <w:t>(skat. 5.1.</w:t>
      </w:r>
      <w:r w:rsidR="00837783">
        <w:t xml:space="preserve"> </w:t>
      </w:r>
      <w:r w:rsidRPr="00960550">
        <w:t>attēlā).</w:t>
      </w:r>
    </w:p>
    <w:p w14:paraId="5324CEE3" w14:textId="77777777" w:rsidR="00B2533B" w:rsidRPr="00960550" w:rsidRDefault="00B2533B" w:rsidP="00B2533B">
      <w:pPr>
        <w:pStyle w:val="Default"/>
        <w:jc w:val="center"/>
        <w:rPr>
          <w:noProof/>
        </w:rPr>
      </w:pPr>
    </w:p>
    <w:p w14:paraId="4621AC83" w14:textId="77777777" w:rsidR="00B2533B" w:rsidRPr="00960550" w:rsidRDefault="00B2533B" w:rsidP="00B2533B">
      <w:pPr>
        <w:pStyle w:val="Default"/>
        <w:jc w:val="center"/>
        <w:rPr>
          <w:noProof/>
        </w:rPr>
      </w:pPr>
      <w:r>
        <w:rPr>
          <w:noProof/>
        </w:rPr>
        <w:lastRenderedPageBreak/>
        <w:drawing>
          <wp:inline distT="0" distB="0" distL="0" distR="0" wp14:anchorId="4B3C7890" wp14:editId="69EA06E6">
            <wp:extent cx="5273675" cy="2633980"/>
            <wp:effectExtent l="0" t="0" r="3175" b="0"/>
            <wp:docPr id="19" name="Picture 19"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ext&#10;&#10;Description automatically generated with medium confidenc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3675" cy="2633980"/>
                    </a:xfrm>
                    <a:prstGeom prst="rect">
                      <a:avLst/>
                    </a:prstGeom>
                    <a:noFill/>
                  </pic:spPr>
                </pic:pic>
              </a:graphicData>
            </a:graphic>
          </wp:inline>
        </w:drawing>
      </w:r>
    </w:p>
    <w:p w14:paraId="14E3F376" w14:textId="656DAED2" w:rsidR="00B2533B" w:rsidRPr="00B2533B" w:rsidRDefault="00B2533B" w:rsidP="00B2533B">
      <w:pPr>
        <w:pStyle w:val="Default"/>
        <w:spacing w:before="120"/>
        <w:jc w:val="center"/>
        <w:rPr>
          <w:i/>
          <w:iCs/>
          <w:sz w:val="28"/>
          <w:szCs w:val="28"/>
        </w:rPr>
      </w:pPr>
      <w:r w:rsidRPr="00B2533B">
        <w:rPr>
          <w:b/>
          <w:i/>
          <w:iCs/>
        </w:rPr>
        <w:t>5.1.att</w:t>
      </w:r>
      <w:r>
        <w:rPr>
          <w:b/>
          <w:i/>
          <w:iCs/>
        </w:rPr>
        <w:t xml:space="preserve">. </w:t>
      </w:r>
      <w:r w:rsidRPr="00B2533B">
        <w:rPr>
          <w:b/>
          <w:i/>
          <w:iCs/>
        </w:rPr>
        <w:t>Izdevumu pārskatīšanas tvērums 2023. gadam</w:t>
      </w:r>
    </w:p>
    <w:p w14:paraId="07FFAF7E" w14:textId="77777777" w:rsidR="00B2533B" w:rsidRDefault="00B2533B" w:rsidP="00B2533B">
      <w:pPr>
        <w:pStyle w:val="Default"/>
        <w:ind w:firstLine="720"/>
        <w:jc w:val="both"/>
        <w:rPr>
          <w:sz w:val="28"/>
          <w:szCs w:val="28"/>
        </w:rPr>
      </w:pPr>
    </w:p>
    <w:p w14:paraId="76FC1C08" w14:textId="77777777" w:rsidR="00B2533B" w:rsidRPr="007D4AE9" w:rsidRDefault="00B2533B" w:rsidP="00B2533B">
      <w:pPr>
        <w:pStyle w:val="Default"/>
        <w:ind w:firstLine="720"/>
        <w:jc w:val="both"/>
        <w:rPr>
          <w:color w:val="auto"/>
        </w:rPr>
      </w:pPr>
      <w:r w:rsidRPr="007D4AE9">
        <w:t>Valsts budžetu veido</w:t>
      </w:r>
      <w:r w:rsidRPr="007D4AE9">
        <w:rPr>
          <w:color w:val="auto"/>
        </w:rPr>
        <w:t xml:space="preserve"> budžeta programmas, kuru struktūru nosaka institūcijas darbības stratēģijā definētie darbības (rīcības) virzieni vai ministrijas vai citas centrālās valsts iestādes nolikumā noteiktās funkcijas. Tādējādi tiek veidota sasaiste budžeta izstrādei ar politikas plānošanu, jo viens no institūciju darbības stratēģijas uzdevumiem vidējā termiņā ir panākt, ka budžeta programmas nodrošina attīstības plānošanas dokumentos izvirzīto mērķu un plānoto rezultātu un to rezultatīvo rādītāju sasniegšanu. Ministrijas un citas centrālās valsts iestādes katru gadu iekļauj budžeta pieprasījumos valsts budžeta programmu darbības rezultātus, kurus</w:t>
      </w:r>
      <w:r w:rsidRPr="007D4AE9">
        <w:t xml:space="preserve"> </w:t>
      </w:r>
      <w:r w:rsidRPr="007D4AE9">
        <w:rPr>
          <w:color w:val="auto"/>
        </w:rPr>
        <w:t xml:space="preserve">pēc iespējas veido attīstības plānošanas dokumentos plānotie darbības rezultāti un to rezultatīvie rādītāji. </w:t>
      </w:r>
      <w:r>
        <w:rPr>
          <w:color w:val="auto"/>
        </w:rPr>
        <w:t>P</w:t>
      </w:r>
      <w:r w:rsidRPr="007D4AE9">
        <w:rPr>
          <w:color w:val="auto"/>
        </w:rPr>
        <w:t>ilnveido</w:t>
      </w:r>
      <w:r>
        <w:rPr>
          <w:color w:val="auto"/>
        </w:rPr>
        <w:t>jot</w:t>
      </w:r>
      <w:r w:rsidRPr="007D4AE9">
        <w:rPr>
          <w:color w:val="auto"/>
        </w:rPr>
        <w:t xml:space="preserve"> budžeta paskaidrojumu saturu ar mērķi sniegt informāciju par valsts budžetu kā politikas realizācijas instrumentu</w:t>
      </w:r>
      <w:r>
        <w:rPr>
          <w:color w:val="auto"/>
        </w:rPr>
        <w:t xml:space="preserve"> un </w:t>
      </w:r>
      <w:r w:rsidRPr="007D4AE9">
        <w:rPr>
          <w:color w:val="auto"/>
        </w:rPr>
        <w:t>palielin</w:t>
      </w:r>
      <w:r>
        <w:rPr>
          <w:color w:val="auto"/>
        </w:rPr>
        <w:t>āt</w:t>
      </w:r>
      <w:r w:rsidRPr="007D4AE9">
        <w:rPr>
          <w:color w:val="auto"/>
        </w:rPr>
        <w:t xml:space="preserve"> budžeta paskaidrojumos esošās informācijas uztveramību</w:t>
      </w:r>
      <w:r>
        <w:rPr>
          <w:color w:val="auto"/>
        </w:rPr>
        <w:t xml:space="preserve"> – tika ieviestas</w:t>
      </w:r>
      <w:r w:rsidRPr="007D4AE9">
        <w:rPr>
          <w:color w:val="auto"/>
        </w:rPr>
        <w:t xml:space="preserve"> Politikas un resursu vadības kar</w:t>
      </w:r>
      <w:r>
        <w:rPr>
          <w:color w:val="auto"/>
        </w:rPr>
        <w:t xml:space="preserve">tes, </w:t>
      </w:r>
      <w:r w:rsidRPr="007D4AE9">
        <w:rPr>
          <w:color w:val="auto"/>
        </w:rPr>
        <w:t>kur</w:t>
      </w:r>
      <w:r>
        <w:rPr>
          <w:color w:val="auto"/>
        </w:rPr>
        <w:t>as</w:t>
      </w:r>
      <w:r w:rsidRPr="007D4AE9">
        <w:rPr>
          <w:color w:val="auto"/>
        </w:rPr>
        <w:t xml:space="preserve"> snie</w:t>
      </w:r>
      <w:r>
        <w:rPr>
          <w:color w:val="auto"/>
        </w:rPr>
        <w:t>dz</w:t>
      </w:r>
      <w:r w:rsidRPr="007D4AE9">
        <w:rPr>
          <w:color w:val="auto"/>
        </w:rPr>
        <w:t xml:space="preserve"> </w:t>
      </w:r>
      <w:r>
        <w:rPr>
          <w:color w:val="auto"/>
        </w:rPr>
        <w:t xml:space="preserve">padziļinātu </w:t>
      </w:r>
      <w:r w:rsidRPr="007D4AE9">
        <w:rPr>
          <w:color w:val="auto"/>
        </w:rPr>
        <w:t>priekšstat</w:t>
      </w:r>
      <w:r>
        <w:rPr>
          <w:color w:val="auto"/>
        </w:rPr>
        <w:t>u</w:t>
      </w:r>
      <w:r w:rsidRPr="007D4AE9">
        <w:rPr>
          <w:color w:val="auto"/>
        </w:rPr>
        <w:t xml:space="preserve"> par nozaru politiku rezultātu sasniegšanā ieguldītajiem resursiem (finanšu un cilvēkresursiem) un par nozares darbības rezultātā sniegto labumu sabiedrībai.</w:t>
      </w:r>
    </w:p>
    <w:p w14:paraId="40CC6601" w14:textId="77777777" w:rsidR="00B2533B" w:rsidRPr="007D4AE9" w:rsidRDefault="00B2533B" w:rsidP="00B2533B">
      <w:pPr>
        <w:pStyle w:val="Default"/>
        <w:ind w:firstLine="720"/>
        <w:jc w:val="both"/>
        <w:rPr>
          <w:color w:val="auto"/>
        </w:rPr>
      </w:pPr>
      <w:r>
        <w:rPr>
          <w:color w:val="auto"/>
        </w:rPr>
        <w:t xml:space="preserve">Šāds </w:t>
      </w:r>
      <w:r w:rsidRPr="007D4AE9">
        <w:rPr>
          <w:color w:val="auto"/>
        </w:rPr>
        <w:t xml:space="preserve">budžeta formāts ir devis iespēju interaktīvā un uzskatāmā veidā informēt Latvijas iedzīvotājus par to, kādās jomās un kādā apmērā tiek ieguldīta nodokļu maksātāju nauda un kādi rezultāti sagaidāmi. Ikvienam interesentam FM tīmekļvietnē ir pieejama: </w:t>
      </w:r>
    </w:p>
    <w:p w14:paraId="7C71FB04" w14:textId="77777777" w:rsidR="00B2533B" w:rsidRPr="007D4AE9" w:rsidRDefault="00B2533B" w:rsidP="00B2533B">
      <w:pPr>
        <w:pStyle w:val="Default"/>
        <w:numPr>
          <w:ilvl w:val="0"/>
          <w:numId w:val="6"/>
        </w:numPr>
        <w:ind w:left="993"/>
        <w:jc w:val="both"/>
      </w:pPr>
      <w:r w:rsidRPr="007D4AE9">
        <w:t xml:space="preserve">interaktīvā budžeta </w:t>
      </w:r>
      <w:proofErr w:type="spellStart"/>
      <w:r w:rsidRPr="007D4AE9">
        <w:t>infografika</w:t>
      </w:r>
      <w:proofErr w:type="spellEnd"/>
      <w:r w:rsidRPr="007D4AE9">
        <w:t>, kas ļauj lietotājam iepazīties ar deviņām budžeta ieguldījuma jomām (piemēram, veselība, izglītība, sociālā aizsardzība u.c.) un tām novirzīto finansējumu, kā arī uzzināt detalizētu informāciju par ieguldījuma virzieniem katrā no nozarēm un finansējuma avotiem. Papildus tiek sniegta informācija par rezultātiem, kuri sagaidāmi no valsts budžeta finansējuma ieguldīšanas attiecīgajā jomā;</w:t>
      </w:r>
    </w:p>
    <w:p w14:paraId="3BB7D3AC" w14:textId="77777777" w:rsidR="00B2533B" w:rsidRPr="007D4AE9" w:rsidRDefault="00B2533B" w:rsidP="00B2533B">
      <w:pPr>
        <w:pStyle w:val="Default"/>
        <w:numPr>
          <w:ilvl w:val="0"/>
          <w:numId w:val="6"/>
        </w:numPr>
        <w:ind w:left="993"/>
        <w:jc w:val="both"/>
      </w:pPr>
      <w:r>
        <w:t>strukturēti</w:t>
      </w:r>
      <w:r w:rsidRPr="007D4AE9">
        <w:t xml:space="preserve"> ministriju un citu centrālo valsts iestāžu budžeti gan kopsavilkumā, gan detalizēti. Lietotājs var iepazīties ar ministriju un citu centrālo valsts iestāžu darbības jomām un tām novirzīto finansējumu, kā arī gūt priekšstatu par nozares darbības rezultātā sniegto labumu sabiedrībai. Tas tiek atspoguļots politikas un resursu vadības kartēs, kurās vienkopus ir sniegta iespējami aptveroša un raksturojoša informācija par nozares darbu attiecīgajā jomā – mērķis, tā sasniegšanā ieguldāmie resursi (angļu val. – </w:t>
      </w:r>
      <w:proofErr w:type="spellStart"/>
      <w:r w:rsidRPr="007D4AE9">
        <w:rPr>
          <w:i/>
        </w:rPr>
        <w:t>inputs</w:t>
      </w:r>
      <w:proofErr w:type="spellEnd"/>
      <w:r w:rsidRPr="007D4AE9">
        <w:t xml:space="preserve">), sagaidāmie darbības rezultāti (angļu val. – </w:t>
      </w:r>
      <w:proofErr w:type="spellStart"/>
      <w:r w:rsidRPr="007D4AE9">
        <w:rPr>
          <w:i/>
        </w:rPr>
        <w:t>outputs</w:t>
      </w:r>
      <w:proofErr w:type="spellEnd"/>
      <w:r w:rsidRPr="007D4AE9">
        <w:t xml:space="preserve">) un augstākā līmeņa sasniedzamie nozaru politikas un kvalitātes rādītāji (angļu val. – </w:t>
      </w:r>
      <w:proofErr w:type="spellStart"/>
      <w:r w:rsidRPr="007D4AE9">
        <w:rPr>
          <w:i/>
        </w:rPr>
        <w:t>outcomes</w:t>
      </w:r>
      <w:proofErr w:type="spellEnd"/>
      <w:r w:rsidRPr="007D4AE9">
        <w:t>).</w:t>
      </w:r>
    </w:p>
    <w:p w14:paraId="164033D8" w14:textId="77777777" w:rsidR="00B2533B" w:rsidRPr="007D4AE9" w:rsidRDefault="00B2533B" w:rsidP="00B2533B">
      <w:pPr>
        <w:pStyle w:val="Default"/>
        <w:ind w:firstLine="720"/>
        <w:jc w:val="both"/>
        <w:rPr>
          <w:color w:val="auto"/>
        </w:rPr>
      </w:pPr>
      <w:r w:rsidRPr="007D4AE9">
        <w:rPr>
          <w:color w:val="auto"/>
        </w:rPr>
        <w:t>Sagatavojot pārskatu par valsts budžeta izpildes analīzi, ministrijas un citas centrālās valsts iestādes sniedz skaidrojumus par iepriekš plānotajiem rezultātiem un to rezultatīvajiem rādītājiem, to izpildi gada laikā, kā arī par rezultatīvo rādītāju vērtību izpildes novirzēm no plānotajām rezultatīvo rādītāju vērtībām, kas pārsniedz 15</w:t>
      </w:r>
      <w:r>
        <w:rPr>
          <w:color w:val="auto"/>
        </w:rPr>
        <w:t> </w:t>
      </w:r>
      <w:r w:rsidRPr="007D4AE9">
        <w:rPr>
          <w:color w:val="auto"/>
        </w:rPr>
        <w:t xml:space="preserve">procentus (gan pozitīvā, gan negatīvā nozīmē). FM apkopo, izvērtē un nodrošina gan Politikas un resursu vadības kartēs norādīto rezultātu un to </w:t>
      </w:r>
      <w:r w:rsidRPr="007D4AE9">
        <w:rPr>
          <w:color w:val="auto"/>
        </w:rPr>
        <w:lastRenderedPageBreak/>
        <w:t>rezultatīvo rādītāju, gan valsts budžeta programmu (apakšprogrammu) darbības rezultātu un to rezultatīvo rādītāju uzkrāšanu.</w:t>
      </w:r>
    </w:p>
    <w:p w14:paraId="3811AE73" w14:textId="77777777" w:rsidR="00B2533B" w:rsidRPr="007D4AE9" w:rsidRDefault="00B2533B" w:rsidP="00B2533B">
      <w:pPr>
        <w:pStyle w:val="Default"/>
        <w:ind w:firstLine="720"/>
        <w:jc w:val="both"/>
      </w:pPr>
      <w:r w:rsidRPr="007D4AE9">
        <w:t>LBFV nosaka sekojošus valsts budžeta izpildes organizatoriskos aspektus:</w:t>
      </w:r>
    </w:p>
    <w:p w14:paraId="195E4879" w14:textId="77777777" w:rsidR="00B2533B" w:rsidRPr="007D4AE9" w:rsidRDefault="00B2533B" w:rsidP="00B2533B">
      <w:pPr>
        <w:pStyle w:val="Default"/>
        <w:numPr>
          <w:ilvl w:val="0"/>
          <w:numId w:val="6"/>
        </w:numPr>
        <w:ind w:left="993"/>
        <w:jc w:val="both"/>
        <w:rPr>
          <w:color w:val="auto"/>
        </w:rPr>
      </w:pPr>
      <w:r w:rsidRPr="007D4AE9">
        <w:t xml:space="preserve">valsts budžeta izpildītāji var veikt valsts budžeta izdevumus vai uzņemties īstermiņa saistības tikai to finansēšanas plānos noteikto asignējumu ietvaros, kurus izsniedz VK. Savukārt VK piešķir asignējumus izdevumiem saskaņā ar valsts budžeta likumā noteikto apropriāciju un nodrošina to izpildi MK noteiktajā kārtībā. </w:t>
      </w:r>
      <w:r w:rsidRPr="007D4AE9">
        <w:rPr>
          <w:color w:val="auto"/>
        </w:rPr>
        <w:t>Ministrijas un citas centrālās valsts iestādes ir atbildīgas par valsts budžeta likumā noteiktās apropriācijas izpildes kontroles sistēmas izveidi un par VK norēķinu kontos ieskaitīto valsts budžeta līdzekļu izlietojuma kontroli atbilstoši paredzētajiem mērķiem;</w:t>
      </w:r>
    </w:p>
    <w:p w14:paraId="510F0380" w14:textId="77777777" w:rsidR="00B2533B" w:rsidRPr="007D4AE9" w:rsidRDefault="00B2533B" w:rsidP="00B2533B">
      <w:pPr>
        <w:pStyle w:val="Default"/>
        <w:numPr>
          <w:ilvl w:val="0"/>
          <w:numId w:val="6"/>
        </w:numPr>
        <w:ind w:left="993"/>
        <w:jc w:val="both"/>
      </w:pPr>
      <w:r w:rsidRPr="007D4AE9">
        <w:t>budžeta iestādes var uzņemties valsts budžeta ilgtermiņa saistības, nepārsniedzot saimnieciskā gada valsts budžeta likumā noteiktos valsts budžeta ilgtermiņa saistību maksimāli pieļaujamos apjomus;</w:t>
      </w:r>
    </w:p>
    <w:p w14:paraId="48063285" w14:textId="77777777" w:rsidR="00B2533B" w:rsidRPr="00E82F28" w:rsidRDefault="00B2533B" w:rsidP="00B2533B">
      <w:pPr>
        <w:pStyle w:val="Default"/>
        <w:numPr>
          <w:ilvl w:val="0"/>
          <w:numId w:val="6"/>
        </w:numPr>
        <w:ind w:left="993"/>
        <w:jc w:val="both"/>
        <w:rPr>
          <w:color w:val="auto"/>
        </w:rPr>
      </w:pPr>
      <w:r w:rsidRPr="00E82F28">
        <w:rPr>
          <w:color w:val="auto"/>
          <w:shd w:val="clear" w:color="auto" w:fill="FFFFFF"/>
        </w:rPr>
        <w:t xml:space="preserve">valsts budžeta iestādes un budžeta nefinansētas iestādes </w:t>
      </w:r>
      <w:r w:rsidRPr="00E82F28">
        <w:rPr>
          <w:color w:val="auto"/>
        </w:rPr>
        <w:t>asignējumu saņemšanai un izdevumu veikšanai no valsts budžeta līdzekļiem</w:t>
      </w:r>
      <w:r w:rsidRPr="00E82F28">
        <w:rPr>
          <w:rFonts w:ascii="Arial" w:hAnsi="Arial" w:cs="Arial"/>
          <w:color w:val="auto"/>
          <w:sz w:val="20"/>
          <w:szCs w:val="20"/>
          <w:shd w:val="clear" w:color="auto" w:fill="FFFFFF"/>
        </w:rPr>
        <w:t xml:space="preserve"> </w:t>
      </w:r>
      <w:r w:rsidRPr="00AE2C3A">
        <w:rPr>
          <w:color w:val="auto"/>
          <w:shd w:val="clear" w:color="auto" w:fill="FFFFFF"/>
        </w:rPr>
        <w:t xml:space="preserve">atver </w:t>
      </w:r>
      <w:r w:rsidRPr="00E82F28">
        <w:rPr>
          <w:color w:val="auto"/>
        </w:rPr>
        <w:t>valsts pamatbudžeta un valsts speciālā budžeta</w:t>
      </w:r>
      <w:r w:rsidRPr="00E82F28">
        <w:rPr>
          <w:color w:val="auto"/>
          <w:shd w:val="clear" w:color="auto" w:fill="FFFFFF"/>
        </w:rPr>
        <w:t xml:space="preserve"> kontus tikai VK. </w:t>
      </w:r>
      <w:r w:rsidRPr="00E82F28">
        <w:rPr>
          <w:color w:val="auto"/>
        </w:rPr>
        <w:t xml:space="preserve">Savukārt </w:t>
      </w:r>
      <w:r w:rsidRPr="00E82F28">
        <w:rPr>
          <w:color w:val="auto"/>
          <w:shd w:val="clear" w:color="auto" w:fill="FFFFFF"/>
        </w:rPr>
        <w:t xml:space="preserve">budžeta finansētās institūcijas, kas nav valsts budžeta iestādes un budžeta nefinansētās iestādes, valsts budžeta līdzekļu saņemšanai, izdevumu veikšanai, kā arī deleģēto valsts pārvaldes uzdevumu izpildei var atvērt kontus </w:t>
      </w:r>
      <w:r>
        <w:rPr>
          <w:color w:val="auto"/>
          <w:shd w:val="clear" w:color="auto" w:fill="FFFFFF"/>
        </w:rPr>
        <w:t>VK</w:t>
      </w:r>
      <w:r w:rsidRPr="00E82F28">
        <w:rPr>
          <w:color w:val="auto"/>
          <w:shd w:val="clear" w:color="auto" w:fill="FFFFFF"/>
        </w:rPr>
        <w:t>, ja citos normatīv</w:t>
      </w:r>
      <w:r>
        <w:rPr>
          <w:color w:val="auto"/>
          <w:shd w:val="clear" w:color="auto" w:fill="FFFFFF"/>
        </w:rPr>
        <w:t>ajos aktos nav noteikts citādi</w:t>
      </w:r>
      <w:r w:rsidRPr="00E82F28">
        <w:rPr>
          <w:color w:val="auto"/>
        </w:rPr>
        <w:t xml:space="preserve">; </w:t>
      </w:r>
    </w:p>
    <w:p w14:paraId="30CCFD2C" w14:textId="77777777" w:rsidR="00B2533B" w:rsidRPr="007D4AE9" w:rsidRDefault="00B2533B" w:rsidP="00B2533B">
      <w:pPr>
        <w:pStyle w:val="Default"/>
        <w:numPr>
          <w:ilvl w:val="0"/>
          <w:numId w:val="6"/>
        </w:numPr>
        <w:ind w:left="993"/>
        <w:jc w:val="both"/>
      </w:pPr>
      <w:r w:rsidRPr="007D4AE9">
        <w:t>ministrijas un citas centrālās valsts budžeta iestādes un pašvaldības MK noteiktajā kārtībā sagatavo un iesniedz VK ceturkšņa pārskatus, savukārt, VK kārto valsts budžeta finanšu uzskaiti. VK sagatavo regulārus oficiālos un operatīvos pārskatus un sniedz informāciju par valsts un pašvaldību budžetu izpildi, nodrošinot FM, citu iestāžu, kā arī sabiedrības informēšanu par budžeta izpildes gaitu.</w:t>
      </w:r>
    </w:p>
    <w:p w14:paraId="43194731" w14:textId="77777777" w:rsidR="00B2533B" w:rsidRPr="007D4AE9" w:rsidRDefault="00B2533B" w:rsidP="00B2533B">
      <w:pPr>
        <w:pStyle w:val="Default"/>
        <w:jc w:val="both"/>
      </w:pPr>
    </w:p>
    <w:p w14:paraId="3BCD0435" w14:textId="77777777" w:rsidR="00B2533B" w:rsidRPr="007D4AE9" w:rsidRDefault="00B2533B" w:rsidP="00B2533B">
      <w:pPr>
        <w:pStyle w:val="Default"/>
        <w:ind w:firstLine="720"/>
        <w:jc w:val="both"/>
        <w:rPr>
          <w:color w:val="auto"/>
        </w:rPr>
      </w:pPr>
      <w:r w:rsidRPr="007D4AE9">
        <w:rPr>
          <w:color w:val="auto"/>
        </w:rPr>
        <w:t>Lai stiprinātu līdzekļu izlietojuma kontroles iespējas, LBFV ir ietverta norma, kas nosaka, ka finanšu ministram ir tiesības dot rīkojumu VK aizkavēt vai samazināt asignējumu noteiktam periodam, ja finanšu ministrs ir saņēmis rakstveida ziņojumu par vismaz viena šāda nosacījuma iestāšanos:</w:t>
      </w:r>
    </w:p>
    <w:p w14:paraId="43274430" w14:textId="77777777" w:rsidR="00B2533B" w:rsidRPr="007D4AE9" w:rsidRDefault="00B2533B" w:rsidP="00B2533B">
      <w:pPr>
        <w:pStyle w:val="Default"/>
        <w:numPr>
          <w:ilvl w:val="0"/>
          <w:numId w:val="7"/>
        </w:numPr>
        <w:ind w:left="993"/>
        <w:jc w:val="both"/>
        <w:rPr>
          <w:color w:val="auto"/>
        </w:rPr>
      </w:pPr>
      <w:r w:rsidRPr="007D4AE9">
        <w:rPr>
          <w:color w:val="auto"/>
        </w:rPr>
        <w:t xml:space="preserve">triju mēnešu periodā valsts budžeta nodokļu un </w:t>
      </w:r>
      <w:proofErr w:type="spellStart"/>
      <w:r w:rsidRPr="007D4AE9">
        <w:rPr>
          <w:color w:val="auto"/>
        </w:rPr>
        <w:t>nenodokļu</w:t>
      </w:r>
      <w:proofErr w:type="spellEnd"/>
      <w:r w:rsidRPr="007D4AE9">
        <w:rPr>
          <w:color w:val="auto"/>
        </w:rPr>
        <w:t xml:space="preserve"> faktiskie ieņēmumi attiecībā pret attiecīgajā periodā paredzētajiem ieņēmumie</w:t>
      </w:r>
      <w:r>
        <w:rPr>
          <w:color w:val="auto"/>
        </w:rPr>
        <w:t>m samazinās vairāk nekā par 0,5</w:t>
      </w:r>
      <w:r w:rsidRPr="007D4AE9">
        <w:rPr>
          <w:color w:val="auto"/>
        </w:rPr>
        <w:t>% no valsts budžeta likumā noteiktās IKP prognozes vai faktiskais uzkrātais valsts budžeta finansiālais deficīts triju mēnešu periodā pārsniedz attiecīgajam periodam paredzēto valsts budžeta finansiā</w:t>
      </w:r>
      <w:r>
        <w:rPr>
          <w:color w:val="auto"/>
        </w:rPr>
        <w:t>lo deficītu vairāk nekā par 0,5</w:t>
      </w:r>
      <w:r w:rsidRPr="007D4AE9">
        <w:rPr>
          <w:color w:val="auto"/>
        </w:rPr>
        <w:t>% no valsts budžeta likumā noteiktās IKP prognozes, vai VK budžeta kontos nav pietiekama līdzekļu apjoma, lai segtu nākamajam mēnesim plānotās maksājumu saistības;</w:t>
      </w:r>
    </w:p>
    <w:p w14:paraId="546FC498" w14:textId="77777777" w:rsidR="00B2533B" w:rsidRPr="007D4AE9" w:rsidRDefault="00B2533B" w:rsidP="00B2533B">
      <w:pPr>
        <w:pStyle w:val="Default"/>
        <w:numPr>
          <w:ilvl w:val="0"/>
          <w:numId w:val="7"/>
        </w:numPr>
        <w:ind w:left="993"/>
        <w:jc w:val="both"/>
        <w:rPr>
          <w:color w:val="auto"/>
        </w:rPr>
      </w:pPr>
      <w:r w:rsidRPr="007D4AE9">
        <w:rPr>
          <w:color w:val="auto"/>
        </w:rPr>
        <w:t>ja finanšu ministrs ir saņēmis rakstveida ziņojumu par šīs daļas 1.punktā minētā nosacījuma iestāšanos.</w:t>
      </w:r>
    </w:p>
    <w:p w14:paraId="5ED5EF48" w14:textId="77777777" w:rsidR="00B2533B" w:rsidRPr="007D4AE9" w:rsidRDefault="00B2533B" w:rsidP="00B2533B">
      <w:pPr>
        <w:pStyle w:val="Default"/>
        <w:ind w:left="993"/>
        <w:jc w:val="both"/>
        <w:rPr>
          <w:color w:val="auto"/>
        </w:rPr>
      </w:pPr>
    </w:p>
    <w:p w14:paraId="504984DB" w14:textId="77777777" w:rsidR="00B2533B" w:rsidRPr="007D4AE9" w:rsidRDefault="00B2533B" w:rsidP="00B2533B">
      <w:pPr>
        <w:pStyle w:val="Default"/>
        <w:ind w:firstLine="720"/>
        <w:jc w:val="both"/>
        <w:rPr>
          <w:color w:val="auto"/>
        </w:rPr>
      </w:pPr>
      <w:r w:rsidRPr="007D4AE9">
        <w:rPr>
          <w:color w:val="auto"/>
        </w:rPr>
        <w:t xml:space="preserve">Galvenās LBFV noteiktās sankcijas par neatbilstošu rīcību ar budžeta līdzekļiem: </w:t>
      </w:r>
    </w:p>
    <w:p w14:paraId="2F7AAE62" w14:textId="77777777" w:rsidR="00B2533B" w:rsidRPr="007D4AE9" w:rsidRDefault="00B2533B" w:rsidP="00B2533B">
      <w:pPr>
        <w:pStyle w:val="Default"/>
        <w:numPr>
          <w:ilvl w:val="0"/>
          <w:numId w:val="3"/>
        </w:numPr>
        <w:ind w:left="993" w:hanging="357"/>
        <w:jc w:val="both"/>
        <w:rPr>
          <w:color w:val="auto"/>
        </w:rPr>
      </w:pPr>
      <w:r w:rsidRPr="007D4AE9">
        <w:rPr>
          <w:color w:val="auto"/>
        </w:rPr>
        <w:t>par valsts budžetam pienākošos summu nesavlaicīgu vai nepilnīgu iemaksu VK budžeta kontos – VK (ja tas nav paredzēts citas valsts institūcijas kompetencē) piedzen iemaksāšanai pamatbudžeta ieņēmumos neiemaksāto summu un v</w:t>
      </w:r>
      <w:r>
        <w:rPr>
          <w:color w:val="auto"/>
        </w:rPr>
        <w:t>ar piedzīt nokavējuma naudu 0,1</w:t>
      </w:r>
      <w:r w:rsidRPr="007D4AE9">
        <w:rPr>
          <w:color w:val="auto"/>
        </w:rPr>
        <w:t>%</w:t>
      </w:r>
      <w:r>
        <w:rPr>
          <w:color w:val="auto"/>
        </w:rPr>
        <w:t xml:space="preserve"> </w:t>
      </w:r>
      <w:r w:rsidRPr="007D4AE9">
        <w:rPr>
          <w:color w:val="auto"/>
        </w:rPr>
        <w:t xml:space="preserve">apmērā no laikā nenomaksātās summas par katru nokavēto maksājuma dienu, ja normatīvajos aktos nav noteikta cita kārtība; </w:t>
      </w:r>
    </w:p>
    <w:p w14:paraId="1080C3DD" w14:textId="77777777" w:rsidR="00B2533B" w:rsidRPr="007D4AE9" w:rsidRDefault="00B2533B" w:rsidP="00B2533B">
      <w:pPr>
        <w:pStyle w:val="Default"/>
        <w:numPr>
          <w:ilvl w:val="0"/>
          <w:numId w:val="3"/>
        </w:numPr>
        <w:ind w:left="993"/>
        <w:jc w:val="both"/>
        <w:rPr>
          <w:color w:val="auto"/>
        </w:rPr>
      </w:pPr>
      <w:r w:rsidRPr="007D4AE9">
        <w:rPr>
          <w:color w:val="auto"/>
        </w:rPr>
        <w:t xml:space="preserve">lai segtu budžetam radušos zaudējumus, VK var ieskaitīt summas pamatbudžeta ieņēmumos, atsaukt vai apturēt asignējumus, ja: nav laikā iesniegti vai ir nepilnīgi ziņojumi par budžetu un finanšu vadību; ja likumā noteiktajā kārtībā nav reģistrēti budžeta līdzekļi un darījumi ar šiem līdzekļiem, kā arī nav ziņots par tiem; ja uzskaite neatbilst noteiktajai kārtībai un tādējādi tiek slēpti budžetam pienākošie līdzekļi; ja </w:t>
      </w:r>
      <w:r w:rsidRPr="007D4AE9">
        <w:rPr>
          <w:color w:val="auto"/>
        </w:rPr>
        <w:lastRenderedPageBreak/>
        <w:t xml:space="preserve">budžeta finansētas institūcijas vadītājs ir uzņēmies saistības, pārsniedzot VK sniegto asignējumu; </w:t>
      </w:r>
    </w:p>
    <w:p w14:paraId="36E6BC18" w14:textId="77777777" w:rsidR="00B2533B" w:rsidRPr="007D4AE9" w:rsidRDefault="00B2533B" w:rsidP="00B2533B">
      <w:pPr>
        <w:pStyle w:val="Default"/>
        <w:numPr>
          <w:ilvl w:val="0"/>
          <w:numId w:val="3"/>
        </w:numPr>
        <w:ind w:left="993"/>
        <w:jc w:val="both"/>
        <w:rPr>
          <w:color w:val="auto"/>
        </w:rPr>
      </w:pPr>
      <w:r w:rsidRPr="007D4AE9">
        <w:rPr>
          <w:color w:val="auto"/>
        </w:rPr>
        <w:t xml:space="preserve">ja budžeta finansētas institūcijas, budžeta nefinansētas iestādes un pašvaldības, kā arī kapitālsabiedrības, kurās ir ieguldīta valsts vai pašvaldību kapitāla daļa, ir pārkāpušas LBFV paredzētos finanšu vadības noteikumus, finanšu ministrs, VK pārvaldnieks, ministriju un citu centrālo valsts iestāžu vadītāji (atbilstoši savai kompetencei) var uz laiku atņemt pilnvarojumu asignēt vai rīkot budžeta ieņēmumus vai izdevumus, noteikt kontu lietošanas ierobežojumus, atsaukt vai apturēt asignējumus, lai tiktu atlīdzināti nelikumīgi izlietotie līdzekļi, vai arī pieprasīt nelikumīgi izlietoto līdzekļu atmaksāšanu, iesniegt tiesā civilprasību vai nodot materiālus kompetentajām amatpersonām jautājuma par kriminālprocesa uzsākšanu izlemšanai, kā arī atsaukt vai apturēt maksājumus; </w:t>
      </w:r>
    </w:p>
    <w:p w14:paraId="4CCAB125" w14:textId="77777777" w:rsidR="00B2533B" w:rsidRPr="007D4AE9" w:rsidRDefault="00B2533B" w:rsidP="00B2533B">
      <w:pPr>
        <w:pStyle w:val="Default"/>
        <w:numPr>
          <w:ilvl w:val="0"/>
          <w:numId w:val="3"/>
        </w:numPr>
        <w:ind w:left="993"/>
        <w:jc w:val="both"/>
        <w:rPr>
          <w:color w:val="auto"/>
        </w:rPr>
      </w:pPr>
      <w:r w:rsidRPr="007D4AE9">
        <w:rPr>
          <w:color w:val="auto"/>
        </w:rPr>
        <w:t xml:space="preserve">VK atbilstoši Pašvaldību finanšu izlīdzināšanas likumam ir tiesības bezstrīdus kārtībā piedzīt no pašvaldības budžeta līdzekļiem naudas summas, ko attiecīgā pašvaldība nav savlaicīgi vai pilnā apmērā ieskaitījusi pašvaldību finanšu izlīdzināšanas fondā, norakstot šīs summas no attiecīgās pašvaldības budžeta. </w:t>
      </w:r>
    </w:p>
    <w:p w14:paraId="16FABCC6" w14:textId="77777777" w:rsidR="00B2533B" w:rsidRPr="007D4AE9" w:rsidRDefault="00B2533B" w:rsidP="00B2533B">
      <w:pPr>
        <w:pStyle w:val="Default"/>
        <w:jc w:val="both"/>
        <w:rPr>
          <w:color w:val="auto"/>
        </w:rPr>
      </w:pPr>
    </w:p>
    <w:p w14:paraId="2C28B3B9" w14:textId="77777777" w:rsidR="00B2533B" w:rsidRPr="007D4AE9" w:rsidRDefault="00B2533B" w:rsidP="00B2533B">
      <w:pPr>
        <w:pStyle w:val="Default"/>
        <w:ind w:firstLine="720"/>
        <w:jc w:val="both"/>
        <w:rPr>
          <w:color w:val="auto"/>
        </w:rPr>
      </w:pPr>
      <w:r w:rsidRPr="007D4AE9">
        <w:rPr>
          <w:color w:val="auto"/>
        </w:rPr>
        <w:t>Lai saglabātu vispārējo ekonomisko līdzsvaru un nodrošinātu vienotu valsts finansiālo politiku, valsts budžeta likumā atsevišķi tiek noteikti pašvaldību aizņēmumu un galvojumu kopējā palielinājuma apjomi.</w:t>
      </w:r>
    </w:p>
    <w:p w14:paraId="30839819" w14:textId="77777777" w:rsidR="00B2533B" w:rsidRPr="007D4AE9" w:rsidRDefault="00B2533B" w:rsidP="00B2533B">
      <w:pPr>
        <w:pStyle w:val="Default"/>
        <w:ind w:firstLine="720"/>
        <w:jc w:val="both"/>
        <w:rPr>
          <w:color w:val="auto"/>
        </w:rPr>
      </w:pPr>
      <w:r w:rsidRPr="007D4AE9">
        <w:rPr>
          <w:color w:val="auto"/>
        </w:rPr>
        <w:t xml:space="preserve">No summas, kas pašvaldībai pienākas no iedzīvotāju ienākuma nodokļa vai no pašvaldību finanšu izlīdzināšanas fonda dotācijas, VK ir tiesības ieturēt summas šādos gadījumos un šādā apmērā: </w:t>
      </w:r>
    </w:p>
    <w:p w14:paraId="42D297BC" w14:textId="2B0BFB01" w:rsidR="006D2F22" w:rsidRPr="007D4AE9" w:rsidRDefault="00B2533B" w:rsidP="00B2533B">
      <w:pPr>
        <w:pStyle w:val="Default"/>
        <w:numPr>
          <w:ilvl w:val="0"/>
          <w:numId w:val="5"/>
        </w:numPr>
        <w:ind w:left="993" w:hanging="357"/>
        <w:jc w:val="both"/>
        <w:rPr>
          <w:color w:val="auto"/>
        </w:rPr>
      </w:pPr>
      <w:r w:rsidRPr="007D4AE9">
        <w:rPr>
          <w:color w:val="auto"/>
        </w:rPr>
        <w:t xml:space="preserve">ja pašvaldība nenodrošina valsts aizdevumu līgumos noteikto saistību savlaicīgu izpildi – savlaicīgi nesamaksātās summas apmērā; </w:t>
      </w:r>
    </w:p>
    <w:p w14:paraId="0DB09B24" w14:textId="77777777" w:rsidR="00B2533B" w:rsidRPr="006D2F22" w:rsidRDefault="00B2533B" w:rsidP="006D2F22">
      <w:pPr>
        <w:pStyle w:val="Default"/>
        <w:numPr>
          <w:ilvl w:val="0"/>
          <w:numId w:val="5"/>
        </w:numPr>
        <w:ind w:left="993" w:hanging="357"/>
        <w:jc w:val="both"/>
        <w:rPr>
          <w:color w:val="auto"/>
        </w:rPr>
      </w:pPr>
      <w:r w:rsidRPr="006D2F22">
        <w:rPr>
          <w:color w:val="auto"/>
        </w:rPr>
        <w:t>ja pašvaldība nenodrošina valsts aizdevuma izmantošanu atbilstoši aizdevumu līgumā noteiktajam mērķim – pēc finanšu ministra rīkojuma neatbilstoši līgumā noteiktajam mērķim izmantotās aizdevuma summas apmērā.</w:t>
      </w:r>
    </w:p>
    <w:p w14:paraId="40E34C17" w14:textId="77777777" w:rsidR="00B2533B" w:rsidRDefault="00B2533B" w:rsidP="00B26796">
      <w:pPr>
        <w:pStyle w:val="Default"/>
        <w:ind w:firstLine="720"/>
        <w:jc w:val="both"/>
        <w:rPr>
          <w:highlight w:val="lightGray"/>
        </w:rPr>
      </w:pPr>
    </w:p>
    <w:p w14:paraId="5E3F48C9" w14:textId="35C742A1" w:rsidR="00BF4753" w:rsidRPr="00293000" w:rsidRDefault="00BF4753" w:rsidP="00BF4753">
      <w:pPr>
        <w:pStyle w:val="Heading2"/>
        <w:numPr>
          <w:ilvl w:val="0"/>
          <w:numId w:val="0"/>
        </w:numPr>
        <w:spacing w:before="240" w:after="240"/>
        <w:rPr>
          <w:color w:val="auto"/>
          <w:sz w:val="24"/>
          <w:szCs w:val="24"/>
        </w:rPr>
      </w:pPr>
      <w:bookmarkStart w:id="61" w:name="_Toc131331252"/>
      <w:r w:rsidRPr="00293000">
        <w:rPr>
          <w:rFonts w:eastAsia="Times New Roman"/>
          <w:sz w:val="28"/>
          <w:szCs w:val="24"/>
        </w:rPr>
        <w:t>5.2. Ieņēmumu struktūras un sistēmas efektivitāte</w:t>
      </w:r>
      <w:bookmarkEnd w:id="61"/>
    </w:p>
    <w:p w14:paraId="04C360A7" w14:textId="06924BA9" w:rsidR="00B6438E" w:rsidRPr="00293000" w:rsidRDefault="00B6438E" w:rsidP="00810FC4">
      <w:pPr>
        <w:keepNext/>
        <w:keepLines/>
        <w:numPr>
          <w:ilvl w:val="2"/>
          <w:numId w:val="16"/>
        </w:numPr>
        <w:spacing w:before="240" w:after="240" w:line="259" w:lineRule="auto"/>
        <w:ind w:left="1582"/>
        <w:jc w:val="left"/>
        <w:outlineLvl w:val="1"/>
        <w:rPr>
          <w:rFonts w:eastAsiaTheme="majorEastAsia" w:cs="Times New Roman"/>
          <w:b/>
          <w:bCs/>
          <w:color w:val="000000" w:themeColor="text1"/>
          <w:sz w:val="24"/>
          <w:szCs w:val="28"/>
        </w:rPr>
      </w:pPr>
      <w:bookmarkStart w:id="62" w:name="_Toc131331253"/>
      <w:r w:rsidRPr="00293000">
        <w:rPr>
          <w:rFonts w:eastAsiaTheme="majorEastAsia" w:cs="Times New Roman"/>
          <w:b/>
          <w:bCs/>
          <w:color w:val="000000" w:themeColor="text1"/>
          <w:sz w:val="24"/>
          <w:szCs w:val="28"/>
        </w:rPr>
        <w:t xml:space="preserve">Stabilitātes programmas </w:t>
      </w:r>
      <w:r w:rsidR="00293000" w:rsidRPr="00293000">
        <w:rPr>
          <w:rFonts w:eastAsiaTheme="majorEastAsia" w:cs="Times New Roman"/>
          <w:b/>
          <w:bCs/>
          <w:color w:val="000000" w:themeColor="text1"/>
          <w:sz w:val="24"/>
          <w:szCs w:val="28"/>
        </w:rPr>
        <w:t>bāzes</w:t>
      </w:r>
      <w:r w:rsidRPr="00293000">
        <w:rPr>
          <w:rFonts w:eastAsiaTheme="majorEastAsia" w:cs="Times New Roman"/>
          <w:b/>
          <w:bCs/>
          <w:color w:val="000000" w:themeColor="text1"/>
          <w:sz w:val="24"/>
          <w:szCs w:val="28"/>
        </w:rPr>
        <w:t xml:space="preserve"> scenārija nodokļu ieņēmumu prognozes</w:t>
      </w:r>
      <w:bookmarkEnd w:id="62"/>
    </w:p>
    <w:p w14:paraId="12784F34" w14:textId="675F47B9" w:rsidR="00293000" w:rsidRPr="00293000" w:rsidRDefault="00293000" w:rsidP="00293000">
      <w:pPr>
        <w:rPr>
          <w:rFonts w:eastAsia="Times New Roman" w:cs="Times New Roman"/>
          <w:iCs/>
          <w:sz w:val="24"/>
          <w:szCs w:val="20"/>
          <w:lang w:eastAsia="x-none"/>
        </w:rPr>
      </w:pPr>
      <w:bookmarkStart w:id="63" w:name="_Hlk67326698"/>
      <w:r w:rsidRPr="00293000">
        <w:rPr>
          <w:rFonts w:eastAsia="Times New Roman" w:cs="Times New Roman"/>
          <w:iCs/>
          <w:sz w:val="24"/>
          <w:szCs w:val="20"/>
          <w:lang w:eastAsia="x-none"/>
        </w:rPr>
        <w:t>Nodokļu ieņēmumu prognozes ir sagatavotas pie nemainīgas nodokļu politikas, pamatojoties uz makroekonomisko rādītāju prognozēm, kā arī, ņemot vērā faktisko nodokļu izpildi, iepriekš pieņemtās izmaiņas likumdošanā un Covid-19 krīzes laikā pieņemtos nodokļu atbalsta pasākumus. Nodokļu ieņēmumu prognozēs netiek ietverti nesadalītie nodokļu ieņēmumi vienotajā kontā.</w:t>
      </w:r>
    </w:p>
    <w:p w14:paraId="2C8346CC" w14:textId="26C6FC0B" w:rsidR="00293000" w:rsidRPr="00293000" w:rsidRDefault="00293000" w:rsidP="00293000">
      <w:pPr>
        <w:rPr>
          <w:rFonts w:eastAsia="Times New Roman" w:cs="Times New Roman"/>
          <w:iCs/>
          <w:noProof/>
          <w:sz w:val="24"/>
          <w:szCs w:val="24"/>
          <w:lang w:eastAsia="x-none"/>
        </w:rPr>
      </w:pPr>
      <w:r w:rsidRPr="00293000">
        <w:rPr>
          <w:rFonts w:eastAsia="Times New Roman" w:cs="Times New Roman"/>
          <w:iCs/>
          <w:sz w:val="24"/>
          <w:szCs w:val="20"/>
          <w:lang w:eastAsia="x-none"/>
        </w:rPr>
        <w:t>Likumprojekta “Par valsts budžetu 2023. gadam un budžeta ietvaru 2023., 2024. un 2025. gadam” izstrādes gaitā būtiskākās pieņemtās</w:t>
      </w:r>
      <w:r w:rsidRPr="00293000">
        <w:rPr>
          <w:rFonts w:eastAsia="Times New Roman" w:cs="Times New Roman"/>
          <w:bCs/>
          <w:iCs/>
          <w:noProof/>
          <w:sz w:val="18"/>
          <w:szCs w:val="18"/>
          <w:lang w:eastAsia="x-none"/>
        </w:rPr>
        <w:t xml:space="preserve"> </w:t>
      </w:r>
      <w:r w:rsidRPr="00293000">
        <w:rPr>
          <w:rFonts w:eastAsia="Times New Roman" w:cs="Times New Roman"/>
          <w:iCs/>
          <w:sz w:val="24"/>
          <w:szCs w:val="20"/>
          <w:lang w:eastAsia="x-none"/>
        </w:rPr>
        <w:t xml:space="preserve">nodokļu politikas izmaiņas ir minimālās mēneša darba algas palielināšana un </w:t>
      </w:r>
      <w:r w:rsidRPr="00293000">
        <w:rPr>
          <w:rFonts w:eastAsia="Times New Roman" w:cs="Times New Roman"/>
          <w:iCs/>
          <w:noProof/>
          <w:sz w:val="24"/>
          <w:szCs w:val="24"/>
          <w:lang w:eastAsia="x-none"/>
        </w:rPr>
        <w:t>minimālā valsts sociālās apdrošināšanas iemaksu objekta palielināšana, ņemot vērā izmaiņas minimālajā mēneša darba algā (2023.</w:t>
      </w:r>
      <w:r>
        <w:rPr>
          <w:rFonts w:eastAsia="Times New Roman" w:cs="Times New Roman"/>
          <w:iCs/>
          <w:noProof/>
          <w:sz w:val="24"/>
          <w:szCs w:val="24"/>
          <w:lang w:eastAsia="x-none"/>
        </w:rPr>
        <w:t xml:space="preserve"> </w:t>
      </w:r>
      <w:r w:rsidRPr="00293000">
        <w:rPr>
          <w:rFonts w:eastAsia="Times New Roman" w:cs="Times New Roman"/>
          <w:iCs/>
          <w:noProof/>
          <w:sz w:val="24"/>
          <w:szCs w:val="24"/>
          <w:lang w:eastAsia="x-none"/>
        </w:rPr>
        <w:t>gadā tā tiek palielināta no 500 līdz 620 </w:t>
      </w:r>
      <w:r w:rsidRPr="00293000">
        <w:rPr>
          <w:rFonts w:eastAsia="Times New Roman" w:cs="Times New Roman"/>
          <w:i/>
          <w:iCs/>
          <w:noProof/>
          <w:sz w:val="24"/>
          <w:szCs w:val="24"/>
          <w:lang w:eastAsia="x-none"/>
        </w:rPr>
        <w:t>euro</w:t>
      </w:r>
      <w:r w:rsidRPr="00293000">
        <w:rPr>
          <w:rFonts w:eastAsia="Times New Roman" w:cs="Times New Roman"/>
          <w:iCs/>
          <w:noProof/>
          <w:sz w:val="24"/>
          <w:szCs w:val="24"/>
          <w:lang w:eastAsia="x-none"/>
        </w:rPr>
        <w:t xml:space="preserve"> un 2024.</w:t>
      </w:r>
      <w:r>
        <w:rPr>
          <w:rFonts w:eastAsia="Times New Roman" w:cs="Times New Roman"/>
          <w:iCs/>
          <w:noProof/>
          <w:sz w:val="24"/>
          <w:szCs w:val="24"/>
          <w:lang w:eastAsia="x-none"/>
        </w:rPr>
        <w:t xml:space="preserve"> </w:t>
      </w:r>
      <w:r w:rsidRPr="00293000">
        <w:rPr>
          <w:rFonts w:eastAsia="Times New Roman" w:cs="Times New Roman"/>
          <w:iCs/>
          <w:noProof/>
          <w:sz w:val="24"/>
          <w:szCs w:val="24"/>
          <w:lang w:eastAsia="x-none"/>
        </w:rPr>
        <w:t>gadā no 620 līdz 700 </w:t>
      </w:r>
      <w:r w:rsidRPr="00293000">
        <w:rPr>
          <w:rFonts w:eastAsia="Times New Roman" w:cs="Times New Roman"/>
          <w:i/>
          <w:iCs/>
          <w:noProof/>
          <w:sz w:val="24"/>
          <w:szCs w:val="24"/>
          <w:lang w:eastAsia="x-none"/>
        </w:rPr>
        <w:t>euro</w:t>
      </w:r>
      <w:r w:rsidRPr="00293000">
        <w:rPr>
          <w:rFonts w:eastAsia="Times New Roman" w:cs="Times New Roman"/>
          <w:iCs/>
          <w:noProof/>
          <w:sz w:val="24"/>
          <w:szCs w:val="24"/>
          <w:lang w:eastAsia="x-none"/>
        </w:rPr>
        <w:t>).</w:t>
      </w:r>
    </w:p>
    <w:p w14:paraId="433FCFD5" w14:textId="6E9DFFE0" w:rsidR="00293000" w:rsidRPr="00293000" w:rsidRDefault="00293000" w:rsidP="00293000">
      <w:pPr>
        <w:rPr>
          <w:rFonts w:eastAsia="Times New Roman" w:cs="Times New Roman"/>
          <w:iCs/>
          <w:noProof/>
          <w:sz w:val="24"/>
          <w:szCs w:val="24"/>
          <w:lang w:eastAsia="x-none"/>
        </w:rPr>
      </w:pPr>
      <w:r w:rsidRPr="00293000">
        <w:rPr>
          <w:rFonts w:eastAsia="Times New Roman" w:cs="Times New Roman"/>
          <w:iCs/>
          <w:noProof/>
          <w:sz w:val="24"/>
          <w:szCs w:val="24"/>
          <w:lang w:eastAsia="x-none"/>
        </w:rPr>
        <w:t>Tāpat 2023.</w:t>
      </w:r>
      <w:r w:rsidR="00D766E4">
        <w:rPr>
          <w:rFonts w:eastAsia="Times New Roman" w:cs="Times New Roman"/>
          <w:iCs/>
          <w:noProof/>
          <w:sz w:val="24"/>
          <w:szCs w:val="24"/>
          <w:lang w:eastAsia="x-none"/>
        </w:rPr>
        <w:t xml:space="preserve"> </w:t>
      </w:r>
      <w:r w:rsidRPr="00293000">
        <w:rPr>
          <w:rFonts w:eastAsia="Times New Roman" w:cs="Times New Roman"/>
          <w:iCs/>
          <w:noProof/>
          <w:sz w:val="24"/>
          <w:szCs w:val="24"/>
          <w:lang w:eastAsia="x-none"/>
        </w:rPr>
        <w:t>gada 23.</w:t>
      </w:r>
      <w:r w:rsidR="00D766E4">
        <w:rPr>
          <w:rFonts w:eastAsia="Times New Roman" w:cs="Times New Roman"/>
          <w:iCs/>
          <w:noProof/>
          <w:sz w:val="24"/>
          <w:szCs w:val="24"/>
          <w:lang w:eastAsia="x-none"/>
        </w:rPr>
        <w:t xml:space="preserve"> </w:t>
      </w:r>
      <w:r w:rsidRPr="00293000">
        <w:rPr>
          <w:rFonts w:eastAsia="Times New Roman" w:cs="Times New Roman"/>
          <w:iCs/>
          <w:noProof/>
          <w:sz w:val="24"/>
          <w:szCs w:val="24"/>
          <w:lang w:eastAsia="x-none"/>
        </w:rPr>
        <w:t>martā Saeima ir atbalstījusi grozījumus likumā “Par iedzīvotāju ienākuma nodokli”, ar kuriem saimnieciskās darbības veicējiem atceļ pienākumu veikt iedzīvotāju ienākuma nodokļa avansa maksājumus, tādejādi tai kļūstot par pastāvīgu normu.</w:t>
      </w:r>
    </w:p>
    <w:p w14:paraId="0215026A" w14:textId="1666AFF3" w:rsidR="00293000" w:rsidRPr="00293000" w:rsidRDefault="00293000" w:rsidP="00293000">
      <w:pPr>
        <w:keepNext/>
        <w:rPr>
          <w:rFonts w:eastAsia="Times New Roman" w:cs="Times New Roman"/>
          <w:bCs/>
          <w:iCs/>
          <w:sz w:val="24"/>
          <w:szCs w:val="20"/>
          <w:lang w:eastAsia="x-none"/>
        </w:rPr>
      </w:pPr>
      <w:r w:rsidRPr="00293000">
        <w:rPr>
          <w:rFonts w:eastAsia="Times New Roman" w:cs="Times New Roman"/>
          <w:bCs/>
          <w:iCs/>
          <w:sz w:val="24"/>
          <w:szCs w:val="20"/>
          <w:lang w:eastAsia="x-none"/>
        </w:rPr>
        <w:lastRenderedPageBreak/>
        <w:t xml:space="preserve">Salīdzinājumā ar </w:t>
      </w:r>
      <w:r w:rsidRPr="00293000">
        <w:rPr>
          <w:rFonts w:eastAsia="Times New Roman" w:cs="Times New Roman"/>
          <w:bCs/>
          <w:i/>
          <w:sz w:val="24"/>
          <w:szCs w:val="20"/>
          <w:lang w:eastAsia="x-none"/>
        </w:rPr>
        <w:t>budžeta ietvaru 2023</w:t>
      </w:r>
      <w:r w:rsidR="00643825">
        <w:rPr>
          <w:rFonts w:eastAsia="Times New Roman" w:cs="Times New Roman"/>
          <w:bCs/>
          <w:i/>
          <w:sz w:val="24"/>
          <w:szCs w:val="20"/>
          <w:lang w:eastAsia="x-none"/>
        </w:rPr>
        <w:t>.</w:t>
      </w:r>
      <w:r w:rsidRPr="00293000">
        <w:rPr>
          <w:rFonts w:eastAsia="Times New Roman" w:cs="Times New Roman"/>
          <w:bCs/>
          <w:i/>
          <w:sz w:val="24"/>
          <w:szCs w:val="20"/>
          <w:lang w:eastAsia="x-none"/>
        </w:rPr>
        <w:t>-2025</w:t>
      </w:r>
      <w:r w:rsidR="00643825">
        <w:rPr>
          <w:rFonts w:eastAsia="Times New Roman" w:cs="Times New Roman"/>
          <w:bCs/>
          <w:i/>
          <w:sz w:val="24"/>
          <w:szCs w:val="20"/>
          <w:lang w:eastAsia="x-none"/>
        </w:rPr>
        <w:t>.</w:t>
      </w:r>
      <w:r w:rsidR="006D2F22">
        <w:rPr>
          <w:rFonts w:eastAsia="Times New Roman" w:cs="Times New Roman"/>
          <w:bCs/>
          <w:i/>
          <w:sz w:val="24"/>
          <w:szCs w:val="20"/>
          <w:lang w:eastAsia="x-none"/>
        </w:rPr>
        <w:t xml:space="preserve"> </w:t>
      </w:r>
      <w:r w:rsidR="006D66C1">
        <w:rPr>
          <w:rFonts w:eastAsia="Times New Roman" w:cs="Times New Roman"/>
          <w:bCs/>
          <w:i/>
          <w:sz w:val="24"/>
          <w:szCs w:val="20"/>
          <w:lang w:eastAsia="x-none"/>
        </w:rPr>
        <w:t>gadam</w:t>
      </w:r>
      <w:r w:rsidR="006D66C1" w:rsidRPr="00293000">
        <w:rPr>
          <w:rFonts w:eastAsia="Times New Roman" w:cs="Times New Roman"/>
          <w:bCs/>
          <w:iCs/>
          <w:sz w:val="24"/>
          <w:szCs w:val="20"/>
          <w:lang w:eastAsia="x-none"/>
        </w:rPr>
        <w:t xml:space="preserve"> </w:t>
      </w:r>
      <w:r w:rsidRPr="00293000">
        <w:rPr>
          <w:rFonts w:eastAsia="Times New Roman" w:cs="Times New Roman"/>
          <w:bCs/>
          <w:iCs/>
          <w:sz w:val="24"/>
          <w:szCs w:val="20"/>
          <w:lang w:eastAsia="x-none"/>
        </w:rPr>
        <w:t>augstāka prognozētā ekonomikas izaugsme dod iespēju palielināt kopbudžeta nodokļu ieņēmumu prognozes</w:t>
      </w:r>
      <w:r w:rsidR="006D66C1">
        <w:rPr>
          <w:rFonts w:eastAsia="Times New Roman" w:cs="Times New Roman"/>
          <w:bCs/>
          <w:iCs/>
          <w:sz w:val="24"/>
          <w:szCs w:val="20"/>
          <w:lang w:eastAsia="x-none"/>
        </w:rPr>
        <w:t xml:space="preserve"> </w:t>
      </w:r>
      <w:r w:rsidR="006D66C1" w:rsidRPr="006D66C1">
        <w:rPr>
          <w:rFonts w:eastAsia="Times New Roman" w:cs="Times New Roman"/>
          <w:bCs/>
          <w:iCs/>
          <w:sz w:val="24"/>
          <w:szCs w:val="20"/>
          <w:lang w:eastAsia="x-none"/>
        </w:rPr>
        <w:t>(pēc naudas plūsmas)</w:t>
      </w:r>
      <w:r w:rsidRPr="00293000">
        <w:rPr>
          <w:rFonts w:eastAsia="Times New Roman" w:cs="Times New Roman"/>
          <w:bCs/>
          <w:iCs/>
          <w:sz w:val="24"/>
          <w:szCs w:val="20"/>
          <w:lang w:eastAsia="x-none"/>
        </w:rPr>
        <w:t xml:space="preserve"> 2023.</w:t>
      </w:r>
      <w:r w:rsidR="00D766E4">
        <w:rPr>
          <w:rFonts w:eastAsia="Times New Roman" w:cs="Times New Roman"/>
          <w:bCs/>
          <w:iCs/>
          <w:sz w:val="24"/>
          <w:szCs w:val="20"/>
          <w:lang w:eastAsia="x-none"/>
        </w:rPr>
        <w:t xml:space="preserve"> </w:t>
      </w:r>
      <w:r w:rsidRPr="00293000">
        <w:rPr>
          <w:rFonts w:eastAsia="Times New Roman" w:cs="Times New Roman"/>
          <w:bCs/>
          <w:iCs/>
          <w:sz w:val="24"/>
          <w:szCs w:val="20"/>
          <w:lang w:eastAsia="x-none"/>
        </w:rPr>
        <w:t>gadā +183,6 milj.</w:t>
      </w:r>
      <w:r w:rsidR="00D766E4">
        <w:rPr>
          <w:rFonts w:eastAsia="Times New Roman" w:cs="Times New Roman"/>
          <w:bCs/>
          <w:iCs/>
          <w:sz w:val="24"/>
          <w:szCs w:val="20"/>
          <w:lang w:eastAsia="x-none"/>
        </w:rPr>
        <w:t xml:space="preserve"> </w:t>
      </w:r>
      <w:proofErr w:type="spellStart"/>
      <w:r w:rsidRPr="00293000">
        <w:rPr>
          <w:rFonts w:eastAsia="Times New Roman" w:cs="Times New Roman"/>
          <w:bCs/>
          <w:i/>
          <w:sz w:val="24"/>
          <w:szCs w:val="20"/>
          <w:lang w:eastAsia="x-none"/>
        </w:rPr>
        <w:t>euro</w:t>
      </w:r>
      <w:proofErr w:type="spellEnd"/>
      <w:r w:rsidRPr="00293000">
        <w:rPr>
          <w:rFonts w:eastAsia="Times New Roman" w:cs="Times New Roman"/>
          <w:bCs/>
          <w:iCs/>
          <w:sz w:val="24"/>
          <w:szCs w:val="20"/>
          <w:lang w:eastAsia="x-none"/>
        </w:rPr>
        <w:t>, 2024.gadā +268,1 milj.</w:t>
      </w:r>
      <w:r>
        <w:rPr>
          <w:rFonts w:eastAsia="Times New Roman" w:cs="Times New Roman"/>
          <w:bCs/>
          <w:iCs/>
          <w:sz w:val="24"/>
          <w:szCs w:val="20"/>
          <w:lang w:eastAsia="x-none"/>
        </w:rPr>
        <w:t xml:space="preserve"> </w:t>
      </w:r>
      <w:proofErr w:type="spellStart"/>
      <w:r w:rsidRPr="00293000">
        <w:rPr>
          <w:rFonts w:eastAsia="Times New Roman" w:cs="Times New Roman"/>
          <w:bCs/>
          <w:i/>
          <w:sz w:val="24"/>
          <w:szCs w:val="20"/>
          <w:lang w:eastAsia="x-none"/>
        </w:rPr>
        <w:t>euro</w:t>
      </w:r>
      <w:proofErr w:type="spellEnd"/>
      <w:r w:rsidRPr="00293000">
        <w:rPr>
          <w:rFonts w:eastAsia="Times New Roman" w:cs="Times New Roman"/>
          <w:bCs/>
          <w:iCs/>
          <w:sz w:val="24"/>
          <w:szCs w:val="20"/>
          <w:lang w:eastAsia="x-none"/>
        </w:rPr>
        <w:t>, 2025.gadā +306,2 milj.</w:t>
      </w:r>
      <w:r>
        <w:rPr>
          <w:rFonts w:eastAsia="Times New Roman" w:cs="Times New Roman"/>
          <w:bCs/>
          <w:iCs/>
          <w:sz w:val="24"/>
          <w:szCs w:val="20"/>
          <w:lang w:eastAsia="x-none"/>
        </w:rPr>
        <w:t xml:space="preserve"> </w:t>
      </w:r>
      <w:proofErr w:type="spellStart"/>
      <w:r w:rsidRPr="00293000">
        <w:rPr>
          <w:rFonts w:eastAsia="Times New Roman" w:cs="Times New Roman"/>
          <w:bCs/>
          <w:i/>
          <w:sz w:val="24"/>
          <w:szCs w:val="20"/>
          <w:lang w:eastAsia="x-none"/>
        </w:rPr>
        <w:t>euro</w:t>
      </w:r>
      <w:proofErr w:type="spellEnd"/>
      <w:r w:rsidRPr="00293000">
        <w:rPr>
          <w:rFonts w:eastAsia="Times New Roman" w:cs="Times New Roman"/>
          <w:bCs/>
          <w:iCs/>
          <w:sz w:val="24"/>
          <w:szCs w:val="20"/>
          <w:lang w:eastAsia="x-none"/>
        </w:rPr>
        <w:t>.</w:t>
      </w:r>
    </w:p>
    <w:p w14:paraId="7B0A3C6D" w14:textId="77777777" w:rsidR="00293000" w:rsidRPr="006D66C1" w:rsidRDefault="00293000" w:rsidP="00293000">
      <w:pPr>
        <w:keepNext/>
        <w:spacing w:before="240" w:after="120"/>
        <w:jc w:val="right"/>
        <w:rPr>
          <w:rFonts w:eastAsia="Times New Roman" w:cs="Times New Roman"/>
          <w:b/>
          <w:iCs/>
          <w:sz w:val="24"/>
          <w:szCs w:val="20"/>
          <w:lang w:eastAsia="x-none"/>
        </w:rPr>
      </w:pPr>
      <w:r w:rsidRPr="006D66C1">
        <w:rPr>
          <w:rFonts w:eastAsia="Times New Roman" w:cs="Times New Roman"/>
          <w:b/>
          <w:iCs/>
          <w:sz w:val="24"/>
          <w:szCs w:val="20"/>
          <w:lang w:eastAsia="x-none"/>
        </w:rPr>
        <w:t>5.1. tabula. Nodokļu ieņēmumi vispārējās valdības budžetā (S.13), milj. </w:t>
      </w:r>
      <w:proofErr w:type="spellStart"/>
      <w:r w:rsidRPr="006D66C1">
        <w:rPr>
          <w:rFonts w:eastAsia="Times New Roman" w:cs="Times New Roman"/>
          <w:b/>
          <w:i/>
          <w:sz w:val="24"/>
          <w:szCs w:val="24"/>
          <w:lang w:eastAsia="x-none"/>
        </w:rPr>
        <w:t>euro</w:t>
      </w:r>
      <w:proofErr w:type="spellEnd"/>
    </w:p>
    <w:tbl>
      <w:tblPr>
        <w:tblStyle w:val="TableGrid11"/>
        <w:tblW w:w="5000" w:type="pct"/>
        <w:jc w:val="center"/>
        <w:tblLook w:val="04A0" w:firstRow="1" w:lastRow="0" w:firstColumn="1" w:lastColumn="0" w:noHBand="0" w:noVBand="1"/>
      </w:tblPr>
      <w:tblGrid>
        <w:gridCol w:w="2992"/>
        <w:gridCol w:w="1603"/>
        <w:gridCol w:w="1147"/>
        <w:gridCol w:w="1310"/>
        <w:gridCol w:w="1146"/>
        <w:gridCol w:w="1146"/>
      </w:tblGrid>
      <w:tr w:rsidR="00293000" w:rsidRPr="00293000" w14:paraId="461E706D" w14:textId="77777777" w:rsidTr="007C70B8">
        <w:trPr>
          <w:trHeight w:val="222"/>
          <w:jc w:val="center"/>
        </w:trPr>
        <w:tc>
          <w:tcPr>
            <w:tcW w:w="1601" w:type="pct"/>
            <w:shd w:val="clear" w:color="auto" w:fill="9CC2E5" w:themeFill="accent1" w:themeFillTint="99"/>
          </w:tcPr>
          <w:p w14:paraId="52BD09F9" w14:textId="77777777" w:rsidR="00293000" w:rsidRPr="00293000" w:rsidRDefault="00293000" w:rsidP="00293000">
            <w:pPr>
              <w:keepNext/>
              <w:keepLines/>
              <w:ind w:firstLine="0"/>
              <w:jc w:val="center"/>
              <w:rPr>
                <w:rFonts w:eastAsia="Times New Roman"/>
                <w:b/>
                <w:iCs/>
                <w:sz w:val="20"/>
              </w:rPr>
            </w:pPr>
            <w:bookmarkStart w:id="64" w:name="_Hlk68007787"/>
          </w:p>
        </w:tc>
        <w:tc>
          <w:tcPr>
            <w:tcW w:w="858" w:type="pct"/>
            <w:shd w:val="clear" w:color="auto" w:fill="9CC2E5" w:themeFill="accent1" w:themeFillTint="99"/>
          </w:tcPr>
          <w:p w14:paraId="39348746" w14:textId="77777777" w:rsidR="00293000" w:rsidRPr="00293000" w:rsidRDefault="00293000" w:rsidP="00293000">
            <w:pPr>
              <w:keepNext/>
              <w:keepLines/>
              <w:ind w:firstLine="0"/>
              <w:jc w:val="center"/>
              <w:rPr>
                <w:rFonts w:eastAsia="Times New Roman"/>
                <w:b/>
                <w:iCs/>
                <w:sz w:val="20"/>
              </w:rPr>
            </w:pPr>
            <w:r w:rsidRPr="00293000">
              <w:rPr>
                <w:rFonts w:eastAsia="Times New Roman"/>
                <w:b/>
                <w:iCs/>
                <w:sz w:val="20"/>
              </w:rPr>
              <w:t>Kods (EKS)</w:t>
            </w:r>
          </w:p>
        </w:tc>
        <w:tc>
          <w:tcPr>
            <w:tcW w:w="614" w:type="pct"/>
            <w:tcBorders>
              <w:bottom w:val="single" w:sz="4" w:space="0" w:color="auto"/>
            </w:tcBorders>
            <w:shd w:val="clear" w:color="auto" w:fill="9CC2E5" w:themeFill="accent1" w:themeFillTint="99"/>
            <w:vAlign w:val="center"/>
          </w:tcPr>
          <w:p w14:paraId="2F365EE6" w14:textId="77777777" w:rsidR="00293000" w:rsidRPr="00293000" w:rsidRDefault="00293000" w:rsidP="00293000">
            <w:pPr>
              <w:keepNext/>
              <w:keepLines/>
              <w:ind w:firstLine="0"/>
              <w:jc w:val="center"/>
              <w:rPr>
                <w:rFonts w:eastAsia="Times New Roman"/>
                <w:b/>
                <w:iCs/>
                <w:sz w:val="20"/>
              </w:rPr>
            </w:pPr>
            <w:r w:rsidRPr="00293000">
              <w:rPr>
                <w:rFonts w:eastAsia="Times New Roman"/>
                <w:b/>
                <w:iCs/>
                <w:sz w:val="20"/>
              </w:rPr>
              <w:t>2023</w:t>
            </w:r>
          </w:p>
        </w:tc>
        <w:tc>
          <w:tcPr>
            <w:tcW w:w="701" w:type="pct"/>
            <w:tcBorders>
              <w:bottom w:val="single" w:sz="4" w:space="0" w:color="auto"/>
            </w:tcBorders>
            <w:shd w:val="clear" w:color="auto" w:fill="9CC2E5" w:themeFill="accent1" w:themeFillTint="99"/>
            <w:vAlign w:val="center"/>
          </w:tcPr>
          <w:p w14:paraId="53E3688F" w14:textId="77777777" w:rsidR="00293000" w:rsidRPr="00293000" w:rsidRDefault="00293000" w:rsidP="00293000">
            <w:pPr>
              <w:keepNext/>
              <w:keepLines/>
              <w:ind w:firstLine="0"/>
              <w:jc w:val="center"/>
              <w:rPr>
                <w:rFonts w:eastAsia="Times New Roman"/>
                <w:b/>
                <w:iCs/>
                <w:sz w:val="20"/>
              </w:rPr>
            </w:pPr>
            <w:r w:rsidRPr="00293000">
              <w:rPr>
                <w:rFonts w:eastAsia="Times New Roman"/>
                <w:b/>
                <w:iCs/>
                <w:sz w:val="20"/>
              </w:rPr>
              <w:t>2024</w:t>
            </w:r>
          </w:p>
        </w:tc>
        <w:tc>
          <w:tcPr>
            <w:tcW w:w="613" w:type="pct"/>
            <w:tcBorders>
              <w:bottom w:val="single" w:sz="4" w:space="0" w:color="auto"/>
            </w:tcBorders>
            <w:shd w:val="clear" w:color="auto" w:fill="9CC2E5" w:themeFill="accent1" w:themeFillTint="99"/>
            <w:vAlign w:val="center"/>
          </w:tcPr>
          <w:p w14:paraId="562F08F8" w14:textId="77777777" w:rsidR="00293000" w:rsidRPr="00293000" w:rsidRDefault="00293000" w:rsidP="00293000">
            <w:pPr>
              <w:keepNext/>
              <w:keepLines/>
              <w:ind w:firstLine="0"/>
              <w:jc w:val="center"/>
              <w:rPr>
                <w:rFonts w:eastAsia="Times New Roman"/>
                <w:b/>
                <w:iCs/>
                <w:sz w:val="20"/>
              </w:rPr>
            </w:pPr>
            <w:r w:rsidRPr="00293000">
              <w:rPr>
                <w:rFonts w:eastAsia="Times New Roman"/>
                <w:b/>
                <w:iCs/>
                <w:sz w:val="20"/>
              </w:rPr>
              <w:t>2025</w:t>
            </w:r>
          </w:p>
        </w:tc>
        <w:tc>
          <w:tcPr>
            <w:tcW w:w="613" w:type="pct"/>
            <w:tcBorders>
              <w:bottom w:val="single" w:sz="4" w:space="0" w:color="auto"/>
            </w:tcBorders>
            <w:shd w:val="clear" w:color="auto" w:fill="9CC2E5" w:themeFill="accent1" w:themeFillTint="99"/>
            <w:vAlign w:val="center"/>
          </w:tcPr>
          <w:p w14:paraId="6577F5D2" w14:textId="77777777" w:rsidR="00293000" w:rsidRPr="00293000" w:rsidRDefault="00293000" w:rsidP="00293000">
            <w:pPr>
              <w:keepNext/>
              <w:keepLines/>
              <w:ind w:firstLine="0"/>
              <w:jc w:val="center"/>
              <w:rPr>
                <w:rFonts w:eastAsia="Times New Roman"/>
                <w:b/>
                <w:iCs/>
                <w:sz w:val="20"/>
              </w:rPr>
            </w:pPr>
            <w:r w:rsidRPr="00293000">
              <w:rPr>
                <w:rFonts w:eastAsia="Times New Roman"/>
                <w:b/>
                <w:iCs/>
                <w:sz w:val="20"/>
              </w:rPr>
              <w:t>2026</w:t>
            </w:r>
          </w:p>
        </w:tc>
      </w:tr>
      <w:tr w:rsidR="00293000" w:rsidRPr="00293000" w14:paraId="51121ED4" w14:textId="77777777" w:rsidTr="007C70B8">
        <w:trPr>
          <w:trHeight w:val="459"/>
          <w:jc w:val="center"/>
        </w:trPr>
        <w:tc>
          <w:tcPr>
            <w:tcW w:w="1601" w:type="pct"/>
          </w:tcPr>
          <w:p w14:paraId="18CBD819" w14:textId="77777777" w:rsidR="00293000" w:rsidRPr="00293000" w:rsidRDefault="00293000" w:rsidP="00293000">
            <w:pPr>
              <w:ind w:firstLine="0"/>
              <w:jc w:val="left"/>
              <w:rPr>
                <w:rFonts w:eastAsia="Times New Roman"/>
                <w:iCs/>
                <w:color w:val="000000"/>
                <w:sz w:val="20"/>
                <w:lang w:eastAsia="x-none"/>
              </w:rPr>
            </w:pPr>
            <w:r w:rsidRPr="00293000">
              <w:rPr>
                <w:rFonts w:eastAsia="Times New Roman"/>
                <w:iCs/>
                <w:color w:val="000000"/>
                <w:sz w:val="20"/>
                <w:lang w:eastAsia="x-none"/>
              </w:rPr>
              <w:t>1. Ražošanas un importa nodokļi</w:t>
            </w:r>
          </w:p>
        </w:tc>
        <w:tc>
          <w:tcPr>
            <w:tcW w:w="858" w:type="pct"/>
          </w:tcPr>
          <w:p w14:paraId="5F2DEA08" w14:textId="77777777" w:rsidR="00293000" w:rsidRPr="00293000" w:rsidRDefault="00293000" w:rsidP="00293000">
            <w:pPr>
              <w:ind w:firstLine="0"/>
              <w:jc w:val="left"/>
              <w:rPr>
                <w:rFonts w:eastAsia="Times New Roman"/>
                <w:iCs/>
                <w:color w:val="000000"/>
                <w:sz w:val="20"/>
                <w:lang w:eastAsia="x-none"/>
              </w:rPr>
            </w:pPr>
            <w:r w:rsidRPr="00293000">
              <w:rPr>
                <w:rFonts w:eastAsia="Times New Roman"/>
                <w:iCs/>
                <w:color w:val="000000"/>
                <w:sz w:val="20"/>
                <w:lang w:eastAsia="x-none"/>
              </w:rPr>
              <w:t>D.2</w:t>
            </w:r>
          </w:p>
        </w:tc>
        <w:tc>
          <w:tcPr>
            <w:tcW w:w="614" w:type="pct"/>
            <w:tcBorders>
              <w:top w:val="single" w:sz="4" w:space="0" w:color="auto"/>
              <w:left w:val="single" w:sz="4" w:space="0" w:color="auto"/>
              <w:bottom w:val="single" w:sz="4" w:space="0" w:color="auto"/>
              <w:right w:val="single" w:sz="4" w:space="0" w:color="auto"/>
            </w:tcBorders>
            <w:shd w:val="clear" w:color="auto" w:fill="auto"/>
            <w:vAlign w:val="bottom"/>
          </w:tcPr>
          <w:p w14:paraId="7F782286" w14:textId="77777777" w:rsidR="00293000" w:rsidRPr="00293000" w:rsidRDefault="00293000" w:rsidP="00293000">
            <w:pPr>
              <w:ind w:firstLine="0"/>
              <w:jc w:val="left"/>
              <w:rPr>
                <w:rFonts w:eastAsia="Times New Roman"/>
                <w:iCs/>
                <w:color w:val="000000"/>
                <w:sz w:val="20"/>
                <w:lang w:eastAsia="x-none"/>
              </w:rPr>
            </w:pPr>
            <w:r w:rsidRPr="00293000">
              <w:rPr>
                <w:rFonts w:eastAsia="Times New Roman"/>
                <w:iCs/>
                <w:color w:val="000000"/>
                <w:sz w:val="20"/>
                <w:lang w:eastAsia="x-none"/>
              </w:rPr>
              <w:t>5 591,5</w:t>
            </w:r>
          </w:p>
        </w:tc>
        <w:tc>
          <w:tcPr>
            <w:tcW w:w="701" w:type="pct"/>
            <w:tcBorders>
              <w:top w:val="single" w:sz="4" w:space="0" w:color="auto"/>
              <w:left w:val="nil"/>
              <w:bottom w:val="single" w:sz="4" w:space="0" w:color="auto"/>
              <w:right w:val="single" w:sz="4" w:space="0" w:color="auto"/>
            </w:tcBorders>
            <w:shd w:val="clear" w:color="auto" w:fill="auto"/>
            <w:vAlign w:val="bottom"/>
          </w:tcPr>
          <w:p w14:paraId="3ED164EB" w14:textId="77777777" w:rsidR="00293000" w:rsidRPr="00293000" w:rsidRDefault="00293000" w:rsidP="00293000">
            <w:pPr>
              <w:ind w:firstLine="0"/>
              <w:jc w:val="left"/>
              <w:rPr>
                <w:rFonts w:eastAsia="Times New Roman"/>
                <w:iCs/>
                <w:color w:val="000000"/>
                <w:sz w:val="20"/>
                <w:lang w:eastAsia="x-none"/>
              </w:rPr>
            </w:pPr>
            <w:r w:rsidRPr="00293000">
              <w:rPr>
                <w:rFonts w:eastAsia="Times New Roman"/>
                <w:iCs/>
                <w:color w:val="000000"/>
                <w:sz w:val="20"/>
                <w:lang w:eastAsia="x-none"/>
              </w:rPr>
              <w:t>5 914,3</w:t>
            </w:r>
          </w:p>
        </w:tc>
        <w:tc>
          <w:tcPr>
            <w:tcW w:w="613" w:type="pct"/>
            <w:tcBorders>
              <w:top w:val="single" w:sz="4" w:space="0" w:color="auto"/>
              <w:left w:val="nil"/>
              <w:bottom w:val="single" w:sz="4" w:space="0" w:color="auto"/>
              <w:right w:val="single" w:sz="4" w:space="0" w:color="auto"/>
            </w:tcBorders>
            <w:shd w:val="clear" w:color="auto" w:fill="auto"/>
            <w:vAlign w:val="bottom"/>
          </w:tcPr>
          <w:p w14:paraId="02195721" w14:textId="77777777" w:rsidR="00293000" w:rsidRPr="00293000" w:rsidRDefault="00293000" w:rsidP="00293000">
            <w:pPr>
              <w:ind w:firstLine="0"/>
              <w:jc w:val="left"/>
              <w:rPr>
                <w:rFonts w:eastAsia="Times New Roman"/>
                <w:iCs/>
                <w:color w:val="000000"/>
                <w:sz w:val="20"/>
                <w:lang w:eastAsia="x-none"/>
              </w:rPr>
            </w:pPr>
            <w:r w:rsidRPr="00293000">
              <w:rPr>
                <w:rFonts w:eastAsia="Times New Roman"/>
                <w:iCs/>
                <w:color w:val="000000"/>
                <w:sz w:val="20"/>
                <w:lang w:eastAsia="x-none"/>
              </w:rPr>
              <w:t>6 215,7</w:t>
            </w:r>
          </w:p>
        </w:tc>
        <w:tc>
          <w:tcPr>
            <w:tcW w:w="613" w:type="pct"/>
            <w:tcBorders>
              <w:top w:val="single" w:sz="4" w:space="0" w:color="auto"/>
              <w:left w:val="nil"/>
              <w:bottom w:val="single" w:sz="4" w:space="0" w:color="auto"/>
              <w:right w:val="single" w:sz="4" w:space="0" w:color="auto"/>
            </w:tcBorders>
            <w:shd w:val="clear" w:color="auto" w:fill="auto"/>
            <w:vAlign w:val="bottom"/>
          </w:tcPr>
          <w:p w14:paraId="2130329B" w14:textId="77777777" w:rsidR="00293000" w:rsidRPr="00293000" w:rsidRDefault="00293000" w:rsidP="00293000">
            <w:pPr>
              <w:ind w:firstLine="0"/>
              <w:jc w:val="left"/>
              <w:rPr>
                <w:rFonts w:eastAsia="Times New Roman"/>
                <w:iCs/>
                <w:color w:val="000000"/>
                <w:sz w:val="20"/>
                <w:lang w:eastAsia="x-none"/>
              </w:rPr>
            </w:pPr>
            <w:r w:rsidRPr="00293000">
              <w:rPr>
                <w:rFonts w:eastAsia="Times New Roman"/>
                <w:iCs/>
                <w:color w:val="000000"/>
                <w:sz w:val="20"/>
                <w:lang w:eastAsia="x-none"/>
              </w:rPr>
              <w:t>6 514,9</w:t>
            </w:r>
          </w:p>
        </w:tc>
      </w:tr>
      <w:tr w:rsidR="00293000" w:rsidRPr="00293000" w14:paraId="54E7163C" w14:textId="77777777" w:rsidTr="007C70B8">
        <w:trPr>
          <w:trHeight w:val="444"/>
          <w:jc w:val="center"/>
        </w:trPr>
        <w:tc>
          <w:tcPr>
            <w:tcW w:w="1601" w:type="pct"/>
          </w:tcPr>
          <w:p w14:paraId="3F35968A" w14:textId="77777777" w:rsidR="00293000" w:rsidRPr="00293000" w:rsidRDefault="00293000" w:rsidP="00293000">
            <w:pPr>
              <w:ind w:firstLine="0"/>
              <w:jc w:val="left"/>
              <w:rPr>
                <w:rFonts w:eastAsia="Times New Roman"/>
                <w:iCs/>
                <w:color w:val="000000"/>
                <w:sz w:val="20"/>
                <w:lang w:eastAsia="x-none"/>
              </w:rPr>
            </w:pPr>
            <w:r w:rsidRPr="00293000">
              <w:rPr>
                <w:rFonts w:eastAsia="Times New Roman"/>
                <w:iCs/>
                <w:color w:val="000000"/>
                <w:sz w:val="20"/>
                <w:lang w:eastAsia="x-none"/>
              </w:rPr>
              <w:t>2. Ienākuma un mantas kārtējie nodokļi</w:t>
            </w:r>
          </w:p>
        </w:tc>
        <w:tc>
          <w:tcPr>
            <w:tcW w:w="858" w:type="pct"/>
          </w:tcPr>
          <w:p w14:paraId="05DCF8B7" w14:textId="77777777" w:rsidR="00293000" w:rsidRPr="00293000" w:rsidRDefault="00293000" w:rsidP="00293000">
            <w:pPr>
              <w:ind w:firstLine="0"/>
              <w:jc w:val="left"/>
              <w:rPr>
                <w:rFonts w:eastAsia="Times New Roman"/>
                <w:iCs/>
                <w:color w:val="000000"/>
                <w:sz w:val="20"/>
                <w:lang w:eastAsia="x-none"/>
              </w:rPr>
            </w:pPr>
            <w:r w:rsidRPr="00293000">
              <w:rPr>
                <w:rFonts w:eastAsia="Times New Roman"/>
                <w:iCs/>
                <w:color w:val="000000"/>
                <w:sz w:val="20"/>
                <w:lang w:eastAsia="x-none"/>
              </w:rPr>
              <w:t>D.5</w:t>
            </w:r>
          </w:p>
        </w:tc>
        <w:tc>
          <w:tcPr>
            <w:tcW w:w="614" w:type="pct"/>
            <w:tcBorders>
              <w:top w:val="single" w:sz="4" w:space="0" w:color="auto"/>
              <w:left w:val="single" w:sz="4" w:space="0" w:color="auto"/>
              <w:bottom w:val="single" w:sz="4" w:space="0" w:color="auto"/>
              <w:right w:val="single" w:sz="4" w:space="0" w:color="auto"/>
            </w:tcBorders>
            <w:shd w:val="clear" w:color="auto" w:fill="auto"/>
            <w:vAlign w:val="bottom"/>
          </w:tcPr>
          <w:p w14:paraId="093E2A06" w14:textId="77777777" w:rsidR="00293000" w:rsidRPr="00293000" w:rsidRDefault="00293000" w:rsidP="00293000">
            <w:pPr>
              <w:ind w:firstLine="0"/>
              <w:jc w:val="left"/>
              <w:rPr>
                <w:rFonts w:eastAsia="Times New Roman"/>
                <w:iCs/>
                <w:color w:val="000000"/>
                <w:sz w:val="20"/>
                <w:lang w:eastAsia="x-none"/>
              </w:rPr>
            </w:pPr>
            <w:r w:rsidRPr="00293000">
              <w:rPr>
                <w:rFonts w:eastAsia="Times New Roman"/>
                <w:iCs/>
                <w:color w:val="000000"/>
                <w:sz w:val="20"/>
                <w:lang w:eastAsia="x-none"/>
              </w:rPr>
              <w:t>2 858,5</w:t>
            </w:r>
          </w:p>
        </w:tc>
        <w:tc>
          <w:tcPr>
            <w:tcW w:w="701" w:type="pct"/>
            <w:tcBorders>
              <w:top w:val="single" w:sz="4" w:space="0" w:color="auto"/>
              <w:left w:val="nil"/>
              <w:bottom w:val="single" w:sz="4" w:space="0" w:color="auto"/>
              <w:right w:val="single" w:sz="4" w:space="0" w:color="auto"/>
            </w:tcBorders>
            <w:shd w:val="clear" w:color="auto" w:fill="auto"/>
            <w:vAlign w:val="bottom"/>
          </w:tcPr>
          <w:p w14:paraId="30DEDBBB" w14:textId="77777777" w:rsidR="00293000" w:rsidRPr="00293000" w:rsidRDefault="00293000" w:rsidP="00293000">
            <w:pPr>
              <w:ind w:firstLine="0"/>
              <w:jc w:val="left"/>
              <w:rPr>
                <w:rFonts w:eastAsia="Times New Roman"/>
                <w:iCs/>
                <w:color w:val="000000"/>
                <w:sz w:val="20"/>
                <w:lang w:eastAsia="x-none"/>
              </w:rPr>
            </w:pPr>
            <w:r w:rsidRPr="00293000">
              <w:rPr>
                <w:rFonts w:eastAsia="Times New Roman"/>
                <w:iCs/>
                <w:color w:val="000000"/>
                <w:sz w:val="20"/>
                <w:lang w:eastAsia="x-none"/>
              </w:rPr>
              <w:t>3 050,0</w:t>
            </w:r>
          </w:p>
        </w:tc>
        <w:tc>
          <w:tcPr>
            <w:tcW w:w="613" w:type="pct"/>
            <w:tcBorders>
              <w:top w:val="single" w:sz="4" w:space="0" w:color="auto"/>
              <w:left w:val="nil"/>
              <w:bottom w:val="single" w:sz="4" w:space="0" w:color="auto"/>
              <w:right w:val="single" w:sz="4" w:space="0" w:color="auto"/>
            </w:tcBorders>
            <w:shd w:val="clear" w:color="auto" w:fill="auto"/>
            <w:vAlign w:val="bottom"/>
          </w:tcPr>
          <w:p w14:paraId="70A06D92" w14:textId="77777777" w:rsidR="00293000" w:rsidRPr="00293000" w:rsidRDefault="00293000" w:rsidP="00293000">
            <w:pPr>
              <w:ind w:firstLine="0"/>
              <w:jc w:val="left"/>
              <w:rPr>
                <w:rFonts w:eastAsia="Times New Roman"/>
                <w:iCs/>
                <w:color w:val="000000"/>
                <w:sz w:val="20"/>
                <w:lang w:eastAsia="x-none"/>
              </w:rPr>
            </w:pPr>
            <w:r w:rsidRPr="00293000">
              <w:rPr>
                <w:rFonts w:eastAsia="Times New Roman"/>
                <w:iCs/>
                <w:color w:val="000000"/>
                <w:sz w:val="20"/>
                <w:lang w:eastAsia="x-none"/>
              </w:rPr>
              <w:t>3 209,0</w:t>
            </w:r>
          </w:p>
        </w:tc>
        <w:tc>
          <w:tcPr>
            <w:tcW w:w="613" w:type="pct"/>
            <w:tcBorders>
              <w:top w:val="single" w:sz="4" w:space="0" w:color="auto"/>
              <w:left w:val="nil"/>
              <w:bottom w:val="single" w:sz="4" w:space="0" w:color="auto"/>
              <w:right w:val="single" w:sz="4" w:space="0" w:color="auto"/>
            </w:tcBorders>
            <w:shd w:val="clear" w:color="auto" w:fill="auto"/>
            <w:vAlign w:val="bottom"/>
          </w:tcPr>
          <w:p w14:paraId="559875AB" w14:textId="77777777" w:rsidR="00293000" w:rsidRPr="00293000" w:rsidRDefault="00293000" w:rsidP="00293000">
            <w:pPr>
              <w:ind w:firstLine="0"/>
              <w:jc w:val="left"/>
              <w:rPr>
                <w:rFonts w:eastAsia="Times New Roman"/>
                <w:iCs/>
                <w:color w:val="000000"/>
                <w:sz w:val="20"/>
                <w:lang w:eastAsia="x-none"/>
              </w:rPr>
            </w:pPr>
            <w:r w:rsidRPr="00293000">
              <w:rPr>
                <w:rFonts w:eastAsia="Times New Roman"/>
                <w:iCs/>
                <w:color w:val="000000"/>
                <w:sz w:val="20"/>
                <w:lang w:eastAsia="x-none"/>
              </w:rPr>
              <w:t>3 386,3</w:t>
            </w:r>
          </w:p>
        </w:tc>
      </w:tr>
      <w:tr w:rsidR="00293000" w:rsidRPr="00293000" w14:paraId="339E8D99" w14:textId="77777777" w:rsidTr="007C70B8">
        <w:trPr>
          <w:trHeight w:val="222"/>
          <w:jc w:val="center"/>
        </w:trPr>
        <w:tc>
          <w:tcPr>
            <w:tcW w:w="1601" w:type="pct"/>
          </w:tcPr>
          <w:p w14:paraId="404CD1F7" w14:textId="77777777" w:rsidR="00293000" w:rsidRPr="00293000" w:rsidRDefault="00293000" w:rsidP="00293000">
            <w:pPr>
              <w:ind w:firstLine="0"/>
              <w:jc w:val="left"/>
              <w:rPr>
                <w:rFonts w:eastAsia="Times New Roman"/>
                <w:iCs/>
                <w:color w:val="000000"/>
                <w:sz w:val="20"/>
                <w:lang w:eastAsia="x-none"/>
              </w:rPr>
            </w:pPr>
            <w:r w:rsidRPr="00293000">
              <w:rPr>
                <w:rFonts w:eastAsia="Times New Roman"/>
                <w:iCs/>
                <w:color w:val="000000"/>
                <w:sz w:val="20"/>
                <w:lang w:eastAsia="x-none"/>
              </w:rPr>
              <w:t>3. Kapitāla nodokļi</w:t>
            </w:r>
          </w:p>
        </w:tc>
        <w:tc>
          <w:tcPr>
            <w:tcW w:w="858" w:type="pct"/>
          </w:tcPr>
          <w:p w14:paraId="5E1FC639" w14:textId="77777777" w:rsidR="00293000" w:rsidRPr="00293000" w:rsidRDefault="00293000" w:rsidP="00293000">
            <w:pPr>
              <w:ind w:firstLine="0"/>
              <w:jc w:val="left"/>
              <w:rPr>
                <w:rFonts w:eastAsia="Times New Roman"/>
                <w:iCs/>
                <w:color w:val="000000"/>
                <w:sz w:val="20"/>
                <w:lang w:eastAsia="x-none"/>
              </w:rPr>
            </w:pPr>
            <w:r w:rsidRPr="00293000">
              <w:rPr>
                <w:rFonts w:eastAsia="Times New Roman"/>
                <w:iCs/>
                <w:color w:val="000000"/>
                <w:sz w:val="20"/>
                <w:lang w:eastAsia="x-none"/>
              </w:rPr>
              <w:t>D.91</w:t>
            </w:r>
          </w:p>
        </w:tc>
        <w:tc>
          <w:tcPr>
            <w:tcW w:w="614" w:type="pct"/>
            <w:tcBorders>
              <w:top w:val="single" w:sz="4" w:space="0" w:color="auto"/>
              <w:left w:val="single" w:sz="4" w:space="0" w:color="auto"/>
              <w:bottom w:val="single" w:sz="4" w:space="0" w:color="auto"/>
              <w:right w:val="single" w:sz="4" w:space="0" w:color="auto"/>
            </w:tcBorders>
            <w:shd w:val="clear" w:color="auto" w:fill="auto"/>
            <w:vAlign w:val="bottom"/>
          </w:tcPr>
          <w:p w14:paraId="04045C37" w14:textId="77777777" w:rsidR="00293000" w:rsidRPr="00293000" w:rsidRDefault="00293000" w:rsidP="00293000">
            <w:pPr>
              <w:ind w:firstLine="0"/>
              <w:jc w:val="left"/>
              <w:rPr>
                <w:rFonts w:eastAsia="Times New Roman"/>
                <w:iCs/>
                <w:color w:val="000000"/>
                <w:sz w:val="20"/>
                <w:lang w:eastAsia="x-none"/>
              </w:rPr>
            </w:pPr>
            <w:r w:rsidRPr="00293000">
              <w:rPr>
                <w:rFonts w:eastAsia="Times New Roman"/>
                <w:iCs/>
                <w:color w:val="000000"/>
                <w:sz w:val="20"/>
                <w:lang w:eastAsia="x-none"/>
              </w:rPr>
              <w:t>18,3</w:t>
            </w:r>
          </w:p>
        </w:tc>
        <w:tc>
          <w:tcPr>
            <w:tcW w:w="701" w:type="pct"/>
            <w:tcBorders>
              <w:top w:val="single" w:sz="4" w:space="0" w:color="auto"/>
              <w:left w:val="nil"/>
              <w:bottom w:val="single" w:sz="4" w:space="0" w:color="auto"/>
              <w:right w:val="single" w:sz="4" w:space="0" w:color="auto"/>
            </w:tcBorders>
            <w:shd w:val="clear" w:color="auto" w:fill="auto"/>
            <w:vAlign w:val="bottom"/>
          </w:tcPr>
          <w:p w14:paraId="365265D9" w14:textId="77777777" w:rsidR="00293000" w:rsidRPr="00293000" w:rsidRDefault="00293000" w:rsidP="00293000">
            <w:pPr>
              <w:ind w:firstLine="0"/>
              <w:jc w:val="left"/>
              <w:rPr>
                <w:rFonts w:eastAsia="Times New Roman"/>
                <w:iCs/>
                <w:color w:val="000000"/>
                <w:sz w:val="20"/>
                <w:lang w:eastAsia="x-none"/>
              </w:rPr>
            </w:pPr>
            <w:r w:rsidRPr="00293000">
              <w:rPr>
                <w:rFonts w:eastAsia="Times New Roman"/>
                <w:iCs/>
                <w:color w:val="000000"/>
                <w:sz w:val="20"/>
                <w:lang w:eastAsia="x-none"/>
              </w:rPr>
              <w:t>18,7</w:t>
            </w:r>
          </w:p>
        </w:tc>
        <w:tc>
          <w:tcPr>
            <w:tcW w:w="613" w:type="pct"/>
            <w:tcBorders>
              <w:top w:val="single" w:sz="4" w:space="0" w:color="auto"/>
              <w:left w:val="nil"/>
              <w:bottom w:val="single" w:sz="4" w:space="0" w:color="auto"/>
              <w:right w:val="single" w:sz="4" w:space="0" w:color="auto"/>
            </w:tcBorders>
            <w:shd w:val="clear" w:color="auto" w:fill="auto"/>
            <w:vAlign w:val="bottom"/>
          </w:tcPr>
          <w:p w14:paraId="121A14B2" w14:textId="77777777" w:rsidR="00293000" w:rsidRPr="00293000" w:rsidRDefault="00293000" w:rsidP="00293000">
            <w:pPr>
              <w:ind w:firstLine="0"/>
              <w:jc w:val="left"/>
              <w:rPr>
                <w:rFonts w:eastAsia="Times New Roman"/>
                <w:iCs/>
                <w:color w:val="000000"/>
                <w:sz w:val="20"/>
                <w:lang w:eastAsia="x-none"/>
              </w:rPr>
            </w:pPr>
            <w:r w:rsidRPr="00293000">
              <w:rPr>
                <w:rFonts w:eastAsia="Times New Roman"/>
                <w:iCs/>
                <w:color w:val="000000"/>
                <w:sz w:val="20"/>
                <w:lang w:eastAsia="x-none"/>
              </w:rPr>
              <w:t>19,0</w:t>
            </w:r>
          </w:p>
        </w:tc>
        <w:tc>
          <w:tcPr>
            <w:tcW w:w="613" w:type="pct"/>
            <w:tcBorders>
              <w:top w:val="single" w:sz="4" w:space="0" w:color="auto"/>
              <w:left w:val="nil"/>
              <w:bottom w:val="single" w:sz="4" w:space="0" w:color="auto"/>
              <w:right w:val="single" w:sz="4" w:space="0" w:color="auto"/>
            </w:tcBorders>
            <w:shd w:val="clear" w:color="auto" w:fill="auto"/>
            <w:vAlign w:val="bottom"/>
          </w:tcPr>
          <w:p w14:paraId="0D98A27F" w14:textId="77777777" w:rsidR="00293000" w:rsidRPr="00293000" w:rsidRDefault="00293000" w:rsidP="00293000">
            <w:pPr>
              <w:ind w:firstLine="0"/>
              <w:jc w:val="left"/>
              <w:rPr>
                <w:rFonts w:eastAsia="Times New Roman"/>
                <w:iCs/>
                <w:color w:val="000000"/>
                <w:sz w:val="20"/>
                <w:lang w:eastAsia="x-none"/>
              </w:rPr>
            </w:pPr>
            <w:r w:rsidRPr="00293000">
              <w:rPr>
                <w:rFonts w:eastAsia="Times New Roman"/>
                <w:iCs/>
                <w:color w:val="000000"/>
                <w:sz w:val="20"/>
                <w:lang w:eastAsia="x-none"/>
              </w:rPr>
              <w:t>19,0</w:t>
            </w:r>
          </w:p>
        </w:tc>
      </w:tr>
      <w:tr w:rsidR="00293000" w:rsidRPr="00293000" w14:paraId="1A109F84" w14:textId="77777777" w:rsidTr="007C70B8">
        <w:trPr>
          <w:trHeight w:val="222"/>
          <w:jc w:val="center"/>
        </w:trPr>
        <w:tc>
          <w:tcPr>
            <w:tcW w:w="1601" w:type="pct"/>
          </w:tcPr>
          <w:p w14:paraId="64AAE78B" w14:textId="77777777" w:rsidR="00293000" w:rsidRPr="00293000" w:rsidRDefault="00293000" w:rsidP="00293000">
            <w:pPr>
              <w:ind w:firstLine="0"/>
              <w:jc w:val="left"/>
              <w:rPr>
                <w:rFonts w:eastAsia="Times New Roman"/>
                <w:iCs/>
                <w:color w:val="000000"/>
                <w:sz w:val="20"/>
                <w:lang w:eastAsia="x-none"/>
              </w:rPr>
            </w:pPr>
            <w:r w:rsidRPr="00293000">
              <w:rPr>
                <w:rFonts w:eastAsia="Times New Roman"/>
                <w:iCs/>
                <w:color w:val="000000"/>
                <w:sz w:val="20"/>
                <w:lang w:eastAsia="x-none"/>
              </w:rPr>
              <w:t>4. Sociālās iemaksas</w:t>
            </w:r>
          </w:p>
        </w:tc>
        <w:tc>
          <w:tcPr>
            <w:tcW w:w="858" w:type="pct"/>
          </w:tcPr>
          <w:p w14:paraId="0B81ABD9" w14:textId="77777777" w:rsidR="00293000" w:rsidRPr="00293000" w:rsidRDefault="00293000" w:rsidP="00293000">
            <w:pPr>
              <w:ind w:firstLine="0"/>
              <w:jc w:val="left"/>
              <w:rPr>
                <w:rFonts w:eastAsia="Times New Roman"/>
                <w:iCs/>
                <w:color w:val="000000"/>
                <w:sz w:val="20"/>
                <w:lang w:eastAsia="x-none"/>
              </w:rPr>
            </w:pPr>
            <w:r w:rsidRPr="00293000">
              <w:rPr>
                <w:rFonts w:eastAsia="Times New Roman"/>
                <w:iCs/>
                <w:color w:val="000000"/>
                <w:sz w:val="20"/>
                <w:lang w:eastAsia="x-none"/>
              </w:rPr>
              <w:t>D.61</w:t>
            </w:r>
          </w:p>
        </w:tc>
        <w:tc>
          <w:tcPr>
            <w:tcW w:w="614" w:type="pct"/>
            <w:tcBorders>
              <w:top w:val="single" w:sz="4" w:space="0" w:color="auto"/>
              <w:left w:val="single" w:sz="4" w:space="0" w:color="auto"/>
              <w:bottom w:val="single" w:sz="4" w:space="0" w:color="auto"/>
              <w:right w:val="single" w:sz="4" w:space="0" w:color="auto"/>
            </w:tcBorders>
            <w:shd w:val="clear" w:color="auto" w:fill="auto"/>
            <w:vAlign w:val="bottom"/>
          </w:tcPr>
          <w:p w14:paraId="08AA49F9" w14:textId="77777777" w:rsidR="00293000" w:rsidRPr="00293000" w:rsidRDefault="00293000" w:rsidP="00293000">
            <w:pPr>
              <w:ind w:firstLine="0"/>
              <w:jc w:val="left"/>
              <w:rPr>
                <w:rFonts w:eastAsia="Times New Roman"/>
                <w:iCs/>
                <w:color w:val="000000"/>
                <w:sz w:val="20"/>
                <w:lang w:eastAsia="x-none"/>
              </w:rPr>
            </w:pPr>
            <w:r w:rsidRPr="00293000">
              <w:rPr>
                <w:rFonts w:eastAsia="Times New Roman"/>
                <w:iCs/>
                <w:color w:val="000000"/>
                <w:sz w:val="20"/>
                <w:lang w:eastAsia="x-none"/>
              </w:rPr>
              <w:t>4 208,9</w:t>
            </w:r>
          </w:p>
        </w:tc>
        <w:tc>
          <w:tcPr>
            <w:tcW w:w="701" w:type="pct"/>
            <w:tcBorders>
              <w:top w:val="single" w:sz="4" w:space="0" w:color="auto"/>
              <w:left w:val="nil"/>
              <w:bottom w:val="single" w:sz="4" w:space="0" w:color="auto"/>
              <w:right w:val="single" w:sz="4" w:space="0" w:color="auto"/>
            </w:tcBorders>
            <w:shd w:val="clear" w:color="auto" w:fill="auto"/>
            <w:vAlign w:val="bottom"/>
          </w:tcPr>
          <w:p w14:paraId="07E49A65" w14:textId="77777777" w:rsidR="00293000" w:rsidRPr="00293000" w:rsidRDefault="00293000" w:rsidP="00293000">
            <w:pPr>
              <w:ind w:firstLine="0"/>
              <w:jc w:val="left"/>
              <w:rPr>
                <w:rFonts w:eastAsia="Times New Roman"/>
                <w:iCs/>
                <w:color w:val="000000"/>
                <w:sz w:val="20"/>
                <w:lang w:eastAsia="x-none"/>
              </w:rPr>
            </w:pPr>
            <w:r w:rsidRPr="00293000">
              <w:rPr>
                <w:rFonts w:eastAsia="Times New Roman"/>
                <w:iCs/>
                <w:color w:val="000000"/>
                <w:sz w:val="20"/>
                <w:lang w:eastAsia="x-none"/>
              </w:rPr>
              <w:t>4 553,4</w:t>
            </w:r>
          </w:p>
        </w:tc>
        <w:tc>
          <w:tcPr>
            <w:tcW w:w="613" w:type="pct"/>
            <w:tcBorders>
              <w:top w:val="single" w:sz="4" w:space="0" w:color="auto"/>
              <w:left w:val="nil"/>
              <w:bottom w:val="single" w:sz="4" w:space="0" w:color="auto"/>
              <w:right w:val="single" w:sz="4" w:space="0" w:color="auto"/>
            </w:tcBorders>
            <w:shd w:val="clear" w:color="auto" w:fill="auto"/>
            <w:vAlign w:val="bottom"/>
          </w:tcPr>
          <w:p w14:paraId="6803CC5C" w14:textId="77777777" w:rsidR="00293000" w:rsidRPr="00293000" w:rsidRDefault="00293000" w:rsidP="00293000">
            <w:pPr>
              <w:ind w:firstLine="0"/>
              <w:jc w:val="left"/>
              <w:rPr>
                <w:rFonts w:eastAsia="Times New Roman"/>
                <w:iCs/>
                <w:color w:val="000000"/>
                <w:sz w:val="20"/>
                <w:lang w:eastAsia="x-none"/>
              </w:rPr>
            </w:pPr>
            <w:r w:rsidRPr="00293000">
              <w:rPr>
                <w:rFonts w:eastAsia="Times New Roman"/>
                <w:iCs/>
                <w:color w:val="000000"/>
                <w:sz w:val="20"/>
                <w:lang w:eastAsia="x-none"/>
              </w:rPr>
              <w:t>4 807,5</w:t>
            </w:r>
          </w:p>
        </w:tc>
        <w:tc>
          <w:tcPr>
            <w:tcW w:w="613" w:type="pct"/>
            <w:tcBorders>
              <w:top w:val="single" w:sz="4" w:space="0" w:color="auto"/>
              <w:left w:val="nil"/>
              <w:bottom w:val="single" w:sz="4" w:space="0" w:color="auto"/>
              <w:right w:val="single" w:sz="4" w:space="0" w:color="auto"/>
            </w:tcBorders>
            <w:shd w:val="clear" w:color="auto" w:fill="auto"/>
            <w:vAlign w:val="bottom"/>
          </w:tcPr>
          <w:p w14:paraId="74C3E40C" w14:textId="77777777" w:rsidR="00293000" w:rsidRPr="00293000" w:rsidRDefault="00293000" w:rsidP="00293000">
            <w:pPr>
              <w:ind w:firstLine="0"/>
              <w:jc w:val="left"/>
              <w:rPr>
                <w:rFonts w:eastAsia="Times New Roman"/>
                <w:iCs/>
                <w:color w:val="000000"/>
                <w:sz w:val="20"/>
                <w:lang w:eastAsia="x-none"/>
              </w:rPr>
            </w:pPr>
            <w:r w:rsidRPr="00293000">
              <w:rPr>
                <w:rFonts w:eastAsia="Times New Roman"/>
                <w:iCs/>
                <w:color w:val="000000"/>
                <w:sz w:val="20"/>
                <w:lang w:eastAsia="x-none"/>
              </w:rPr>
              <w:t>5 024,9</w:t>
            </w:r>
          </w:p>
        </w:tc>
      </w:tr>
      <w:tr w:rsidR="00293000" w:rsidRPr="00293000" w14:paraId="57131473" w14:textId="77777777" w:rsidTr="007C70B8">
        <w:trPr>
          <w:trHeight w:val="188"/>
          <w:jc w:val="center"/>
        </w:trPr>
        <w:tc>
          <w:tcPr>
            <w:tcW w:w="1601" w:type="pct"/>
          </w:tcPr>
          <w:p w14:paraId="0AC447E0" w14:textId="77777777" w:rsidR="00293000" w:rsidRPr="00293000" w:rsidRDefault="00293000" w:rsidP="00293000">
            <w:pPr>
              <w:ind w:firstLine="0"/>
              <w:jc w:val="left"/>
              <w:rPr>
                <w:rFonts w:eastAsia="Times New Roman"/>
                <w:i/>
                <w:color w:val="000000"/>
                <w:sz w:val="20"/>
                <w:lang w:eastAsia="x-none"/>
              </w:rPr>
            </w:pPr>
            <w:r w:rsidRPr="00293000">
              <w:rPr>
                <w:rFonts w:eastAsia="Times New Roman"/>
                <w:i/>
                <w:color w:val="000000"/>
                <w:sz w:val="20"/>
                <w:lang w:eastAsia="x-none"/>
              </w:rPr>
              <w:t>No tā faktiskās sociālās iemaksas</w:t>
            </w:r>
          </w:p>
        </w:tc>
        <w:tc>
          <w:tcPr>
            <w:tcW w:w="858" w:type="pct"/>
          </w:tcPr>
          <w:p w14:paraId="27060357" w14:textId="77777777" w:rsidR="00293000" w:rsidRPr="00293000" w:rsidRDefault="00293000" w:rsidP="00293000">
            <w:pPr>
              <w:ind w:firstLine="0"/>
              <w:jc w:val="left"/>
              <w:rPr>
                <w:rFonts w:eastAsia="Times New Roman"/>
                <w:i/>
                <w:color w:val="000000"/>
                <w:sz w:val="20"/>
                <w:lang w:eastAsia="x-none"/>
              </w:rPr>
            </w:pPr>
            <w:r w:rsidRPr="00293000">
              <w:rPr>
                <w:rFonts w:eastAsia="Times New Roman"/>
                <w:i/>
                <w:color w:val="000000"/>
                <w:sz w:val="20"/>
                <w:lang w:eastAsia="x-none"/>
              </w:rPr>
              <w:t>D.611 un D.613</w:t>
            </w:r>
          </w:p>
        </w:tc>
        <w:tc>
          <w:tcPr>
            <w:tcW w:w="614" w:type="pct"/>
            <w:tcBorders>
              <w:top w:val="single" w:sz="4" w:space="0" w:color="auto"/>
              <w:left w:val="nil"/>
              <w:bottom w:val="single" w:sz="4" w:space="0" w:color="auto"/>
              <w:right w:val="single" w:sz="4" w:space="0" w:color="auto"/>
            </w:tcBorders>
            <w:shd w:val="clear" w:color="auto" w:fill="auto"/>
            <w:vAlign w:val="center"/>
          </w:tcPr>
          <w:p w14:paraId="2CBAE577" w14:textId="77777777" w:rsidR="00293000" w:rsidRPr="00293000" w:rsidRDefault="00293000" w:rsidP="00293000">
            <w:pPr>
              <w:ind w:firstLine="0"/>
              <w:jc w:val="left"/>
              <w:rPr>
                <w:rFonts w:eastAsia="Times New Roman"/>
                <w:i/>
                <w:color w:val="000000"/>
                <w:sz w:val="20"/>
                <w:lang w:eastAsia="x-none"/>
              </w:rPr>
            </w:pPr>
            <w:r w:rsidRPr="00293000">
              <w:rPr>
                <w:rFonts w:eastAsia="Times New Roman"/>
                <w:i/>
                <w:color w:val="000000"/>
                <w:sz w:val="20"/>
                <w:lang w:eastAsia="x-none"/>
              </w:rPr>
              <w:t>4 071,3</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14:paraId="1901DD4D" w14:textId="77777777" w:rsidR="00293000" w:rsidRPr="00293000" w:rsidRDefault="00293000" w:rsidP="00293000">
            <w:pPr>
              <w:ind w:firstLine="0"/>
              <w:jc w:val="left"/>
              <w:rPr>
                <w:rFonts w:eastAsia="Times New Roman"/>
                <w:i/>
                <w:color w:val="000000"/>
                <w:sz w:val="20"/>
                <w:lang w:eastAsia="x-none"/>
              </w:rPr>
            </w:pPr>
            <w:r w:rsidRPr="00293000">
              <w:rPr>
                <w:rFonts w:eastAsia="Times New Roman"/>
                <w:i/>
                <w:color w:val="000000"/>
                <w:sz w:val="20"/>
                <w:lang w:eastAsia="x-none"/>
              </w:rPr>
              <w:t>4 415,7</w:t>
            </w:r>
          </w:p>
        </w:tc>
        <w:tc>
          <w:tcPr>
            <w:tcW w:w="613" w:type="pct"/>
            <w:tcBorders>
              <w:top w:val="single" w:sz="4" w:space="0" w:color="auto"/>
              <w:left w:val="single" w:sz="4" w:space="0" w:color="auto"/>
              <w:bottom w:val="single" w:sz="4" w:space="0" w:color="auto"/>
              <w:right w:val="single" w:sz="4" w:space="0" w:color="auto"/>
            </w:tcBorders>
            <w:shd w:val="clear" w:color="auto" w:fill="auto"/>
            <w:vAlign w:val="center"/>
          </w:tcPr>
          <w:p w14:paraId="779388FE" w14:textId="77777777" w:rsidR="00293000" w:rsidRPr="00293000" w:rsidRDefault="00293000" w:rsidP="00293000">
            <w:pPr>
              <w:ind w:firstLine="0"/>
              <w:jc w:val="left"/>
              <w:rPr>
                <w:rFonts w:eastAsia="Times New Roman"/>
                <w:i/>
                <w:color w:val="000000"/>
                <w:sz w:val="20"/>
                <w:lang w:eastAsia="x-none"/>
              </w:rPr>
            </w:pPr>
            <w:r w:rsidRPr="00293000">
              <w:rPr>
                <w:rFonts w:eastAsia="Times New Roman"/>
                <w:i/>
                <w:color w:val="000000"/>
                <w:sz w:val="20"/>
                <w:lang w:eastAsia="x-none"/>
              </w:rPr>
              <w:t>4 669,8</w:t>
            </w:r>
          </w:p>
        </w:tc>
        <w:tc>
          <w:tcPr>
            <w:tcW w:w="613" w:type="pct"/>
            <w:tcBorders>
              <w:top w:val="single" w:sz="4" w:space="0" w:color="auto"/>
              <w:left w:val="single" w:sz="4" w:space="0" w:color="auto"/>
              <w:bottom w:val="single" w:sz="4" w:space="0" w:color="auto"/>
              <w:right w:val="single" w:sz="4" w:space="0" w:color="auto"/>
            </w:tcBorders>
            <w:shd w:val="clear" w:color="auto" w:fill="auto"/>
            <w:vAlign w:val="center"/>
          </w:tcPr>
          <w:p w14:paraId="71FB770D" w14:textId="77777777" w:rsidR="00293000" w:rsidRPr="00293000" w:rsidRDefault="00293000" w:rsidP="00293000">
            <w:pPr>
              <w:ind w:firstLine="0"/>
              <w:jc w:val="left"/>
              <w:rPr>
                <w:rFonts w:eastAsia="Times New Roman"/>
                <w:i/>
                <w:color w:val="000000"/>
                <w:sz w:val="20"/>
                <w:lang w:eastAsia="x-none"/>
              </w:rPr>
            </w:pPr>
            <w:r w:rsidRPr="00293000">
              <w:rPr>
                <w:rFonts w:eastAsia="Times New Roman"/>
                <w:i/>
                <w:color w:val="000000"/>
                <w:sz w:val="20"/>
                <w:lang w:eastAsia="x-none"/>
              </w:rPr>
              <w:t>4 887,2</w:t>
            </w:r>
          </w:p>
        </w:tc>
      </w:tr>
      <w:bookmarkEnd w:id="64"/>
    </w:tbl>
    <w:p w14:paraId="548AE2E8" w14:textId="77777777" w:rsidR="00293000" w:rsidRDefault="00293000" w:rsidP="00293000">
      <w:pPr>
        <w:ind w:firstLine="0"/>
        <w:rPr>
          <w:rFonts w:eastAsia="Times New Roman" w:cs="Times New Roman"/>
          <w:iCs/>
          <w:sz w:val="24"/>
          <w:szCs w:val="20"/>
          <w:lang w:eastAsia="x-none"/>
        </w:rPr>
      </w:pPr>
    </w:p>
    <w:p w14:paraId="12045AD1" w14:textId="0BDA6615" w:rsidR="00293000" w:rsidRPr="00293000" w:rsidRDefault="00293000" w:rsidP="00293000">
      <w:pPr>
        <w:ind w:firstLine="709"/>
        <w:rPr>
          <w:rFonts w:eastAsia="Times New Roman" w:cs="Times New Roman"/>
          <w:iCs/>
          <w:sz w:val="24"/>
          <w:szCs w:val="20"/>
          <w:lang w:eastAsia="x-none"/>
        </w:rPr>
      </w:pPr>
      <w:r w:rsidRPr="00293000">
        <w:rPr>
          <w:rFonts w:eastAsia="Times New Roman" w:cs="Times New Roman"/>
          <w:iCs/>
          <w:sz w:val="24"/>
          <w:szCs w:val="20"/>
          <w:lang w:eastAsia="x-none"/>
        </w:rPr>
        <w:t>Kopējie nodokļu ieņēmumi turpmākajos gados uzrāda stabilu pieauguma tendenci, saglabājot vienmērīgu līmeni attiecībā pret IKP, kas vidēji tiek prognozēts 29% apmērā.</w:t>
      </w:r>
    </w:p>
    <w:p w14:paraId="4C1CD200" w14:textId="5FED45D1" w:rsidR="00293000" w:rsidRPr="00293000" w:rsidRDefault="00293000" w:rsidP="00293000">
      <w:pPr>
        <w:ind w:firstLine="706"/>
        <w:rPr>
          <w:rFonts w:eastAsia="Times New Roman" w:cs="Times New Roman"/>
          <w:iCs/>
          <w:sz w:val="24"/>
          <w:szCs w:val="20"/>
          <w:lang w:eastAsia="x-none"/>
        </w:rPr>
      </w:pPr>
      <w:r w:rsidRPr="00293000">
        <w:rPr>
          <w:rFonts w:eastAsia="Times New Roman" w:cs="Times New Roman"/>
          <w:iCs/>
          <w:sz w:val="24"/>
          <w:szCs w:val="20"/>
          <w:lang w:eastAsia="x-none"/>
        </w:rPr>
        <w:t>Kopējais nodokļu ieņēmumu pieaugums (2026.</w:t>
      </w:r>
      <w:r w:rsidR="00D766E4">
        <w:rPr>
          <w:rFonts w:eastAsia="Times New Roman" w:cs="Times New Roman"/>
          <w:iCs/>
          <w:sz w:val="24"/>
          <w:szCs w:val="20"/>
          <w:lang w:eastAsia="x-none"/>
        </w:rPr>
        <w:t xml:space="preserve"> </w:t>
      </w:r>
      <w:r w:rsidRPr="00293000">
        <w:rPr>
          <w:rFonts w:eastAsia="Times New Roman" w:cs="Times New Roman"/>
          <w:iCs/>
          <w:sz w:val="24"/>
          <w:szCs w:val="20"/>
          <w:lang w:eastAsia="x-none"/>
        </w:rPr>
        <w:t>gads pret 2023.</w:t>
      </w:r>
      <w:r w:rsidR="00D766E4">
        <w:rPr>
          <w:rFonts w:eastAsia="Times New Roman" w:cs="Times New Roman"/>
          <w:iCs/>
          <w:sz w:val="24"/>
          <w:szCs w:val="20"/>
          <w:lang w:eastAsia="x-none"/>
        </w:rPr>
        <w:t xml:space="preserve"> </w:t>
      </w:r>
      <w:r w:rsidRPr="00293000">
        <w:rPr>
          <w:rFonts w:eastAsia="Times New Roman" w:cs="Times New Roman"/>
          <w:iCs/>
          <w:sz w:val="24"/>
          <w:szCs w:val="20"/>
          <w:lang w:eastAsia="x-none"/>
        </w:rPr>
        <w:t>gadu) prognozēts 18% apmērā, darbaspēka nodokļiem pieaugot par 19%, patēriņa nodokļiem par 17% un kapitāla nodokļiem par 4 procentiem.</w:t>
      </w:r>
    </w:p>
    <w:p w14:paraId="52BD8098" w14:textId="5C209A56" w:rsidR="00293000" w:rsidRPr="00293000" w:rsidRDefault="00293000" w:rsidP="00293000">
      <w:pPr>
        <w:ind w:firstLine="706"/>
        <w:rPr>
          <w:rFonts w:eastAsia="Times New Roman" w:cs="Times New Roman"/>
          <w:iCs/>
          <w:sz w:val="24"/>
          <w:szCs w:val="20"/>
          <w:lang w:eastAsia="x-none"/>
        </w:rPr>
      </w:pPr>
      <w:r w:rsidRPr="00293000">
        <w:rPr>
          <w:rFonts w:eastAsia="Times New Roman" w:cs="Times New Roman"/>
          <w:iCs/>
          <w:sz w:val="24"/>
          <w:szCs w:val="20"/>
          <w:lang w:eastAsia="x-none"/>
        </w:rPr>
        <w:t>Būtiskāko nodokļu ieņēmumu kategoriju īpatsvars IKP atspoguļots 5.</w:t>
      </w:r>
      <w:r>
        <w:rPr>
          <w:rFonts w:eastAsia="Times New Roman" w:cs="Times New Roman"/>
          <w:iCs/>
          <w:sz w:val="24"/>
          <w:szCs w:val="20"/>
          <w:lang w:eastAsia="x-none"/>
        </w:rPr>
        <w:t>2</w:t>
      </w:r>
      <w:r w:rsidRPr="00293000">
        <w:rPr>
          <w:rFonts w:eastAsia="Times New Roman" w:cs="Times New Roman"/>
          <w:iCs/>
          <w:sz w:val="24"/>
          <w:szCs w:val="20"/>
          <w:lang w:eastAsia="x-none"/>
        </w:rPr>
        <w:t>. attēlā.</w:t>
      </w:r>
    </w:p>
    <w:p w14:paraId="4AFB22C8" w14:textId="77777777" w:rsidR="00293000" w:rsidRPr="00293000" w:rsidRDefault="00293000" w:rsidP="00293000">
      <w:pPr>
        <w:keepNext/>
        <w:spacing w:before="120" w:after="120"/>
        <w:ind w:firstLine="0"/>
        <w:jc w:val="center"/>
        <w:rPr>
          <w:rFonts w:eastAsia="Times New Roman" w:cs="Times New Roman"/>
          <w:iCs/>
          <w:noProof/>
          <w:sz w:val="24"/>
          <w:szCs w:val="20"/>
          <w:highlight w:val="yellow"/>
          <w:lang w:eastAsia="x-none"/>
        </w:rPr>
      </w:pPr>
      <w:r w:rsidRPr="00293000">
        <w:rPr>
          <w:rFonts w:eastAsia="Times New Roman" w:cs="Times New Roman"/>
          <w:iCs/>
          <w:noProof/>
          <w:sz w:val="24"/>
          <w:szCs w:val="20"/>
          <w:lang w:eastAsia="x-none"/>
        </w:rPr>
        <w:drawing>
          <wp:inline distT="0" distB="0" distL="0" distR="0" wp14:anchorId="7C85769B" wp14:editId="27242028">
            <wp:extent cx="4886325" cy="2152650"/>
            <wp:effectExtent l="0" t="0" r="0" b="0"/>
            <wp:docPr id="4" name="Chart 4">
              <a:extLst xmlns:a="http://schemas.openxmlformats.org/drawingml/2006/main">
                <a:ext uri="{FF2B5EF4-FFF2-40B4-BE49-F238E27FC236}">
                  <a16:creationId xmlns:a16="http://schemas.microsoft.com/office/drawing/2014/main" id="{1800175E-539F-49E1-8B3F-EFA237105D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F722B26" w14:textId="6C56F914" w:rsidR="00293000" w:rsidRPr="00293000" w:rsidRDefault="00293000" w:rsidP="00293000">
      <w:pPr>
        <w:ind w:firstLine="0"/>
        <w:jc w:val="center"/>
        <w:rPr>
          <w:rFonts w:eastAsia="Times New Roman" w:cs="Times New Roman"/>
          <w:b/>
          <w:i/>
          <w:sz w:val="24"/>
          <w:szCs w:val="24"/>
          <w:lang w:eastAsia="x-none"/>
        </w:rPr>
      </w:pPr>
      <w:r w:rsidRPr="00293000">
        <w:rPr>
          <w:rFonts w:eastAsia="Times New Roman" w:cs="Times New Roman"/>
          <w:b/>
          <w:i/>
          <w:sz w:val="24"/>
          <w:szCs w:val="24"/>
          <w:lang w:eastAsia="x-none"/>
        </w:rPr>
        <w:t>5.</w:t>
      </w:r>
      <w:r>
        <w:rPr>
          <w:rFonts w:eastAsia="Times New Roman" w:cs="Times New Roman"/>
          <w:b/>
          <w:i/>
          <w:sz w:val="24"/>
          <w:szCs w:val="24"/>
          <w:lang w:eastAsia="x-none"/>
        </w:rPr>
        <w:t>2</w:t>
      </w:r>
      <w:r w:rsidRPr="00293000">
        <w:rPr>
          <w:rFonts w:eastAsia="Times New Roman" w:cs="Times New Roman"/>
          <w:b/>
          <w:i/>
          <w:sz w:val="24"/>
          <w:szCs w:val="24"/>
          <w:lang w:eastAsia="x-none"/>
        </w:rPr>
        <w:t>. att. Nodokļu ieņēmumi atbilstoši ekonomiskajām funkcijām, % no IKP</w:t>
      </w:r>
    </w:p>
    <w:p w14:paraId="79EE1822" w14:textId="77777777" w:rsidR="00293000" w:rsidRPr="00293000" w:rsidRDefault="00293000" w:rsidP="00293000">
      <w:pPr>
        <w:jc w:val="center"/>
        <w:rPr>
          <w:rFonts w:eastAsia="Times New Roman" w:cs="Times New Roman"/>
          <w:b/>
          <w:i/>
          <w:sz w:val="24"/>
          <w:szCs w:val="24"/>
          <w:lang w:eastAsia="x-none"/>
        </w:rPr>
      </w:pPr>
    </w:p>
    <w:p w14:paraId="2589E9B9" w14:textId="00DEAE90" w:rsidR="00D766E4" w:rsidRDefault="00293000" w:rsidP="00D766E4">
      <w:pPr>
        <w:rPr>
          <w:rFonts w:eastAsia="Times New Roman" w:cs="Times New Roman"/>
          <w:iCs/>
          <w:sz w:val="24"/>
          <w:szCs w:val="20"/>
          <w:lang w:eastAsia="x-none"/>
        </w:rPr>
      </w:pPr>
      <w:r w:rsidRPr="00293000">
        <w:rPr>
          <w:rFonts w:eastAsia="Times New Roman" w:cs="Times New Roman"/>
          <w:iCs/>
          <w:sz w:val="24"/>
          <w:szCs w:val="20"/>
          <w:lang w:eastAsia="x-none"/>
        </w:rPr>
        <w:t>Jāatzīmē, ka 2023. gadā sadarbībā ar valdības sociālajiem un sadarbības partneriem tiks izstrādātas Valsts nodokļu politikas pamatnostādnes 2024. – 2027. gadam, definējot nodokļu politikas prioritātes turpmākajiem gadiem. To mērķis ir īstenot stabilu, elastīgu un nodokļu maksātājiem saprotamu nodokļu politiku, kas veicina iedzīvotāju labklājību un valsts reģionālo konkurētspēju, vienlaicīgi nodrošinot valsts fiskālās vajadzības un stratēģisko attīstības mērķu sasniegšanu. Nodokļu politikas stratēģisko virzienu skaidrība un stabilitāte ir būtiska gan uzņēmējdarbības, gan sabiedrisko pakalpojumu un investīciju efektīvai plānošanai,  to sasaistot ar valsts vispārējiem attīstības mērķiem.</w:t>
      </w:r>
      <w:bookmarkEnd w:id="63"/>
    </w:p>
    <w:p w14:paraId="79DB7192" w14:textId="661C56E9" w:rsidR="00D766E4" w:rsidRDefault="00D766E4">
      <w:pPr>
        <w:spacing w:after="160" w:line="259" w:lineRule="auto"/>
        <w:ind w:firstLine="0"/>
        <w:jc w:val="left"/>
        <w:rPr>
          <w:rFonts w:eastAsia="Times New Roman" w:cs="Times New Roman"/>
          <w:iCs/>
          <w:sz w:val="24"/>
          <w:szCs w:val="20"/>
          <w:lang w:eastAsia="x-none"/>
        </w:rPr>
      </w:pPr>
      <w:r>
        <w:rPr>
          <w:rFonts w:eastAsia="Times New Roman" w:cs="Times New Roman"/>
          <w:iCs/>
          <w:sz w:val="24"/>
          <w:szCs w:val="20"/>
          <w:lang w:eastAsia="x-none"/>
        </w:rPr>
        <w:br w:type="page"/>
      </w:r>
    </w:p>
    <w:p w14:paraId="4579B020" w14:textId="4C12E6D8" w:rsidR="00BF4753" w:rsidRPr="00513CD4" w:rsidRDefault="00BF4753" w:rsidP="00D766E4">
      <w:pPr>
        <w:pStyle w:val="Heading1"/>
        <w:rPr>
          <w:sz w:val="32"/>
          <w:szCs w:val="32"/>
        </w:rPr>
      </w:pPr>
      <w:bookmarkStart w:id="65" w:name="_Toc131331254"/>
      <w:r w:rsidRPr="00513CD4">
        <w:rPr>
          <w:bCs w:val="0"/>
          <w:smallCaps w:val="0"/>
          <w:sz w:val="32"/>
          <w:szCs w:val="32"/>
        </w:rPr>
        <w:lastRenderedPageBreak/>
        <w:t>6.</w:t>
      </w:r>
      <w:r w:rsidRPr="00513CD4">
        <w:rPr>
          <w:sz w:val="32"/>
          <w:szCs w:val="32"/>
        </w:rPr>
        <w:t xml:space="preserve"> Publisko finanšu ilgtspēja</w:t>
      </w:r>
      <w:bookmarkEnd w:id="65"/>
    </w:p>
    <w:p w14:paraId="6866A499" w14:textId="39E042C4" w:rsidR="00BF4753" w:rsidRPr="00513CD4" w:rsidRDefault="00BF4753" w:rsidP="00BF4753">
      <w:pPr>
        <w:pStyle w:val="Heading2"/>
        <w:numPr>
          <w:ilvl w:val="0"/>
          <w:numId w:val="0"/>
        </w:numPr>
        <w:spacing w:before="240" w:after="240"/>
        <w:rPr>
          <w:rFonts w:eastAsia="Times New Roman"/>
          <w:sz w:val="28"/>
          <w:szCs w:val="24"/>
          <w:lang w:eastAsia="lv-LV"/>
        </w:rPr>
      </w:pPr>
      <w:bookmarkStart w:id="66" w:name="_Toc131331255"/>
      <w:r w:rsidRPr="00513CD4">
        <w:rPr>
          <w:rFonts w:eastAsia="Times New Roman"/>
          <w:sz w:val="28"/>
          <w:szCs w:val="24"/>
          <w:lang w:eastAsia="lv-LV"/>
        </w:rPr>
        <w:t>6.1. Publisko finanšu ilgtermiņa attīstības scenārijs</w:t>
      </w:r>
      <w:bookmarkEnd w:id="66"/>
    </w:p>
    <w:p w14:paraId="702EDE06" w14:textId="6B8760FE" w:rsidR="00513CD4" w:rsidRPr="00513CD4" w:rsidRDefault="00513CD4" w:rsidP="00A77F9C">
      <w:pPr>
        <w:autoSpaceDE w:val="0"/>
        <w:autoSpaceDN w:val="0"/>
        <w:adjustRightInd w:val="0"/>
        <w:rPr>
          <w:rFonts w:eastAsia="Times New Roman" w:cs="Times New Roman"/>
          <w:sz w:val="24"/>
          <w:szCs w:val="24"/>
        </w:rPr>
      </w:pPr>
      <w:r w:rsidRPr="00513CD4">
        <w:rPr>
          <w:rFonts w:eastAsia="Times New Roman" w:cs="Times New Roman"/>
          <w:sz w:val="24"/>
          <w:szCs w:val="24"/>
        </w:rPr>
        <w:t xml:space="preserve">Reizi trijos gados </w:t>
      </w:r>
      <w:r>
        <w:rPr>
          <w:rFonts w:eastAsia="Times New Roman" w:cs="Times New Roman"/>
          <w:sz w:val="24"/>
          <w:szCs w:val="24"/>
        </w:rPr>
        <w:t>EK</w:t>
      </w:r>
      <w:r w:rsidRPr="00513CD4">
        <w:rPr>
          <w:rFonts w:eastAsia="Times New Roman" w:cs="Times New Roman"/>
          <w:sz w:val="24"/>
          <w:szCs w:val="24"/>
        </w:rPr>
        <w:t xml:space="preserve"> sadarbībā ar dalībvalstīm Ekonomiskās politikas komitejas Iedzīvotāju novecošanās darba grupas (EPC AWG) ietvaros izstrādā ilgtermiņa ar novecošanos saistītu budžeta izdevumu prognozes. Aktuālākās ilgtermiņa budžeta izdevumu prognozes, kuras darba grupa izstrādāja 2020. gada otrā pusē, tika publicētas Novecošanās ziņojumā 2021 (</w:t>
      </w:r>
      <w:proofErr w:type="spellStart"/>
      <w:r w:rsidRPr="00513CD4">
        <w:rPr>
          <w:rFonts w:eastAsia="Times New Roman" w:cs="Times New Roman"/>
          <w:i/>
          <w:iCs/>
          <w:noProof/>
          <w:sz w:val="24"/>
          <w:szCs w:val="24"/>
        </w:rPr>
        <w:t>Ageing</w:t>
      </w:r>
      <w:proofErr w:type="spellEnd"/>
      <w:r w:rsidRPr="00513CD4">
        <w:rPr>
          <w:rFonts w:eastAsia="Times New Roman" w:cs="Times New Roman"/>
          <w:i/>
          <w:iCs/>
          <w:noProof/>
          <w:sz w:val="24"/>
          <w:szCs w:val="24"/>
        </w:rPr>
        <w:t xml:space="preserve"> Report 2021</w:t>
      </w:r>
      <w:r w:rsidRPr="00513CD4">
        <w:rPr>
          <w:rFonts w:eastAsia="Times New Roman" w:cs="Times New Roman"/>
          <w:sz w:val="24"/>
          <w:szCs w:val="24"/>
        </w:rPr>
        <w:t>). Šobrīd EPC AWG darba grupa ir uzsākusi darbu pie prognozēšanas metodoloģijas pilnveidošanas un ilgtermiņa makroekonomisko un budžeta prognožu aktualizēšanas, kas tiks iekļautas Novecošanās ziņojumā 2024.</w:t>
      </w:r>
    </w:p>
    <w:p w14:paraId="510878D3" w14:textId="64DAB056" w:rsidR="00513CD4" w:rsidRPr="00513CD4" w:rsidRDefault="00513CD4" w:rsidP="00A77F9C">
      <w:pPr>
        <w:autoSpaceDE w:val="0"/>
        <w:autoSpaceDN w:val="0"/>
        <w:adjustRightInd w:val="0"/>
        <w:rPr>
          <w:rFonts w:eastAsia="Times New Roman" w:cs="Times New Roman"/>
          <w:i/>
          <w:iCs/>
          <w:noProof/>
          <w:sz w:val="24"/>
          <w:szCs w:val="24"/>
        </w:rPr>
      </w:pPr>
      <w:r w:rsidRPr="00513CD4">
        <w:rPr>
          <w:rFonts w:eastAsia="Times New Roman" w:cs="Times New Roman"/>
          <w:noProof/>
          <w:sz w:val="24"/>
          <w:szCs w:val="24"/>
        </w:rPr>
        <w:t xml:space="preserve">Sagatavojot publisko izdevumu prognozes līdz 2070. gadam iepriekšējam Novecošanās ziņojumam, tika ņemtas vērā </w:t>
      </w:r>
      <w:r w:rsidRPr="00513CD4">
        <w:rPr>
          <w:rFonts w:eastAsia="Times New Roman" w:cs="Times New Roman"/>
          <w:i/>
          <w:iCs/>
          <w:noProof/>
          <w:sz w:val="24"/>
          <w:szCs w:val="24"/>
        </w:rPr>
        <w:t>Eurostat</w:t>
      </w:r>
      <w:r w:rsidRPr="00513CD4">
        <w:rPr>
          <w:rFonts w:eastAsia="Times New Roman" w:cs="Times New Roman"/>
          <w:noProof/>
          <w:sz w:val="24"/>
          <w:szCs w:val="24"/>
        </w:rPr>
        <w:t xml:space="preserve"> sagatavotās demogrāfiskās prognozes EUROPOP2019, kā arī </w:t>
      </w:r>
      <w:r>
        <w:rPr>
          <w:rFonts w:eastAsia="Times New Roman" w:cs="Times New Roman"/>
          <w:noProof/>
          <w:sz w:val="24"/>
          <w:szCs w:val="24"/>
        </w:rPr>
        <w:t>EK</w:t>
      </w:r>
      <w:r w:rsidRPr="00513CD4">
        <w:rPr>
          <w:rFonts w:eastAsia="Times New Roman" w:cs="Times New Roman"/>
          <w:noProof/>
          <w:sz w:val="24"/>
          <w:szCs w:val="24"/>
        </w:rPr>
        <w:t xml:space="preserve"> sagatavotās makroekonomisko rādītāju prognozes ilgam termiņam. Prognozēšanas metodoloģija, kas ir vienota visām dalībvalstīm, ir izdiskutēta un apstiprināta AWG darba grupā, kā arī publicēta </w:t>
      </w:r>
      <w:r w:rsidRPr="00513CD4">
        <w:rPr>
          <w:rFonts w:eastAsia="Times New Roman" w:cs="Times New Roman"/>
          <w:i/>
          <w:iCs/>
          <w:noProof/>
          <w:sz w:val="24"/>
          <w:szCs w:val="24"/>
        </w:rPr>
        <w:t>Ageing Report 2021: Underlying Assumptions and Projection Methodologies.</w:t>
      </w:r>
    </w:p>
    <w:p w14:paraId="4D101F2D" w14:textId="77777777" w:rsidR="00513CD4" w:rsidRPr="00513CD4" w:rsidRDefault="00513CD4" w:rsidP="00A77F9C">
      <w:pPr>
        <w:rPr>
          <w:rFonts w:eastAsia="Times New Roman" w:cs="Times New Roman"/>
          <w:bCs/>
          <w:sz w:val="24"/>
          <w:szCs w:val="20"/>
        </w:rPr>
      </w:pPr>
      <w:r w:rsidRPr="00513CD4">
        <w:rPr>
          <w:rFonts w:eastAsia="Times New Roman" w:cs="Times New Roman"/>
          <w:color w:val="000000"/>
          <w:sz w:val="24"/>
          <w:szCs w:val="24"/>
        </w:rPr>
        <w:t xml:space="preserve">EUROPOP2019 prognozēs bāzes gads ir 2019. gads, un Latvijā 2019. gada sākumā iedzīvotāju skaits bija 1,92 milj. cilvēku, kas ir, piemēram, par 200 tūkst. mazāk nekā 2010. gadā. Aktuālie statistikas dati liecina, ka 2022. gada sākumā Latvijas iedzīvotāju skaits bija 1,88 milj. cilvēku. Salīdzinot ar 2021. gadu, iedzīvotāju skaits samazinājās par 17,5 tūkst. jeb 0,9%, galvenokārt samazinoties dzimstības rādītājam. </w:t>
      </w:r>
    </w:p>
    <w:p w14:paraId="7E88EA18" w14:textId="32A67C3C" w:rsidR="00513CD4" w:rsidRPr="00513CD4" w:rsidRDefault="00626C80" w:rsidP="00513CD4">
      <w:pPr>
        <w:spacing w:after="120"/>
        <w:rPr>
          <w:rFonts w:eastAsia="Times New Roman" w:cs="Times New Roman"/>
          <w:bCs/>
          <w:sz w:val="24"/>
          <w:szCs w:val="20"/>
        </w:rPr>
        <w:sectPr w:rsidR="00513CD4" w:rsidRPr="00513CD4" w:rsidSect="009B3352">
          <w:headerReference w:type="even" r:id="rId34"/>
          <w:headerReference w:type="default" r:id="rId35"/>
          <w:footerReference w:type="even" r:id="rId36"/>
          <w:footerReference w:type="default" r:id="rId37"/>
          <w:headerReference w:type="first" r:id="rId38"/>
          <w:type w:val="continuous"/>
          <w:pgSz w:w="11906" w:h="16838"/>
          <w:pgMar w:top="1418" w:right="1134" w:bottom="709" w:left="1418" w:header="709" w:footer="709" w:gutter="0"/>
          <w:cols w:space="709"/>
          <w:titlePg/>
          <w:docGrid w:linePitch="381"/>
        </w:sectPr>
      </w:pPr>
      <w:r w:rsidRPr="00513CD4">
        <w:rPr>
          <w:rFonts w:eastAsia="Calibri" w:cs="Times New Roman"/>
          <w:noProof/>
          <w:sz w:val="24"/>
          <w:szCs w:val="20"/>
        </w:rPr>
        <w:drawing>
          <wp:anchor distT="0" distB="0" distL="114300" distR="114300" simplePos="0" relativeHeight="251686912" behindDoc="0" locked="0" layoutInCell="1" allowOverlap="1" wp14:anchorId="3B6BEC4A" wp14:editId="7D95DE0D">
            <wp:simplePos x="0" y="0"/>
            <wp:positionH relativeFrom="column">
              <wp:posOffset>3042920</wp:posOffset>
            </wp:positionH>
            <wp:positionV relativeFrom="page">
              <wp:posOffset>4705350</wp:posOffset>
            </wp:positionV>
            <wp:extent cx="3081020" cy="2159635"/>
            <wp:effectExtent l="0" t="0" r="5080"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7219"/>
                    <a:stretch/>
                  </pic:blipFill>
                  <pic:spPr bwMode="auto">
                    <a:xfrm>
                      <a:off x="0" y="0"/>
                      <a:ext cx="3081020" cy="2159635"/>
                    </a:xfrm>
                    <a:prstGeom prst="rect">
                      <a:avLst/>
                    </a:prstGeom>
                    <a:noFill/>
                    <a:ln>
                      <a:noFill/>
                    </a:ln>
                    <a:extLst>
                      <a:ext uri="{53640926-AAD7-44D8-BBD7-CCE9431645EC}">
                        <a14:shadowObscured xmlns:a14="http://schemas.microsoft.com/office/drawing/2010/main"/>
                      </a:ext>
                    </a:extLst>
                  </pic:spPr>
                </pic:pic>
              </a:graphicData>
            </a:graphic>
          </wp:anchor>
        </w:drawing>
      </w:r>
      <w:r w:rsidR="00513CD4" w:rsidRPr="00513CD4">
        <w:rPr>
          <w:rFonts w:eastAsia="Calibri" w:cs="Times New Roman"/>
          <w:noProof/>
          <w:sz w:val="24"/>
          <w:szCs w:val="20"/>
        </w:rPr>
        <w:drawing>
          <wp:anchor distT="0" distB="0" distL="114300" distR="114300" simplePos="0" relativeHeight="251685888" behindDoc="0" locked="0" layoutInCell="1" allowOverlap="1" wp14:anchorId="68E34D58" wp14:editId="36E8559E">
            <wp:simplePos x="0" y="0"/>
            <wp:positionH relativeFrom="margin">
              <wp:align>left</wp:align>
            </wp:positionH>
            <wp:positionV relativeFrom="page">
              <wp:posOffset>4775200</wp:posOffset>
            </wp:positionV>
            <wp:extent cx="3168650" cy="2159635"/>
            <wp:effectExtent l="0" t="0" r="0" b="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r="4573"/>
                    <a:stretch/>
                  </pic:blipFill>
                  <pic:spPr bwMode="auto">
                    <a:xfrm>
                      <a:off x="0" y="0"/>
                      <a:ext cx="3168650" cy="2159635"/>
                    </a:xfrm>
                    <a:prstGeom prst="rect">
                      <a:avLst/>
                    </a:prstGeom>
                    <a:noFill/>
                    <a:ln>
                      <a:noFill/>
                    </a:ln>
                    <a:extLst>
                      <a:ext uri="{53640926-AAD7-44D8-BBD7-CCE9431645EC}">
                        <a14:shadowObscured xmlns:a14="http://schemas.microsoft.com/office/drawing/2010/main"/>
                      </a:ext>
                    </a:extLst>
                  </pic:spPr>
                </pic:pic>
              </a:graphicData>
            </a:graphic>
          </wp:anchor>
        </w:drawing>
      </w:r>
    </w:p>
    <w:p w14:paraId="6589985F" w14:textId="36B981C3" w:rsidR="00513CD4" w:rsidRPr="00513CD4" w:rsidRDefault="00513CD4" w:rsidP="00513CD4">
      <w:pPr>
        <w:spacing w:after="120"/>
        <w:ind w:left="720" w:firstLine="0"/>
        <w:jc w:val="center"/>
        <w:rPr>
          <w:rFonts w:eastAsia="Calibri" w:cs="Times New Roman"/>
          <w:b/>
          <w:i/>
          <w:iCs/>
          <w:sz w:val="24"/>
          <w:szCs w:val="24"/>
        </w:rPr>
      </w:pPr>
      <w:r w:rsidRPr="00513CD4">
        <w:rPr>
          <w:rFonts w:eastAsia="Calibri" w:cs="Times New Roman"/>
          <w:b/>
          <w:i/>
          <w:iCs/>
          <w:sz w:val="24"/>
          <w:szCs w:val="24"/>
        </w:rPr>
        <w:t>6.1.</w:t>
      </w:r>
      <w:r>
        <w:rPr>
          <w:rFonts w:eastAsia="Calibri" w:cs="Times New Roman"/>
          <w:b/>
          <w:i/>
          <w:iCs/>
          <w:sz w:val="24"/>
          <w:szCs w:val="24"/>
        </w:rPr>
        <w:t xml:space="preserve"> </w:t>
      </w:r>
      <w:r w:rsidRPr="00513CD4">
        <w:rPr>
          <w:rFonts w:eastAsia="Calibri" w:cs="Times New Roman"/>
          <w:b/>
          <w:i/>
          <w:iCs/>
          <w:sz w:val="24"/>
          <w:szCs w:val="24"/>
        </w:rPr>
        <w:t>att. Iedzīvotāju skaits</w:t>
      </w:r>
      <w:r w:rsidRPr="00513CD4">
        <w:rPr>
          <w:rFonts w:eastAsia="Calibri" w:cs="Times New Roman"/>
          <w:b/>
          <w:i/>
          <w:iCs/>
          <w:sz w:val="24"/>
          <w:szCs w:val="24"/>
        </w:rPr>
        <w:br/>
        <w:t xml:space="preserve">(Datu avots: </w:t>
      </w:r>
      <w:r w:rsidRPr="00513CD4">
        <w:rPr>
          <w:rFonts w:eastAsia="Calibri" w:cs="Times New Roman"/>
          <w:b/>
          <w:i/>
          <w:iCs/>
          <w:noProof/>
          <w:sz w:val="24"/>
          <w:szCs w:val="24"/>
        </w:rPr>
        <w:t>Eurostat</w:t>
      </w:r>
      <w:r w:rsidRPr="00513CD4">
        <w:rPr>
          <w:rFonts w:eastAsia="Calibri" w:cs="Times New Roman"/>
          <w:b/>
          <w:i/>
          <w:iCs/>
          <w:sz w:val="24"/>
          <w:szCs w:val="24"/>
        </w:rPr>
        <w:t>)</w:t>
      </w:r>
    </w:p>
    <w:p w14:paraId="6AA765E0" w14:textId="77777777" w:rsidR="00513CD4" w:rsidRPr="00513CD4" w:rsidRDefault="00513CD4" w:rsidP="00A77F9C">
      <w:pPr>
        <w:rPr>
          <w:rFonts w:eastAsia="Times New Roman" w:cs="Times New Roman"/>
          <w:bCs/>
          <w:i/>
          <w:iCs/>
          <w:sz w:val="24"/>
          <w:szCs w:val="20"/>
        </w:rPr>
      </w:pPr>
    </w:p>
    <w:p w14:paraId="32FC3BC3" w14:textId="1E824D31" w:rsidR="00513CD4" w:rsidRPr="00513CD4" w:rsidRDefault="00513CD4" w:rsidP="00513CD4">
      <w:pPr>
        <w:spacing w:after="120"/>
        <w:ind w:firstLine="0"/>
        <w:jc w:val="center"/>
        <w:rPr>
          <w:rFonts w:eastAsia="Calibri" w:cs="Times New Roman"/>
          <w:b/>
          <w:i/>
          <w:iCs/>
          <w:sz w:val="24"/>
          <w:szCs w:val="24"/>
        </w:rPr>
      </w:pPr>
      <w:r w:rsidRPr="00513CD4">
        <w:rPr>
          <w:rFonts w:eastAsia="Calibri" w:cs="Times New Roman"/>
          <w:b/>
          <w:i/>
          <w:iCs/>
          <w:sz w:val="24"/>
          <w:szCs w:val="24"/>
        </w:rPr>
        <w:t>6.2.</w:t>
      </w:r>
      <w:r>
        <w:rPr>
          <w:rFonts w:eastAsia="Calibri" w:cs="Times New Roman"/>
          <w:b/>
          <w:i/>
          <w:iCs/>
          <w:sz w:val="24"/>
          <w:szCs w:val="24"/>
        </w:rPr>
        <w:t xml:space="preserve"> </w:t>
      </w:r>
      <w:r w:rsidRPr="00513CD4">
        <w:rPr>
          <w:rFonts w:eastAsia="Calibri" w:cs="Times New Roman"/>
          <w:b/>
          <w:i/>
          <w:iCs/>
          <w:sz w:val="24"/>
          <w:szCs w:val="24"/>
        </w:rPr>
        <w:t>att. 65+ iedzīvotāju attiecība pret</w:t>
      </w:r>
      <w:r w:rsidRPr="00513CD4">
        <w:rPr>
          <w:rFonts w:eastAsia="Calibri" w:cs="Times New Roman"/>
          <w:b/>
          <w:i/>
          <w:iCs/>
          <w:sz w:val="24"/>
          <w:szCs w:val="24"/>
        </w:rPr>
        <w:br/>
        <w:t>15-64 iedzīvotāju skaitu, %</w:t>
      </w:r>
      <w:r w:rsidRPr="00513CD4">
        <w:rPr>
          <w:rFonts w:eastAsia="Calibri" w:cs="Times New Roman"/>
          <w:b/>
          <w:i/>
          <w:iCs/>
          <w:sz w:val="24"/>
          <w:szCs w:val="24"/>
        </w:rPr>
        <w:br/>
        <w:t xml:space="preserve">(Datu avots: </w:t>
      </w:r>
      <w:r w:rsidRPr="00513CD4">
        <w:rPr>
          <w:rFonts w:eastAsia="Calibri" w:cs="Times New Roman"/>
          <w:b/>
          <w:i/>
          <w:iCs/>
          <w:noProof/>
          <w:sz w:val="24"/>
          <w:szCs w:val="24"/>
        </w:rPr>
        <w:t>Eurostat</w:t>
      </w:r>
      <w:r w:rsidRPr="00513CD4">
        <w:rPr>
          <w:rFonts w:eastAsia="Calibri" w:cs="Times New Roman"/>
          <w:b/>
          <w:i/>
          <w:iCs/>
          <w:sz w:val="24"/>
          <w:szCs w:val="24"/>
        </w:rPr>
        <w:t>)</w:t>
      </w:r>
    </w:p>
    <w:p w14:paraId="118D6536" w14:textId="77777777" w:rsidR="00513CD4" w:rsidRPr="00513CD4" w:rsidRDefault="00513CD4" w:rsidP="00513CD4">
      <w:pPr>
        <w:spacing w:after="120"/>
        <w:ind w:firstLine="0"/>
        <w:rPr>
          <w:rFonts w:eastAsia="Calibri" w:cs="Times New Roman"/>
          <w:b/>
          <w:sz w:val="24"/>
          <w:szCs w:val="24"/>
        </w:rPr>
        <w:sectPr w:rsidR="00513CD4" w:rsidRPr="00513CD4" w:rsidSect="0074586A">
          <w:type w:val="continuous"/>
          <w:pgSz w:w="11906" w:h="16838"/>
          <w:pgMar w:top="1418" w:right="1134" w:bottom="709" w:left="1418" w:header="709" w:footer="709" w:gutter="0"/>
          <w:cols w:num="2" w:space="709"/>
          <w:titlePg/>
          <w:docGrid w:linePitch="381"/>
        </w:sectPr>
      </w:pPr>
    </w:p>
    <w:p w14:paraId="78707306" w14:textId="77777777" w:rsidR="00513CD4" w:rsidRPr="00513CD4" w:rsidRDefault="00513CD4" w:rsidP="00513CD4">
      <w:pPr>
        <w:spacing w:after="120"/>
        <w:rPr>
          <w:rFonts w:eastAsia="Times New Roman" w:cs="Times New Roman"/>
          <w:bCs/>
          <w:sz w:val="24"/>
          <w:szCs w:val="20"/>
        </w:rPr>
      </w:pPr>
      <w:r w:rsidRPr="00513CD4">
        <w:rPr>
          <w:rFonts w:eastAsia="Times New Roman" w:cs="Times New Roman"/>
          <w:bCs/>
          <w:sz w:val="24"/>
          <w:szCs w:val="20"/>
        </w:rPr>
        <w:t xml:space="preserve">Atbilstoši </w:t>
      </w:r>
      <w:r w:rsidRPr="00513CD4">
        <w:rPr>
          <w:rFonts w:eastAsia="Times New Roman" w:cs="Times New Roman"/>
          <w:bCs/>
          <w:i/>
          <w:iCs/>
          <w:noProof/>
          <w:sz w:val="24"/>
          <w:szCs w:val="20"/>
        </w:rPr>
        <w:t>Eurostat</w:t>
      </w:r>
      <w:r w:rsidRPr="00513CD4">
        <w:rPr>
          <w:rFonts w:eastAsia="Times New Roman" w:cs="Times New Roman"/>
          <w:bCs/>
          <w:sz w:val="24"/>
          <w:szCs w:val="20"/>
        </w:rPr>
        <w:t xml:space="preserve"> tiek prognozēts, ka Latvijā iedzīvotāju skaits samazināsies līdz 1,26 miljoniem 2060. gadā un tālāk līdz 1,08 miljoniem iedzīvotāju 2100. gadā. Sagatavojot demogrāfiskās prognozes Latvijai, tika ņemts vērā, ka:</w:t>
      </w:r>
    </w:p>
    <w:p w14:paraId="0CF9A60B" w14:textId="77777777" w:rsidR="00513CD4" w:rsidRPr="00513CD4" w:rsidRDefault="00513CD4" w:rsidP="00A32841">
      <w:pPr>
        <w:numPr>
          <w:ilvl w:val="0"/>
          <w:numId w:val="38"/>
        </w:numPr>
        <w:spacing w:after="120"/>
        <w:contextualSpacing/>
        <w:rPr>
          <w:rFonts w:eastAsia="Times New Roman" w:cs="Times New Roman"/>
          <w:bCs/>
          <w:sz w:val="24"/>
          <w:szCs w:val="20"/>
        </w:rPr>
      </w:pPr>
      <w:r w:rsidRPr="00513CD4">
        <w:rPr>
          <w:rFonts w:eastAsia="Times New Roman" w:cs="Times New Roman"/>
          <w:sz w:val="24"/>
          <w:szCs w:val="24"/>
          <w:lang w:eastAsia="lv-LV"/>
        </w:rPr>
        <w:t>summārais dzimstības koeficients pieaugs no 1,58 2019. gadā līdz 1,73 2100. gadā. Aktuālie statistikas dati liecina, ka dzimušo skaits Latvijā turpina samazināties, piemēram, 2022. gadā dzimstība bija viena no zemākajām pēdējo 100 gadu laikā: 15,5 tūkstoši jaundzimušie, kas ir par 1 885 jeb 10,8% mazāk nekā 2021. gadā;</w:t>
      </w:r>
    </w:p>
    <w:p w14:paraId="6063A705" w14:textId="77777777" w:rsidR="00513CD4" w:rsidRPr="00513CD4" w:rsidRDefault="00513CD4" w:rsidP="00A32841">
      <w:pPr>
        <w:numPr>
          <w:ilvl w:val="0"/>
          <w:numId w:val="38"/>
        </w:numPr>
        <w:spacing w:afterLines="60" w:after="144"/>
        <w:rPr>
          <w:rFonts w:eastAsia="Times New Roman" w:cs="Times New Roman"/>
          <w:sz w:val="24"/>
          <w:szCs w:val="24"/>
          <w:lang w:eastAsia="lv-LV"/>
        </w:rPr>
      </w:pPr>
      <w:r w:rsidRPr="00513CD4">
        <w:rPr>
          <w:rFonts w:eastAsia="Times New Roman" w:cs="Times New Roman"/>
          <w:sz w:val="24"/>
          <w:szCs w:val="24"/>
          <w:lang w:eastAsia="lv-LV"/>
        </w:rPr>
        <w:t>dabiskais pieaugums Latvijā ilgstoši saglabāsies negatīvs – līdz pat 2100. gadam. Aktuālie statistikas dati liecina, ka pirms pandēmijas no 2012. gada līdz 2019. gadam mirušo skaitam gadā bija tendence samazināties,</w:t>
      </w:r>
      <w:r w:rsidRPr="00513CD4">
        <w:rPr>
          <w:rFonts w:eastAsia="Times New Roman" w:cs="Times New Roman"/>
          <w:sz w:val="24"/>
          <w:szCs w:val="20"/>
        </w:rPr>
        <w:t xml:space="preserve"> </w:t>
      </w:r>
      <w:r w:rsidRPr="00513CD4">
        <w:rPr>
          <w:rFonts w:eastAsia="Times New Roman" w:cs="Times New Roman"/>
          <w:sz w:val="24"/>
          <w:szCs w:val="24"/>
          <w:lang w:eastAsia="lv-LV"/>
        </w:rPr>
        <w:t xml:space="preserve">savukārt 2020. gadā salīdzinot ar iepriekšējo gadu mirušo skaits Covid-19 pandēmijas ietekmē palielinājās par 1 135 jeb 4,1%, bet 2021. gadā  – par 5 746 jeb 19,9%. 2022. gadā, </w:t>
      </w:r>
      <w:r w:rsidRPr="00513CD4">
        <w:rPr>
          <w:rFonts w:eastAsia="Times New Roman" w:cs="Times New Roman"/>
          <w:sz w:val="24"/>
          <w:szCs w:val="24"/>
          <w:lang w:eastAsia="lv-LV"/>
        </w:rPr>
        <w:lastRenderedPageBreak/>
        <w:t>salīdzinot ar 2021. gadu, mirušo skaits samazinājās par 4 252 jeb 12,3% un bija 30,3 tūkstoši, kas ir gandrīz divreiz augstāks nekā dzimušo skaits;</w:t>
      </w:r>
    </w:p>
    <w:p w14:paraId="6A0B5F67" w14:textId="77777777" w:rsidR="00513CD4" w:rsidRPr="00513CD4" w:rsidRDefault="00513CD4" w:rsidP="00A32841">
      <w:pPr>
        <w:numPr>
          <w:ilvl w:val="0"/>
          <w:numId w:val="38"/>
        </w:numPr>
        <w:spacing w:afterLines="60" w:after="144"/>
        <w:rPr>
          <w:rFonts w:eastAsia="Times New Roman" w:cs="Times New Roman"/>
          <w:sz w:val="24"/>
          <w:szCs w:val="24"/>
          <w:lang w:eastAsia="lv-LV"/>
        </w:rPr>
      </w:pPr>
      <w:r w:rsidRPr="00513CD4">
        <w:rPr>
          <w:rFonts w:eastAsia="Times New Roman" w:cs="Times New Roman"/>
          <w:sz w:val="24"/>
          <w:szCs w:val="24"/>
          <w:lang w:eastAsia="lv-LV"/>
        </w:rPr>
        <w:t xml:space="preserve">65+ iedzīvotāju attiecības pret iedzīvotāju skaitu darbspējas vecumā palielināšanās (skat. 6.2. attēlu), augstāko attiecību </w:t>
      </w:r>
      <w:r w:rsidRPr="00513CD4">
        <w:rPr>
          <w:rFonts w:eastAsia="Times New Roman" w:cs="Times New Roman"/>
          <w:sz w:val="24"/>
          <w:szCs w:val="24"/>
          <w:lang w:eastAsia="lv-LV"/>
        </w:rPr>
        <w:softHyphen/>
        <w:t xml:space="preserve">– 63,2% no darbspējas vecuma iedzīvotājiem sasniedzot 2060. gadā. Ilgtermiņā vecāka gadagājuma iedzīvotāju attiecības palielināšanos ietekmēs mūža ilguma palielināšanās, kas saskaņā ar </w:t>
      </w:r>
      <w:r w:rsidRPr="00513CD4">
        <w:rPr>
          <w:rFonts w:eastAsia="Times New Roman" w:cs="Times New Roman"/>
          <w:i/>
          <w:iCs/>
          <w:noProof/>
          <w:sz w:val="24"/>
          <w:szCs w:val="24"/>
          <w:lang w:eastAsia="lv-LV"/>
        </w:rPr>
        <w:t>Eurostat</w:t>
      </w:r>
      <w:r w:rsidRPr="00513CD4">
        <w:rPr>
          <w:rFonts w:eastAsia="Times New Roman" w:cs="Times New Roman"/>
          <w:sz w:val="24"/>
          <w:szCs w:val="24"/>
          <w:lang w:eastAsia="lv-LV"/>
        </w:rPr>
        <w:t xml:space="preserve"> prognozēm vīriešiem pieaugs no vidēji 70,6 gadiem 2019. gadā līdz 87,6 gadiem 2100. gadā, savukārt sievietēm palielināsies no vidēji 80,2 gadiem 2019. gadā līdz 92,1 gadam 2100. gadā. Tāpat arī 65+ attiecības palielināšanos pret 15-64 iedzīvotājiem ilgtermiņā ietekmēs iedzīvotāju darbspējas vecumā skaita samazināšanās atbilstoši </w:t>
      </w:r>
      <w:r w:rsidRPr="00513CD4">
        <w:rPr>
          <w:rFonts w:eastAsia="Times New Roman" w:cs="Times New Roman"/>
          <w:i/>
          <w:iCs/>
          <w:noProof/>
          <w:sz w:val="24"/>
          <w:szCs w:val="24"/>
          <w:lang w:eastAsia="lv-LV"/>
        </w:rPr>
        <w:t xml:space="preserve">Eurostat </w:t>
      </w:r>
      <w:r w:rsidRPr="00513CD4">
        <w:rPr>
          <w:rFonts w:eastAsia="Times New Roman" w:cs="Times New Roman"/>
          <w:sz w:val="24"/>
          <w:szCs w:val="24"/>
          <w:lang w:eastAsia="lv-LV"/>
        </w:rPr>
        <w:t>prognozēm;</w:t>
      </w:r>
    </w:p>
    <w:p w14:paraId="5157E488" w14:textId="77777777" w:rsidR="00513CD4" w:rsidRPr="00513CD4" w:rsidRDefault="00513CD4" w:rsidP="00A32841">
      <w:pPr>
        <w:numPr>
          <w:ilvl w:val="0"/>
          <w:numId w:val="38"/>
        </w:numPr>
        <w:spacing w:afterLines="60" w:after="144"/>
        <w:rPr>
          <w:rFonts w:eastAsia="Times New Roman" w:cs="Times New Roman"/>
          <w:sz w:val="24"/>
          <w:szCs w:val="24"/>
          <w:lang w:eastAsia="lv-LV"/>
        </w:rPr>
        <w:sectPr w:rsidR="00513CD4" w:rsidRPr="00513CD4" w:rsidSect="0074586A">
          <w:type w:val="continuous"/>
          <w:pgSz w:w="11906" w:h="16838"/>
          <w:pgMar w:top="1418" w:right="1134" w:bottom="709" w:left="1418" w:header="709" w:footer="709" w:gutter="0"/>
          <w:cols w:space="709"/>
          <w:titlePg/>
          <w:docGrid w:linePitch="381"/>
        </w:sectPr>
      </w:pPr>
      <w:r w:rsidRPr="00513CD4">
        <w:rPr>
          <w:rFonts w:eastAsia="Times New Roman" w:cs="Times New Roman"/>
          <w:sz w:val="24"/>
          <w:szCs w:val="24"/>
          <w:lang w:eastAsia="lv-LV"/>
        </w:rPr>
        <w:t xml:space="preserve">Latvijai līdz 2065. gadam </w:t>
      </w:r>
      <w:r w:rsidRPr="00513CD4">
        <w:rPr>
          <w:rFonts w:eastAsia="Times New Roman" w:cs="Times New Roman"/>
          <w:i/>
          <w:iCs/>
          <w:noProof/>
          <w:sz w:val="24"/>
          <w:szCs w:val="24"/>
          <w:lang w:eastAsia="lv-LV"/>
        </w:rPr>
        <w:t>Eurostat</w:t>
      </w:r>
      <w:r w:rsidRPr="00513CD4">
        <w:rPr>
          <w:rFonts w:eastAsia="Times New Roman" w:cs="Times New Roman"/>
          <w:sz w:val="24"/>
          <w:szCs w:val="24"/>
          <w:lang w:eastAsia="lv-LV"/>
        </w:rPr>
        <w:t xml:space="preserve"> prognozē, ka no valsts izbrauks vairāk iedzīvotāju nekā iebrauks, taču laika periodā no 2065. gada līdz 2100. gadam migrācijas saldo tiek prognozēts pozitīvs. </w:t>
      </w:r>
    </w:p>
    <w:p w14:paraId="33E727BF" w14:textId="707ADBDD" w:rsidR="00513CD4" w:rsidRPr="00513CD4" w:rsidRDefault="00A77F9C" w:rsidP="00513CD4">
      <w:pPr>
        <w:tabs>
          <w:tab w:val="left" w:pos="2110"/>
        </w:tabs>
        <w:spacing w:after="120"/>
        <w:rPr>
          <w:rFonts w:eastAsia="Times New Roman" w:cs="Times New Roman"/>
          <w:sz w:val="24"/>
          <w:szCs w:val="24"/>
          <w:lang w:eastAsia="lv-LV"/>
        </w:rPr>
      </w:pPr>
      <w:r w:rsidRPr="00513CD4">
        <w:rPr>
          <w:rFonts w:eastAsia="Calibri" w:cs="Times New Roman"/>
          <w:noProof/>
          <w:sz w:val="24"/>
          <w:szCs w:val="20"/>
        </w:rPr>
        <w:drawing>
          <wp:anchor distT="0" distB="0" distL="114300" distR="114300" simplePos="0" relativeHeight="251687936" behindDoc="0" locked="0" layoutInCell="1" allowOverlap="1" wp14:anchorId="70587913" wp14:editId="3451ACAA">
            <wp:simplePos x="0" y="0"/>
            <wp:positionH relativeFrom="margin">
              <wp:align>left</wp:align>
            </wp:positionH>
            <wp:positionV relativeFrom="page">
              <wp:posOffset>5251450</wp:posOffset>
            </wp:positionV>
            <wp:extent cx="2893060" cy="2159635"/>
            <wp:effectExtent l="0" t="0" r="2540"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6247" r="6639"/>
                    <a:stretch/>
                  </pic:blipFill>
                  <pic:spPr bwMode="auto">
                    <a:xfrm>
                      <a:off x="0" y="0"/>
                      <a:ext cx="2893060" cy="2159635"/>
                    </a:xfrm>
                    <a:prstGeom prst="rect">
                      <a:avLst/>
                    </a:prstGeom>
                    <a:noFill/>
                    <a:ln>
                      <a:noFill/>
                    </a:ln>
                    <a:extLst>
                      <a:ext uri="{53640926-AAD7-44D8-BBD7-CCE9431645EC}">
                        <a14:shadowObscured xmlns:a14="http://schemas.microsoft.com/office/drawing/2010/main"/>
                      </a:ext>
                    </a:extLst>
                  </pic:spPr>
                </pic:pic>
              </a:graphicData>
            </a:graphic>
          </wp:anchor>
        </w:drawing>
      </w:r>
      <w:r w:rsidRPr="00513CD4">
        <w:rPr>
          <w:rFonts w:eastAsia="Calibri" w:cs="Times New Roman"/>
          <w:noProof/>
          <w:sz w:val="24"/>
          <w:szCs w:val="20"/>
          <w:lang w:eastAsia="lv-LV"/>
        </w:rPr>
        <w:drawing>
          <wp:anchor distT="0" distB="0" distL="114300" distR="114300" simplePos="0" relativeHeight="251682816" behindDoc="0" locked="0" layoutInCell="1" allowOverlap="1" wp14:anchorId="136266C5" wp14:editId="767A4624">
            <wp:simplePos x="0" y="0"/>
            <wp:positionH relativeFrom="column">
              <wp:posOffset>2816860</wp:posOffset>
            </wp:positionH>
            <wp:positionV relativeFrom="margin">
              <wp:posOffset>4340225</wp:posOffset>
            </wp:positionV>
            <wp:extent cx="3322320" cy="2159635"/>
            <wp:effectExtent l="0" t="0" r="0" b="0"/>
            <wp:wrapTopAndBottom/>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322320" cy="2159635"/>
                    </a:xfrm>
                    <a:prstGeom prst="rect">
                      <a:avLst/>
                    </a:prstGeom>
                    <a:noFill/>
                    <a:ln>
                      <a:noFill/>
                    </a:ln>
                  </pic:spPr>
                </pic:pic>
              </a:graphicData>
            </a:graphic>
            <wp14:sizeRelH relativeFrom="page">
              <wp14:pctWidth>0</wp14:pctWidth>
            </wp14:sizeRelH>
            <wp14:sizeRelV relativeFrom="page">
              <wp14:pctHeight>0</wp14:pctHeight>
            </wp14:sizeRelV>
          </wp:anchor>
        </w:drawing>
      </w:r>
      <w:r w:rsidR="00513CD4" w:rsidRPr="00513CD4">
        <w:rPr>
          <w:rFonts w:eastAsia="Times New Roman" w:cs="Times New Roman"/>
          <w:noProof/>
          <w:sz w:val="24"/>
          <w:szCs w:val="24"/>
        </w:rPr>
        <w:t xml:space="preserve">Sagatavojot makroekonomisko rādītāju prognozes ilgtermiņam un izmantojot AWG darba grupā apstiprinātos pieņēmumus, </w:t>
      </w:r>
      <w:r>
        <w:rPr>
          <w:rFonts w:eastAsia="Times New Roman" w:cs="Times New Roman"/>
          <w:noProof/>
          <w:sz w:val="24"/>
          <w:szCs w:val="24"/>
        </w:rPr>
        <w:t>EK</w:t>
      </w:r>
      <w:r w:rsidR="00513CD4" w:rsidRPr="00513CD4">
        <w:rPr>
          <w:rFonts w:eastAsia="Times New Roman" w:cs="Times New Roman"/>
          <w:noProof/>
          <w:sz w:val="24"/>
          <w:szCs w:val="24"/>
        </w:rPr>
        <w:t xml:space="preserve"> prognozē, ka Latvijas </w:t>
      </w:r>
      <w:r>
        <w:rPr>
          <w:rFonts w:eastAsia="Times New Roman" w:cs="Times New Roman"/>
          <w:noProof/>
          <w:sz w:val="24"/>
          <w:szCs w:val="24"/>
        </w:rPr>
        <w:t>IKP</w:t>
      </w:r>
      <w:r w:rsidR="00513CD4" w:rsidRPr="00513CD4">
        <w:rPr>
          <w:rFonts w:eastAsia="Times New Roman" w:cs="Times New Roman"/>
          <w:noProof/>
          <w:sz w:val="24"/>
          <w:szCs w:val="24"/>
        </w:rPr>
        <w:t xml:space="preserve"> turpinās augt vidēji par 1,2% laika periodā no 2019. līdz 2070. gadam. Prognozēs tiek ņemta vērā </w:t>
      </w:r>
      <w:r w:rsidR="00513CD4" w:rsidRPr="00513CD4">
        <w:rPr>
          <w:rFonts w:eastAsia="Times New Roman" w:cs="Times New Roman"/>
          <w:sz w:val="24"/>
          <w:szCs w:val="24"/>
          <w:lang w:eastAsia="lv-LV"/>
        </w:rPr>
        <w:t>Covid-19 izraisītās ekonomiskās krīzes ietekme, kā arī tiek prognozēta ekonomikā kopējo nostrādāto stundu skaita samazināšanās vidēji par 1,1% 2019.-2070.</w:t>
      </w:r>
      <w:r>
        <w:rPr>
          <w:rFonts w:eastAsia="Times New Roman" w:cs="Times New Roman"/>
          <w:sz w:val="24"/>
          <w:szCs w:val="24"/>
          <w:lang w:eastAsia="lv-LV"/>
        </w:rPr>
        <w:t xml:space="preserve"> </w:t>
      </w:r>
      <w:r w:rsidR="00513CD4" w:rsidRPr="00513CD4">
        <w:rPr>
          <w:rFonts w:eastAsia="Times New Roman" w:cs="Times New Roman"/>
          <w:sz w:val="24"/>
          <w:szCs w:val="24"/>
          <w:lang w:eastAsia="lv-LV"/>
        </w:rPr>
        <w:t>gadā, straujāk sarūkot iedzīvotāju skaitam darbspējas vecumā. Jāatzīmē, ka EK prognozē, ka Latvijā nodarbinātības līmenis laika periodā no 2019. līdz 2032. gadam samazināsies no 72,5% līdz 68,2%, taču pēc tam pakāpeniski augs līdz sasniegs 71,3% 2070. gadā. Neskatoties uz nodarbinātības līmeņa pieaugumu, tiek prognozēts, ka kopumā nodarbināto skaits ilgtermiņā saruks līdz ar iedzīvotāju skaitu darbspējas vecumā (skat. 6.4. attēlu).</w:t>
      </w:r>
    </w:p>
    <w:p w14:paraId="45ECAB45" w14:textId="77777777" w:rsidR="00513CD4" w:rsidRPr="00513CD4" w:rsidRDefault="00513CD4" w:rsidP="00513CD4">
      <w:pPr>
        <w:tabs>
          <w:tab w:val="left" w:pos="2110"/>
        </w:tabs>
        <w:spacing w:after="120"/>
        <w:rPr>
          <w:rFonts w:eastAsia="Times New Roman" w:cs="Times New Roman"/>
          <w:sz w:val="24"/>
          <w:szCs w:val="24"/>
          <w:lang w:eastAsia="lv-LV"/>
        </w:rPr>
        <w:sectPr w:rsidR="00513CD4" w:rsidRPr="00513CD4" w:rsidSect="0074586A">
          <w:type w:val="continuous"/>
          <w:pgSz w:w="11906" w:h="16838"/>
          <w:pgMar w:top="1418" w:right="1134" w:bottom="709" w:left="1418" w:header="709" w:footer="709" w:gutter="0"/>
          <w:cols w:space="709"/>
          <w:titlePg/>
          <w:docGrid w:linePitch="381"/>
        </w:sectPr>
      </w:pPr>
    </w:p>
    <w:p w14:paraId="23734A96" w14:textId="3C59C781" w:rsidR="00513CD4" w:rsidRPr="00513CD4" w:rsidRDefault="00513CD4" w:rsidP="00513CD4">
      <w:pPr>
        <w:spacing w:after="120"/>
        <w:ind w:left="567" w:firstLine="0"/>
        <w:jc w:val="center"/>
        <w:rPr>
          <w:rFonts w:eastAsia="Calibri" w:cs="Times New Roman"/>
          <w:b/>
          <w:i/>
          <w:iCs/>
          <w:sz w:val="24"/>
          <w:szCs w:val="24"/>
        </w:rPr>
      </w:pPr>
      <w:r w:rsidRPr="00513CD4">
        <w:rPr>
          <w:rFonts w:eastAsia="Calibri" w:cs="Times New Roman"/>
          <w:b/>
          <w:i/>
          <w:iCs/>
          <w:sz w:val="24"/>
          <w:szCs w:val="24"/>
        </w:rPr>
        <w:t>6.3. att. Reālā IKP pieaugums, %</w:t>
      </w:r>
      <w:r w:rsidRPr="00513CD4">
        <w:rPr>
          <w:rFonts w:eastAsia="Calibri" w:cs="Times New Roman"/>
          <w:b/>
          <w:i/>
          <w:iCs/>
          <w:sz w:val="24"/>
          <w:szCs w:val="24"/>
        </w:rPr>
        <w:br/>
        <w:t xml:space="preserve">(Datu avots: </w:t>
      </w:r>
      <w:r w:rsidRPr="00513CD4">
        <w:rPr>
          <w:rFonts w:eastAsia="Calibri" w:cs="Times New Roman"/>
          <w:b/>
          <w:i/>
          <w:iCs/>
          <w:noProof/>
          <w:sz w:val="24"/>
          <w:szCs w:val="24"/>
        </w:rPr>
        <w:t>Ageing Report 2021</w:t>
      </w:r>
      <w:r w:rsidRPr="00513CD4">
        <w:rPr>
          <w:rFonts w:eastAsia="Calibri" w:cs="Times New Roman"/>
          <w:b/>
          <w:i/>
          <w:iCs/>
          <w:sz w:val="24"/>
          <w:szCs w:val="24"/>
        </w:rPr>
        <w:t>)</w:t>
      </w:r>
    </w:p>
    <w:p w14:paraId="19013223" w14:textId="5B478038" w:rsidR="00513CD4" w:rsidRPr="00513CD4" w:rsidRDefault="00513CD4" w:rsidP="00513CD4">
      <w:pPr>
        <w:spacing w:after="120"/>
        <w:ind w:left="567" w:firstLine="0"/>
        <w:jc w:val="center"/>
        <w:rPr>
          <w:rFonts w:eastAsia="Calibri" w:cs="Times New Roman"/>
          <w:b/>
          <w:i/>
          <w:iCs/>
          <w:sz w:val="24"/>
          <w:szCs w:val="24"/>
        </w:rPr>
      </w:pPr>
      <w:r w:rsidRPr="00513CD4">
        <w:rPr>
          <w:rFonts w:eastAsia="Calibri" w:cs="Times New Roman"/>
          <w:b/>
          <w:i/>
          <w:iCs/>
          <w:sz w:val="24"/>
          <w:szCs w:val="24"/>
        </w:rPr>
        <w:t>6.4. att. Darbspējīgo iedzīvotāju un nodarbinātības pieaugums, %</w:t>
      </w:r>
      <w:r w:rsidRPr="00513CD4">
        <w:rPr>
          <w:rFonts w:eastAsia="Calibri" w:cs="Times New Roman"/>
          <w:b/>
          <w:i/>
          <w:iCs/>
          <w:sz w:val="24"/>
          <w:szCs w:val="24"/>
        </w:rPr>
        <w:br/>
        <w:t xml:space="preserve">(Datu avots: </w:t>
      </w:r>
      <w:r w:rsidRPr="00513CD4">
        <w:rPr>
          <w:rFonts w:eastAsia="Calibri" w:cs="Times New Roman"/>
          <w:b/>
          <w:i/>
          <w:iCs/>
          <w:noProof/>
          <w:sz w:val="24"/>
          <w:szCs w:val="24"/>
        </w:rPr>
        <w:t>Ageing Report 2021</w:t>
      </w:r>
      <w:r w:rsidRPr="00513CD4">
        <w:rPr>
          <w:rFonts w:eastAsia="Calibri" w:cs="Times New Roman"/>
          <w:b/>
          <w:i/>
          <w:iCs/>
          <w:sz w:val="24"/>
          <w:szCs w:val="24"/>
        </w:rPr>
        <w:t>)</w:t>
      </w:r>
    </w:p>
    <w:p w14:paraId="5DED33CB" w14:textId="77777777" w:rsidR="00513CD4" w:rsidRPr="00513CD4" w:rsidRDefault="00513CD4" w:rsidP="00513CD4">
      <w:pPr>
        <w:shd w:val="clear" w:color="auto" w:fill="FFFF00"/>
        <w:spacing w:after="120"/>
        <w:ind w:firstLine="0"/>
        <w:rPr>
          <w:rFonts w:eastAsia="Times New Roman" w:cs="Times New Roman"/>
          <w:sz w:val="24"/>
          <w:szCs w:val="24"/>
          <w:highlight w:val="yellow"/>
        </w:rPr>
        <w:sectPr w:rsidR="00513CD4" w:rsidRPr="00513CD4" w:rsidSect="00593F96">
          <w:type w:val="continuous"/>
          <w:pgSz w:w="11906" w:h="16838"/>
          <w:pgMar w:top="1418" w:right="1134" w:bottom="709" w:left="1418" w:header="709" w:footer="709" w:gutter="0"/>
          <w:cols w:num="2" w:space="709"/>
          <w:titlePg/>
          <w:docGrid w:linePitch="381"/>
        </w:sectPr>
      </w:pPr>
    </w:p>
    <w:p w14:paraId="6FE8CCBB" w14:textId="610ED4CF" w:rsidR="00513CD4" w:rsidRPr="00513CD4" w:rsidRDefault="00513CD4" w:rsidP="00513CD4">
      <w:pPr>
        <w:autoSpaceDE w:val="0"/>
        <w:autoSpaceDN w:val="0"/>
        <w:adjustRightInd w:val="0"/>
        <w:ind w:firstLine="567"/>
        <w:rPr>
          <w:rFonts w:eastAsia="Times New Roman" w:cs="Times New Roman"/>
          <w:sz w:val="24"/>
          <w:szCs w:val="24"/>
        </w:rPr>
      </w:pPr>
      <w:r w:rsidRPr="00513CD4">
        <w:rPr>
          <w:rFonts w:eastAsia="Times New Roman" w:cs="Times New Roman"/>
          <w:color w:val="000000"/>
          <w:sz w:val="24"/>
          <w:szCs w:val="24"/>
        </w:rPr>
        <w:t>Demogrāfiskā un ekonomiskā, it īpaši darba tirgus</w:t>
      </w:r>
      <w:r w:rsidR="00A77F9C">
        <w:rPr>
          <w:rFonts w:eastAsia="Times New Roman" w:cs="Times New Roman"/>
          <w:color w:val="000000"/>
          <w:sz w:val="24"/>
          <w:szCs w:val="24"/>
        </w:rPr>
        <w:t>,</w:t>
      </w:r>
      <w:r w:rsidRPr="00513CD4">
        <w:rPr>
          <w:rFonts w:eastAsia="Times New Roman" w:cs="Times New Roman"/>
          <w:color w:val="000000"/>
          <w:sz w:val="24"/>
          <w:szCs w:val="24"/>
        </w:rPr>
        <w:t xml:space="preserve"> situācija ilgtermiņā ietekmēs valsts finanšu ilgtspēju, radot ietekmi gan uz nodokļu ieņēmumiem, gan budžeta izdevumiem. Iekasēto nodokļu apjoms lielā mērā būs atkarīgs no nodarbināto skaita tendencēm ilgtermiņā, tāpat</w:t>
      </w:r>
      <w:r w:rsidRPr="00513CD4">
        <w:rPr>
          <w:rFonts w:eastAsia="Times New Roman" w:cs="Times New Roman"/>
          <w:sz w:val="24"/>
          <w:szCs w:val="24"/>
        </w:rPr>
        <w:t xml:space="preserve"> </w:t>
      </w:r>
      <w:r w:rsidRPr="00513CD4">
        <w:rPr>
          <w:rFonts w:eastAsia="Times New Roman" w:cs="Times New Roman"/>
          <w:color w:val="000000"/>
          <w:sz w:val="24"/>
          <w:szCs w:val="20"/>
        </w:rPr>
        <w:t>budžeta izdevumu pieaugumu ilgtermiņā ietekmēs jau iepriekš uzņemtās saistības pensiju un pabalstu izmaksai, parāda apkalpošanas izdevumi, kā arī ar iedzīvotāju novecošanos saistītu izdevumu pieaugums.</w:t>
      </w:r>
    </w:p>
    <w:p w14:paraId="510327E8" w14:textId="77777777" w:rsidR="00513CD4" w:rsidRPr="00513CD4" w:rsidRDefault="00513CD4" w:rsidP="00513CD4">
      <w:pPr>
        <w:autoSpaceDE w:val="0"/>
        <w:autoSpaceDN w:val="0"/>
        <w:adjustRightInd w:val="0"/>
        <w:spacing w:after="120"/>
        <w:rPr>
          <w:rFonts w:eastAsia="Times New Roman" w:cs="Times New Roman"/>
          <w:i/>
          <w:iCs/>
          <w:noProof/>
          <w:sz w:val="24"/>
          <w:szCs w:val="24"/>
        </w:rPr>
      </w:pPr>
      <w:r w:rsidRPr="00513CD4">
        <w:rPr>
          <w:rFonts w:eastAsia="Times New Roman" w:cs="Times New Roman"/>
          <w:color w:val="000000"/>
          <w:sz w:val="24"/>
          <w:szCs w:val="20"/>
        </w:rPr>
        <w:t>EPC AWG darba grupa, ņemot vērā aktualizētās ilgtermiņa demogrāfiskās un makroekonomiskās prognozes, ir aktualizējusi ar iedzīvotāju novecošanos saistīto izdevumu prognozes līdz 2070. gadam. Tās ir publicētas 2021. gada Novecošanās ziņojuma Otrajā daļā (</w:t>
      </w:r>
      <w:r w:rsidRPr="00513CD4">
        <w:rPr>
          <w:rFonts w:eastAsia="Times New Roman" w:cs="Times New Roman"/>
          <w:i/>
          <w:iCs/>
          <w:noProof/>
          <w:sz w:val="24"/>
          <w:szCs w:val="24"/>
          <w:lang w:val="en-US"/>
        </w:rPr>
        <w:t xml:space="preserve">Ageing </w:t>
      </w:r>
      <w:r w:rsidRPr="00513CD4">
        <w:rPr>
          <w:rFonts w:eastAsia="Times New Roman" w:cs="Times New Roman"/>
          <w:i/>
          <w:iCs/>
          <w:noProof/>
          <w:sz w:val="24"/>
          <w:szCs w:val="24"/>
        </w:rPr>
        <w:t>Report 2021:</w:t>
      </w:r>
      <w:r w:rsidRPr="00513CD4">
        <w:rPr>
          <w:rFonts w:eastAsia="Times New Roman" w:cs="Times New Roman"/>
          <w:i/>
          <w:iCs/>
          <w:noProof/>
          <w:sz w:val="24"/>
          <w:szCs w:val="20"/>
          <w:lang w:val="en-US"/>
        </w:rPr>
        <w:t>Economic &amp; Budgetary Projections for the EU Member States (2019-2070</w:t>
      </w:r>
      <w:r w:rsidRPr="00513CD4">
        <w:rPr>
          <w:rFonts w:eastAsia="Times New Roman" w:cs="Times New Roman"/>
          <w:i/>
          <w:iCs/>
          <w:noProof/>
          <w:sz w:val="24"/>
          <w:szCs w:val="24"/>
          <w:lang w:val="en-US"/>
        </w:rPr>
        <w:t>))</w:t>
      </w:r>
      <w:r w:rsidRPr="00513CD4">
        <w:rPr>
          <w:rFonts w:eastAsia="Times New Roman" w:cs="Times New Roman"/>
          <w:noProof/>
          <w:sz w:val="24"/>
          <w:szCs w:val="24"/>
          <w:lang w:val="en-US"/>
        </w:rPr>
        <w:t>.</w:t>
      </w:r>
    </w:p>
    <w:p w14:paraId="011EC06F" w14:textId="7E54B58D" w:rsidR="00513CD4" w:rsidRPr="00513CD4" w:rsidRDefault="00A77F9C" w:rsidP="00513CD4">
      <w:pPr>
        <w:autoSpaceDE w:val="0"/>
        <w:autoSpaceDN w:val="0"/>
        <w:adjustRightInd w:val="0"/>
        <w:rPr>
          <w:rFonts w:eastAsia="Times New Roman" w:cs="Times New Roman"/>
          <w:color w:val="000000"/>
          <w:sz w:val="24"/>
          <w:szCs w:val="20"/>
        </w:rPr>
      </w:pPr>
      <w:r w:rsidRPr="00513CD4">
        <w:rPr>
          <w:rFonts w:eastAsia="Calibri" w:cs="Times New Roman"/>
          <w:noProof/>
          <w:sz w:val="24"/>
          <w:szCs w:val="20"/>
        </w:rPr>
        <w:lastRenderedPageBreak/>
        <w:drawing>
          <wp:anchor distT="0" distB="0" distL="114300" distR="114300" simplePos="0" relativeHeight="251684864" behindDoc="0" locked="0" layoutInCell="1" allowOverlap="1" wp14:anchorId="397EB3B9" wp14:editId="03CB895D">
            <wp:simplePos x="0" y="0"/>
            <wp:positionH relativeFrom="margin">
              <wp:posOffset>3008630</wp:posOffset>
            </wp:positionH>
            <wp:positionV relativeFrom="margin">
              <wp:posOffset>984250</wp:posOffset>
            </wp:positionV>
            <wp:extent cx="2991635" cy="2160000"/>
            <wp:effectExtent l="0" t="0" r="0" b="0"/>
            <wp:wrapTopAndBottom/>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r="9995"/>
                    <a:stretch/>
                  </pic:blipFill>
                  <pic:spPr bwMode="auto">
                    <a:xfrm>
                      <a:off x="0" y="0"/>
                      <a:ext cx="2991635" cy="216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13CD4">
        <w:rPr>
          <w:rFonts w:eastAsia="Calibri" w:cs="Times New Roman"/>
          <w:noProof/>
          <w:sz w:val="24"/>
          <w:szCs w:val="20"/>
        </w:rPr>
        <w:drawing>
          <wp:anchor distT="0" distB="0" distL="114300" distR="114300" simplePos="0" relativeHeight="251683840" behindDoc="0" locked="0" layoutInCell="1" allowOverlap="1" wp14:anchorId="3A36F06B" wp14:editId="5625B985">
            <wp:simplePos x="0" y="0"/>
            <wp:positionH relativeFrom="margin">
              <wp:posOffset>-38100</wp:posOffset>
            </wp:positionH>
            <wp:positionV relativeFrom="margin">
              <wp:posOffset>1031875</wp:posOffset>
            </wp:positionV>
            <wp:extent cx="3121025" cy="2159635"/>
            <wp:effectExtent l="0" t="0" r="0" b="0"/>
            <wp:wrapTopAndBottom/>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r="6062"/>
                    <a:stretch/>
                  </pic:blipFill>
                  <pic:spPr bwMode="auto">
                    <a:xfrm>
                      <a:off x="0" y="0"/>
                      <a:ext cx="3121025" cy="2159635"/>
                    </a:xfrm>
                    <a:prstGeom prst="rect">
                      <a:avLst/>
                    </a:prstGeom>
                    <a:noFill/>
                    <a:ln>
                      <a:noFill/>
                    </a:ln>
                    <a:extLst>
                      <a:ext uri="{53640926-AAD7-44D8-BBD7-CCE9431645EC}">
                        <a14:shadowObscured xmlns:a14="http://schemas.microsoft.com/office/drawing/2010/main"/>
                      </a:ext>
                    </a:extLst>
                  </pic:spPr>
                </pic:pic>
              </a:graphicData>
            </a:graphic>
          </wp:anchor>
        </w:drawing>
      </w:r>
      <w:r w:rsidR="00513CD4" w:rsidRPr="00513CD4">
        <w:rPr>
          <w:rFonts w:eastAsia="Times New Roman" w:cs="Times New Roman"/>
          <w:color w:val="000000"/>
          <w:sz w:val="24"/>
          <w:szCs w:val="20"/>
        </w:rPr>
        <w:t xml:space="preserve"> Atbilstoši bāzes scenārijam ar novecošanos saistītie publiskie izdevumi 2070. gadā salīdzinājumā ar 2019. gadu samazināsies par 0,6 procentpunktiem un būs 15,2% no IKP (skat. 6.5. attēlu). Tendence izdevumiem ilgtermiņā samazināties kopumā saglabājas līdzīgi kā iepriekšējās prognozēs. Jāatzīmē, ka prognozes sagatavotas pie nemainīgas politikas scenārija, t.i., ņemot vērā tās likumdošanas izmaiņas, kas ir pieņemtas līdz 2020. gada oktobrim.</w:t>
      </w:r>
    </w:p>
    <w:p w14:paraId="13C90AF0" w14:textId="77777777" w:rsidR="00513CD4" w:rsidRPr="00513CD4" w:rsidRDefault="00513CD4" w:rsidP="00513CD4">
      <w:pPr>
        <w:autoSpaceDE w:val="0"/>
        <w:autoSpaceDN w:val="0"/>
        <w:adjustRightInd w:val="0"/>
        <w:ind w:firstLine="567"/>
        <w:rPr>
          <w:rFonts w:eastAsia="Times New Roman" w:cs="Times New Roman"/>
          <w:color w:val="000000"/>
          <w:sz w:val="24"/>
          <w:szCs w:val="20"/>
        </w:rPr>
        <w:sectPr w:rsidR="00513CD4" w:rsidRPr="00513CD4" w:rsidSect="00593F96">
          <w:type w:val="continuous"/>
          <w:pgSz w:w="11906" w:h="16838"/>
          <w:pgMar w:top="1418" w:right="1134" w:bottom="709" w:left="1418" w:header="709" w:footer="709" w:gutter="0"/>
          <w:cols w:space="709"/>
          <w:titlePg/>
          <w:docGrid w:linePitch="381"/>
        </w:sectPr>
      </w:pPr>
    </w:p>
    <w:p w14:paraId="22B55DE6" w14:textId="2CF61E35" w:rsidR="00513CD4" w:rsidRPr="00513CD4" w:rsidRDefault="00513CD4" w:rsidP="00513CD4">
      <w:pPr>
        <w:spacing w:after="120"/>
        <w:ind w:left="567" w:firstLine="0"/>
        <w:jc w:val="center"/>
        <w:rPr>
          <w:rFonts w:eastAsia="Calibri" w:cs="Times New Roman"/>
          <w:b/>
          <w:i/>
          <w:iCs/>
          <w:color w:val="000000"/>
          <w:sz w:val="24"/>
          <w:szCs w:val="24"/>
        </w:rPr>
      </w:pPr>
      <w:r w:rsidRPr="00513CD4">
        <w:rPr>
          <w:rFonts w:eastAsia="Calibri" w:cs="Times New Roman"/>
          <w:b/>
          <w:i/>
          <w:iCs/>
          <w:sz w:val="24"/>
          <w:szCs w:val="24"/>
        </w:rPr>
        <w:t>6.5. att. Ar novecošanos saistītie publiskie izdevumi bāzes un riska scenārijā, % no IKP</w:t>
      </w:r>
      <w:r w:rsidRPr="00513CD4">
        <w:rPr>
          <w:rFonts w:eastAsia="Calibri" w:cs="Times New Roman"/>
          <w:b/>
          <w:i/>
          <w:iCs/>
          <w:sz w:val="24"/>
          <w:szCs w:val="24"/>
        </w:rPr>
        <w:br/>
      </w:r>
      <w:r w:rsidRPr="00513CD4">
        <w:rPr>
          <w:rFonts w:eastAsia="Calibri" w:cs="Times New Roman"/>
          <w:b/>
          <w:i/>
          <w:iCs/>
          <w:color w:val="000000"/>
          <w:sz w:val="24"/>
          <w:szCs w:val="24"/>
        </w:rPr>
        <w:t xml:space="preserve">(Datu avots: </w:t>
      </w:r>
      <w:r w:rsidRPr="00513CD4">
        <w:rPr>
          <w:rFonts w:eastAsia="Calibri" w:cs="Times New Roman"/>
          <w:b/>
          <w:i/>
          <w:iCs/>
          <w:noProof/>
          <w:sz w:val="24"/>
          <w:szCs w:val="24"/>
        </w:rPr>
        <w:t>Ageing Report 2021</w:t>
      </w:r>
      <w:r w:rsidRPr="00513CD4">
        <w:rPr>
          <w:rFonts w:eastAsia="Calibri" w:cs="Times New Roman"/>
          <w:b/>
          <w:i/>
          <w:iCs/>
          <w:color w:val="000000"/>
          <w:sz w:val="24"/>
          <w:szCs w:val="24"/>
        </w:rPr>
        <w:t>)</w:t>
      </w:r>
    </w:p>
    <w:p w14:paraId="22E01530" w14:textId="63F2E5CE" w:rsidR="00513CD4" w:rsidRPr="00513CD4" w:rsidRDefault="00513CD4" w:rsidP="00513CD4">
      <w:pPr>
        <w:spacing w:after="120"/>
        <w:ind w:left="567" w:firstLine="0"/>
        <w:jc w:val="center"/>
        <w:rPr>
          <w:rFonts w:eastAsia="Calibri" w:cs="Times New Roman"/>
          <w:b/>
          <w:i/>
          <w:iCs/>
          <w:sz w:val="24"/>
          <w:szCs w:val="24"/>
        </w:rPr>
      </w:pPr>
      <w:r w:rsidRPr="00513CD4">
        <w:rPr>
          <w:rFonts w:eastAsia="Calibri" w:cs="Times New Roman"/>
          <w:b/>
          <w:i/>
          <w:iCs/>
          <w:sz w:val="24"/>
          <w:szCs w:val="24"/>
        </w:rPr>
        <w:t>6.6. att. Ar novecošanos saistītie publiskie izdevumi pa pozīcijām,</w:t>
      </w:r>
      <w:r w:rsidRPr="00513CD4">
        <w:rPr>
          <w:rFonts w:eastAsia="Calibri" w:cs="Times New Roman"/>
          <w:b/>
          <w:i/>
          <w:iCs/>
          <w:sz w:val="24"/>
          <w:szCs w:val="24"/>
        </w:rPr>
        <w:br/>
        <w:t>% no IKP</w:t>
      </w:r>
      <w:r w:rsidRPr="00513CD4">
        <w:rPr>
          <w:rFonts w:eastAsia="Calibri" w:cs="Times New Roman"/>
          <w:b/>
          <w:i/>
          <w:iCs/>
          <w:sz w:val="24"/>
          <w:szCs w:val="24"/>
        </w:rPr>
        <w:br/>
      </w:r>
      <w:r w:rsidRPr="00513CD4">
        <w:rPr>
          <w:rFonts w:eastAsia="Calibri" w:cs="Times New Roman"/>
          <w:b/>
          <w:i/>
          <w:iCs/>
          <w:color w:val="000000"/>
          <w:sz w:val="24"/>
          <w:szCs w:val="24"/>
        </w:rPr>
        <w:t xml:space="preserve">(Datu avots: </w:t>
      </w:r>
      <w:r w:rsidRPr="00513CD4">
        <w:rPr>
          <w:rFonts w:eastAsia="Calibri" w:cs="Times New Roman"/>
          <w:b/>
          <w:i/>
          <w:iCs/>
          <w:noProof/>
          <w:sz w:val="24"/>
          <w:szCs w:val="24"/>
        </w:rPr>
        <w:t>Ageing Report 2021</w:t>
      </w:r>
      <w:r w:rsidRPr="00513CD4">
        <w:rPr>
          <w:rFonts w:eastAsia="Calibri" w:cs="Times New Roman"/>
          <w:b/>
          <w:i/>
          <w:iCs/>
          <w:noProof/>
          <w:color w:val="000000"/>
          <w:sz w:val="24"/>
          <w:szCs w:val="24"/>
        </w:rPr>
        <w:t>)</w:t>
      </w:r>
    </w:p>
    <w:p w14:paraId="09999F5B" w14:textId="77777777" w:rsidR="00513CD4" w:rsidRPr="00513CD4" w:rsidRDefault="00513CD4" w:rsidP="00513CD4">
      <w:pPr>
        <w:spacing w:after="120"/>
        <w:ind w:firstLine="0"/>
        <w:rPr>
          <w:rFonts w:eastAsia="Times New Roman" w:cs="Times New Roman"/>
          <w:sz w:val="24"/>
          <w:szCs w:val="24"/>
          <w:highlight w:val="yellow"/>
        </w:rPr>
        <w:sectPr w:rsidR="00513CD4" w:rsidRPr="00513CD4" w:rsidSect="002C5061">
          <w:type w:val="continuous"/>
          <w:pgSz w:w="11906" w:h="16838"/>
          <w:pgMar w:top="1418" w:right="1134" w:bottom="709" w:left="1418" w:header="709" w:footer="709" w:gutter="0"/>
          <w:cols w:num="2" w:space="709"/>
          <w:titlePg/>
          <w:docGrid w:linePitch="381"/>
        </w:sectPr>
      </w:pPr>
    </w:p>
    <w:p w14:paraId="4911296F" w14:textId="77777777" w:rsidR="00A77F9C" w:rsidRDefault="00A77F9C" w:rsidP="00A77F9C">
      <w:pPr>
        <w:autoSpaceDE w:val="0"/>
        <w:autoSpaceDN w:val="0"/>
        <w:adjustRightInd w:val="0"/>
        <w:rPr>
          <w:rFonts w:eastAsia="Times New Roman" w:cs="Times New Roman"/>
          <w:noProof/>
          <w:color w:val="000000"/>
          <w:sz w:val="24"/>
          <w:szCs w:val="20"/>
        </w:rPr>
      </w:pPr>
    </w:p>
    <w:p w14:paraId="658317C6" w14:textId="691B372F" w:rsidR="00513CD4" w:rsidRPr="00513CD4" w:rsidRDefault="00513CD4" w:rsidP="00A77F9C">
      <w:pPr>
        <w:autoSpaceDE w:val="0"/>
        <w:autoSpaceDN w:val="0"/>
        <w:adjustRightInd w:val="0"/>
        <w:rPr>
          <w:rFonts w:eastAsia="Times New Roman" w:cs="Times New Roman"/>
          <w:color w:val="000000"/>
          <w:sz w:val="24"/>
          <w:szCs w:val="20"/>
        </w:rPr>
      </w:pPr>
      <w:r w:rsidRPr="00513CD4">
        <w:rPr>
          <w:rFonts w:eastAsia="Times New Roman" w:cs="Times New Roman"/>
          <w:noProof/>
          <w:color w:val="000000"/>
          <w:sz w:val="24"/>
          <w:szCs w:val="20"/>
        </w:rPr>
        <w:t xml:space="preserve">Pensiju izdevumu prognožu pamatā (skat. 6.6. attēlu) ir Labklājības ministrijas sagatavotās prognozes, kas paredz pensiju izdevumu īpatsvara </w:t>
      </w:r>
      <w:r w:rsidR="00A77F9C">
        <w:rPr>
          <w:rFonts w:eastAsia="Times New Roman" w:cs="Times New Roman"/>
          <w:noProof/>
          <w:color w:val="000000"/>
          <w:sz w:val="24"/>
          <w:szCs w:val="20"/>
        </w:rPr>
        <w:t>IKP</w:t>
      </w:r>
      <w:r w:rsidRPr="00513CD4">
        <w:rPr>
          <w:rFonts w:eastAsia="Times New Roman" w:cs="Times New Roman"/>
          <w:noProof/>
          <w:color w:val="000000"/>
          <w:sz w:val="24"/>
          <w:szCs w:val="20"/>
        </w:rPr>
        <w:t xml:space="preserve"> samazināšanos no 7,1% no IKP 2019. gadā līdz 5,8% no IKP 2070. gadā. Izdevumu samazināšanos, it īpaši līdz 2025. gadam</w:t>
      </w:r>
      <w:r w:rsidR="00A77F9C">
        <w:rPr>
          <w:rFonts w:eastAsia="Times New Roman" w:cs="Times New Roman"/>
          <w:noProof/>
          <w:color w:val="000000"/>
          <w:sz w:val="24"/>
          <w:szCs w:val="20"/>
        </w:rPr>
        <w:t>,</w:t>
      </w:r>
      <w:r w:rsidRPr="00513CD4">
        <w:rPr>
          <w:rFonts w:eastAsia="Times New Roman" w:cs="Times New Roman"/>
          <w:noProof/>
          <w:color w:val="000000"/>
          <w:sz w:val="24"/>
          <w:szCs w:val="20"/>
        </w:rPr>
        <w:t xml:space="preserve"> veicina pensionēšanās vecuma palielināšana līdz 65 gadiem, kā rezultātā samazinās pensiju saņēmēju skaits un pirmspensijas vecuma iedzīvotāji ilgāk atrodas darba tirgū. </w:t>
      </w:r>
      <w:r w:rsidRPr="00513CD4">
        <w:rPr>
          <w:rFonts w:eastAsia="Times New Roman" w:cs="Times New Roman"/>
          <w:color w:val="000000"/>
          <w:sz w:val="24"/>
          <w:szCs w:val="20"/>
        </w:rPr>
        <w:t>Pensiju izdevumu prognozes sagatavotas pie nemainīgas politikas scenārija, ņemot vērā tās likumdošanas izmaiņas, kas ir pieņemtas līdz 2020. gada oktobrim.</w:t>
      </w:r>
    </w:p>
    <w:p w14:paraId="7133E17A" w14:textId="77777777" w:rsidR="00513CD4" w:rsidRPr="00513CD4" w:rsidRDefault="00513CD4" w:rsidP="00A77F9C">
      <w:pPr>
        <w:rPr>
          <w:rFonts w:eastAsia="Times New Roman" w:cs="Times New Roman"/>
          <w:noProof/>
          <w:sz w:val="24"/>
          <w:szCs w:val="24"/>
        </w:rPr>
      </w:pPr>
      <w:r w:rsidRPr="00513CD4">
        <w:rPr>
          <w:rFonts w:eastAsia="Times New Roman" w:cs="Times New Roman"/>
          <w:noProof/>
          <w:sz w:val="24"/>
          <w:szCs w:val="24"/>
        </w:rPr>
        <w:t xml:space="preserve">Tiek prognozēts, ka izdevumi veselības aprūpei ilgtermiņā palielināsies no 4,6% no IKP 2019. gadā līdz 5,1% no IKP 2070. gadā, pamatā ņemot vērā iedzīvotāju novecošanos, palielinoties mūža ilgumam un nepieciešamībai pēc veselības aprūpes pakalpojumiem. 2020.-2021. gadā veselības izdevumu īpatsvars iekšzemes kopproduktā, ņemot vērā gan IKP kritumu, gan papildus finansējumu cīņai ar Covid-19 (medicīnas aprīkojumam, individuālajiem aizsardzības līdzekļiem, infrastruktūras uzlabošanai) īslaicīgi pieaugs līdz 5,0-5,3% no IKP. </w:t>
      </w:r>
    </w:p>
    <w:p w14:paraId="6E5E060B" w14:textId="6BBA2D79" w:rsidR="00513CD4" w:rsidRPr="00513CD4" w:rsidRDefault="00513CD4" w:rsidP="00A77F9C">
      <w:pPr>
        <w:rPr>
          <w:rFonts w:eastAsia="Times New Roman" w:cs="Times New Roman"/>
          <w:noProof/>
          <w:sz w:val="24"/>
          <w:szCs w:val="20"/>
        </w:rPr>
      </w:pPr>
      <w:r w:rsidRPr="00513CD4">
        <w:rPr>
          <w:rFonts w:eastAsia="Times New Roman" w:cs="Times New Roman"/>
          <w:noProof/>
          <w:sz w:val="24"/>
          <w:szCs w:val="20"/>
        </w:rPr>
        <w:t>Darba grupa papildus bāzes scenārijam izstrādāja arī vairākus alternatīvos scenārijus pie dažādiem pieņēmumiem</w:t>
      </w:r>
      <w:r w:rsidR="00A77F9C">
        <w:rPr>
          <w:rFonts w:eastAsia="Times New Roman" w:cs="Times New Roman"/>
          <w:noProof/>
          <w:sz w:val="24"/>
          <w:szCs w:val="20"/>
        </w:rPr>
        <w:t>. R</w:t>
      </w:r>
      <w:r w:rsidRPr="00513CD4">
        <w:rPr>
          <w:rFonts w:eastAsia="Times New Roman" w:cs="Times New Roman"/>
          <w:noProof/>
          <w:sz w:val="24"/>
          <w:szCs w:val="20"/>
        </w:rPr>
        <w:t>iska scenārijā tiek prognozēts, ka publiskie izdevumi, kas ir saistīti ar iedzīvotāju novecošanos, pretēji bāzes scenārijam</w:t>
      </w:r>
      <w:r w:rsidR="00A77F9C">
        <w:rPr>
          <w:rFonts w:eastAsia="Times New Roman" w:cs="Times New Roman"/>
          <w:noProof/>
          <w:sz w:val="24"/>
          <w:szCs w:val="20"/>
        </w:rPr>
        <w:t>,</w:t>
      </w:r>
      <w:r w:rsidRPr="00513CD4">
        <w:rPr>
          <w:rFonts w:eastAsia="Times New Roman" w:cs="Times New Roman"/>
          <w:noProof/>
          <w:sz w:val="24"/>
          <w:szCs w:val="20"/>
        </w:rPr>
        <w:t xml:space="preserve"> salīdzinājumā ar 2019. gadu varētu palielināties par 4,4 procentpunktiem un 2070. gadā sasniegt 20,2% no IKP. Riska scenārijā galvenokārt palielinātos izdevumi veselības aprūpei un ilgstošajai aprūpei, ņemot vērā gan iespējamo izmaksu sadārdzināšanos, attīstoties tehnoloģijām, gan izmaksām uz 1 saņēmēju konverģējot ar ES vidējiem rādītājiem. </w:t>
      </w:r>
    </w:p>
    <w:p w14:paraId="281AD699" w14:textId="1FD36C49" w:rsidR="00513CD4" w:rsidRPr="00513CD4" w:rsidRDefault="00513CD4" w:rsidP="00A77F9C">
      <w:pPr>
        <w:rPr>
          <w:rFonts w:eastAsia="Times New Roman" w:cs="Times New Roman"/>
          <w:noProof/>
          <w:sz w:val="24"/>
          <w:szCs w:val="24"/>
        </w:rPr>
      </w:pPr>
      <w:r w:rsidRPr="00513CD4">
        <w:rPr>
          <w:rFonts w:eastAsia="Times New Roman" w:cs="Times New Roman"/>
          <w:noProof/>
          <w:sz w:val="24"/>
          <w:szCs w:val="24"/>
        </w:rPr>
        <w:t xml:space="preserve">2022. gada aprīlī </w:t>
      </w:r>
      <w:r w:rsidR="00F76A9C">
        <w:rPr>
          <w:rFonts w:eastAsia="Times New Roman" w:cs="Times New Roman"/>
          <w:noProof/>
          <w:sz w:val="24"/>
          <w:szCs w:val="24"/>
        </w:rPr>
        <w:t>EK</w:t>
      </w:r>
      <w:r w:rsidRPr="00513CD4">
        <w:rPr>
          <w:rFonts w:eastAsia="Times New Roman" w:cs="Times New Roman"/>
          <w:noProof/>
          <w:sz w:val="24"/>
          <w:szCs w:val="24"/>
        </w:rPr>
        <w:t xml:space="preserve"> publicēja Fiskālās ilgtspējas ziņojumu (</w:t>
      </w:r>
      <w:r w:rsidRPr="00513CD4">
        <w:rPr>
          <w:rFonts w:eastAsia="Times New Roman" w:cs="Times New Roman"/>
          <w:i/>
          <w:iCs/>
          <w:noProof/>
          <w:sz w:val="24"/>
          <w:szCs w:val="24"/>
        </w:rPr>
        <w:t>Fiscal Sustainability Report 2021</w:t>
      </w:r>
      <w:r w:rsidRPr="00513CD4">
        <w:rPr>
          <w:rFonts w:eastAsia="Times New Roman" w:cs="Times New Roman"/>
          <w:noProof/>
          <w:sz w:val="24"/>
          <w:szCs w:val="24"/>
        </w:rPr>
        <w:t xml:space="preserve">). Šajā ziņojumā Latvijai tiek identificēts potenciāli zems fiskālās ilgtspējas risks visās riska kategorijās (īstermiņa, vidējā termiņa un ilgtermiņa). Zemo fiskālās ilgtspējas risku nosaka relatīvi zems valsts parāda līmenis, kas kopumā saglabāsies stabils, kā arī zemi ar iedzīvotāju novecošanos saistītie izdevumi ilgtermiņā. </w:t>
      </w:r>
    </w:p>
    <w:p w14:paraId="48A832FE" w14:textId="28A77623" w:rsidR="0005631E" w:rsidRPr="00513CD4" w:rsidRDefault="0005631E" w:rsidP="00513CD4">
      <w:pPr>
        <w:autoSpaceDE w:val="0"/>
        <w:autoSpaceDN w:val="0"/>
        <w:adjustRightInd w:val="0"/>
        <w:rPr>
          <w:sz w:val="24"/>
          <w:highlight w:val="lightGray"/>
        </w:rPr>
      </w:pPr>
    </w:p>
    <w:p w14:paraId="7A953D57" w14:textId="44CEB2A5" w:rsidR="00BF4753" w:rsidRPr="00015891" w:rsidRDefault="00BF4753" w:rsidP="00513CD4">
      <w:pPr>
        <w:pStyle w:val="Heading2"/>
        <w:numPr>
          <w:ilvl w:val="0"/>
          <w:numId w:val="0"/>
        </w:numPr>
        <w:spacing w:before="0" w:after="240"/>
        <w:rPr>
          <w:rFonts w:eastAsia="Times New Roman" w:cs="Times New Roman"/>
          <w:sz w:val="22"/>
          <w:szCs w:val="18"/>
        </w:rPr>
      </w:pPr>
      <w:bookmarkStart w:id="67" w:name="_Toc131331256"/>
      <w:r w:rsidRPr="00015891">
        <w:rPr>
          <w:rFonts w:eastAsia="Times New Roman"/>
          <w:sz w:val="28"/>
          <w:szCs w:val="24"/>
          <w:lang w:eastAsia="lv-LV"/>
        </w:rPr>
        <w:lastRenderedPageBreak/>
        <w:t>6.2. Valsts sniegtie galvojumi</w:t>
      </w:r>
      <w:bookmarkEnd w:id="67"/>
      <w:r w:rsidRPr="00015891">
        <w:rPr>
          <w:rFonts w:eastAsia="Times New Roman" w:cs="Times New Roman"/>
          <w:sz w:val="22"/>
          <w:szCs w:val="18"/>
        </w:rPr>
        <w:t xml:space="preserve"> </w:t>
      </w:r>
    </w:p>
    <w:p w14:paraId="49AE60F5" w14:textId="4454B25D" w:rsidR="00015891" w:rsidRPr="00015891" w:rsidRDefault="00015891" w:rsidP="00015891">
      <w:pPr>
        <w:pStyle w:val="BodyText"/>
        <w:spacing w:after="0"/>
        <w:ind w:firstLine="720"/>
        <w:rPr>
          <w:szCs w:val="24"/>
        </w:rPr>
      </w:pPr>
      <w:r w:rsidRPr="00015891">
        <w:rPr>
          <w:szCs w:val="24"/>
        </w:rPr>
        <w:t xml:space="preserve">Likums “Par valsts budžetu 2022. gadam” jaunus valsts vārdā sniedzamos galvojumus neparedzēja, taču noteica, ka saskaņā ar </w:t>
      </w:r>
      <w:hyperlink r:id="rId45" w:tgtFrame="_blank" w:history="1">
        <w:r w:rsidRPr="00015891">
          <w:rPr>
            <w:szCs w:val="24"/>
          </w:rPr>
          <w:t>Lauksaimniecības un lauku attīstības likumu</w:t>
        </w:r>
      </w:hyperlink>
      <w:r w:rsidRPr="00015891">
        <w:rPr>
          <w:szCs w:val="24"/>
        </w:rPr>
        <w:t xml:space="preserve"> un </w:t>
      </w:r>
      <w:hyperlink r:id="rId46" w:tgtFrame="_blank" w:history="1">
        <w:r w:rsidRPr="00015891">
          <w:rPr>
            <w:szCs w:val="24"/>
          </w:rPr>
          <w:t>Attīstības finanšu institūcijas likumu</w:t>
        </w:r>
      </w:hyperlink>
      <w:r w:rsidRPr="00015891">
        <w:rPr>
          <w:szCs w:val="24"/>
        </w:rPr>
        <w:t xml:space="preserve"> valsts 270,0 milj. </w:t>
      </w:r>
      <w:proofErr w:type="spellStart"/>
      <w:r w:rsidRPr="00015891">
        <w:rPr>
          <w:i/>
          <w:szCs w:val="24"/>
        </w:rPr>
        <w:t>euro</w:t>
      </w:r>
      <w:proofErr w:type="spellEnd"/>
      <w:r w:rsidRPr="00015891">
        <w:rPr>
          <w:szCs w:val="24"/>
        </w:rPr>
        <w:t xml:space="preserve"> apmērā atbild par AS “Attīstības finanšu institūcija </w:t>
      </w:r>
      <w:proofErr w:type="spellStart"/>
      <w:r w:rsidRPr="00015891">
        <w:rPr>
          <w:szCs w:val="24"/>
        </w:rPr>
        <w:t>Altum</w:t>
      </w:r>
      <w:proofErr w:type="spellEnd"/>
      <w:r w:rsidRPr="00015891">
        <w:rPr>
          <w:szCs w:val="24"/>
        </w:rPr>
        <w:t>” izsniegtajām garantijām.</w:t>
      </w:r>
    </w:p>
    <w:p w14:paraId="41CA74D0" w14:textId="77777777" w:rsidR="00015891" w:rsidRPr="00015891" w:rsidRDefault="00015891" w:rsidP="00015891">
      <w:pPr>
        <w:textAlignment w:val="baseline"/>
        <w:rPr>
          <w:rFonts w:eastAsia="Calibri" w:cs="Times New Roman"/>
          <w:sz w:val="24"/>
          <w:szCs w:val="24"/>
        </w:rPr>
      </w:pPr>
      <w:r w:rsidRPr="00015891">
        <w:rPr>
          <w:rFonts w:eastAsia="Calibri" w:cs="Times New Roman"/>
          <w:sz w:val="24"/>
          <w:szCs w:val="24"/>
        </w:rPr>
        <w:t>Atbilstoši “</w:t>
      </w:r>
      <w:r w:rsidRPr="00015891">
        <w:rPr>
          <w:rFonts w:eastAsia="Calibri" w:cs="Times New Roman"/>
          <w:iCs/>
          <w:sz w:val="24"/>
          <w:szCs w:val="24"/>
        </w:rPr>
        <w:t>Ukrainas civiliedzīvotāju atbalsta likuma</w:t>
      </w:r>
      <w:r w:rsidRPr="00015891">
        <w:rPr>
          <w:rFonts w:eastAsia="Calibri" w:cs="Times New Roman"/>
          <w:sz w:val="24"/>
          <w:szCs w:val="24"/>
        </w:rPr>
        <w:t>” 8.</w:t>
      </w:r>
      <w:r w:rsidRPr="00015891">
        <w:rPr>
          <w:rFonts w:eastAsia="Calibri" w:cs="Times New Roman"/>
          <w:sz w:val="24"/>
          <w:szCs w:val="24"/>
          <w:vertAlign w:val="superscript"/>
        </w:rPr>
        <w:t xml:space="preserve">2 </w:t>
      </w:r>
      <w:r w:rsidRPr="00015891">
        <w:rPr>
          <w:rFonts w:eastAsia="Calibri" w:cs="Times New Roman"/>
          <w:sz w:val="24"/>
          <w:szCs w:val="24"/>
        </w:rPr>
        <w:t xml:space="preserve">pantā noteiktajam, Finanšu ministrs Latvijas Republikas vārdā parakstīja divus galvojuma līgumus: </w:t>
      </w:r>
    </w:p>
    <w:p w14:paraId="0EF0394A" w14:textId="40F021F2" w:rsidR="00015891" w:rsidRPr="00015891" w:rsidRDefault="00015891" w:rsidP="00015891">
      <w:pPr>
        <w:textAlignment w:val="baseline"/>
        <w:rPr>
          <w:rFonts w:eastAsia="Calibri" w:cs="Times New Roman"/>
          <w:sz w:val="24"/>
          <w:szCs w:val="24"/>
        </w:rPr>
      </w:pPr>
      <w:r w:rsidRPr="00015891">
        <w:rPr>
          <w:rFonts w:eastAsia="Calibri" w:cs="Times New Roman"/>
          <w:sz w:val="24"/>
          <w:szCs w:val="24"/>
        </w:rPr>
        <w:t>- 2022. gada</w:t>
      </w:r>
      <w:r w:rsidR="00263709">
        <w:rPr>
          <w:rFonts w:eastAsia="Calibri" w:cs="Times New Roman"/>
          <w:sz w:val="24"/>
          <w:szCs w:val="24"/>
        </w:rPr>
        <w:t xml:space="preserve"> </w:t>
      </w:r>
      <w:r w:rsidRPr="00015891">
        <w:rPr>
          <w:rFonts w:eastAsia="Times New Roman" w:cs="Times New Roman"/>
          <w:sz w:val="24"/>
          <w:szCs w:val="24"/>
        </w:rPr>
        <w:t>11. jūlijā tika parakstīts galvojuma līgums ar Pasaules Bankas grupas Starptautisko Rekonstrukcijas un attīstības banku par aizdevum</w:t>
      </w:r>
      <w:r>
        <w:rPr>
          <w:rFonts w:eastAsia="Times New Roman" w:cs="Times New Roman"/>
          <w:sz w:val="24"/>
          <w:szCs w:val="24"/>
        </w:rPr>
        <w:t>u</w:t>
      </w:r>
      <w:r w:rsidRPr="00015891">
        <w:rPr>
          <w:rFonts w:eastAsia="Times New Roman" w:cs="Times New Roman"/>
          <w:sz w:val="24"/>
          <w:szCs w:val="24"/>
        </w:rPr>
        <w:t xml:space="preserve"> Ukrainai 10,0 milj. </w:t>
      </w:r>
      <w:proofErr w:type="spellStart"/>
      <w:r w:rsidRPr="00015891">
        <w:rPr>
          <w:rFonts w:eastAsia="Times New Roman" w:cs="Times New Roman"/>
          <w:i/>
          <w:sz w:val="24"/>
          <w:szCs w:val="24"/>
        </w:rPr>
        <w:t>euro</w:t>
      </w:r>
      <w:proofErr w:type="spellEnd"/>
      <w:r w:rsidRPr="00015891">
        <w:rPr>
          <w:rFonts w:eastAsia="Times New Roman" w:cs="Times New Roman"/>
          <w:sz w:val="24"/>
          <w:szCs w:val="24"/>
        </w:rPr>
        <w:t xml:space="preserve"> un aizdevuma procentiem 3,78 milj. </w:t>
      </w:r>
      <w:proofErr w:type="spellStart"/>
      <w:r w:rsidRPr="00015891">
        <w:rPr>
          <w:rFonts w:eastAsia="Times New Roman" w:cs="Times New Roman"/>
          <w:i/>
          <w:sz w:val="24"/>
          <w:szCs w:val="24"/>
        </w:rPr>
        <w:t>euro</w:t>
      </w:r>
      <w:proofErr w:type="spellEnd"/>
      <w:r w:rsidRPr="00015891">
        <w:rPr>
          <w:rFonts w:eastAsia="Times New Roman" w:cs="Times New Roman"/>
          <w:i/>
          <w:sz w:val="24"/>
          <w:szCs w:val="24"/>
        </w:rPr>
        <w:t xml:space="preserve"> </w:t>
      </w:r>
      <w:r w:rsidRPr="00015891">
        <w:rPr>
          <w:rFonts w:eastAsia="Times New Roman" w:cs="Times New Roman"/>
          <w:sz w:val="24"/>
          <w:szCs w:val="24"/>
        </w:rPr>
        <w:t>apmērā</w:t>
      </w:r>
      <w:r w:rsidRPr="00015891">
        <w:rPr>
          <w:rFonts w:eastAsia="Times New Roman" w:cs="Times New Roman"/>
          <w:i/>
          <w:sz w:val="24"/>
          <w:szCs w:val="24"/>
        </w:rPr>
        <w:t xml:space="preserve"> </w:t>
      </w:r>
      <w:r w:rsidRPr="00015891">
        <w:rPr>
          <w:rFonts w:eastAsia="Times New Roman" w:cs="Times New Roman"/>
          <w:sz w:val="24"/>
          <w:szCs w:val="24"/>
        </w:rPr>
        <w:t>“Publisko izdevumu administratīvās kapacitātes stiprināšanai Ukrainā” projekta ietvaros. Aizdevuma atmaksas galējais termiņš plānots 2040. gada 15. augusts</w:t>
      </w:r>
      <w:r>
        <w:rPr>
          <w:rFonts w:eastAsia="Times New Roman" w:cs="Times New Roman"/>
          <w:sz w:val="24"/>
          <w:szCs w:val="24"/>
        </w:rPr>
        <w:t>.</w:t>
      </w:r>
      <w:r w:rsidRPr="00015891">
        <w:rPr>
          <w:rFonts w:eastAsia="Times New Roman" w:cs="Times New Roman"/>
          <w:sz w:val="24"/>
          <w:szCs w:val="24"/>
        </w:rPr>
        <w:t xml:space="preserve"> Ukrainas kredītspēja ir novērtēta kā slikta un pastāvot augstam Starptautisk</w:t>
      </w:r>
      <w:r>
        <w:rPr>
          <w:rFonts w:eastAsia="Times New Roman" w:cs="Times New Roman"/>
          <w:sz w:val="24"/>
          <w:szCs w:val="24"/>
        </w:rPr>
        <w:t>ās</w:t>
      </w:r>
      <w:r w:rsidRPr="00015891">
        <w:rPr>
          <w:rFonts w:eastAsia="Times New Roman" w:cs="Times New Roman"/>
          <w:sz w:val="24"/>
          <w:szCs w:val="24"/>
        </w:rPr>
        <w:t xml:space="preserve"> Rekonstrukcijas un attīstības bank</w:t>
      </w:r>
      <w:r>
        <w:rPr>
          <w:rFonts w:eastAsia="Times New Roman" w:cs="Times New Roman"/>
          <w:sz w:val="24"/>
          <w:szCs w:val="24"/>
        </w:rPr>
        <w:t>as aizdevuma</w:t>
      </w:r>
      <w:r w:rsidRPr="00015891">
        <w:rPr>
          <w:rFonts w:eastAsia="Times New Roman" w:cs="Times New Roman"/>
          <w:sz w:val="24"/>
          <w:szCs w:val="24"/>
        </w:rPr>
        <w:t xml:space="preserve"> neatmaksāšanas riskam, šis risks ir iekļauts fiskālā nodrošinājuma rezerves aprēķinā </w:t>
      </w:r>
      <w:r w:rsidRPr="0073677C">
        <w:rPr>
          <w:rFonts w:eastAsia="Times New Roman" w:cs="Times New Roman"/>
          <w:sz w:val="24"/>
          <w:szCs w:val="24"/>
        </w:rPr>
        <w:t xml:space="preserve">un ir izveidoti uzkrājumi </w:t>
      </w:r>
      <w:r w:rsidR="0073677C" w:rsidRPr="0073677C">
        <w:rPr>
          <w:rFonts w:eastAsia="Times New Roman" w:cs="Times New Roman"/>
          <w:sz w:val="24"/>
          <w:szCs w:val="24"/>
        </w:rPr>
        <w:t>valsts budžeta galvojumam un galvojuma procentu maksājumiem</w:t>
      </w:r>
      <w:r w:rsidRPr="0073677C">
        <w:rPr>
          <w:rFonts w:eastAsia="Times New Roman" w:cs="Times New Roman"/>
          <w:sz w:val="24"/>
          <w:szCs w:val="24"/>
        </w:rPr>
        <w:t>.</w:t>
      </w:r>
    </w:p>
    <w:p w14:paraId="181ECA91" w14:textId="011216E1" w:rsidR="00015891" w:rsidRPr="00015891" w:rsidRDefault="00015891" w:rsidP="00015891">
      <w:pPr>
        <w:textAlignment w:val="baseline"/>
        <w:rPr>
          <w:rFonts w:eastAsia="Calibri" w:cs="Times New Roman"/>
          <w:sz w:val="24"/>
          <w:szCs w:val="24"/>
        </w:rPr>
      </w:pPr>
      <w:r w:rsidRPr="00015891">
        <w:rPr>
          <w:rFonts w:eastAsia="Calibri" w:cs="Times New Roman"/>
          <w:sz w:val="24"/>
          <w:szCs w:val="24"/>
        </w:rPr>
        <w:t xml:space="preserve">- 2022. gada 1. decembrī tika parakstīts garantijas nolīgums ar </w:t>
      </w:r>
      <w:r>
        <w:rPr>
          <w:rFonts w:eastAsia="Calibri" w:cs="Times New Roman"/>
          <w:sz w:val="24"/>
          <w:szCs w:val="24"/>
        </w:rPr>
        <w:t>EK</w:t>
      </w:r>
      <w:r w:rsidRPr="00015891">
        <w:rPr>
          <w:rFonts w:eastAsia="Calibri" w:cs="Times New Roman"/>
          <w:sz w:val="24"/>
          <w:szCs w:val="24"/>
        </w:rPr>
        <w:t>, pamatojoties uz</w:t>
      </w:r>
      <w:r w:rsidRPr="00015891">
        <w:rPr>
          <w:rFonts w:eastAsia="Arial Unicode MS" w:cs="Times New Roman"/>
          <w:sz w:val="24"/>
          <w:szCs w:val="24"/>
        </w:rPr>
        <w:t xml:space="preserve"> Eiropas Parlamenta un Padomes 2022. gada 12. jūlija lēmumu (ES) 2022/1201 un 20. septembra lēmumu (ES) 2022/1628 ar ko sniedz ārkārtas </w:t>
      </w:r>
      <w:proofErr w:type="spellStart"/>
      <w:r w:rsidRPr="00015891">
        <w:rPr>
          <w:rFonts w:eastAsia="Arial Unicode MS" w:cs="Times New Roman"/>
          <w:sz w:val="24"/>
          <w:szCs w:val="24"/>
        </w:rPr>
        <w:t>makrofinansiālo</w:t>
      </w:r>
      <w:proofErr w:type="spellEnd"/>
      <w:r w:rsidRPr="00015891">
        <w:rPr>
          <w:rFonts w:eastAsia="Arial Unicode MS" w:cs="Times New Roman"/>
          <w:sz w:val="24"/>
          <w:szCs w:val="24"/>
        </w:rPr>
        <w:t xml:space="preserve"> palīdzību Ukrainai. Nolīgums paredz līdz 2058. gada 31. decembrim LR garantēt par aizdevuma pamatsummu 8,1 milj. </w:t>
      </w:r>
      <w:proofErr w:type="spellStart"/>
      <w:r w:rsidRPr="00015891">
        <w:rPr>
          <w:rFonts w:eastAsia="Arial Unicode MS" w:cs="Times New Roman"/>
          <w:i/>
          <w:sz w:val="24"/>
          <w:szCs w:val="24"/>
        </w:rPr>
        <w:t>euro</w:t>
      </w:r>
      <w:proofErr w:type="spellEnd"/>
      <w:r w:rsidRPr="00015891">
        <w:rPr>
          <w:rFonts w:eastAsia="Arial Unicode MS" w:cs="Times New Roman"/>
          <w:i/>
          <w:sz w:val="24"/>
          <w:szCs w:val="24"/>
        </w:rPr>
        <w:t xml:space="preserve"> </w:t>
      </w:r>
      <w:r w:rsidRPr="00015891">
        <w:rPr>
          <w:rFonts w:eastAsia="Arial Unicode MS" w:cs="Times New Roman"/>
          <w:sz w:val="24"/>
          <w:szCs w:val="24"/>
        </w:rPr>
        <w:t>apmērā un no 2028.</w:t>
      </w:r>
      <w:r>
        <w:rPr>
          <w:rFonts w:eastAsia="Arial Unicode MS" w:cs="Times New Roman"/>
          <w:sz w:val="24"/>
          <w:szCs w:val="24"/>
        </w:rPr>
        <w:t xml:space="preserve"> līdz </w:t>
      </w:r>
      <w:r w:rsidRPr="00015891">
        <w:rPr>
          <w:rFonts w:eastAsia="Arial Unicode MS" w:cs="Times New Roman"/>
          <w:sz w:val="24"/>
          <w:szCs w:val="24"/>
        </w:rPr>
        <w:t>2058. gada</w:t>
      </w:r>
      <w:r>
        <w:rPr>
          <w:rFonts w:eastAsia="Arial Unicode MS" w:cs="Times New Roman"/>
          <w:sz w:val="24"/>
          <w:szCs w:val="24"/>
        </w:rPr>
        <w:t>m -</w:t>
      </w:r>
      <w:r w:rsidRPr="00015891">
        <w:rPr>
          <w:rFonts w:eastAsia="Arial Unicode MS" w:cs="Times New Roman"/>
          <w:sz w:val="24"/>
          <w:szCs w:val="24"/>
        </w:rPr>
        <w:t xml:space="preserve"> par aizdevuma </w:t>
      </w:r>
      <w:r w:rsidR="0073677C" w:rsidRPr="0073677C">
        <w:rPr>
          <w:rFonts w:eastAsia="Arial Unicode MS" w:cs="Times New Roman"/>
          <w:sz w:val="24"/>
          <w:szCs w:val="24"/>
        </w:rPr>
        <w:t xml:space="preserve">pamatsummas un </w:t>
      </w:r>
      <w:r w:rsidRPr="00015891">
        <w:rPr>
          <w:rFonts w:eastAsia="Arial Unicode MS" w:cs="Times New Roman"/>
          <w:sz w:val="24"/>
          <w:szCs w:val="24"/>
        </w:rPr>
        <w:t xml:space="preserve">procentu maksājumiem. </w:t>
      </w:r>
      <w:r w:rsidR="0073677C" w:rsidRPr="0073677C">
        <w:rPr>
          <w:rFonts w:eastAsia="Arial Unicode MS" w:cs="Times New Roman"/>
          <w:sz w:val="24"/>
          <w:szCs w:val="24"/>
        </w:rPr>
        <w:t>Šis risks ir iekļauts fiskālā nodrošinājuma rezerves aprēķinā un</w:t>
      </w:r>
      <w:r w:rsidR="0073677C">
        <w:rPr>
          <w:rFonts w:eastAsia="Arial Unicode MS" w:cs="Times New Roman"/>
          <w:sz w:val="24"/>
          <w:szCs w:val="24"/>
        </w:rPr>
        <w:t>,</w:t>
      </w:r>
      <w:r w:rsidR="0073677C" w:rsidRPr="0073677C">
        <w:rPr>
          <w:rFonts w:eastAsia="Arial Unicode MS" w:cs="Times New Roman"/>
          <w:sz w:val="24"/>
          <w:szCs w:val="24"/>
        </w:rPr>
        <w:t xml:space="preserve"> pēc EK oficiālās informācijas saņemšanas</w:t>
      </w:r>
      <w:r w:rsidR="0073677C">
        <w:rPr>
          <w:rFonts w:eastAsia="Arial Unicode MS" w:cs="Times New Roman"/>
          <w:sz w:val="24"/>
          <w:szCs w:val="24"/>
        </w:rPr>
        <w:t>,</w:t>
      </w:r>
      <w:r w:rsidR="0073677C" w:rsidRPr="0073677C">
        <w:rPr>
          <w:rFonts w:eastAsia="Arial Unicode MS" w:cs="Times New Roman"/>
          <w:sz w:val="24"/>
          <w:szCs w:val="24"/>
        </w:rPr>
        <w:t xml:space="preserve"> valsts budžetā tiks izveidoti uzkrājumi.</w:t>
      </w:r>
    </w:p>
    <w:p w14:paraId="704DED99" w14:textId="77777777" w:rsidR="00015891" w:rsidRPr="00015891" w:rsidRDefault="00015891" w:rsidP="00015891">
      <w:pPr>
        <w:rPr>
          <w:rFonts w:eastAsia="Times New Roman" w:cs="Times New Roman"/>
          <w:bCs/>
          <w:sz w:val="24"/>
          <w:szCs w:val="24"/>
          <w:lang w:eastAsia="lv-LV"/>
        </w:rPr>
      </w:pPr>
      <w:r w:rsidRPr="00015891">
        <w:rPr>
          <w:rFonts w:eastAsia="Times New Roman" w:cs="Times New Roman"/>
          <w:sz w:val="24"/>
          <w:szCs w:val="24"/>
          <w:lang w:eastAsia="lv-LV"/>
        </w:rPr>
        <w:t>V</w:t>
      </w:r>
      <w:r w:rsidRPr="00015891">
        <w:rPr>
          <w:rFonts w:eastAsia="Times New Roman" w:cs="Times New Roman"/>
          <w:sz w:val="24"/>
          <w:szCs w:val="24"/>
        </w:rPr>
        <w:t>alsts vārdā sniegto galvojumu apmērs 2022. gada beigās bija 578,2 milj. </w:t>
      </w:r>
      <w:proofErr w:type="spellStart"/>
      <w:r w:rsidRPr="00015891">
        <w:rPr>
          <w:rFonts w:eastAsia="Times New Roman" w:cs="Times New Roman"/>
          <w:i/>
          <w:sz w:val="24"/>
          <w:szCs w:val="24"/>
        </w:rPr>
        <w:t>euro</w:t>
      </w:r>
      <w:proofErr w:type="spellEnd"/>
      <w:r w:rsidRPr="00015891">
        <w:rPr>
          <w:rFonts w:eastAsia="Times New Roman" w:cs="Times New Roman"/>
          <w:sz w:val="24"/>
          <w:szCs w:val="24"/>
        </w:rPr>
        <w:t>, ko veidoja izmaksātā, bet vēl neatmaksātā valsts vārdā sniegtā galvojuma daļa 371,8  milj. </w:t>
      </w:r>
      <w:proofErr w:type="spellStart"/>
      <w:r w:rsidRPr="00015891">
        <w:rPr>
          <w:rFonts w:eastAsia="Times New Roman" w:cs="Times New Roman"/>
          <w:i/>
          <w:sz w:val="24"/>
          <w:szCs w:val="24"/>
        </w:rPr>
        <w:t>euro</w:t>
      </w:r>
      <w:proofErr w:type="spellEnd"/>
      <w:r w:rsidRPr="00015891">
        <w:rPr>
          <w:rFonts w:eastAsia="Times New Roman" w:cs="Times New Roman"/>
          <w:sz w:val="24"/>
          <w:szCs w:val="24"/>
          <w:lang w:eastAsia="lv-LV"/>
        </w:rPr>
        <w:t xml:space="preserve"> apmērā </w:t>
      </w:r>
      <w:r w:rsidRPr="00015891">
        <w:rPr>
          <w:rFonts w:eastAsia="Times New Roman" w:cs="Times New Roman"/>
          <w:sz w:val="24"/>
          <w:szCs w:val="24"/>
        </w:rPr>
        <w:t>un neizmaksātā, bet vēl pieejamā valsts vārdā sniegtā galvojuma daļa 206,4  milj. </w:t>
      </w:r>
      <w:proofErr w:type="spellStart"/>
      <w:r w:rsidRPr="00015891">
        <w:rPr>
          <w:rFonts w:eastAsia="Times New Roman" w:cs="Times New Roman"/>
          <w:bCs/>
          <w:i/>
          <w:sz w:val="24"/>
          <w:szCs w:val="24"/>
          <w:lang w:eastAsia="lv-LV"/>
        </w:rPr>
        <w:t>euro</w:t>
      </w:r>
      <w:proofErr w:type="spellEnd"/>
      <w:r w:rsidRPr="00015891">
        <w:rPr>
          <w:rFonts w:eastAsia="Times New Roman" w:cs="Times New Roman"/>
          <w:bCs/>
          <w:i/>
          <w:sz w:val="24"/>
          <w:szCs w:val="24"/>
          <w:lang w:eastAsia="lv-LV"/>
        </w:rPr>
        <w:t xml:space="preserve"> </w:t>
      </w:r>
      <w:r w:rsidRPr="00015891">
        <w:rPr>
          <w:rFonts w:eastAsia="Times New Roman" w:cs="Times New Roman"/>
          <w:bCs/>
          <w:sz w:val="24"/>
          <w:szCs w:val="24"/>
          <w:lang w:eastAsia="lv-LV"/>
        </w:rPr>
        <w:t>apmērā.</w:t>
      </w:r>
    </w:p>
    <w:p w14:paraId="78A0E703" w14:textId="4F11CB09" w:rsidR="00015891" w:rsidRPr="00015891" w:rsidRDefault="00015891" w:rsidP="00015891">
      <w:pPr>
        <w:rPr>
          <w:rFonts w:eastAsia="Times New Roman" w:cs="Times New Roman"/>
          <w:bCs/>
          <w:sz w:val="24"/>
          <w:szCs w:val="24"/>
          <w:lang w:eastAsia="lv-LV"/>
        </w:rPr>
      </w:pPr>
      <w:r w:rsidRPr="00015891">
        <w:rPr>
          <w:rFonts w:eastAsia="Times New Roman" w:cs="Times New Roman"/>
          <w:bCs/>
          <w:sz w:val="24"/>
          <w:szCs w:val="24"/>
          <w:lang w:eastAsia="lv-LV"/>
        </w:rPr>
        <w:t>Kopējais valsts vārdā sniegto galvojumu atlikums 2022. gada beigās bija 371,8  milj. </w:t>
      </w:r>
      <w:proofErr w:type="spellStart"/>
      <w:r w:rsidRPr="00015891">
        <w:rPr>
          <w:rFonts w:eastAsia="Times New Roman" w:cs="Times New Roman"/>
          <w:bCs/>
          <w:i/>
          <w:sz w:val="24"/>
          <w:szCs w:val="24"/>
          <w:lang w:eastAsia="lv-LV"/>
        </w:rPr>
        <w:t>euro</w:t>
      </w:r>
      <w:proofErr w:type="spellEnd"/>
      <w:r w:rsidRPr="00015891">
        <w:rPr>
          <w:rFonts w:eastAsia="Times New Roman" w:cs="Times New Roman"/>
          <w:bCs/>
          <w:sz w:val="24"/>
          <w:szCs w:val="24"/>
          <w:lang w:eastAsia="lv-LV"/>
        </w:rPr>
        <w:t xml:space="preserve"> jeb 1 % no IKP (sk. </w:t>
      </w:r>
      <w:r>
        <w:rPr>
          <w:rFonts w:eastAsia="Times New Roman" w:cs="Times New Roman"/>
          <w:bCs/>
          <w:sz w:val="24"/>
          <w:szCs w:val="24"/>
          <w:lang w:eastAsia="lv-LV"/>
        </w:rPr>
        <w:t>6.7</w:t>
      </w:r>
      <w:r w:rsidRPr="00015891">
        <w:rPr>
          <w:rFonts w:eastAsia="Times New Roman" w:cs="Times New Roman"/>
          <w:bCs/>
          <w:sz w:val="24"/>
          <w:szCs w:val="24"/>
          <w:lang w:eastAsia="lv-LV"/>
        </w:rPr>
        <w:t>.</w:t>
      </w:r>
      <w:r>
        <w:rPr>
          <w:rFonts w:eastAsia="Times New Roman" w:cs="Times New Roman"/>
          <w:bCs/>
          <w:sz w:val="24"/>
          <w:szCs w:val="24"/>
          <w:lang w:eastAsia="lv-LV"/>
        </w:rPr>
        <w:t xml:space="preserve"> </w:t>
      </w:r>
      <w:r w:rsidRPr="00015891">
        <w:rPr>
          <w:rFonts w:eastAsia="Times New Roman" w:cs="Times New Roman"/>
          <w:bCs/>
          <w:sz w:val="24"/>
          <w:szCs w:val="24"/>
          <w:lang w:eastAsia="lv-LV"/>
        </w:rPr>
        <w:t xml:space="preserve">attēlu). </w:t>
      </w:r>
    </w:p>
    <w:p w14:paraId="4FCB559A" w14:textId="77777777" w:rsidR="00015891" w:rsidRPr="00015891" w:rsidRDefault="00015891" w:rsidP="00015891">
      <w:pPr>
        <w:rPr>
          <w:rFonts w:eastAsia="Times New Roman" w:cs="Times New Roman"/>
          <w:sz w:val="24"/>
          <w:szCs w:val="24"/>
        </w:rPr>
      </w:pPr>
    </w:p>
    <w:p w14:paraId="469FC3FF" w14:textId="77777777" w:rsidR="00015891" w:rsidRPr="00015891" w:rsidRDefault="00015891" w:rsidP="00015891">
      <w:pPr>
        <w:ind w:firstLine="0"/>
        <w:jc w:val="center"/>
        <w:rPr>
          <w:rFonts w:eastAsia="Times New Roman" w:cs="Times New Roman"/>
          <w:bCs/>
          <w:sz w:val="24"/>
          <w:szCs w:val="26"/>
        </w:rPr>
      </w:pPr>
      <w:r w:rsidRPr="00015891">
        <w:rPr>
          <w:rFonts w:eastAsia="Times New Roman" w:cs="Times New Roman"/>
          <w:noProof/>
          <w:sz w:val="24"/>
          <w:szCs w:val="24"/>
          <w:lang w:eastAsia="lv-LV"/>
        </w:rPr>
        <w:drawing>
          <wp:inline distT="0" distB="0" distL="0" distR="0" wp14:anchorId="5C780D8A" wp14:editId="04AC403A">
            <wp:extent cx="4173071" cy="2238487"/>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7">
                      <a:extLst>
                        <a:ext uri="{28A0092B-C50C-407E-A947-70E740481C1C}">
                          <a14:useLocalDpi xmlns:a14="http://schemas.microsoft.com/office/drawing/2010/main" val="0"/>
                        </a:ext>
                      </a:extLst>
                    </a:blip>
                    <a:srcRect l="14186" t="8446" r="1906" b="2541"/>
                    <a:stretch/>
                  </pic:blipFill>
                  <pic:spPr bwMode="auto">
                    <a:xfrm>
                      <a:off x="0" y="0"/>
                      <a:ext cx="4177803" cy="2241025"/>
                    </a:xfrm>
                    <a:prstGeom prst="rect">
                      <a:avLst/>
                    </a:prstGeom>
                    <a:noFill/>
                    <a:ln>
                      <a:noFill/>
                    </a:ln>
                    <a:extLst>
                      <a:ext uri="{53640926-AAD7-44D8-BBD7-CCE9431645EC}">
                        <a14:shadowObscured xmlns:a14="http://schemas.microsoft.com/office/drawing/2010/main"/>
                      </a:ext>
                    </a:extLst>
                  </pic:spPr>
                </pic:pic>
              </a:graphicData>
            </a:graphic>
          </wp:inline>
        </w:drawing>
      </w:r>
    </w:p>
    <w:p w14:paraId="7A2ED950" w14:textId="77777777" w:rsidR="00015891" w:rsidRPr="00015891" w:rsidRDefault="00015891" w:rsidP="00015891">
      <w:pPr>
        <w:ind w:firstLine="0"/>
        <w:jc w:val="center"/>
        <w:rPr>
          <w:rFonts w:eastAsia="Times New Roman" w:cs="Times New Roman"/>
          <w:bCs/>
          <w:sz w:val="24"/>
          <w:szCs w:val="26"/>
        </w:rPr>
      </w:pPr>
    </w:p>
    <w:p w14:paraId="7253BD6F" w14:textId="067EA738" w:rsidR="00015891" w:rsidRPr="00015891" w:rsidRDefault="00015891" w:rsidP="00015891">
      <w:pPr>
        <w:ind w:firstLine="0"/>
        <w:jc w:val="center"/>
        <w:rPr>
          <w:rFonts w:eastAsia="Times New Roman" w:cs="Times New Roman"/>
          <w:b/>
          <w:bCs/>
          <w:i/>
          <w:sz w:val="24"/>
          <w:szCs w:val="26"/>
        </w:rPr>
      </w:pPr>
      <w:r>
        <w:rPr>
          <w:rFonts w:eastAsia="Times New Roman" w:cs="Times New Roman"/>
          <w:b/>
          <w:bCs/>
          <w:i/>
          <w:sz w:val="24"/>
          <w:szCs w:val="26"/>
        </w:rPr>
        <w:t>6.7</w:t>
      </w:r>
      <w:r w:rsidRPr="00015891">
        <w:rPr>
          <w:rFonts w:eastAsia="Times New Roman" w:cs="Times New Roman"/>
          <w:b/>
          <w:bCs/>
          <w:i/>
          <w:sz w:val="24"/>
          <w:szCs w:val="26"/>
        </w:rPr>
        <w:t>.</w:t>
      </w:r>
      <w:r>
        <w:rPr>
          <w:rFonts w:eastAsia="Times New Roman" w:cs="Times New Roman"/>
          <w:b/>
          <w:bCs/>
          <w:i/>
          <w:sz w:val="24"/>
          <w:szCs w:val="26"/>
        </w:rPr>
        <w:t>att</w:t>
      </w:r>
      <w:r w:rsidRPr="00015891">
        <w:rPr>
          <w:rFonts w:eastAsia="Times New Roman" w:cs="Times New Roman"/>
          <w:b/>
          <w:bCs/>
          <w:i/>
          <w:sz w:val="24"/>
          <w:szCs w:val="26"/>
        </w:rPr>
        <w:t>. Valsts vārdā izsniegto galvojumu atlikums attiecīgā gada beigās (milj. </w:t>
      </w:r>
      <w:proofErr w:type="spellStart"/>
      <w:r w:rsidRPr="00015891">
        <w:rPr>
          <w:rFonts w:eastAsia="Times New Roman" w:cs="Times New Roman"/>
          <w:b/>
          <w:bCs/>
          <w:i/>
          <w:sz w:val="24"/>
          <w:szCs w:val="26"/>
        </w:rPr>
        <w:t>euro</w:t>
      </w:r>
      <w:proofErr w:type="spellEnd"/>
      <w:r w:rsidRPr="00015891">
        <w:rPr>
          <w:rFonts w:eastAsia="Times New Roman" w:cs="Times New Roman"/>
          <w:b/>
          <w:bCs/>
          <w:i/>
          <w:sz w:val="24"/>
          <w:szCs w:val="26"/>
        </w:rPr>
        <w:t>)</w:t>
      </w:r>
    </w:p>
    <w:p w14:paraId="11973068" w14:textId="77777777" w:rsidR="00015891" w:rsidRPr="00015891" w:rsidRDefault="00015891" w:rsidP="00015891">
      <w:pPr>
        <w:ind w:firstLine="0"/>
        <w:jc w:val="center"/>
        <w:rPr>
          <w:rFonts w:eastAsia="Times New Roman" w:cs="Times New Roman"/>
          <w:sz w:val="20"/>
          <w:szCs w:val="20"/>
          <w:lang w:eastAsia="lv-LV"/>
        </w:rPr>
      </w:pPr>
    </w:p>
    <w:p w14:paraId="7028BA9A" w14:textId="271342CF" w:rsidR="00015891" w:rsidRPr="00015891" w:rsidRDefault="00015891" w:rsidP="00015891">
      <w:pPr>
        <w:ind w:firstLine="567"/>
        <w:rPr>
          <w:rFonts w:eastAsia="Times New Roman" w:cs="Times New Roman"/>
          <w:sz w:val="24"/>
          <w:szCs w:val="26"/>
        </w:rPr>
      </w:pPr>
      <w:r w:rsidRPr="00015891">
        <w:rPr>
          <w:rFonts w:eastAsia="Times New Roman" w:cs="Times New Roman"/>
          <w:sz w:val="24"/>
          <w:szCs w:val="26"/>
        </w:rPr>
        <w:t xml:space="preserve">Valsts vārdā sniegto galvojumu portfelī lielāko apjomu veido galvojumi </w:t>
      </w:r>
      <w:r w:rsidRPr="00015891">
        <w:rPr>
          <w:rFonts w:eastAsia="Times New Roman" w:cs="Times New Roman"/>
          <w:sz w:val="24"/>
          <w:szCs w:val="24"/>
        </w:rPr>
        <w:t xml:space="preserve">AS “Attīstības finanšu institūcijai </w:t>
      </w:r>
      <w:proofErr w:type="spellStart"/>
      <w:r w:rsidRPr="00015891">
        <w:rPr>
          <w:rFonts w:eastAsia="Times New Roman" w:cs="Times New Roman"/>
          <w:sz w:val="24"/>
          <w:szCs w:val="24"/>
        </w:rPr>
        <w:t>Altum</w:t>
      </w:r>
      <w:proofErr w:type="spellEnd"/>
      <w:r w:rsidRPr="00015891">
        <w:rPr>
          <w:rFonts w:eastAsia="Times New Roman" w:cs="Times New Roman"/>
          <w:sz w:val="24"/>
          <w:szCs w:val="26"/>
        </w:rPr>
        <w:t xml:space="preserve">” par </w:t>
      </w:r>
      <w:r w:rsidRPr="00015891">
        <w:rPr>
          <w:rFonts w:eastAsia="Times New Roman" w:cs="Times New Roman"/>
          <w:sz w:val="24"/>
          <w:szCs w:val="24"/>
        </w:rPr>
        <w:t xml:space="preserve">AS “Attīstības finanšu institūcijas </w:t>
      </w:r>
      <w:proofErr w:type="spellStart"/>
      <w:r w:rsidRPr="00015891">
        <w:rPr>
          <w:rFonts w:eastAsia="Times New Roman" w:cs="Times New Roman"/>
          <w:sz w:val="24"/>
          <w:szCs w:val="24"/>
        </w:rPr>
        <w:t>Altum</w:t>
      </w:r>
      <w:proofErr w:type="spellEnd"/>
      <w:r w:rsidRPr="00015891">
        <w:rPr>
          <w:rFonts w:eastAsia="Times New Roman" w:cs="Times New Roman"/>
          <w:sz w:val="24"/>
          <w:szCs w:val="26"/>
        </w:rPr>
        <w:t>” izsniegtajām garantijām kredītiestādēm par lauksaimnieku aizņēmumiem (</w:t>
      </w:r>
      <w:proofErr w:type="spellStart"/>
      <w:r w:rsidRPr="00015891">
        <w:rPr>
          <w:rFonts w:eastAsia="Times New Roman" w:cs="Times New Roman"/>
          <w:sz w:val="24"/>
          <w:szCs w:val="26"/>
        </w:rPr>
        <w:t>pārgalvojumi</w:t>
      </w:r>
      <w:proofErr w:type="spellEnd"/>
      <w:r w:rsidRPr="00015891">
        <w:rPr>
          <w:rFonts w:eastAsia="Times New Roman" w:cs="Times New Roman"/>
          <w:sz w:val="24"/>
          <w:szCs w:val="26"/>
        </w:rPr>
        <w:t xml:space="preserve">), galvojumi Eiropas Investīciju bankai par </w:t>
      </w:r>
      <w:r w:rsidRPr="00015891">
        <w:rPr>
          <w:rFonts w:eastAsia="Times New Roman" w:cs="Times New Roman"/>
          <w:sz w:val="24"/>
          <w:szCs w:val="24"/>
        </w:rPr>
        <w:t xml:space="preserve">AS “Attīstības finanšu institūcijas </w:t>
      </w:r>
      <w:proofErr w:type="spellStart"/>
      <w:r w:rsidRPr="00015891">
        <w:rPr>
          <w:rFonts w:eastAsia="Times New Roman" w:cs="Times New Roman"/>
          <w:sz w:val="24"/>
          <w:szCs w:val="24"/>
        </w:rPr>
        <w:t>Altum</w:t>
      </w:r>
      <w:proofErr w:type="spellEnd"/>
      <w:r w:rsidRPr="00015891">
        <w:rPr>
          <w:rFonts w:eastAsia="Times New Roman" w:cs="Times New Roman"/>
          <w:sz w:val="24"/>
          <w:szCs w:val="26"/>
        </w:rPr>
        <w:t xml:space="preserve">” izsniegtajiem aizdevumiem uzņēmumu konkurētspējas uzlabošanas atbalsta programmas ietvaros un Latvijas mazo un </w:t>
      </w:r>
      <w:r w:rsidRPr="00015891">
        <w:rPr>
          <w:rFonts w:eastAsia="Times New Roman" w:cs="Times New Roman"/>
          <w:sz w:val="24"/>
          <w:szCs w:val="26"/>
        </w:rPr>
        <w:lastRenderedPageBreak/>
        <w:t xml:space="preserve">vidējo uzņēmumu attīstības kreditēšanas ietvaros (242,6  milj. </w:t>
      </w:r>
      <w:proofErr w:type="spellStart"/>
      <w:r w:rsidRPr="00015891">
        <w:rPr>
          <w:rFonts w:eastAsia="Times New Roman" w:cs="Times New Roman"/>
          <w:i/>
          <w:sz w:val="24"/>
          <w:szCs w:val="26"/>
        </w:rPr>
        <w:t>euro</w:t>
      </w:r>
      <w:proofErr w:type="spellEnd"/>
      <w:r w:rsidRPr="00015891">
        <w:rPr>
          <w:rFonts w:eastAsia="Times New Roman" w:cs="Times New Roman"/>
          <w:sz w:val="24"/>
          <w:szCs w:val="26"/>
        </w:rPr>
        <w:t xml:space="preserve">), galvojumi studējošo un studiju kreditēšanai (48,3  milj. </w:t>
      </w:r>
      <w:proofErr w:type="spellStart"/>
      <w:r w:rsidRPr="00015891">
        <w:rPr>
          <w:rFonts w:eastAsia="Times New Roman" w:cs="Times New Roman"/>
          <w:i/>
          <w:sz w:val="24"/>
          <w:szCs w:val="26"/>
        </w:rPr>
        <w:t>euro</w:t>
      </w:r>
      <w:proofErr w:type="spellEnd"/>
      <w:r w:rsidRPr="00015891">
        <w:rPr>
          <w:rFonts w:eastAsia="Times New Roman" w:cs="Times New Roman"/>
          <w:sz w:val="24"/>
          <w:szCs w:val="26"/>
        </w:rPr>
        <w:t xml:space="preserve">), kā arī </w:t>
      </w:r>
      <w:r w:rsidRPr="00015891">
        <w:rPr>
          <w:rFonts w:eastAsia="Times New Roman" w:cs="Times New Roman"/>
          <w:sz w:val="24"/>
          <w:szCs w:val="24"/>
        </w:rPr>
        <w:t xml:space="preserve">pamatojoties uz Likumu par valsts apdraudējuma un tā seku novēršanas un pārvarēšanas pasākumiem sakarā ar Covid-19 izplatību, galvojums </w:t>
      </w:r>
      <w:r w:rsidR="004C4F89">
        <w:rPr>
          <w:rFonts w:eastAsia="Times New Roman" w:cs="Times New Roman"/>
          <w:sz w:val="24"/>
          <w:szCs w:val="24"/>
        </w:rPr>
        <w:t>EK</w:t>
      </w:r>
      <w:r w:rsidRPr="00015891">
        <w:rPr>
          <w:rFonts w:eastAsia="Times New Roman" w:cs="Times New Roman"/>
          <w:sz w:val="24"/>
          <w:szCs w:val="24"/>
        </w:rPr>
        <w:t xml:space="preserve"> 57,1 milj. </w:t>
      </w:r>
      <w:proofErr w:type="spellStart"/>
      <w:r w:rsidRPr="00015891">
        <w:rPr>
          <w:rFonts w:eastAsia="Times New Roman" w:cs="Times New Roman"/>
          <w:i/>
          <w:sz w:val="24"/>
          <w:szCs w:val="24"/>
        </w:rPr>
        <w:t>euro</w:t>
      </w:r>
      <w:proofErr w:type="spellEnd"/>
      <w:r w:rsidRPr="00015891">
        <w:rPr>
          <w:rFonts w:eastAsia="Times New Roman" w:cs="Times New Roman"/>
          <w:sz w:val="24"/>
          <w:szCs w:val="24"/>
        </w:rPr>
        <w:t xml:space="preserve"> apmērā par Latvijas dalību ES atbalsta instrumentā EK SURE.</w:t>
      </w:r>
      <w:r w:rsidRPr="00015891">
        <w:rPr>
          <w:rFonts w:eastAsia="Times New Roman" w:cs="Times New Roman"/>
          <w:sz w:val="24"/>
          <w:szCs w:val="26"/>
        </w:rPr>
        <w:t xml:space="preserve"> Turpmāk paredzams, ka arvien lielāks īpatsvars valsts vārdā sniegto galvojumu portfelī būs mazo un vidējo uzņēmumu atbalstam un citu valsts atbalsta programmu īstenošanai.</w:t>
      </w:r>
    </w:p>
    <w:p w14:paraId="658BA852" w14:textId="77777777" w:rsidR="00015891" w:rsidRPr="00015891" w:rsidRDefault="00015891" w:rsidP="00015891">
      <w:pPr>
        <w:spacing w:after="120"/>
        <w:ind w:firstLine="567"/>
        <w:rPr>
          <w:rFonts w:eastAsia="Times New Roman" w:cs="Times New Roman"/>
          <w:sz w:val="24"/>
          <w:szCs w:val="26"/>
        </w:rPr>
      </w:pPr>
      <w:r w:rsidRPr="00015891">
        <w:rPr>
          <w:rFonts w:eastAsia="Times New Roman" w:cs="Times New Roman"/>
          <w:sz w:val="24"/>
          <w:szCs w:val="26"/>
        </w:rPr>
        <w:t xml:space="preserve">Neskatoties uz Covid-19 izraisīto ekonomikas kritumu, globālo energoresursu cenu kāpumu un Krievijas iebrukumu Ukrainā, līdz šim tas neradīja būtisku ietekmi uz valsts vārdā sniegto galvojumu izpildi. Tomēr šobrīd, nav iespējams novērtēt Krievijas uzsāktā kara un tā radīto seku ietekmi uz valsts vārdā izsniegtajiem galvojumiem. </w:t>
      </w:r>
    </w:p>
    <w:p w14:paraId="749FBFF5" w14:textId="39C52DBA" w:rsidR="003E7948" w:rsidRPr="00015891" w:rsidRDefault="003E7948" w:rsidP="00015891">
      <w:pPr>
        <w:rPr>
          <w:rFonts w:eastAsia="Times New Roman" w:cs="Times New Roman"/>
          <w:sz w:val="24"/>
          <w:szCs w:val="24"/>
          <w:highlight w:val="lightGray"/>
        </w:rPr>
      </w:pPr>
    </w:p>
    <w:p w14:paraId="6C688917" w14:textId="77777777" w:rsidR="00BF4753" w:rsidRPr="00085AFE" w:rsidRDefault="00BF4753" w:rsidP="00BF4753">
      <w:pPr>
        <w:pStyle w:val="Heading2"/>
        <w:numPr>
          <w:ilvl w:val="0"/>
          <w:numId w:val="0"/>
        </w:numPr>
        <w:rPr>
          <w:rFonts w:eastAsia="Times New Roman" w:cs="Times New Roman"/>
          <w:sz w:val="24"/>
          <w:szCs w:val="20"/>
          <w:highlight w:val="lightGray"/>
        </w:rPr>
      </w:pPr>
      <w:r w:rsidRPr="00085AFE">
        <w:rPr>
          <w:rFonts w:eastAsia="Times New Roman" w:cs="Times New Roman"/>
          <w:sz w:val="24"/>
          <w:szCs w:val="20"/>
          <w:highlight w:val="lightGray"/>
        </w:rPr>
        <w:br w:type="page"/>
      </w:r>
    </w:p>
    <w:p w14:paraId="0160291A" w14:textId="4AF77A2D" w:rsidR="00BF4753" w:rsidRPr="004E02FD" w:rsidRDefault="00BF4753" w:rsidP="00264301">
      <w:pPr>
        <w:pStyle w:val="Heading1"/>
        <w:spacing w:before="0" w:after="360"/>
        <w:rPr>
          <w:sz w:val="32"/>
          <w:szCs w:val="32"/>
        </w:rPr>
      </w:pPr>
      <w:bookmarkStart w:id="68" w:name="_Toc131331257"/>
      <w:r w:rsidRPr="004E02FD">
        <w:rPr>
          <w:sz w:val="32"/>
          <w:szCs w:val="32"/>
        </w:rPr>
        <w:lastRenderedPageBreak/>
        <w:t>7. Valsts finanšu institucionālās iezīmes</w:t>
      </w:r>
      <w:bookmarkEnd w:id="68"/>
    </w:p>
    <w:p w14:paraId="611573BB" w14:textId="65CD66C9" w:rsidR="00BF4753" w:rsidRPr="004E02FD" w:rsidRDefault="00BF4753" w:rsidP="004A37C8">
      <w:pPr>
        <w:pStyle w:val="Heading2"/>
        <w:numPr>
          <w:ilvl w:val="0"/>
          <w:numId w:val="0"/>
        </w:numPr>
        <w:spacing w:before="0" w:after="240"/>
        <w:rPr>
          <w:sz w:val="28"/>
          <w:szCs w:val="24"/>
          <w:lang w:eastAsia="lv-LV"/>
        </w:rPr>
      </w:pPr>
      <w:bookmarkStart w:id="69" w:name="_Toc131331258"/>
      <w:r w:rsidRPr="004E02FD">
        <w:rPr>
          <w:sz w:val="28"/>
          <w:szCs w:val="24"/>
          <w:lang w:eastAsia="lv-LV"/>
        </w:rPr>
        <w:t>7.</w:t>
      </w:r>
      <w:r w:rsidR="004A37C8" w:rsidRPr="004E02FD">
        <w:rPr>
          <w:sz w:val="28"/>
          <w:szCs w:val="24"/>
          <w:lang w:eastAsia="lv-LV"/>
        </w:rPr>
        <w:t>1</w:t>
      </w:r>
      <w:r w:rsidRPr="004E02FD">
        <w:rPr>
          <w:sz w:val="28"/>
          <w:szCs w:val="24"/>
          <w:lang w:eastAsia="lv-LV"/>
        </w:rPr>
        <w:t>. Vidējā termiņa budžeta plānošana</w:t>
      </w:r>
      <w:bookmarkEnd w:id="69"/>
    </w:p>
    <w:p w14:paraId="3C9C27F4" w14:textId="77777777" w:rsidR="004E02FD" w:rsidRPr="004E02FD" w:rsidRDefault="004E02FD" w:rsidP="004E02FD">
      <w:pPr>
        <w:rPr>
          <w:sz w:val="24"/>
          <w:szCs w:val="20"/>
          <w:lang w:eastAsia="lv-LV"/>
        </w:rPr>
      </w:pPr>
      <w:r w:rsidRPr="004E02FD">
        <w:rPr>
          <w:sz w:val="24"/>
          <w:szCs w:val="20"/>
          <w:lang w:eastAsia="lv-LV"/>
        </w:rPr>
        <w:t xml:space="preserve">Atbilstoši LBFV vidēja termiņa valsts budžeta plānošana ir process, kurā tiek noteikti pieejamie resursi vidējam termiņam un nodrošināta šo resursu izlietošana atbilstoši valdības noteiktajām prioritātēm. Ar vidēju termiņu saprotams triju gadu periods, ko veido saimnieciskais gads, kuram plāno valsts budžetu, un tam sekojošie divi saimnieciskie gadi. </w:t>
      </w:r>
    </w:p>
    <w:p w14:paraId="4DB59C13" w14:textId="4B326BFD" w:rsidR="004E02FD" w:rsidRPr="004E02FD" w:rsidRDefault="004E02FD" w:rsidP="004E02FD">
      <w:pPr>
        <w:rPr>
          <w:sz w:val="24"/>
          <w:szCs w:val="20"/>
          <w:lang w:eastAsia="lv-LV"/>
        </w:rPr>
      </w:pPr>
      <w:r w:rsidRPr="004E02FD">
        <w:rPr>
          <w:sz w:val="24"/>
          <w:szCs w:val="20"/>
          <w:lang w:eastAsia="lv-LV"/>
        </w:rPr>
        <w:t>Kopš 2007.</w:t>
      </w:r>
      <w:r>
        <w:rPr>
          <w:sz w:val="24"/>
          <w:szCs w:val="20"/>
          <w:lang w:eastAsia="lv-LV"/>
        </w:rPr>
        <w:t xml:space="preserve"> </w:t>
      </w:r>
      <w:r w:rsidRPr="004E02FD">
        <w:rPr>
          <w:sz w:val="24"/>
          <w:szCs w:val="20"/>
          <w:lang w:eastAsia="lv-LV"/>
        </w:rPr>
        <w:t>gada valstī tika sagatavots vidēja termiņa makroekonomiskās attīstības un fiskālās politikas ietvars (turpmāk – Ietvars) nākamajiem trijiem saimnieciskajiem gadiem, iekļaujot tajā vidēja termiņa valsts makroekonomiskās situācijas analīzi, valdības fiskālās politikas mērķus vidējam termiņam, valsts budžeta ieņēmumu prognozes un maksimāli pieļaujamo valsts budžeta kopējo izdevumu apjomu katrai ministrijai un citām centrālajām valsts iestādēm vidējam termiņam. Ņemot vērā, ka Ietvaram nebija juridiski saistošs raksturs un tas tikai indikatīvi norādīja maksimāli pieļaujamo valsts budžeta kopējo izdevumu apjomu vidējam termiņam, radās nepieciešamība nostiprināt vidējā termiņa budžeta plānošanas sistēmu. Līdz ar to tika veikti attiecīgi grozījumi LBFV un, sākot ar 2012.</w:t>
      </w:r>
      <w:r>
        <w:rPr>
          <w:sz w:val="24"/>
          <w:szCs w:val="20"/>
          <w:lang w:eastAsia="lv-LV"/>
        </w:rPr>
        <w:t xml:space="preserve"> </w:t>
      </w:r>
      <w:r w:rsidRPr="004E02FD">
        <w:rPr>
          <w:sz w:val="24"/>
          <w:szCs w:val="20"/>
          <w:lang w:eastAsia="lv-LV"/>
        </w:rPr>
        <w:t>gada 1.</w:t>
      </w:r>
      <w:r>
        <w:rPr>
          <w:sz w:val="24"/>
          <w:szCs w:val="20"/>
          <w:lang w:eastAsia="lv-LV"/>
        </w:rPr>
        <w:t xml:space="preserve"> </w:t>
      </w:r>
      <w:r w:rsidRPr="004E02FD">
        <w:rPr>
          <w:sz w:val="24"/>
          <w:szCs w:val="20"/>
          <w:lang w:eastAsia="lv-LV"/>
        </w:rPr>
        <w:t>janvāri, Ietvaru, ko kopš 2007.</w:t>
      </w:r>
      <w:r>
        <w:rPr>
          <w:sz w:val="24"/>
          <w:szCs w:val="20"/>
          <w:lang w:eastAsia="lv-LV"/>
        </w:rPr>
        <w:t xml:space="preserve"> </w:t>
      </w:r>
      <w:r w:rsidRPr="004E02FD">
        <w:rPr>
          <w:sz w:val="24"/>
          <w:szCs w:val="20"/>
          <w:lang w:eastAsia="lv-LV"/>
        </w:rPr>
        <w:t>gada apstiprināja MK, sāka izstrādāt likuma formā kā Ietvara likumu, kuru apstiprina Saeima. Savukārt 2022.</w:t>
      </w:r>
      <w:r>
        <w:rPr>
          <w:sz w:val="24"/>
          <w:szCs w:val="20"/>
          <w:lang w:eastAsia="lv-LV"/>
        </w:rPr>
        <w:t xml:space="preserve"> </w:t>
      </w:r>
      <w:r w:rsidRPr="004E02FD">
        <w:rPr>
          <w:sz w:val="24"/>
          <w:szCs w:val="20"/>
          <w:lang w:eastAsia="lv-LV"/>
        </w:rPr>
        <w:t>gadā tika veikti grozījumi LBFV, kas, sākot ar 2023.</w:t>
      </w:r>
      <w:r>
        <w:rPr>
          <w:sz w:val="24"/>
          <w:szCs w:val="20"/>
          <w:lang w:eastAsia="lv-LV"/>
        </w:rPr>
        <w:t xml:space="preserve"> </w:t>
      </w:r>
      <w:r w:rsidRPr="004E02FD">
        <w:rPr>
          <w:sz w:val="24"/>
          <w:szCs w:val="20"/>
          <w:lang w:eastAsia="lv-LV"/>
        </w:rPr>
        <w:t xml:space="preserve">gadu, apvieno vidēja termiņa budžeta ietvara likumu un gadskārtējo valsts budžeta likumu, samazinot administratīvo slogu un vienkāršojot likuma izskatīšanas procedūru Saeimā. Tādējādi informācija par kārtējo gadu un turpmākajiem diviem gadiem ir integrēta vienā likumā – valsts budžeta likumā. </w:t>
      </w:r>
    </w:p>
    <w:p w14:paraId="4B3155F9" w14:textId="77777777" w:rsidR="004E02FD" w:rsidRPr="004E02FD" w:rsidRDefault="004E02FD" w:rsidP="004E02FD">
      <w:pPr>
        <w:rPr>
          <w:sz w:val="24"/>
          <w:szCs w:val="20"/>
          <w:lang w:eastAsia="lv-LV"/>
        </w:rPr>
      </w:pPr>
      <w:r w:rsidRPr="004E02FD">
        <w:rPr>
          <w:sz w:val="24"/>
          <w:szCs w:val="20"/>
          <w:lang w:eastAsia="lv-LV"/>
        </w:rPr>
        <w:t xml:space="preserve">Valsts budžeta likumu izstrādā katru gadu nākamo triju gadu periodam, kur darbības perioda pirmais gads tiek detalizēti izvērsts. Katra nākamā valsts budžeta likuma perioda pirmajam un otrajam gadam tiek izmantoti iepriekšējā valsts budžeta likumā noteiktie rādītāji, kas precizēti atbilstoši normatīvajos aktos noteiktajiem gadījumiem, savukārt trešajā gadā plānotie rādītāji ir jauni. Vienlaikus valsts budžeta likums tiek sasaistīts ar attīstības plānošanas dokumentiem, nodrošinot pieejamo resursu sasaisti ar valdības politikas prioritātēm vidējā termiņā un tas pakļaujas FDL noteiktajiem fiskālajiem nosacījumiem, nodrošinot pārredzamu un atbildīgu fiskālo politiku. Tādējādi valsts budžeta likums ir galvenais instruments fiskālās disciplīnas ievērošanā. </w:t>
      </w:r>
    </w:p>
    <w:p w14:paraId="3EBC1FD4" w14:textId="1FA8F816" w:rsidR="004E02FD" w:rsidRPr="004E02FD" w:rsidRDefault="004E02FD" w:rsidP="004E02FD">
      <w:pPr>
        <w:rPr>
          <w:sz w:val="24"/>
          <w:szCs w:val="20"/>
          <w:lang w:eastAsia="lv-LV"/>
        </w:rPr>
      </w:pPr>
      <w:r w:rsidRPr="004E02FD">
        <w:rPr>
          <w:sz w:val="24"/>
          <w:szCs w:val="20"/>
          <w:lang w:eastAsia="lv-LV"/>
        </w:rPr>
        <w:t xml:space="preserve"> Valsts budžeta likumā tiek īstenoti FDL noteiktie fiskālās politikas principi un tiek norādīti vidēja termiņa budžeta politikas prioritārie attīstības virzieni, maksimāli pieļaujamais valsts budžeta izdevumu kopapjoms (arī izdevumu kopapjoms katram budžeta resoram), IKP prognozes, valsts budžeta ieņēmumu prognozes, valsts budžeta finansiālās bilances apjoms (maksimālais deficīta līmenis un vai minimālais pārpalikuma līmenis). Atbilstoši FDL nosacījumiem vienlaikus ar valsts budžeta likumu tiek izstrādāta Fiskālo risku deklarācija, kuras mērķis ir nodrošināt fiskālo risku vispārēju vadību, kā arī fiskālo rādītāju stabilitāti vidējā termiņā.</w:t>
      </w:r>
    </w:p>
    <w:p w14:paraId="6B059B86" w14:textId="7C2F4B27" w:rsidR="004E02FD" w:rsidRDefault="004E02FD" w:rsidP="004E02FD">
      <w:pPr>
        <w:rPr>
          <w:sz w:val="24"/>
          <w:szCs w:val="20"/>
          <w:lang w:eastAsia="lv-LV"/>
        </w:rPr>
      </w:pPr>
      <w:r w:rsidRPr="004E02FD">
        <w:rPr>
          <w:sz w:val="24"/>
          <w:szCs w:val="20"/>
          <w:lang w:eastAsia="lv-LV"/>
        </w:rPr>
        <w:t xml:space="preserve">Latvija kā ES dalībvalsts iesniedz EK Stabilitātes programmu. Latvija kā  </w:t>
      </w:r>
      <w:proofErr w:type="spellStart"/>
      <w:r w:rsidRPr="004E02FD">
        <w:rPr>
          <w:i/>
          <w:iCs/>
          <w:sz w:val="24"/>
          <w:szCs w:val="20"/>
          <w:lang w:eastAsia="lv-LV"/>
        </w:rPr>
        <w:t>euro</w:t>
      </w:r>
      <w:proofErr w:type="spellEnd"/>
      <w:r>
        <w:rPr>
          <w:sz w:val="24"/>
          <w:szCs w:val="20"/>
          <w:lang w:eastAsia="lv-LV"/>
        </w:rPr>
        <w:t xml:space="preserve"> </w:t>
      </w:r>
      <w:r w:rsidRPr="004E02FD">
        <w:rPr>
          <w:sz w:val="24"/>
          <w:szCs w:val="20"/>
          <w:lang w:eastAsia="lv-LV"/>
        </w:rPr>
        <w:t xml:space="preserve">zonas dalībvalsts sagatavo arī Vispārējās valdības budžeta plāna projektu, kurā tiek norādītas galveno nākamā gada budžeta rādītāju prognozes – ieņēmumi, izdevumi, deficīts un valsts parāds, ietverot valsts budžetu, pašvaldību budžetu, no valsts budžeta daļēji finansēto atvasināto publisko personu budžetu un vispārējā valdības sektorā ieskaitītās komercsabiedrības. Minētā plāna mērķis ir iesniegt EK informāciju, kas ļautu tai novērtēt plānotā budžeta atbilstību ES tiesību normām fiskālās disciplīnas jomā. Ja EK konstatē, ka budžeta plāns būtiski pārkāpj ES fiskālās disciplīnas noteikumus, tā var noraidīt budžeta plānu un pieprasīt dalībvalstij veikt izmaiņas un iesniegt to atkārtoti. Tāpat EK savā atzinumā var sniegt rekomendācijas plāna </w:t>
      </w:r>
      <w:r w:rsidRPr="004E02FD">
        <w:rPr>
          <w:sz w:val="24"/>
          <w:szCs w:val="20"/>
          <w:lang w:eastAsia="lv-LV"/>
        </w:rPr>
        <w:lastRenderedPageBreak/>
        <w:t>uzlabošanai. Procedūra paredz, ka nacionālie parlamenti ņem vērā EK atzinumu, pieņemot galīgajā lasījumā valsts budžetu.</w:t>
      </w:r>
    </w:p>
    <w:p w14:paraId="26F264F9" w14:textId="77777777" w:rsidR="004E02FD" w:rsidRDefault="004E02FD" w:rsidP="004E02FD">
      <w:pPr>
        <w:rPr>
          <w:sz w:val="24"/>
          <w:szCs w:val="20"/>
          <w:highlight w:val="lightGray"/>
          <w:lang w:eastAsia="lv-LV"/>
        </w:rPr>
      </w:pPr>
    </w:p>
    <w:p w14:paraId="195974E9" w14:textId="400CA3C6" w:rsidR="00BF4753" w:rsidRPr="00837783" w:rsidRDefault="00BF4753" w:rsidP="0087383B">
      <w:pPr>
        <w:pStyle w:val="Heading2"/>
        <w:numPr>
          <w:ilvl w:val="1"/>
          <w:numId w:val="15"/>
        </w:numPr>
        <w:spacing w:before="0" w:after="240"/>
        <w:ind w:left="1077"/>
        <w:rPr>
          <w:rFonts w:eastAsia="Times New Roman"/>
          <w:color w:val="000000"/>
          <w:sz w:val="28"/>
          <w:szCs w:val="24"/>
          <w:lang w:eastAsia="lv-LV"/>
        </w:rPr>
      </w:pPr>
      <w:bookmarkStart w:id="70" w:name="_Toc131331259"/>
      <w:r w:rsidRPr="00837783">
        <w:rPr>
          <w:rFonts w:eastAsia="Times New Roman"/>
          <w:color w:val="000000"/>
          <w:sz w:val="28"/>
          <w:szCs w:val="24"/>
          <w:lang w:eastAsia="lv-LV"/>
        </w:rPr>
        <w:t>Budžeta procedūras, t.sk. valsts finanšu statistikas pārvalde</w:t>
      </w:r>
      <w:bookmarkEnd w:id="70"/>
    </w:p>
    <w:p w14:paraId="17E6D8FA" w14:textId="4F77260B" w:rsidR="00BF4753" w:rsidRPr="00837783" w:rsidRDefault="00BF4753" w:rsidP="0087383B">
      <w:pPr>
        <w:pStyle w:val="Heading3"/>
        <w:numPr>
          <w:ilvl w:val="2"/>
          <w:numId w:val="15"/>
        </w:numPr>
        <w:spacing w:before="0" w:after="240"/>
        <w:jc w:val="center"/>
        <w:rPr>
          <w:sz w:val="24"/>
          <w:szCs w:val="20"/>
          <w:lang w:eastAsia="lv-LV"/>
        </w:rPr>
      </w:pPr>
      <w:bookmarkStart w:id="71" w:name="_Toc131331260"/>
      <w:r w:rsidRPr="00837783">
        <w:rPr>
          <w:sz w:val="24"/>
          <w:szCs w:val="20"/>
        </w:rPr>
        <w:t>Budžeta</w:t>
      </w:r>
      <w:r w:rsidRPr="00837783">
        <w:rPr>
          <w:sz w:val="24"/>
          <w:szCs w:val="20"/>
          <w:lang w:eastAsia="lv-LV"/>
        </w:rPr>
        <w:t xml:space="preserve"> procedūras</w:t>
      </w:r>
      <w:bookmarkEnd w:id="71"/>
    </w:p>
    <w:p w14:paraId="59956CEB" w14:textId="77777777" w:rsidR="00837783" w:rsidRPr="00837783" w:rsidRDefault="00837783" w:rsidP="00837783">
      <w:pPr>
        <w:rPr>
          <w:sz w:val="24"/>
          <w:szCs w:val="20"/>
          <w:lang w:eastAsia="lv-LV"/>
        </w:rPr>
      </w:pPr>
      <w:r w:rsidRPr="00837783">
        <w:rPr>
          <w:sz w:val="24"/>
          <w:szCs w:val="20"/>
          <w:lang w:eastAsia="lv-LV"/>
        </w:rPr>
        <w:t xml:space="preserve">Latvijas Republikas Satversme nosaka, ka Saeima ik gadu pirms saimnieciskā gada sākšanās lemj par valsts ienākumu un izdevumu budžetu, kura projektu tai iesniedz MK. Likumu par valsts budžetu kārtējam gadam un vidēja termiņa budžeta ietvaru (turpmāk – valsts budžeta likums) apstiprina Saeima. </w:t>
      </w:r>
    </w:p>
    <w:p w14:paraId="54806915" w14:textId="4E524E55" w:rsidR="00837783" w:rsidRPr="00837783" w:rsidRDefault="00837783" w:rsidP="00837783">
      <w:pPr>
        <w:rPr>
          <w:sz w:val="24"/>
          <w:szCs w:val="20"/>
          <w:lang w:eastAsia="lv-LV"/>
        </w:rPr>
      </w:pPr>
      <w:r w:rsidRPr="00837783">
        <w:rPr>
          <w:sz w:val="24"/>
          <w:szCs w:val="20"/>
          <w:lang w:eastAsia="lv-LV"/>
        </w:rPr>
        <w:t>Valsts budžeta līdzekļu izdevumu plānošanā sākotnēji tiek aprēķināti un saskaņoti bāzes izdevumi. Bāzes izdevumu aprēķinu un to sasaistes principus ar vidēja termiņa budžeta ietvaru nosaka MK 2023.</w:t>
      </w:r>
      <w:r>
        <w:rPr>
          <w:sz w:val="24"/>
          <w:szCs w:val="20"/>
          <w:lang w:eastAsia="lv-LV"/>
        </w:rPr>
        <w:t xml:space="preserve"> </w:t>
      </w:r>
      <w:r w:rsidRPr="00837783">
        <w:rPr>
          <w:sz w:val="24"/>
          <w:szCs w:val="20"/>
          <w:lang w:eastAsia="lv-LV"/>
        </w:rPr>
        <w:t>gada 17.</w:t>
      </w:r>
      <w:r>
        <w:rPr>
          <w:sz w:val="24"/>
          <w:szCs w:val="20"/>
          <w:lang w:eastAsia="lv-LV"/>
        </w:rPr>
        <w:t xml:space="preserve"> </w:t>
      </w:r>
      <w:r w:rsidRPr="00837783">
        <w:rPr>
          <w:sz w:val="24"/>
          <w:szCs w:val="20"/>
          <w:lang w:eastAsia="lv-LV"/>
        </w:rPr>
        <w:t>janvāra noteikumi Nr. 15 "Maksimāli pieļaujamā valsts budžeta izdevumu kopapjoma un  katrai ministrijai un citai centrālajai valsts iestādei paredzētā izdevumu kopējā apjoma noteikšanas kārtība vidējam termiņam". Tādējādi tiek noteikts nepieciešamais izdevumu apjoms, lai nodrošinātu valsts funkciju izpildi nemainīgā līmenī. Bāzes izdevumus apstiprina MK.</w:t>
      </w:r>
    </w:p>
    <w:p w14:paraId="5D4C322E" w14:textId="32D92CEF" w:rsidR="00837783" w:rsidRPr="00837783" w:rsidRDefault="00837783" w:rsidP="00837783">
      <w:pPr>
        <w:rPr>
          <w:sz w:val="24"/>
          <w:szCs w:val="20"/>
          <w:lang w:eastAsia="lv-LV"/>
        </w:rPr>
      </w:pPr>
      <w:r w:rsidRPr="00837783">
        <w:rPr>
          <w:sz w:val="24"/>
          <w:szCs w:val="20"/>
          <w:lang w:eastAsia="lv-LV"/>
        </w:rPr>
        <w:t>Kopš 2016.</w:t>
      </w:r>
      <w:r>
        <w:rPr>
          <w:sz w:val="24"/>
          <w:szCs w:val="20"/>
          <w:lang w:eastAsia="lv-LV"/>
        </w:rPr>
        <w:t xml:space="preserve"> </w:t>
      </w:r>
      <w:r w:rsidRPr="00837783">
        <w:rPr>
          <w:sz w:val="24"/>
          <w:szCs w:val="20"/>
          <w:lang w:eastAsia="lv-LV"/>
        </w:rPr>
        <w:t>gada kā budžeta procesa sastāvdaļa ir ieviesta pastāvīga un sistemātiska valsts budžeta izdevumu pārskatīšana, par kuru plašāka informācija ir sniegta 5.1.</w:t>
      </w:r>
      <w:r>
        <w:rPr>
          <w:sz w:val="24"/>
          <w:szCs w:val="20"/>
          <w:lang w:eastAsia="lv-LV"/>
        </w:rPr>
        <w:t xml:space="preserve"> </w:t>
      </w:r>
      <w:r w:rsidRPr="00837783">
        <w:rPr>
          <w:sz w:val="24"/>
          <w:szCs w:val="20"/>
          <w:lang w:eastAsia="lv-LV"/>
        </w:rPr>
        <w:t>sadaļā.</w:t>
      </w:r>
    </w:p>
    <w:p w14:paraId="4F2DE999" w14:textId="77777777" w:rsidR="00837783" w:rsidRPr="00837783" w:rsidRDefault="00837783" w:rsidP="00837783">
      <w:pPr>
        <w:rPr>
          <w:sz w:val="24"/>
          <w:szCs w:val="20"/>
          <w:lang w:eastAsia="lv-LV"/>
        </w:rPr>
      </w:pPr>
      <w:r w:rsidRPr="00837783">
        <w:rPr>
          <w:sz w:val="24"/>
          <w:szCs w:val="20"/>
          <w:lang w:eastAsia="lv-LV"/>
        </w:rPr>
        <w:t>Ja attiecīgajos nākamajos saimnieciskajos gados atbilstoši aktuālajām makroekonomiskās attīstības prognozēm būs pieejami līdzekļi prioritāro pasākumu finansēšanai, ministrijas un citas centrālās valsts iestādes sagatavo priekšlikumus atbalstāmajiem prioritārajiem pasākumiem. Priekšlikumus pasākumiem gatavo, pamatojoties uz Nacionālajā attīstības plānā, Valsts aizsardzības koncepcijā un citos attīstības plānošanas dokumentos noteiktajām prioritātēm un mērķiem. Tādējādi tiek nodrošināta valstī noteikto prioritāšu sasaiste ar valsts budžetā pieejamajiem resursiem vidējam termiņam.</w:t>
      </w:r>
    </w:p>
    <w:p w14:paraId="2F677916" w14:textId="77777777" w:rsidR="00837783" w:rsidRPr="00837783" w:rsidRDefault="00837783" w:rsidP="00837783">
      <w:pPr>
        <w:rPr>
          <w:sz w:val="24"/>
          <w:szCs w:val="20"/>
          <w:lang w:eastAsia="lv-LV"/>
        </w:rPr>
      </w:pPr>
      <w:r w:rsidRPr="00837783">
        <w:rPr>
          <w:sz w:val="24"/>
          <w:szCs w:val="20"/>
          <w:lang w:eastAsia="lv-LV"/>
        </w:rPr>
        <w:t>Aprēķinot maksimāli pieļaujamo valsts budžeta izdevumu kopapjomu, kas sastāv no valsts pamatbudžeta un valsts speciālā budžeta bāzes izdevumiem un valsts pamatbudžeta un valsts speciālā budžeta izdevumiem prioritārajiem pasākumiem, FM pamatojas uz valsts budžeta likumu, prognozēm par makroekonomisko attīstību, kā arī ievēro valstī noteiktos fiskālos nosacījumus. Pamatojoties uz MK apstiprinātiem lēmumiem par bāzes izdevumiem un prioritāro pasākumu finansēšanu, ministrijas un citas centrālās valsts iestādes izstrādā un iesniedz FM budžeta pieprasījumus. FM sagatavo un iesniedz likumprojektu par valsts budžetu kārtējam gadam un vidēja termiņa budžeta ietvaru (turpmāk — valsts budžeta likumprojekts) ar paskaidrojumiem, fiskālo risku deklarāciju, Fiskālās disciplīnas padomes fiskālās disciplīnas uzraudzības ziņojumu izskatīšanai MK.</w:t>
      </w:r>
    </w:p>
    <w:p w14:paraId="2F9D070D" w14:textId="77777777" w:rsidR="00837783" w:rsidRPr="00837783" w:rsidRDefault="00837783" w:rsidP="00837783">
      <w:pPr>
        <w:rPr>
          <w:sz w:val="24"/>
          <w:szCs w:val="20"/>
          <w:lang w:eastAsia="lv-LV"/>
        </w:rPr>
      </w:pPr>
      <w:r w:rsidRPr="00837783">
        <w:rPr>
          <w:sz w:val="24"/>
          <w:szCs w:val="20"/>
          <w:lang w:eastAsia="lv-LV"/>
        </w:rPr>
        <w:t xml:space="preserve">Lai nodrošinātu sabiedrībai uzskatāmu priekšstatu par resursiem, kādi ir iesaistīti valsts pamatfunkciju īstenošanā un ES un citu ārvalstu politiku instrumentu pasākumu ieviešanā, budžets tiek sagatavots šādās sadaļās: </w:t>
      </w:r>
    </w:p>
    <w:p w14:paraId="36245132" w14:textId="77777777" w:rsidR="00837783" w:rsidRPr="00837783" w:rsidRDefault="00837783" w:rsidP="00837783">
      <w:pPr>
        <w:rPr>
          <w:sz w:val="24"/>
          <w:szCs w:val="20"/>
          <w:lang w:eastAsia="lv-LV"/>
        </w:rPr>
      </w:pPr>
      <w:r w:rsidRPr="00837783">
        <w:rPr>
          <w:sz w:val="24"/>
          <w:szCs w:val="20"/>
          <w:lang w:eastAsia="lv-LV"/>
        </w:rPr>
        <w:t>•</w:t>
      </w:r>
      <w:r w:rsidRPr="00837783">
        <w:rPr>
          <w:sz w:val="24"/>
          <w:szCs w:val="20"/>
          <w:lang w:eastAsia="lv-LV"/>
        </w:rPr>
        <w:tab/>
        <w:t>valsts pamatfunkciju īstenošana (izņemot ES politiku instrumentu un pārējās ārvalstu finanšu palīdzības līdzfinansētos un finansētos projektus un pasākumus);</w:t>
      </w:r>
    </w:p>
    <w:p w14:paraId="2A4BABFB" w14:textId="77777777" w:rsidR="00837783" w:rsidRPr="00837783" w:rsidRDefault="00837783" w:rsidP="00837783">
      <w:pPr>
        <w:rPr>
          <w:sz w:val="24"/>
          <w:szCs w:val="20"/>
          <w:lang w:eastAsia="lv-LV"/>
        </w:rPr>
      </w:pPr>
      <w:r w:rsidRPr="00837783">
        <w:rPr>
          <w:sz w:val="24"/>
          <w:szCs w:val="20"/>
          <w:lang w:eastAsia="lv-LV"/>
        </w:rPr>
        <w:t>•</w:t>
      </w:r>
      <w:r w:rsidRPr="00837783">
        <w:rPr>
          <w:sz w:val="24"/>
          <w:szCs w:val="20"/>
          <w:lang w:eastAsia="lv-LV"/>
        </w:rPr>
        <w:tab/>
        <w:t>ES politiku instrumentu un pārējās ārvalstu finanšu palīdzības līdzfinansēto un finansēto projektu un pasākumu īstenošana.</w:t>
      </w:r>
    </w:p>
    <w:p w14:paraId="3411743B" w14:textId="77777777" w:rsidR="00837783" w:rsidRPr="00837783" w:rsidRDefault="00837783" w:rsidP="00837783">
      <w:pPr>
        <w:rPr>
          <w:sz w:val="24"/>
          <w:szCs w:val="20"/>
          <w:lang w:eastAsia="lv-LV"/>
        </w:rPr>
      </w:pPr>
      <w:r w:rsidRPr="00837783">
        <w:rPr>
          <w:sz w:val="24"/>
          <w:szCs w:val="20"/>
          <w:lang w:eastAsia="lv-LV"/>
        </w:rPr>
        <w:t xml:space="preserve">Valsts budžeta likumprojekta sagatavošanas procesā tiek kompleksi vērtēti un pēc tam valsts budžeta likumā atspoguļoti šādi rādītāji: </w:t>
      </w:r>
    </w:p>
    <w:p w14:paraId="1CA4D02E" w14:textId="77777777" w:rsidR="00837783" w:rsidRPr="00837783" w:rsidRDefault="00837783" w:rsidP="00837783">
      <w:pPr>
        <w:rPr>
          <w:sz w:val="24"/>
          <w:szCs w:val="20"/>
          <w:lang w:eastAsia="lv-LV"/>
        </w:rPr>
      </w:pPr>
      <w:r w:rsidRPr="00837783">
        <w:rPr>
          <w:sz w:val="24"/>
          <w:szCs w:val="20"/>
          <w:lang w:eastAsia="lv-LV"/>
        </w:rPr>
        <w:t>•</w:t>
      </w:r>
      <w:r w:rsidRPr="00837783">
        <w:rPr>
          <w:sz w:val="24"/>
          <w:szCs w:val="20"/>
          <w:lang w:eastAsia="lv-LV"/>
        </w:rPr>
        <w:tab/>
        <w:t>valsts budžeta ieņēmumi sadalījumā pa ieņēmumu veidiem;</w:t>
      </w:r>
    </w:p>
    <w:p w14:paraId="79D338E4" w14:textId="77777777" w:rsidR="00837783" w:rsidRPr="00837783" w:rsidRDefault="00837783" w:rsidP="00837783">
      <w:pPr>
        <w:rPr>
          <w:sz w:val="24"/>
          <w:szCs w:val="20"/>
          <w:lang w:eastAsia="lv-LV"/>
        </w:rPr>
      </w:pPr>
      <w:r w:rsidRPr="00837783">
        <w:rPr>
          <w:sz w:val="24"/>
          <w:szCs w:val="20"/>
          <w:lang w:eastAsia="lv-LV"/>
        </w:rPr>
        <w:t>•</w:t>
      </w:r>
      <w:r w:rsidRPr="00837783">
        <w:rPr>
          <w:sz w:val="24"/>
          <w:szCs w:val="20"/>
          <w:lang w:eastAsia="lv-LV"/>
        </w:rPr>
        <w:tab/>
        <w:t xml:space="preserve">valsts budžeta izdevumi sadalījumā budžeta resoriem, pa programmām (apakšprogrammām) un izdevumu veidiem atbilstoši ekonomiskajai būtībai; </w:t>
      </w:r>
    </w:p>
    <w:p w14:paraId="373A8E45" w14:textId="77777777" w:rsidR="00837783" w:rsidRPr="00837783" w:rsidRDefault="00837783" w:rsidP="00837783">
      <w:pPr>
        <w:rPr>
          <w:sz w:val="24"/>
          <w:szCs w:val="20"/>
          <w:lang w:eastAsia="lv-LV"/>
        </w:rPr>
      </w:pPr>
      <w:r w:rsidRPr="00837783">
        <w:rPr>
          <w:sz w:val="24"/>
          <w:szCs w:val="20"/>
          <w:lang w:eastAsia="lv-LV"/>
        </w:rPr>
        <w:t>•</w:t>
      </w:r>
      <w:r w:rsidRPr="00837783">
        <w:rPr>
          <w:sz w:val="24"/>
          <w:szCs w:val="20"/>
          <w:lang w:eastAsia="lv-LV"/>
        </w:rPr>
        <w:tab/>
        <w:t xml:space="preserve">valsts budžeta finansiālā bilance; </w:t>
      </w:r>
    </w:p>
    <w:p w14:paraId="5C70C841" w14:textId="77777777" w:rsidR="00837783" w:rsidRPr="00837783" w:rsidRDefault="00837783" w:rsidP="00837783">
      <w:pPr>
        <w:rPr>
          <w:sz w:val="24"/>
          <w:szCs w:val="20"/>
          <w:lang w:eastAsia="lv-LV"/>
        </w:rPr>
      </w:pPr>
      <w:r w:rsidRPr="00837783">
        <w:rPr>
          <w:sz w:val="24"/>
          <w:szCs w:val="20"/>
          <w:lang w:eastAsia="lv-LV"/>
        </w:rPr>
        <w:lastRenderedPageBreak/>
        <w:t>•</w:t>
      </w:r>
      <w:r w:rsidRPr="00837783">
        <w:rPr>
          <w:sz w:val="24"/>
          <w:szCs w:val="20"/>
          <w:lang w:eastAsia="lv-LV"/>
        </w:rPr>
        <w:tab/>
        <w:t xml:space="preserve">valsts parāda maksimāli pieļaujamais apjoms saimnieciskā gada beigās; </w:t>
      </w:r>
    </w:p>
    <w:p w14:paraId="6DBF419F" w14:textId="77777777" w:rsidR="00837783" w:rsidRPr="00837783" w:rsidRDefault="00837783" w:rsidP="00837783">
      <w:pPr>
        <w:rPr>
          <w:sz w:val="24"/>
          <w:szCs w:val="20"/>
          <w:lang w:eastAsia="lv-LV"/>
        </w:rPr>
      </w:pPr>
      <w:r w:rsidRPr="00837783">
        <w:rPr>
          <w:sz w:val="24"/>
          <w:szCs w:val="20"/>
          <w:lang w:eastAsia="lv-LV"/>
        </w:rPr>
        <w:t>•</w:t>
      </w:r>
      <w:r w:rsidRPr="00837783">
        <w:rPr>
          <w:sz w:val="24"/>
          <w:szCs w:val="20"/>
          <w:lang w:eastAsia="lv-LV"/>
        </w:rPr>
        <w:tab/>
        <w:t xml:space="preserve">valsts vārdā izsniedzamo galvojumu apmērs; </w:t>
      </w:r>
    </w:p>
    <w:p w14:paraId="5D457310" w14:textId="77777777" w:rsidR="00837783" w:rsidRPr="00837783" w:rsidRDefault="00837783" w:rsidP="00837783">
      <w:pPr>
        <w:rPr>
          <w:sz w:val="24"/>
          <w:szCs w:val="20"/>
          <w:lang w:eastAsia="lv-LV"/>
        </w:rPr>
      </w:pPr>
      <w:r w:rsidRPr="00837783">
        <w:rPr>
          <w:sz w:val="24"/>
          <w:szCs w:val="20"/>
          <w:lang w:eastAsia="lv-LV"/>
        </w:rPr>
        <w:t>•</w:t>
      </w:r>
      <w:r w:rsidRPr="00837783">
        <w:rPr>
          <w:sz w:val="24"/>
          <w:szCs w:val="20"/>
          <w:lang w:eastAsia="lv-LV"/>
        </w:rPr>
        <w:tab/>
        <w:t xml:space="preserve">valsts budžeta aizdevumu kopējais palielinājums; </w:t>
      </w:r>
    </w:p>
    <w:p w14:paraId="4C5C01DB" w14:textId="77777777" w:rsidR="00837783" w:rsidRPr="00837783" w:rsidRDefault="00837783" w:rsidP="00837783">
      <w:pPr>
        <w:rPr>
          <w:sz w:val="24"/>
          <w:szCs w:val="20"/>
          <w:lang w:eastAsia="lv-LV"/>
        </w:rPr>
      </w:pPr>
      <w:r w:rsidRPr="00837783">
        <w:rPr>
          <w:sz w:val="24"/>
          <w:szCs w:val="20"/>
          <w:lang w:eastAsia="lv-LV"/>
        </w:rPr>
        <w:t>•</w:t>
      </w:r>
      <w:r w:rsidRPr="00837783">
        <w:rPr>
          <w:sz w:val="24"/>
          <w:szCs w:val="20"/>
          <w:lang w:eastAsia="lv-LV"/>
        </w:rPr>
        <w:tab/>
        <w:t xml:space="preserve">valsts budžeta mērķdotāciju apmērs pašvaldībām, kā arī valsts budžeta dotācijas apmērs pašvaldību finanšu izlīdzināšanas fondam; </w:t>
      </w:r>
    </w:p>
    <w:p w14:paraId="00C00E9F" w14:textId="77777777" w:rsidR="00837783" w:rsidRPr="00837783" w:rsidRDefault="00837783" w:rsidP="00837783">
      <w:pPr>
        <w:rPr>
          <w:sz w:val="24"/>
          <w:szCs w:val="20"/>
          <w:lang w:eastAsia="lv-LV"/>
        </w:rPr>
      </w:pPr>
      <w:r w:rsidRPr="00837783">
        <w:rPr>
          <w:sz w:val="24"/>
          <w:szCs w:val="20"/>
          <w:lang w:eastAsia="lv-LV"/>
        </w:rPr>
        <w:t>•</w:t>
      </w:r>
      <w:r w:rsidRPr="00837783">
        <w:rPr>
          <w:sz w:val="24"/>
          <w:szCs w:val="20"/>
          <w:lang w:eastAsia="lv-LV"/>
        </w:rPr>
        <w:tab/>
        <w:t xml:space="preserve">pašvaldību aizņēmumu kopējais palielinājums un pašvaldību sniegto galvojumu kopējais palielinājums; </w:t>
      </w:r>
    </w:p>
    <w:p w14:paraId="62FD97FE" w14:textId="77777777" w:rsidR="00837783" w:rsidRPr="00837783" w:rsidRDefault="00837783" w:rsidP="00837783">
      <w:pPr>
        <w:rPr>
          <w:sz w:val="24"/>
          <w:szCs w:val="20"/>
          <w:lang w:eastAsia="lv-LV"/>
        </w:rPr>
      </w:pPr>
      <w:r w:rsidRPr="00837783">
        <w:rPr>
          <w:sz w:val="24"/>
          <w:szCs w:val="20"/>
          <w:lang w:eastAsia="lv-LV"/>
        </w:rPr>
        <w:t>•</w:t>
      </w:r>
      <w:r w:rsidRPr="00837783">
        <w:rPr>
          <w:sz w:val="24"/>
          <w:szCs w:val="20"/>
          <w:lang w:eastAsia="lv-LV"/>
        </w:rPr>
        <w:tab/>
        <w:t xml:space="preserve">citi nosacījumi, piemēram, valsts </w:t>
      </w:r>
      <w:proofErr w:type="spellStart"/>
      <w:r w:rsidRPr="00837783">
        <w:rPr>
          <w:sz w:val="24"/>
          <w:szCs w:val="20"/>
          <w:lang w:eastAsia="lv-LV"/>
        </w:rPr>
        <w:t>fondēto</w:t>
      </w:r>
      <w:proofErr w:type="spellEnd"/>
      <w:r w:rsidRPr="00837783">
        <w:rPr>
          <w:sz w:val="24"/>
          <w:szCs w:val="20"/>
          <w:lang w:eastAsia="lv-LV"/>
        </w:rPr>
        <w:t xml:space="preserve"> pensiju shēmas iemaksu likme un iemaksu summa. </w:t>
      </w:r>
    </w:p>
    <w:p w14:paraId="35BCC7E3" w14:textId="14AAED1F" w:rsidR="00837783" w:rsidRPr="00837783" w:rsidRDefault="00837783" w:rsidP="00837783">
      <w:pPr>
        <w:rPr>
          <w:sz w:val="24"/>
          <w:szCs w:val="20"/>
          <w:lang w:eastAsia="lv-LV"/>
        </w:rPr>
      </w:pPr>
      <w:r w:rsidRPr="00837783">
        <w:rPr>
          <w:sz w:val="24"/>
          <w:szCs w:val="20"/>
          <w:lang w:eastAsia="lv-LV"/>
        </w:rPr>
        <w:t xml:space="preserve">Valsts budžeta likumprojekta paskaidrojumos tiek ietverts makroekonomiskās attīstības scenārija apraksts, fiskālais apskats, </w:t>
      </w:r>
      <w:r w:rsidR="008E4C98">
        <w:rPr>
          <w:sz w:val="24"/>
          <w:szCs w:val="20"/>
          <w:lang w:eastAsia="lv-LV"/>
        </w:rPr>
        <w:t>v</w:t>
      </w:r>
      <w:r w:rsidR="008E4C98" w:rsidRPr="008E4C98">
        <w:rPr>
          <w:sz w:val="24"/>
          <w:szCs w:val="20"/>
          <w:lang w:eastAsia="lv-LV"/>
        </w:rPr>
        <w:t>idēja termiņa strukturālās bilances mērķu noteikšana</w:t>
      </w:r>
      <w:r w:rsidR="008E4C98">
        <w:rPr>
          <w:sz w:val="24"/>
          <w:szCs w:val="20"/>
          <w:lang w:eastAsia="lv-LV"/>
        </w:rPr>
        <w:t>s apraksts,</w:t>
      </w:r>
      <w:r w:rsidR="008E4C98" w:rsidRPr="008E4C98">
        <w:rPr>
          <w:sz w:val="24"/>
          <w:szCs w:val="20"/>
          <w:lang w:eastAsia="lv-LV"/>
        </w:rPr>
        <w:t xml:space="preserve"> </w:t>
      </w:r>
      <w:r w:rsidR="008E4C98">
        <w:rPr>
          <w:sz w:val="24"/>
          <w:szCs w:val="20"/>
          <w:lang w:eastAsia="lv-LV"/>
        </w:rPr>
        <w:t>apraksts par v</w:t>
      </w:r>
      <w:r w:rsidR="008E4C98" w:rsidRPr="008E4C98">
        <w:rPr>
          <w:sz w:val="24"/>
          <w:szCs w:val="20"/>
          <w:lang w:eastAsia="lv-LV"/>
        </w:rPr>
        <w:t>idēja termiņa budžeta prioritārie</w:t>
      </w:r>
      <w:r w:rsidR="008E4C98">
        <w:rPr>
          <w:sz w:val="24"/>
          <w:szCs w:val="20"/>
          <w:lang w:eastAsia="lv-LV"/>
        </w:rPr>
        <w:t>m</w:t>
      </w:r>
      <w:r w:rsidR="008E4C98" w:rsidRPr="008E4C98">
        <w:rPr>
          <w:sz w:val="24"/>
          <w:szCs w:val="20"/>
          <w:lang w:eastAsia="lv-LV"/>
        </w:rPr>
        <w:t xml:space="preserve"> attīstības virzieni</w:t>
      </w:r>
      <w:r w:rsidR="008E4C98">
        <w:rPr>
          <w:sz w:val="24"/>
          <w:szCs w:val="20"/>
          <w:lang w:eastAsia="lv-LV"/>
        </w:rPr>
        <w:t>em,</w:t>
      </w:r>
      <w:r w:rsidR="008E4C98" w:rsidRPr="008E4C98">
        <w:rPr>
          <w:sz w:val="24"/>
          <w:szCs w:val="20"/>
          <w:lang w:eastAsia="lv-LV"/>
        </w:rPr>
        <w:t xml:space="preserve"> </w:t>
      </w:r>
      <w:r w:rsidRPr="00837783">
        <w:rPr>
          <w:sz w:val="24"/>
          <w:szCs w:val="20"/>
          <w:lang w:eastAsia="lv-LV"/>
        </w:rPr>
        <w:t>ieņēmumu prognožu analīze, valsts budžeta izdevumu plānošanas būtiskākie elementi, ministriju izdevumu paskaidrojumi, valsts budžeta izdevumi funkcionālajā, administratīvajā un ekonomisko kategoriju sadalījumā, kā arī informācija par plānotajiem investīciju projektiem, informācija par valsts</w:t>
      </w:r>
      <w:r w:rsidR="008E4C98" w:rsidRPr="008E4C98">
        <w:rPr>
          <w:sz w:val="24"/>
          <w:lang w:eastAsia="lv-LV"/>
        </w:rPr>
        <w:t xml:space="preserve"> </w:t>
      </w:r>
      <w:r w:rsidR="008E4C98" w:rsidRPr="008E4C98">
        <w:rPr>
          <w:sz w:val="24"/>
          <w:szCs w:val="20"/>
          <w:lang w:eastAsia="lv-LV"/>
        </w:rPr>
        <w:t>parād</w:t>
      </w:r>
      <w:r w:rsidR="008E4C98">
        <w:rPr>
          <w:sz w:val="24"/>
          <w:szCs w:val="20"/>
          <w:lang w:eastAsia="lv-LV"/>
        </w:rPr>
        <w:t>a</w:t>
      </w:r>
      <w:r w:rsidR="008E4C98" w:rsidRPr="008E4C98">
        <w:rPr>
          <w:sz w:val="24"/>
          <w:szCs w:val="20"/>
          <w:lang w:eastAsia="lv-LV"/>
        </w:rPr>
        <w:t>, aizdevum</w:t>
      </w:r>
      <w:r w:rsidR="008E4C98">
        <w:rPr>
          <w:sz w:val="24"/>
          <w:szCs w:val="20"/>
          <w:lang w:eastAsia="lv-LV"/>
        </w:rPr>
        <w:t xml:space="preserve">u </w:t>
      </w:r>
      <w:r w:rsidR="008E4C98" w:rsidRPr="008E4C98">
        <w:rPr>
          <w:sz w:val="24"/>
          <w:szCs w:val="20"/>
          <w:lang w:eastAsia="lv-LV"/>
        </w:rPr>
        <w:t>un galvojum</w:t>
      </w:r>
      <w:r w:rsidR="008E4C98">
        <w:rPr>
          <w:sz w:val="24"/>
          <w:szCs w:val="20"/>
          <w:lang w:eastAsia="lv-LV"/>
        </w:rPr>
        <w:t>u</w:t>
      </w:r>
      <w:r w:rsidR="008E4C98" w:rsidRPr="008E4C98">
        <w:rPr>
          <w:sz w:val="24"/>
          <w:szCs w:val="20"/>
          <w:lang w:eastAsia="lv-LV"/>
        </w:rPr>
        <w:t xml:space="preserve"> </w:t>
      </w:r>
      <w:r w:rsidRPr="00837783">
        <w:rPr>
          <w:sz w:val="24"/>
          <w:szCs w:val="20"/>
          <w:lang w:eastAsia="lv-LV"/>
        </w:rPr>
        <w:t xml:space="preserve">finansiālajām saistībām (kopsavilkums), kā arī informācija par budžeta likumprojektu paketes ietvaros veiktajiem grozījumiem normatīvajos aktos. Ministrijas un citas centrālās valsts iestādes paskaidrojumos iekļauj Politikas un resursu vadības kartes, prioritāros pasākumus un to īstenošanas rezultātā sagaidāmos darbības rezultātus un to rezultatīvos rādītājus, optimizācijas pasākumus, kā arī katrai pamatbudžeta vai speciālā budžeta programmai (apakšprogrammai) norāda mērķi, galvenās aktivitātes un izpildītājus, darbības rezultātus un to rezultatīvos rādītājus, finansiālos rādītājus un kopējo izdevumu izmaiņas. </w:t>
      </w:r>
    </w:p>
    <w:p w14:paraId="264D21E3" w14:textId="77777777" w:rsidR="00837783" w:rsidRPr="00837783" w:rsidRDefault="00837783" w:rsidP="00837783">
      <w:pPr>
        <w:rPr>
          <w:sz w:val="24"/>
          <w:szCs w:val="20"/>
          <w:lang w:eastAsia="lv-LV"/>
        </w:rPr>
      </w:pPr>
      <w:r w:rsidRPr="00837783">
        <w:rPr>
          <w:sz w:val="24"/>
          <w:szCs w:val="20"/>
          <w:lang w:eastAsia="lv-LV"/>
        </w:rPr>
        <w:t xml:space="preserve">Neatkarīgo iestāžu (tiesu, Valsts kontroles, </w:t>
      </w:r>
      <w:proofErr w:type="spellStart"/>
      <w:r w:rsidRPr="00837783">
        <w:rPr>
          <w:sz w:val="24"/>
          <w:szCs w:val="20"/>
          <w:lang w:eastAsia="lv-LV"/>
        </w:rPr>
        <w:t>Tiesībsarga</w:t>
      </w:r>
      <w:proofErr w:type="spellEnd"/>
      <w:r w:rsidRPr="00837783">
        <w:rPr>
          <w:sz w:val="24"/>
          <w:szCs w:val="20"/>
          <w:lang w:eastAsia="lv-LV"/>
        </w:rPr>
        <w:t xml:space="preserve"> biroja un citu) budžeta pieprasījumiem ir īpaša loma budžeta procesā. LBFV nosaka, ka MK, sagatavojot valsts budžeta likumprojektu, ir jāuzklausa neatkarīgo iestāžu viedoklis par attiecīgo iestāžu finansējuma sadaļām, jāpamato MK viedoklis finansējuma samazinājuma gadījumā, kā arī minēto sarunu rezultāti protokola veidā ir jādara zināmi likumdevējam, pievienojot tos attiecīgajiem likumprojektiem.</w:t>
      </w:r>
    </w:p>
    <w:p w14:paraId="7819D3CF" w14:textId="77777777" w:rsidR="00837783" w:rsidRPr="00837783" w:rsidRDefault="00837783" w:rsidP="00837783">
      <w:pPr>
        <w:rPr>
          <w:sz w:val="24"/>
          <w:szCs w:val="20"/>
          <w:lang w:eastAsia="lv-LV"/>
        </w:rPr>
      </w:pPr>
      <w:r w:rsidRPr="00837783">
        <w:rPr>
          <w:sz w:val="24"/>
          <w:szCs w:val="20"/>
          <w:lang w:eastAsia="lv-LV"/>
        </w:rPr>
        <w:t xml:space="preserve">Valsts budžeta likumprojekta izstrādes gaitā notiek LPS un FM sarunas, kuru rezultātā tiek sagatavots MK un LPS protokola projekts, kas tiek iesniegts izskatīšanai MK sēdē. Protokola projektā tiek iekļauti jautājumi par pašvaldību nodokļu ieņēmumu, </w:t>
      </w:r>
      <w:proofErr w:type="spellStart"/>
      <w:r w:rsidRPr="00837783">
        <w:rPr>
          <w:sz w:val="24"/>
          <w:szCs w:val="20"/>
          <w:lang w:eastAsia="lv-LV"/>
        </w:rPr>
        <w:t>nenodokļu</w:t>
      </w:r>
      <w:proofErr w:type="spellEnd"/>
      <w:r w:rsidRPr="00837783">
        <w:rPr>
          <w:sz w:val="24"/>
          <w:szCs w:val="20"/>
          <w:lang w:eastAsia="lv-LV"/>
        </w:rPr>
        <w:t xml:space="preserve"> ieņēmumu un citu ieņēmumu prognozēm, valsts budžeta </w:t>
      </w:r>
      <w:proofErr w:type="spellStart"/>
      <w:r w:rsidRPr="00837783">
        <w:rPr>
          <w:sz w:val="24"/>
          <w:szCs w:val="20"/>
          <w:lang w:eastAsia="lv-LV"/>
        </w:rPr>
        <w:t>transfertiem</w:t>
      </w:r>
      <w:proofErr w:type="spellEnd"/>
      <w:r w:rsidRPr="00837783">
        <w:rPr>
          <w:sz w:val="24"/>
          <w:szCs w:val="20"/>
          <w:lang w:eastAsia="lv-LV"/>
        </w:rPr>
        <w:t xml:space="preserve"> pašvaldībām, pašvaldību aizņēmumiem, galvojumiem, ilgtermiņa saistību apmēru un nosacījumiem, pašvaldību finanšu izlīdzināšanu, kā arī citi ar pašvaldību darbību un finansēm saistīti jautājumi. Protokols tiek pievienots valsts budžeta likumprojektam, MK to iesniedzot Saeimā. </w:t>
      </w:r>
    </w:p>
    <w:p w14:paraId="11DF9DF2" w14:textId="77777777" w:rsidR="00837783" w:rsidRPr="00837783" w:rsidRDefault="00837783" w:rsidP="00837783">
      <w:pPr>
        <w:rPr>
          <w:sz w:val="24"/>
          <w:szCs w:val="20"/>
          <w:lang w:eastAsia="lv-LV"/>
        </w:rPr>
      </w:pPr>
      <w:r w:rsidRPr="00837783">
        <w:rPr>
          <w:sz w:val="24"/>
          <w:szCs w:val="20"/>
          <w:lang w:eastAsia="lv-LV"/>
        </w:rPr>
        <w:t>Ja, sākoties saimnieciskajam gadam, nav stājies spēkā  valsts budžeta likums, finanšu ministrs apstiprina valsts darbībai nepieciešamos valsts budžeta izdevumus, aizdevumu un aizņēmumu limitus ar noteikumu, ka izdevumi nepārsniedz valsts budžeta likumā attiecīgajam gadam noteikto maksimāli pieļaujamo valsts budžeta kopējo izdevumu apjomu katrai ministrijai un citai centrālajai valsts iestādei, veicot LBFV noteiktās korekcijas.</w:t>
      </w:r>
    </w:p>
    <w:p w14:paraId="4ABAF633" w14:textId="77777777" w:rsidR="00837783" w:rsidRPr="00837783" w:rsidRDefault="00837783" w:rsidP="00837783">
      <w:pPr>
        <w:rPr>
          <w:sz w:val="24"/>
          <w:szCs w:val="20"/>
          <w:lang w:eastAsia="lv-LV"/>
        </w:rPr>
      </w:pPr>
      <w:r w:rsidRPr="00837783">
        <w:rPr>
          <w:sz w:val="24"/>
          <w:szCs w:val="20"/>
          <w:lang w:eastAsia="lv-LV"/>
        </w:rPr>
        <w:t xml:space="preserve">Atbilstoši LBFV, pašvaldības izstrādā savus budžetus ne vēlāk kā divu mēnešu laikā pēc valsts budžeta likuma izsludināšanas. </w:t>
      </w:r>
    </w:p>
    <w:p w14:paraId="0183DF98" w14:textId="77777777" w:rsidR="00837783" w:rsidRPr="00837783" w:rsidRDefault="00837783" w:rsidP="00837783">
      <w:pPr>
        <w:rPr>
          <w:sz w:val="24"/>
          <w:szCs w:val="20"/>
          <w:lang w:eastAsia="lv-LV"/>
        </w:rPr>
      </w:pPr>
      <w:r w:rsidRPr="00837783">
        <w:rPr>
          <w:sz w:val="24"/>
          <w:szCs w:val="20"/>
          <w:lang w:eastAsia="lv-LV"/>
        </w:rPr>
        <w:t>Ja, sākoties saimnieciskajam gadam, nav stājies spēkā gadskārtējais pašvaldības budžets, pašvaldības domes noteiktajā kārtībā apstiprina pašvaldības darbībai nepieciešamos budžeta izdevumus ar noteikumu, ka:</w:t>
      </w:r>
    </w:p>
    <w:p w14:paraId="3B256E43" w14:textId="77777777" w:rsidR="00837783" w:rsidRPr="00837783" w:rsidRDefault="00837783" w:rsidP="00837783">
      <w:pPr>
        <w:rPr>
          <w:sz w:val="24"/>
          <w:szCs w:val="20"/>
          <w:lang w:eastAsia="lv-LV"/>
        </w:rPr>
      </w:pPr>
      <w:r w:rsidRPr="00837783">
        <w:rPr>
          <w:sz w:val="24"/>
          <w:szCs w:val="20"/>
          <w:lang w:eastAsia="lv-LV"/>
        </w:rPr>
        <w:t>1) tie nepārsniedz pašvaldības iepriekšējā saimnieciskā gada faktiskos izdevumus, izdarot šādas korekcijas:</w:t>
      </w:r>
    </w:p>
    <w:p w14:paraId="2603C1FB" w14:textId="77777777" w:rsidR="00837783" w:rsidRPr="00837783" w:rsidRDefault="00837783" w:rsidP="00837783">
      <w:pPr>
        <w:rPr>
          <w:sz w:val="24"/>
          <w:szCs w:val="20"/>
          <w:lang w:eastAsia="lv-LV"/>
        </w:rPr>
      </w:pPr>
      <w:r w:rsidRPr="00837783">
        <w:rPr>
          <w:sz w:val="24"/>
          <w:szCs w:val="20"/>
          <w:lang w:eastAsia="lv-LV"/>
        </w:rPr>
        <w:lastRenderedPageBreak/>
        <w:t>a) netiek apmaksāti pakalpojumi (maksājumu uzdevumi), kas nav sniegti iepriekšējā saimnieciskajā gadā, un netiek veiktas investīcijas, kas nav realizētas iepriekšējā saimnieciskajā gadā,</w:t>
      </w:r>
    </w:p>
    <w:p w14:paraId="79357D9E" w14:textId="77777777" w:rsidR="00837783" w:rsidRPr="00837783" w:rsidRDefault="00837783" w:rsidP="00837783">
      <w:pPr>
        <w:rPr>
          <w:sz w:val="24"/>
          <w:szCs w:val="20"/>
          <w:lang w:eastAsia="lv-LV"/>
        </w:rPr>
      </w:pPr>
      <w:r w:rsidRPr="00837783">
        <w:rPr>
          <w:sz w:val="24"/>
          <w:szCs w:val="20"/>
          <w:lang w:eastAsia="lv-LV"/>
        </w:rPr>
        <w:t>b) tiek turpināta iepriekšējā saimnieciskajā gadā uzsākto pasākumu finansēšana,</w:t>
      </w:r>
    </w:p>
    <w:p w14:paraId="14210286" w14:textId="77777777" w:rsidR="00837783" w:rsidRPr="00837783" w:rsidRDefault="00837783" w:rsidP="00837783">
      <w:pPr>
        <w:rPr>
          <w:sz w:val="24"/>
          <w:szCs w:val="20"/>
          <w:lang w:eastAsia="lv-LV"/>
        </w:rPr>
      </w:pPr>
      <w:r w:rsidRPr="00837783">
        <w:rPr>
          <w:sz w:val="24"/>
          <w:szCs w:val="20"/>
          <w:lang w:eastAsia="lv-LV"/>
        </w:rPr>
        <w:t>c) tiek nodrošināta spēkā esošo normatīvo aktu izpilde;</w:t>
      </w:r>
    </w:p>
    <w:p w14:paraId="516A865A" w14:textId="77777777" w:rsidR="00837783" w:rsidRPr="00837783" w:rsidRDefault="00837783" w:rsidP="00837783">
      <w:pPr>
        <w:rPr>
          <w:sz w:val="24"/>
          <w:szCs w:val="20"/>
          <w:lang w:eastAsia="lv-LV"/>
        </w:rPr>
      </w:pPr>
      <w:r w:rsidRPr="00837783">
        <w:rPr>
          <w:sz w:val="24"/>
          <w:szCs w:val="20"/>
          <w:lang w:eastAsia="lv-LV"/>
        </w:rPr>
        <w:t>2) tiek nodrošināta iepriekšējā saimnieciskā gada pašvaldības budžetā noteikto budžeta politiku un nosacījumu izpilde nemainīgā līmenī, izņemot terminētus pasākumus;</w:t>
      </w:r>
    </w:p>
    <w:p w14:paraId="7EB102F5" w14:textId="77777777" w:rsidR="00837783" w:rsidRPr="00837783" w:rsidRDefault="00837783" w:rsidP="00837783">
      <w:pPr>
        <w:rPr>
          <w:sz w:val="24"/>
          <w:szCs w:val="20"/>
          <w:lang w:eastAsia="lv-LV"/>
        </w:rPr>
      </w:pPr>
      <w:r w:rsidRPr="00837783">
        <w:rPr>
          <w:sz w:val="24"/>
          <w:szCs w:val="20"/>
          <w:lang w:eastAsia="lv-LV"/>
        </w:rPr>
        <w:t>3) tiek nodrošināta Eiropas Savienības un pārējās ārvalstu finanšu palīdzības līdzfinansēto projektu īstenošana;</w:t>
      </w:r>
    </w:p>
    <w:p w14:paraId="67CB7028" w14:textId="77777777" w:rsidR="00837783" w:rsidRPr="00837783" w:rsidRDefault="00837783" w:rsidP="00837783">
      <w:pPr>
        <w:rPr>
          <w:sz w:val="24"/>
          <w:szCs w:val="20"/>
          <w:lang w:eastAsia="lv-LV"/>
        </w:rPr>
      </w:pPr>
      <w:r w:rsidRPr="00837783">
        <w:rPr>
          <w:sz w:val="24"/>
          <w:szCs w:val="20"/>
          <w:lang w:eastAsia="lv-LV"/>
        </w:rPr>
        <w:t>4) tiek ņemtas vērā saimnieciskajam gadam apstiprinātās valsts budžeta mērķdotācijas un dotācijas;</w:t>
      </w:r>
    </w:p>
    <w:p w14:paraId="029A91D1" w14:textId="77777777" w:rsidR="00837783" w:rsidRPr="00837783" w:rsidRDefault="00837783" w:rsidP="00837783">
      <w:pPr>
        <w:rPr>
          <w:sz w:val="24"/>
          <w:szCs w:val="20"/>
          <w:lang w:eastAsia="lv-LV"/>
        </w:rPr>
      </w:pPr>
      <w:r w:rsidRPr="00837783">
        <w:rPr>
          <w:sz w:val="24"/>
          <w:szCs w:val="20"/>
          <w:lang w:eastAsia="lv-LV"/>
        </w:rPr>
        <w:t>5) tiek paredzēts finansējums pašvaldības uzņemto saistību izpildei;</w:t>
      </w:r>
    </w:p>
    <w:p w14:paraId="7ED8A5E3" w14:textId="77777777" w:rsidR="00837783" w:rsidRPr="00837783" w:rsidRDefault="00837783" w:rsidP="00837783">
      <w:pPr>
        <w:rPr>
          <w:sz w:val="24"/>
          <w:szCs w:val="20"/>
          <w:lang w:eastAsia="lv-LV"/>
        </w:rPr>
      </w:pPr>
      <w:r w:rsidRPr="00837783">
        <w:rPr>
          <w:sz w:val="24"/>
          <w:szCs w:val="20"/>
          <w:lang w:eastAsia="lv-LV"/>
        </w:rPr>
        <w:t>6) netiek uzņemtas jaunas aizņēmuma un galvojuma saistības, izņemot saistības 3.punktā minēto projektu īstenošanai.</w:t>
      </w:r>
    </w:p>
    <w:p w14:paraId="5860E0B0" w14:textId="77777777" w:rsidR="00837783" w:rsidRPr="00837783" w:rsidRDefault="00837783" w:rsidP="00837783">
      <w:pPr>
        <w:rPr>
          <w:sz w:val="24"/>
          <w:szCs w:val="20"/>
          <w:lang w:eastAsia="lv-LV"/>
        </w:rPr>
      </w:pPr>
      <w:r w:rsidRPr="00837783">
        <w:rPr>
          <w:sz w:val="24"/>
          <w:szCs w:val="20"/>
          <w:lang w:eastAsia="lv-LV"/>
        </w:rPr>
        <w:t>Pašvaldībām likumā “Par pašvaldību budžetiem” ir noteikti stingri nosacījumi budžeta plānošanas un izpildes jomā – pašvaldību budžeta asignējumi nedrīkst pārsniegt budžetā plānotos apjomus.</w:t>
      </w:r>
    </w:p>
    <w:p w14:paraId="61CBFB60" w14:textId="6B8C6BDF" w:rsidR="00837783" w:rsidRPr="00586190" w:rsidRDefault="00837783" w:rsidP="00837783">
      <w:pPr>
        <w:rPr>
          <w:sz w:val="24"/>
          <w:szCs w:val="20"/>
          <w:lang w:eastAsia="lv-LV"/>
        </w:rPr>
      </w:pPr>
      <w:r w:rsidRPr="00837783">
        <w:rPr>
          <w:sz w:val="24"/>
          <w:szCs w:val="20"/>
          <w:lang w:eastAsia="lv-LV"/>
        </w:rPr>
        <w:t xml:space="preserve">MK ir tiesības noteikt valsts un pašvaldību budžeta plānošanas un izpildes papildu nosacījumus, lai nodrošinātu makroekonomisko procesu izraisīto paaugstināto fiskālo, ekonomisko un sociālo risku ietekmes mazināšanas un novēršanas pasākumus un nodrošinātu starptautiskajās </w:t>
      </w:r>
      <w:r w:rsidRPr="00586190">
        <w:rPr>
          <w:sz w:val="24"/>
          <w:szCs w:val="20"/>
          <w:lang w:eastAsia="lv-LV"/>
        </w:rPr>
        <w:t>saistībās noteikto fiskālo kritēriju izpildi.</w:t>
      </w:r>
    </w:p>
    <w:p w14:paraId="051343A0" w14:textId="77777777" w:rsidR="00837783" w:rsidRPr="00586190" w:rsidRDefault="00837783" w:rsidP="00837783">
      <w:pPr>
        <w:rPr>
          <w:sz w:val="24"/>
          <w:szCs w:val="20"/>
          <w:lang w:eastAsia="lv-LV"/>
        </w:rPr>
      </w:pPr>
    </w:p>
    <w:p w14:paraId="4B0E3D7B" w14:textId="188C2827" w:rsidR="00BF4753" w:rsidRPr="00586190" w:rsidRDefault="00BF4753" w:rsidP="00810FC4">
      <w:pPr>
        <w:pStyle w:val="Heading3"/>
        <w:numPr>
          <w:ilvl w:val="2"/>
          <w:numId w:val="15"/>
        </w:numPr>
        <w:spacing w:before="0" w:after="360"/>
        <w:ind w:left="0" w:firstLine="0"/>
        <w:jc w:val="center"/>
        <w:rPr>
          <w:sz w:val="24"/>
          <w:szCs w:val="20"/>
          <w:lang w:eastAsia="lv-LV"/>
        </w:rPr>
      </w:pPr>
      <w:bookmarkStart w:id="72" w:name="_Toc131331261"/>
      <w:r w:rsidRPr="00586190">
        <w:rPr>
          <w:rFonts w:eastAsia="Times New Roman"/>
          <w:color w:val="000000"/>
          <w:sz w:val="24"/>
          <w:szCs w:val="20"/>
          <w:lang w:eastAsia="lv-LV"/>
        </w:rPr>
        <w:t>Valsts finanšu statistikas pārvaldība</w:t>
      </w:r>
      <w:bookmarkEnd w:id="72"/>
    </w:p>
    <w:p w14:paraId="0C91E979" w14:textId="30423A3C" w:rsidR="00586190" w:rsidRPr="00586190" w:rsidRDefault="00586190" w:rsidP="00586190">
      <w:pPr>
        <w:pStyle w:val="BodyTextIndent2"/>
        <w:spacing w:before="0" w:after="0"/>
        <w:ind w:firstLine="720"/>
      </w:pPr>
      <w:r w:rsidRPr="00586190">
        <w:t>CSP apkopo valdības finanšu statistiku atbilstoši Eiropas Parlamenta un Padomes Regulas (ES) Nr. 549/2013 (2013. gada 21. maijs) par EKS 2010</w:t>
      </w:r>
      <w:r>
        <w:t xml:space="preserve"> </w:t>
      </w:r>
      <w:r w:rsidR="007306F1">
        <w:t xml:space="preserve"> ES</w:t>
      </w:r>
      <w:r>
        <w:t xml:space="preserve"> </w:t>
      </w:r>
      <w:r w:rsidRPr="00586190">
        <w:t>prasībām.</w:t>
      </w:r>
    </w:p>
    <w:p w14:paraId="54B681C6" w14:textId="77777777" w:rsidR="00586190" w:rsidRPr="00586190" w:rsidRDefault="00586190" w:rsidP="00586190">
      <w:pPr>
        <w:rPr>
          <w:rFonts w:eastAsia="Times New Roman" w:cs="Times New Roman"/>
          <w:sz w:val="24"/>
          <w:szCs w:val="20"/>
        </w:rPr>
      </w:pPr>
      <w:r w:rsidRPr="00586190">
        <w:rPr>
          <w:rFonts w:eastAsia="Times New Roman" w:cs="Times New Roman"/>
          <w:sz w:val="24"/>
          <w:szCs w:val="20"/>
        </w:rPr>
        <w:t xml:space="preserve">Vispārējās valdības sektora (S.13) ietvars Latvijā atbilstoši EKS 2010 metodoloģijai sastāv no trim </w:t>
      </w:r>
      <w:proofErr w:type="spellStart"/>
      <w:r w:rsidRPr="00586190">
        <w:rPr>
          <w:rFonts w:eastAsia="Times New Roman" w:cs="Times New Roman"/>
          <w:sz w:val="24"/>
          <w:szCs w:val="20"/>
        </w:rPr>
        <w:t>apakšsektoriem</w:t>
      </w:r>
      <w:proofErr w:type="spellEnd"/>
      <w:r w:rsidRPr="00586190">
        <w:rPr>
          <w:rFonts w:eastAsia="Times New Roman" w:cs="Times New Roman"/>
          <w:sz w:val="24"/>
          <w:szCs w:val="20"/>
        </w:rPr>
        <w:t xml:space="preserve">: centrālās valdības </w:t>
      </w:r>
      <w:proofErr w:type="spellStart"/>
      <w:r w:rsidRPr="00586190">
        <w:rPr>
          <w:rFonts w:eastAsia="Times New Roman" w:cs="Times New Roman"/>
          <w:sz w:val="24"/>
          <w:szCs w:val="20"/>
        </w:rPr>
        <w:t>apakšsektora</w:t>
      </w:r>
      <w:proofErr w:type="spellEnd"/>
      <w:r w:rsidRPr="00586190">
        <w:rPr>
          <w:rFonts w:eastAsia="Times New Roman" w:cs="Times New Roman"/>
          <w:sz w:val="24"/>
          <w:szCs w:val="20"/>
        </w:rPr>
        <w:t xml:space="preserve"> (S.1311), pašvaldību </w:t>
      </w:r>
      <w:proofErr w:type="spellStart"/>
      <w:r w:rsidRPr="00586190">
        <w:rPr>
          <w:rFonts w:eastAsia="Times New Roman" w:cs="Times New Roman"/>
          <w:sz w:val="24"/>
          <w:szCs w:val="20"/>
        </w:rPr>
        <w:t>apakšsektora</w:t>
      </w:r>
      <w:proofErr w:type="spellEnd"/>
      <w:r w:rsidRPr="00586190">
        <w:rPr>
          <w:rFonts w:eastAsia="Times New Roman" w:cs="Times New Roman"/>
          <w:sz w:val="24"/>
          <w:szCs w:val="20"/>
        </w:rPr>
        <w:t xml:space="preserve"> (S.1313) un sociālās apdrošināšanas </w:t>
      </w:r>
      <w:proofErr w:type="spellStart"/>
      <w:r w:rsidRPr="00586190">
        <w:rPr>
          <w:rFonts w:eastAsia="Times New Roman" w:cs="Times New Roman"/>
          <w:sz w:val="24"/>
          <w:szCs w:val="20"/>
        </w:rPr>
        <w:t>apakšsektora</w:t>
      </w:r>
      <w:proofErr w:type="spellEnd"/>
      <w:r w:rsidRPr="00586190">
        <w:rPr>
          <w:rFonts w:eastAsia="Times New Roman" w:cs="Times New Roman"/>
          <w:sz w:val="24"/>
          <w:szCs w:val="20"/>
        </w:rPr>
        <w:t xml:space="preserve"> (S.1314).</w:t>
      </w:r>
    </w:p>
    <w:p w14:paraId="789D7952" w14:textId="77C0EC41" w:rsidR="00586190" w:rsidRPr="00586190" w:rsidRDefault="00586190" w:rsidP="00586190">
      <w:pPr>
        <w:rPr>
          <w:rFonts w:eastAsia="Times New Roman" w:cs="Times New Roman"/>
          <w:sz w:val="24"/>
          <w:szCs w:val="24"/>
        </w:rPr>
      </w:pPr>
      <w:r w:rsidRPr="00586190">
        <w:rPr>
          <w:rFonts w:eastAsia="Times New Roman" w:cs="Times New Roman"/>
          <w:sz w:val="24"/>
          <w:szCs w:val="24"/>
        </w:rPr>
        <w:t xml:space="preserve">Atbilstoši Ministru kabineta 2013. gada 10. decembra noteikumu Nr. 1456 “Noteikumi par institucionālo sektoru klasifikāciju” 6. punktam, CSP sagatavo un uztur vispārējās valdības sektora sarakstu. Lai sagatavotu sarakstu un lemtu par tajā iekļaujamajām vienībām, CSP ievēro EKS 2010 prasības, kā arī </w:t>
      </w:r>
      <w:r w:rsidR="007306F1">
        <w:rPr>
          <w:rFonts w:eastAsia="Times New Roman" w:cs="Times New Roman"/>
          <w:sz w:val="24"/>
          <w:szCs w:val="24"/>
        </w:rPr>
        <w:t>ES</w:t>
      </w:r>
      <w:r w:rsidRPr="00586190">
        <w:rPr>
          <w:rFonts w:eastAsia="Times New Roman" w:cs="Times New Roman"/>
          <w:sz w:val="24"/>
          <w:szCs w:val="24"/>
        </w:rPr>
        <w:t xml:space="preserve"> Statistikas biroja </w:t>
      </w:r>
      <w:proofErr w:type="spellStart"/>
      <w:r w:rsidRPr="00586190">
        <w:rPr>
          <w:rFonts w:eastAsia="Times New Roman" w:cs="Times New Roman"/>
          <w:i/>
          <w:sz w:val="24"/>
          <w:szCs w:val="24"/>
        </w:rPr>
        <w:t>Eurostat</w:t>
      </w:r>
      <w:proofErr w:type="spellEnd"/>
      <w:r w:rsidRPr="00586190">
        <w:rPr>
          <w:rFonts w:eastAsia="Times New Roman" w:cs="Times New Roman"/>
          <w:i/>
          <w:sz w:val="24"/>
          <w:szCs w:val="24"/>
        </w:rPr>
        <w:t xml:space="preserve"> </w:t>
      </w:r>
      <w:r w:rsidRPr="00586190">
        <w:rPr>
          <w:rFonts w:eastAsia="Times New Roman" w:cs="Times New Roman"/>
          <w:sz w:val="24"/>
          <w:szCs w:val="24"/>
        </w:rPr>
        <w:t>Rokasgrāmatā par valdības deficītu un valsts parādu definētos principus, kas paredz uz vispārējās valdības sektoru attiecināt valsts un pašvaldību kontrolētas un pārsvarā finansētas kapitālsabiedrības.</w:t>
      </w:r>
    </w:p>
    <w:p w14:paraId="4C442A50" w14:textId="77777777" w:rsidR="00586190" w:rsidRPr="00586190" w:rsidRDefault="00586190" w:rsidP="00586190">
      <w:pPr>
        <w:rPr>
          <w:rFonts w:eastAsia="Times New Roman" w:cs="Times New Roman"/>
          <w:sz w:val="24"/>
          <w:szCs w:val="20"/>
        </w:rPr>
      </w:pPr>
      <w:r w:rsidRPr="00586190">
        <w:rPr>
          <w:rFonts w:eastAsia="Times New Roman" w:cs="Times New Roman"/>
          <w:sz w:val="24"/>
          <w:szCs w:val="24"/>
        </w:rPr>
        <w:t xml:space="preserve">Vispārējās valdības sektorā uz 2022. gada 31. decembri bija </w:t>
      </w:r>
      <w:r w:rsidRPr="00586190">
        <w:rPr>
          <w:rFonts w:eastAsia="Times New Roman" w:cs="Times New Roman"/>
          <w:sz w:val="24"/>
          <w:szCs w:val="20"/>
        </w:rPr>
        <w:t>555</w:t>
      </w:r>
      <w:r w:rsidRPr="00586190">
        <w:rPr>
          <w:rFonts w:eastAsia="Times New Roman" w:cs="Times New Roman"/>
          <w:sz w:val="24"/>
          <w:szCs w:val="24"/>
        </w:rPr>
        <w:t xml:space="preserve"> neatkarīgas budžeta iestādes, no tām centrālās valdības </w:t>
      </w:r>
      <w:proofErr w:type="spellStart"/>
      <w:r w:rsidRPr="00586190">
        <w:rPr>
          <w:rFonts w:eastAsia="Times New Roman" w:cs="Times New Roman"/>
          <w:sz w:val="24"/>
          <w:szCs w:val="24"/>
        </w:rPr>
        <w:t>apakšsektorā</w:t>
      </w:r>
      <w:proofErr w:type="spellEnd"/>
      <w:r w:rsidRPr="00586190">
        <w:rPr>
          <w:rFonts w:eastAsia="Times New Roman" w:cs="Times New Roman"/>
          <w:sz w:val="24"/>
          <w:szCs w:val="24"/>
        </w:rPr>
        <w:t xml:space="preserve"> – 228 iestādes, pašvaldību </w:t>
      </w:r>
      <w:proofErr w:type="spellStart"/>
      <w:r w:rsidRPr="00586190">
        <w:rPr>
          <w:rFonts w:eastAsia="Times New Roman" w:cs="Times New Roman"/>
          <w:sz w:val="24"/>
          <w:szCs w:val="24"/>
        </w:rPr>
        <w:t>apakšsektorā</w:t>
      </w:r>
      <w:proofErr w:type="spellEnd"/>
      <w:r w:rsidRPr="00586190">
        <w:rPr>
          <w:rFonts w:eastAsia="Times New Roman" w:cs="Times New Roman"/>
          <w:sz w:val="24"/>
          <w:szCs w:val="24"/>
        </w:rPr>
        <w:t xml:space="preserve"> – 326</w:t>
      </w:r>
      <w:r w:rsidRPr="00586190">
        <w:rPr>
          <w:rFonts w:eastAsia="Times New Roman" w:cs="Times New Roman"/>
          <w:sz w:val="24"/>
          <w:szCs w:val="20"/>
        </w:rPr>
        <w:t xml:space="preserve"> iestādes un sociālās apdrošināšanas fonda </w:t>
      </w:r>
      <w:proofErr w:type="spellStart"/>
      <w:r w:rsidRPr="00586190">
        <w:rPr>
          <w:rFonts w:eastAsia="Times New Roman" w:cs="Times New Roman"/>
          <w:sz w:val="24"/>
          <w:szCs w:val="20"/>
        </w:rPr>
        <w:t>apakšsektorā</w:t>
      </w:r>
      <w:proofErr w:type="spellEnd"/>
      <w:r w:rsidRPr="00586190">
        <w:rPr>
          <w:rFonts w:eastAsia="Times New Roman" w:cs="Times New Roman"/>
          <w:sz w:val="24"/>
          <w:szCs w:val="20"/>
        </w:rPr>
        <w:t xml:space="preserve"> – viena iestāde, bez tam – 142 valsts un pašvaldību kontrolētas un finansētas kapitālsabiedrības, no tām valsts kontrolētas – 56 kapitālsabiedrības, pašvaldību kontrolētas – 86 kapitālsabiedrības.</w:t>
      </w:r>
    </w:p>
    <w:p w14:paraId="6E180BB6" w14:textId="516BCF7D" w:rsidR="00586190" w:rsidRPr="00586190" w:rsidRDefault="00586190" w:rsidP="00586190">
      <w:pPr>
        <w:rPr>
          <w:rFonts w:eastAsia="Times New Roman" w:cs="Times New Roman"/>
          <w:i/>
          <w:sz w:val="24"/>
          <w:szCs w:val="24"/>
        </w:rPr>
      </w:pPr>
      <w:r w:rsidRPr="00586190">
        <w:rPr>
          <w:rFonts w:eastAsia="Times New Roman" w:cs="Times New Roman"/>
          <w:sz w:val="24"/>
          <w:szCs w:val="24"/>
        </w:rPr>
        <w:t xml:space="preserve">CSP katru ceturksni aprēķina šādus vispārējās valdības sektora rādītājus – ieņēmumus, izdevumus, deficītu, parādu un sagatavo vispārējās valdības ceturkšņa finanšu kontus. Informācija tiek publicēta CSP mājaslapā un nosūtīta uz </w:t>
      </w:r>
      <w:proofErr w:type="spellStart"/>
      <w:r w:rsidRPr="00586190">
        <w:rPr>
          <w:rFonts w:eastAsia="Times New Roman" w:cs="Times New Roman"/>
          <w:i/>
          <w:sz w:val="24"/>
          <w:szCs w:val="24"/>
        </w:rPr>
        <w:t>Eurostat</w:t>
      </w:r>
      <w:proofErr w:type="spellEnd"/>
      <w:r w:rsidRPr="00586190">
        <w:rPr>
          <w:rFonts w:eastAsia="Times New Roman" w:cs="Times New Roman"/>
          <w:i/>
          <w:sz w:val="24"/>
          <w:szCs w:val="24"/>
        </w:rPr>
        <w:t xml:space="preserve"> </w:t>
      </w:r>
      <w:r w:rsidRPr="00586190">
        <w:rPr>
          <w:rFonts w:eastAsia="Times New Roman" w:cs="Times New Roman"/>
          <w:sz w:val="24"/>
          <w:szCs w:val="24"/>
        </w:rPr>
        <w:t>trīs mēnešus pēc pārskata perioda beigām.</w:t>
      </w:r>
    </w:p>
    <w:p w14:paraId="2B863E5A" w14:textId="5C06CF1A" w:rsidR="00586190" w:rsidRPr="00586190" w:rsidRDefault="00586190" w:rsidP="00586190">
      <w:pPr>
        <w:rPr>
          <w:rFonts w:eastAsia="Times New Roman" w:cs="Times New Roman"/>
          <w:sz w:val="20"/>
          <w:szCs w:val="20"/>
        </w:rPr>
      </w:pPr>
      <w:r w:rsidRPr="00586190">
        <w:rPr>
          <w:rFonts w:eastAsia="Times New Roman" w:cs="Times New Roman"/>
          <w:sz w:val="24"/>
          <w:szCs w:val="24"/>
        </w:rPr>
        <w:t xml:space="preserve">Bez tam CSP katru gadu noteiktajos termiņos līdz 1. aprīlim (operatīvie dati) un līdz 1. oktobrim (gala dati) - sagatavo un iesniedz </w:t>
      </w:r>
      <w:proofErr w:type="spellStart"/>
      <w:r w:rsidR="007306F1" w:rsidRPr="00586190">
        <w:rPr>
          <w:rFonts w:eastAsia="Times New Roman" w:cs="Times New Roman"/>
          <w:i/>
          <w:sz w:val="24"/>
          <w:szCs w:val="24"/>
        </w:rPr>
        <w:t>Eurostat</w:t>
      </w:r>
      <w:proofErr w:type="spellEnd"/>
      <w:r w:rsidR="007306F1" w:rsidRPr="00586190">
        <w:rPr>
          <w:rFonts w:eastAsia="Times New Roman" w:cs="Times New Roman"/>
          <w:sz w:val="24"/>
          <w:szCs w:val="24"/>
        </w:rPr>
        <w:t xml:space="preserve"> </w:t>
      </w:r>
      <w:r w:rsidRPr="00586190">
        <w:rPr>
          <w:rFonts w:eastAsia="Times New Roman" w:cs="Times New Roman"/>
          <w:sz w:val="24"/>
          <w:szCs w:val="24"/>
        </w:rPr>
        <w:t>vispārējās valdības budžeta deficīta un parāda notifikāciju (turpmāk – Notifikācija).</w:t>
      </w:r>
    </w:p>
    <w:p w14:paraId="5812D8A3" w14:textId="0C43FAC1" w:rsidR="00586190" w:rsidRPr="00586190" w:rsidRDefault="00586190" w:rsidP="00586190">
      <w:pPr>
        <w:rPr>
          <w:rFonts w:eastAsia="Times New Roman" w:cs="Times New Roman"/>
          <w:b/>
          <w:bCs/>
          <w:smallCaps/>
          <w:color w:val="5B9BD5"/>
          <w:spacing w:val="5"/>
          <w:sz w:val="20"/>
          <w:szCs w:val="20"/>
          <w:lang w:val="en-AU"/>
        </w:rPr>
      </w:pPr>
      <w:r w:rsidRPr="00586190">
        <w:rPr>
          <w:rFonts w:eastAsia="Times New Roman" w:cs="Times New Roman"/>
          <w:sz w:val="24"/>
          <w:szCs w:val="24"/>
        </w:rPr>
        <w:t>Notifikācija tiek sagatavota atbilstoši Ministru kabineta 2015. gada 22. decembra noteikumu Nr. 756 “Kārtība kādā sagatavo vispārējās valdības budžeta deficīta un parāda notifikāciju” prasībām.</w:t>
      </w:r>
      <w:r w:rsidRPr="00586190">
        <w:rPr>
          <w:rFonts w:eastAsia="Times New Roman" w:cs="Times New Roman"/>
          <w:sz w:val="20"/>
          <w:szCs w:val="20"/>
        </w:rPr>
        <w:t xml:space="preserve"> </w:t>
      </w:r>
      <w:r w:rsidRPr="00586190">
        <w:rPr>
          <w:rFonts w:eastAsia="Times New Roman" w:cs="Times New Roman"/>
          <w:sz w:val="24"/>
          <w:szCs w:val="20"/>
        </w:rPr>
        <w:t xml:space="preserve">Par Notifikācijas sagatavošanu un iesniegšanu </w:t>
      </w:r>
      <w:proofErr w:type="spellStart"/>
      <w:r w:rsidRPr="00586190">
        <w:rPr>
          <w:rFonts w:eastAsia="Times New Roman" w:cs="Times New Roman"/>
          <w:i/>
          <w:sz w:val="24"/>
          <w:szCs w:val="20"/>
        </w:rPr>
        <w:t>Eurostat</w:t>
      </w:r>
      <w:proofErr w:type="spellEnd"/>
      <w:r w:rsidRPr="00586190">
        <w:rPr>
          <w:rFonts w:eastAsia="Times New Roman" w:cs="Times New Roman"/>
          <w:sz w:val="24"/>
          <w:szCs w:val="20"/>
        </w:rPr>
        <w:t xml:space="preserve"> atbildīgā </w:t>
      </w:r>
      <w:r w:rsidRPr="00586190">
        <w:rPr>
          <w:rFonts w:eastAsia="Times New Roman" w:cs="Times New Roman"/>
          <w:sz w:val="24"/>
          <w:szCs w:val="20"/>
        </w:rPr>
        <w:lastRenderedPageBreak/>
        <w:t xml:space="preserve">iestāde ir CSP, kura vada regulāras starpinstitūciju darba grupas sanāksmes. Notifikācijas sagatavošanā ir iesaistīti speciālisti no </w:t>
      </w:r>
      <w:r>
        <w:rPr>
          <w:rFonts w:eastAsia="Times New Roman" w:cs="Times New Roman"/>
          <w:sz w:val="24"/>
          <w:szCs w:val="20"/>
        </w:rPr>
        <w:t>FM</w:t>
      </w:r>
      <w:r w:rsidRPr="00586190">
        <w:rPr>
          <w:rFonts w:eastAsia="Times New Roman" w:cs="Times New Roman"/>
          <w:sz w:val="24"/>
          <w:szCs w:val="20"/>
        </w:rPr>
        <w:t>, Valsts Kases, Centrālās finanšu un līgumu aģentūras, Aizsardzības ministrijas un Valsts sociālās apdrošināšanas aģentūras. Vajadzības gadījumā tiek piesaistīti speciālisti no citām institūcijām (Ekonomikas ministrijas, Labklājības ministrijas, Rīgas Domes u.c</w:t>
      </w:r>
      <w:r w:rsidR="009D59E2">
        <w:rPr>
          <w:rFonts w:eastAsia="Times New Roman" w:cs="Times New Roman"/>
          <w:sz w:val="24"/>
          <w:szCs w:val="20"/>
        </w:rPr>
        <w:t>.</w:t>
      </w:r>
      <w:r w:rsidRPr="00586190">
        <w:rPr>
          <w:rFonts w:eastAsia="Times New Roman" w:cs="Times New Roman"/>
          <w:sz w:val="24"/>
          <w:szCs w:val="20"/>
        </w:rPr>
        <w:t>).</w:t>
      </w:r>
    </w:p>
    <w:p w14:paraId="660DCC2A" w14:textId="77777777" w:rsidR="00586190" w:rsidRPr="00586190" w:rsidRDefault="00586190" w:rsidP="00586190">
      <w:pPr>
        <w:rPr>
          <w:rFonts w:eastAsia="Times New Roman" w:cs="Times New Roman"/>
          <w:sz w:val="24"/>
          <w:szCs w:val="24"/>
        </w:rPr>
      </w:pPr>
      <w:r w:rsidRPr="00586190">
        <w:rPr>
          <w:rFonts w:eastAsia="Times New Roman" w:cs="Times New Roman"/>
          <w:sz w:val="24"/>
          <w:szCs w:val="24"/>
        </w:rPr>
        <w:t xml:space="preserve">Notifikāciju rezultāti tiek izmantoti valstu izvērtēšanai par to, kā tiek nodrošināta fiskālo rādītāju atbilstība Stabilitātes un izaugsmes pakta nosacījumiem ar mērķi īstenot ilgtspējīgas publiskās finanses un fiskālās politikas koordināciju starp dalībvalstīm.  </w:t>
      </w:r>
    </w:p>
    <w:p w14:paraId="27FDCFBE" w14:textId="77777777" w:rsidR="00586190" w:rsidRDefault="00586190" w:rsidP="00586190">
      <w:pPr>
        <w:rPr>
          <w:rFonts w:eastAsia="Times New Roman" w:cs="Times New Roman"/>
          <w:sz w:val="24"/>
          <w:szCs w:val="24"/>
        </w:rPr>
      </w:pPr>
      <w:r w:rsidRPr="00586190">
        <w:rPr>
          <w:rFonts w:eastAsia="Times New Roman" w:cs="Times New Roman"/>
          <w:sz w:val="24"/>
          <w:szCs w:val="24"/>
        </w:rPr>
        <w:t>Padomes Direktīva 2011/85/ES (2011. gada 8. novembris)</w:t>
      </w:r>
      <w:r w:rsidRPr="00586190">
        <w:rPr>
          <w:rFonts w:eastAsia="Times New Roman" w:cs="Times New Roman"/>
          <w:b/>
          <w:bCs/>
          <w:color w:val="000000"/>
          <w:sz w:val="24"/>
          <w:szCs w:val="20"/>
          <w:shd w:val="clear" w:color="auto" w:fill="FFFFFF"/>
        </w:rPr>
        <w:t xml:space="preserve"> </w:t>
      </w:r>
      <w:r w:rsidRPr="00586190">
        <w:rPr>
          <w:rFonts w:eastAsia="Times New Roman" w:cs="Times New Roman"/>
          <w:bCs/>
          <w:color w:val="000000"/>
          <w:sz w:val="24"/>
          <w:szCs w:val="20"/>
          <w:shd w:val="clear" w:color="auto" w:fill="FFFFFF"/>
        </w:rPr>
        <w:t>par prasībām dalībvalstu budžeta struktūrām nosaka detalizētus noteikumus ES dalībvalstīm, lai stiprinātu ES fiskālo un ekonomikas pārvaldību, neveidotu pārmērīgu budžeta deficītu. FM mājaslapā</w:t>
      </w:r>
      <w:r w:rsidRPr="00586190">
        <w:rPr>
          <w:rFonts w:eastAsia="Times New Roman" w:cs="Times New Roman"/>
          <w:bCs/>
          <w:color w:val="000000"/>
          <w:sz w:val="24"/>
          <w:szCs w:val="20"/>
          <w:shd w:val="clear" w:color="auto" w:fill="FFFFFF"/>
          <w:vertAlign w:val="superscript"/>
        </w:rPr>
        <w:footnoteReference w:id="19"/>
      </w:r>
      <w:r w:rsidRPr="00586190">
        <w:rPr>
          <w:rFonts w:eastAsia="Times New Roman" w:cs="Times New Roman"/>
          <w:bCs/>
          <w:color w:val="000000"/>
          <w:sz w:val="24"/>
          <w:szCs w:val="20"/>
          <w:shd w:val="clear" w:color="auto" w:fill="FFFFFF"/>
        </w:rPr>
        <w:t xml:space="preserve"> tiek publicēti </w:t>
      </w:r>
      <w:r w:rsidRPr="00586190">
        <w:rPr>
          <w:rFonts w:eastAsia="Times New Roman" w:cs="Times New Roman"/>
          <w:sz w:val="24"/>
          <w:szCs w:val="24"/>
        </w:rPr>
        <w:t>Direktīvas 2011/85/ES</w:t>
      </w:r>
      <w:r w:rsidRPr="00586190">
        <w:rPr>
          <w:rFonts w:eastAsia="Times New Roman" w:cs="Times New Roman"/>
          <w:bCs/>
          <w:color w:val="000000"/>
          <w:sz w:val="24"/>
          <w:szCs w:val="20"/>
          <w:shd w:val="clear" w:color="auto" w:fill="FFFFFF"/>
        </w:rPr>
        <w:t xml:space="preserve"> ietvaros atrunātie </w:t>
      </w:r>
      <w:r w:rsidRPr="00586190">
        <w:rPr>
          <w:rFonts w:eastAsia="Times New Roman" w:cs="Times New Roman"/>
          <w:sz w:val="24"/>
          <w:szCs w:val="24"/>
        </w:rPr>
        <w:t>fiskālie dati. Turklāt mājas lapā pieejama detalizēta pārejas tabula budžeta datiem no naudas plūsmas pēc nacionālās klasifikācijas uz vispārējās valdības sektora datiem pēc EKS 2010 metodoloģijas. Regulāri tiek publiskota šāda informācija:</w:t>
      </w:r>
    </w:p>
    <w:p w14:paraId="5005DD29" w14:textId="77777777" w:rsidR="00586190" w:rsidRDefault="00586190" w:rsidP="00AE2C3A">
      <w:pPr>
        <w:pStyle w:val="ListParagraph"/>
        <w:numPr>
          <w:ilvl w:val="0"/>
          <w:numId w:val="4"/>
        </w:numPr>
        <w:spacing w:before="60"/>
        <w:ind w:left="714" w:hanging="357"/>
        <w:rPr>
          <w:rFonts w:eastAsia="Times New Roman" w:cs="Times New Roman"/>
          <w:sz w:val="24"/>
          <w:szCs w:val="24"/>
        </w:rPr>
      </w:pPr>
      <w:r w:rsidRPr="00586190">
        <w:rPr>
          <w:rFonts w:eastAsia="Times New Roman" w:cs="Times New Roman"/>
          <w:sz w:val="24"/>
          <w:szCs w:val="24"/>
        </w:rPr>
        <w:t>fiskālie dati (mēneša un ceturkšņa dati);</w:t>
      </w:r>
    </w:p>
    <w:p w14:paraId="4B563CE4" w14:textId="77777777" w:rsidR="00586190" w:rsidRDefault="00586190" w:rsidP="00AE2C3A">
      <w:pPr>
        <w:pStyle w:val="ListParagraph"/>
        <w:numPr>
          <w:ilvl w:val="0"/>
          <w:numId w:val="4"/>
        </w:numPr>
        <w:spacing w:before="60"/>
        <w:ind w:left="714" w:hanging="357"/>
        <w:rPr>
          <w:rFonts w:eastAsia="Times New Roman" w:cs="Times New Roman"/>
          <w:sz w:val="24"/>
          <w:szCs w:val="24"/>
        </w:rPr>
      </w:pPr>
      <w:r w:rsidRPr="00586190">
        <w:rPr>
          <w:rFonts w:eastAsia="Times New Roman" w:cs="Times New Roman"/>
          <w:sz w:val="24"/>
          <w:szCs w:val="24"/>
        </w:rPr>
        <w:t>vispārējās valdības sektora galvojumi (gada dati);</w:t>
      </w:r>
    </w:p>
    <w:p w14:paraId="7186449D" w14:textId="77777777" w:rsidR="00586190" w:rsidRDefault="00586190" w:rsidP="00AE2C3A">
      <w:pPr>
        <w:pStyle w:val="ListParagraph"/>
        <w:numPr>
          <w:ilvl w:val="0"/>
          <w:numId w:val="4"/>
        </w:numPr>
        <w:spacing w:before="60"/>
        <w:ind w:left="714" w:hanging="357"/>
        <w:rPr>
          <w:rFonts w:eastAsia="Times New Roman" w:cs="Times New Roman"/>
          <w:sz w:val="24"/>
          <w:szCs w:val="24"/>
        </w:rPr>
      </w:pPr>
      <w:r w:rsidRPr="00586190">
        <w:rPr>
          <w:rFonts w:eastAsia="Times New Roman" w:cs="Times New Roman"/>
          <w:sz w:val="24"/>
          <w:szCs w:val="24"/>
        </w:rPr>
        <w:t>vispārējās valdības sektora ienākumus nenesošie kredīti (gada dati);</w:t>
      </w:r>
    </w:p>
    <w:p w14:paraId="6BA2317A" w14:textId="77777777" w:rsidR="00586190" w:rsidRDefault="00586190" w:rsidP="00AE2C3A">
      <w:pPr>
        <w:pStyle w:val="ListParagraph"/>
        <w:numPr>
          <w:ilvl w:val="0"/>
          <w:numId w:val="4"/>
        </w:numPr>
        <w:spacing w:before="60"/>
        <w:ind w:left="714" w:hanging="357"/>
        <w:rPr>
          <w:rFonts w:eastAsia="Times New Roman" w:cs="Times New Roman"/>
          <w:sz w:val="24"/>
          <w:szCs w:val="24"/>
        </w:rPr>
      </w:pPr>
      <w:r w:rsidRPr="00586190">
        <w:rPr>
          <w:rFonts w:eastAsia="Times New Roman" w:cs="Times New Roman"/>
          <w:sz w:val="24"/>
          <w:szCs w:val="20"/>
        </w:rPr>
        <w:t xml:space="preserve">ārpusbilances publisko un privāto partnerību koriģētā vērtība </w:t>
      </w:r>
      <w:r w:rsidRPr="00586190">
        <w:rPr>
          <w:rFonts w:eastAsia="Times New Roman" w:cs="Times New Roman"/>
          <w:sz w:val="24"/>
          <w:szCs w:val="24"/>
        </w:rPr>
        <w:t>(gada dati);</w:t>
      </w:r>
    </w:p>
    <w:p w14:paraId="2E3F1603" w14:textId="77777777" w:rsidR="00586190" w:rsidRDefault="00586190" w:rsidP="00AE2C3A">
      <w:pPr>
        <w:pStyle w:val="ListParagraph"/>
        <w:numPr>
          <w:ilvl w:val="0"/>
          <w:numId w:val="4"/>
        </w:numPr>
        <w:spacing w:before="60"/>
        <w:ind w:left="714" w:hanging="357"/>
        <w:rPr>
          <w:rFonts w:eastAsia="Times New Roman" w:cs="Times New Roman"/>
          <w:sz w:val="24"/>
          <w:szCs w:val="24"/>
        </w:rPr>
      </w:pPr>
      <w:r w:rsidRPr="00586190">
        <w:rPr>
          <w:rFonts w:eastAsia="Times New Roman" w:cs="Times New Roman"/>
          <w:sz w:val="24"/>
          <w:szCs w:val="20"/>
        </w:rPr>
        <w:t>publisko kapitālsabiedrību saistības</w:t>
      </w:r>
      <w:r w:rsidRPr="00586190">
        <w:rPr>
          <w:rFonts w:eastAsia="Times New Roman" w:cs="Times New Roman"/>
          <w:sz w:val="24"/>
          <w:szCs w:val="24"/>
        </w:rPr>
        <w:t xml:space="preserve"> (gada dati);</w:t>
      </w:r>
    </w:p>
    <w:p w14:paraId="684A34E0" w14:textId="2FB78391" w:rsidR="00586190" w:rsidRPr="00586190" w:rsidRDefault="00586190" w:rsidP="00AE2C3A">
      <w:pPr>
        <w:pStyle w:val="ListParagraph"/>
        <w:numPr>
          <w:ilvl w:val="0"/>
          <w:numId w:val="4"/>
        </w:numPr>
        <w:spacing w:before="60"/>
        <w:ind w:left="714" w:hanging="357"/>
        <w:rPr>
          <w:rFonts w:eastAsia="Times New Roman" w:cs="Times New Roman"/>
          <w:sz w:val="24"/>
          <w:szCs w:val="24"/>
        </w:rPr>
      </w:pPr>
      <w:r w:rsidRPr="00586190">
        <w:rPr>
          <w:rFonts w:eastAsia="Times New Roman" w:cs="Times New Roman"/>
          <w:sz w:val="24"/>
          <w:szCs w:val="24"/>
        </w:rPr>
        <w:t>vispārējās valdības sektora līdzdalības vērtība kapitālsabiedrību kapitālā (gada dati).</w:t>
      </w:r>
    </w:p>
    <w:p w14:paraId="28507B64" w14:textId="01DB7342" w:rsidR="00360DA1" w:rsidRPr="00085AFE" w:rsidRDefault="00360DA1" w:rsidP="00424332">
      <w:pPr>
        <w:rPr>
          <w:sz w:val="24"/>
          <w:szCs w:val="20"/>
          <w:highlight w:val="lightGray"/>
          <w:lang w:eastAsia="lv-LV"/>
        </w:rPr>
      </w:pPr>
    </w:p>
    <w:p w14:paraId="69F06394" w14:textId="77777777" w:rsidR="00BF4753" w:rsidRPr="00085AFE" w:rsidRDefault="00BF4753" w:rsidP="00BF4753">
      <w:pPr>
        <w:rPr>
          <w:rFonts w:eastAsia="Times New Roman" w:cs="Times New Roman"/>
          <w:b/>
          <w:bCs/>
          <w:smallCaps/>
          <w:color w:val="000000"/>
          <w:sz w:val="36"/>
          <w:szCs w:val="36"/>
          <w:highlight w:val="lightGray"/>
          <w:lang w:eastAsia="lv-LV"/>
        </w:rPr>
      </w:pPr>
      <w:bookmarkStart w:id="73" w:name="_Toc510790684"/>
      <w:bookmarkStart w:id="74" w:name="_Toc5627394"/>
      <w:bookmarkStart w:id="75" w:name="_Toc5798649"/>
    </w:p>
    <w:p w14:paraId="462911B6" w14:textId="77777777" w:rsidR="00BF4753" w:rsidRPr="00085AFE" w:rsidRDefault="00BF4753" w:rsidP="00BF4753">
      <w:pPr>
        <w:rPr>
          <w:rFonts w:eastAsia="Times New Roman" w:cs="Times New Roman"/>
          <w:b/>
          <w:bCs/>
          <w:smallCaps/>
          <w:color w:val="000000"/>
          <w:sz w:val="36"/>
          <w:szCs w:val="36"/>
          <w:highlight w:val="lightGray"/>
          <w:lang w:eastAsia="lv-LV"/>
        </w:rPr>
      </w:pPr>
    </w:p>
    <w:p w14:paraId="30995101" w14:textId="77777777" w:rsidR="00BF4753" w:rsidRPr="00085AFE" w:rsidRDefault="00BF4753" w:rsidP="00BF4753">
      <w:pPr>
        <w:rPr>
          <w:rFonts w:eastAsia="Times New Roman" w:cs="Times New Roman"/>
          <w:b/>
          <w:bCs/>
          <w:smallCaps/>
          <w:color w:val="000000"/>
          <w:sz w:val="36"/>
          <w:szCs w:val="36"/>
          <w:highlight w:val="lightGray"/>
          <w:lang w:eastAsia="lv-LV"/>
        </w:rPr>
      </w:pPr>
    </w:p>
    <w:p w14:paraId="04C55DB2" w14:textId="77777777" w:rsidR="00BF4753" w:rsidRPr="00085AFE" w:rsidRDefault="00BF4753" w:rsidP="00BF4753">
      <w:pPr>
        <w:rPr>
          <w:rFonts w:eastAsia="Times New Roman" w:cs="Times New Roman"/>
          <w:b/>
          <w:bCs/>
          <w:smallCaps/>
          <w:color w:val="000000"/>
          <w:sz w:val="36"/>
          <w:szCs w:val="36"/>
          <w:highlight w:val="lightGray"/>
          <w:lang w:eastAsia="lv-LV"/>
        </w:rPr>
      </w:pPr>
    </w:p>
    <w:p w14:paraId="22A83056" w14:textId="77777777" w:rsidR="00BF4753" w:rsidRPr="00085AFE" w:rsidRDefault="00BF4753" w:rsidP="00BF4753">
      <w:pPr>
        <w:ind w:firstLine="0"/>
        <w:rPr>
          <w:rFonts w:eastAsia="Times New Roman" w:cs="Times New Roman"/>
          <w:b/>
          <w:bCs/>
          <w:smallCaps/>
          <w:color w:val="000000"/>
          <w:sz w:val="36"/>
          <w:szCs w:val="36"/>
          <w:highlight w:val="lightGray"/>
          <w:lang w:eastAsia="lv-LV"/>
        </w:rPr>
      </w:pPr>
    </w:p>
    <w:p w14:paraId="29530F56" w14:textId="77777777" w:rsidR="00BF4753" w:rsidRPr="00085AFE" w:rsidRDefault="00BF4753" w:rsidP="00BF4753">
      <w:pPr>
        <w:rPr>
          <w:rFonts w:eastAsia="Times New Roman" w:cs="Times New Roman"/>
          <w:b/>
          <w:bCs/>
          <w:smallCaps/>
          <w:color w:val="000000"/>
          <w:sz w:val="36"/>
          <w:szCs w:val="36"/>
          <w:highlight w:val="lightGray"/>
          <w:lang w:eastAsia="lv-LV"/>
        </w:rPr>
      </w:pPr>
    </w:p>
    <w:p w14:paraId="728023A4" w14:textId="77777777" w:rsidR="00BF4753" w:rsidRPr="00085AFE" w:rsidRDefault="00BF4753" w:rsidP="00BF4753">
      <w:pPr>
        <w:rPr>
          <w:rFonts w:eastAsia="Times New Roman" w:cs="Times New Roman"/>
          <w:b/>
          <w:bCs/>
          <w:smallCaps/>
          <w:color w:val="000000"/>
          <w:sz w:val="36"/>
          <w:szCs w:val="36"/>
          <w:highlight w:val="lightGray"/>
          <w:lang w:eastAsia="lv-LV"/>
        </w:rPr>
      </w:pPr>
    </w:p>
    <w:p w14:paraId="38E43CC5" w14:textId="77777777" w:rsidR="00BF4753" w:rsidRPr="00085AFE" w:rsidRDefault="00BF4753" w:rsidP="00BF4753">
      <w:pPr>
        <w:rPr>
          <w:rFonts w:eastAsia="Times New Roman" w:cs="Times New Roman"/>
          <w:b/>
          <w:bCs/>
          <w:smallCaps/>
          <w:color w:val="000000"/>
          <w:sz w:val="36"/>
          <w:szCs w:val="36"/>
          <w:highlight w:val="lightGray"/>
          <w:lang w:eastAsia="lv-LV"/>
        </w:rPr>
      </w:pPr>
    </w:p>
    <w:p w14:paraId="26FC2484" w14:textId="77777777" w:rsidR="00BF4753" w:rsidRPr="00085AFE" w:rsidRDefault="00BF4753" w:rsidP="00BF4753">
      <w:pPr>
        <w:rPr>
          <w:rFonts w:eastAsia="Times New Roman" w:cs="Times New Roman"/>
          <w:b/>
          <w:bCs/>
          <w:smallCaps/>
          <w:color w:val="000000"/>
          <w:sz w:val="36"/>
          <w:szCs w:val="36"/>
          <w:highlight w:val="lightGray"/>
          <w:lang w:eastAsia="lv-LV"/>
        </w:rPr>
      </w:pPr>
    </w:p>
    <w:p w14:paraId="3211925A" w14:textId="7D3E4448" w:rsidR="00BF4753" w:rsidRPr="00085AFE" w:rsidRDefault="00BF4753" w:rsidP="00BF4753">
      <w:pPr>
        <w:rPr>
          <w:rFonts w:eastAsia="Times New Roman" w:cs="Times New Roman"/>
          <w:b/>
          <w:bCs/>
          <w:smallCaps/>
          <w:color w:val="000000"/>
          <w:sz w:val="36"/>
          <w:szCs w:val="36"/>
          <w:highlight w:val="lightGray"/>
          <w:lang w:eastAsia="lv-LV"/>
        </w:rPr>
      </w:pPr>
    </w:p>
    <w:p w14:paraId="58CE7A63" w14:textId="043A081A" w:rsidR="00002184" w:rsidRPr="00085AFE" w:rsidRDefault="00002184" w:rsidP="00BF4753">
      <w:pPr>
        <w:rPr>
          <w:rFonts w:eastAsia="Times New Roman" w:cs="Times New Roman"/>
          <w:b/>
          <w:bCs/>
          <w:smallCaps/>
          <w:color w:val="000000"/>
          <w:sz w:val="36"/>
          <w:szCs w:val="36"/>
          <w:highlight w:val="lightGray"/>
          <w:lang w:eastAsia="lv-LV"/>
        </w:rPr>
      </w:pPr>
    </w:p>
    <w:p w14:paraId="415582A5" w14:textId="0881CC6F" w:rsidR="00002184" w:rsidRPr="00085AFE" w:rsidRDefault="00002184" w:rsidP="00BF4753">
      <w:pPr>
        <w:rPr>
          <w:rFonts w:eastAsia="Times New Roman" w:cs="Times New Roman"/>
          <w:b/>
          <w:bCs/>
          <w:smallCaps/>
          <w:color w:val="000000"/>
          <w:sz w:val="36"/>
          <w:szCs w:val="36"/>
          <w:highlight w:val="lightGray"/>
          <w:lang w:eastAsia="lv-LV"/>
        </w:rPr>
      </w:pPr>
    </w:p>
    <w:p w14:paraId="768C85A7" w14:textId="07F054E0" w:rsidR="00002184" w:rsidRPr="00085AFE" w:rsidRDefault="00002184" w:rsidP="00BF4753">
      <w:pPr>
        <w:rPr>
          <w:rFonts w:eastAsia="Times New Roman" w:cs="Times New Roman"/>
          <w:b/>
          <w:bCs/>
          <w:smallCaps/>
          <w:color w:val="000000"/>
          <w:sz w:val="36"/>
          <w:szCs w:val="36"/>
          <w:highlight w:val="lightGray"/>
          <w:lang w:eastAsia="lv-LV"/>
        </w:rPr>
      </w:pPr>
    </w:p>
    <w:p w14:paraId="29F4DCEF" w14:textId="31CC8236" w:rsidR="00002184" w:rsidRPr="00085AFE" w:rsidRDefault="00002184" w:rsidP="00BF4753">
      <w:pPr>
        <w:rPr>
          <w:rFonts w:eastAsia="Times New Roman" w:cs="Times New Roman"/>
          <w:b/>
          <w:bCs/>
          <w:smallCaps/>
          <w:color w:val="000000"/>
          <w:sz w:val="36"/>
          <w:szCs w:val="36"/>
          <w:highlight w:val="lightGray"/>
          <w:lang w:eastAsia="lv-LV"/>
        </w:rPr>
      </w:pPr>
    </w:p>
    <w:p w14:paraId="0DAC0CBD" w14:textId="1C716E34" w:rsidR="00002184" w:rsidRPr="00085AFE" w:rsidRDefault="00002184" w:rsidP="00BF4753">
      <w:pPr>
        <w:rPr>
          <w:rFonts w:eastAsia="Times New Roman" w:cs="Times New Roman"/>
          <w:b/>
          <w:bCs/>
          <w:smallCaps/>
          <w:color w:val="000000"/>
          <w:sz w:val="36"/>
          <w:szCs w:val="36"/>
          <w:highlight w:val="lightGray"/>
          <w:lang w:eastAsia="lv-LV"/>
        </w:rPr>
      </w:pPr>
    </w:p>
    <w:p w14:paraId="469D7591" w14:textId="21B409C1" w:rsidR="00002184" w:rsidRPr="00085AFE" w:rsidRDefault="00002184" w:rsidP="00BF4753">
      <w:pPr>
        <w:rPr>
          <w:rFonts w:eastAsia="Times New Roman" w:cs="Times New Roman"/>
          <w:b/>
          <w:bCs/>
          <w:smallCaps/>
          <w:color w:val="000000"/>
          <w:sz w:val="36"/>
          <w:szCs w:val="36"/>
          <w:highlight w:val="lightGray"/>
          <w:lang w:eastAsia="lv-LV"/>
        </w:rPr>
      </w:pPr>
    </w:p>
    <w:p w14:paraId="12E6EEEF" w14:textId="4068F4AE" w:rsidR="00002184" w:rsidRPr="00085AFE" w:rsidRDefault="00002184" w:rsidP="00BF4753">
      <w:pPr>
        <w:rPr>
          <w:rFonts w:eastAsia="Times New Roman" w:cs="Times New Roman"/>
          <w:b/>
          <w:bCs/>
          <w:smallCaps/>
          <w:color w:val="000000"/>
          <w:sz w:val="36"/>
          <w:szCs w:val="36"/>
          <w:highlight w:val="lightGray"/>
          <w:lang w:eastAsia="lv-LV"/>
        </w:rPr>
      </w:pPr>
    </w:p>
    <w:p w14:paraId="157F9759" w14:textId="5ADDE688" w:rsidR="00002184" w:rsidRPr="00085AFE" w:rsidRDefault="00002184" w:rsidP="00BF4753">
      <w:pPr>
        <w:rPr>
          <w:rFonts w:eastAsia="Times New Roman" w:cs="Times New Roman"/>
          <w:b/>
          <w:bCs/>
          <w:smallCaps/>
          <w:color w:val="000000"/>
          <w:sz w:val="36"/>
          <w:szCs w:val="36"/>
          <w:highlight w:val="lightGray"/>
          <w:lang w:eastAsia="lv-LV"/>
        </w:rPr>
      </w:pPr>
    </w:p>
    <w:p w14:paraId="0DE1C7E6" w14:textId="29BE89E3" w:rsidR="00002184" w:rsidRPr="00085AFE" w:rsidRDefault="00002184" w:rsidP="00BF4753">
      <w:pPr>
        <w:rPr>
          <w:rFonts w:eastAsia="Times New Roman" w:cs="Times New Roman"/>
          <w:b/>
          <w:bCs/>
          <w:smallCaps/>
          <w:color w:val="000000"/>
          <w:sz w:val="36"/>
          <w:szCs w:val="36"/>
          <w:highlight w:val="lightGray"/>
          <w:lang w:eastAsia="lv-LV"/>
        </w:rPr>
      </w:pPr>
    </w:p>
    <w:p w14:paraId="0DBCA04F" w14:textId="185EBE2F" w:rsidR="00002184" w:rsidRPr="00085AFE" w:rsidRDefault="00002184" w:rsidP="00BF4753">
      <w:pPr>
        <w:rPr>
          <w:rFonts w:eastAsia="Times New Roman" w:cs="Times New Roman"/>
          <w:b/>
          <w:bCs/>
          <w:smallCaps/>
          <w:color w:val="000000"/>
          <w:sz w:val="36"/>
          <w:szCs w:val="36"/>
          <w:highlight w:val="lightGray"/>
          <w:lang w:eastAsia="lv-LV"/>
        </w:rPr>
      </w:pPr>
    </w:p>
    <w:p w14:paraId="05B2CF7E" w14:textId="37CED404" w:rsidR="00002184" w:rsidRPr="00085AFE" w:rsidRDefault="00002184" w:rsidP="00BF4753">
      <w:pPr>
        <w:rPr>
          <w:rFonts w:eastAsia="Times New Roman" w:cs="Times New Roman"/>
          <w:b/>
          <w:bCs/>
          <w:smallCaps/>
          <w:color w:val="000000"/>
          <w:sz w:val="36"/>
          <w:szCs w:val="36"/>
          <w:highlight w:val="lightGray"/>
          <w:lang w:eastAsia="lv-LV"/>
        </w:rPr>
      </w:pPr>
    </w:p>
    <w:p w14:paraId="14A85C9F" w14:textId="19F5F7F6" w:rsidR="00002184" w:rsidRPr="00085AFE" w:rsidRDefault="00002184" w:rsidP="00BF4753">
      <w:pPr>
        <w:rPr>
          <w:rFonts w:eastAsia="Times New Roman" w:cs="Times New Roman"/>
          <w:b/>
          <w:bCs/>
          <w:smallCaps/>
          <w:color w:val="000000"/>
          <w:sz w:val="36"/>
          <w:szCs w:val="36"/>
          <w:highlight w:val="lightGray"/>
          <w:lang w:eastAsia="lv-LV"/>
        </w:rPr>
      </w:pPr>
    </w:p>
    <w:p w14:paraId="0C3654B0" w14:textId="1B5B9FE2" w:rsidR="00002184" w:rsidRPr="00085AFE" w:rsidRDefault="00002184" w:rsidP="00BF4753">
      <w:pPr>
        <w:rPr>
          <w:rFonts w:eastAsia="Times New Roman" w:cs="Times New Roman"/>
          <w:b/>
          <w:bCs/>
          <w:smallCaps/>
          <w:color w:val="000000"/>
          <w:sz w:val="36"/>
          <w:szCs w:val="36"/>
          <w:highlight w:val="lightGray"/>
          <w:lang w:eastAsia="lv-LV"/>
        </w:rPr>
      </w:pPr>
    </w:p>
    <w:p w14:paraId="25116091" w14:textId="26B26EBF" w:rsidR="00002184" w:rsidRPr="00085AFE" w:rsidRDefault="00002184" w:rsidP="00BF4753">
      <w:pPr>
        <w:rPr>
          <w:rFonts w:eastAsia="Times New Roman" w:cs="Times New Roman"/>
          <w:b/>
          <w:bCs/>
          <w:smallCaps/>
          <w:color w:val="000000"/>
          <w:sz w:val="36"/>
          <w:szCs w:val="36"/>
          <w:highlight w:val="lightGray"/>
          <w:lang w:eastAsia="lv-LV"/>
        </w:rPr>
      </w:pPr>
    </w:p>
    <w:p w14:paraId="264F6796" w14:textId="4F45A2EF" w:rsidR="00002184" w:rsidRPr="00085AFE" w:rsidRDefault="00002184" w:rsidP="00BF4753">
      <w:pPr>
        <w:rPr>
          <w:rFonts w:eastAsia="Times New Roman" w:cs="Times New Roman"/>
          <w:b/>
          <w:bCs/>
          <w:smallCaps/>
          <w:color w:val="000000"/>
          <w:sz w:val="36"/>
          <w:szCs w:val="36"/>
          <w:highlight w:val="lightGray"/>
          <w:lang w:eastAsia="lv-LV"/>
        </w:rPr>
      </w:pPr>
    </w:p>
    <w:p w14:paraId="3D888291" w14:textId="3905C30D" w:rsidR="00002184" w:rsidRPr="00085AFE" w:rsidRDefault="00002184" w:rsidP="00BF4753">
      <w:pPr>
        <w:rPr>
          <w:rFonts w:eastAsia="Times New Roman" w:cs="Times New Roman"/>
          <w:b/>
          <w:bCs/>
          <w:smallCaps/>
          <w:color w:val="000000"/>
          <w:sz w:val="36"/>
          <w:szCs w:val="36"/>
          <w:highlight w:val="lightGray"/>
          <w:lang w:eastAsia="lv-LV"/>
        </w:rPr>
      </w:pPr>
    </w:p>
    <w:p w14:paraId="2D18A36A" w14:textId="2541DD3F" w:rsidR="00002184" w:rsidRPr="00085AFE" w:rsidRDefault="00002184" w:rsidP="00BF4753">
      <w:pPr>
        <w:rPr>
          <w:rFonts w:eastAsia="Times New Roman" w:cs="Times New Roman"/>
          <w:b/>
          <w:bCs/>
          <w:smallCaps/>
          <w:color w:val="000000"/>
          <w:sz w:val="36"/>
          <w:szCs w:val="36"/>
          <w:highlight w:val="lightGray"/>
          <w:lang w:eastAsia="lv-LV"/>
        </w:rPr>
      </w:pPr>
    </w:p>
    <w:p w14:paraId="6AD17527" w14:textId="00884D03" w:rsidR="00002184" w:rsidRPr="00085AFE" w:rsidRDefault="00002184" w:rsidP="00BF4753">
      <w:pPr>
        <w:rPr>
          <w:rFonts w:eastAsia="Times New Roman" w:cs="Times New Roman"/>
          <w:b/>
          <w:bCs/>
          <w:smallCaps/>
          <w:color w:val="000000"/>
          <w:sz w:val="36"/>
          <w:szCs w:val="36"/>
          <w:highlight w:val="lightGray"/>
          <w:lang w:eastAsia="lv-LV"/>
        </w:rPr>
      </w:pPr>
    </w:p>
    <w:p w14:paraId="07FF18AD" w14:textId="60625B3F" w:rsidR="00002184" w:rsidRPr="00085AFE" w:rsidRDefault="00002184" w:rsidP="00BF4753">
      <w:pPr>
        <w:rPr>
          <w:rFonts w:eastAsia="Times New Roman" w:cs="Times New Roman"/>
          <w:b/>
          <w:bCs/>
          <w:smallCaps/>
          <w:color w:val="000000"/>
          <w:sz w:val="36"/>
          <w:szCs w:val="36"/>
          <w:highlight w:val="lightGray"/>
          <w:lang w:eastAsia="lv-LV"/>
        </w:rPr>
      </w:pPr>
    </w:p>
    <w:p w14:paraId="68DD30A8" w14:textId="77777777" w:rsidR="00BF4753" w:rsidRPr="00085AFE" w:rsidRDefault="00BF4753" w:rsidP="0062512B">
      <w:pPr>
        <w:ind w:firstLine="0"/>
        <w:rPr>
          <w:highlight w:val="lightGray"/>
          <w:lang w:eastAsia="lv-LV"/>
        </w:rPr>
      </w:pPr>
    </w:p>
    <w:p w14:paraId="08A078E6" w14:textId="77777777" w:rsidR="00BF4753" w:rsidRPr="00AE2C3A" w:rsidRDefault="00BF4753" w:rsidP="00BF4753">
      <w:pPr>
        <w:pStyle w:val="Heading1"/>
        <w:rPr>
          <w:sz w:val="32"/>
          <w:szCs w:val="32"/>
        </w:rPr>
      </w:pPr>
      <w:bookmarkStart w:id="76" w:name="_Toc131331262"/>
      <w:r w:rsidRPr="00AE2C3A">
        <w:rPr>
          <w:sz w:val="32"/>
          <w:szCs w:val="32"/>
        </w:rPr>
        <w:t>Pielikumi</w:t>
      </w:r>
      <w:bookmarkEnd w:id="73"/>
      <w:bookmarkEnd w:id="74"/>
      <w:bookmarkEnd w:id="75"/>
      <w:bookmarkEnd w:id="76"/>
    </w:p>
    <w:p w14:paraId="0F4AB732" w14:textId="77777777" w:rsidR="00BF4753" w:rsidRPr="00085AFE" w:rsidRDefault="00BF4753" w:rsidP="00BF4753">
      <w:pPr>
        <w:rPr>
          <w:highlight w:val="lightGray"/>
          <w:lang w:eastAsia="lv-LV"/>
        </w:rPr>
      </w:pPr>
    </w:p>
    <w:p w14:paraId="4062B003" w14:textId="77777777" w:rsidR="00BF4753" w:rsidRPr="00085AFE" w:rsidRDefault="00BF4753" w:rsidP="00BF4753">
      <w:pPr>
        <w:rPr>
          <w:highlight w:val="lightGray"/>
          <w:lang w:eastAsia="lv-LV"/>
        </w:rPr>
      </w:pPr>
    </w:p>
    <w:p w14:paraId="25073B6F" w14:textId="77777777" w:rsidR="00BF4753" w:rsidRPr="00085AFE" w:rsidRDefault="00BF4753" w:rsidP="00BF4753">
      <w:pPr>
        <w:rPr>
          <w:highlight w:val="lightGray"/>
          <w:lang w:eastAsia="lv-LV"/>
        </w:rPr>
      </w:pPr>
    </w:p>
    <w:p w14:paraId="217FCAB9" w14:textId="77777777" w:rsidR="00BF4753" w:rsidRPr="00085AFE" w:rsidRDefault="00BF4753" w:rsidP="00BF4753">
      <w:pPr>
        <w:rPr>
          <w:highlight w:val="lightGray"/>
          <w:lang w:eastAsia="lv-LV"/>
        </w:rPr>
      </w:pPr>
    </w:p>
    <w:p w14:paraId="3E90D3EE" w14:textId="77777777" w:rsidR="00BF4753" w:rsidRPr="00085AFE" w:rsidRDefault="00BF4753" w:rsidP="00BF4753">
      <w:pPr>
        <w:rPr>
          <w:highlight w:val="lightGray"/>
          <w:lang w:eastAsia="lv-LV"/>
        </w:rPr>
      </w:pPr>
    </w:p>
    <w:p w14:paraId="551F1831" w14:textId="77777777" w:rsidR="00BF4753" w:rsidRPr="00085AFE" w:rsidRDefault="00BF4753" w:rsidP="00BF4753">
      <w:pPr>
        <w:rPr>
          <w:highlight w:val="lightGray"/>
          <w:lang w:eastAsia="lv-LV"/>
        </w:rPr>
      </w:pPr>
    </w:p>
    <w:p w14:paraId="24EFFBA0" w14:textId="71A18AF6" w:rsidR="00BF4753" w:rsidRPr="00085AFE" w:rsidRDefault="00BF4753" w:rsidP="00BF4753">
      <w:pPr>
        <w:rPr>
          <w:highlight w:val="lightGray"/>
          <w:lang w:eastAsia="lv-LV"/>
        </w:rPr>
      </w:pPr>
    </w:p>
    <w:p w14:paraId="5D5CF348" w14:textId="51EDEAFF" w:rsidR="00002184" w:rsidRPr="00085AFE" w:rsidRDefault="00002184" w:rsidP="00BF4753">
      <w:pPr>
        <w:rPr>
          <w:highlight w:val="lightGray"/>
          <w:lang w:eastAsia="lv-LV"/>
        </w:rPr>
      </w:pPr>
    </w:p>
    <w:p w14:paraId="2F5D0A4F" w14:textId="1F615217" w:rsidR="00002184" w:rsidRPr="00085AFE" w:rsidRDefault="00002184" w:rsidP="00BF4753">
      <w:pPr>
        <w:rPr>
          <w:highlight w:val="lightGray"/>
          <w:lang w:eastAsia="lv-LV"/>
        </w:rPr>
      </w:pPr>
    </w:p>
    <w:p w14:paraId="73970A94" w14:textId="047DC1E3" w:rsidR="00002184" w:rsidRPr="00085AFE" w:rsidRDefault="00002184" w:rsidP="00BF4753">
      <w:pPr>
        <w:rPr>
          <w:highlight w:val="lightGray"/>
          <w:lang w:eastAsia="lv-LV"/>
        </w:rPr>
      </w:pPr>
    </w:p>
    <w:p w14:paraId="6783C727" w14:textId="457C0B05" w:rsidR="00002184" w:rsidRPr="00085AFE" w:rsidRDefault="00002184" w:rsidP="00BF4753">
      <w:pPr>
        <w:rPr>
          <w:highlight w:val="lightGray"/>
          <w:lang w:eastAsia="lv-LV"/>
        </w:rPr>
      </w:pPr>
    </w:p>
    <w:p w14:paraId="42BF8F37" w14:textId="77777777" w:rsidR="00002184" w:rsidRPr="00085AFE" w:rsidRDefault="00002184" w:rsidP="00BF4753">
      <w:pPr>
        <w:rPr>
          <w:highlight w:val="lightGray"/>
          <w:lang w:eastAsia="lv-LV"/>
        </w:rPr>
      </w:pPr>
    </w:p>
    <w:p w14:paraId="2594EB37" w14:textId="77777777" w:rsidR="00BF4753" w:rsidRPr="00085AFE" w:rsidRDefault="00BF4753" w:rsidP="00BF4753">
      <w:pPr>
        <w:rPr>
          <w:highlight w:val="lightGray"/>
          <w:lang w:eastAsia="lv-LV"/>
        </w:rPr>
      </w:pPr>
    </w:p>
    <w:p w14:paraId="5D105866" w14:textId="77777777" w:rsidR="00BF4753" w:rsidRPr="00085AFE" w:rsidRDefault="00BF4753" w:rsidP="00BF4753">
      <w:pPr>
        <w:rPr>
          <w:highlight w:val="lightGray"/>
          <w:lang w:eastAsia="lv-LV"/>
        </w:rPr>
      </w:pPr>
    </w:p>
    <w:p w14:paraId="571C1C77" w14:textId="22F7DCA4" w:rsidR="00BF4753" w:rsidRPr="00085AFE" w:rsidRDefault="00BF4753" w:rsidP="00BF4753">
      <w:pPr>
        <w:rPr>
          <w:highlight w:val="lightGray"/>
          <w:lang w:eastAsia="lv-LV"/>
        </w:rPr>
      </w:pPr>
    </w:p>
    <w:p w14:paraId="19D837B4" w14:textId="16DDA9BE" w:rsidR="0062512B" w:rsidRPr="00085AFE" w:rsidRDefault="0062512B" w:rsidP="00BF4753">
      <w:pPr>
        <w:rPr>
          <w:highlight w:val="lightGray"/>
          <w:lang w:eastAsia="lv-LV"/>
        </w:rPr>
      </w:pPr>
    </w:p>
    <w:p w14:paraId="50C59E16" w14:textId="77777777" w:rsidR="0062512B" w:rsidRPr="00085AFE" w:rsidRDefault="0062512B" w:rsidP="00BF4753">
      <w:pPr>
        <w:rPr>
          <w:highlight w:val="lightGray"/>
          <w:lang w:eastAsia="lv-LV"/>
        </w:rPr>
      </w:pPr>
    </w:p>
    <w:p w14:paraId="6C7CF225" w14:textId="197C25D9" w:rsidR="00BF4753" w:rsidRPr="00085AFE" w:rsidRDefault="00BF4753" w:rsidP="00BF4753">
      <w:pPr>
        <w:rPr>
          <w:highlight w:val="lightGray"/>
          <w:lang w:eastAsia="lv-LV"/>
        </w:rPr>
      </w:pPr>
    </w:p>
    <w:p w14:paraId="3FFDC25B" w14:textId="77777777" w:rsidR="001138C5" w:rsidRDefault="001138C5">
      <w:pPr>
        <w:spacing w:after="160" w:line="259" w:lineRule="auto"/>
        <w:ind w:firstLine="0"/>
        <w:jc w:val="left"/>
        <w:rPr>
          <w:rFonts w:eastAsia="Times New Roman" w:cs="Times New Roman"/>
          <w:b/>
          <w:color w:val="000000"/>
          <w:sz w:val="24"/>
          <w:szCs w:val="20"/>
          <w:highlight w:val="lightGray"/>
        </w:rPr>
      </w:pPr>
      <w:r>
        <w:rPr>
          <w:rFonts w:eastAsia="Times New Roman" w:cs="Times New Roman"/>
          <w:b/>
          <w:color w:val="000000"/>
          <w:sz w:val="24"/>
          <w:szCs w:val="20"/>
          <w:highlight w:val="lightGray"/>
        </w:rPr>
        <w:br w:type="page"/>
      </w:r>
    </w:p>
    <w:p w14:paraId="6B7A4C29" w14:textId="0FB08A0D" w:rsidR="00281D96" w:rsidRPr="00E70C16" w:rsidRDefault="00281D96" w:rsidP="00281D96">
      <w:pPr>
        <w:keepNext/>
        <w:spacing w:before="360" w:after="120"/>
        <w:ind w:firstLine="0"/>
        <w:jc w:val="left"/>
        <w:rPr>
          <w:rFonts w:eastAsia="Times New Roman" w:cs="Times New Roman"/>
          <w:b/>
          <w:color w:val="000000"/>
          <w:sz w:val="24"/>
          <w:szCs w:val="20"/>
        </w:rPr>
      </w:pPr>
      <w:r w:rsidRPr="00E70C16">
        <w:rPr>
          <w:rFonts w:eastAsia="Times New Roman" w:cs="Times New Roman"/>
          <w:b/>
          <w:color w:val="000000"/>
          <w:sz w:val="24"/>
          <w:szCs w:val="20"/>
        </w:rPr>
        <w:lastRenderedPageBreak/>
        <w:t>1a. tabula. Izaugsme un ar to saistītie faktori</w:t>
      </w:r>
      <w:r w:rsidR="00001558">
        <w:rPr>
          <w:rFonts w:eastAsia="Times New Roman" w:cs="Times New Roman"/>
          <w:b/>
          <w:color w:val="000000"/>
          <w:sz w:val="24"/>
          <w:szCs w:val="20"/>
          <w:vertAlign w:val="superscript"/>
        </w:rPr>
        <w:t>*</w:t>
      </w:r>
    </w:p>
    <w:tbl>
      <w:tblPr>
        <w:tblW w:w="8354" w:type="dxa"/>
        <w:jc w:val="center"/>
        <w:tblLayout w:type="fixed"/>
        <w:tblLook w:val="04A0" w:firstRow="1" w:lastRow="0" w:firstColumn="1" w:lastColumn="0" w:noHBand="0" w:noVBand="1"/>
      </w:tblPr>
      <w:tblGrid>
        <w:gridCol w:w="2739"/>
        <w:gridCol w:w="992"/>
        <w:gridCol w:w="795"/>
        <w:gridCol w:w="765"/>
        <w:gridCol w:w="766"/>
        <w:gridCol w:w="765"/>
        <w:gridCol w:w="766"/>
        <w:gridCol w:w="766"/>
      </w:tblGrid>
      <w:tr w:rsidR="00281D96" w:rsidRPr="00E70C16" w14:paraId="3CAD355E" w14:textId="77777777" w:rsidTr="00E54B38">
        <w:trPr>
          <w:trHeight w:val="315"/>
          <w:jc w:val="center"/>
        </w:trPr>
        <w:tc>
          <w:tcPr>
            <w:tcW w:w="2739" w:type="dxa"/>
            <w:vMerge w:val="restart"/>
            <w:tcBorders>
              <w:top w:val="single" w:sz="8" w:space="0" w:color="9CC2E5"/>
              <w:left w:val="single" w:sz="8" w:space="0" w:color="9CC2E5"/>
              <w:bottom w:val="single" w:sz="8" w:space="0" w:color="9CC2E5"/>
              <w:right w:val="single" w:sz="8" w:space="0" w:color="9CC2E5"/>
            </w:tcBorders>
            <w:shd w:val="clear" w:color="auto" w:fill="auto"/>
            <w:vAlign w:val="center"/>
            <w:hideMark/>
          </w:tcPr>
          <w:p w14:paraId="4DC8A7EC" w14:textId="77777777" w:rsidR="00281D96" w:rsidRPr="00E70C16" w:rsidRDefault="00281D96" w:rsidP="00277007">
            <w:pPr>
              <w:ind w:firstLine="0"/>
              <w:jc w:val="left"/>
              <w:rPr>
                <w:rFonts w:eastAsia="Times New Roman" w:cs="Times New Roman"/>
                <w:sz w:val="18"/>
                <w:szCs w:val="18"/>
                <w:lang w:eastAsia="lv-LV"/>
              </w:rPr>
            </w:pPr>
            <w:r w:rsidRPr="00E70C16">
              <w:rPr>
                <w:rFonts w:eastAsia="Times New Roman" w:cs="Times New Roman"/>
                <w:sz w:val="18"/>
                <w:szCs w:val="18"/>
                <w:lang w:eastAsia="lv-LV"/>
              </w:rPr>
              <w:t> </w:t>
            </w:r>
          </w:p>
        </w:tc>
        <w:tc>
          <w:tcPr>
            <w:tcW w:w="992" w:type="dxa"/>
            <w:vMerge w:val="restart"/>
            <w:tcBorders>
              <w:top w:val="single" w:sz="8" w:space="0" w:color="9CC2E5"/>
              <w:left w:val="single" w:sz="8" w:space="0" w:color="9CC2E5"/>
              <w:bottom w:val="single" w:sz="8" w:space="0" w:color="9CC2E5"/>
              <w:right w:val="single" w:sz="8" w:space="0" w:color="9CC2E5"/>
            </w:tcBorders>
            <w:shd w:val="clear" w:color="auto" w:fill="auto"/>
            <w:noWrap/>
            <w:vAlign w:val="center"/>
            <w:hideMark/>
          </w:tcPr>
          <w:p w14:paraId="25DED949" w14:textId="77777777" w:rsidR="00281D96" w:rsidRPr="00E70C16" w:rsidRDefault="00281D96" w:rsidP="00277007">
            <w:pPr>
              <w:ind w:firstLine="0"/>
              <w:jc w:val="center"/>
              <w:rPr>
                <w:rFonts w:eastAsia="Times New Roman" w:cs="Times New Roman"/>
                <w:b/>
                <w:bCs/>
                <w:sz w:val="18"/>
                <w:szCs w:val="18"/>
                <w:lang w:eastAsia="lv-LV"/>
              </w:rPr>
            </w:pPr>
            <w:r w:rsidRPr="00E70C16">
              <w:rPr>
                <w:rFonts w:eastAsia="Times New Roman" w:cs="Times New Roman"/>
                <w:b/>
                <w:bCs/>
                <w:sz w:val="18"/>
                <w:szCs w:val="18"/>
                <w:lang w:eastAsia="lv-LV"/>
              </w:rPr>
              <w:t>EKS kods</w:t>
            </w:r>
          </w:p>
        </w:tc>
        <w:tc>
          <w:tcPr>
            <w:tcW w:w="795" w:type="dxa"/>
            <w:tcBorders>
              <w:top w:val="single" w:sz="8" w:space="0" w:color="9CC2E5"/>
              <w:left w:val="nil"/>
              <w:bottom w:val="single" w:sz="12" w:space="0" w:color="9CC2E5"/>
              <w:right w:val="single" w:sz="8" w:space="0" w:color="9CC2E5"/>
            </w:tcBorders>
            <w:shd w:val="clear" w:color="auto" w:fill="auto"/>
            <w:noWrap/>
            <w:vAlign w:val="center"/>
            <w:hideMark/>
          </w:tcPr>
          <w:p w14:paraId="7142831C" w14:textId="77777777" w:rsidR="00281D96" w:rsidRPr="00E70C16" w:rsidRDefault="00281D96" w:rsidP="00277007">
            <w:pPr>
              <w:ind w:firstLine="0"/>
              <w:jc w:val="center"/>
              <w:rPr>
                <w:rFonts w:eastAsia="Times New Roman" w:cs="Times New Roman"/>
                <w:b/>
                <w:bCs/>
                <w:sz w:val="18"/>
                <w:szCs w:val="18"/>
                <w:lang w:eastAsia="lv-LV"/>
              </w:rPr>
            </w:pPr>
            <w:r w:rsidRPr="00E70C16">
              <w:rPr>
                <w:b/>
                <w:bCs/>
                <w:sz w:val="18"/>
                <w:szCs w:val="18"/>
              </w:rPr>
              <w:t>2022</w:t>
            </w:r>
          </w:p>
        </w:tc>
        <w:tc>
          <w:tcPr>
            <w:tcW w:w="765" w:type="dxa"/>
            <w:tcBorders>
              <w:top w:val="single" w:sz="8" w:space="0" w:color="9CC2E5"/>
              <w:left w:val="nil"/>
              <w:bottom w:val="single" w:sz="12" w:space="0" w:color="9CC2E5"/>
              <w:right w:val="single" w:sz="8" w:space="0" w:color="9CC2E5"/>
            </w:tcBorders>
            <w:shd w:val="clear" w:color="auto" w:fill="auto"/>
            <w:noWrap/>
            <w:vAlign w:val="center"/>
            <w:hideMark/>
          </w:tcPr>
          <w:p w14:paraId="1FACAEDA" w14:textId="77777777" w:rsidR="00281D96" w:rsidRPr="00E70C16" w:rsidRDefault="00281D96" w:rsidP="00277007">
            <w:pPr>
              <w:ind w:firstLine="0"/>
              <w:jc w:val="center"/>
              <w:rPr>
                <w:rFonts w:eastAsia="Times New Roman" w:cs="Times New Roman"/>
                <w:b/>
                <w:bCs/>
                <w:sz w:val="18"/>
                <w:szCs w:val="18"/>
                <w:lang w:eastAsia="lv-LV"/>
              </w:rPr>
            </w:pPr>
            <w:r w:rsidRPr="00E70C16">
              <w:rPr>
                <w:b/>
                <w:bCs/>
                <w:sz w:val="18"/>
                <w:szCs w:val="18"/>
              </w:rPr>
              <w:t>2022</w:t>
            </w:r>
          </w:p>
        </w:tc>
        <w:tc>
          <w:tcPr>
            <w:tcW w:w="766" w:type="dxa"/>
            <w:tcBorders>
              <w:top w:val="single" w:sz="8" w:space="0" w:color="9CC2E5"/>
              <w:left w:val="nil"/>
              <w:bottom w:val="single" w:sz="12" w:space="0" w:color="9CC2E5"/>
              <w:right w:val="single" w:sz="8" w:space="0" w:color="9CC2E5"/>
            </w:tcBorders>
            <w:shd w:val="clear" w:color="auto" w:fill="auto"/>
            <w:noWrap/>
            <w:vAlign w:val="center"/>
            <w:hideMark/>
          </w:tcPr>
          <w:p w14:paraId="3EBCA767" w14:textId="77777777" w:rsidR="00281D96" w:rsidRPr="00E70C16" w:rsidRDefault="00281D96" w:rsidP="00277007">
            <w:pPr>
              <w:ind w:firstLine="0"/>
              <w:jc w:val="center"/>
              <w:rPr>
                <w:rFonts w:eastAsia="Times New Roman" w:cs="Times New Roman"/>
                <w:b/>
                <w:bCs/>
                <w:sz w:val="18"/>
                <w:szCs w:val="18"/>
                <w:lang w:eastAsia="lv-LV"/>
              </w:rPr>
            </w:pPr>
            <w:r w:rsidRPr="00E70C16">
              <w:rPr>
                <w:b/>
                <w:bCs/>
                <w:sz w:val="18"/>
                <w:szCs w:val="18"/>
              </w:rPr>
              <w:t>2023</w:t>
            </w:r>
          </w:p>
        </w:tc>
        <w:tc>
          <w:tcPr>
            <w:tcW w:w="765" w:type="dxa"/>
            <w:tcBorders>
              <w:top w:val="single" w:sz="8" w:space="0" w:color="9CC2E5"/>
              <w:left w:val="nil"/>
              <w:bottom w:val="single" w:sz="12" w:space="0" w:color="9CC2E5"/>
              <w:right w:val="single" w:sz="8" w:space="0" w:color="9CC2E5"/>
            </w:tcBorders>
            <w:shd w:val="clear" w:color="auto" w:fill="auto"/>
            <w:noWrap/>
            <w:vAlign w:val="center"/>
            <w:hideMark/>
          </w:tcPr>
          <w:p w14:paraId="666EFBD3" w14:textId="77777777" w:rsidR="00281D96" w:rsidRPr="00E70C16" w:rsidRDefault="00281D96" w:rsidP="00277007">
            <w:pPr>
              <w:ind w:firstLine="0"/>
              <w:jc w:val="center"/>
              <w:rPr>
                <w:rFonts w:eastAsia="Times New Roman" w:cs="Times New Roman"/>
                <w:b/>
                <w:bCs/>
                <w:sz w:val="18"/>
                <w:szCs w:val="18"/>
                <w:lang w:eastAsia="lv-LV"/>
              </w:rPr>
            </w:pPr>
            <w:r w:rsidRPr="00E70C16">
              <w:rPr>
                <w:b/>
                <w:bCs/>
                <w:sz w:val="18"/>
                <w:szCs w:val="18"/>
              </w:rPr>
              <w:t>2024</w:t>
            </w:r>
          </w:p>
        </w:tc>
        <w:tc>
          <w:tcPr>
            <w:tcW w:w="766" w:type="dxa"/>
            <w:tcBorders>
              <w:top w:val="single" w:sz="8" w:space="0" w:color="9CC2E5"/>
              <w:left w:val="nil"/>
              <w:bottom w:val="single" w:sz="12" w:space="0" w:color="9CC2E5"/>
              <w:right w:val="single" w:sz="8" w:space="0" w:color="9CC2E5"/>
            </w:tcBorders>
            <w:shd w:val="clear" w:color="auto" w:fill="auto"/>
            <w:noWrap/>
            <w:vAlign w:val="center"/>
            <w:hideMark/>
          </w:tcPr>
          <w:p w14:paraId="4ABFAC96" w14:textId="77777777" w:rsidR="00281D96" w:rsidRPr="00E70C16" w:rsidRDefault="00281D96" w:rsidP="00277007">
            <w:pPr>
              <w:ind w:firstLine="0"/>
              <w:jc w:val="center"/>
              <w:rPr>
                <w:rFonts w:eastAsia="Times New Roman" w:cs="Times New Roman"/>
                <w:b/>
                <w:bCs/>
                <w:sz w:val="18"/>
                <w:szCs w:val="18"/>
                <w:lang w:eastAsia="lv-LV"/>
              </w:rPr>
            </w:pPr>
            <w:r w:rsidRPr="00E70C16">
              <w:rPr>
                <w:b/>
                <w:bCs/>
                <w:sz w:val="18"/>
                <w:szCs w:val="18"/>
              </w:rPr>
              <w:t>2025</w:t>
            </w:r>
          </w:p>
        </w:tc>
        <w:tc>
          <w:tcPr>
            <w:tcW w:w="766" w:type="dxa"/>
            <w:tcBorders>
              <w:top w:val="single" w:sz="8" w:space="0" w:color="9CC2E5"/>
              <w:left w:val="nil"/>
              <w:bottom w:val="single" w:sz="12" w:space="0" w:color="9CC2E5"/>
              <w:right w:val="single" w:sz="8" w:space="0" w:color="9CC2E5"/>
            </w:tcBorders>
            <w:shd w:val="clear" w:color="auto" w:fill="auto"/>
            <w:noWrap/>
            <w:vAlign w:val="center"/>
            <w:hideMark/>
          </w:tcPr>
          <w:p w14:paraId="364CD5A7" w14:textId="77777777" w:rsidR="00281D96" w:rsidRPr="00E70C16" w:rsidRDefault="00281D96" w:rsidP="00277007">
            <w:pPr>
              <w:ind w:firstLine="0"/>
              <w:jc w:val="center"/>
              <w:rPr>
                <w:rFonts w:eastAsia="Times New Roman" w:cs="Times New Roman"/>
                <w:b/>
                <w:bCs/>
                <w:sz w:val="18"/>
                <w:szCs w:val="18"/>
                <w:lang w:eastAsia="lv-LV"/>
              </w:rPr>
            </w:pPr>
            <w:r w:rsidRPr="00E70C16">
              <w:rPr>
                <w:b/>
                <w:bCs/>
                <w:sz w:val="18"/>
                <w:szCs w:val="18"/>
              </w:rPr>
              <w:t>2026</w:t>
            </w:r>
          </w:p>
        </w:tc>
      </w:tr>
      <w:tr w:rsidR="00281D96" w:rsidRPr="00E70C16" w14:paraId="7D82BB82" w14:textId="77777777" w:rsidTr="00E54B38">
        <w:trPr>
          <w:trHeight w:val="330"/>
          <w:jc w:val="center"/>
        </w:trPr>
        <w:tc>
          <w:tcPr>
            <w:tcW w:w="2739" w:type="dxa"/>
            <w:vMerge/>
            <w:tcBorders>
              <w:top w:val="single" w:sz="8" w:space="0" w:color="9CC2E5"/>
              <w:left w:val="single" w:sz="8" w:space="0" w:color="9CC2E5"/>
              <w:bottom w:val="single" w:sz="8" w:space="0" w:color="9CC2E5"/>
              <w:right w:val="single" w:sz="8" w:space="0" w:color="9CC2E5"/>
            </w:tcBorders>
            <w:vAlign w:val="center"/>
            <w:hideMark/>
          </w:tcPr>
          <w:p w14:paraId="5BE53ED9" w14:textId="77777777" w:rsidR="00281D96" w:rsidRPr="00E70C16" w:rsidRDefault="00281D96" w:rsidP="00277007">
            <w:pPr>
              <w:ind w:firstLine="0"/>
              <w:jc w:val="left"/>
              <w:rPr>
                <w:rFonts w:eastAsia="Times New Roman" w:cs="Times New Roman"/>
                <w:sz w:val="18"/>
                <w:szCs w:val="18"/>
                <w:lang w:eastAsia="lv-LV"/>
              </w:rPr>
            </w:pPr>
          </w:p>
        </w:tc>
        <w:tc>
          <w:tcPr>
            <w:tcW w:w="992" w:type="dxa"/>
            <w:vMerge/>
            <w:tcBorders>
              <w:top w:val="single" w:sz="8" w:space="0" w:color="9CC2E5"/>
              <w:left w:val="single" w:sz="8" w:space="0" w:color="9CC2E5"/>
              <w:bottom w:val="single" w:sz="8" w:space="0" w:color="9CC2E5"/>
              <w:right w:val="single" w:sz="8" w:space="0" w:color="9CC2E5"/>
            </w:tcBorders>
            <w:vAlign w:val="center"/>
            <w:hideMark/>
          </w:tcPr>
          <w:p w14:paraId="04A8F3A9" w14:textId="77777777" w:rsidR="00281D96" w:rsidRPr="00E70C16" w:rsidRDefault="00281D96" w:rsidP="00277007">
            <w:pPr>
              <w:ind w:firstLine="0"/>
              <w:jc w:val="left"/>
              <w:rPr>
                <w:rFonts w:eastAsia="Times New Roman" w:cs="Times New Roman"/>
                <w:b/>
                <w:bCs/>
                <w:sz w:val="18"/>
                <w:szCs w:val="18"/>
                <w:lang w:eastAsia="lv-LV"/>
              </w:rPr>
            </w:pPr>
          </w:p>
        </w:tc>
        <w:tc>
          <w:tcPr>
            <w:tcW w:w="795" w:type="dxa"/>
            <w:tcBorders>
              <w:top w:val="nil"/>
              <w:left w:val="nil"/>
              <w:bottom w:val="single" w:sz="8" w:space="0" w:color="9CC2E5"/>
              <w:right w:val="single" w:sz="8" w:space="0" w:color="9CC2E5"/>
            </w:tcBorders>
            <w:shd w:val="clear" w:color="000000" w:fill="DEEAF6"/>
            <w:noWrap/>
            <w:vAlign w:val="center"/>
            <w:hideMark/>
          </w:tcPr>
          <w:p w14:paraId="6098524A" w14:textId="77777777" w:rsidR="00281D96" w:rsidRPr="00E70C16" w:rsidRDefault="00281D96" w:rsidP="00277007">
            <w:pPr>
              <w:ind w:firstLine="0"/>
              <w:jc w:val="center"/>
              <w:rPr>
                <w:rFonts w:eastAsia="Times New Roman" w:cs="Times New Roman"/>
                <w:sz w:val="18"/>
                <w:szCs w:val="18"/>
                <w:lang w:eastAsia="lv-LV"/>
              </w:rPr>
            </w:pPr>
            <w:r w:rsidRPr="00E70C16">
              <w:rPr>
                <w:rFonts w:eastAsia="Times New Roman" w:cs="Times New Roman"/>
                <w:sz w:val="18"/>
                <w:szCs w:val="18"/>
                <w:lang w:eastAsia="lv-LV"/>
              </w:rPr>
              <w:t xml:space="preserve">milj. </w:t>
            </w:r>
            <w:proofErr w:type="spellStart"/>
            <w:r w:rsidRPr="00E70C16">
              <w:rPr>
                <w:rFonts w:eastAsia="Times New Roman" w:cs="Times New Roman"/>
                <w:i/>
                <w:iCs/>
                <w:sz w:val="18"/>
                <w:szCs w:val="18"/>
                <w:lang w:eastAsia="lv-LV"/>
              </w:rPr>
              <w:t>euro</w:t>
            </w:r>
            <w:proofErr w:type="spellEnd"/>
          </w:p>
        </w:tc>
        <w:tc>
          <w:tcPr>
            <w:tcW w:w="3828" w:type="dxa"/>
            <w:gridSpan w:val="5"/>
            <w:tcBorders>
              <w:top w:val="single" w:sz="12" w:space="0" w:color="9CC2E5"/>
              <w:left w:val="nil"/>
              <w:bottom w:val="single" w:sz="8" w:space="0" w:color="9CC2E5"/>
              <w:right w:val="single" w:sz="8" w:space="0" w:color="9CC2E5"/>
            </w:tcBorders>
            <w:shd w:val="clear" w:color="000000" w:fill="DEEAF6"/>
            <w:vAlign w:val="center"/>
            <w:hideMark/>
          </w:tcPr>
          <w:p w14:paraId="4E99CE0E" w14:textId="77777777" w:rsidR="00281D96" w:rsidRPr="00E70C16" w:rsidRDefault="00281D96" w:rsidP="00277007">
            <w:pPr>
              <w:ind w:firstLine="0"/>
              <w:jc w:val="center"/>
              <w:rPr>
                <w:rFonts w:eastAsia="Times New Roman" w:cs="Times New Roman"/>
                <w:sz w:val="18"/>
                <w:szCs w:val="18"/>
                <w:lang w:eastAsia="lv-LV"/>
              </w:rPr>
            </w:pPr>
            <w:r w:rsidRPr="00E70C16">
              <w:rPr>
                <w:rFonts w:eastAsia="Times New Roman" w:cs="Times New Roman"/>
                <w:sz w:val="18"/>
                <w:szCs w:val="18"/>
                <w:lang w:eastAsia="lv-LV"/>
              </w:rPr>
              <w:t>Pieaugums %</w:t>
            </w:r>
          </w:p>
        </w:tc>
      </w:tr>
      <w:tr w:rsidR="00281D96" w:rsidRPr="00E70C16" w14:paraId="6F95DC38" w14:textId="77777777" w:rsidTr="00E54B38">
        <w:trPr>
          <w:trHeight w:val="315"/>
          <w:jc w:val="center"/>
        </w:trPr>
        <w:tc>
          <w:tcPr>
            <w:tcW w:w="2739" w:type="dxa"/>
            <w:tcBorders>
              <w:top w:val="nil"/>
              <w:left w:val="single" w:sz="8" w:space="0" w:color="9CC2E5"/>
              <w:bottom w:val="single" w:sz="8" w:space="0" w:color="9CC2E5"/>
              <w:right w:val="single" w:sz="8" w:space="0" w:color="9CC2E5"/>
            </w:tcBorders>
            <w:shd w:val="clear" w:color="auto" w:fill="auto"/>
            <w:vAlign w:val="center"/>
            <w:hideMark/>
          </w:tcPr>
          <w:p w14:paraId="1B6074EC" w14:textId="77777777" w:rsidR="00281D96" w:rsidRPr="00E70C16" w:rsidRDefault="00281D96" w:rsidP="00277007">
            <w:pPr>
              <w:ind w:firstLine="0"/>
              <w:jc w:val="left"/>
              <w:rPr>
                <w:rFonts w:eastAsia="Times New Roman" w:cs="Times New Roman"/>
                <w:sz w:val="18"/>
                <w:szCs w:val="18"/>
                <w:lang w:eastAsia="lv-LV"/>
              </w:rPr>
            </w:pPr>
            <w:r w:rsidRPr="00E70C16">
              <w:rPr>
                <w:rFonts w:eastAsia="Times New Roman" w:cs="Times New Roman"/>
                <w:sz w:val="18"/>
                <w:szCs w:val="18"/>
                <w:lang w:eastAsia="lv-LV"/>
              </w:rPr>
              <w:t>1. IKP 2015.gada cenās</w:t>
            </w:r>
          </w:p>
        </w:tc>
        <w:tc>
          <w:tcPr>
            <w:tcW w:w="992" w:type="dxa"/>
            <w:tcBorders>
              <w:top w:val="nil"/>
              <w:left w:val="nil"/>
              <w:bottom w:val="single" w:sz="8" w:space="0" w:color="9CC2E5"/>
              <w:right w:val="single" w:sz="8" w:space="0" w:color="9CC2E5"/>
            </w:tcBorders>
            <w:shd w:val="clear" w:color="auto" w:fill="auto"/>
            <w:noWrap/>
            <w:vAlign w:val="center"/>
            <w:hideMark/>
          </w:tcPr>
          <w:p w14:paraId="5E723D9A" w14:textId="6EBDB458" w:rsidR="00281D96" w:rsidRPr="00E70C16" w:rsidRDefault="00281D96" w:rsidP="00277007">
            <w:pPr>
              <w:ind w:firstLine="0"/>
              <w:jc w:val="center"/>
              <w:rPr>
                <w:rFonts w:eastAsia="Times New Roman" w:cs="Times New Roman"/>
                <w:sz w:val="18"/>
                <w:szCs w:val="18"/>
                <w:lang w:eastAsia="lv-LV"/>
              </w:rPr>
            </w:pPr>
            <w:r w:rsidRPr="00E70C16">
              <w:rPr>
                <w:rFonts w:eastAsia="Times New Roman" w:cs="Times New Roman"/>
                <w:sz w:val="18"/>
                <w:szCs w:val="18"/>
                <w:lang w:eastAsia="lv-LV"/>
              </w:rPr>
              <w:t>B1g</w:t>
            </w:r>
          </w:p>
        </w:tc>
        <w:tc>
          <w:tcPr>
            <w:tcW w:w="795" w:type="dxa"/>
            <w:tcBorders>
              <w:top w:val="nil"/>
              <w:left w:val="nil"/>
              <w:bottom w:val="single" w:sz="8" w:space="0" w:color="9CC2E5"/>
              <w:right w:val="single" w:sz="8" w:space="0" w:color="9CC2E5"/>
            </w:tcBorders>
            <w:shd w:val="clear" w:color="auto" w:fill="auto"/>
            <w:noWrap/>
            <w:vAlign w:val="center"/>
            <w:hideMark/>
          </w:tcPr>
          <w:p w14:paraId="5FB21BCE" w14:textId="77777777" w:rsidR="00281D96" w:rsidRPr="00E70C16" w:rsidRDefault="00281D96" w:rsidP="00277007">
            <w:pPr>
              <w:ind w:firstLine="0"/>
              <w:jc w:val="center"/>
              <w:rPr>
                <w:rFonts w:eastAsia="Times New Roman" w:cs="Times New Roman"/>
                <w:color w:val="000000"/>
                <w:sz w:val="18"/>
                <w:szCs w:val="18"/>
              </w:rPr>
            </w:pPr>
            <w:r w:rsidRPr="00E70C16">
              <w:rPr>
                <w:rFonts w:cs="Times New Roman"/>
                <w:color w:val="000000"/>
                <w:sz w:val="18"/>
                <w:szCs w:val="18"/>
              </w:rPr>
              <w:t>28 768</w:t>
            </w:r>
          </w:p>
        </w:tc>
        <w:tc>
          <w:tcPr>
            <w:tcW w:w="765" w:type="dxa"/>
            <w:tcBorders>
              <w:top w:val="nil"/>
              <w:left w:val="nil"/>
              <w:bottom w:val="single" w:sz="8" w:space="0" w:color="9CC2E5"/>
              <w:right w:val="single" w:sz="8" w:space="0" w:color="9CC2E5"/>
            </w:tcBorders>
            <w:shd w:val="clear" w:color="auto" w:fill="auto"/>
            <w:noWrap/>
            <w:vAlign w:val="center"/>
            <w:hideMark/>
          </w:tcPr>
          <w:p w14:paraId="4EE18607"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2,0</w:t>
            </w:r>
          </w:p>
        </w:tc>
        <w:tc>
          <w:tcPr>
            <w:tcW w:w="766" w:type="dxa"/>
            <w:tcBorders>
              <w:top w:val="nil"/>
              <w:left w:val="nil"/>
              <w:bottom w:val="single" w:sz="8" w:space="0" w:color="9CC2E5"/>
              <w:right w:val="single" w:sz="8" w:space="0" w:color="9CC2E5"/>
            </w:tcBorders>
            <w:shd w:val="clear" w:color="auto" w:fill="auto"/>
            <w:noWrap/>
            <w:vAlign w:val="center"/>
            <w:hideMark/>
          </w:tcPr>
          <w:p w14:paraId="3CDF8C5D"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0,0</w:t>
            </w:r>
          </w:p>
        </w:tc>
        <w:tc>
          <w:tcPr>
            <w:tcW w:w="765" w:type="dxa"/>
            <w:tcBorders>
              <w:top w:val="nil"/>
              <w:left w:val="nil"/>
              <w:bottom w:val="single" w:sz="8" w:space="0" w:color="9CC2E5"/>
              <w:right w:val="single" w:sz="8" w:space="0" w:color="9CC2E5"/>
            </w:tcBorders>
            <w:shd w:val="clear" w:color="auto" w:fill="auto"/>
            <w:noWrap/>
            <w:vAlign w:val="center"/>
            <w:hideMark/>
          </w:tcPr>
          <w:p w14:paraId="6718B31C"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2,0</w:t>
            </w:r>
          </w:p>
        </w:tc>
        <w:tc>
          <w:tcPr>
            <w:tcW w:w="766" w:type="dxa"/>
            <w:tcBorders>
              <w:top w:val="nil"/>
              <w:left w:val="nil"/>
              <w:bottom w:val="single" w:sz="8" w:space="0" w:color="9CC2E5"/>
              <w:right w:val="single" w:sz="8" w:space="0" w:color="9CC2E5"/>
            </w:tcBorders>
            <w:shd w:val="clear" w:color="auto" w:fill="auto"/>
            <w:noWrap/>
            <w:vAlign w:val="center"/>
            <w:hideMark/>
          </w:tcPr>
          <w:p w14:paraId="399C2585"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2,9</w:t>
            </w:r>
          </w:p>
        </w:tc>
        <w:tc>
          <w:tcPr>
            <w:tcW w:w="766" w:type="dxa"/>
            <w:tcBorders>
              <w:top w:val="nil"/>
              <w:left w:val="nil"/>
              <w:bottom w:val="single" w:sz="8" w:space="0" w:color="9CC2E5"/>
              <w:right w:val="single" w:sz="8" w:space="0" w:color="9CC2E5"/>
            </w:tcBorders>
            <w:shd w:val="clear" w:color="auto" w:fill="auto"/>
            <w:noWrap/>
            <w:vAlign w:val="center"/>
            <w:hideMark/>
          </w:tcPr>
          <w:p w14:paraId="36582BD2"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2,8</w:t>
            </w:r>
          </w:p>
        </w:tc>
      </w:tr>
      <w:tr w:rsidR="00281D96" w:rsidRPr="00E70C16" w14:paraId="762F7E12" w14:textId="77777777" w:rsidTr="00E54B38">
        <w:trPr>
          <w:trHeight w:val="315"/>
          <w:jc w:val="center"/>
        </w:trPr>
        <w:tc>
          <w:tcPr>
            <w:tcW w:w="2739" w:type="dxa"/>
            <w:tcBorders>
              <w:top w:val="nil"/>
              <w:left w:val="single" w:sz="8" w:space="0" w:color="9CC2E5"/>
              <w:bottom w:val="single" w:sz="8" w:space="0" w:color="9CC2E5"/>
              <w:right w:val="single" w:sz="8" w:space="0" w:color="9CC2E5"/>
            </w:tcBorders>
            <w:shd w:val="clear" w:color="000000" w:fill="DEEAF6"/>
            <w:vAlign w:val="center"/>
            <w:hideMark/>
          </w:tcPr>
          <w:p w14:paraId="632E54BD" w14:textId="77777777" w:rsidR="00281D96" w:rsidRPr="00E70C16" w:rsidRDefault="00281D96" w:rsidP="00277007">
            <w:pPr>
              <w:ind w:firstLine="0"/>
              <w:jc w:val="left"/>
              <w:rPr>
                <w:rFonts w:eastAsia="Times New Roman" w:cs="Times New Roman"/>
                <w:sz w:val="18"/>
                <w:szCs w:val="18"/>
                <w:lang w:eastAsia="lv-LV"/>
              </w:rPr>
            </w:pPr>
            <w:r w:rsidRPr="00E70C16">
              <w:rPr>
                <w:rFonts w:eastAsia="Times New Roman" w:cs="Times New Roman"/>
                <w:sz w:val="18"/>
                <w:szCs w:val="18"/>
                <w:lang w:eastAsia="lv-LV"/>
              </w:rPr>
              <w:t>2. IKP faktiskajās cenās</w:t>
            </w:r>
          </w:p>
        </w:tc>
        <w:tc>
          <w:tcPr>
            <w:tcW w:w="992" w:type="dxa"/>
            <w:tcBorders>
              <w:top w:val="nil"/>
              <w:left w:val="nil"/>
              <w:bottom w:val="single" w:sz="8" w:space="0" w:color="9CC2E5"/>
              <w:right w:val="single" w:sz="8" w:space="0" w:color="9CC2E5"/>
            </w:tcBorders>
            <w:shd w:val="clear" w:color="000000" w:fill="DEEAF6"/>
            <w:noWrap/>
            <w:vAlign w:val="center"/>
            <w:hideMark/>
          </w:tcPr>
          <w:p w14:paraId="0375D55E" w14:textId="5E3F750D" w:rsidR="00281D96" w:rsidRPr="00E70C16" w:rsidRDefault="00281D96" w:rsidP="00277007">
            <w:pPr>
              <w:ind w:firstLine="0"/>
              <w:jc w:val="center"/>
              <w:rPr>
                <w:rFonts w:eastAsia="Times New Roman" w:cs="Times New Roman"/>
                <w:sz w:val="18"/>
                <w:szCs w:val="18"/>
                <w:lang w:eastAsia="lv-LV"/>
              </w:rPr>
            </w:pPr>
            <w:r w:rsidRPr="00E70C16">
              <w:rPr>
                <w:rFonts w:eastAsia="Times New Roman" w:cs="Times New Roman"/>
                <w:sz w:val="18"/>
                <w:szCs w:val="18"/>
                <w:lang w:eastAsia="lv-LV"/>
              </w:rPr>
              <w:t>B1g</w:t>
            </w:r>
          </w:p>
        </w:tc>
        <w:tc>
          <w:tcPr>
            <w:tcW w:w="795" w:type="dxa"/>
            <w:tcBorders>
              <w:top w:val="nil"/>
              <w:left w:val="nil"/>
              <w:bottom w:val="single" w:sz="8" w:space="0" w:color="9CC2E5"/>
              <w:right w:val="single" w:sz="8" w:space="0" w:color="9CC2E5"/>
            </w:tcBorders>
            <w:shd w:val="clear" w:color="000000" w:fill="DEEAF6"/>
            <w:noWrap/>
            <w:vAlign w:val="center"/>
            <w:hideMark/>
          </w:tcPr>
          <w:p w14:paraId="5A87308B"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39 081</w:t>
            </w:r>
          </w:p>
        </w:tc>
        <w:tc>
          <w:tcPr>
            <w:tcW w:w="765" w:type="dxa"/>
            <w:tcBorders>
              <w:top w:val="nil"/>
              <w:left w:val="nil"/>
              <w:bottom w:val="single" w:sz="8" w:space="0" w:color="9CC2E5"/>
              <w:right w:val="single" w:sz="8" w:space="0" w:color="9CC2E5"/>
            </w:tcBorders>
            <w:shd w:val="clear" w:color="000000" w:fill="DEEAF6"/>
            <w:noWrap/>
            <w:vAlign w:val="center"/>
            <w:hideMark/>
          </w:tcPr>
          <w:p w14:paraId="0F5E2395"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16,4</w:t>
            </w:r>
          </w:p>
        </w:tc>
        <w:tc>
          <w:tcPr>
            <w:tcW w:w="766" w:type="dxa"/>
            <w:tcBorders>
              <w:top w:val="nil"/>
              <w:left w:val="nil"/>
              <w:bottom w:val="single" w:sz="8" w:space="0" w:color="9CC2E5"/>
              <w:right w:val="single" w:sz="8" w:space="0" w:color="9CC2E5"/>
            </w:tcBorders>
            <w:shd w:val="clear" w:color="000000" w:fill="DEEAF6"/>
            <w:noWrap/>
            <w:vAlign w:val="center"/>
            <w:hideMark/>
          </w:tcPr>
          <w:p w14:paraId="2987D1DD"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11,7</w:t>
            </w:r>
          </w:p>
        </w:tc>
        <w:tc>
          <w:tcPr>
            <w:tcW w:w="765" w:type="dxa"/>
            <w:tcBorders>
              <w:top w:val="nil"/>
              <w:left w:val="nil"/>
              <w:bottom w:val="single" w:sz="8" w:space="0" w:color="9CC2E5"/>
              <w:right w:val="single" w:sz="8" w:space="0" w:color="9CC2E5"/>
            </w:tcBorders>
            <w:shd w:val="clear" w:color="000000" w:fill="DEEAF6"/>
            <w:noWrap/>
            <w:vAlign w:val="center"/>
            <w:hideMark/>
          </w:tcPr>
          <w:p w14:paraId="5A8AD0BE"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5,5</w:t>
            </w:r>
          </w:p>
        </w:tc>
        <w:tc>
          <w:tcPr>
            <w:tcW w:w="766" w:type="dxa"/>
            <w:tcBorders>
              <w:top w:val="nil"/>
              <w:left w:val="nil"/>
              <w:bottom w:val="single" w:sz="8" w:space="0" w:color="9CC2E5"/>
              <w:right w:val="single" w:sz="8" w:space="0" w:color="9CC2E5"/>
            </w:tcBorders>
            <w:shd w:val="clear" w:color="000000" w:fill="DEEAF6"/>
            <w:noWrap/>
            <w:vAlign w:val="center"/>
            <w:hideMark/>
          </w:tcPr>
          <w:p w14:paraId="1A76F17A"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5,7</w:t>
            </w:r>
          </w:p>
        </w:tc>
        <w:tc>
          <w:tcPr>
            <w:tcW w:w="766" w:type="dxa"/>
            <w:tcBorders>
              <w:top w:val="nil"/>
              <w:left w:val="nil"/>
              <w:bottom w:val="single" w:sz="8" w:space="0" w:color="9CC2E5"/>
              <w:right w:val="single" w:sz="8" w:space="0" w:color="9CC2E5"/>
            </w:tcBorders>
            <w:shd w:val="clear" w:color="000000" w:fill="DEEAF6"/>
            <w:noWrap/>
            <w:vAlign w:val="center"/>
            <w:hideMark/>
          </w:tcPr>
          <w:p w14:paraId="601A90BD"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5,5</w:t>
            </w:r>
          </w:p>
        </w:tc>
      </w:tr>
      <w:tr w:rsidR="00281D96" w:rsidRPr="00E70C16" w14:paraId="1F4E7D28" w14:textId="77777777" w:rsidTr="00E54B38">
        <w:trPr>
          <w:trHeight w:val="315"/>
          <w:jc w:val="center"/>
        </w:trPr>
        <w:tc>
          <w:tcPr>
            <w:tcW w:w="8354" w:type="dxa"/>
            <w:gridSpan w:val="8"/>
            <w:tcBorders>
              <w:top w:val="single" w:sz="8" w:space="0" w:color="9CC2E5"/>
              <w:left w:val="single" w:sz="8" w:space="0" w:color="9CC2E5"/>
              <w:bottom w:val="single" w:sz="8" w:space="0" w:color="9CC2E5"/>
              <w:right w:val="single" w:sz="8" w:space="0" w:color="9CC2E5"/>
            </w:tcBorders>
            <w:shd w:val="clear" w:color="auto" w:fill="auto"/>
            <w:noWrap/>
            <w:vAlign w:val="center"/>
            <w:hideMark/>
          </w:tcPr>
          <w:p w14:paraId="17046975" w14:textId="26F77D94" w:rsidR="00281D96" w:rsidRPr="00E70C16" w:rsidRDefault="00281D96" w:rsidP="00277007">
            <w:pPr>
              <w:ind w:firstLine="0"/>
              <w:jc w:val="center"/>
              <w:rPr>
                <w:rFonts w:eastAsia="Times New Roman" w:cs="Times New Roman"/>
                <w:sz w:val="18"/>
                <w:szCs w:val="18"/>
                <w:lang w:eastAsia="lv-LV"/>
              </w:rPr>
            </w:pPr>
            <w:r w:rsidRPr="00E70C16">
              <w:rPr>
                <w:rFonts w:eastAsia="Times New Roman" w:cs="Times New Roman"/>
                <w:sz w:val="18"/>
                <w:szCs w:val="18"/>
                <w:lang w:eastAsia="lv-LV"/>
              </w:rPr>
              <w:t>IKP pēc izlietojuma 2015.</w:t>
            </w:r>
            <w:r w:rsidR="00AE2C3A">
              <w:rPr>
                <w:rFonts w:eastAsia="Times New Roman" w:cs="Times New Roman"/>
                <w:sz w:val="18"/>
                <w:szCs w:val="18"/>
                <w:lang w:eastAsia="lv-LV"/>
              </w:rPr>
              <w:t xml:space="preserve"> </w:t>
            </w:r>
            <w:r w:rsidRPr="00E70C16">
              <w:rPr>
                <w:rFonts w:eastAsia="Times New Roman" w:cs="Times New Roman"/>
                <w:sz w:val="18"/>
                <w:szCs w:val="18"/>
                <w:lang w:eastAsia="lv-LV"/>
              </w:rPr>
              <w:t>gada cenās</w:t>
            </w:r>
          </w:p>
        </w:tc>
      </w:tr>
      <w:tr w:rsidR="00281D96" w:rsidRPr="00E70C16" w14:paraId="6BF6C171" w14:textId="77777777" w:rsidTr="00E54B38">
        <w:trPr>
          <w:trHeight w:val="315"/>
          <w:jc w:val="center"/>
        </w:trPr>
        <w:tc>
          <w:tcPr>
            <w:tcW w:w="2739" w:type="dxa"/>
            <w:tcBorders>
              <w:top w:val="nil"/>
              <w:left w:val="single" w:sz="8" w:space="0" w:color="9CC2E5"/>
              <w:bottom w:val="single" w:sz="8" w:space="0" w:color="9CC2E5"/>
              <w:right w:val="single" w:sz="8" w:space="0" w:color="9CC2E5"/>
            </w:tcBorders>
            <w:shd w:val="clear" w:color="000000" w:fill="DEEAF6"/>
            <w:vAlign w:val="center"/>
            <w:hideMark/>
          </w:tcPr>
          <w:p w14:paraId="21241E3B" w14:textId="77777777" w:rsidR="00281D96" w:rsidRPr="00E70C16" w:rsidRDefault="00281D96" w:rsidP="00277007">
            <w:pPr>
              <w:ind w:firstLine="0"/>
              <w:jc w:val="left"/>
              <w:rPr>
                <w:rFonts w:eastAsia="Times New Roman" w:cs="Times New Roman"/>
                <w:sz w:val="18"/>
                <w:szCs w:val="18"/>
                <w:lang w:eastAsia="lv-LV"/>
              </w:rPr>
            </w:pPr>
            <w:r w:rsidRPr="00E70C16">
              <w:rPr>
                <w:rFonts w:eastAsia="Times New Roman" w:cs="Times New Roman"/>
                <w:sz w:val="18"/>
                <w:szCs w:val="18"/>
                <w:lang w:eastAsia="lv-LV"/>
              </w:rPr>
              <w:t>3. Privātais patēriņš</w:t>
            </w:r>
          </w:p>
        </w:tc>
        <w:tc>
          <w:tcPr>
            <w:tcW w:w="992" w:type="dxa"/>
            <w:tcBorders>
              <w:top w:val="nil"/>
              <w:left w:val="nil"/>
              <w:bottom w:val="single" w:sz="8" w:space="0" w:color="9CC2E5"/>
              <w:right w:val="single" w:sz="8" w:space="0" w:color="9CC2E5"/>
            </w:tcBorders>
            <w:shd w:val="clear" w:color="000000" w:fill="DEEAF6"/>
            <w:noWrap/>
            <w:vAlign w:val="center"/>
            <w:hideMark/>
          </w:tcPr>
          <w:p w14:paraId="01A887D7" w14:textId="77777777" w:rsidR="00281D96" w:rsidRPr="00E70C16" w:rsidRDefault="00281D96" w:rsidP="00277007">
            <w:pPr>
              <w:ind w:firstLine="0"/>
              <w:jc w:val="center"/>
              <w:rPr>
                <w:rFonts w:eastAsia="Times New Roman" w:cs="Times New Roman"/>
                <w:sz w:val="18"/>
                <w:szCs w:val="18"/>
                <w:lang w:eastAsia="lv-LV"/>
              </w:rPr>
            </w:pPr>
            <w:r w:rsidRPr="00E70C16">
              <w:rPr>
                <w:rFonts w:eastAsia="Times New Roman" w:cs="Times New Roman"/>
                <w:sz w:val="18"/>
                <w:szCs w:val="18"/>
                <w:lang w:eastAsia="lv-LV"/>
              </w:rPr>
              <w:t>P3</w:t>
            </w:r>
          </w:p>
        </w:tc>
        <w:tc>
          <w:tcPr>
            <w:tcW w:w="795" w:type="dxa"/>
            <w:tcBorders>
              <w:top w:val="nil"/>
              <w:left w:val="nil"/>
              <w:bottom w:val="single" w:sz="8" w:space="0" w:color="9CC2E5"/>
              <w:right w:val="single" w:sz="8" w:space="0" w:color="9CC2E5"/>
            </w:tcBorders>
            <w:shd w:val="clear" w:color="000000" w:fill="DEEAF6"/>
            <w:noWrap/>
            <w:vAlign w:val="center"/>
            <w:hideMark/>
          </w:tcPr>
          <w:p w14:paraId="397004BE"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17 970</w:t>
            </w:r>
          </w:p>
        </w:tc>
        <w:tc>
          <w:tcPr>
            <w:tcW w:w="765" w:type="dxa"/>
            <w:tcBorders>
              <w:top w:val="nil"/>
              <w:left w:val="nil"/>
              <w:bottom w:val="single" w:sz="8" w:space="0" w:color="9CC2E5"/>
              <w:right w:val="single" w:sz="8" w:space="0" w:color="9CC2E5"/>
            </w:tcBorders>
            <w:shd w:val="clear" w:color="000000" w:fill="DEEAF6"/>
            <w:noWrap/>
            <w:vAlign w:val="center"/>
            <w:hideMark/>
          </w:tcPr>
          <w:p w14:paraId="1972CB5D"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8,1</w:t>
            </w:r>
          </w:p>
        </w:tc>
        <w:tc>
          <w:tcPr>
            <w:tcW w:w="766" w:type="dxa"/>
            <w:tcBorders>
              <w:top w:val="nil"/>
              <w:left w:val="nil"/>
              <w:bottom w:val="single" w:sz="8" w:space="0" w:color="9CC2E5"/>
              <w:right w:val="single" w:sz="8" w:space="0" w:color="9CC2E5"/>
            </w:tcBorders>
            <w:shd w:val="clear" w:color="000000" w:fill="DEEAF6"/>
            <w:noWrap/>
            <w:vAlign w:val="center"/>
            <w:hideMark/>
          </w:tcPr>
          <w:p w14:paraId="63F061A9"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-0,9</w:t>
            </w:r>
          </w:p>
        </w:tc>
        <w:tc>
          <w:tcPr>
            <w:tcW w:w="765" w:type="dxa"/>
            <w:tcBorders>
              <w:top w:val="nil"/>
              <w:left w:val="nil"/>
              <w:bottom w:val="single" w:sz="8" w:space="0" w:color="9CC2E5"/>
              <w:right w:val="single" w:sz="8" w:space="0" w:color="9CC2E5"/>
            </w:tcBorders>
            <w:shd w:val="clear" w:color="000000" w:fill="DEEAF6"/>
            <w:noWrap/>
            <w:vAlign w:val="center"/>
            <w:hideMark/>
          </w:tcPr>
          <w:p w14:paraId="17DF770D"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2,1</w:t>
            </w:r>
          </w:p>
        </w:tc>
        <w:tc>
          <w:tcPr>
            <w:tcW w:w="766" w:type="dxa"/>
            <w:tcBorders>
              <w:top w:val="nil"/>
              <w:left w:val="nil"/>
              <w:bottom w:val="single" w:sz="8" w:space="0" w:color="9CC2E5"/>
              <w:right w:val="single" w:sz="8" w:space="0" w:color="9CC2E5"/>
            </w:tcBorders>
            <w:shd w:val="clear" w:color="000000" w:fill="DEEAF6"/>
            <w:noWrap/>
            <w:vAlign w:val="center"/>
            <w:hideMark/>
          </w:tcPr>
          <w:p w14:paraId="72E6DB5A"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4,0</w:t>
            </w:r>
          </w:p>
        </w:tc>
        <w:tc>
          <w:tcPr>
            <w:tcW w:w="766" w:type="dxa"/>
            <w:tcBorders>
              <w:top w:val="nil"/>
              <w:left w:val="nil"/>
              <w:bottom w:val="single" w:sz="8" w:space="0" w:color="9CC2E5"/>
              <w:right w:val="single" w:sz="8" w:space="0" w:color="9CC2E5"/>
            </w:tcBorders>
            <w:shd w:val="clear" w:color="000000" w:fill="DEEAF6"/>
            <w:noWrap/>
            <w:vAlign w:val="center"/>
            <w:hideMark/>
          </w:tcPr>
          <w:p w14:paraId="1D79FD4A"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3,5</w:t>
            </w:r>
          </w:p>
        </w:tc>
      </w:tr>
      <w:tr w:rsidR="00281D96" w:rsidRPr="00E70C16" w14:paraId="7FF11C40" w14:textId="77777777" w:rsidTr="00E54B38">
        <w:trPr>
          <w:trHeight w:val="315"/>
          <w:jc w:val="center"/>
        </w:trPr>
        <w:tc>
          <w:tcPr>
            <w:tcW w:w="2739" w:type="dxa"/>
            <w:tcBorders>
              <w:top w:val="nil"/>
              <w:left w:val="single" w:sz="8" w:space="0" w:color="9CC2E5"/>
              <w:bottom w:val="single" w:sz="8" w:space="0" w:color="9CC2E5"/>
              <w:right w:val="single" w:sz="8" w:space="0" w:color="9CC2E5"/>
            </w:tcBorders>
            <w:shd w:val="clear" w:color="auto" w:fill="auto"/>
            <w:vAlign w:val="center"/>
            <w:hideMark/>
          </w:tcPr>
          <w:p w14:paraId="746809C7" w14:textId="77777777" w:rsidR="00281D96" w:rsidRPr="00E70C16" w:rsidRDefault="00281D96" w:rsidP="00277007">
            <w:pPr>
              <w:ind w:firstLine="0"/>
              <w:jc w:val="left"/>
              <w:rPr>
                <w:rFonts w:eastAsia="Times New Roman" w:cs="Times New Roman"/>
                <w:sz w:val="18"/>
                <w:szCs w:val="18"/>
                <w:lang w:eastAsia="lv-LV"/>
              </w:rPr>
            </w:pPr>
            <w:r w:rsidRPr="00E70C16">
              <w:rPr>
                <w:rFonts w:eastAsia="Times New Roman" w:cs="Times New Roman"/>
                <w:sz w:val="18"/>
                <w:szCs w:val="18"/>
                <w:lang w:eastAsia="lv-LV"/>
              </w:rPr>
              <w:t>4. Sabiedriskais patēriņš</w:t>
            </w:r>
          </w:p>
        </w:tc>
        <w:tc>
          <w:tcPr>
            <w:tcW w:w="992" w:type="dxa"/>
            <w:tcBorders>
              <w:top w:val="nil"/>
              <w:left w:val="nil"/>
              <w:bottom w:val="single" w:sz="8" w:space="0" w:color="9CC2E5"/>
              <w:right w:val="single" w:sz="8" w:space="0" w:color="9CC2E5"/>
            </w:tcBorders>
            <w:shd w:val="clear" w:color="auto" w:fill="auto"/>
            <w:noWrap/>
            <w:vAlign w:val="center"/>
            <w:hideMark/>
          </w:tcPr>
          <w:p w14:paraId="564C0FB4" w14:textId="77777777" w:rsidR="00281D96" w:rsidRPr="00E70C16" w:rsidRDefault="00281D96" w:rsidP="00277007">
            <w:pPr>
              <w:ind w:firstLine="0"/>
              <w:jc w:val="center"/>
              <w:rPr>
                <w:rFonts w:eastAsia="Times New Roman" w:cs="Times New Roman"/>
                <w:sz w:val="18"/>
                <w:szCs w:val="18"/>
                <w:lang w:eastAsia="lv-LV"/>
              </w:rPr>
            </w:pPr>
            <w:r w:rsidRPr="00E70C16">
              <w:rPr>
                <w:rFonts w:eastAsia="Times New Roman" w:cs="Times New Roman"/>
                <w:sz w:val="18"/>
                <w:szCs w:val="18"/>
                <w:lang w:eastAsia="lv-LV"/>
              </w:rPr>
              <w:t>P3</w:t>
            </w:r>
          </w:p>
        </w:tc>
        <w:tc>
          <w:tcPr>
            <w:tcW w:w="795" w:type="dxa"/>
            <w:tcBorders>
              <w:top w:val="nil"/>
              <w:left w:val="nil"/>
              <w:bottom w:val="single" w:sz="8" w:space="0" w:color="9CC2E5"/>
              <w:right w:val="single" w:sz="8" w:space="0" w:color="9CC2E5"/>
            </w:tcBorders>
            <w:shd w:val="clear" w:color="auto" w:fill="auto"/>
            <w:noWrap/>
            <w:vAlign w:val="center"/>
            <w:hideMark/>
          </w:tcPr>
          <w:p w14:paraId="3F034255"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5 545</w:t>
            </w:r>
          </w:p>
        </w:tc>
        <w:tc>
          <w:tcPr>
            <w:tcW w:w="765" w:type="dxa"/>
            <w:tcBorders>
              <w:top w:val="nil"/>
              <w:left w:val="nil"/>
              <w:bottom w:val="single" w:sz="8" w:space="0" w:color="9CC2E5"/>
              <w:right w:val="single" w:sz="8" w:space="0" w:color="9CC2E5"/>
            </w:tcBorders>
            <w:shd w:val="clear" w:color="auto" w:fill="auto"/>
            <w:noWrap/>
            <w:vAlign w:val="center"/>
            <w:hideMark/>
          </w:tcPr>
          <w:p w14:paraId="7B149DD4"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2,8</w:t>
            </w:r>
          </w:p>
        </w:tc>
        <w:tc>
          <w:tcPr>
            <w:tcW w:w="766" w:type="dxa"/>
            <w:tcBorders>
              <w:top w:val="nil"/>
              <w:left w:val="nil"/>
              <w:bottom w:val="single" w:sz="8" w:space="0" w:color="9CC2E5"/>
              <w:right w:val="single" w:sz="8" w:space="0" w:color="9CC2E5"/>
            </w:tcBorders>
            <w:shd w:val="clear" w:color="auto" w:fill="auto"/>
            <w:noWrap/>
            <w:vAlign w:val="center"/>
            <w:hideMark/>
          </w:tcPr>
          <w:p w14:paraId="60F7BDE2"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1,2</w:t>
            </w:r>
          </w:p>
        </w:tc>
        <w:tc>
          <w:tcPr>
            <w:tcW w:w="765" w:type="dxa"/>
            <w:tcBorders>
              <w:top w:val="nil"/>
              <w:left w:val="nil"/>
              <w:bottom w:val="single" w:sz="8" w:space="0" w:color="9CC2E5"/>
              <w:right w:val="single" w:sz="8" w:space="0" w:color="9CC2E5"/>
            </w:tcBorders>
            <w:shd w:val="clear" w:color="auto" w:fill="auto"/>
            <w:noWrap/>
            <w:vAlign w:val="center"/>
            <w:hideMark/>
          </w:tcPr>
          <w:p w14:paraId="1B3C6849"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0,8</w:t>
            </w:r>
          </w:p>
        </w:tc>
        <w:tc>
          <w:tcPr>
            <w:tcW w:w="766" w:type="dxa"/>
            <w:tcBorders>
              <w:top w:val="nil"/>
              <w:left w:val="nil"/>
              <w:bottom w:val="single" w:sz="8" w:space="0" w:color="9CC2E5"/>
              <w:right w:val="single" w:sz="8" w:space="0" w:color="9CC2E5"/>
            </w:tcBorders>
            <w:shd w:val="clear" w:color="auto" w:fill="auto"/>
            <w:noWrap/>
            <w:vAlign w:val="center"/>
            <w:hideMark/>
          </w:tcPr>
          <w:p w14:paraId="7779828C"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0,1</w:t>
            </w:r>
          </w:p>
        </w:tc>
        <w:tc>
          <w:tcPr>
            <w:tcW w:w="766" w:type="dxa"/>
            <w:tcBorders>
              <w:top w:val="nil"/>
              <w:left w:val="nil"/>
              <w:bottom w:val="single" w:sz="8" w:space="0" w:color="9CC2E5"/>
              <w:right w:val="single" w:sz="8" w:space="0" w:color="9CC2E5"/>
            </w:tcBorders>
            <w:shd w:val="clear" w:color="auto" w:fill="auto"/>
            <w:noWrap/>
            <w:vAlign w:val="center"/>
            <w:hideMark/>
          </w:tcPr>
          <w:p w14:paraId="0B922063"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0,5</w:t>
            </w:r>
          </w:p>
        </w:tc>
      </w:tr>
      <w:tr w:rsidR="00281D96" w:rsidRPr="00E70C16" w14:paraId="52B9468B" w14:textId="77777777" w:rsidTr="00E54B38">
        <w:trPr>
          <w:trHeight w:val="315"/>
          <w:jc w:val="center"/>
        </w:trPr>
        <w:tc>
          <w:tcPr>
            <w:tcW w:w="2739" w:type="dxa"/>
            <w:tcBorders>
              <w:top w:val="nil"/>
              <w:left w:val="single" w:sz="8" w:space="0" w:color="9CC2E5"/>
              <w:bottom w:val="single" w:sz="8" w:space="0" w:color="9CC2E5"/>
              <w:right w:val="single" w:sz="8" w:space="0" w:color="9CC2E5"/>
            </w:tcBorders>
            <w:shd w:val="clear" w:color="000000" w:fill="DEEAF6"/>
            <w:vAlign w:val="center"/>
            <w:hideMark/>
          </w:tcPr>
          <w:p w14:paraId="5FD5BC7B" w14:textId="77777777" w:rsidR="00281D96" w:rsidRPr="00E70C16" w:rsidRDefault="00281D96" w:rsidP="00277007">
            <w:pPr>
              <w:ind w:firstLine="0"/>
              <w:jc w:val="left"/>
              <w:rPr>
                <w:rFonts w:eastAsia="Times New Roman" w:cs="Times New Roman"/>
                <w:sz w:val="18"/>
                <w:szCs w:val="18"/>
                <w:lang w:eastAsia="lv-LV"/>
              </w:rPr>
            </w:pPr>
            <w:r w:rsidRPr="00E70C16">
              <w:rPr>
                <w:rFonts w:eastAsia="Times New Roman" w:cs="Times New Roman"/>
                <w:sz w:val="18"/>
                <w:szCs w:val="18"/>
                <w:lang w:eastAsia="lv-LV"/>
              </w:rPr>
              <w:t>5. Kopējā pamatkapitāla veidošana</w:t>
            </w:r>
          </w:p>
        </w:tc>
        <w:tc>
          <w:tcPr>
            <w:tcW w:w="992" w:type="dxa"/>
            <w:tcBorders>
              <w:top w:val="nil"/>
              <w:left w:val="nil"/>
              <w:bottom w:val="single" w:sz="8" w:space="0" w:color="9CC2E5"/>
              <w:right w:val="single" w:sz="8" w:space="0" w:color="9CC2E5"/>
            </w:tcBorders>
            <w:shd w:val="clear" w:color="000000" w:fill="DEEAF6"/>
            <w:noWrap/>
            <w:vAlign w:val="center"/>
            <w:hideMark/>
          </w:tcPr>
          <w:p w14:paraId="25ACB6FE" w14:textId="77777777" w:rsidR="00281D96" w:rsidRPr="00E70C16" w:rsidRDefault="00281D96" w:rsidP="00277007">
            <w:pPr>
              <w:ind w:firstLine="0"/>
              <w:jc w:val="center"/>
              <w:rPr>
                <w:rFonts w:eastAsia="Times New Roman" w:cs="Times New Roman"/>
                <w:sz w:val="18"/>
                <w:szCs w:val="18"/>
                <w:lang w:eastAsia="lv-LV"/>
              </w:rPr>
            </w:pPr>
            <w:r w:rsidRPr="00E70C16">
              <w:rPr>
                <w:rFonts w:eastAsia="Times New Roman" w:cs="Times New Roman"/>
                <w:sz w:val="18"/>
                <w:szCs w:val="18"/>
                <w:lang w:eastAsia="lv-LV"/>
              </w:rPr>
              <w:t>P51</w:t>
            </w:r>
          </w:p>
        </w:tc>
        <w:tc>
          <w:tcPr>
            <w:tcW w:w="795" w:type="dxa"/>
            <w:tcBorders>
              <w:top w:val="nil"/>
              <w:left w:val="nil"/>
              <w:bottom w:val="single" w:sz="8" w:space="0" w:color="9CC2E5"/>
              <w:right w:val="single" w:sz="8" w:space="0" w:color="9CC2E5"/>
            </w:tcBorders>
            <w:shd w:val="clear" w:color="000000" w:fill="DEEAF6"/>
            <w:noWrap/>
            <w:vAlign w:val="center"/>
            <w:hideMark/>
          </w:tcPr>
          <w:p w14:paraId="6DF4EEDC"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6 630</w:t>
            </w:r>
          </w:p>
        </w:tc>
        <w:tc>
          <w:tcPr>
            <w:tcW w:w="765" w:type="dxa"/>
            <w:tcBorders>
              <w:top w:val="nil"/>
              <w:left w:val="nil"/>
              <w:bottom w:val="single" w:sz="8" w:space="0" w:color="9CC2E5"/>
              <w:right w:val="single" w:sz="8" w:space="0" w:color="9CC2E5"/>
            </w:tcBorders>
            <w:shd w:val="clear" w:color="000000" w:fill="DEEAF6"/>
            <w:noWrap/>
            <w:vAlign w:val="center"/>
            <w:hideMark/>
          </w:tcPr>
          <w:p w14:paraId="687C5DCA"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0,7</w:t>
            </w:r>
          </w:p>
        </w:tc>
        <w:tc>
          <w:tcPr>
            <w:tcW w:w="766" w:type="dxa"/>
            <w:tcBorders>
              <w:top w:val="nil"/>
              <w:left w:val="nil"/>
              <w:bottom w:val="single" w:sz="8" w:space="0" w:color="9CC2E5"/>
              <w:right w:val="single" w:sz="8" w:space="0" w:color="9CC2E5"/>
            </w:tcBorders>
            <w:shd w:val="clear" w:color="000000" w:fill="DEEAF6"/>
            <w:noWrap/>
            <w:vAlign w:val="center"/>
            <w:hideMark/>
          </w:tcPr>
          <w:p w14:paraId="0626EF92"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1,0</w:t>
            </w:r>
          </w:p>
        </w:tc>
        <w:tc>
          <w:tcPr>
            <w:tcW w:w="765" w:type="dxa"/>
            <w:tcBorders>
              <w:top w:val="nil"/>
              <w:left w:val="nil"/>
              <w:bottom w:val="single" w:sz="8" w:space="0" w:color="9CC2E5"/>
              <w:right w:val="single" w:sz="8" w:space="0" w:color="9CC2E5"/>
            </w:tcBorders>
            <w:shd w:val="clear" w:color="000000" w:fill="DEEAF6"/>
            <w:noWrap/>
            <w:vAlign w:val="center"/>
            <w:hideMark/>
          </w:tcPr>
          <w:p w14:paraId="1EC157B5"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4,8</w:t>
            </w:r>
          </w:p>
        </w:tc>
        <w:tc>
          <w:tcPr>
            <w:tcW w:w="766" w:type="dxa"/>
            <w:tcBorders>
              <w:top w:val="nil"/>
              <w:left w:val="nil"/>
              <w:bottom w:val="single" w:sz="8" w:space="0" w:color="9CC2E5"/>
              <w:right w:val="single" w:sz="8" w:space="0" w:color="9CC2E5"/>
            </w:tcBorders>
            <w:shd w:val="clear" w:color="000000" w:fill="DEEAF6"/>
            <w:noWrap/>
            <w:vAlign w:val="center"/>
            <w:hideMark/>
          </w:tcPr>
          <w:p w14:paraId="7A4E7FE9"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5,0</w:t>
            </w:r>
          </w:p>
        </w:tc>
        <w:tc>
          <w:tcPr>
            <w:tcW w:w="766" w:type="dxa"/>
            <w:tcBorders>
              <w:top w:val="nil"/>
              <w:left w:val="nil"/>
              <w:bottom w:val="single" w:sz="8" w:space="0" w:color="9CC2E5"/>
              <w:right w:val="single" w:sz="8" w:space="0" w:color="9CC2E5"/>
            </w:tcBorders>
            <w:shd w:val="clear" w:color="000000" w:fill="DEEAF6"/>
            <w:noWrap/>
            <w:vAlign w:val="center"/>
            <w:hideMark/>
          </w:tcPr>
          <w:p w14:paraId="308E0096"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5,0</w:t>
            </w:r>
          </w:p>
        </w:tc>
      </w:tr>
      <w:tr w:rsidR="00281D96" w:rsidRPr="00E70C16" w14:paraId="231B02B5" w14:textId="77777777" w:rsidTr="00E54B38">
        <w:trPr>
          <w:trHeight w:val="315"/>
          <w:jc w:val="center"/>
        </w:trPr>
        <w:tc>
          <w:tcPr>
            <w:tcW w:w="2739" w:type="dxa"/>
            <w:tcBorders>
              <w:top w:val="nil"/>
              <w:left w:val="single" w:sz="8" w:space="0" w:color="9CC2E5"/>
              <w:bottom w:val="single" w:sz="8" w:space="0" w:color="9CC2E5"/>
              <w:right w:val="single" w:sz="8" w:space="0" w:color="9CC2E5"/>
            </w:tcBorders>
            <w:shd w:val="clear" w:color="auto" w:fill="auto"/>
            <w:vAlign w:val="center"/>
            <w:hideMark/>
          </w:tcPr>
          <w:p w14:paraId="28D42A59" w14:textId="77777777" w:rsidR="00281D96" w:rsidRPr="00E70C16" w:rsidRDefault="00281D96" w:rsidP="00277007">
            <w:pPr>
              <w:ind w:firstLine="0"/>
              <w:jc w:val="left"/>
              <w:rPr>
                <w:rFonts w:eastAsia="Times New Roman" w:cs="Times New Roman"/>
                <w:sz w:val="18"/>
                <w:szCs w:val="18"/>
                <w:lang w:eastAsia="lv-LV"/>
              </w:rPr>
            </w:pPr>
            <w:r w:rsidRPr="00E70C16">
              <w:rPr>
                <w:rFonts w:eastAsia="Times New Roman" w:cs="Times New Roman"/>
                <w:sz w:val="18"/>
                <w:szCs w:val="18"/>
                <w:lang w:eastAsia="lv-LV"/>
              </w:rPr>
              <w:t>6. Krājumu pārmaiņas un vērtslietu iegāde</w:t>
            </w:r>
          </w:p>
        </w:tc>
        <w:tc>
          <w:tcPr>
            <w:tcW w:w="992" w:type="dxa"/>
            <w:tcBorders>
              <w:top w:val="nil"/>
              <w:left w:val="nil"/>
              <w:bottom w:val="single" w:sz="8" w:space="0" w:color="9CC2E5"/>
              <w:right w:val="single" w:sz="8" w:space="0" w:color="9CC2E5"/>
            </w:tcBorders>
            <w:shd w:val="clear" w:color="auto" w:fill="auto"/>
            <w:noWrap/>
            <w:vAlign w:val="center"/>
            <w:hideMark/>
          </w:tcPr>
          <w:p w14:paraId="6E6968BA" w14:textId="77777777" w:rsidR="00281D96" w:rsidRPr="00E70C16" w:rsidRDefault="00281D96" w:rsidP="00277007">
            <w:pPr>
              <w:ind w:firstLine="0"/>
              <w:jc w:val="center"/>
              <w:rPr>
                <w:rFonts w:eastAsia="Times New Roman" w:cs="Times New Roman"/>
                <w:sz w:val="18"/>
                <w:szCs w:val="18"/>
                <w:lang w:eastAsia="lv-LV"/>
              </w:rPr>
            </w:pPr>
            <w:r w:rsidRPr="00E70C16">
              <w:rPr>
                <w:rFonts w:eastAsia="Times New Roman" w:cs="Times New Roman"/>
                <w:sz w:val="18"/>
                <w:szCs w:val="18"/>
                <w:lang w:eastAsia="lv-LV"/>
              </w:rPr>
              <w:t>P52+P53</w:t>
            </w:r>
          </w:p>
        </w:tc>
        <w:tc>
          <w:tcPr>
            <w:tcW w:w="795" w:type="dxa"/>
            <w:tcBorders>
              <w:top w:val="nil"/>
              <w:left w:val="nil"/>
              <w:bottom w:val="single" w:sz="8" w:space="0" w:color="9CC2E5"/>
              <w:right w:val="single" w:sz="8" w:space="0" w:color="9CC2E5"/>
            </w:tcBorders>
            <w:shd w:val="clear" w:color="auto" w:fill="auto"/>
            <w:noWrap/>
            <w:vAlign w:val="center"/>
            <w:hideMark/>
          </w:tcPr>
          <w:p w14:paraId="5CE3A3F3"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2 582</w:t>
            </w:r>
          </w:p>
        </w:tc>
        <w:tc>
          <w:tcPr>
            <w:tcW w:w="765" w:type="dxa"/>
            <w:tcBorders>
              <w:top w:val="nil"/>
              <w:left w:val="nil"/>
              <w:bottom w:val="single" w:sz="8" w:space="0" w:color="9CC2E5"/>
              <w:right w:val="single" w:sz="8" w:space="0" w:color="9CC2E5"/>
            </w:tcBorders>
            <w:shd w:val="clear" w:color="auto" w:fill="auto"/>
            <w:noWrap/>
            <w:vAlign w:val="center"/>
            <w:hideMark/>
          </w:tcPr>
          <w:p w14:paraId="24158F33" w14:textId="77777777" w:rsidR="00281D96" w:rsidRPr="00E70C16" w:rsidRDefault="00281D96" w:rsidP="00277007">
            <w:pPr>
              <w:ind w:firstLine="0"/>
              <w:jc w:val="center"/>
              <w:rPr>
                <w:rFonts w:eastAsia="Times New Roman" w:cs="Times New Roman"/>
                <w:sz w:val="18"/>
                <w:szCs w:val="18"/>
                <w:lang w:eastAsia="lv-LV"/>
              </w:rPr>
            </w:pPr>
            <w:r w:rsidRPr="00E70C16">
              <w:rPr>
                <w:rFonts w:eastAsia="Times New Roman" w:cs="Times New Roman"/>
                <w:sz w:val="18"/>
                <w:szCs w:val="18"/>
              </w:rPr>
              <w:t>-</w:t>
            </w:r>
          </w:p>
        </w:tc>
        <w:tc>
          <w:tcPr>
            <w:tcW w:w="766" w:type="dxa"/>
            <w:tcBorders>
              <w:top w:val="nil"/>
              <w:left w:val="nil"/>
              <w:bottom w:val="single" w:sz="8" w:space="0" w:color="9CC2E5"/>
              <w:right w:val="single" w:sz="8" w:space="0" w:color="9CC2E5"/>
            </w:tcBorders>
            <w:shd w:val="clear" w:color="auto" w:fill="auto"/>
            <w:noWrap/>
            <w:vAlign w:val="center"/>
            <w:hideMark/>
          </w:tcPr>
          <w:p w14:paraId="6A235CE9" w14:textId="77777777" w:rsidR="00281D96" w:rsidRPr="00E70C16" w:rsidRDefault="00281D96" w:rsidP="00277007">
            <w:pPr>
              <w:ind w:firstLine="0"/>
              <w:jc w:val="center"/>
              <w:rPr>
                <w:rFonts w:eastAsia="Times New Roman" w:cs="Times New Roman"/>
                <w:sz w:val="18"/>
                <w:szCs w:val="18"/>
                <w:lang w:eastAsia="lv-LV"/>
              </w:rPr>
            </w:pPr>
            <w:r w:rsidRPr="00E70C16">
              <w:rPr>
                <w:rFonts w:eastAsia="Times New Roman" w:cs="Times New Roman"/>
                <w:sz w:val="18"/>
                <w:szCs w:val="18"/>
              </w:rPr>
              <w:t>-</w:t>
            </w:r>
          </w:p>
        </w:tc>
        <w:tc>
          <w:tcPr>
            <w:tcW w:w="765" w:type="dxa"/>
            <w:tcBorders>
              <w:top w:val="nil"/>
              <w:left w:val="nil"/>
              <w:bottom w:val="single" w:sz="8" w:space="0" w:color="9CC2E5"/>
              <w:right w:val="single" w:sz="8" w:space="0" w:color="9CC2E5"/>
            </w:tcBorders>
            <w:shd w:val="clear" w:color="auto" w:fill="auto"/>
            <w:noWrap/>
            <w:vAlign w:val="center"/>
            <w:hideMark/>
          </w:tcPr>
          <w:p w14:paraId="69B03820" w14:textId="77777777" w:rsidR="00281D96" w:rsidRPr="00E70C16" w:rsidRDefault="00281D96" w:rsidP="00277007">
            <w:pPr>
              <w:ind w:firstLine="0"/>
              <w:jc w:val="center"/>
              <w:rPr>
                <w:rFonts w:eastAsia="Times New Roman" w:cs="Times New Roman"/>
                <w:sz w:val="18"/>
                <w:szCs w:val="18"/>
                <w:lang w:eastAsia="lv-LV"/>
              </w:rPr>
            </w:pPr>
            <w:r w:rsidRPr="00E70C16">
              <w:rPr>
                <w:rFonts w:eastAsia="Times New Roman" w:cs="Times New Roman"/>
                <w:sz w:val="18"/>
                <w:szCs w:val="18"/>
              </w:rPr>
              <w:t>-</w:t>
            </w:r>
          </w:p>
        </w:tc>
        <w:tc>
          <w:tcPr>
            <w:tcW w:w="766" w:type="dxa"/>
            <w:tcBorders>
              <w:top w:val="nil"/>
              <w:left w:val="nil"/>
              <w:bottom w:val="single" w:sz="8" w:space="0" w:color="9CC2E5"/>
              <w:right w:val="single" w:sz="8" w:space="0" w:color="9CC2E5"/>
            </w:tcBorders>
            <w:shd w:val="clear" w:color="auto" w:fill="auto"/>
            <w:noWrap/>
            <w:vAlign w:val="center"/>
            <w:hideMark/>
          </w:tcPr>
          <w:p w14:paraId="28660987" w14:textId="77777777" w:rsidR="00281D96" w:rsidRPr="00E70C16" w:rsidRDefault="00281D96" w:rsidP="00277007">
            <w:pPr>
              <w:ind w:firstLine="0"/>
              <w:jc w:val="center"/>
              <w:rPr>
                <w:rFonts w:eastAsia="Times New Roman" w:cs="Times New Roman"/>
                <w:sz w:val="18"/>
                <w:szCs w:val="18"/>
                <w:lang w:eastAsia="lv-LV"/>
              </w:rPr>
            </w:pPr>
            <w:r w:rsidRPr="00E70C16">
              <w:rPr>
                <w:rFonts w:eastAsia="Times New Roman" w:cs="Times New Roman"/>
                <w:sz w:val="18"/>
                <w:szCs w:val="18"/>
              </w:rPr>
              <w:t>-</w:t>
            </w:r>
          </w:p>
        </w:tc>
        <w:tc>
          <w:tcPr>
            <w:tcW w:w="766" w:type="dxa"/>
            <w:tcBorders>
              <w:top w:val="nil"/>
              <w:left w:val="nil"/>
              <w:bottom w:val="single" w:sz="8" w:space="0" w:color="9CC2E5"/>
              <w:right w:val="single" w:sz="8" w:space="0" w:color="9CC2E5"/>
            </w:tcBorders>
            <w:shd w:val="clear" w:color="auto" w:fill="auto"/>
            <w:noWrap/>
            <w:vAlign w:val="center"/>
            <w:hideMark/>
          </w:tcPr>
          <w:p w14:paraId="6D885B14" w14:textId="77777777" w:rsidR="00281D96" w:rsidRPr="00E70C16" w:rsidRDefault="00281D96" w:rsidP="00277007">
            <w:pPr>
              <w:ind w:firstLine="0"/>
              <w:jc w:val="center"/>
              <w:rPr>
                <w:rFonts w:eastAsia="Times New Roman" w:cs="Times New Roman"/>
                <w:sz w:val="18"/>
                <w:szCs w:val="18"/>
                <w:lang w:eastAsia="lv-LV"/>
              </w:rPr>
            </w:pPr>
            <w:r w:rsidRPr="00E70C16">
              <w:rPr>
                <w:rFonts w:eastAsia="Times New Roman" w:cs="Times New Roman"/>
                <w:sz w:val="18"/>
                <w:szCs w:val="18"/>
              </w:rPr>
              <w:t>-</w:t>
            </w:r>
          </w:p>
        </w:tc>
      </w:tr>
      <w:tr w:rsidR="00281D96" w:rsidRPr="00E70C16" w14:paraId="4A4D5A81" w14:textId="77777777" w:rsidTr="00E54B38">
        <w:trPr>
          <w:trHeight w:val="315"/>
          <w:jc w:val="center"/>
        </w:trPr>
        <w:tc>
          <w:tcPr>
            <w:tcW w:w="2739" w:type="dxa"/>
            <w:tcBorders>
              <w:top w:val="nil"/>
              <w:left w:val="single" w:sz="8" w:space="0" w:color="9CC2E5"/>
              <w:bottom w:val="single" w:sz="8" w:space="0" w:color="9CC2E5"/>
              <w:right w:val="single" w:sz="8" w:space="0" w:color="9CC2E5"/>
            </w:tcBorders>
            <w:shd w:val="clear" w:color="000000" w:fill="DEEAF6"/>
            <w:vAlign w:val="center"/>
            <w:hideMark/>
          </w:tcPr>
          <w:p w14:paraId="5E4397B8" w14:textId="77777777" w:rsidR="00281D96" w:rsidRPr="00E70C16" w:rsidRDefault="00281D96" w:rsidP="00277007">
            <w:pPr>
              <w:ind w:firstLine="0"/>
              <w:jc w:val="left"/>
              <w:rPr>
                <w:rFonts w:eastAsia="Times New Roman" w:cs="Times New Roman"/>
                <w:sz w:val="18"/>
                <w:szCs w:val="18"/>
                <w:lang w:eastAsia="lv-LV"/>
              </w:rPr>
            </w:pPr>
            <w:r w:rsidRPr="00E70C16">
              <w:rPr>
                <w:rFonts w:eastAsia="Times New Roman" w:cs="Times New Roman"/>
                <w:sz w:val="18"/>
                <w:szCs w:val="18"/>
                <w:lang w:eastAsia="lv-LV"/>
              </w:rPr>
              <w:t>7. Eksports</w:t>
            </w:r>
          </w:p>
        </w:tc>
        <w:tc>
          <w:tcPr>
            <w:tcW w:w="992" w:type="dxa"/>
            <w:tcBorders>
              <w:top w:val="nil"/>
              <w:left w:val="nil"/>
              <w:bottom w:val="single" w:sz="8" w:space="0" w:color="9CC2E5"/>
              <w:right w:val="single" w:sz="8" w:space="0" w:color="9CC2E5"/>
            </w:tcBorders>
            <w:shd w:val="clear" w:color="000000" w:fill="DEEAF6"/>
            <w:noWrap/>
            <w:vAlign w:val="center"/>
            <w:hideMark/>
          </w:tcPr>
          <w:p w14:paraId="62205000" w14:textId="77777777" w:rsidR="00281D96" w:rsidRPr="00E70C16" w:rsidRDefault="00281D96" w:rsidP="00277007">
            <w:pPr>
              <w:ind w:firstLine="0"/>
              <w:jc w:val="center"/>
              <w:rPr>
                <w:rFonts w:eastAsia="Times New Roman" w:cs="Times New Roman"/>
                <w:sz w:val="18"/>
                <w:szCs w:val="18"/>
                <w:lang w:eastAsia="lv-LV"/>
              </w:rPr>
            </w:pPr>
            <w:r w:rsidRPr="00E70C16">
              <w:rPr>
                <w:rFonts w:eastAsia="Times New Roman" w:cs="Times New Roman"/>
                <w:sz w:val="18"/>
                <w:szCs w:val="18"/>
                <w:lang w:eastAsia="lv-LV"/>
              </w:rPr>
              <w:t>P6</w:t>
            </w:r>
          </w:p>
        </w:tc>
        <w:tc>
          <w:tcPr>
            <w:tcW w:w="795" w:type="dxa"/>
            <w:tcBorders>
              <w:top w:val="nil"/>
              <w:left w:val="nil"/>
              <w:bottom w:val="single" w:sz="8" w:space="0" w:color="9CC2E5"/>
              <w:right w:val="single" w:sz="8" w:space="0" w:color="9CC2E5"/>
            </w:tcBorders>
            <w:shd w:val="clear" w:color="000000" w:fill="DEEAF6"/>
            <w:noWrap/>
            <w:vAlign w:val="center"/>
            <w:hideMark/>
          </w:tcPr>
          <w:p w14:paraId="0CA9E7E5"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20 103</w:t>
            </w:r>
          </w:p>
        </w:tc>
        <w:tc>
          <w:tcPr>
            <w:tcW w:w="765" w:type="dxa"/>
            <w:tcBorders>
              <w:top w:val="nil"/>
              <w:left w:val="nil"/>
              <w:bottom w:val="single" w:sz="8" w:space="0" w:color="9CC2E5"/>
              <w:right w:val="single" w:sz="8" w:space="0" w:color="9CC2E5"/>
            </w:tcBorders>
            <w:shd w:val="clear" w:color="000000" w:fill="DEEAF6"/>
            <w:noWrap/>
            <w:vAlign w:val="center"/>
            <w:hideMark/>
          </w:tcPr>
          <w:p w14:paraId="6D31F223"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9,1</w:t>
            </w:r>
          </w:p>
        </w:tc>
        <w:tc>
          <w:tcPr>
            <w:tcW w:w="766" w:type="dxa"/>
            <w:tcBorders>
              <w:top w:val="nil"/>
              <w:left w:val="nil"/>
              <w:bottom w:val="single" w:sz="8" w:space="0" w:color="9CC2E5"/>
              <w:right w:val="single" w:sz="8" w:space="0" w:color="9CC2E5"/>
            </w:tcBorders>
            <w:shd w:val="clear" w:color="000000" w:fill="DEEAF6"/>
            <w:noWrap/>
            <w:vAlign w:val="center"/>
            <w:hideMark/>
          </w:tcPr>
          <w:p w14:paraId="30232087"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0,0</w:t>
            </w:r>
          </w:p>
        </w:tc>
        <w:tc>
          <w:tcPr>
            <w:tcW w:w="765" w:type="dxa"/>
            <w:tcBorders>
              <w:top w:val="nil"/>
              <w:left w:val="nil"/>
              <w:bottom w:val="single" w:sz="8" w:space="0" w:color="9CC2E5"/>
              <w:right w:val="single" w:sz="8" w:space="0" w:color="9CC2E5"/>
            </w:tcBorders>
            <w:shd w:val="clear" w:color="000000" w:fill="DEEAF6"/>
            <w:noWrap/>
            <w:vAlign w:val="center"/>
            <w:hideMark/>
          </w:tcPr>
          <w:p w14:paraId="4EA39F9A"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4,3</w:t>
            </w:r>
          </w:p>
        </w:tc>
        <w:tc>
          <w:tcPr>
            <w:tcW w:w="766" w:type="dxa"/>
            <w:tcBorders>
              <w:top w:val="nil"/>
              <w:left w:val="nil"/>
              <w:bottom w:val="single" w:sz="8" w:space="0" w:color="9CC2E5"/>
              <w:right w:val="single" w:sz="8" w:space="0" w:color="9CC2E5"/>
            </w:tcBorders>
            <w:shd w:val="clear" w:color="000000" w:fill="DEEAF6"/>
            <w:noWrap/>
            <w:vAlign w:val="center"/>
            <w:hideMark/>
          </w:tcPr>
          <w:p w14:paraId="762EB880"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4,6</w:t>
            </w:r>
          </w:p>
        </w:tc>
        <w:tc>
          <w:tcPr>
            <w:tcW w:w="766" w:type="dxa"/>
            <w:tcBorders>
              <w:top w:val="nil"/>
              <w:left w:val="nil"/>
              <w:bottom w:val="single" w:sz="8" w:space="0" w:color="9CC2E5"/>
              <w:right w:val="single" w:sz="8" w:space="0" w:color="9CC2E5"/>
            </w:tcBorders>
            <w:shd w:val="clear" w:color="000000" w:fill="DEEAF6"/>
            <w:noWrap/>
            <w:vAlign w:val="center"/>
            <w:hideMark/>
          </w:tcPr>
          <w:p w14:paraId="7968F35E"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5,0</w:t>
            </w:r>
          </w:p>
        </w:tc>
      </w:tr>
      <w:tr w:rsidR="00281D96" w:rsidRPr="00E70C16" w14:paraId="3B6CE55B" w14:textId="77777777" w:rsidTr="00E54B38">
        <w:trPr>
          <w:trHeight w:val="315"/>
          <w:jc w:val="center"/>
        </w:trPr>
        <w:tc>
          <w:tcPr>
            <w:tcW w:w="2739" w:type="dxa"/>
            <w:tcBorders>
              <w:top w:val="nil"/>
              <w:left w:val="single" w:sz="8" w:space="0" w:color="9CC2E5"/>
              <w:bottom w:val="single" w:sz="8" w:space="0" w:color="9CC2E5"/>
              <w:right w:val="single" w:sz="8" w:space="0" w:color="9CC2E5"/>
            </w:tcBorders>
            <w:shd w:val="clear" w:color="auto" w:fill="auto"/>
            <w:vAlign w:val="center"/>
            <w:hideMark/>
          </w:tcPr>
          <w:p w14:paraId="1495DC5C" w14:textId="77777777" w:rsidR="00281D96" w:rsidRPr="00E70C16" w:rsidRDefault="00281D96" w:rsidP="00277007">
            <w:pPr>
              <w:ind w:firstLine="0"/>
              <w:jc w:val="left"/>
              <w:rPr>
                <w:rFonts w:eastAsia="Times New Roman" w:cs="Times New Roman"/>
                <w:sz w:val="18"/>
                <w:szCs w:val="18"/>
                <w:lang w:eastAsia="lv-LV"/>
              </w:rPr>
            </w:pPr>
            <w:r w:rsidRPr="00E70C16">
              <w:rPr>
                <w:rFonts w:eastAsia="Times New Roman" w:cs="Times New Roman"/>
                <w:sz w:val="18"/>
                <w:szCs w:val="18"/>
                <w:lang w:eastAsia="lv-LV"/>
              </w:rPr>
              <w:t>8. Imports</w:t>
            </w:r>
          </w:p>
        </w:tc>
        <w:tc>
          <w:tcPr>
            <w:tcW w:w="992" w:type="dxa"/>
            <w:tcBorders>
              <w:top w:val="nil"/>
              <w:left w:val="nil"/>
              <w:bottom w:val="single" w:sz="8" w:space="0" w:color="9CC2E5"/>
              <w:right w:val="single" w:sz="8" w:space="0" w:color="9CC2E5"/>
            </w:tcBorders>
            <w:shd w:val="clear" w:color="auto" w:fill="auto"/>
            <w:noWrap/>
            <w:vAlign w:val="center"/>
            <w:hideMark/>
          </w:tcPr>
          <w:p w14:paraId="54337290" w14:textId="77777777" w:rsidR="00281D96" w:rsidRPr="00E70C16" w:rsidRDefault="00281D96" w:rsidP="00277007">
            <w:pPr>
              <w:ind w:firstLine="0"/>
              <w:jc w:val="center"/>
              <w:rPr>
                <w:rFonts w:eastAsia="Times New Roman" w:cs="Times New Roman"/>
                <w:sz w:val="18"/>
                <w:szCs w:val="18"/>
                <w:lang w:eastAsia="lv-LV"/>
              </w:rPr>
            </w:pPr>
            <w:r w:rsidRPr="00E70C16">
              <w:rPr>
                <w:rFonts w:eastAsia="Times New Roman" w:cs="Times New Roman"/>
                <w:sz w:val="18"/>
                <w:szCs w:val="18"/>
                <w:lang w:eastAsia="lv-LV"/>
              </w:rPr>
              <w:t>P7</w:t>
            </w:r>
          </w:p>
        </w:tc>
        <w:tc>
          <w:tcPr>
            <w:tcW w:w="795" w:type="dxa"/>
            <w:tcBorders>
              <w:top w:val="nil"/>
              <w:left w:val="nil"/>
              <w:bottom w:val="single" w:sz="8" w:space="0" w:color="9CC2E5"/>
              <w:right w:val="single" w:sz="8" w:space="0" w:color="9CC2E5"/>
            </w:tcBorders>
            <w:shd w:val="clear" w:color="auto" w:fill="auto"/>
            <w:noWrap/>
            <w:vAlign w:val="center"/>
            <w:hideMark/>
          </w:tcPr>
          <w:p w14:paraId="54BEE08B"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24 063</w:t>
            </w:r>
          </w:p>
        </w:tc>
        <w:tc>
          <w:tcPr>
            <w:tcW w:w="765" w:type="dxa"/>
            <w:tcBorders>
              <w:top w:val="nil"/>
              <w:left w:val="nil"/>
              <w:bottom w:val="single" w:sz="8" w:space="0" w:color="9CC2E5"/>
              <w:right w:val="single" w:sz="8" w:space="0" w:color="9CC2E5"/>
            </w:tcBorders>
            <w:shd w:val="clear" w:color="auto" w:fill="auto"/>
            <w:noWrap/>
            <w:vAlign w:val="center"/>
            <w:hideMark/>
          </w:tcPr>
          <w:p w14:paraId="39B9135B"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11,6</w:t>
            </w:r>
          </w:p>
        </w:tc>
        <w:tc>
          <w:tcPr>
            <w:tcW w:w="766" w:type="dxa"/>
            <w:tcBorders>
              <w:top w:val="nil"/>
              <w:left w:val="nil"/>
              <w:bottom w:val="single" w:sz="8" w:space="0" w:color="9CC2E5"/>
              <w:right w:val="single" w:sz="8" w:space="0" w:color="9CC2E5"/>
            </w:tcBorders>
            <w:shd w:val="clear" w:color="auto" w:fill="auto"/>
            <w:noWrap/>
            <w:vAlign w:val="center"/>
            <w:hideMark/>
          </w:tcPr>
          <w:p w14:paraId="0C286241"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0,5</w:t>
            </w:r>
          </w:p>
        </w:tc>
        <w:tc>
          <w:tcPr>
            <w:tcW w:w="765" w:type="dxa"/>
            <w:tcBorders>
              <w:top w:val="nil"/>
              <w:left w:val="nil"/>
              <w:bottom w:val="single" w:sz="8" w:space="0" w:color="9CC2E5"/>
              <w:right w:val="single" w:sz="8" w:space="0" w:color="9CC2E5"/>
            </w:tcBorders>
            <w:shd w:val="clear" w:color="auto" w:fill="auto"/>
            <w:noWrap/>
            <w:vAlign w:val="center"/>
            <w:hideMark/>
          </w:tcPr>
          <w:p w14:paraId="044E0313"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3,9</w:t>
            </w:r>
          </w:p>
        </w:tc>
        <w:tc>
          <w:tcPr>
            <w:tcW w:w="766" w:type="dxa"/>
            <w:tcBorders>
              <w:top w:val="nil"/>
              <w:left w:val="nil"/>
              <w:bottom w:val="single" w:sz="8" w:space="0" w:color="9CC2E5"/>
              <w:right w:val="single" w:sz="8" w:space="0" w:color="9CC2E5"/>
            </w:tcBorders>
            <w:shd w:val="clear" w:color="auto" w:fill="auto"/>
            <w:noWrap/>
            <w:vAlign w:val="center"/>
            <w:hideMark/>
          </w:tcPr>
          <w:p w14:paraId="3FD8B0DE"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4,7</w:t>
            </w:r>
          </w:p>
        </w:tc>
        <w:tc>
          <w:tcPr>
            <w:tcW w:w="766" w:type="dxa"/>
            <w:tcBorders>
              <w:top w:val="nil"/>
              <w:left w:val="nil"/>
              <w:bottom w:val="single" w:sz="8" w:space="0" w:color="9CC2E5"/>
              <w:right w:val="single" w:sz="8" w:space="0" w:color="9CC2E5"/>
            </w:tcBorders>
            <w:shd w:val="clear" w:color="auto" w:fill="auto"/>
            <w:noWrap/>
            <w:vAlign w:val="center"/>
            <w:hideMark/>
          </w:tcPr>
          <w:p w14:paraId="7705FAA1"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5,0</w:t>
            </w:r>
          </w:p>
        </w:tc>
      </w:tr>
      <w:tr w:rsidR="00281D96" w:rsidRPr="00E70C16" w14:paraId="47A8062E" w14:textId="77777777" w:rsidTr="00E54B38">
        <w:trPr>
          <w:trHeight w:val="315"/>
          <w:jc w:val="center"/>
        </w:trPr>
        <w:tc>
          <w:tcPr>
            <w:tcW w:w="8354" w:type="dxa"/>
            <w:gridSpan w:val="8"/>
            <w:tcBorders>
              <w:top w:val="single" w:sz="8" w:space="0" w:color="9CC2E5"/>
              <w:left w:val="single" w:sz="8" w:space="0" w:color="9CC2E5"/>
              <w:bottom w:val="single" w:sz="8" w:space="0" w:color="9CC2E5"/>
              <w:right w:val="single" w:sz="8" w:space="0" w:color="9CC2E5"/>
            </w:tcBorders>
            <w:shd w:val="clear" w:color="000000" w:fill="DEEAF6"/>
            <w:noWrap/>
            <w:vAlign w:val="center"/>
            <w:hideMark/>
          </w:tcPr>
          <w:p w14:paraId="5BA79911" w14:textId="77777777" w:rsidR="00281D96" w:rsidRPr="00E70C16" w:rsidRDefault="00281D96" w:rsidP="00277007">
            <w:pPr>
              <w:ind w:firstLine="0"/>
              <w:jc w:val="center"/>
              <w:rPr>
                <w:rFonts w:eastAsia="Times New Roman" w:cs="Times New Roman"/>
                <w:sz w:val="18"/>
                <w:szCs w:val="18"/>
                <w:lang w:eastAsia="lv-LV"/>
              </w:rPr>
            </w:pPr>
            <w:r w:rsidRPr="00E70C16">
              <w:rPr>
                <w:rFonts w:eastAsia="Times New Roman" w:cs="Times New Roman"/>
                <w:sz w:val="18"/>
                <w:szCs w:val="18"/>
                <w:lang w:eastAsia="lv-LV"/>
              </w:rPr>
              <w:t>Ieguldījums IKP izaugsmē</w:t>
            </w:r>
          </w:p>
        </w:tc>
      </w:tr>
      <w:tr w:rsidR="00281D96" w:rsidRPr="00E70C16" w14:paraId="37484877" w14:textId="77777777" w:rsidTr="00E54B38">
        <w:trPr>
          <w:trHeight w:val="315"/>
          <w:jc w:val="center"/>
        </w:trPr>
        <w:tc>
          <w:tcPr>
            <w:tcW w:w="2739" w:type="dxa"/>
            <w:tcBorders>
              <w:top w:val="nil"/>
              <w:left w:val="single" w:sz="8" w:space="0" w:color="9CC2E5"/>
              <w:bottom w:val="single" w:sz="8" w:space="0" w:color="9CC2E5"/>
              <w:right w:val="single" w:sz="8" w:space="0" w:color="9CC2E5"/>
            </w:tcBorders>
            <w:shd w:val="clear" w:color="auto" w:fill="auto"/>
            <w:vAlign w:val="center"/>
            <w:hideMark/>
          </w:tcPr>
          <w:p w14:paraId="1401E6DC" w14:textId="77777777" w:rsidR="00281D96" w:rsidRPr="00E70C16" w:rsidRDefault="00281D96" w:rsidP="00277007">
            <w:pPr>
              <w:ind w:firstLine="0"/>
              <w:jc w:val="left"/>
              <w:rPr>
                <w:rFonts w:eastAsia="Times New Roman" w:cs="Times New Roman"/>
                <w:sz w:val="18"/>
                <w:szCs w:val="18"/>
                <w:lang w:eastAsia="lv-LV"/>
              </w:rPr>
            </w:pPr>
            <w:r w:rsidRPr="00E70C16">
              <w:rPr>
                <w:rFonts w:eastAsia="Times New Roman" w:cs="Times New Roman"/>
                <w:sz w:val="18"/>
                <w:szCs w:val="18"/>
                <w:lang w:eastAsia="lv-LV"/>
              </w:rPr>
              <w:t>9. Kopējais iekšzemes pieprasījums</w:t>
            </w:r>
          </w:p>
        </w:tc>
        <w:tc>
          <w:tcPr>
            <w:tcW w:w="992" w:type="dxa"/>
            <w:tcBorders>
              <w:top w:val="nil"/>
              <w:left w:val="nil"/>
              <w:bottom w:val="single" w:sz="8" w:space="0" w:color="9CC2E5"/>
              <w:right w:val="single" w:sz="8" w:space="0" w:color="9CC2E5"/>
            </w:tcBorders>
            <w:shd w:val="clear" w:color="auto" w:fill="auto"/>
            <w:noWrap/>
            <w:vAlign w:val="center"/>
            <w:hideMark/>
          </w:tcPr>
          <w:p w14:paraId="280238BA" w14:textId="77777777" w:rsidR="00281D96" w:rsidRPr="00E70C16" w:rsidRDefault="00281D96" w:rsidP="00277007">
            <w:pPr>
              <w:ind w:firstLine="0"/>
              <w:jc w:val="center"/>
              <w:rPr>
                <w:rFonts w:eastAsia="Times New Roman" w:cs="Times New Roman"/>
                <w:sz w:val="18"/>
                <w:szCs w:val="18"/>
                <w:lang w:eastAsia="lv-LV"/>
              </w:rPr>
            </w:pPr>
          </w:p>
        </w:tc>
        <w:tc>
          <w:tcPr>
            <w:tcW w:w="795" w:type="dxa"/>
            <w:tcBorders>
              <w:top w:val="nil"/>
              <w:left w:val="nil"/>
              <w:bottom w:val="single" w:sz="8" w:space="0" w:color="9CC2E5"/>
              <w:right w:val="single" w:sz="8" w:space="0" w:color="9CC2E5"/>
            </w:tcBorders>
            <w:shd w:val="clear" w:color="auto" w:fill="auto"/>
            <w:noWrap/>
            <w:vAlign w:val="center"/>
            <w:hideMark/>
          </w:tcPr>
          <w:p w14:paraId="7846F0E3" w14:textId="77777777" w:rsidR="00281D96" w:rsidRPr="00E70C16" w:rsidRDefault="00281D96" w:rsidP="00277007">
            <w:pPr>
              <w:ind w:firstLine="0"/>
              <w:jc w:val="center"/>
              <w:rPr>
                <w:rFonts w:eastAsia="Times New Roman" w:cs="Times New Roman"/>
                <w:sz w:val="18"/>
                <w:szCs w:val="18"/>
                <w:lang w:eastAsia="lv-LV"/>
              </w:rPr>
            </w:pPr>
          </w:p>
        </w:tc>
        <w:tc>
          <w:tcPr>
            <w:tcW w:w="765" w:type="dxa"/>
            <w:tcBorders>
              <w:top w:val="nil"/>
              <w:left w:val="nil"/>
              <w:bottom w:val="single" w:sz="8" w:space="0" w:color="9CC2E5"/>
              <w:right w:val="single" w:sz="8" w:space="0" w:color="9CC2E5"/>
            </w:tcBorders>
            <w:shd w:val="clear" w:color="auto" w:fill="auto"/>
            <w:noWrap/>
            <w:vAlign w:val="center"/>
            <w:hideMark/>
          </w:tcPr>
          <w:p w14:paraId="549432F1"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5,5</w:t>
            </w:r>
          </w:p>
        </w:tc>
        <w:tc>
          <w:tcPr>
            <w:tcW w:w="766" w:type="dxa"/>
            <w:tcBorders>
              <w:top w:val="nil"/>
              <w:left w:val="nil"/>
              <w:bottom w:val="single" w:sz="8" w:space="0" w:color="9CC2E5"/>
              <w:right w:val="single" w:sz="8" w:space="0" w:color="9CC2E5"/>
            </w:tcBorders>
            <w:shd w:val="clear" w:color="auto" w:fill="auto"/>
            <w:noWrap/>
            <w:vAlign w:val="center"/>
            <w:hideMark/>
          </w:tcPr>
          <w:p w14:paraId="547338C4"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-0,1</w:t>
            </w:r>
          </w:p>
        </w:tc>
        <w:tc>
          <w:tcPr>
            <w:tcW w:w="765" w:type="dxa"/>
            <w:tcBorders>
              <w:top w:val="nil"/>
              <w:left w:val="nil"/>
              <w:bottom w:val="single" w:sz="8" w:space="0" w:color="9CC2E5"/>
              <w:right w:val="single" w:sz="8" w:space="0" w:color="9CC2E5"/>
            </w:tcBorders>
            <w:shd w:val="clear" w:color="auto" w:fill="auto"/>
            <w:noWrap/>
            <w:vAlign w:val="center"/>
            <w:hideMark/>
          </w:tcPr>
          <w:p w14:paraId="6355A2A6"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2,6</w:t>
            </w:r>
          </w:p>
        </w:tc>
        <w:tc>
          <w:tcPr>
            <w:tcW w:w="766" w:type="dxa"/>
            <w:tcBorders>
              <w:top w:val="nil"/>
              <w:left w:val="nil"/>
              <w:bottom w:val="single" w:sz="8" w:space="0" w:color="9CC2E5"/>
              <w:right w:val="single" w:sz="8" w:space="0" w:color="9CC2E5"/>
            </w:tcBorders>
            <w:shd w:val="clear" w:color="auto" w:fill="auto"/>
            <w:noWrap/>
            <w:vAlign w:val="center"/>
            <w:hideMark/>
          </w:tcPr>
          <w:p w14:paraId="674DA646"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3,7</w:t>
            </w:r>
          </w:p>
        </w:tc>
        <w:tc>
          <w:tcPr>
            <w:tcW w:w="766" w:type="dxa"/>
            <w:tcBorders>
              <w:top w:val="nil"/>
              <w:left w:val="nil"/>
              <w:bottom w:val="single" w:sz="8" w:space="0" w:color="9CC2E5"/>
              <w:right w:val="single" w:sz="8" w:space="0" w:color="9CC2E5"/>
            </w:tcBorders>
            <w:shd w:val="clear" w:color="auto" w:fill="auto"/>
            <w:noWrap/>
            <w:vAlign w:val="center"/>
            <w:hideMark/>
          </w:tcPr>
          <w:p w14:paraId="28F0C1D1"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3,5</w:t>
            </w:r>
          </w:p>
        </w:tc>
      </w:tr>
      <w:tr w:rsidR="00281D96" w:rsidRPr="00E70C16" w14:paraId="57715975" w14:textId="77777777" w:rsidTr="00E54B38">
        <w:trPr>
          <w:trHeight w:val="315"/>
          <w:jc w:val="center"/>
        </w:trPr>
        <w:tc>
          <w:tcPr>
            <w:tcW w:w="2739" w:type="dxa"/>
            <w:tcBorders>
              <w:top w:val="nil"/>
              <w:left w:val="single" w:sz="8" w:space="0" w:color="9CC2E5"/>
              <w:bottom w:val="single" w:sz="8" w:space="0" w:color="9CC2E5"/>
              <w:right w:val="single" w:sz="8" w:space="0" w:color="9CC2E5"/>
            </w:tcBorders>
            <w:shd w:val="clear" w:color="000000" w:fill="DEEAF6"/>
            <w:vAlign w:val="center"/>
            <w:hideMark/>
          </w:tcPr>
          <w:p w14:paraId="6B10D964" w14:textId="77777777" w:rsidR="00281D96" w:rsidRPr="00E70C16" w:rsidRDefault="00281D96" w:rsidP="00277007">
            <w:pPr>
              <w:ind w:firstLine="0"/>
              <w:jc w:val="left"/>
              <w:rPr>
                <w:rFonts w:eastAsia="Times New Roman" w:cs="Times New Roman"/>
                <w:sz w:val="18"/>
                <w:szCs w:val="18"/>
                <w:lang w:eastAsia="lv-LV"/>
              </w:rPr>
            </w:pPr>
            <w:r w:rsidRPr="00E70C16">
              <w:rPr>
                <w:rFonts w:eastAsia="Times New Roman" w:cs="Times New Roman"/>
                <w:sz w:val="18"/>
                <w:szCs w:val="18"/>
                <w:lang w:eastAsia="lv-LV"/>
              </w:rPr>
              <w:t xml:space="preserve">10. Krājumu pārmaiņas un vērtslietu iegāde </w:t>
            </w:r>
          </w:p>
        </w:tc>
        <w:tc>
          <w:tcPr>
            <w:tcW w:w="992" w:type="dxa"/>
            <w:tcBorders>
              <w:top w:val="nil"/>
              <w:left w:val="nil"/>
              <w:bottom w:val="single" w:sz="8" w:space="0" w:color="9CC2E5"/>
              <w:right w:val="single" w:sz="8" w:space="0" w:color="9CC2E5"/>
            </w:tcBorders>
            <w:shd w:val="clear" w:color="000000" w:fill="DEEAF6"/>
            <w:noWrap/>
            <w:vAlign w:val="center"/>
            <w:hideMark/>
          </w:tcPr>
          <w:p w14:paraId="0070BB35" w14:textId="77777777" w:rsidR="00281D96" w:rsidRPr="00E70C16" w:rsidRDefault="00281D96" w:rsidP="00277007">
            <w:pPr>
              <w:ind w:firstLine="0"/>
              <w:jc w:val="center"/>
              <w:rPr>
                <w:rFonts w:eastAsia="Times New Roman" w:cs="Times New Roman"/>
                <w:sz w:val="18"/>
                <w:szCs w:val="18"/>
                <w:lang w:eastAsia="lv-LV"/>
              </w:rPr>
            </w:pPr>
            <w:r w:rsidRPr="00E70C16">
              <w:rPr>
                <w:rFonts w:eastAsia="Times New Roman" w:cs="Times New Roman"/>
                <w:sz w:val="18"/>
                <w:szCs w:val="18"/>
                <w:lang w:eastAsia="lv-LV"/>
              </w:rPr>
              <w:t>P52+P53</w:t>
            </w:r>
          </w:p>
        </w:tc>
        <w:tc>
          <w:tcPr>
            <w:tcW w:w="795" w:type="dxa"/>
            <w:tcBorders>
              <w:top w:val="nil"/>
              <w:left w:val="nil"/>
              <w:bottom w:val="single" w:sz="8" w:space="0" w:color="9CC2E5"/>
              <w:right w:val="single" w:sz="8" w:space="0" w:color="9CC2E5"/>
            </w:tcBorders>
            <w:shd w:val="clear" w:color="000000" w:fill="DEEAF6"/>
            <w:noWrap/>
            <w:vAlign w:val="center"/>
            <w:hideMark/>
          </w:tcPr>
          <w:p w14:paraId="7FCA86B0" w14:textId="77777777" w:rsidR="00281D96" w:rsidRPr="00E70C16" w:rsidRDefault="00281D96" w:rsidP="00277007">
            <w:pPr>
              <w:ind w:firstLine="0"/>
              <w:jc w:val="center"/>
              <w:rPr>
                <w:rFonts w:eastAsia="Times New Roman" w:cs="Times New Roman"/>
                <w:sz w:val="18"/>
                <w:szCs w:val="18"/>
                <w:lang w:eastAsia="lv-LV"/>
              </w:rPr>
            </w:pPr>
          </w:p>
        </w:tc>
        <w:tc>
          <w:tcPr>
            <w:tcW w:w="765" w:type="dxa"/>
            <w:tcBorders>
              <w:top w:val="nil"/>
              <w:left w:val="nil"/>
              <w:bottom w:val="single" w:sz="8" w:space="0" w:color="9CC2E5"/>
              <w:right w:val="single" w:sz="8" w:space="0" w:color="9CC2E5"/>
            </w:tcBorders>
            <w:shd w:val="clear" w:color="000000" w:fill="DEEAF6"/>
            <w:noWrap/>
            <w:vAlign w:val="center"/>
            <w:hideMark/>
          </w:tcPr>
          <w:p w14:paraId="179E151D"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-0,5</w:t>
            </w:r>
          </w:p>
        </w:tc>
        <w:tc>
          <w:tcPr>
            <w:tcW w:w="766" w:type="dxa"/>
            <w:tcBorders>
              <w:top w:val="nil"/>
              <w:left w:val="nil"/>
              <w:bottom w:val="single" w:sz="8" w:space="0" w:color="9CC2E5"/>
              <w:right w:val="single" w:sz="8" w:space="0" w:color="9CC2E5"/>
            </w:tcBorders>
            <w:shd w:val="clear" w:color="000000" w:fill="DEEAF6"/>
            <w:noWrap/>
            <w:vAlign w:val="center"/>
            <w:hideMark/>
          </w:tcPr>
          <w:p w14:paraId="269CAC43"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0,5</w:t>
            </w:r>
          </w:p>
        </w:tc>
        <w:tc>
          <w:tcPr>
            <w:tcW w:w="765" w:type="dxa"/>
            <w:tcBorders>
              <w:top w:val="nil"/>
              <w:left w:val="nil"/>
              <w:bottom w:val="single" w:sz="8" w:space="0" w:color="9CC2E5"/>
              <w:right w:val="single" w:sz="8" w:space="0" w:color="9CC2E5"/>
            </w:tcBorders>
            <w:shd w:val="clear" w:color="000000" w:fill="DEEAF6"/>
            <w:noWrap/>
            <w:vAlign w:val="center"/>
            <w:hideMark/>
          </w:tcPr>
          <w:p w14:paraId="63895F0E"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-0,3</w:t>
            </w:r>
          </w:p>
        </w:tc>
        <w:tc>
          <w:tcPr>
            <w:tcW w:w="766" w:type="dxa"/>
            <w:tcBorders>
              <w:top w:val="nil"/>
              <w:left w:val="nil"/>
              <w:bottom w:val="single" w:sz="8" w:space="0" w:color="9CC2E5"/>
              <w:right w:val="single" w:sz="8" w:space="0" w:color="9CC2E5"/>
            </w:tcBorders>
            <w:shd w:val="clear" w:color="000000" w:fill="DEEAF6"/>
            <w:noWrap/>
            <w:vAlign w:val="center"/>
            <w:hideMark/>
          </w:tcPr>
          <w:p w14:paraId="28107853"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0,0</w:t>
            </w:r>
          </w:p>
        </w:tc>
        <w:tc>
          <w:tcPr>
            <w:tcW w:w="766" w:type="dxa"/>
            <w:tcBorders>
              <w:top w:val="nil"/>
              <w:left w:val="nil"/>
              <w:bottom w:val="single" w:sz="8" w:space="0" w:color="9CC2E5"/>
              <w:right w:val="single" w:sz="8" w:space="0" w:color="9CC2E5"/>
            </w:tcBorders>
            <w:shd w:val="clear" w:color="000000" w:fill="DEEAF6"/>
            <w:noWrap/>
            <w:vAlign w:val="center"/>
            <w:hideMark/>
          </w:tcPr>
          <w:p w14:paraId="1AE4D2A2"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0,0</w:t>
            </w:r>
          </w:p>
        </w:tc>
      </w:tr>
      <w:tr w:rsidR="00281D96" w:rsidRPr="00E70C16" w14:paraId="0DA6F755" w14:textId="77777777" w:rsidTr="00E54B38">
        <w:trPr>
          <w:trHeight w:val="315"/>
          <w:jc w:val="center"/>
        </w:trPr>
        <w:tc>
          <w:tcPr>
            <w:tcW w:w="2739" w:type="dxa"/>
            <w:tcBorders>
              <w:top w:val="nil"/>
              <w:left w:val="single" w:sz="8" w:space="0" w:color="9CC2E5"/>
              <w:bottom w:val="single" w:sz="8" w:space="0" w:color="9CC2E5"/>
              <w:right w:val="single" w:sz="8" w:space="0" w:color="9CC2E5"/>
            </w:tcBorders>
            <w:shd w:val="clear" w:color="auto" w:fill="auto"/>
            <w:vAlign w:val="center"/>
            <w:hideMark/>
          </w:tcPr>
          <w:p w14:paraId="3281B7B8" w14:textId="77777777" w:rsidR="00281D96" w:rsidRPr="00E70C16" w:rsidRDefault="00281D96" w:rsidP="00277007">
            <w:pPr>
              <w:ind w:firstLine="0"/>
              <w:jc w:val="left"/>
              <w:rPr>
                <w:rFonts w:eastAsia="Times New Roman" w:cs="Times New Roman"/>
                <w:sz w:val="18"/>
                <w:szCs w:val="18"/>
                <w:lang w:eastAsia="lv-LV"/>
              </w:rPr>
            </w:pPr>
            <w:r w:rsidRPr="00E70C16">
              <w:rPr>
                <w:rFonts w:eastAsia="Times New Roman" w:cs="Times New Roman"/>
                <w:sz w:val="18"/>
                <w:szCs w:val="18"/>
                <w:lang w:eastAsia="lv-LV"/>
              </w:rPr>
              <w:t>11. Eksporta-importa bilance</w:t>
            </w:r>
          </w:p>
        </w:tc>
        <w:tc>
          <w:tcPr>
            <w:tcW w:w="992" w:type="dxa"/>
            <w:tcBorders>
              <w:top w:val="nil"/>
              <w:left w:val="nil"/>
              <w:bottom w:val="single" w:sz="8" w:space="0" w:color="9CC2E5"/>
              <w:right w:val="single" w:sz="8" w:space="0" w:color="9CC2E5"/>
            </w:tcBorders>
            <w:shd w:val="clear" w:color="auto" w:fill="auto"/>
            <w:noWrap/>
            <w:vAlign w:val="center"/>
            <w:hideMark/>
          </w:tcPr>
          <w:p w14:paraId="3571DBFF" w14:textId="77777777" w:rsidR="00281D96" w:rsidRPr="00E70C16" w:rsidRDefault="00281D96" w:rsidP="00277007">
            <w:pPr>
              <w:ind w:firstLine="0"/>
              <w:jc w:val="center"/>
              <w:rPr>
                <w:rFonts w:eastAsia="Times New Roman" w:cs="Times New Roman"/>
                <w:sz w:val="18"/>
                <w:szCs w:val="18"/>
                <w:lang w:eastAsia="lv-LV"/>
              </w:rPr>
            </w:pPr>
            <w:r w:rsidRPr="00E70C16">
              <w:rPr>
                <w:rFonts w:eastAsia="Times New Roman" w:cs="Times New Roman"/>
                <w:sz w:val="18"/>
                <w:szCs w:val="18"/>
                <w:lang w:eastAsia="lv-LV"/>
              </w:rPr>
              <w:t>B11</w:t>
            </w:r>
          </w:p>
        </w:tc>
        <w:tc>
          <w:tcPr>
            <w:tcW w:w="795" w:type="dxa"/>
            <w:tcBorders>
              <w:top w:val="nil"/>
              <w:left w:val="nil"/>
              <w:bottom w:val="single" w:sz="8" w:space="0" w:color="9CC2E5"/>
              <w:right w:val="single" w:sz="8" w:space="0" w:color="9CC2E5"/>
            </w:tcBorders>
            <w:shd w:val="clear" w:color="auto" w:fill="auto"/>
            <w:noWrap/>
            <w:vAlign w:val="center"/>
            <w:hideMark/>
          </w:tcPr>
          <w:p w14:paraId="6C118A6B" w14:textId="77777777" w:rsidR="00281D96" w:rsidRPr="00E70C16" w:rsidRDefault="00281D96" w:rsidP="00277007">
            <w:pPr>
              <w:ind w:firstLine="0"/>
              <w:jc w:val="center"/>
              <w:rPr>
                <w:rFonts w:eastAsia="Times New Roman" w:cs="Times New Roman"/>
                <w:sz w:val="18"/>
                <w:szCs w:val="18"/>
                <w:lang w:eastAsia="lv-LV"/>
              </w:rPr>
            </w:pPr>
          </w:p>
        </w:tc>
        <w:tc>
          <w:tcPr>
            <w:tcW w:w="765" w:type="dxa"/>
            <w:tcBorders>
              <w:top w:val="nil"/>
              <w:left w:val="nil"/>
              <w:bottom w:val="single" w:sz="8" w:space="0" w:color="9CC2E5"/>
              <w:right w:val="single" w:sz="8" w:space="0" w:color="9CC2E5"/>
            </w:tcBorders>
            <w:shd w:val="clear" w:color="auto" w:fill="auto"/>
            <w:noWrap/>
            <w:vAlign w:val="center"/>
            <w:hideMark/>
          </w:tcPr>
          <w:p w14:paraId="77F82154"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-2,9</w:t>
            </w:r>
          </w:p>
        </w:tc>
        <w:tc>
          <w:tcPr>
            <w:tcW w:w="766" w:type="dxa"/>
            <w:tcBorders>
              <w:top w:val="nil"/>
              <w:left w:val="nil"/>
              <w:bottom w:val="single" w:sz="8" w:space="0" w:color="9CC2E5"/>
              <w:right w:val="single" w:sz="8" w:space="0" w:color="9CC2E5"/>
            </w:tcBorders>
            <w:shd w:val="clear" w:color="auto" w:fill="auto"/>
            <w:noWrap/>
            <w:vAlign w:val="center"/>
            <w:hideMark/>
          </w:tcPr>
          <w:p w14:paraId="05239A77"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-0,4</w:t>
            </w:r>
          </w:p>
        </w:tc>
        <w:tc>
          <w:tcPr>
            <w:tcW w:w="765" w:type="dxa"/>
            <w:tcBorders>
              <w:top w:val="nil"/>
              <w:left w:val="nil"/>
              <w:bottom w:val="single" w:sz="8" w:space="0" w:color="9CC2E5"/>
              <w:right w:val="single" w:sz="8" w:space="0" w:color="9CC2E5"/>
            </w:tcBorders>
            <w:shd w:val="clear" w:color="auto" w:fill="auto"/>
            <w:noWrap/>
            <w:vAlign w:val="center"/>
            <w:hideMark/>
          </w:tcPr>
          <w:p w14:paraId="41E97FF4"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-0,3</w:t>
            </w:r>
          </w:p>
        </w:tc>
        <w:tc>
          <w:tcPr>
            <w:tcW w:w="766" w:type="dxa"/>
            <w:tcBorders>
              <w:top w:val="nil"/>
              <w:left w:val="nil"/>
              <w:bottom w:val="single" w:sz="8" w:space="0" w:color="9CC2E5"/>
              <w:right w:val="single" w:sz="8" w:space="0" w:color="9CC2E5"/>
            </w:tcBorders>
            <w:shd w:val="clear" w:color="auto" w:fill="auto"/>
            <w:noWrap/>
            <w:vAlign w:val="center"/>
            <w:hideMark/>
          </w:tcPr>
          <w:p w14:paraId="35DE7A60"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-0,8</w:t>
            </w:r>
          </w:p>
        </w:tc>
        <w:tc>
          <w:tcPr>
            <w:tcW w:w="766" w:type="dxa"/>
            <w:tcBorders>
              <w:top w:val="nil"/>
              <w:left w:val="nil"/>
              <w:bottom w:val="single" w:sz="8" w:space="0" w:color="9CC2E5"/>
              <w:right w:val="single" w:sz="8" w:space="0" w:color="9CC2E5"/>
            </w:tcBorders>
            <w:shd w:val="clear" w:color="auto" w:fill="auto"/>
            <w:noWrap/>
            <w:vAlign w:val="center"/>
            <w:hideMark/>
          </w:tcPr>
          <w:p w14:paraId="33097A56"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-0,7</w:t>
            </w:r>
          </w:p>
        </w:tc>
      </w:tr>
    </w:tbl>
    <w:p w14:paraId="596B334C" w14:textId="236DEEFA" w:rsidR="00281D96" w:rsidRPr="00E70C16" w:rsidRDefault="00001558" w:rsidP="00AB6D6C">
      <w:pPr>
        <w:spacing w:line="259" w:lineRule="auto"/>
        <w:ind w:firstLine="0"/>
        <w:jc w:val="left"/>
        <w:rPr>
          <w:rFonts w:eastAsia="Times New Roman" w:cs="Times New Roman"/>
          <w:color w:val="000000"/>
          <w:sz w:val="18"/>
          <w:szCs w:val="18"/>
        </w:rPr>
      </w:pPr>
      <w:r>
        <w:rPr>
          <w:rFonts w:eastAsia="Times New Roman" w:cs="Times New Roman"/>
          <w:color w:val="000000"/>
          <w:sz w:val="18"/>
          <w:szCs w:val="18"/>
          <w:vertAlign w:val="superscript"/>
        </w:rPr>
        <w:t>*</w:t>
      </w:r>
      <w:r w:rsidRPr="00E70C16">
        <w:rPr>
          <w:rFonts w:eastAsia="Times New Roman" w:cs="Times New Roman"/>
          <w:color w:val="000000"/>
          <w:sz w:val="18"/>
          <w:szCs w:val="18"/>
          <w:vertAlign w:val="superscript"/>
        </w:rPr>
        <w:t xml:space="preserve"> </w:t>
      </w:r>
      <w:r w:rsidR="00281D96" w:rsidRPr="00E70C16">
        <w:rPr>
          <w:rFonts w:eastAsia="Times New Roman" w:cs="Times New Roman"/>
          <w:color w:val="000000"/>
          <w:sz w:val="18"/>
          <w:szCs w:val="18"/>
        </w:rPr>
        <w:t>Prognozes</w:t>
      </w:r>
      <w:r w:rsidR="005C2A56">
        <w:rPr>
          <w:rFonts w:eastAsia="Times New Roman" w:cs="Times New Roman"/>
          <w:color w:val="000000"/>
          <w:sz w:val="18"/>
          <w:szCs w:val="18"/>
        </w:rPr>
        <w:t>:</w:t>
      </w:r>
      <w:r w:rsidR="00281D96" w:rsidRPr="00E70C16">
        <w:rPr>
          <w:rFonts w:eastAsia="Times New Roman" w:cs="Times New Roman"/>
          <w:color w:val="000000"/>
          <w:sz w:val="18"/>
          <w:szCs w:val="18"/>
        </w:rPr>
        <w:t xml:space="preserve"> 2023.gada marta scenārijs</w:t>
      </w:r>
    </w:p>
    <w:p w14:paraId="2F57C842" w14:textId="77777777" w:rsidR="00281D96" w:rsidRPr="00E70C16" w:rsidRDefault="00281D96" w:rsidP="00281D96">
      <w:pPr>
        <w:spacing w:line="259" w:lineRule="auto"/>
        <w:ind w:firstLine="0"/>
        <w:jc w:val="left"/>
        <w:rPr>
          <w:rFonts w:eastAsia="Times New Roman" w:cs="Times New Roman"/>
          <w:color w:val="000000"/>
          <w:sz w:val="18"/>
          <w:szCs w:val="18"/>
        </w:rPr>
      </w:pPr>
    </w:p>
    <w:p w14:paraId="57AE4046" w14:textId="689D6C0C" w:rsidR="00281D96" w:rsidRPr="00E70C16" w:rsidRDefault="00281D96" w:rsidP="00281D96">
      <w:pPr>
        <w:keepNext/>
        <w:spacing w:after="120"/>
        <w:ind w:firstLine="0"/>
        <w:jc w:val="left"/>
        <w:rPr>
          <w:rFonts w:eastAsia="Times New Roman" w:cs="Times New Roman"/>
          <w:b/>
          <w:color w:val="000000"/>
          <w:sz w:val="24"/>
          <w:szCs w:val="20"/>
        </w:rPr>
      </w:pPr>
      <w:r w:rsidRPr="00E70C16">
        <w:rPr>
          <w:rFonts w:eastAsia="Times New Roman" w:cs="Times New Roman"/>
          <w:b/>
          <w:color w:val="000000"/>
          <w:sz w:val="24"/>
          <w:szCs w:val="20"/>
        </w:rPr>
        <w:t>1b. tabula. Cenu izmaiņas</w:t>
      </w:r>
      <w:r w:rsidR="00001558">
        <w:rPr>
          <w:rFonts w:eastAsia="Times New Roman" w:cs="Times New Roman"/>
          <w:b/>
          <w:color w:val="000000"/>
          <w:sz w:val="20"/>
          <w:szCs w:val="20"/>
          <w:vertAlign w:val="superscript"/>
        </w:rPr>
        <w:t>*</w:t>
      </w:r>
    </w:p>
    <w:tbl>
      <w:tblPr>
        <w:tblW w:w="8354" w:type="dxa"/>
        <w:jc w:val="center"/>
        <w:tblLayout w:type="fixed"/>
        <w:tblLook w:val="04A0" w:firstRow="1" w:lastRow="0" w:firstColumn="1" w:lastColumn="0" w:noHBand="0" w:noVBand="1"/>
      </w:tblPr>
      <w:tblGrid>
        <w:gridCol w:w="2967"/>
        <w:gridCol w:w="709"/>
        <w:gridCol w:w="850"/>
        <w:gridCol w:w="765"/>
        <w:gridCol w:w="766"/>
        <w:gridCol w:w="765"/>
        <w:gridCol w:w="766"/>
        <w:gridCol w:w="766"/>
      </w:tblGrid>
      <w:tr w:rsidR="00281D96" w:rsidRPr="00E70C16" w14:paraId="46EF52B4" w14:textId="77777777" w:rsidTr="00E54B38">
        <w:trPr>
          <w:trHeight w:val="315"/>
          <w:jc w:val="center"/>
        </w:trPr>
        <w:tc>
          <w:tcPr>
            <w:tcW w:w="2967" w:type="dxa"/>
            <w:vMerge w:val="restart"/>
            <w:tcBorders>
              <w:top w:val="single" w:sz="8" w:space="0" w:color="9CC2E5"/>
              <w:left w:val="single" w:sz="8" w:space="0" w:color="9CC2E5"/>
              <w:bottom w:val="single" w:sz="8" w:space="0" w:color="9CC2E5"/>
              <w:right w:val="single" w:sz="8" w:space="0" w:color="9CC2E5"/>
            </w:tcBorders>
            <w:shd w:val="clear" w:color="auto" w:fill="auto"/>
            <w:vAlign w:val="center"/>
            <w:hideMark/>
          </w:tcPr>
          <w:p w14:paraId="52E4946C" w14:textId="77777777" w:rsidR="00281D96" w:rsidRPr="00E70C16" w:rsidRDefault="00281D96" w:rsidP="00277007">
            <w:pPr>
              <w:ind w:firstLine="0"/>
              <w:jc w:val="left"/>
              <w:rPr>
                <w:rFonts w:ascii="Calibri" w:eastAsia="Times New Roman" w:hAnsi="Calibri" w:cs="Calibri"/>
                <w:sz w:val="18"/>
                <w:szCs w:val="18"/>
                <w:lang w:eastAsia="lv-LV"/>
              </w:rPr>
            </w:pPr>
            <w:r w:rsidRPr="00E70C16">
              <w:rPr>
                <w:rFonts w:ascii="Calibri" w:eastAsia="Times New Roman" w:hAnsi="Calibri" w:cs="Calibri"/>
                <w:sz w:val="18"/>
                <w:szCs w:val="18"/>
                <w:lang w:eastAsia="lv-LV"/>
              </w:rPr>
              <w:t> </w:t>
            </w:r>
          </w:p>
        </w:tc>
        <w:tc>
          <w:tcPr>
            <w:tcW w:w="709" w:type="dxa"/>
            <w:vMerge w:val="restart"/>
            <w:tcBorders>
              <w:top w:val="single" w:sz="8" w:space="0" w:color="9CC2E5"/>
              <w:left w:val="single" w:sz="8" w:space="0" w:color="9CC2E5"/>
              <w:bottom w:val="single" w:sz="8" w:space="0" w:color="9CC2E5"/>
              <w:right w:val="single" w:sz="8" w:space="0" w:color="9CC2E5"/>
            </w:tcBorders>
            <w:shd w:val="clear" w:color="auto" w:fill="auto"/>
            <w:noWrap/>
            <w:vAlign w:val="center"/>
            <w:hideMark/>
          </w:tcPr>
          <w:p w14:paraId="261EC8A8" w14:textId="77777777" w:rsidR="00281D96" w:rsidRPr="00E70C16" w:rsidRDefault="00281D96" w:rsidP="00277007">
            <w:pPr>
              <w:ind w:firstLine="0"/>
              <w:jc w:val="center"/>
              <w:rPr>
                <w:rFonts w:eastAsia="Times New Roman" w:cs="Times New Roman"/>
                <w:b/>
                <w:bCs/>
                <w:sz w:val="18"/>
                <w:szCs w:val="18"/>
                <w:lang w:eastAsia="lv-LV"/>
              </w:rPr>
            </w:pPr>
            <w:r w:rsidRPr="00E70C16">
              <w:rPr>
                <w:rFonts w:eastAsia="Times New Roman" w:cs="Times New Roman"/>
                <w:b/>
                <w:bCs/>
                <w:sz w:val="18"/>
                <w:szCs w:val="18"/>
                <w:lang w:eastAsia="lv-LV"/>
              </w:rPr>
              <w:t>EKS kods</w:t>
            </w:r>
          </w:p>
        </w:tc>
        <w:tc>
          <w:tcPr>
            <w:tcW w:w="850" w:type="dxa"/>
            <w:tcBorders>
              <w:top w:val="single" w:sz="8" w:space="0" w:color="9CC2E5"/>
              <w:left w:val="nil"/>
              <w:bottom w:val="single" w:sz="12" w:space="0" w:color="9CC2E5"/>
              <w:right w:val="single" w:sz="8" w:space="0" w:color="9CC2E5"/>
            </w:tcBorders>
            <w:shd w:val="clear" w:color="auto" w:fill="auto"/>
            <w:noWrap/>
            <w:vAlign w:val="center"/>
            <w:hideMark/>
          </w:tcPr>
          <w:p w14:paraId="06048B35" w14:textId="77777777" w:rsidR="00281D96" w:rsidRPr="00E70C16" w:rsidRDefault="00281D96" w:rsidP="00277007">
            <w:pPr>
              <w:ind w:firstLine="0"/>
              <w:jc w:val="center"/>
              <w:rPr>
                <w:rFonts w:eastAsia="Times New Roman" w:cs="Times New Roman"/>
                <w:b/>
                <w:bCs/>
                <w:sz w:val="18"/>
                <w:szCs w:val="18"/>
                <w:lang w:eastAsia="lv-LV"/>
              </w:rPr>
            </w:pPr>
            <w:r w:rsidRPr="00E70C16">
              <w:rPr>
                <w:b/>
                <w:bCs/>
                <w:sz w:val="18"/>
                <w:szCs w:val="18"/>
              </w:rPr>
              <w:t>2022</w:t>
            </w:r>
          </w:p>
        </w:tc>
        <w:tc>
          <w:tcPr>
            <w:tcW w:w="765" w:type="dxa"/>
            <w:tcBorders>
              <w:top w:val="single" w:sz="8" w:space="0" w:color="9CC2E5"/>
              <w:left w:val="nil"/>
              <w:bottom w:val="single" w:sz="12" w:space="0" w:color="9CC2E5"/>
              <w:right w:val="single" w:sz="8" w:space="0" w:color="9CC2E5"/>
            </w:tcBorders>
            <w:shd w:val="clear" w:color="auto" w:fill="auto"/>
            <w:noWrap/>
            <w:vAlign w:val="center"/>
            <w:hideMark/>
          </w:tcPr>
          <w:p w14:paraId="775D303D" w14:textId="77777777" w:rsidR="00281D96" w:rsidRPr="00E70C16" w:rsidRDefault="00281D96" w:rsidP="00277007">
            <w:pPr>
              <w:ind w:firstLine="0"/>
              <w:jc w:val="center"/>
              <w:rPr>
                <w:rFonts w:eastAsia="Times New Roman" w:cs="Times New Roman"/>
                <w:b/>
                <w:bCs/>
                <w:sz w:val="18"/>
                <w:szCs w:val="18"/>
                <w:lang w:eastAsia="lv-LV"/>
              </w:rPr>
            </w:pPr>
            <w:r w:rsidRPr="00E70C16">
              <w:rPr>
                <w:b/>
                <w:bCs/>
                <w:sz w:val="18"/>
                <w:szCs w:val="18"/>
              </w:rPr>
              <w:t>2022</w:t>
            </w:r>
          </w:p>
        </w:tc>
        <w:tc>
          <w:tcPr>
            <w:tcW w:w="766" w:type="dxa"/>
            <w:tcBorders>
              <w:top w:val="single" w:sz="8" w:space="0" w:color="9CC2E5"/>
              <w:left w:val="nil"/>
              <w:bottom w:val="single" w:sz="12" w:space="0" w:color="9CC2E5"/>
              <w:right w:val="single" w:sz="8" w:space="0" w:color="9CC2E5"/>
            </w:tcBorders>
            <w:shd w:val="clear" w:color="auto" w:fill="auto"/>
            <w:noWrap/>
            <w:vAlign w:val="center"/>
            <w:hideMark/>
          </w:tcPr>
          <w:p w14:paraId="4D109902" w14:textId="77777777" w:rsidR="00281D96" w:rsidRPr="00E70C16" w:rsidRDefault="00281D96" w:rsidP="00277007">
            <w:pPr>
              <w:ind w:firstLine="0"/>
              <w:jc w:val="center"/>
              <w:rPr>
                <w:rFonts w:eastAsia="Times New Roman" w:cs="Times New Roman"/>
                <w:b/>
                <w:bCs/>
                <w:sz w:val="18"/>
                <w:szCs w:val="18"/>
                <w:lang w:eastAsia="lv-LV"/>
              </w:rPr>
            </w:pPr>
            <w:r w:rsidRPr="00E70C16">
              <w:rPr>
                <w:b/>
                <w:bCs/>
                <w:sz w:val="18"/>
                <w:szCs w:val="18"/>
              </w:rPr>
              <w:t>2023</w:t>
            </w:r>
          </w:p>
        </w:tc>
        <w:tc>
          <w:tcPr>
            <w:tcW w:w="765" w:type="dxa"/>
            <w:tcBorders>
              <w:top w:val="single" w:sz="8" w:space="0" w:color="9CC2E5"/>
              <w:left w:val="nil"/>
              <w:bottom w:val="single" w:sz="12" w:space="0" w:color="9CC2E5"/>
              <w:right w:val="single" w:sz="8" w:space="0" w:color="9CC2E5"/>
            </w:tcBorders>
            <w:shd w:val="clear" w:color="auto" w:fill="auto"/>
            <w:noWrap/>
            <w:vAlign w:val="center"/>
            <w:hideMark/>
          </w:tcPr>
          <w:p w14:paraId="10CABD84" w14:textId="77777777" w:rsidR="00281D96" w:rsidRPr="00E70C16" w:rsidRDefault="00281D96" w:rsidP="00277007">
            <w:pPr>
              <w:ind w:firstLine="0"/>
              <w:jc w:val="center"/>
              <w:rPr>
                <w:rFonts w:eastAsia="Times New Roman" w:cs="Times New Roman"/>
                <w:b/>
                <w:bCs/>
                <w:sz w:val="18"/>
                <w:szCs w:val="18"/>
                <w:lang w:eastAsia="lv-LV"/>
              </w:rPr>
            </w:pPr>
            <w:r w:rsidRPr="00E70C16">
              <w:rPr>
                <w:b/>
                <w:bCs/>
                <w:sz w:val="18"/>
                <w:szCs w:val="18"/>
              </w:rPr>
              <w:t>2024</w:t>
            </w:r>
          </w:p>
        </w:tc>
        <w:tc>
          <w:tcPr>
            <w:tcW w:w="766" w:type="dxa"/>
            <w:tcBorders>
              <w:top w:val="single" w:sz="8" w:space="0" w:color="9CC2E5"/>
              <w:left w:val="nil"/>
              <w:bottom w:val="single" w:sz="12" w:space="0" w:color="9CC2E5"/>
              <w:right w:val="single" w:sz="8" w:space="0" w:color="9CC2E5"/>
            </w:tcBorders>
            <w:shd w:val="clear" w:color="auto" w:fill="auto"/>
            <w:noWrap/>
            <w:vAlign w:val="center"/>
            <w:hideMark/>
          </w:tcPr>
          <w:p w14:paraId="4CD537FC" w14:textId="77777777" w:rsidR="00281D96" w:rsidRPr="00E70C16" w:rsidRDefault="00281D96" w:rsidP="00277007">
            <w:pPr>
              <w:ind w:firstLine="0"/>
              <w:jc w:val="center"/>
              <w:rPr>
                <w:rFonts w:eastAsia="Times New Roman" w:cs="Times New Roman"/>
                <w:b/>
                <w:bCs/>
                <w:sz w:val="18"/>
                <w:szCs w:val="18"/>
                <w:lang w:eastAsia="lv-LV"/>
              </w:rPr>
            </w:pPr>
            <w:r w:rsidRPr="00E70C16">
              <w:rPr>
                <w:b/>
                <w:bCs/>
                <w:sz w:val="18"/>
                <w:szCs w:val="18"/>
              </w:rPr>
              <w:t>2025</w:t>
            </w:r>
          </w:p>
        </w:tc>
        <w:tc>
          <w:tcPr>
            <w:tcW w:w="766" w:type="dxa"/>
            <w:tcBorders>
              <w:top w:val="single" w:sz="8" w:space="0" w:color="9CC2E5"/>
              <w:left w:val="nil"/>
              <w:bottom w:val="single" w:sz="12" w:space="0" w:color="9CC2E5"/>
              <w:right w:val="single" w:sz="8" w:space="0" w:color="9CC2E5"/>
            </w:tcBorders>
            <w:shd w:val="clear" w:color="auto" w:fill="auto"/>
            <w:noWrap/>
            <w:vAlign w:val="center"/>
            <w:hideMark/>
          </w:tcPr>
          <w:p w14:paraId="2AD19FE1" w14:textId="77777777" w:rsidR="00281D96" w:rsidRPr="00E70C16" w:rsidRDefault="00281D96" w:rsidP="00277007">
            <w:pPr>
              <w:ind w:firstLine="0"/>
              <w:jc w:val="center"/>
              <w:rPr>
                <w:rFonts w:eastAsia="Times New Roman" w:cs="Times New Roman"/>
                <w:b/>
                <w:bCs/>
                <w:sz w:val="18"/>
                <w:szCs w:val="18"/>
                <w:lang w:eastAsia="lv-LV"/>
              </w:rPr>
            </w:pPr>
            <w:r w:rsidRPr="00E70C16">
              <w:rPr>
                <w:b/>
                <w:bCs/>
                <w:sz w:val="18"/>
                <w:szCs w:val="18"/>
              </w:rPr>
              <w:t>2026</w:t>
            </w:r>
          </w:p>
        </w:tc>
      </w:tr>
      <w:tr w:rsidR="00281D96" w:rsidRPr="00E70C16" w14:paraId="49A8493B" w14:textId="77777777" w:rsidTr="00E54B38">
        <w:trPr>
          <w:trHeight w:val="330"/>
          <w:jc w:val="center"/>
        </w:trPr>
        <w:tc>
          <w:tcPr>
            <w:tcW w:w="2967" w:type="dxa"/>
            <w:vMerge/>
            <w:tcBorders>
              <w:top w:val="single" w:sz="8" w:space="0" w:color="9CC2E5"/>
              <w:left w:val="single" w:sz="8" w:space="0" w:color="9CC2E5"/>
              <w:bottom w:val="single" w:sz="8" w:space="0" w:color="9CC2E5"/>
              <w:right w:val="single" w:sz="8" w:space="0" w:color="9CC2E5"/>
            </w:tcBorders>
            <w:vAlign w:val="center"/>
            <w:hideMark/>
          </w:tcPr>
          <w:p w14:paraId="6644A6AB" w14:textId="77777777" w:rsidR="00281D96" w:rsidRPr="00E70C16" w:rsidRDefault="00281D96" w:rsidP="00277007">
            <w:pPr>
              <w:ind w:firstLine="0"/>
              <w:jc w:val="left"/>
              <w:rPr>
                <w:rFonts w:ascii="Calibri" w:eastAsia="Times New Roman" w:hAnsi="Calibri" w:cs="Calibri"/>
                <w:sz w:val="18"/>
                <w:szCs w:val="18"/>
                <w:lang w:eastAsia="lv-LV"/>
              </w:rPr>
            </w:pPr>
          </w:p>
        </w:tc>
        <w:tc>
          <w:tcPr>
            <w:tcW w:w="709" w:type="dxa"/>
            <w:vMerge/>
            <w:tcBorders>
              <w:top w:val="single" w:sz="8" w:space="0" w:color="9CC2E5"/>
              <w:left w:val="single" w:sz="8" w:space="0" w:color="9CC2E5"/>
              <w:bottom w:val="single" w:sz="8" w:space="0" w:color="9CC2E5"/>
              <w:right w:val="single" w:sz="8" w:space="0" w:color="9CC2E5"/>
            </w:tcBorders>
            <w:vAlign w:val="center"/>
            <w:hideMark/>
          </w:tcPr>
          <w:p w14:paraId="72BAE1CF" w14:textId="77777777" w:rsidR="00281D96" w:rsidRPr="00E70C16" w:rsidRDefault="00281D96" w:rsidP="00277007">
            <w:pPr>
              <w:ind w:firstLine="0"/>
              <w:jc w:val="left"/>
              <w:rPr>
                <w:rFonts w:eastAsia="Times New Roman" w:cs="Times New Roman"/>
                <w:b/>
                <w:bCs/>
                <w:sz w:val="18"/>
                <w:szCs w:val="18"/>
                <w:lang w:eastAsia="lv-LV"/>
              </w:rPr>
            </w:pPr>
          </w:p>
        </w:tc>
        <w:tc>
          <w:tcPr>
            <w:tcW w:w="850" w:type="dxa"/>
            <w:tcBorders>
              <w:top w:val="nil"/>
              <w:left w:val="nil"/>
              <w:bottom w:val="single" w:sz="8" w:space="0" w:color="9CC2E5"/>
              <w:right w:val="single" w:sz="8" w:space="0" w:color="9CC2E5"/>
            </w:tcBorders>
            <w:shd w:val="clear" w:color="000000" w:fill="DEEAF6"/>
            <w:vAlign w:val="center"/>
            <w:hideMark/>
          </w:tcPr>
          <w:p w14:paraId="0675AD6D" w14:textId="77777777" w:rsidR="00281D96" w:rsidRPr="00E70C16" w:rsidRDefault="00281D96" w:rsidP="00277007">
            <w:pPr>
              <w:ind w:firstLine="0"/>
              <w:jc w:val="center"/>
              <w:rPr>
                <w:rFonts w:eastAsia="Times New Roman" w:cs="Times New Roman"/>
                <w:sz w:val="18"/>
                <w:szCs w:val="18"/>
                <w:lang w:eastAsia="lv-LV"/>
              </w:rPr>
            </w:pPr>
            <w:r w:rsidRPr="00E70C16">
              <w:rPr>
                <w:rFonts w:eastAsia="Times New Roman" w:cs="Times New Roman"/>
                <w:sz w:val="18"/>
                <w:szCs w:val="18"/>
                <w:lang w:eastAsia="lv-LV"/>
              </w:rPr>
              <w:t>līmenis</w:t>
            </w:r>
          </w:p>
        </w:tc>
        <w:tc>
          <w:tcPr>
            <w:tcW w:w="3828" w:type="dxa"/>
            <w:gridSpan w:val="5"/>
            <w:tcBorders>
              <w:top w:val="single" w:sz="12" w:space="0" w:color="9CC2E5"/>
              <w:left w:val="nil"/>
              <w:bottom w:val="single" w:sz="8" w:space="0" w:color="9CC2E5"/>
              <w:right w:val="single" w:sz="8" w:space="0" w:color="9CC2E5"/>
            </w:tcBorders>
            <w:shd w:val="clear" w:color="000000" w:fill="DEEAF6"/>
            <w:vAlign w:val="center"/>
            <w:hideMark/>
          </w:tcPr>
          <w:p w14:paraId="6B8ADF60" w14:textId="77777777" w:rsidR="00281D96" w:rsidRPr="00E70C16" w:rsidRDefault="00281D96" w:rsidP="00277007">
            <w:pPr>
              <w:ind w:firstLine="0"/>
              <w:jc w:val="center"/>
              <w:rPr>
                <w:rFonts w:eastAsia="Times New Roman" w:cs="Times New Roman"/>
                <w:sz w:val="18"/>
                <w:szCs w:val="18"/>
                <w:lang w:eastAsia="lv-LV"/>
              </w:rPr>
            </w:pPr>
            <w:r w:rsidRPr="00E70C16">
              <w:rPr>
                <w:rFonts w:eastAsia="Times New Roman" w:cs="Times New Roman"/>
                <w:sz w:val="18"/>
                <w:szCs w:val="18"/>
                <w:lang w:eastAsia="lv-LV"/>
              </w:rPr>
              <w:t>Pieaugums %</w:t>
            </w:r>
          </w:p>
        </w:tc>
      </w:tr>
      <w:tr w:rsidR="00281D96" w:rsidRPr="00E70C16" w14:paraId="4AFB5501" w14:textId="77777777" w:rsidTr="00E54B38">
        <w:trPr>
          <w:trHeight w:val="315"/>
          <w:jc w:val="center"/>
        </w:trPr>
        <w:tc>
          <w:tcPr>
            <w:tcW w:w="2967" w:type="dxa"/>
            <w:tcBorders>
              <w:top w:val="nil"/>
              <w:left w:val="single" w:sz="8" w:space="0" w:color="9CC2E5"/>
              <w:bottom w:val="single" w:sz="8" w:space="0" w:color="9CC2E5"/>
              <w:right w:val="single" w:sz="8" w:space="0" w:color="9CC2E5"/>
            </w:tcBorders>
            <w:shd w:val="clear" w:color="auto" w:fill="auto"/>
            <w:vAlign w:val="center"/>
            <w:hideMark/>
          </w:tcPr>
          <w:p w14:paraId="580E30E0" w14:textId="77777777" w:rsidR="00281D96" w:rsidRPr="00E70C16" w:rsidRDefault="00281D96" w:rsidP="00277007">
            <w:pPr>
              <w:ind w:firstLine="0"/>
              <w:jc w:val="left"/>
              <w:rPr>
                <w:rFonts w:eastAsia="Times New Roman" w:cs="Times New Roman"/>
                <w:sz w:val="18"/>
                <w:szCs w:val="18"/>
                <w:lang w:eastAsia="lv-LV"/>
              </w:rPr>
            </w:pPr>
            <w:r w:rsidRPr="00E70C16">
              <w:rPr>
                <w:rFonts w:eastAsia="Times New Roman" w:cs="Times New Roman"/>
                <w:sz w:val="18"/>
                <w:szCs w:val="18"/>
                <w:lang w:eastAsia="lv-LV"/>
              </w:rPr>
              <w:t xml:space="preserve">1. IKP </w:t>
            </w:r>
            <w:proofErr w:type="spellStart"/>
            <w:r w:rsidRPr="00E70C16">
              <w:rPr>
                <w:rFonts w:eastAsia="Times New Roman" w:cs="Times New Roman"/>
                <w:sz w:val="18"/>
                <w:szCs w:val="18"/>
                <w:lang w:eastAsia="lv-LV"/>
              </w:rPr>
              <w:t>deflators</w:t>
            </w:r>
            <w:proofErr w:type="spellEnd"/>
          </w:p>
        </w:tc>
        <w:tc>
          <w:tcPr>
            <w:tcW w:w="709" w:type="dxa"/>
            <w:tcBorders>
              <w:top w:val="nil"/>
              <w:left w:val="nil"/>
              <w:bottom w:val="single" w:sz="8" w:space="0" w:color="9CC2E5"/>
              <w:right w:val="single" w:sz="8" w:space="0" w:color="9CC2E5"/>
            </w:tcBorders>
            <w:shd w:val="clear" w:color="auto" w:fill="auto"/>
            <w:vAlign w:val="center"/>
            <w:hideMark/>
          </w:tcPr>
          <w:p w14:paraId="3375F66A" w14:textId="77777777" w:rsidR="00281D96" w:rsidRPr="00E70C16" w:rsidRDefault="00281D96" w:rsidP="00277007">
            <w:pPr>
              <w:ind w:firstLine="0"/>
              <w:jc w:val="center"/>
              <w:rPr>
                <w:rFonts w:eastAsia="Times New Roman" w:cs="Times New Roman"/>
                <w:sz w:val="18"/>
                <w:szCs w:val="18"/>
                <w:lang w:eastAsia="lv-LV"/>
              </w:rPr>
            </w:pPr>
            <w:r w:rsidRPr="00E70C16">
              <w:rPr>
                <w:rFonts w:eastAsia="Times New Roman" w:cs="Times New Roman"/>
                <w:sz w:val="18"/>
                <w:szCs w:val="18"/>
                <w:lang w:eastAsia="lv-LV"/>
              </w:rPr>
              <w:t> </w:t>
            </w:r>
          </w:p>
        </w:tc>
        <w:tc>
          <w:tcPr>
            <w:tcW w:w="850" w:type="dxa"/>
            <w:tcBorders>
              <w:top w:val="nil"/>
              <w:left w:val="nil"/>
              <w:bottom w:val="single" w:sz="8" w:space="0" w:color="9CC2E5"/>
              <w:right w:val="single" w:sz="8" w:space="0" w:color="9CC2E5"/>
            </w:tcBorders>
            <w:shd w:val="clear" w:color="auto" w:fill="auto"/>
            <w:vAlign w:val="center"/>
            <w:hideMark/>
          </w:tcPr>
          <w:p w14:paraId="4F7B0FB5" w14:textId="77777777" w:rsidR="00281D96" w:rsidRPr="00E70C16" w:rsidRDefault="00281D96" w:rsidP="00277007">
            <w:pPr>
              <w:ind w:firstLine="0"/>
              <w:jc w:val="center"/>
              <w:rPr>
                <w:rFonts w:eastAsia="Times New Roman" w:cs="Times New Roman"/>
                <w:sz w:val="18"/>
                <w:szCs w:val="18"/>
                <w:lang w:eastAsia="lv-LV"/>
              </w:rPr>
            </w:pPr>
            <w:r w:rsidRPr="00E70C16">
              <w:rPr>
                <w:rFonts w:eastAsia="Times New Roman" w:cs="Times New Roman"/>
                <w:sz w:val="18"/>
                <w:szCs w:val="18"/>
                <w:lang w:eastAsia="lv-LV"/>
              </w:rPr>
              <w:t> </w:t>
            </w:r>
          </w:p>
        </w:tc>
        <w:tc>
          <w:tcPr>
            <w:tcW w:w="765" w:type="dxa"/>
            <w:tcBorders>
              <w:top w:val="nil"/>
              <w:left w:val="nil"/>
              <w:bottom w:val="single" w:sz="8" w:space="0" w:color="9CC2E5"/>
              <w:right w:val="single" w:sz="8" w:space="0" w:color="9CC2E5"/>
            </w:tcBorders>
            <w:shd w:val="clear" w:color="auto" w:fill="auto"/>
            <w:vAlign w:val="center"/>
            <w:hideMark/>
          </w:tcPr>
          <w:p w14:paraId="3F166C5E"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14,1</w:t>
            </w:r>
          </w:p>
        </w:tc>
        <w:tc>
          <w:tcPr>
            <w:tcW w:w="766" w:type="dxa"/>
            <w:tcBorders>
              <w:top w:val="nil"/>
              <w:left w:val="nil"/>
              <w:bottom w:val="single" w:sz="8" w:space="0" w:color="9CC2E5"/>
              <w:right w:val="single" w:sz="8" w:space="0" w:color="9CC2E5"/>
            </w:tcBorders>
            <w:shd w:val="clear" w:color="auto" w:fill="auto"/>
            <w:vAlign w:val="center"/>
            <w:hideMark/>
          </w:tcPr>
          <w:p w14:paraId="5A483547"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11,7</w:t>
            </w:r>
          </w:p>
        </w:tc>
        <w:tc>
          <w:tcPr>
            <w:tcW w:w="765" w:type="dxa"/>
            <w:tcBorders>
              <w:top w:val="nil"/>
              <w:left w:val="nil"/>
              <w:bottom w:val="single" w:sz="8" w:space="0" w:color="9CC2E5"/>
              <w:right w:val="single" w:sz="8" w:space="0" w:color="9CC2E5"/>
            </w:tcBorders>
            <w:shd w:val="clear" w:color="auto" w:fill="auto"/>
            <w:vAlign w:val="center"/>
            <w:hideMark/>
          </w:tcPr>
          <w:p w14:paraId="1F30CA8C"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3,4</w:t>
            </w:r>
          </w:p>
        </w:tc>
        <w:tc>
          <w:tcPr>
            <w:tcW w:w="766" w:type="dxa"/>
            <w:tcBorders>
              <w:top w:val="nil"/>
              <w:left w:val="nil"/>
              <w:bottom w:val="single" w:sz="8" w:space="0" w:color="9CC2E5"/>
              <w:right w:val="single" w:sz="8" w:space="0" w:color="9CC2E5"/>
            </w:tcBorders>
            <w:shd w:val="clear" w:color="auto" w:fill="auto"/>
            <w:vAlign w:val="center"/>
            <w:hideMark/>
          </w:tcPr>
          <w:p w14:paraId="2DD729F6"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2,7</w:t>
            </w:r>
          </w:p>
        </w:tc>
        <w:tc>
          <w:tcPr>
            <w:tcW w:w="766" w:type="dxa"/>
            <w:tcBorders>
              <w:top w:val="nil"/>
              <w:left w:val="nil"/>
              <w:bottom w:val="single" w:sz="8" w:space="0" w:color="9CC2E5"/>
              <w:right w:val="single" w:sz="8" w:space="0" w:color="9CC2E5"/>
            </w:tcBorders>
            <w:shd w:val="clear" w:color="auto" w:fill="auto"/>
            <w:vAlign w:val="center"/>
            <w:hideMark/>
          </w:tcPr>
          <w:p w14:paraId="327198B0"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2,7</w:t>
            </w:r>
          </w:p>
        </w:tc>
      </w:tr>
      <w:tr w:rsidR="00281D96" w:rsidRPr="00E70C16" w14:paraId="548D5449" w14:textId="77777777" w:rsidTr="00E54B38">
        <w:trPr>
          <w:trHeight w:val="315"/>
          <w:jc w:val="center"/>
        </w:trPr>
        <w:tc>
          <w:tcPr>
            <w:tcW w:w="2967" w:type="dxa"/>
            <w:tcBorders>
              <w:top w:val="nil"/>
              <w:left w:val="single" w:sz="8" w:space="0" w:color="9CC2E5"/>
              <w:bottom w:val="single" w:sz="8" w:space="0" w:color="9CC2E5"/>
              <w:right w:val="single" w:sz="8" w:space="0" w:color="9CC2E5"/>
            </w:tcBorders>
            <w:shd w:val="clear" w:color="000000" w:fill="DEEAF6"/>
            <w:vAlign w:val="center"/>
            <w:hideMark/>
          </w:tcPr>
          <w:p w14:paraId="26F8E2A1" w14:textId="77777777" w:rsidR="00281D96" w:rsidRPr="00E70C16" w:rsidRDefault="00281D96" w:rsidP="00277007">
            <w:pPr>
              <w:ind w:firstLine="0"/>
              <w:jc w:val="left"/>
              <w:rPr>
                <w:rFonts w:eastAsia="Times New Roman" w:cs="Times New Roman"/>
                <w:sz w:val="18"/>
                <w:szCs w:val="18"/>
                <w:lang w:eastAsia="lv-LV"/>
              </w:rPr>
            </w:pPr>
            <w:r w:rsidRPr="00E70C16">
              <w:rPr>
                <w:rFonts w:eastAsia="Times New Roman" w:cs="Times New Roman"/>
                <w:sz w:val="18"/>
                <w:szCs w:val="18"/>
                <w:lang w:eastAsia="lv-LV"/>
              </w:rPr>
              <w:t xml:space="preserve">2. Privātā patēriņa </w:t>
            </w:r>
            <w:proofErr w:type="spellStart"/>
            <w:r w:rsidRPr="00E70C16">
              <w:rPr>
                <w:rFonts w:eastAsia="Times New Roman" w:cs="Times New Roman"/>
                <w:sz w:val="18"/>
                <w:szCs w:val="18"/>
                <w:lang w:eastAsia="lv-LV"/>
              </w:rPr>
              <w:t>deflators</w:t>
            </w:r>
            <w:proofErr w:type="spellEnd"/>
          </w:p>
        </w:tc>
        <w:tc>
          <w:tcPr>
            <w:tcW w:w="709" w:type="dxa"/>
            <w:tcBorders>
              <w:top w:val="nil"/>
              <w:left w:val="nil"/>
              <w:bottom w:val="single" w:sz="8" w:space="0" w:color="9CC2E5"/>
              <w:right w:val="single" w:sz="8" w:space="0" w:color="9CC2E5"/>
            </w:tcBorders>
            <w:shd w:val="clear" w:color="000000" w:fill="DEEAF6"/>
            <w:vAlign w:val="center"/>
            <w:hideMark/>
          </w:tcPr>
          <w:p w14:paraId="351AF71B" w14:textId="77777777" w:rsidR="00281D96" w:rsidRPr="00E70C16" w:rsidRDefault="00281D96" w:rsidP="00277007">
            <w:pPr>
              <w:ind w:firstLine="0"/>
              <w:jc w:val="center"/>
              <w:rPr>
                <w:rFonts w:eastAsia="Times New Roman" w:cs="Times New Roman"/>
                <w:sz w:val="18"/>
                <w:szCs w:val="18"/>
                <w:lang w:eastAsia="lv-LV"/>
              </w:rPr>
            </w:pPr>
            <w:r w:rsidRPr="00E70C16">
              <w:rPr>
                <w:rFonts w:eastAsia="Times New Roman" w:cs="Times New Roman"/>
                <w:sz w:val="18"/>
                <w:szCs w:val="18"/>
                <w:lang w:eastAsia="lv-LV"/>
              </w:rPr>
              <w:t> </w:t>
            </w:r>
          </w:p>
        </w:tc>
        <w:tc>
          <w:tcPr>
            <w:tcW w:w="850" w:type="dxa"/>
            <w:tcBorders>
              <w:top w:val="nil"/>
              <w:left w:val="nil"/>
              <w:bottom w:val="single" w:sz="8" w:space="0" w:color="9CC2E5"/>
              <w:right w:val="single" w:sz="8" w:space="0" w:color="9CC2E5"/>
            </w:tcBorders>
            <w:shd w:val="clear" w:color="000000" w:fill="DEEAF6"/>
            <w:vAlign w:val="center"/>
            <w:hideMark/>
          </w:tcPr>
          <w:p w14:paraId="66869E9F" w14:textId="77777777" w:rsidR="00281D96" w:rsidRPr="00E70C16" w:rsidRDefault="00281D96" w:rsidP="00277007">
            <w:pPr>
              <w:ind w:firstLine="0"/>
              <w:jc w:val="center"/>
              <w:rPr>
                <w:rFonts w:eastAsia="Times New Roman" w:cs="Times New Roman"/>
                <w:sz w:val="18"/>
                <w:szCs w:val="18"/>
                <w:lang w:eastAsia="lv-LV"/>
              </w:rPr>
            </w:pPr>
            <w:r w:rsidRPr="00E70C16">
              <w:rPr>
                <w:rFonts w:eastAsia="Times New Roman" w:cs="Times New Roman"/>
                <w:sz w:val="18"/>
                <w:szCs w:val="18"/>
                <w:lang w:eastAsia="lv-LV"/>
              </w:rPr>
              <w:t> </w:t>
            </w:r>
          </w:p>
        </w:tc>
        <w:tc>
          <w:tcPr>
            <w:tcW w:w="765" w:type="dxa"/>
            <w:tcBorders>
              <w:top w:val="nil"/>
              <w:left w:val="nil"/>
              <w:bottom w:val="single" w:sz="8" w:space="0" w:color="9CC2E5"/>
              <w:right w:val="single" w:sz="8" w:space="0" w:color="9CC2E5"/>
            </w:tcBorders>
            <w:shd w:val="clear" w:color="000000" w:fill="DEEAF6"/>
            <w:vAlign w:val="center"/>
            <w:hideMark/>
          </w:tcPr>
          <w:p w14:paraId="55803578"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14,2</w:t>
            </w:r>
          </w:p>
        </w:tc>
        <w:tc>
          <w:tcPr>
            <w:tcW w:w="766" w:type="dxa"/>
            <w:tcBorders>
              <w:top w:val="nil"/>
              <w:left w:val="nil"/>
              <w:bottom w:val="single" w:sz="8" w:space="0" w:color="9CC2E5"/>
              <w:right w:val="single" w:sz="8" w:space="0" w:color="9CC2E5"/>
            </w:tcBorders>
            <w:shd w:val="clear" w:color="000000" w:fill="DEEAF6"/>
            <w:vAlign w:val="center"/>
            <w:hideMark/>
          </w:tcPr>
          <w:p w14:paraId="3290122A"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10,0</w:t>
            </w:r>
          </w:p>
        </w:tc>
        <w:tc>
          <w:tcPr>
            <w:tcW w:w="765" w:type="dxa"/>
            <w:tcBorders>
              <w:top w:val="nil"/>
              <w:left w:val="nil"/>
              <w:bottom w:val="single" w:sz="8" w:space="0" w:color="9CC2E5"/>
              <w:right w:val="single" w:sz="8" w:space="0" w:color="9CC2E5"/>
            </w:tcBorders>
            <w:shd w:val="clear" w:color="000000" w:fill="DEEAF6"/>
            <w:vAlign w:val="center"/>
            <w:hideMark/>
          </w:tcPr>
          <w:p w14:paraId="5C15995E"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2,2</w:t>
            </w:r>
          </w:p>
        </w:tc>
        <w:tc>
          <w:tcPr>
            <w:tcW w:w="766" w:type="dxa"/>
            <w:tcBorders>
              <w:top w:val="nil"/>
              <w:left w:val="nil"/>
              <w:bottom w:val="single" w:sz="8" w:space="0" w:color="9CC2E5"/>
              <w:right w:val="single" w:sz="8" w:space="0" w:color="9CC2E5"/>
            </w:tcBorders>
            <w:shd w:val="clear" w:color="000000" w:fill="DEEAF6"/>
            <w:vAlign w:val="center"/>
            <w:hideMark/>
          </w:tcPr>
          <w:p w14:paraId="43A98942"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2,5</w:t>
            </w:r>
          </w:p>
        </w:tc>
        <w:tc>
          <w:tcPr>
            <w:tcW w:w="766" w:type="dxa"/>
            <w:tcBorders>
              <w:top w:val="nil"/>
              <w:left w:val="nil"/>
              <w:bottom w:val="single" w:sz="8" w:space="0" w:color="9CC2E5"/>
              <w:right w:val="single" w:sz="8" w:space="0" w:color="9CC2E5"/>
            </w:tcBorders>
            <w:shd w:val="clear" w:color="000000" w:fill="DEEAF6"/>
            <w:vAlign w:val="center"/>
            <w:hideMark/>
          </w:tcPr>
          <w:p w14:paraId="5A038836"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2,2</w:t>
            </w:r>
          </w:p>
        </w:tc>
      </w:tr>
      <w:tr w:rsidR="00281D96" w:rsidRPr="00E70C16" w14:paraId="36C95E01" w14:textId="77777777" w:rsidTr="00E54B38">
        <w:trPr>
          <w:trHeight w:val="315"/>
          <w:jc w:val="center"/>
        </w:trPr>
        <w:tc>
          <w:tcPr>
            <w:tcW w:w="2967" w:type="dxa"/>
            <w:tcBorders>
              <w:top w:val="nil"/>
              <w:left w:val="single" w:sz="8" w:space="0" w:color="9CC2E5"/>
              <w:bottom w:val="single" w:sz="8" w:space="0" w:color="9CC2E5"/>
              <w:right w:val="single" w:sz="8" w:space="0" w:color="9CC2E5"/>
            </w:tcBorders>
            <w:shd w:val="clear" w:color="auto" w:fill="auto"/>
            <w:vAlign w:val="center"/>
            <w:hideMark/>
          </w:tcPr>
          <w:p w14:paraId="4CE75819" w14:textId="77777777" w:rsidR="00281D96" w:rsidRPr="00E70C16" w:rsidRDefault="00281D96" w:rsidP="00277007">
            <w:pPr>
              <w:ind w:firstLine="0"/>
              <w:jc w:val="left"/>
              <w:rPr>
                <w:rFonts w:eastAsia="Times New Roman" w:cs="Times New Roman"/>
                <w:sz w:val="18"/>
                <w:szCs w:val="18"/>
                <w:lang w:eastAsia="lv-LV"/>
              </w:rPr>
            </w:pPr>
            <w:r w:rsidRPr="00E70C16">
              <w:rPr>
                <w:rFonts w:eastAsia="Times New Roman" w:cs="Times New Roman"/>
                <w:sz w:val="18"/>
                <w:szCs w:val="18"/>
                <w:lang w:eastAsia="lv-LV"/>
              </w:rPr>
              <w:t>3. SPCI izmaiņas (gads pret gadu)</w:t>
            </w:r>
          </w:p>
        </w:tc>
        <w:tc>
          <w:tcPr>
            <w:tcW w:w="709" w:type="dxa"/>
            <w:tcBorders>
              <w:top w:val="nil"/>
              <w:left w:val="nil"/>
              <w:bottom w:val="single" w:sz="8" w:space="0" w:color="9CC2E5"/>
              <w:right w:val="single" w:sz="8" w:space="0" w:color="9CC2E5"/>
            </w:tcBorders>
            <w:shd w:val="clear" w:color="auto" w:fill="auto"/>
            <w:vAlign w:val="center"/>
            <w:hideMark/>
          </w:tcPr>
          <w:p w14:paraId="622BA048" w14:textId="77777777" w:rsidR="00281D96" w:rsidRPr="00E70C16" w:rsidRDefault="00281D96" w:rsidP="00277007">
            <w:pPr>
              <w:ind w:firstLine="0"/>
              <w:jc w:val="center"/>
              <w:rPr>
                <w:rFonts w:eastAsia="Times New Roman" w:cs="Times New Roman"/>
                <w:sz w:val="18"/>
                <w:szCs w:val="18"/>
                <w:lang w:eastAsia="lv-LV"/>
              </w:rPr>
            </w:pPr>
            <w:r w:rsidRPr="00E70C16">
              <w:rPr>
                <w:rFonts w:eastAsia="Times New Roman" w:cs="Times New Roman"/>
                <w:sz w:val="18"/>
                <w:szCs w:val="18"/>
                <w:lang w:eastAsia="lv-LV"/>
              </w:rPr>
              <w:t> </w:t>
            </w:r>
          </w:p>
        </w:tc>
        <w:tc>
          <w:tcPr>
            <w:tcW w:w="850" w:type="dxa"/>
            <w:tcBorders>
              <w:top w:val="nil"/>
              <w:left w:val="nil"/>
              <w:bottom w:val="single" w:sz="8" w:space="0" w:color="9CC2E5"/>
              <w:right w:val="single" w:sz="8" w:space="0" w:color="9CC2E5"/>
            </w:tcBorders>
            <w:shd w:val="clear" w:color="auto" w:fill="auto"/>
            <w:vAlign w:val="center"/>
            <w:hideMark/>
          </w:tcPr>
          <w:p w14:paraId="3EB0C4E5" w14:textId="77777777" w:rsidR="00281D96" w:rsidRPr="00E70C16" w:rsidRDefault="00281D96" w:rsidP="00277007">
            <w:pPr>
              <w:ind w:firstLine="0"/>
              <w:jc w:val="center"/>
              <w:rPr>
                <w:rFonts w:eastAsia="Times New Roman" w:cs="Times New Roman"/>
                <w:sz w:val="18"/>
                <w:szCs w:val="18"/>
                <w:lang w:eastAsia="lv-LV"/>
              </w:rPr>
            </w:pPr>
            <w:r w:rsidRPr="00E70C16">
              <w:rPr>
                <w:rFonts w:eastAsia="Times New Roman" w:cs="Times New Roman"/>
                <w:sz w:val="18"/>
                <w:szCs w:val="18"/>
                <w:lang w:eastAsia="lv-LV"/>
              </w:rPr>
              <w:t> </w:t>
            </w:r>
          </w:p>
        </w:tc>
        <w:tc>
          <w:tcPr>
            <w:tcW w:w="765" w:type="dxa"/>
            <w:tcBorders>
              <w:top w:val="nil"/>
              <w:left w:val="nil"/>
              <w:bottom w:val="single" w:sz="8" w:space="0" w:color="9CC2E5"/>
              <w:right w:val="single" w:sz="8" w:space="0" w:color="9CC2E5"/>
            </w:tcBorders>
            <w:shd w:val="clear" w:color="auto" w:fill="auto"/>
            <w:vAlign w:val="center"/>
            <w:hideMark/>
          </w:tcPr>
          <w:p w14:paraId="1E7E5DC2"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17,3</w:t>
            </w:r>
          </w:p>
        </w:tc>
        <w:tc>
          <w:tcPr>
            <w:tcW w:w="766" w:type="dxa"/>
            <w:tcBorders>
              <w:top w:val="nil"/>
              <w:left w:val="nil"/>
              <w:bottom w:val="single" w:sz="8" w:space="0" w:color="9CC2E5"/>
              <w:right w:val="single" w:sz="8" w:space="0" w:color="9CC2E5"/>
            </w:tcBorders>
            <w:shd w:val="clear" w:color="auto" w:fill="auto"/>
            <w:vAlign w:val="center"/>
            <w:hideMark/>
          </w:tcPr>
          <w:p w14:paraId="70DFA9C6"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10,0</w:t>
            </w:r>
          </w:p>
        </w:tc>
        <w:tc>
          <w:tcPr>
            <w:tcW w:w="765" w:type="dxa"/>
            <w:tcBorders>
              <w:top w:val="nil"/>
              <w:left w:val="nil"/>
              <w:bottom w:val="single" w:sz="8" w:space="0" w:color="9CC2E5"/>
              <w:right w:val="single" w:sz="8" w:space="0" w:color="9CC2E5"/>
            </w:tcBorders>
            <w:shd w:val="clear" w:color="auto" w:fill="auto"/>
            <w:vAlign w:val="center"/>
            <w:hideMark/>
          </w:tcPr>
          <w:p w14:paraId="4F810A03"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2,2</w:t>
            </w:r>
          </w:p>
        </w:tc>
        <w:tc>
          <w:tcPr>
            <w:tcW w:w="766" w:type="dxa"/>
            <w:tcBorders>
              <w:top w:val="nil"/>
              <w:left w:val="nil"/>
              <w:bottom w:val="single" w:sz="8" w:space="0" w:color="9CC2E5"/>
              <w:right w:val="single" w:sz="8" w:space="0" w:color="9CC2E5"/>
            </w:tcBorders>
            <w:shd w:val="clear" w:color="auto" w:fill="auto"/>
            <w:vAlign w:val="center"/>
            <w:hideMark/>
          </w:tcPr>
          <w:p w14:paraId="246A0350"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2,5</w:t>
            </w:r>
          </w:p>
        </w:tc>
        <w:tc>
          <w:tcPr>
            <w:tcW w:w="766" w:type="dxa"/>
            <w:tcBorders>
              <w:top w:val="nil"/>
              <w:left w:val="nil"/>
              <w:bottom w:val="single" w:sz="8" w:space="0" w:color="9CC2E5"/>
              <w:right w:val="single" w:sz="8" w:space="0" w:color="9CC2E5"/>
            </w:tcBorders>
            <w:shd w:val="clear" w:color="auto" w:fill="auto"/>
            <w:vAlign w:val="center"/>
            <w:hideMark/>
          </w:tcPr>
          <w:p w14:paraId="120DCEF6"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2,5</w:t>
            </w:r>
          </w:p>
        </w:tc>
      </w:tr>
      <w:tr w:rsidR="00281D96" w:rsidRPr="00E70C16" w14:paraId="21834BCA" w14:textId="77777777" w:rsidTr="00E54B38">
        <w:trPr>
          <w:trHeight w:val="315"/>
          <w:jc w:val="center"/>
        </w:trPr>
        <w:tc>
          <w:tcPr>
            <w:tcW w:w="2967" w:type="dxa"/>
            <w:tcBorders>
              <w:top w:val="nil"/>
              <w:left w:val="single" w:sz="8" w:space="0" w:color="9CC2E5"/>
              <w:bottom w:val="single" w:sz="8" w:space="0" w:color="9CC2E5"/>
              <w:right w:val="single" w:sz="8" w:space="0" w:color="9CC2E5"/>
            </w:tcBorders>
            <w:shd w:val="clear" w:color="000000" w:fill="DEEAF6"/>
            <w:vAlign w:val="center"/>
            <w:hideMark/>
          </w:tcPr>
          <w:p w14:paraId="66280D66" w14:textId="77777777" w:rsidR="00281D96" w:rsidRPr="00E70C16" w:rsidRDefault="00281D96" w:rsidP="00277007">
            <w:pPr>
              <w:ind w:firstLine="0"/>
              <w:jc w:val="left"/>
              <w:rPr>
                <w:rFonts w:eastAsia="Times New Roman" w:cs="Times New Roman"/>
                <w:sz w:val="18"/>
                <w:szCs w:val="18"/>
                <w:lang w:eastAsia="lv-LV"/>
              </w:rPr>
            </w:pPr>
            <w:r w:rsidRPr="00E70C16">
              <w:rPr>
                <w:rFonts w:eastAsia="Times New Roman" w:cs="Times New Roman"/>
                <w:sz w:val="18"/>
                <w:szCs w:val="18"/>
                <w:lang w:eastAsia="lv-LV"/>
              </w:rPr>
              <w:t xml:space="preserve">4. Sabiedriskā patēriņa </w:t>
            </w:r>
            <w:proofErr w:type="spellStart"/>
            <w:r w:rsidRPr="00E70C16">
              <w:rPr>
                <w:rFonts w:eastAsia="Times New Roman" w:cs="Times New Roman"/>
                <w:sz w:val="18"/>
                <w:szCs w:val="18"/>
                <w:lang w:eastAsia="lv-LV"/>
              </w:rPr>
              <w:t>deflators</w:t>
            </w:r>
            <w:proofErr w:type="spellEnd"/>
          </w:p>
        </w:tc>
        <w:tc>
          <w:tcPr>
            <w:tcW w:w="709" w:type="dxa"/>
            <w:tcBorders>
              <w:top w:val="nil"/>
              <w:left w:val="nil"/>
              <w:bottom w:val="single" w:sz="8" w:space="0" w:color="9CC2E5"/>
              <w:right w:val="single" w:sz="8" w:space="0" w:color="9CC2E5"/>
            </w:tcBorders>
            <w:shd w:val="clear" w:color="000000" w:fill="DEEAF6"/>
            <w:vAlign w:val="center"/>
            <w:hideMark/>
          </w:tcPr>
          <w:p w14:paraId="2996F55F" w14:textId="77777777" w:rsidR="00281D96" w:rsidRPr="00E70C16" w:rsidRDefault="00281D96" w:rsidP="00277007">
            <w:pPr>
              <w:ind w:firstLine="0"/>
              <w:jc w:val="center"/>
              <w:rPr>
                <w:rFonts w:eastAsia="Times New Roman" w:cs="Times New Roman"/>
                <w:sz w:val="18"/>
                <w:szCs w:val="18"/>
                <w:lang w:eastAsia="lv-LV"/>
              </w:rPr>
            </w:pPr>
            <w:r w:rsidRPr="00E70C16">
              <w:rPr>
                <w:rFonts w:eastAsia="Times New Roman" w:cs="Times New Roman"/>
                <w:sz w:val="18"/>
                <w:szCs w:val="18"/>
                <w:lang w:eastAsia="lv-LV"/>
              </w:rPr>
              <w:t> </w:t>
            </w:r>
          </w:p>
        </w:tc>
        <w:tc>
          <w:tcPr>
            <w:tcW w:w="850" w:type="dxa"/>
            <w:tcBorders>
              <w:top w:val="nil"/>
              <w:left w:val="nil"/>
              <w:bottom w:val="single" w:sz="8" w:space="0" w:color="9CC2E5"/>
              <w:right w:val="single" w:sz="8" w:space="0" w:color="9CC2E5"/>
            </w:tcBorders>
            <w:shd w:val="clear" w:color="000000" w:fill="DEEAF6"/>
            <w:vAlign w:val="center"/>
            <w:hideMark/>
          </w:tcPr>
          <w:p w14:paraId="1F5005E5" w14:textId="77777777" w:rsidR="00281D96" w:rsidRPr="00E70C16" w:rsidRDefault="00281D96" w:rsidP="00277007">
            <w:pPr>
              <w:ind w:firstLine="0"/>
              <w:jc w:val="center"/>
              <w:rPr>
                <w:rFonts w:eastAsia="Times New Roman" w:cs="Times New Roman"/>
                <w:sz w:val="18"/>
                <w:szCs w:val="18"/>
                <w:lang w:eastAsia="lv-LV"/>
              </w:rPr>
            </w:pPr>
            <w:r w:rsidRPr="00E70C16">
              <w:rPr>
                <w:rFonts w:eastAsia="Times New Roman" w:cs="Times New Roman"/>
                <w:sz w:val="18"/>
                <w:szCs w:val="18"/>
                <w:lang w:eastAsia="lv-LV"/>
              </w:rPr>
              <w:t> </w:t>
            </w:r>
          </w:p>
        </w:tc>
        <w:tc>
          <w:tcPr>
            <w:tcW w:w="765" w:type="dxa"/>
            <w:tcBorders>
              <w:top w:val="nil"/>
              <w:left w:val="nil"/>
              <w:bottom w:val="single" w:sz="8" w:space="0" w:color="9CC2E5"/>
              <w:right w:val="single" w:sz="8" w:space="0" w:color="9CC2E5"/>
            </w:tcBorders>
            <w:shd w:val="clear" w:color="000000" w:fill="DEEAF6"/>
            <w:vAlign w:val="center"/>
            <w:hideMark/>
          </w:tcPr>
          <w:p w14:paraId="5BFEE780"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3,4</w:t>
            </w:r>
          </w:p>
        </w:tc>
        <w:tc>
          <w:tcPr>
            <w:tcW w:w="766" w:type="dxa"/>
            <w:tcBorders>
              <w:top w:val="nil"/>
              <w:left w:val="nil"/>
              <w:bottom w:val="single" w:sz="8" w:space="0" w:color="9CC2E5"/>
              <w:right w:val="single" w:sz="8" w:space="0" w:color="9CC2E5"/>
            </w:tcBorders>
            <w:shd w:val="clear" w:color="000000" w:fill="DEEAF6"/>
            <w:vAlign w:val="center"/>
            <w:hideMark/>
          </w:tcPr>
          <w:p w14:paraId="5D03F403"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12,5</w:t>
            </w:r>
          </w:p>
        </w:tc>
        <w:tc>
          <w:tcPr>
            <w:tcW w:w="765" w:type="dxa"/>
            <w:tcBorders>
              <w:top w:val="nil"/>
              <w:left w:val="nil"/>
              <w:bottom w:val="single" w:sz="8" w:space="0" w:color="9CC2E5"/>
              <w:right w:val="single" w:sz="8" w:space="0" w:color="9CC2E5"/>
            </w:tcBorders>
            <w:shd w:val="clear" w:color="000000" w:fill="DEEAF6"/>
            <w:vAlign w:val="center"/>
            <w:hideMark/>
          </w:tcPr>
          <w:p w14:paraId="7BB5011C"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2,8</w:t>
            </w:r>
          </w:p>
        </w:tc>
        <w:tc>
          <w:tcPr>
            <w:tcW w:w="766" w:type="dxa"/>
            <w:tcBorders>
              <w:top w:val="nil"/>
              <w:left w:val="nil"/>
              <w:bottom w:val="single" w:sz="8" w:space="0" w:color="9CC2E5"/>
              <w:right w:val="single" w:sz="8" w:space="0" w:color="9CC2E5"/>
            </w:tcBorders>
            <w:shd w:val="clear" w:color="000000" w:fill="DEEAF6"/>
            <w:vAlign w:val="center"/>
            <w:hideMark/>
          </w:tcPr>
          <w:p w14:paraId="69F89032"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2,1</w:t>
            </w:r>
          </w:p>
        </w:tc>
        <w:tc>
          <w:tcPr>
            <w:tcW w:w="766" w:type="dxa"/>
            <w:tcBorders>
              <w:top w:val="nil"/>
              <w:left w:val="nil"/>
              <w:bottom w:val="single" w:sz="8" w:space="0" w:color="9CC2E5"/>
              <w:right w:val="single" w:sz="8" w:space="0" w:color="9CC2E5"/>
            </w:tcBorders>
            <w:shd w:val="clear" w:color="000000" w:fill="DEEAF6"/>
            <w:vAlign w:val="center"/>
            <w:hideMark/>
          </w:tcPr>
          <w:p w14:paraId="7FC0C645"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1,5</w:t>
            </w:r>
          </w:p>
        </w:tc>
      </w:tr>
      <w:tr w:rsidR="00281D96" w:rsidRPr="00E70C16" w14:paraId="277E4832" w14:textId="77777777" w:rsidTr="00E54B38">
        <w:trPr>
          <w:trHeight w:val="315"/>
          <w:jc w:val="center"/>
        </w:trPr>
        <w:tc>
          <w:tcPr>
            <w:tcW w:w="2967" w:type="dxa"/>
            <w:tcBorders>
              <w:top w:val="nil"/>
              <w:left w:val="single" w:sz="8" w:space="0" w:color="9CC2E5"/>
              <w:bottom w:val="single" w:sz="8" w:space="0" w:color="9CC2E5"/>
              <w:right w:val="single" w:sz="8" w:space="0" w:color="9CC2E5"/>
            </w:tcBorders>
            <w:shd w:val="clear" w:color="auto" w:fill="auto"/>
            <w:vAlign w:val="center"/>
            <w:hideMark/>
          </w:tcPr>
          <w:p w14:paraId="44FF4EA3" w14:textId="77777777" w:rsidR="00281D96" w:rsidRPr="00E70C16" w:rsidRDefault="00281D96" w:rsidP="00277007">
            <w:pPr>
              <w:ind w:firstLine="0"/>
              <w:jc w:val="left"/>
              <w:rPr>
                <w:rFonts w:eastAsia="Times New Roman" w:cs="Times New Roman"/>
                <w:sz w:val="18"/>
                <w:szCs w:val="18"/>
                <w:lang w:eastAsia="lv-LV"/>
              </w:rPr>
            </w:pPr>
            <w:r w:rsidRPr="00E70C16">
              <w:rPr>
                <w:rFonts w:eastAsia="Times New Roman" w:cs="Times New Roman"/>
                <w:sz w:val="18"/>
                <w:szCs w:val="18"/>
                <w:lang w:eastAsia="lv-LV"/>
              </w:rPr>
              <w:t xml:space="preserve">5. Investīciju </w:t>
            </w:r>
            <w:proofErr w:type="spellStart"/>
            <w:r w:rsidRPr="00E70C16">
              <w:rPr>
                <w:rFonts w:eastAsia="Times New Roman" w:cs="Times New Roman"/>
                <w:sz w:val="18"/>
                <w:szCs w:val="18"/>
                <w:lang w:eastAsia="lv-LV"/>
              </w:rPr>
              <w:t>deflators</w:t>
            </w:r>
            <w:proofErr w:type="spellEnd"/>
          </w:p>
        </w:tc>
        <w:tc>
          <w:tcPr>
            <w:tcW w:w="709" w:type="dxa"/>
            <w:tcBorders>
              <w:top w:val="nil"/>
              <w:left w:val="nil"/>
              <w:bottom w:val="single" w:sz="8" w:space="0" w:color="9CC2E5"/>
              <w:right w:val="single" w:sz="8" w:space="0" w:color="9CC2E5"/>
            </w:tcBorders>
            <w:shd w:val="clear" w:color="auto" w:fill="auto"/>
            <w:vAlign w:val="center"/>
            <w:hideMark/>
          </w:tcPr>
          <w:p w14:paraId="11789D48" w14:textId="77777777" w:rsidR="00281D96" w:rsidRPr="00E70C16" w:rsidRDefault="00281D96" w:rsidP="00277007">
            <w:pPr>
              <w:ind w:firstLine="0"/>
              <w:jc w:val="center"/>
              <w:rPr>
                <w:rFonts w:eastAsia="Times New Roman" w:cs="Times New Roman"/>
                <w:sz w:val="18"/>
                <w:szCs w:val="18"/>
                <w:lang w:eastAsia="lv-LV"/>
              </w:rPr>
            </w:pPr>
            <w:r w:rsidRPr="00E70C16">
              <w:rPr>
                <w:rFonts w:eastAsia="Times New Roman" w:cs="Times New Roman"/>
                <w:sz w:val="18"/>
                <w:szCs w:val="18"/>
                <w:lang w:eastAsia="lv-LV"/>
              </w:rPr>
              <w:t> </w:t>
            </w:r>
          </w:p>
        </w:tc>
        <w:tc>
          <w:tcPr>
            <w:tcW w:w="850" w:type="dxa"/>
            <w:tcBorders>
              <w:top w:val="nil"/>
              <w:left w:val="nil"/>
              <w:bottom w:val="single" w:sz="8" w:space="0" w:color="9CC2E5"/>
              <w:right w:val="single" w:sz="8" w:space="0" w:color="9CC2E5"/>
            </w:tcBorders>
            <w:shd w:val="clear" w:color="auto" w:fill="auto"/>
            <w:vAlign w:val="center"/>
            <w:hideMark/>
          </w:tcPr>
          <w:p w14:paraId="5B36935E" w14:textId="77777777" w:rsidR="00281D96" w:rsidRPr="00E70C16" w:rsidRDefault="00281D96" w:rsidP="00277007">
            <w:pPr>
              <w:ind w:firstLine="0"/>
              <w:jc w:val="center"/>
              <w:rPr>
                <w:rFonts w:eastAsia="Times New Roman" w:cs="Times New Roman"/>
                <w:sz w:val="18"/>
                <w:szCs w:val="18"/>
                <w:lang w:eastAsia="lv-LV"/>
              </w:rPr>
            </w:pPr>
            <w:r w:rsidRPr="00E70C16">
              <w:rPr>
                <w:rFonts w:eastAsia="Times New Roman" w:cs="Times New Roman"/>
                <w:sz w:val="18"/>
                <w:szCs w:val="18"/>
                <w:lang w:eastAsia="lv-LV"/>
              </w:rPr>
              <w:t> </w:t>
            </w:r>
          </w:p>
        </w:tc>
        <w:tc>
          <w:tcPr>
            <w:tcW w:w="765" w:type="dxa"/>
            <w:tcBorders>
              <w:top w:val="nil"/>
              <w:left w:val="nil"/>
              <w:bottom w:val="single" w:sz="8" w:space="0" w:color="9CC2E5"/>
              <w:right w:val="single" w:sz="8" w:space="0" w:color="9CC2E5"/>
            </w:tcBorders>
            <w:shd w:val="clear" w:color="auto" w:fill="auto"/>
            <w:vAlign w:val="center"/>
            <w:hideMark/>
          </w:tcPr>
          <w:p w14:paraId="57C07089"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12,4</w:t>
            </w:r>
          </w:p>
        </w:tc>
        <w:tc>
          <w:tcPr>
            <w:tcW w:w="766" w:type="dxa"/>
            <w:tcBorders>
              <w:top w:val="nil"/>
              <w:left w:val="nil"/>
              <w:bottom w:val="single" w:sz="8" w:space="0" w:color="9CC2E5"/>
              <w:right w:val="single" w:sz="8" w:space="0" w:color="9CC2E5"/>
            </w:tcBorders>
            <w:shd w:val="clear" w:color="auto" w:fill="auto"/>
            <w:vAlign w:val="center"/>
            <w:hideMark/>
          </w:tcPr>
          <w:p w14:paraId="0CAA2D7C"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10,0</w:t>
            </w:r>
          </w:p>
        </w:tc>
        <w:tc>
          <w:tcPr>
            <w:tcW w:w="765" w:type="dxa"/>
            <w:tcBorders>
              <w:top w:val="nil"/>
              <w:left w:val="nil"/>
              <w:bottom w:val="single" w:sz="8" w:space="0" w:color="9CC2E5"/>
              <w:right w:val="single" w:sz="8" w:space="0" w:color="9CC2E5"/>
            </w:tcBorders>
            <w:shd w:val="clear" w:color="auto" w:fill="auto"/>
            <w:vAlign w:val="center"/>
            <w:hideMark/>
          </w:tcPr>
          <w:p w14:paraId="779FAF3B"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4,0</w:t>
            </w:r>
          </w:p>
        </w:tc>
        <w:tc>
          <w:tcPr>
            <w:tcW w:w="766" w:type="dxa"/>
            <w:tcBorders>
              <w:top w:val="nil"/>
              <w:left w:val="nil"/>
              <w:bottom w:val="single" w:sz="8" w:space="0" w:color="9CC2E5"/>
              <w:right w:val="single" w:sz="8" w:space="0" w:color="9CC2E5"/>
            </w:tcBorders>
            <w:shd w:val="clear" w:color="auto" w:fill="auto"/>
            <w:vAlign w:val="center"/>
            <w:hideMark/>
          </w:tcPr>
          <w:p w14:paraId="44126BAF"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3,6</w:t>
            </w:r>
          </w:p>
        </w:tc>
        <w:tc>
          <w:tcPr>
            <w:tcW w:w="766" w:type="dxa"/>
            <w:tcBorders>
              <w:top w:val="nil"/>
              <w:left w:val="nil"/>
              <w:bottom w:val="single" w:sz="8" w:space="0" w:color="9CC2E5"/>
              <w:right w:val="single" w:sz="8" w:space="0" w:color="9CC2E5"/>
            </w:tcBorders>
            <w:shd w:val="clear" w:color="auto" w:fill="auto"/>
            <w:vAlign w:val="center"/>
            <w:hideMark/>
          </w:tcPr>
          <w:p w14:paraId="11B9FF27"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3,2</w:t>
            </w:r>
          </w:p>
        </w:tc>
      </w:tr>
      <w:tr w:rsidR="00281D96" w:rsidRPr="00E70C16" w14:paraId="600B715B" w14:textId="77777777" w:rsidTr="00E54B38">
        <w:trPr>
          <w:trHeight w:val="315"/>
          <w:jc w:val="center"/>
        </w:trPr>
        <w:tc>
          <w:tcPr>
            <w:tcW w:w="2967" w:type="dxa"/>
            <w:tcBorders>
              <w:top w:val="nil"/>
              <w:left w:val="single" w:sz="8" w:space="0" w:color="9CC2E5"/>
              <w:bottom w:val="single" w:sz="8" w:space="0" w:color="9CC2E5"/>
              <w:right w:val="single" w:sz="8" w:space="0" w:color="9CC2E5"/>
            </w:tcBorders>
            <w:shd w:val="clear" w:color="000000" w:fill="DEEAF6"/>
            <w:vAlign w:val="center"/>
            <w:hideMark/>
          </w:tcPr>
          <w:p w14:paraId="32A47584" w14:textId="77777777" w:rsidR="00281D96" w:rsidRPr="00E70C16" w:rsidRDefault="00281D96" w:rsidP="00277007">
            <w:pPr>
              <w:ind w:firstLine="0"/>
              <w:jc w:val="left"/>
              <w:rPr>
                <w:rFonts w:eastAsia="Times New Roman" w:cs="Times New Roman"/>
                <w:sz w:val="18"/>
                <w:szCs w:val="18"/>
                <w:lang w:eastAsia="lv-LV"/>
              </w:rPr>
            </w:pPr>
            <w:r w:rsidRPr="00E70C16">
              <w:rPr>
                <w:rFonts w:eastAsia="Times New Roman" w:cs="Times New Roman"/>
                <w:sz w:val="18"/>
                <w:szCs w:val="18"/>
                <w:lang w:eastAsia="lv-LV"/>
              </w:rPr>
              <w:t xml:space="preserve">6. Eksporta (preču un pakalpojumu) </w:t>
            </w:r>
            <w:proofErr w:type="spellStart"/>
            <w:r w:rsidRPr="00E70C16">
              <w:rPr>
                <w:rFonts w:eastAsia="Times New Roman" w:cs="Times New Roman"/>
                <w:sz w:val="18"/>
                <w:szCs w:val="18"/>
                <w:lang w:eastAsia="lv-LV"/>
              </w:rPr>
              <w:t>deflators</w:t>
            </w:r>
            <w:proofErr w:type="spellEnd"/>
          </w:p>
        </w:tc>
        <w:tc>
          <w:tcPr>
            <w:tcW w:w="709" w:type="dxa"/>
            <w:tcBorders>
              <w:top w:val="nil"/>
              <w:left w:val="nil"/>
              <w:bottom w:val="single" w:sz="8" w:space="0" w:color="9CC2E5"/>
              <w:right w:val="single" w:sz="8" w:space="0" w:color="9CC2E5"/>
            </w:tcBorders>
            <w:shd w:val="clear" w:color="000000" w:fill="DEEAF6"/>
            <w:vAlign w:val="center"/>
            <w:hideMark/>
          </w:tcPr>
          <w:p w14:paraId="6A3D0A23" w14:textId="77777777" w:rsidR="00281D96" w:rsidRPr="00E70C16" w:rsidRDefault="00281D96" w:rsidP="00277007">
            <w:pPr>
              <w:ind w:firstLine="0"/>
              <w:jc w:val="center"/>
              <w:rPr>
                <w:rFonts w:eastAsia="Times New Roman" w:cs="Times New Roman"/>
                <w:sz w:val="18"/>
                <w:szCs w:val="18"/>
                <w:lang w:eastAsia="lv-LV"/>
              </w:rPr>
            </w:pPr>
            <w:r w:rsidRPr="00E70C16">
              <w:rPr>
                <w:rFonts w:eastAsia="Times New Roman" w:cs="Times New Roman"/>
                <w:sz w:val="18"/>
                <w:szCs w:val="18"/>
                <w:lang w:eastAsia="lv-LV"/>
              </w:rPr>
              <w:t> </w:t>
            </w:r>
          </w:p>
        </w:tc>
        <w:tc>
          <w:tcPr>
            <w:tcW w:w="850" w:type="dxa"/>
            <w:tcBorders>
              <w:top w:val="nil"/>
              <w:left w:val="nil"/>
              <w:bottom w:val="single" w:sz="8" w:space="0" w:color="9CC2E5"/>
              <w:right w:val="single" w:sz="8" w:space="0" w:color="9CC2E5"/>
            </w:tcBorders>
            <w:shd w:val="clear" w:color="000000" w:fill="DEEAF6"/>
            <w:vAlign w:val="center"/>
            <w:hideMark/>
          </w:tcPr>
          <w:p w14:paraId="42BAE1F7" w14:textId="77777777" w:rsidR="00281D96" w:rsidRPr="00E70C16" w:rsidRDefault="00281D96" w:rsidP="00277007">
            <w:pPr>
              <w:ind w:firstLine="0"/>
              <w:jc w:val="center"/>
              <w:rPr>
                <w:rFonts w:eastAsia="Times New Roman" w:cs="Times New Roman"/>
                <w:sz w:val="18"/>
                <w:szCs w:val="18"/>
                <w:lang w:eastAsia="lv-LV"/>
              </w:rPr>
            </w:pPr>
            <w:r w:rsidRPr="00E70C16">
              <w:rPr>
                <w:rFonts w:eastAsia="Times New Roman" w:cs="Times New Roman"/>
                <w:sz w:val="18"/>
                <w:szCs w:val="18"/>
                <w:lang w:eastAsia="lv-LV"/>
              </w:rPr>
              <w:t> </w:t>
            </w:r>
          </w:p>
        </w:tc>
        <w:tc>
          <w:tcPr>
            <w:tcW w:w="765" w:type="dxa"/>
            <w:tcBorders>
              <w:top w:val="nil"/>
              <w:left w:val="nil"/>
              <w:bottom w:val="single" w:sz="8" w:space="0" w:color="9CC2E5"/>
              <w:right w:val="single" w:sz="8" w:space="0" w:color="9CC2E5"/>
            </w:tcBorders>
            <w:shd w:val="clear" w:color="000000" w:fill="DEEAF6"/>
            <w:vAlign w:val="center"/>
            <w:hideMark/>
          </w:tcPr>
          <w:p w14:paraId="167BA73C"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17,7</w:t>
            </w:r>
          </w:p>
        </w:tc>
        <w:tc>
          <w:tcPr>
            <w:tcW w:w="766" w:type="dxa"/>
            <w:tcBorders>
              <w:top w:val="nil"/>
              <w:left w:val="nil"/>
              <w:bottom w:val="single" w:sz="8" w:space="0" w:color="9CC2E5"/>
              <w:right w:val="single" w:sz="8" w:space="0" w:color="9CC2E5"/>
            </w:tcBorders>
            <w:shd w:val="clear" w:color="000000" w:fill="DEEAF6"/>
            <w:vAlign w:val="center"/>
            <w:hideMark/>
          </w:tcPr>
          <w:p w14:paraId="20CB6EDB"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9,0</w:t>
            </w:r>
          </w:p>
        </w:tc>
        <w:tc>
          <w:tcPr>
            <w:tcW w:w="765" w:type="dxa"/>
            <w:tcBorders>
              <w:top w:val="nil"/>
              <w:left w:val="nil"/>
              <w:bottom w:val="single" w:sz="8" w:space="0" w:color="9CC2E5"/>
              <w:right w:val="single" w:sz="8" w:space="0" w:color="9CC2E5"/>
            </w:tcBorders>
            <w:shd w:val="clear" w:color="000000" w:fill="DEEAF6"/>
            <w:vAlign w:val="center"/>
            <w:hideMark/>
          </w:tcPr>
          <w:p w14:paraId="37689B08"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5,0</w:t>
            </w:r>
          </w:p>
        </w:tc>
        <w:tc>
          <w:tcPr>
            <w:tcW w:w="766" w:type="dxa"/>
            <w:tcBorders>
              <w:top w:val="nil"/>
              <w:left w:val="nil"/>
              <w:bottom w:val="single" w:sz="8" w:space="0" w:color="9CC2E5"/>
              <w:right w:val="single" w:sz="8" w:space="0" w:color="9CC2E5"/>
            </w:tcBorders>
            <w:shd w:val="clear" w:color="000000" w:fill="DEEAF6"/>
            <w:vAlign w:val="center"/>
            <w:hideMark/>
          </w:tcPr>
          <w:p w14:paraId="431042B8"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4,0</w:t>
            </w:r>
          </w:p>
        </w:tc>
        <w:tc>
          <w:tcPr>
            <w:tcW w:w="766" w:type="dxa"/>
            <w:tcBorders>
              <w:top w:val="nil"/>
              <w:left w:val="nil"/>
              <w:bottom w:val="single" w:sz="8" w:space="0" w:color="9CC2E5"/>
              <w:right w:val="single" w:sz="8" w:space="0" w:color="9CC2E5"/>
            </w:tcBorders>
            <w:shd w:val="clear" w:color="000000" w:fill="DEEAF6"/>
            <w:vAlign w:val="center"/>
            <w:hideMark/>
          </w:tcPr>
          <w:p w14:paraId="61DC6B40"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3,0</w:t>
            </w:r>
          </w:p>
        </w:tc>
      </w:tr>
      <w:tr w:rsidR="00281D96" w:rsidRPr="00E70C16" w14:paraId="0BEC24E2" w14:textId="77777777" w:rsidTr="00E54B38">
        <w:trPr>
          <w:trHeight w:val="315"/>
          <w:jc w:val="center"/>
        </w:trPr>
        <w:tc>
          <w:tcPr>
            <w:tcW w:w="2967" w:type="dxa"/>
            <w:tcBorders>
              <w:top w:val="nil"/>
              <w:left w:val="single" w:sz="8" w:space="0" w:color="9CC2E5"/>
              <w:bottom w:val="single" w:sz="8" w:space="0" w:color="9CC2E5"/>
              <w:right w:val="single" w:sz="8" w:space="0" w:color="9CC2E5"/>
            </w:tcBorders>
            <w:shd w:val="clear" w:color="auto" w:fill="auto"/>
            <w:vAlign w:val="center"/>
            <w:hideMark/>
          </w:tcPr>
          <w:p w14:paraId="32089A9C" w14:textId="77777777" w:rsidR="00281D96" w:rsidRPr="00E70C16" w:rsidRDefault="00281D96" w:rsidP="00277007">
            <w:pPr>
              <w:ind w:firstLine="0"/>
              <w:jc w:val="left"/>
              <w:rPr>
                <w:rFonts w:eastAsia="Times New Roman" w:cs="Times New Roman"/>
                <w:sz w:val="18"/>
                <w:szCs w:val="18"/>
                <w:lang w:eastAsia="lv-LV"/>
              </w:rPr>
            </w:pPr>
            <w:r w:rsidRPr="00E70C16">
              <w:rPr>
                <w:rFonts w:eastAsia="Times New Roman" w:cs="Times New Roman"/>
                <w:sz w:val="18"/>
                <w:szCs w:val="18"/>
                <w:lang w:eastAsia="lv-LV"/>
              </w:rPr>
              <w:t xml:space="preserve">7. Importa (preču un pakalpojumu) </w:t>
            </w:r>
            <w:proofErr w:type="spellStart"/>
            <w:r w:rsidRPr="00E70C16">
              <w:rPr>
                <w:rFonts w:eastAsia="Times New Roman" w:cs="Times New Roman"/>
                <w:sz w:val="18"/>
                <w:szCs w:val="18"/>
                <w:lang w:eastAsia="lv-LV"/>
              </w:rPr>
              <w:t>deflators</w:t>
            </w:r>
            <w:proofErr w:type="spellEnd"/>
          </w:p>
        </w:tc>
        <w:tc>
          <w:tcPr>
            <w:tcW w:w="709" w:type="dxa"/>
            <w:tcBorders>
              <w:top w:val="nil"/>
              <w:left w:val="nil"/>
              <w:bottom w:val="single" w:sz="8" w:space="0" w:color="9CC2E5"/>
              <w:right w:val="single" w:sz="8" w:space="0" w:color="9CC2E5"/>
            </w:tcBorders>
            <w:shd w:val="clear" w:color="auto" w:fill="auto"/>
            <w:vAlign w:val="center"/>
            <w:hideMark/>
          </w:tcPr>
          <w:p w14:paraId="0F201164" w14:textId="77777777" w:rsidR="00281D96" w:rsidRPr="00E70C16" w:rsidRDefault="00281D96" w:rsidP="00277007">
            <w:pPr>
              <w:ind w:firstLine="0"/>
              <w:jc w:val="center"/>
              <w:rPr>
                <w:rFonts w:eastAsia="Times New Roman" w:cs="Times New Roman"/>
                <w:sz w:val="18"/>
                <w:szCs w:val="18"/>
                <w:lang w:eastAsia="lv-LV"/>
              </w:rPr>
            </w:pPr>
            <w:r w:rsidRPr="00E70C16">
              <w:rPr>
                <w:rFonts w:eastAsia="Times New Roman" w:cs="Times New Roman"/>
                <w:sz w:val="18"/>
                <w:szCs w:val="18"/>
                <w:lang w:eastAsia="lv-LV"/>
              </w:rPr>
              <w:t> </w:t>
            </w:r>
          </w:p>
        </w:tc>
        <w:tc>
          <w:tcPr>
            <w:tcW w:w="850" w:type="dxa"/>
            <w:tcBorders>
              <w:top w:val="nil"/>
              <w:left w:val="nil"/>
              <w:bottom w:val="single" w:sz="8" w:space="0" w:color="9CC2E5"/>
              <w:right w:val="single" w:sz="8" w:space="0" w:color="9CC2E5"/>
            </w:tcBorders>
            <w:shd w:val="clear" w:color="auto" w:fill="auto"/>
            <w:vAlign w:val="center"/>
            <w:hideMark/>
          </w:tcPr>
          <w:p w14:paraId="5C47DE14" w14:textId="77777777" w:rsidR="00281D96" w:rsidRPr="00E70C16" w:rsidRDefault="00281D96" w:rsidP="00277007">
            <w:pPr>
              <w:ind w:firstLine="0"/>
              <w:jc w:val="center"/>
              <w:rPr>
                <w:rFonts w:eastAsia="Times New Roman" w:cs="Times New Roman"/>
                <w:sz w:val="18"/>
                <w:szCs w:val="18"/>
                <w:lang w:eastAsia="lv-LV"/>
              </w:rPr>
            </w:pPr>
            <w:r w:rsidRPr="00E70C16">
              <w:rPr>
                <w:rFonts w:eastAsia="Times New Roman" w:cs="Times New Roman"/>
                <w:sz w:val="18"/>
                <w:szCs w:val="18"/>
                <w:lang w:eastAsia="lv-LV"/>
              </w:rPr>
              <w:t> </w:t>
            </w:r>
          </w:p>
        </w:tc>
        <w:tc>
          <w:tcPr>
            <w:tcW w:w="765" w:type="dxa"/>
            <w:tcBorders>
              <w:top w:val="nil"/>
              <w:left w:val="nil"/>
              <w:bottom w:val="single" w:sz="8" w:space="0" w:color="9CC2E5"/>
              <w:right w:val="single" w:sz="8" w:space="0" w:color="9CC2E5"/>
            </w:tcBorders>
            <w:shd w:val="clear" w:color="auto" w:fill="auto"/>
            <w:vAlign w:val="center"/>
            <w:hideMark/>
          </w:tcPr>
          <w:p w14:paraId="4C1F7A4F"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18,2</w:t>
            </w:r>
          </w:p>
        </w:tc>
        <w:tc>
          <w:tcPr>
            <w:tcW w:w="766" w:type="dxa"/>
            <w:tcBorders>
              <w:top w:val="nil"/>
              <w:left w:val="nil"/>
              <w:bottom w:val="single" w:sz="8" w:space="0" w:color="9CC2E5"/>
              <w:right w:val="single" w:sz="8" w:space="0" w:color="9CC2E5"/>
            </w:tcBorders>
            <w:shd w:val="clear" w:color="auto" w:fill="auto"/>
            <w:vAlign w:val="center"/>
            <w:hideMark/>
          </w:tcPr>
          <w:p w14:paraId="6EA408C1"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7,0</w:t>
            </w:r>
          </w:p>
        </w:tc>
        <w:tc>
          <w:tcPr>
            <w:tcW w:w="765" w:type="dxa"/>
            <w:tcBorders>
              <w:top w:val="nil"/>
              <w:left w:val="nil"/>
              <w:bottom w:val="single" w:sz="8" w:space="0" w:color="9CC2E5"/>
              <w:right w:val="single" w:sz="8" w:space="0" w:color="9CC2E5"/>
            </w:tcBorders>
            <w:shd w:val="clear" w:color="auto" w:fill="auto"/>
            <w:vAlign w:val="center"/>
            <w:hideMark/>
          </w:tcPr>
          <w:p w14:paraId="25F0CF13"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4,0</w:t>
            </w:r>
          </w:p>
        </w:tc>
        <w:tc>
          <w:tcPr>
            <w:tcW w:w="766" w:type="dxa"/>
            <w:tcBorders>
              <w:top w:val="nil"/>
              <w:left w:val="nil"/>
              <w:bottom w:val="single" w:sz="8" w:space="0" w:color="9CC2E5"/>
              <w:right w:val="single" w:sz="8" w:space="0" w:color="9CC2E5"/>
            </w:tcBorders>
            <w:shd w:val="clear" w:color="auto" w:fill="auto"/>
            <w:vAlign w:val="center"/>
            <w:hideMark/>
          </w:tcPr>
          <w:p w14:paraId="2244C23A"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3,0</w:t>
            </w:r>
          </w:p>
        </w:tc>
        <w:tc>
          <w:tcPr>
            <w:tcW w:w="766" w:type="dxa"/>
            <w:tcBorders>
              <w:top w:val="nil"/>
              <w:left w:val="nil"/>
              <w:bottom w:val="single" w:sz="8" w:space="0" w:color="9CC2E5"/>
              <w:right w:val="single" w:sz="8" w:space="0" w:color="9CC2E5"/>
            </w:tcBorders>
            <w:shd w:val="clear" w:color="auto" w:fill="auto"/>
            <w:vAlign w:val="center"/>
            <w:hideMark/>
          </w:tcPr>
          <w:p w14:paraId="42DBF8FF" w14:textId="77777777" w:rsidR="00281D96" w:rsidRPr="00E70C16" w:rsidRDefault="00281D96" w:rsidP="00277007">
            <w:pPr>
              <w:ind w:firstLine="0"/>
              <w:jc w:val="center"/>
              <w:rPr>
                <w:rFonts w:eastAsia="Times New Roman" w:cs="Times New Roman"/>
                <w:sz w:val="18"/>
                <w:szCs w:val="18"/>
                <w:lang w:eastAsia="lv-LV"/>
              </w:rPr>
            </w:pPr>
            <w:r w:rsidRPr="00E70C16">
              <w:rPr>
                <w:rFonts w:cs="Times New Roman"/>
                <w:color w:val="000000"/>
                <w:sz w:val="18"/>
                <w:szCs w:val="18"/>
              </w:rPr>
              <w:t>2,9</w:t>
            </w:r>
          </w:p>
        </w:tc>
      </w:tr>
    </w:tbl>
    <w:p w14:paraId="7D4FA832" w14:textId="4EFC950E" w:rsidR="00281D96" w:rsidRPr="00E70C16" w:rsidRDefault="00001558" w:rsidP="00042C12">
      <w:pPr>
        <w:ind w:firstLine="0"/>
        <w:jc w:val="left"/>
        <w:rPr>
          <w:rFonts w:eastAsia="Times New Roman" w:cs="Times New Roman"/>
          <w:color w:val="000000"/>
          <w:sz w:val="18"/>
          <w:szCs w:val="18"/>
        </w:rPr>
      </w:pPr>
      <w:r>
        <w:rPr>
          <w:rFonts w:eastAsia="Times New Roman" w:cs="Times New Roman"/>
          <w:color w:val="000000"/>
          <w:sz w:val="18"/>
          <w:szCs w:val="18"/>
          <w:vertAlign w:val="superscript"/>
        </w:rPr>
        <w:t>*</w:t>
      </w:r>
      <w:r w:rsidR="00281D96" w:rsidRPr="00E70C16">
        <w:rPr>
          <w:rFonts w:eastAsia="Times New Roman" w:cs="Times New Roman"/>
          <w:color w:val="000000"/>
          <w:sz w:val="18"/>
          <w:szCs w:val="18"/>
        </w:rPr>
        <w:t>Prognozes</w:t>
      </w:r>
      <w:r w:rsidR="005C2A56">
        <w:rPr>
          <w:rFonts w:eastAsia="Times New Roman" w:cs="Times New Roman"/>
          <w:color w:val="000000"/>
          <w:sz w:val="18"/>
          <w:szCs w:val="18"/>
        </w:rPr>
        <w:t>:</w:t>
      </w:r>
      <w:r w:rsidR="00281D96" w:rsidRPr="00E70C16">
        <w:rPr>
          <w:rFonts w:eastAsia="Times New Roman" w:cs="Times New Roman"/>
          <w:color w:val="000000"/>
          <w:sz w:val="18"/>
          <w:szCs w:val="18"/>
        </w:rPr>
        <w:t xml:space="preserve"> 2023.gada marta scenārijs</w:t>
      </w:r>
    </w:p>
    <w:p w14:paraId="4EF8BDC4" w14:textId="77777777" w:rsidR="00042C12" w:rsidRPr="00E70C16" w:rsidRDefault="00042C12" w:rsidP="00042C12">
      <w:pPr>
        <w:ind w:firstLine="0"/>
        <w:jc w:val="left"/>
        <w:rPr>
          <w:rFonts w:eastAsia="Times New Roman" w:cs="Times New Roman"/>
          <w:color w:val="000000"/>
          <w:sz w:val="18"/>
          <w:szCs w:val="18"/>
        </w:rPr>
      </w:pPr>
    </w:p>
    <w:p w14:paraId="6A5DB720" w14:textId="4C24B5A2" w:rsidR="00281D96" w:rsidRPr="00E70C16" w:rsidRDefault="00281D96" w:rsidP="00042C12">
      <w:pPr>
        <w:spacing w:after="160" w:line="259" w:lineRule="auto"/>
        <w:ind w:firstLine="0"/>
        <w:jc w:val="left"/>
        <w:rPr>
          <w:rFonts w:eastAsia="Times New Roman" w:cs="Times New Roman"/>
          <w:b/>
          <w:color w:val="000000"/>
          <w:sz w:val="24"/>
        </w:rPr>
      </w:pPr>
      <w:r w:rsidRPr="00E70C16">
        <w:rPr>
          <w:rFonts w:eastAsia="Times New Roman" w:cs="Times New Roman"/>
          <w:b/>
          <w:color w:val="000000"/>
          <w:sz w:val="24"/>
        </w:rPr>
        <w:t>1c. tabula. Darba tirgus attīstība</w:t>
      </w:r>
      <w:r w:rsidR="00001558">
        <w:rPr>
          <w:rFonts w:eastAsia="Times New Roman" w:cs="Times New Roman"/>
          <w:color w:val="000000"/>
          <w:sz w:val="20"/>
          <w:szCs w:val="20"/>
          <w:vertAlign w:val="superscript"/>
        </w:rPr>
        <w:t>*</w:t>
      </w:r>
    </w:p>
    <w:tbl>
      <w:tblPr>
        <w:tblW w:w="8354" w:type="dxa"/>
        <w:jc w:val="center"/>
        <w:tblLayout w:type="fixed"/>
        <w:tblLook w:val="04A0" w:firstRow="1" w:lastRow="0" w:firstColumn="1" w:lastColumn="0" w:noHBand="0" w:noVBand="1"/>
      </w:tblPr>
      <w:tblGrid>
        <w:gridCol w:w="2967"/>
        <w:gridCol w:w="709"/>
        <w:gridCol w:w="850"/>
        <w:gridCol w:w="765"/>
        <w:gridCol w:w="766"/>
        <w:gridCol w:w="765"/>
        <w:gridCol w:w="766"/>
        <w:gridCol w:w="766"/>
      </w:tblGrid>
      <w:tr w:rsidR="00281D96" w:rsidRPr="00E70C16" w14:paraId="36E2FAB3" w14:textId="77777777" w:rsidTr="00E54B38">
        <w:trPr>
          <w:jc w:val="center"/>
        </w:trPr>
        <w:tc>
          <w:tcPr>
            <w:tcW w:w="2967" w:type="dxa"/>
            <w:vMerge w:val="restart"/>
            <w:tcBorders>
              <w:top w:val="single" w:sz="8" w:space="0" w:color="9CC2E5"/>
              <w:left w:val="single" w:sz="8" w:space="0" w:color="9CC2E5"/>
              <w:right w:val="single" w:sz="8" w:space="0" w:color="9CC2E5"/>
            </w:tcBorders>
            <w:shd w:val="clear" w:color="auto" w:fill="auto"/>
            <w:vAlign w:val="center"/>
            <w:hideMark/>
          </w:tcPr>
          <w:p w14:paraId="284733F2" w14:textId="77777777" w:rsidR="00281D96" w:rsidRPr="00E70C16" w:rsidRDefault="00281D96" w:rsidP="00277007">
            <w:pPr>
              <w:ind w:firstLine="0"/>
              <w:jc w:val="center"/>
              <w:rPr>
                <w:rFonts w:eastAsia="Times New Roman" w:cs="Times New Roman"/>
                <w:b/>
                <w:bCs/>
                <w:sz w:val="18"/>
                <w:szCs w:val="18"/>
                <w:lang w:eastAsia="lv-LV"/>
              </w:rPr>
            </w:pPr>
          </w:p>
        </w:tc>
        <w:tc>
          <w:tcPr>
            <w:tcW w:w="709" w:type="dxa"/>
            <w:vMerge w:val="restart"/>
            <w:tcBorders>
              <w:top w:val="single" w:sz="8" w:space="0" w:color="9CC2E5"/>
              <w:left w:val="nil"/>
              <w:right w:val="single" w:sz="8" w:space="0" w:color="9CC2E5"/>
            </w:tcBorders>
            <w:shd w:val="clear" w:color="auto" w:fill="auto"/>
            <w:vAlign w:val="center"/>
            <w:hideMark/>
          </w:tcPr>
          <w:p w14:paraId="4EA0A547" w14:textId="77777777" w:rsidR="00281D96" w:rsidRPr="00E70C16" w:rsidRDefault="00281D96" w:rsidP="00277007">
            <w:pPr>
              <w:ind w:firstLine="0"/>
              <w:jc w:val="center"/>
              <w:rPr>
                <w:rFonts w:eastAsia="Times New Roman" w:cs="Times New Roman"/>
                <w:b/>
                <w:bCs/>
                <w:sz w:val="18"/>
                <w:szCs w:val="18"/>
                <w:lang w:eastAsia="lv-LV"/>
              </w:rPr>
            </w:pPr>
            <w:r w:rsidRPr="00E70C16">
              <w:rPr>
                <w:rFonts w:eastAsia="Times New Roman" w:cs="Times New Roman"/>
                <w:b/>
                <w:bCs/>
                <w:sz w:val="18"/>
                <w:szCs w:val="18"/>
                <w:lang w:eastAsia="lv-LV"/>
              </w:rPr>
              <w:t>EKS</w:t>
            </w:r>
            <w:r w:rsidRPr="00E70C16">
              <w:rPr>
                <w:rFonts w:eastAsia="Times New Roman" w:cs="Times New Roman"/>
                <w:b/>
                <w:bCs/>
                <w:sz w:val="18"/>
                <w:szCs w:val="18"/>
                <w:lang w:eastAsia="lv-LV"/>
              </w:rPr>
              <w:br/>
              <w:t>kods</w:t>
            </w:r>
          </w:p>
        </w:tc>
        <w:tc>
          <w:tcPr>
            <w:tcW w:w="850" w:type="dxa"/>
            <w:tcBorders>
              <w:top w:val="single" w:sz="8" w:space="0" w:color="9CC2E5"/>
              <w:left w:val="single" w:sz="8" w:space="0" w:color="9CC2E5"/>
              <w:bottom w:val="single" w:sz="12" w:space="0" w:color="9CC2E5"/>
              <w:right w:val="single" w:sz="8" w:space="0" w:color="9CC2E5"/>
            </w:tcBorders>
            <w:shd w:val="clear" w:color="auto" w:fill="auto"/>
            <w:vAlign w:val="center"/>
            <w:hideMark/>
          </w:tcPr>
          <w:p w14:paraId="03F170E2" w14:textId="77777777" w:rsidR="00281D96" w:rsidRPr="00E70C16" w:rsidRDefault="00281D96" w:rsidP="00277007">
            <w:pPr>
              <w:ind w:firstLine="0"/>
              <w:jc w:val="center"/>
              <w:rPr>
                <w:rFonts w:eastAsia="Times New Roman" w:cs="Times New Roman"/>
                <w:b/>
                <w:bCs/>
                <w:sz w:val="18"/>
                <w:szCs w:val="18"/>
                <w:lang w:eastAsia="lv-LV"/>
              </w:rPr>
            </w:pPr>
            <w:r w:rsidRPr="00E70C16">
              <w:rPr>
                <w:b/>
                <w:bCs/>
                <w:sz w:val="18"/>
                <w:szCs w:val="18"/>
              </w:rPr>
              <w:t>2022</w:t>
            </w:r>
          </w:p>
        </w:tc>
        <w:tc>
          <w:tcPr>
            <w:tcW w:w="765" w:type="dxa"/>
            <w:tcBorders>
              <w:top w:val="single" w:sz="8" w:space="0" w:color="9CC2E5"/>
              <w:left w:val="single" w:sz="8" w:space="0" w:color="9CC2E5"/>
              <w:bottom w:val="single" w:sz="12" w:space="0" w:color="9CC2E5"/>
              <w:right w:val="single" w:sz="8" w:space="0" w:color="9CC2E5"/>
            </w:tcBorders>
            <w:shd w:val="clear" w:color="auto" w:fill="auto"/>
            <w:vAlign w:val="center"/>
            <w:hideMark/>
          </w:tcPr>
          <w:p w14:paraId="60844AA4" w14:textId="77777777" w:rsidR="00281D96" w:rsidRPr="00E70C16" w:rsidRDefault="00281D96" w:rsidP="00277007">
            <w:pPr>
              <w:ind w:firstLine="0"/>
              <w:jc w:val="center"/>
              <w:rPr>
                <w:rFonts w:eastAsia="Times New Roman" w:cs="Times New Roman"/>
                <w:b/>
                <w:bCs/>
                <w:sz w:val="18"/>
                <w:szCs w:val="18"/>
                <w:lang w:eastAsia="lv-LV"/>
              </w:rPr>
            </w:pPr>
            <w:r w:rsidRPr="00E70C16">
              <w:rPr>
                <w:b/>
                <w:bCs/>
                <w:sz w:val="18"/>
                <w:szCs w:val="18"/>
              </w:rPr>
              <w:t>2022</w:t>
            </w:r>
          </w:p>
        </w:tc>
        <w:tc>
          <w:tcPr>
            <w:tcW w:w="766" w:type="dxa"/>
            <w:tcBorders>
              <w:top w:val="single" w:sz="8" w:space="0" w:color="9CC2E5"/>
              <w:left w:val="single" w:sz="8" w:space="0" w:color="9CC2E5"/>
              <w:bottom w:val="single" w:sz="12" w:space="0" w:color="9CC2E5"/>
              <w:right w:val="single" w:sz="8" w:space="0" w:color="9CC2E5"/>
            </w:tcBorders>
            <w:shd w:val="clear" w:color="auto" w:fill="auto"/>
            <w:vAlign w:val="center"/>
            <w:hideMark/>
          </w:tcPr>
          <w:p w14:paraId="4E306CCA" w14:textId="77777777" w:rsidR="00281D96" w:rsidRPr="00E70C16" w:rsidRDefault="00281D96" w:rsidP="00277007">
            <w:pPr>
              <w:ind w:firstLine="0"/>
              <w:jc w:val="center"/>
              <w:rPr>
                <w:rFonts w:eastAsia="Times New Roman" w:cs="Times New Roman"/>
                <w:b/>
                <w:bCs/>
                <w:sz w:val="18"/>
                <w:szCs w:val="18"/>
                <w:lang w:eastAsia="lv-LV"/>
              </w:rPr>
            </w:pPr>
            <w:r w:rsidRPr="00E70C16">
              <w:rPr>
                <w:b/>
                <w:bCs/>
                <w:sz w:val="18"/>
                <w:szCs w:val="18"/>
              </w:rPr>
              <w:t>2023</w:t>
            </w:r>
          </w:p>
        </w:tc>
        <w:tc>
          <w:tcPr>
            <w:tcW w:w="765" w:type="dxa"/>
            <w:tcBorders>
              <w:top w:val="single" w:sz="8" w:space="0" w:color="9CC2E5"/>
              <w:left w:val="single" w:sz="8" w:space="0" w:color="9CC2E5"/>
              <w:bottom w:val="single" w:sz="12" w:space="0" w:color="9CC2E5"/>
              <w:right w:val="single" w:sz="8" w:space="0" w:color="9CC2E5"/>
            </w:tcBorders>
            <w:shd w:val="clear" w:color="auto" w:fill="auto"/>
            <w:vAlign w:val="center"/>
            <w:hideMark/>
          </w:tcPr>
          <w:p w14:paraId="32CA5AD9" w14:textId="77777777" w:rsidR="00281D96" w:rsidRPr="00E70C16" w:rsidRDefault="00281D96" w:rsidP="00277007">
            <w:pPr>
              <w:ind w:firstLine="0"/>
              <w:jc w:val="center"/>
              <w:rPr>
                <w:rFonts w:eastAsia="Times New Roman" w:cs="Times New Roman"/>
                <w:b/>
                <w:bCs/>
                <w:sz w:val="18"/>
                <w:szCs w:val="18"/>
                <w:lang w:eastAsia="lv-LV"/>
              </w:rPr>
            </w:pPr>
            <w:r w:rsidRPr="00E70C16">
              <w:rPr>
                <w:b/>
                <w:bCs/>
                <w:sz w:val="18"/>
                <w:szCs w:val="18"/>
              </w:rPr>
              <w:t>2024</w:t>
            </w:r>
          </w:p>
        </w:tc>
        <w:tc>
          <w:tcPr>
            <w:tcW w:w="766" w:type="dxa"/>
            <w:tcBorders>
              <w:top w:val="single" w:sz="8" w:space="0" w:color="9CC2E5"/>
              <w:left w:val="single" w:sz="8" w:space="0" w:color="9CC2E5"/>
              <w:bottom w:val="single" w:sz="12" w:space="0" w:color="9CC2E5"/>
              <w:right w:val="single" w:sz="8" w:space="0" w:color="9CC2E5"/>
            </w:tcBorders>
            <w:shd w:val="clear" w:color="auto" w:fill="auto"/>
            <w:vAlign w:val="center"/>
            <w:hideMark/>
          </w:tcPr>
          <w:p w14:paraId="180C0C07" w14:textId="77777777" w:rsidR="00281D96" w:rsidRPr="00E70C16" w:rsidRDefault="00281D96" w:rsidP="00277007">
            <w:pPr>
              <w:ind w:firstLine="0"/>
              <w:jc w:val="center"/>
              <w:rPr>
                <w:rFonts w:eastAsia="Times New Roman" w:cs="Times New Roman"/>
                <w:b/>
                <w:bCs/>
                <w:sz w:val="18"/>
                <w:szCs w:val="18"/>
                <w:lang w:eastAsia="lv-LV"/>
              </w:rPr>
            </w:pPr>
            <w:r w:rsidRPr="00E70C16">
              <w:rPr>
                <w:b/>
                <w:bCs/>
                <w:sz w:val="18"/>
                <w:szCs w:val="18"/>
              </w:rPr>
              <w:t>2025</w:t>
            </w:r>
          </w:p>
        </w:tc>
        <w:tc>
          <w:tcPr>
            <w:tcW w:w="766" w:type="dxa"/>
            <w:tcBorders>
              <w:top w:val="single" w:sz="8" w:space="0" w:color="9CC2E5"/>
              <w:left w:val="single" w:sz="8" w:space="0" w:color="9CC2E5"/>
              <w:bottom w:val="single" w:sz="12" w:space="0" w:color="9CC2E5"/>
              <w:right w:val="single" w:sz="8" w:space="0" w:color="9CC2E5"/>
            </w:tcBorders>
            <w:shd w:val="clear" w:color="auto" w:fill="auto"/>
            <w:vAlign w:val="center"/>
            <w:hideMark/>
          </w:tcPr>
          <w:p w14:paraId="2136302D" w14:textId="77777777" w:rsidR="00281D96" w:rsidRPr="00E70C16" w:rsidRDefault="00281D96" w:rsidP="00277007">
            <w:pPr>
              <w:ind w:firstLine="0"/>
              <w:jc w:val="center"/>
              <w:rPr>
                <w:rFonts w:eastAsia="Times New Roman" w:cs="Times New Roman"/>
                <w:b/>
                <w:bCs/>
                <w:sz w:val="18"/>
                <w:szCs w:val="18"/>
                <w:lang w:eastAsia="lv-LV"/>
              </w:rPr>
            </w:pPr>
            <w:r w:rsidRPr="00E70C16">
              <w:rPr>
                <w:b/>
                <w:bCs/>
                <w:sz w:val="18"/>
                <w:szCs w:val="18"/>
              </w:rPr>
              <w:t>2026</w:t>
            </w:r>
          </w:p>
        </w:tc>
      </w:tr>
      <w:tr w:rsidR="00281D96" w:rsidRPr="00E70C16" w14:paraId="4046BE5C" w14:textId="77777777" w:rsidTr="00E54B38">
        <w:trPr>
          <w:trHeight w:val="330"/>
          <w:jc w:val="center"/>
        </w:trPr>
        <w:tc>
          <w:tcPr>
            <w:tcW w:w="2967" w:type="dxa"/>
            <w:vMerge/>
            <w:tcBorders>
              <w:left w:val="single" w:sz="8" w:space="0" w:color="9CC2E5"/>
              <w:bottom w:val="single" w:sz="8" w:space="0" w:color="9CC2E5"/>
              <w:right w:val="single" w:sz="8" w:space="0" w:color="9CC2E5"/>
            </w:tcBorders>
            <w:shd w:val="clear" w:color="000000" w:fill="DEEAF6"/>
            <w:vAlign w:val="center"/>
            <w:hideMark/>
          </w:tcPr>
          <w:p w14:paraId="3CB88263" w14:textId="77777777" w:rsidR="00281D96" w:rsidRPr="00E70C16" w:rsidRDefault="00281D96" w:rsidP="00277007">
            <w:pPr>
              <w:ind w:firstLine="0"/>
              <w:jc w:val="center"/>
              <w:rPr>
                <w:rFonts w:eastAsia="Times New Roman" w:cs="Times New Roman"/>
                <w:b/>
                <w:bCs/>
                <w:sz w:val="18"/>
                <w:szCs w:val="18"/>
                <w:lang w:eastAsia="lv-LV"/>
              </w:rPr>
            </w:pPr>
          </w:p>
        </w:tc>
        <w:tc>
          <w:tcPr>
            <w:tcW w:w="709" w:type="dxa"/>
            <w:vMerge/>
            <w:tcBorders>
              <w:left w:val="nil"/>
              <w:bottom w:val="single" w:sz="8" w:space="0" w:color="9CC2E5"/>
              <w:right w:val="single" w:sz="8" w:space="0" w:color="9CC2E5"/>
            </w:tcBorders>
            <w:shd w:val="clear" w:color="000000" w:fill="DEEAF6"/>
            <w:vAlign w:val="center"/>
            <w:hideMark/>
          </w:tcPr>
          <w:p w14:paraId="0D6EF63F" w14:textId="77777777" w:rsidR="00281D96" w:rsidRPr="00E70C16" w:rsidRDefault="00281D96" w:rsidP="00277007">
            <w:pPr>
              <w:ind w:firstLine="0"/>
              <w:jc w:val="center"/>
              <w:rPr>
                <w:rFonts w:eastAsia="Times New Roman" w:cs="Times New Roman"/>
                <w:sz w:val="18"/>
                <w:szCs w:val="18"/>
                <w:lang w:eastAsia="lv-LV"/>
              </w:rPr>
            </w:pPr>
          </w:p>
        </w:tc>
        <w:tc>
          <w:tcPr>
            <w:tcW w:w="850" w:type="dxa"/>
            <w:tcBorders>
              <w:top w:val="nil"/>
              <w:left w:val="nil"/>
              <w:bottom w:val="single" w:sz="8" w:space="0" w:color="9CC2E5"/>
              <w:right w:val="single" w:sz="8" w:space="0" w:color="9CC2E5"/>
            </w:tcBorders>
            <w:shd w:val="clear" w:color="000000" w:fill="DEEAF6"/>
            <w:vAlign w:val="center"/>
            <w:hideMark/>
          </w:tcPr>
          <w:p w14:paraId="74E98009" w14:textId="77777777" w:rsidR="00281D96" w:rsidRPr="00E70C16" w:rsidRDefault="00281D96" w:rsidP="00277007">
            <w:pPr>
              <w:ind w:firstLine="0"/>
              <w:jc w:val="center"/>
              <w:rPr>
                <w:rFonts w:eastAsia="Times New Roman" w:cs="Times New Roman"/>
                <w:sz w:val="18"/>
                <w:szCs w:val="18"/>
                <w:lang w:eastAsia="lv-LV"/>
              </w:rPr>
            </w:pPr>
            <w:r w:rsidRPr="00E70C16">
              <w:rPr>
                <w:rFonts w:eastAsia="Times New Roman" w:cs="Times New Roman"/>
                <w:sz w:val="18"/>
                <w:szCs w:val="18"/>
                <w:lang w:eastAsia="lv-LV"/>
              </w:rPr>
              <w:t>līmenis</w:t>
            </w:r>
          </w:p>
        </w:tc>
        <w:tc>
          <w:tcPr>
            <w:tcW w:w="3828" w:type="dxa"/>
            <w:gridSpan w:val="5"/>
            <w:tcBorders>
              <w:top w:val="single" w:sz="12" w:space="0" w:color="9CC2E5"/>
              <w:left w:val="nil"/>
              <w:bottom w:val="single" w:sz="8" w:space="0" w:color="9CC2E5"/>
              <w:right w:val="single" w:sz="8" w:space="0" w:color="9CC2E5"/>
            </w:tcBorders>
            <w:shd w:val="clear" w:color="000000" w:fill="DEEAF6"/>
            <w:vAlign w:val="center"/>
            <w:hideMark/>
          </w:tcPr>
          <w:p w14:paraId="3CE1DF77" w14:textId="77777777" w:rsidR="00281D96" w:rsidRPr="00E70C16" w:rsidRDefault="00281D96" w:rsidP="00277007">
            <w:pPr>
              <w:ind w:firstLine="0"/>
              <w:jc w:val="center"/>
              <w:rPr>
                <w:rFonts w:eastAsia="Times New Roman" w:cs="Times New Roman"/>
                <w:sz w:val="18"/>
                <w:szCs w:val="18"/>
                <w:lang w:eastAsia="lv-LV"/>
              </w:rPr>
            </w:pPr>
            <w:r w:rsidRPr="00E70C16">
              <w:rPr>
                <w:rFonts w:eastAsia="Times New Roman" w:cs="Times New Roman"/>
                <w:sz w:val="18"/>
                <w:szCs w:val="18"/>
                <w:lang w:eastAsia="lv-LV"/>
              </w:rPr>
              <w:t>Pieaugums %</w:t>
            </w:r>
          </w:p>
        </w:tc>
      </w:tr>
      <w:tr w:rsidR="00281D96" w:rsidRPr="00E70C16" w14:paraId="3487B596" w14:textId="77777777" w:rsidTr="00E54B38">
        <w:trPr>
          <w:trHeight w:val="44"/>
          <w:jc w:val="center"/>
        </w:trPr>
        <w:tc>
          <w:tcPr>
            <w:tcW w:w="2967" w:type="dxa"/>
            <w:tcBorders>
              <w:top w:val="nil"/>
              <w:left w:val="single" w:sz="8" w:space="0" w:color="9CC2E5"/>
              <w:bottom w:val="single" w:sz="8" w:space="0" w:color="9CC2E5"/>
              <w:right w:val="single" w:sz="8" w:space="0" w:color="9CC2E5"/>
            </w:tcBorders>
            <w:shd w:val="clear" w:color="auto" w:fill="auto"/>
            <w:vAlign w:val="center"/>
            <w:hideMark/>
          </w:tcPr>
          <w:p w14:paraId="75019900" w14:textId="77777777" w:rsidR="00281D96" w:rsidRPr="00E70C16" w:rsidRDefault="00281D96" w:rsidP="00277007">
            <w:pPr>
              <w:ind w:firstLine="0"/>
              <w:jc w:val="left"/>
              <w:rPr>
                <w:rFonts w:eastAsia="Times New Roman" w:cs="Times New Roman"/>
                <w:sz w:val="18"/>
                <w:szCs w:val="18"/>
                <w:lang w:eastAsia="lv-LV"/>
              </w:rPr>
            </w:pPr>
            <w:r w:rsidRPr="00E70C16">
              <w:rPr>
                <w:rFonts w:eastAsia="Times New Roman" w:cs="Times New Roman"/>
                <w:sz w:val="18"/>
                <w:szCs w:val="18"/>
                <w:lang w:eastAsia="lv-LV"/>
              </w:rPr>
              <w:t>1. Nodarbinātība, cilvēki, tūkst.</w:t>
            </w:r>
          </w:p>
        </w:tc>
        <w:tc>
          <w:tcPr>
            <w:tcW w:w="709" w:type="dxa"/>
            <w:tcBorders>
              <w:top w:val="nil"/>
              <w:left w:val="nil"/>
              <w:bottom w:val="single" w:sz="8" w:space="0" w:color="9CC2E5"/>
              <w:right w:val="single" w:sz="8" w:space="0" w:color="9CC2E5"/>
            </w:tcBorders>
            <w:shd w:val="clear" w:color="auto" w:fill="auto"/>
            <w:vAlign w:val="center"/>
            <w:hideMark/>
          </w:tcPr>
          <w:p w14:paraId="59577D13" w14:textId="77777777" w:rsidR="00281D96" w:rsidRPr="00E70C16" w:rsidRDefault="00281D96" w:rsidP="00277007">
            <w:pPr>
              <w:ind w:firstLine="0"/>
              <w:jc w:val="center"/>
              <w:rPr>
                <w:rFonts w:eastAsia="Times New Roman" w:cs="Times New Roman"/>
                <w:sz w:val="18"/>
                <w:szCs w:val="18"/>
                <w:lang w:eastAsia="lv-LV"/>
              </w:rPr>
            </w:pPr>
          </w:p>
        </w:tc>
        <w:tc>
          <w:tcPr>
            <w:tcW w:w="850" w:type="dxa"/>
            <w:tcBorders>
              <w:top w:val="nil"/>
              <w:left w:val="nil"/>
              <w:bottom w:val="single" w:sz="8" w:space="0" w:color="9CC2E5"/>
              <w:right w:val="single" w:sz="8" w:space="0" w:color="9CC2E5"/>
            </w:tcBorders>
            <w:shd w:val="clear" w:color="auto" w:fill="auto"/>
            <w:vAlign w:val="center"/>
            <w:hideMark/>
          </w:tcPr>
          <w:p w14:paraId="0C662749" w14:textId="77777777" w:rsidR="00281D96" w:rsidRPr="00E70C16" w:rsidRDefault="00281D96" w:rsidP="00277007">
            <w:pPr>
              <w:ind w:firstLine="0"/>
              <w:jc w:val="center"/>
              <w:rPr>
                <w:rFonts w:eastAsia="Times New Roman" w:cs="Times New Roman"/>
                <w:sz w:val="18"/>
                <w:szCs w:val="18"/>
                <w:lang w:eastAsia="lv-LV"/>
              </w:rPr>
            </w:pPr>
            <w:r w:rsidRPr="00E70C16">
              <w:rPr>
                <w:color w:val="000000"/>
                <w:sz w:val="18"/>
                <w:szCs w:val="18"/>
              </w:rPr>
              <w:t>886</w:t>
            </w:r>
          </w:p>
        </w:tc>
        <w:tc>
          <w:tcPr>
            <w:tcW w:w="765" w:type="dxa"/>
            <w:tcBorders>
              <w:top w:val="nil"/>
              <w:left w:val="nil"/>
              <w:bottom w:val="single" w:sz="8" w:space="0" w:color="9CC2E5"/>
              <w:right w:val="single" w:sz="8" w:space="0" w:color="9CC2E5"/>
            </w:tcBorders>
            <w:shd w:val="clear" w:color="auto" w:fill="auto"/>
            <w:vAlign w:val="center"/>
            <w:hideMark/>
          </w:tcPr>
          <w:p w14:paraId="45FDC5C7" w14:textId="77777777" w:rsidR="00281D96" w:rsidRPr="00E70C16" w:rsidRDefault="00281D96" w:rsidP="00277007">
            <w:pPr>
              <w:ind w:firstLine="0"/>
              <w:jc w:val="center"/>
              <w:rPr>
                <w:rFonts w:eastAsia="Times New Roman" w:cs="Times New Roman"/>
                <w:sz w:val="18"/>
                <w:szCs w:val="18"/>
                <w:lang w:eastAsia="lv-LV"/>
              </w:rPr>
            </w:pPr>
            <w:r w:rsidRPr="00E70C16">
              <w:rPr>
                <w:color w:val="000000"/>
                <w:sz w:val="18"/>
                <w:szCs w:val="18"/>
              </w:rPr>
              <w:t>2,6</w:t>
            </w:r>
          </w:p>
        </w:tc>
        <w:tc>
          <w:tcPr>
            <w:tcW w:w="766" w:type="dxa"/>
            <w:tcBorders>
              <w:top w:val="nil"/>
              <w:left w:val="nil"/>
              <w:bottom w:val="single" w:sz="8" w:space="0" w:color="9CC2E5"/>
              <w:right w:val="single" w:sz="8" w:space="0" w:color="9CC2E5"/>
            </w:tcBorders>
            <w:shd w:val="clear" w:color="auto" w:fill="auto"/>
            <w:vAlign w:val="center"/>
            <w:hideMark/>
          </w:tcPr>
          <w:p w14:paraId="33994E37" w14:textId="77777777" w:rsidR="00281D96" w:rsidRPr="00E70C16" w:rsidRDefault="00281D96" w:rsidP="00277007">
            <w:pPr>
              <w:ind w:firstLine="0"/>
              <w:jc w:val="center"/>
              <w:rPr>
                <w:rFonts w:eastAsia="Times New Roman" w:cs="Times New Roman"/>
                <w:sz w:val="18"/>
                <w:szCs w:val="18"/>
                <w:lang w:eastAsia="lv-LV"/>
              </w:rPr>
            </w:pPr>
            <w:r w:rsidRPr="00E70C16">
              <w:rPr>
                <w:color w:val="000000"/>
                <w:sz w:val="18"/>
                <w:szCs w:val="18"/>
              </w:rPr>
              <w:t>0,0</w:t>
            </w:r>
          </w:p>
        </w:tc>
        <w:tc>
          <w:tcPr>
            <w:tcW w:w="765" w:type="dxa"/>
            <w:tcBorders>
              <w:top w:val="nil"/>
              <w:left w:val="nil"/>
              <w:bottom w:val="single" w:sz="8" w:space="0" w:color="9CC2E5"/>
              <w:right w:val="single" w:sz="8" w:space="0" w:color="9CC2E5"/>
            </w:tcBorders>
            <w:shd w:val="clear" w:color="auto" w:fill="auto"/>
            <w:vAlign w:val="center"/>
            <w:hideMark/>
          </w:tcPr>
          <w:p w14:paraId="1B5A758A" w14:textId="77777777" w:rsidR="00281D96" w:rsidRPr="00E70C16" w:rsidRDefault="00281D96" w:rsidP="00277007">
            <w:pPr>
              <w:ind w:firstLine="0"/>
              <w:jc w:val="center"/>
              <w:rPr>
                <w:rFonts w:eastAsia="Times New Roman" w:cs="Times New Roman"/>
                <w:sz w:val="18"/>
                <w:szCs w:val="18"/>
                <w:lang w:eastAsia="lv-LV"/>
              </w:rPr>
            </w:pPr>
            <w:r w:rsidRPr="00E70C16">
              <w:rPr>
                <w:color w:val="000000"/>
                <w:sz w:val="18"/>
                <w:szCs w:val="18"/>
              </w:rPr>
              <w:t>-0,2</w:t>
            </w:r>
          </w:p>
        </w:tc>
        <w:tc>
          <w:tcPr>
            <w:tcW w:w="766" w:type="dxa"/>
            <w:tcBorders>
              <w:top w:val="nil"/>
              <w:left w:val="nil"/>
              <w:bottom w:val="single" w:sz="8" w:space="0" w:color="9CC2E5"/>
              <w:right w:val="single" w:sz="8" w:space="0" w:color="9CC2E5"/>
            </w:tcBorders>
            <w:shd w:val="clear" w:color="auto" w:fill="auto"/>
            <w:vAlign w:val="center"/>
            <w:hideMark/>
          </w:tcPr>
          <w:p w14:paraId="785BF5A3" w14:textId="77777777" w:rsidR="00281D96" w:rsidRPr="00E70C16" w:rsidRDefault="00281D96" w:rsidP="00277007">
            <w:pPr>
              <w:ind w:firstLine="0"/>
              <w:jc w:val="center"/>
              <w:rPr>
                <w:rFonts w:eastAsia="Times New Roman" w:cs="Times New Roman"/>
                <w:sz w:val="18"/>
                <w:szCs w:val="18"/>
                <w:lang w:eastAsia="lv-LV"/>
              </w:rPr>
            </w:pPr>
            <w:r w:rsidRPr="00E70C16">
              <w:rPr>
                <w:color w:val="000000"/>
                <w:sz w:val="18"/>
                <w:szCs w:val="18"/>
              </w:rPr>
              <w:t>-0,3</w:t>
            </w:r>
          </w:p>
        </w:tc>
        <w:tc>
          <w:tcPr>
            <w:tcW w:w="766" w:type="dxa"/>
            <w:tcBorders>
              <w:top w:val="nil"/>
              <w:left w:val="nil"/>
              <w:bottom w:val="single" w:sz="8" w:space="0" w:color="9CC2E5"/>
              <w:right w:val="single" w:sz="8" w:space="0" w:color="9CC2E5"/>
            </w:tcBorders>
            <w:shd w:val="clear" w:color="auto" w:fill="auto"/>
            <w:vAlign w:val="center"/>
            <w:hideMark/>
          </w:tcPr>
          <w:p w14:paraId="7AEB6B7E" w14:textId="77777777" w:rsidR="00281D96" w:rsidRPr="00E70C16" w:rsidRDefault="00281D96" w:rsidP="00277007">
            <w:pPr>
              <w:ind w:firstLine="0"/>
              <w:jc w:val="center"/>
              <w:rPr>
                <w:rFonts w:eastAsia="Times New Roman" w:cs="Times New Roman"/>
                <w:sz w:val="18"/>
                <w:szCs w:val="18"/>
                <w:lang w:eastAsia="lv-LV"/>
              </w:rPr>
            </w:pPr>
            <w:r w:rsidRPr="00E70C16">
              <w:rPr>
                <w:color w:val="000000"/>
                <w:sz w:val="18"/>
                <w:szCs w:val="18"/>
              </w:rPr>
              <w:t>-0,6</w:t>
            </w:r>
          </w:p>
        </w:tc>
      </w:tr>
      <w:tr w:rsidR="00281D96" w:rsidRPr="00E70C16" w14:paraId="6D157C47" w14:textId="77777777" w:rsidTr="00E54B38">
        <w:trPr>
          <w:trHeight w:val="48"/>
          <w:jc w:val="center"/>
        </w:trPr>
        <w:tc>
          <w:tcPr>
            <w:tcW w:w="2967" w:type="dxa"/>
            <w:tcBorders>
              <w:top w:val="nil"/>
              <w:left w:val="single" w:sz="8" w:space="0" w:color="9CC2E5"/>
              <w:bottom w:val="single" w:sz="8" w:space="0" w:color="9CC2E5"/>
              <w:right w:val="single" w:sz="8" w:space="0" w:color="9CC2E5"/>
            </w:tcBorders>
            <w:shd w:val="clear" w:color="000000" w:fill="DEEAF6"/>
            <w:vAlign w:val="center"/>
            <w:hideMark/>
          </w:tcPr>
          <w:p w14:paraId="554E1C39" w14:textId="77777777" w:rsidR="00281D96" w:rsidRPr="00E70C16" w:rsidRDefault="00281D96" w:rsidP="00277007">
            <w:pPr>
              <w:ind w:firstLine="0"/>
              <w:jc w:val="left"/>
              <w:rPr>
                <w:rFonts w:eastAsia="Times New Roman" w:cs="Times New Roman"/>
                <w:sz w:val="18"/>
                <w:szCs w:val="18"/>
                <w:lang w:eastAsia="lv-LV"/>
              </w:rPr>
            </w:pPr>
            <w:r w:rsidRPr="00E70C16">
              <w:rPr>
                <w:rFonts w:eastAsia="Times New Roman" w:cs="Times New Roman"/>
                <w:sz w:val="18"/>
                <w:szCs w:val="18"/>
                <w:lang w:eastAsia="lv-LV"/>
              </w:rPr>
              <w:t>2. Nodarbinātība, darba stundas uz vienu nodarbināto</w:t>
            </w:r>
          </w:p>
        </w:tc>
        <w:tc>
          <w:tcPr>
            <w:tcW w:w="709" w:type="dxa"/>
            <w:tcBorders>
              <w:top w:val="nil"/>
              <w:left w:val="nil"/>
              <w:bottom w:val="single" w:sz="8" w:space="0" w:color="9CC2E5"/>
              <w:right w:val="single" w:sz="8" w:space="0" w:color="9CC2E5"/>
            </w:tcBorders>
            <w:shd w:val="clear" w:color="000000" w:fill="DEEAF6"/>
            <w:vAlign w:val="center"/>
            <w:hideMark/>
          </w:tcPr>
          <w:p w14:paraId="309DA3A7" w14:textId="77777777" w:rsidR="00281D96" w:rsidRPr="00E70C16" w:rsidRDefault="00281D96" w:rsidP="00277007">
            <w:pPr>
              <w:ind w:firstLine="0"/>
              <w:jc w:val="center"/>
              <w:rPr>
                <w:rFonts w:eastAsia="Times New Roman" w:cs="Times New Roman"/>
                <w:b/>
                <w:bCs/>
                <w:sz w:val="18"/>
                <w:szCs w:val="18"/>
                <w:lang w:eastAsia="lv-LV"/>
              </w:rPr>
            </w:pPr>
          </w:p>
        </w:tc>
        <w:tc>
          <w:tcPr>
            <w:tcW w:w="850" w:type="dxa"/>
            <w:tcBorders>
              <w:top w:val="nil"/>
              <w:left w:val="nil"/>
              <w:bottom w:val="single" w:sz="8" w:space="0" w:color="9CC2E5"/>
              <w:right w:val="single" w:sz="8" w:space="0" w:color="9CC2E5"/>
            </w:tcBorders>
            <w:shd w:val="clear" w:color="000000" w:fill="DEEAF6"/>
            <w:vAlign w:val="center"/>
            <w:hideMark/>
          </w:tcPr>
          <w:p w14:paraId="2A9C1B8E" w14:textId="77777777" w:rsidR="00281D96" w:rsidRPr="00E70C16" w:rsidRDefault="00281D96" w:rsidP="00277007">
            <w:pPr>
              <w:ind w:firstLine="0"/>
              <w:jc w:val="center"/>
              <w:rPr>
                <w:rFonts w:eastAsia="Times New Roman" w:cs="Times New Roman"/>
                <w:sz w:val="18"/>
                <w:szCs w:val="18"/>
                <w:lang w:eastAsia="lv-LV"/>
              </w:rPr>
            </w:pPr>
            <w:r w:rsidRPr="00E70C16">
              <w:rPr>
                <w:color w:val="000000"/>
                <w:sz w:val="18"/>
                <w:szCs w:val="18"/>
              </w:rPr>
              <w:t>1 498</w:t>
            </w:r>
          </w:p>
        </w:tc>
        <w:tc>
          <w:tcPr>
            <w:tcW w:w="765" w:type="dxa"/>
            <w:tcBorders>
              <w:top w:val="nil"/>
              <w:left w:val="nil"/>
              <w:bottom w:val="single" w:sz="8" w:space="0" w:color="9CC2E5"/>
              <w:right w:val="single" w:sz="8" w:space="0" w:color="9CC2E5"/>
            </w:tcBorders>
            <w:shd w:val="clear" w:color="000000" w:fill="DEEAF6"/>
            <w:vAlign w:val="center"/>
            <w:hideMark/>
          </w:tcPr>
          <w:p w14:paraId="41D9E0EA" w14:textId="77777777" w:rsidR="00281D96" w:rsidRPr="00E70C16" w:rsidRDefault="00281D96" w:rsidP="00277007">
            <w:pPr>
              <w:ind w:firstLine="0"/>
              <w:jc w:val="center"/>
              <w:rPr>
                <w:rFonts w:eastAsia="Times New Roman" w:cs="Times New Roman"/>
                <w:sz w:val="18"/>
                <w:szCs w:val="18"/>
                <w:lang w:eastAsia="lv-LV"/>
              </w:rPr>
            </w:pPr>
            <w:r w:rsidRPr="00E70C16">
              <w:rPr>
                <w:color w:val="000000"/>
                <w:sz w:val="18"/>
                <w:szCs w:val="18"/>
              </w:rPr>
              <w:t>1,8</w:t>
            </w:r>
          </w:p>
        </w:tc>
        <w:tc>
          <w:tcPr>
            <w:tcW w:w="766" w:type="dxa"/>
            <w:tcBorders>
              <w:top w:val="nil"/>
              <w:left w:val="nil"/>
              <w:bottom w:val="single" w:sz="8" w:space="0" w:color="9CC2E5"/>
              <w:right w:val="single" w:sz="8" w:space="0" w:color="9CC2E5"/>
            </w:tcBorders>
            <w:shd w:val="clear" w:color="000000" w:fill="DEEAF6"/>
            <w:vAlign w:val="center"/>
            <w:hideMark/>
          </w:tcPr>
          <w:p w14:paraId="5E96520A" w14:textId="77777777" w:rsidR="00281D96" w:rsidRPr="00E70C16" w:rsidRDefault="00281D96" w:rsidP="00277007">
            <w:pPr>
              <w:ind w:firstLine="0"/>
              <w:jc w:val="center"/>
              <w:rPr>
                <w:rFonts w:eastAsia="Times New Roman" w:cs="Times New Roman"/>
                <w:sz w:val="18"/>
                <w:szCs w:val="18"/>
                <w:lang w:eastAsia="lv-LV"/>
              </w:rPr>
            </w:pPr>
            <w:r w:rsidRPr="00E70C16">
              <w:rPr>
                <w:color w:val="000000"/>
                <w:sz w:val="18"/>
                <w:szCs w:val="18"/>
              </w:rPr>
              <w:t>0,0</w:t>
            </w:r>
          </w:p>
        </w:tc>
        <w:tc>
          <w:tcPr>
            <w:tcW w:w="765" w:type="dxa"/>
            <w:tcBorders>
              <w:top w:val="nil"/>
              <w:left w:val="nil"/>
              <w:bottom w:val="single" w:sz="8" w:space="0" w:color="9CC2E5"/>
              <w:right w:val="single" w:sz="8" w:space="0" w:color="9CC2E5"/>
            </w:tcBorders>
            <w:shd w:val="clear" w:color="000000" w:fill="DEEAF6"/>
            <w:vAlign w:val="center"/>
            <w:hideMark/>
          </w:tcPr>
          <w:p w14:paraId="47D62C17" w14:textId="77777777" w:rsidR="00281D96" w:rsidRPr="00E70C16" w:rsidRDefault="00281D96" w:rsidP="00277007">
            <w:pPr>
              <w:ind w:firstLine="0"/>
              <w:jc w:val="center"/>
              <w:rPr>
                <w:rFonts w:eastAsia="Times New Roman" w:cs="Times New Roman"/>
                <w:sz w:val="18"/>
                <w:szCs w:val="18"/>
                <w:lang w:eastAsia="lv-LV"/>
              </w:rPr>
            </w:pPr>
            <w:r w:rsidRPr="00E70C16">
              <w:rPr>
                <w:color w:val="000000"/>
                <w:sz w:val="18"/>
                <w:szCs w:val="18"/>
              </w:rPr>
              <w:t>0,0</w:t>
            </w:r>
          </w:p>
        </w:tc>
        <w:tc>
          <w:tcPr>
            <w:tcW w:w="766" w:type="dxa"/>
            <w:tcBorders>
              <w:top w:val="nil"/>
              <w:left w:val="nil"/>
              <w:bottom w:val="single" w:sz="8" w:space="0" w:color="9CC2E5"/>
              <w:right w:val="single" w:sz="8" w:space="0" w:color="9CC2E5"/>
            </w:tcBorders>
            <w:shd w:val="clear" w:color="000000" w:fill="DEEAF6"/>
            <w:vAlign w:val="center"/>
            <w:hideMark/>
          </w:tcPr>
          <w:p w14:paraId="7E663BC1" w14:textId="77777777" w:rsidR="00281D96" w:rsidRPr="00E70C16" w:rsidRDefault="00281D96" w:rsidP="00277007">
            <w:pPr>
              <w:ind w:firstLine="0"/>
              <w:jc w:val="center"/>
              <w:rPr>
                <w:rFonts w:eastAsia="Times New Roman" w:cs="Times New Roman"/>
                <w:sz w:val="18"/>
                <w:szCs w:val="18"/>
                <w:lang w:eastAsia="lv-LV"/>
              </w:rPr>
            </w:pPr>
            <w:r w:rsidRPr="00E70C16">
              <w:rPr>
                <w:color w:val="000000"/>
                <w:sz w:val="18"/>
                <w:szCs w:val="18"/>
              </w:rPr>
              <w:t>0,0</w:t>
            </w:r>
          </w:p>
        </w:tc>
        <w:tc>
          <w:tcPr>
            <w:tcW w:w="766" w:type="dxa"/>
            <w:tcBorders>
              <w:top w:val="nil"/>
              <w:left w:val="nil"/>
              <w:bottom w:val="single" w:sz="8" w:space="0" w:color="9CC2E5"/>
              <w:right w:val="single" w:sz="8" w:space="0" w:color="9CC2E5"/>
            </w:tcBorders>
            <w:shd w:val="clear" w:color="000000" w:fill="DEEAF6"/>
            <w:vAlign w:val="center"/>
            <w:hideMark/>
          </w:tcPr>
          <w:p w14:paraId="330F4D4E" w14:textId="77777777" w:rsidR="00281D96" w:rsidRPr="00E70C16" w:rsidRDefault="00281D96" w:rsidP="00277007">
            <w:pPr>
              <w:ind w:firstLine="0"/>
              <w:jc w:val="center"/>
              <w:rPr>
                <w:rFonts w:eastAsia="Times New Roman" w:cs="Times New Roman"/>
                <w:sz w:val="18"/>
                <w:szCs w:val="18"/>
                <w:lang w:eastAsia="lv-LV"/>
              </w:rPr>
            </w:pPr>
            <w:r w:rsidRPr="00E70C16">
              <w:rPr>
                <w:color w:val="000000"/>
                <w:sz w:val="18"/>
                <w:szCs w:val="18"/>
              </w:rPr>
              <w:t>0,0</w:t>
            </w:r>
          </w:p>
        </w:tc>
      </w:tr>
      <w:tr w:rsidR="00281D96" w:rsidRPr="00E70C16" w14:paraId="37CDFAD2" w14:textId="77777777" w:rsidTr="00E54B38">
        <w:trPr>
          <w:trHeight w:val="44"/>
          <w:jc w:val="center"/>
        </w:trPr>
        <w:tc>
          <w:tcPr>
            <w:tcW w:w="2967" w:type="dxa"/>
            <w:tcBorders>
              <w:top w:val="nil"/>
              <w:left w:val="single" w:sz="8" w:space="0" w:color="9CC2E5"/>
              <w:bottom w:val="single" w:sz="8" w:space="0" w:color="9CC2E5"/>
              <w:right w:val="single" w:sz="8" w:space="0" w:color="9CC2E5"/>
            </w:tcBorders>
            <w:shd w:val="clear" w:color="auto" w:fill="auto"/>
            <w:vAlign w:val="center"/>
            <w:hideMark/>
          </w:tcPr>
          <w:p w14:paraId="6C4DB2EA" w14:textId="77777777" w:rsidR="00281D96" w:rsidRPr="00E70C16" w:rsidRDefault="00281D96" w:rsidP="00277007">
            <w:pPr>
              <w:ind w:firstLine="0"/>
              <w:jc w:val="left"/>
              <w:rPr>
                <w:rFonts w:eastAsia="Times New Roman" w:cs="Times New Roman"/>
                <w:sz w:val="18"/>
                <w:szCs w:val="18"/>
                <w:lang w:eastAsia="lv-LV"/>
              </w:rPr>
            </w:pPr>
            <w:r w:rsidRPr="00E70C16">
              <w:rPr>
                <w:rFonts w:eastAsia="Times New Roman" w:cs="Times New Roman"/>
                <w:sz w:val="18"/>
                <w:szCs w:val="18"/>
                <w:lang w:eastAsia="lv-LV"/>
              </w:rPr>
              <w:t>3. Bezdarba līmenis (%)</w:t>
            </w:r>
          </w:p>
        </w:tc>
        <w:tc>
          <w:tcPr>
            <w:tcW w:w="709" w:type="dxa"/>
            <w:tcBorders>
              <w:top w:val="nil"/>
              <w:left w:val="nil"/>
              <w:bottom w:val="single" w:sz="8" w:space="0" w:color="9CC2E5"/>
              <w:right w:val="single" w:sz="8" w:space="0" w:color="9CC2E5"/>
            </w:tcBorders>
            <w:shd w:val="clear" w:color="auto" w:fill="auto"/>
            <w:vAlign w:val="center"/>
            <w:hideMark/>
          </w:tcPr>
          <w:p w14:paraId="7BD5B669" w14:textId="77777777" w:rsidR="00281D96" w:rsidRPr="00E70C16" w:rsidRDefault="00281D96" w:rsidP="00277007">
            <w:pPr>
              <w:ind w:firstLine="0"/>
              <w:jc w:val="center"/>
              <w:rPr>
                <w:rFonts w:eastAsia="Times New Roman" w:cs="Times New Roman"/>
                <w:sz w:val="18"/>
                <w:szCs w:val="18"/>
                <w:lang w:eastAsia="lv-LV"/>
              </w:rPr>
            </w:pPr>
          </w:p>
        </w:tc>
        <w:tc>
          <w:tcPr>
            <w:tcW w:w="850" w:type="dxa"/>
            <w:tcBorders>
              <w:top w:val="nil"/>
              <w:left w:val="nil"/>
              <w:bottom w:val="single" w:sz="8" w:space="0" w:color="9CC2E5"/>
              <w:right w:val="single" w:sz="8" w:space="0" w:color="9CC2E5"/>
            </w:tcBorders>
            <w:shd w:val="clear" w:color="auto" w:fill="auto"/>
            <w:vAlign w:val="center"/>
            <w:hideMark/>
          </w:tcPr>
          <w:p w14:paraId="50C3E0A4" w14:textId="77777777" w:rsidR="00281D96" w:rsidRPr="00E70C16" w:rsidRDefault="00281D96" w:rsidP="00277007">
            <w:pPr>
              <w:ind w:firstLine="0"/>
              <w:jc w:val="center"/>
              <w:rPr>
                <w:rFonts w:eastAsia="Times New Roman" w:cs="Times New Roman"/>
                <w:sz w:val="18"/>
                <w:szCs w:val="18"/>
                <w:lang w:eastAsia="lv-LV"/>
              </w:rPr>
            </w:pPr>
          </w:p>
        </w:tc>
        <w:tc>
          <w:tcPr>
            <w:tcW w:w="765" w:type="dxa"/>
            <w:tcBorders>
              <w:top w:val="nil"/>
              <w:left w:val="nil"/>
              <w:bottom w:val="single" w:sz="8" w:space="0" w:color="9CC2E5"/>
              <w:right w:val="single" w:sz="8" w:space="0" w:color="9CC2E5"/>
            </w:tcBorders>
            <w:shd w:val="clear" w:color="auto" w:fill="auto"/>
            <w:vAlign w:val="center"/>
            <w:hideMark/>
          </w:tcPr>
          <w:p w14:paraId="058DCF38" w14:textId="77777777" w:rsidR="00281D96" w:rsidRPr="00E70C16" w:rsidRDefault="00281D96" w:rsidP="00277007">
            <w:pPr>
              <w:ind w:firstLine="0"/>
              <w:jc w:val="center"/>
              <w:rPr>
                <w:rFonts w:eastAsia="Times New Roman" w:cs="Times New Roman"/>
                <w:sz w:val="18"/>
                <w:szCs w:val="18"/>
                <w:lang w:eastAsia="lv-LV"/>
              </w:rPr>
            </w:pPr>
            <w:r w:rsidRPr="00E70C16">
              <w:rPr>
                <w:color w:val="000000"/>
                <w:sz w:val="18"/>
                <w:szCs w:val="18"/>
              </w:rPr>
              <w:t>6,9</w:t>
            </w:r>
          </w:p>
        </w:tc>
        <w:tc>
          <w:tcPr>
            <w:tcW w:w="766" w:type="dxa"/>
            <w:tcBorders>
              <w:top w:val="nil"/>
              <w:left w:val="nil"/>
              <w:bottom w:val="single" w:sz="8" w:space="0" w:color="9CC2E5"/>
              <w:right w:val="single" w:sz="8" w:space="0" w:color="9CC2E5"/>
            </w:tcBorders>
            <w:shd w:val="clear" w:color="auto" w:fill="auto"/>
            <w:vAlign w:val="center"/>
            <w:hideMark/>
          </w:tcPr>
          <w:p w14:paraId="2C535071" w14:textId="77777777" w:rsidR="00281D96" w:rsidRPr="00E70C16" w:rsidRDefault="00281D96" w:rsidP="00277007">
            <w:pPr>
              <w:ind w:firstLine="0"/>
              <w:jc w:val="center"/>
              <w:rPr>
                <w:rFonts w:eastAsia="Times New Roman" w:cs="Times New Roman"/>
                <w:sz w:val="18"/>
                <w:szCs w:val="18"/>
                <w:lang w:eastAsia="lv-LV"/>
              </w:rPr>
            </w:pPr>
            <w:r w:rsidRPr="00E70C16">
              <w:rPr>
                <w:color w:val="000000"/>
                <w:sz w:val="18"/>
                <w:szCs w:val="18"/>
              </w:rPr>
              <w:t>7,1</w:t>
            </w:r>
          </w:p>
        </w:tc>
        <w:tc>
          <w:tcPr>
            <w:tcW w:w="765" w:type="dxa"/>
            <w:tcBorders>
              <w:top w:val="nil"/>
              <w:left w:val="nil"/>
              <w:bottom w:val="single" w:sz="8" w:space="0" w:color="9CC2E5"/>
              <w:right w:val="single" w:sz="8" w:space="0" w:color="9CC2E5"/>
            </w:tcBorders>
            <w:shd w:val="clear" w:color="auto" w:fill="auto"/>
            <w:vAlign w:val="center"/>
            <w:hideMark/>
          </w:tcPr>
          <w:p w14:paraId="1341C244" w14:textId="77777777" w:rsidR="00281D96" w:rsidRPr="00E70C16" w:rsidRDefault="00281D96" w:rsidP="00277007">
            <w:pPr>
              <w:ind w:firstLine="0"/>
              <w:jc w:val="center"/>
              <w:rPr>
                <w:rFonts w:eastAsia="Times New Roman" w:cs="Times New Roman"/>
                <w:sz w:val="18"/>
                <w:szCs w:val="18"/>
                <w:lang w:eastAsia="lv-LV"/>
              </w:rPr>
            </w:pPr>
            <w:r w:rsidRPr="00E70C16">
              <w:rPr>
                <w:color w:val="000000"/>
                <w:sz w:val="18"/>
                <w:szCs w:val="18"/>
              </w:rPr>
              <w:t>6,8</w:t>
            </w:r>
          </w:p>
        </w:tc>
        <w:tc>
          <w:tcPr>
            <w:tcW w:w="766" w:type="dxa"/>
            <w:tcBorders>
              <w:top w:val="nil"/>
              <w:left w:val="nil"/>
              <w:bottom w:val="single" w:sz="8" w:space="0" w:color="9CC2E5"/>
              <w:right w:val="single" w:sz="8" w:space="0" w:color="9CC2E5"/>
            </w:tcBorders>
            <w:shd w:val="clear" w:color="auto" w:fill="auto"/>
            <w:vAlign w:val="center"/>
            <w:hideMark/>
          </w:tcPr>
          <w:p w14:paraId="5CC65B8E" w14:textId="77777777" w:rsidR="00281D96" w:rsidRPr="00E70C16" w:rsidRDefault="00281D96" w:rsidP="00277007">
            <w:pPr>
              <w:ind w:firstLine="0"/>
              <w:jc w:val="center"/>
              <w:rPr>
                <w:rFonts w:eastAsia="Times New Roman" w:cs="Times New Roman"/>
                <w:sz w:val="18"/>
                <w:szCs w:val="18"/>
                <w:lang w:eastAsia="lv-LV"/>
              </w:rPr>
            </w:pPr>
            <w:r w:rsidRPr="00E70C16">
              <w:rPr>
                <w:color w:val="000000"/>
                <w:sz w:val="18"/>
                <w:szCs w:val="18"/>
              </w:rPr>
              <w:t>6,4</w:t>
            </w:r>
          </w:p>
        </w:tc>
        <w:tc>
          <w:tcPr>
            <w:tcW w:w="766" w:type="dxa"/>
            <w:tcBorders>
              <w:top w:val="nil"/>
              <w:left w:val="nil"/>
              <w:bottom w:val="single" w:sz="8" w:space="0" w:color="9CC2E5"/>
              <w:right w:val="single" w:sz="8" w:space="0" w:color="9CC2E5"/>
            </w:tcBorders>
            <w:shd w:val="clear" w:color="auto" w:fill="auto"/>
            <w:vAlign w:val="center"/>
            <w:hideMark/>
          </w:tcPr>
          <w:p w14:paraId="40B340E9" w14:textId="77777777" w:rsidR="00281D96" w:rsidRPr="00E70C16" w:rsidRDefault="00281D96" w:rsidP="00277007">
            <w:pPr>
              <w:ind w:firstLine="0"/>
              <w:jc w:val="center"/>
              <w:rPr>
                <w:rFonts w:eastAsia="Times New Roman" w:cs="Times New Roman"/>
                <w:sz w:val="18"/>
                <w:szCs w:val="18"/>
                <w:lang w:eastAsia="lv-LV"/>
              </w:rPr>
            </w:pPr>
            <w:r w:rsidRPr="00E70C16">
              <w:rPr>
                <w:color w:val="000000"/>
                <w:sz w:val="18"/>
                <w:szCs w:val="18"/>
              </w:rPr>
              <w:t>6,4</w:t>
            </w:r>
          </w:p>
        </w:tc>
      </w:tr>
      <w:tr w:rsidR="00281D96" w:rsidRPr="00E70C16" w14:paraId="21585ECE" w14:textId="77777777" w:rsidTr="00E54B38">
        <w:trPr>
          <w:trHeight w:val="44"/>
          <w:jc w:val="center"/>
        </w:trPr>
        <w:tc>
          <w:tcPr>
            <w:tcW w:w="2967" w:type="dxa"/>
            <w:tcBorders>
              <w:top w:val="nil"/>
              <w:left w:val="single" w:sz="8" w:space="0" w:color="9CC2E5"/>
              <w:bottom w:val="single" w:sz="8" w:space="0" w:color="9CC2E5"/>
              <w:right w:val="single" w:sz="8" w:space="0" w:color="9CC2E5"/>
            </w:tcBorders>
            <w:shd w:val="clear" w:color="000000" w:fill="DEEAF6"/>
            <w:vAlign w:val="center"/>
            <w:hideMark/>
          </w:tcPr>
          <w:p w14:paraId="741C0B66" w14:textId="77777777" w:rsidR="00281D96" w:rsidRPr="00E70C16" w:rsidRDefault="00281D96" w:rsidP="00277007">
            <w:pPr>
              <w:ind w:firstLine="0"/>
              <w:jc w:val="left"/>
              <w:rPr>
                <w:rFonts w:eastAsia="Times New Roman" w:cs="Times New Roman"/>
                <w:sz w:val="18"/>
                <w:szCs w:val="18"/>
                <w:lang w:eastAsia="lv-LV"/>
              </w:rPr>
            </w:pPr>
            <w:r w:rsidRPr="00E70C16">
              <w:rPr>
                <w:rFonts w:eastAsia="Times New Roman" w:cs="Times New Roman"/>
                <w:sz w:val="18"/>
                <w:szCs w:val="18"/>
                <w:lang w:eastAsia="lv-LV"/>
              </w:rPr>
              <w:t>4. Darba ražīgums, uz nodarbināto</w:t>
            </w:r>
          </w:p>
        </w:tc>
        <w:tc>
          <w:tcPr>
            <w:tcW w:w="709" w:type="dxa"/>
            <w:tcBorders>
              <w:top w:val="nil"/>
              <w:left w:val="nil"/>
              <w:bottom w:val="single" w:sz="8" w:space="0" w:color="9CC2E5"/>
              <w:right w:val="single" w:sz="8" w:space="0" w:color="9CC2E5"/>
            </w:tcBorders>
            <w:shd w:val="clear" w:color="000000" w:fill="DEEAF6"/>
            <w:vAlign w:val="center"/>
            <w:hideMark/>
          </w:tcPr>
          <w:p w14:paraId="72EE4256" w14:textId="77777777" w:rsidR="00281D96" w:rsidRPr="00E70C16" w:rsidRDefault="00281D96" w:rsidP="00277007">
            <w:pPr>
              <w:ind w:firstLine="0"/>
              <w:jc w:val="center"/>
              <w:rPr>
                <w:rFonts w:eastAsia="Times New Roman" w:cs="Times New Roman"/>
                <w:b/>
                <w:bCs/>
                <w:sz w:val="18"/>
                <w:szCs w:val="18"/>
                <w:lang w:eastAsia="lv-LV"/>
              </w:rPr>
            </w:pPr>
          </w:p>
        </w:tc>
        <w:tc>
          <w:tcPr>
            <w:tcW w:w="850" w:type="dxa"/>
            <w:tcBorders>
              <w:top w:val="nil"/>
              <w:left w:val="nil"/>
              <w:bottom w:val="single" w:sz="8" w:space="0" w:color="9CC2E5"/>
              <w:right w:val="single" w:sz="8" w:space="0" w:color="9CC2E5"/>
            </w:tcBorders>
            <w:shd w:val="clear" w:color="000000" w:fill="DEEAF6"/>
            <w:vAlign w:val="center"/>
            <w:hideMark/>
          </w:tcPr>
          <w:p w14:paraId="3973C7DE" w14:textId="77777777" w:rsidR="00281D96" w:rsidRPr="00E70C16" w:rsidRDefault="00281D96" w:rsidP="00277007">
            <w:pPr>
              <w:ind w:firstLineChars="100" w:firstLine="181"/>
              <w:jc w:val="center"/>
              <w:rPr>
                <w:rFonts w:eastAsia="Times New Roman" w:cs="Times New Roman"/>
                <w:b/>
                <w:bCs/>
                <w:sz w:val="18"/>
                <w:szCs w:val="18"/>
                <w:lang w:eastAsia="lv-LV"/>
              </w:rPr>
            </w:pPr>
          </w:p>
        </w:tc>
        <w:tc>
          <w:tcPr>
            <w:tcW w:w="765" w:type="dxa"/>
            <w:tcBorders>
              <w:top w:val="nil"/>
              <w:left w:val="nil"/>
              <w:bottom w:val="single" w:sz="8" w:space="0" w:color="9CC2E5"/>
              <w:right w:val="single" w:sz="8" w:space="0" w:color="9CC2E5"/>
            </w:tcBorders>
            <w:shd w:val="clear" w:color="000000" w:fill="DEEAF6"/>
            <w:vAlign w:val="center"/>
            <w:hideMark/>
          </w:tcPr>
          <w:p w14:paraId="29C75569" w14:textId="77777777" w:rsidR="00281D96" w:rsidRPr="00E70C16" w:rsidRDefault="00281D96" w:rsidP="00277007">
            <w:pPr>
              <w:ind w:firstLine="0"/>
              <w:jc w:val="center"/>
              <w:rPr>
                <w:rFonts w:eastAsia="Times New Roman" w:cs="Times New Roman"/>
                <w:sz w:val="18"/>
                <w:szCs w:val="18"/>
                <w:lang w:eastAsia="lv-LV"/>
              </w:rPr>
            </w:pPr>
            <w:r w:rsidRPr="00E70C16">
              <w:rPr>
                <w:color w:val="000000"/>
                <w:sz w:val="18"/>
                <w:szCs w:val="18"/>
              </w:rPr>
              <w:t>-0,6</w:t>
            </w:r>
          </w:p>
        </w:tc>
        <w:tc>
          <w:tcPr>
            <w:tcW w:w="766" w:type="dxa"/>
            <w:tcBorders>
              <w:top w:val="nil"/>
              <w:left w:val="nil"/>
              <w:bottom w:val="single" w:sz="8" w:space="0" w:color="9CC2E5"/>
              <w:right w:val="single" w:sz="8" w:space="0" w:color="9CC2E5"/>
            </w:tcBorders>
            <w:shd w:val="clear" w:color="000000" w:fill="DEEAF6"/>
            <w:vAlign w:val="center"/>
            <w:hideMark/>
          </w:tcPr>
          <w:p w14:paraId="5F2454BD" w14:textId="77777777" w:rsidR="00281D96" w:rsidRPr="00E70C16" w:rsidRDefault="00281D96" w:rsidP="00277007">
            <w:pPr>
              <w:ind w:firstLine="0"/>
              <w:jc w:val="center"/>
              <w:rPr>
                <w:rFonts w:eastAsia="Times New Roman" w:cs="Times New Roman"/>
                <w:sz w:val="18"/>
                <w:szCs w:val="18"/>
                <w:lang w:eastAsia="lv-LV"/>
              </w:rPr>
            </w:pPr>
            <w:r w:rsidRPr="00E70C16">
              <w:rPr>
                <w:color w:val="000000"/>
                <w:sz w:val="18"/>
                <w:szCs w:val="18"/>
              </w:rPr>
              <w:t>0,0</w:t>
            </w:r>
          </w:p>
        </w:tc>
        <w:tc>
          <w:tcPr>
            <w:tcW w:w="765" w:type="dxa"/>
            <w:tcBorders>
              <w:top w:val="nil"/>
              <w:left w:val="nil"/>
              <w:bottom w:val="single" w:sz="8" w:space="0" w:color="9CC2E5"/>
              <w:right w:val="single" w:sz="8" w:space="0" w:color="9CC2E5"/>
            </w:tcBorders>
            <w:shd w:val="clear" w:color="000000" w:fill="DEEAF6"/>
            <w:vAlign w:val="center"/>
            <w:hideMark/>
          </w:tcPr>
          <w:p w14:paraId="0FD3CE53" w14:textId="77777777" w:rsidR="00281D96" w:rsidRPr="00E70C16" w:rsidRDefault="00281D96" w:rsidP="00277007">
            <w:pPr>
              <w:ind w:firstLine="0"/>
              <w:jc w:val="center"/>
              <w:rPr>
                <w:rFonts w:eastAsia="Times New Roman" w:cs="Times New Roman"/>
                <w:sz w:val="18"/>
                <w:szCs w:val="18"/>
                <w:lang w:eastAsia="lv-LV"/>
              </w:rPr>
            </w:pPr>
            <w:r w:rsidRPr="00E70C16">
              <w:rPr>
                <w:color w:val="000000"/>
                <w:sz w:val="18"/>
                <w:szCs w:val="18"/>
              </w:rPr>
              <w:t>2,2</w:t>
            </w:r>
          </w:p>
        </w:tc>
        <w:tc>
          <w:tcPr>
            <w:tcW w:w="766" w:type="dxa"/>
            <w:tcBorders>
              <w:top w:val="nil"/>
              <w:left w:val="nil"/>
              <w:bottom w:val="single" w:sz="8" w:space="0" w:color="9CC2E5"/>
              <w:right w:val="single" w:sz="8" w:space="0" w:color="9CC2E5"/>
            </w:tcBorders>
            <w:shd w:val="clear" w:color="000000" w:fill="DEEAF6"/>
            <w:vAlign w:val="center"/>
            <w:hideMark/>
          </w:tcPr>
          <w:p w14:paraId="4B9EFCB3" w14:textId="77777777" w:rsidR="00281D96" w:rsidRPr="00E70C16" w:rsidRDefault="00281D96" w:rsidP="00277007">
            <w:pPr>
              <w:ind w:firstLine="0"/>
              <w:jc w:val="center"/>
              <w:rPr>
                <w:rFonts w:eastAsia="Times New Roman" w:cs="Times New Roman"/>
                <w:sz w:val="18"/>
                <w:szCs w:val="18"/>
                <w:lang w:eastAsia="lv-LV"/>
              </w:rPr>
            </w:pPr>
            <w:r w:rsidRPr="00E70C16">
              <w:rPr>
                <w:color w:val="000000"/>
                <w:sz w:val="18"/>
                <w:szCs w:val="18"/>
              </w:rPr>
              <w:t>3,2</w:t>
            </w:r>
          </w:p>
        </w:tc>
        <w:tc>
          <w:tcPr>
            <w:tcW w:w="766" w:type="dxa"/>
            <w:tcBorders>
              <w:top w:val="nil"/>
              <w:left w:val="nil"/>
              <w:bottom w:val="single" w:sz="8" w:space="0" w:color="9CC2E5"/>
              <w:right w:val="single" w:sz="8" w:space="0" w:color="9CC2E5"/>
            </w:tcBorders>
            <w:shd w:val="clear" w:color="000000" w:fill="DEEAF6"/>
            <w:vAlign w:val="center"/>
            <w:hideMark/>
          </w:tcPr>
          <w:p w14:paraId="2D5141DC" w14:textId="77777777" w:rsidR="00281D96" w:rsidRPr="00E70C16" w:rsidRDefault="00281D96" w:rsidP="00277007">
            <w:pPr>
              <w:ind w:firstLine="0"/>
              <w:jc w:val="center"/>
              <w:rPr>
                <w:rFonts w:eastAsia="Times New Roman" w:cs="Times New Roman"/>
                <w:sz w:val="18"/>
                <w:szCs w:val="18"/>
                <w:lang w:eastAsia="lv-LV"/>
              </w:rPr>
            </w:pPr>
            <w:r w:rsidRPr="00E70C16">
              <w:rPr>
                <w:color w:val="000000"/>
                <w:sz w:val="18"/>
                <w:szCs w:val="18"/>
              </w:rPr>
              <w:t>3,4</w:t>
            </w:r>
          </w:p>
        </w:tc>
      </w:tr>
      <w:tr w:rsidR="00281D96" w:rsidRPr="00E70C16" w14:paraId="30CEF3F1" w14:textId="77777777" w:rsidTr="00E54B38">
        <w:trPr>
          <w:trHeight w:val="44"/>
          <w:jc w:val="center"/>
        </w:trPr>
        <w:tc>
          <w:tcPr>
            <w:tcW w:w="2967" w:type="dxa"/>
            <w:tcBorders>
              <w:top w:val="nil"/>
              <w:left w:val="single" w:sz="8" w:space="0" w:color="9CC2E5"/>
              <w:bottom w:val="single" w:sz="8" w:space="0" w:color="9CC2E5"/>
              <w:right w:val="single" w:sz="8" w:space="0" w:color="9CC2E5"/>
            </w:tcBorders>
            <w:shd w:val="clear" w:color="000000" w:fill="DEEAF6"/>
            <w:vAlign w:val="center"/>
            <w:hideMark/>
          </w:tcPr>
          <w:p w14:paraId="5639BC0F" w14:textId="77777777" w:rsidR="00281D96" w:rsidRPr="00E70C16" w:rsidRDefault="00281D96" w:rsidP="00277007">
            <w:pPr>
              <w:ind w:firstLine="0"/>
              <w:jc w:val="left"/>
              <w:rPr>
                <w:rFonts w:eastAsia="Times New Roman" w:cs="Times New Roman"/>
                <w:sz w:val="18"/>
                <w:szCs w:val="18"/>
                <w:lang w:eastAsia="lv-LV"/>
              </w:rPr>
            </w:pPr>
            <w:r w:rsidRPr="00E70C16">
              <w:rPr>
                <w:rFonts w:eastAsia="Times New Roman" w:cs="Times New Roman"/>
                <w:sz w:val="18"/>
                <w:szCs w:val="18"/>
                <w:lang w:eastAsia="lv-LV"/>
              </w:rPr>
              <w:t>5. Darba ražīgums, uz darba stundu</w:t>
            </w:r>
          </w:p>
        </w:tc>
        <w:tc>
          <w:tcPr>
            <w:tcW w:w="709" w:type="dxa"/>
            <w:tcBorders>
              <w:top w:val="nil"/>
              <w:left w:val="nil"/>
              <w:bottom w:val="single" w:sz="8" w:space="0" w:color="9CC2E5"/>
              <w:right w:val="single" w:sz="8" w:space="0" w:color="9CC2E5"/>
            </w:tcBorders>
            <w:shd w:val="clear" w:color="auto" w:fill="auto"/>
            <w:vAlign w:val="center"/>
            <w:hideMark/>
          </w:tcPr>
          <w:p w14:paraId="7FF06044" w14:textId="77777777" w:rsidR="00281D96" w:rsidRPr="00E70C16" w:rsidRDefault="00281D96" w:rsidP="00277007">
            <w:pPr>
              <w:ind w:firstLine="0"/>
              <w:jc w:val="center"/>
              <w:rPr>
                <w:rFonts w:eastAsia="Times New Roman" w:cs="Times New Roman"/>
                <w:b/>
                <w:bCs/>
                <w:sz w:val="18"/>
                <w:szCs w:val="18"/>
                <w:lang w:eastAsia="lv-LV"/>
              </w:rPr>
            </w:pPr>
          </w:p>
        </w:tc>
        <w:tc>
          <w:tcPr>
            <w:tcW w:w="850" w:type="dxa"/>
            <w:tcBorders>
              <w:top w:val="nil"/>
              <w:left w:val="nil"/>
              <w:bottom w:val="single" w:sz="8" w:space="0" w:color="9CC2E5"/>
              <w:right w:val="single" w:sz="8" w:space="0" w:color="9CC2E5"/>
            </w:tcBorders>
            <w:shd w:val="clear" w:color="auto" w:fill="auto"/>
            <w:vAlign w:val="center"/>
            <w:hideMark/>
          </w:tcPr>
          <w:p w14:paraId="43AA0238" w14:textId="77777777" w:rsidR="00281D96" w:rsidRPr="00E70C16" w:rsidRDefault="00281D96" w:rsidP="00277007">
            <w:pPr>
              <w:ind w:firstLine="0"/>
              <w:jc w:val="center"/>
              <w:rPr>
                <w:rFonts w:eastAsia="Times New Roman" w:cs="Times New Roman"/>
                <w:b/>
                <w:bCs/>
                <w:sz w:val="18"/>
                <w:szCs w:val="18"/>
                <w:lang w:eastAsia="lv-LV"/>
              </w:rPr>
            </w:pPr>
          </w:p>
        </w:tc>
        <w:tc>
          <w:tcPr>
            <w:tcW w:w="765" w:type="dxa"/>
            <w:tcBorders>
              <w:top w:val="nil"/>
              <w:left w:val="nil"/>
              <w:bottom w:val="single" w:sz="8" w:space="0" w:color="9CC2E5"/>
              <w:right w:val="single" w:sz="8" w:space="0" w:color="9CC2E5"/>
            </w:tcBorders>
            <w:shd w:val="clear" w:color="auto" w:fill="auto"/>
            <w:vAlign w:val="center"/>
            <w:hideMark/>
          </w:tcPr>
          <w:p w14:paraId="6C23FF60" w14:textId="77777777" w:rsidR="00281D96" w:rsidRPr="00E70C16" w:rsidRDefault="00281D96" w:rsidP="00277007">
            <w:pPr>
              <w:ind w:firstLine="0"/>
              <w:jc w:val="center"/>
              <w:rPr>
                <w:rFonts w:eastAsia="Times New Roman" w:cs="Times New Roman"/>
                <w:sz w:val="18"/>
                <w:szCs w:val="18"/>
                <w:lang w:eastAsia="lv-LV"/>
              </w:rPr>
            </w:pPr>
            <w:r w:rsidRPr="00E70C16">
              <w:rPr>
                <w:sz w:val="18"/>
                <w:szCs w:val="18"/>
              </w:rPr>
              <w:t>-2,3</w:t>
            </w:r>
          </w:p>
        </w:tc>
        <w:tc>
          <w:tcPr>
            <w:tcW w:w="766" w:type="dxa"/>
            <w:tcBorders>
              <w:top w:val="nil"/>
              <w:left w:val="nil"/>
              <w:bottom w:val="single" w:sz="8" w:space="0" w:color="9CC2E5"/>
              <w:right w:val="single" w:sz="8" w:space="0" w:color="9CC2E5"/>
            </w:tcBorders>
            <w:shd w:val="clear" w:color="auto" w:fill="auto"/>
            <w:vAlign w:val="center"/>
            <w:hideMark/>
          </w:tcPr>
          <w:p w14:paraId="3C08E855" w14:textId="77777777" w:rsidR="00281D96" w:rsidRPr="00E70C16" w:rsidRDefault="00281D96" w:rsidP="00277007">
            <w:pPr>
              <w:ind w:firstLine="0"/>
              <w:jc w:val="center"/>
              <w:rPr>
                <w:rFonts w:eastAsia="Times New Roman" w:cs="Times New Roman"/>
                <w:sz w:val="18"/>
                <w:szCs w:val="18"/>
                <w:lang w:eastAsia="lv-LV"/>
              </w:rPr>
            </w:pPr>
            <w:r w:rsidRPr="00E70C16">
              <w:rPr>
                <w:color w:val="000000"/>
                <w:sz w:val="18"/>
                <w:szCs w:val="18"/>
              </w:rPr>
              <w:t>0,0</w:t>
            </w:r>
          </w:p>
        </w:tc>
        <w:tc>
          <w:tcPr>
            <w:tcW w:w="765" w:type="dxa"/>
            <w:tcBorders>
              <w:top w:val="nil"/>
              <w:left w:val="nil"/>
              <w:bottom w:val="single" w:sz="8" w:space="0" w:color="9CC2E5"/>
              <w:right w:val="single" w:sz="8" w:space="0" w:color="9CC2E5"/>
            </w:tcBorders>
            <w:shd w:val="clear" w:color="auto" w:fill="auto"/>
            <w:vAlign w:val="center"/>
            <w:hideMark/>
          </w:tcPr>
          <w:p w14:paraId="3CC5D26E" w14:textId="77777777" w:rsidR="00281D96" w:rsidRPr="00E70C16" w:rsidRDefault="00281D96" w:rsidP="00277007">
            <w:pPr>
              <w:ind w:firstLine="0"/>
              <w:jc w:val="center"/>
              <w:rPr>
                <w:rFonts w:eastAsia="Times New Roman" w:cs="Times New Roman"/>
                <w:sz w:val="18"/>
                <w:szCs w:val="18"/>
                <w:lang w:eastAsia="lv-LV"/>
              </w:rPr>
            </w:pPr>
            <w:r w:rsidRPr="00E70C16">
              <w:rPr>
                <w:color w:val="000000"/>
                <w:sz w:val="18"/>
                <w:szCs w:val="18"/>
              </w:rPr>
              <w:t>2,2</w:t>
            </w:r>
          </w:p>
        </w:tc>
        <w:tc>
          <w:tcPr>
            <w:tcW w:w="766" w:type="dxa"/>
            <w:tcBorders>
              <w:top w:val="nil"/>
              <w:left w:val="nil"/>
              <w:bottom w:val="single" w:sz="8" w:space="0" w:color="9CC2E5"/>
              <w:right w:val="single" w:sz="8" w:space="0" w:color="9CC2E5"/>
            </w:tcBorders>
            <w:shd w:val="clear" w:color="auto" w:fill="auto"/>
            <w:vAlign w:val="center"/>
            <w:hideMark/>
          </w:tcPr>
          <w:p w14:paraId="0C269FBB" w14:textId="77777777" w:rsidR="00281D96" w:rsidRPr="00E70C16" w:rsidRDefault="00281D96" w:rsidP="00277007">
            <w:pPr>
              <w:ind w:firstLine="0"/>
              <w:jc w:val="center"/>
              <w:rPr>
                <w:rFonts w:eastAsia="Times New Roman" w:cs="Times New Roman"/>
                <w:sz w:val="18"/>
                <w:szCs w:val="18"/>
                <w:lang w:eastAsia="lv-LV"/>
              </w:rPr>
            </w:pPr>
            <w:r w:rsidRPr="00E70C16">
              <w:rPr>
                <w:color w:val="000000"/>
                <w:sz w:val="18"/>
                <w:szCs w:val="18"/>
              </w:rPr>
              <w:t>3,2</w:t>
            </w:r>
          </w:p>
        </w:tc>
        <w:tc>
          <w:tcPr>
            <w:tcW w:w="766" w:type="dxa"/>
            <w:tcBorders>
              <w:top w:val="nil"/>
              <w:left w:val="nil"/>
              <w:bottom w:val="single" w:sz="8" w:space="0" w:color="9CC2E5"/>
              <w:right w:val="single" w:sz="8" w:space="0" w:color="9CC2E5"/>
            </w:tcBorders>
            <w:shd w:val="clear" w:color="auto" w:fill="auto"/>
            <w:vAlign w:val="center"/>
            <w:hideMark/>
          </w:tcPr>
          <w:p w14:paraId="40CA6D46" w14:textId="77777777" w:rsidR="00281D96" w:rsidRPr="00E70C16" w:rsidRDefault="00281D96" w:rsidP="00277007">
            <w:pPr>
              <w:ind w:firstLine="0"/>
              <w:jc w:val="center"/>
              <w:rPr>
                <w:rFonts w:eastAsia="Times New Roman" w:cs="Times New Roman"/>
                <w:sz w:val="18"/>
                <w:szCs w:val="18"/>
                <w:lang w:eastAsia="lv-LV"/>
              </w:rPr>
            </w:pPr>
            <w:r w:rsidRPr="00E70C16">
              <w:rPr>
                <w:color w:val="000000"/>
                <w:sz w:val="18"/>
                <w:szCs w:val="18"/>
              </w:rPr>
              <w:t>3,4</w:t>
            </w:r>
          </w:p>
        </w:tc>
      </w:tr>
      <w:tr w:rsidR="00281D96" w:rsidRPr="00E70C16" w14:paraId="229EA189" w14:textId="77777777" w:rsidTr="00E54B38">
        <w:trPr>
          <w:trHeight w:val="205"/>
          <w:jc w:val="center"/>
        </w:trPr>
        <w:tc>
          <w:tcPr>
            <w:tcW w:w="2967" w:type="dxa"/>
            <w:tcBorders>
              <w:top w:val="nil"/>
              <w:left w:val="single" w:sz="8" w:space="0" w:color="9CC2E5"/>
              <w:bottom w:val="single" w:sz="8" w:space="0" w:color="9CC2E5"/>
              <w:right w:val="single" w:sz="8" w:space="0" w:color="9CC2E5"/>
            </w:tcBorders>
            <w:shd w:val="clear" w:color="000000" w:fill="DEEAF6"/>
            <w:vAlign w:val="center"/>
            <w:hideMark/>
          </w:tcPr>
          <w:p w14:paraId="0E713268" w14:textId="77777777" w:rsidR="00281D96" w:rsidRPr="00E70C16" w:rsidRDefault="00281D96" w:rsidP="00277007">
            <w:pPr>
              <w:ind w:firstLine="0"/>
              <w:jc w:val="left"/>
              <w:rPr>
                <w:rFonts w:eastAsia="Times New Roman" w:cs="Times New Roman"/>
                <w:sz w:val="18"/>
                <w:szCs w:val="18"/>
                <w:lang w:eastAsia="lv-LV"/>
              </w:rPr>
            </w:pPr>
            <w:r w:rsidRPr="00E70C16">
              <w:rPr>
                <w:rFonts w:eastAsia="Times New Roman" w:cs="Times New Roman"/>
                <w:sz w:val="18"/>
                <w:szCs w:val="18"/>
                <w:lang w:eastAsia="lv-LV"/>
              </w:rPr>
              <w:t xml:space="preserve">6. Atlīdzība nodarbinātajiem, milj. </w:t>
            </w:r>
            <w:proofErr w:type="spellStart"/>
            <w:r w:rsidRPr="00E70C16">
              <w:rPr>
                <w:rFonts w:eastAsia="Times New Roman" w:cs="Times New Roman"/>
                <w:i/>
                <w:iCs/>
                <w:sz w:val="18"/>
                <w:szCs w:val="18"/>
                <w:lang w:eastAsia="lv-LV"/>
              </w:rPr>
              <w:t>euro</w:t>
            </w:r>
            <w:proofErr w:type="spellEnd"/>
            <w:r w:rsidRPr="00E70C16">
              <w:rPr>
                <w:rFonts w:eastAsia="Times New Roman" w:cs="Times New Roman"/>
                <w:sz w:val="18"/>
                <w:szCs w:val="18"/>
                <w:lang w:eastAsia="lv-LV"/>
              </w:rPr>
              <w:t>, faktiskās cenās</w:t>
            </w:r>
          </w:p>
        </w:tc>
        <w:tc>
          <w:tcPr>
            <w:tcW w:w="709" w:type="dxa"/>
            <w:tcBorders>
              <w:top w:val="nil"/>
              <w:left w:val="nil"/>
              <w:bottom w:val="single" w:sz="8" w:space="0" w:color="9CC2E5"/>
              <w:right w:val="single" w:sz="8" w:space="0" w:color="9CC2E5"/>
            </w:tcBorders>
            <w:shd w:val="clear" w:color="000000" w:fill="DEEAF6"/>
            <w:vAlign w:val="center"/>
            <w:hideMark/>
          </w:tcPr>
          <w:p w14:paraId="27A768B2" w14:textId="77777777" w:rsidR="00281D96" w:rsidRPr="00E70C16" w:rsidRDefault="00281D96" w:rsidP="00277007">
            <w:pPr>
              <w:ind w:firstLine="0"/>
              <w:jc w:val="center"/>
              <w:rPr>
                <w:rFonts w:eastAsia="Times New Roman" w:cs="Times New Roman"/>
                <w:sz w:val="18"/>
                <w:szCs w:val="18"/>
                <w:lang w:eastAsia="lv-LV"/>
              </w:rPr>
            </w:pPr>
            <w:r w:rsidRPr="00E70C16">
              <w:rPr>
                <w:rFonts w:eastAsia="Times New Roman" w:cs="Times New Roman"/>
                <w:sz w:val="18"/>
                <w:szCs w:val="18"/>
                <w:lang w:eastAsia="lv-LV"/>
              </w:rPr>
              <w:t>D.1</w:t>
            </w:r>
          </w:p>
        </w:tc>
        <w:tc>
          <w:tcPr>
            <w:tcW w:w="850" w:type="dxa"/>
            <w:tcBorders>
              <w:top w:val="nil"/>
              <w:left w:val="nil"/>
              <w:bottom w:val="single" w:sz="8" w:space="0" w:color="9CC2E5"/>
              <w:right w:val="single" w:sz="8" w:space="0" w:color="9CC2E5"/>
            </w:tcBorders>
            <w:shd w:val="clear" w:color="000000" w:fill="DEEAF6"/>
            <w:vAlign w:val="center"/>
            <w:hideMark/>
          </w:tcPr>
          <w:p w14:paraId="5C682EE2" w14:textId="77777777" w:rsidR="00281D96" w:rsidRPr="00E70C16" w:rsidRDefault="00281D96" w:rsidP="00277007">
            <w:pPr>
              <w:ind w:firstLine="0"/>
              <w:jc w:val="center"/>
              <w:rPr>
                <w:rFonts w:eastAsia="Times New Roman" w:cs="Times New Roman"/>
                <w:sz w:val="18"/>
                <w:szCs w:val="18"/>
                <w:lang w:eastAsia="lv-LV"/>
              </w:rPr>
            </w:pPr>
            <w:r w:rsidRPr="00E70C16">
              <w:rPr>
                <w:color w:val="000000"/>
                <w:sz w:val="18"/>
                <w:szCs w:val="18"/>
              </w:rPr>
              <w:t>18 239</w:t>
            </w:r>
          </w:p>
        </w:tc>
        <w:tc>
          <w:tcPr>
            <w:tcW w:w="765" w:type="dxa"/>
            <w:tcBorders>
              <w:top w:val="nil"/>
              <w:left w:val="nil"/>
              <w:bottom w:val="single" w:sz="8" w:space="0" w:color="9CC2E5"/>
              <w:right w:val="single" w:sz="8" w:space="0" w:color="9CC2E5"/>
            </w:tcBorders>
            <w:shd w:val="clear" w:color="000000" w:fill="DEEAF6"/>
            <w:vAlign w:val="center"/>
            <w:hideMark/>
          </w:tcPr>
          <w:p w14:paraId="23DB731D" w14:textId="77777777" w:rsidR="00281D96" w:rsidRPr="00E70C16" w:rsidRDefault="00281D96" w:rsidP="00277007">
            <w:pPr>
              <w:ind w:firstLine="0"/>
              <w:jc w:val="center"/>
              <w:rPr>
                <w:rFonts w:eastAsia="Times New Roman" w:cs="Times New Roman"/>
                <w:sz w:val="18"/>
                <w:szCs w:val="18"/>
                <w:lang w:eastAsia="lv-LV"/>
              </w:rPr>
            </w:pPr>
            <w:r w:rsidRPr="00E70C16">
              <w:rPr>
                <w:color w:val="000000"/>
                <w:sz w:val="18"/>
                <w:szCs w:val="18"/>
              </w:rPr>
              <w:t>11,5</w:t>
            </w:r>
          </w:p>
        </w:tc>
        <w:tc>
          <w:tcPr>
            <w:tcW w:w="766" w:type="dxa"/>
            <w:tcBorders>
              <w:top w:val="nil"/>
              <w:left w:val="nil"/>
              <w:bottom w:val="single" w:sz="8" w:space="0" w:color="9CC2E5"/>
              <w:right w:val="single" w:sz="8" w:space="0" w:color="9CC2E5"/>
            </w:tcBorders>
            <w:shd w:val="clear" w:color="000000" w:fill="DEEAF6"/>
            <w:vAlign w:val="center"/>
            <w:hideMark/>
          </w:tcPr>
          <w:p w14:paraId="34DBDF4D" w14:textId="77777777" w:rsidR="00281D96" w:rsidRPr="00E70C16" w:rsidRDefault="00281D96" w:rsidP="00277007">
            <w:pPr>
              <w:ind w:firstLine="0"/>
              <w:jc w:val="center"/>
              <w:rPr>
                <w:rFonts w:eastAsia="Times New Roman" w:cs="Times New Roman"/>
                <w:sz w:val="18"/>
                <w:szCs w:val="18"/>
                <w:lang w:eastAsia="lv-LV"/>
              </w:rPr>
            </w:pPr>
            <w:r w:rsidRPr="00E70C16">
              <w:rPr>
                <w:color w:val="000000"/>
                <w:sz w:val="18"/>
                <w:szCs w:val="18"/>
              </w:rPr>
              <w:t>8,5</w:t>
            </w:r>
          </w:p>
        </w:tc>
        <w:tc>
          <w:tcPr>
            <w:tcW w:w="765" w:type="dxa"/>
            <w:tcBorders>
              <w:top w:val="nil"/>
              <w:left w:val="nil"/>
              <w:bottom w:val="single" w:sz="8" w:space="0" w:color="9CC2E5"/>
              <w:right w:val="single" w:sz="8" w:space="0" w:color="9CC2E5"/>
            </w:tcBorders>
            <w:shd w:val="clear" w:color="000000" w:fill="DEEAF6"/>
            <w:vAlign w:val="center"/>
            <w:hideMark/>
          </w:tcPr>
          <w:p w14:paraId="7212568D" w14:textId="77777777" w:rsidR="00281D96" w:rsidRPr="00E70C16" w:rsidRDefault="00281D96" w:rsidP="00277007">
            <w:pPr>
              <w:ind w:firstLine="0"/>
              <w:jc w:val="center"/>
              <w:rPr>
                <w:rFonts w:eastAsia="Times New Roman" w:cs="Times New Roman"/>
                <w:sz w:val="18"/>
                <w:szCs w:val="18"/>
                <w:lang w:eastAsia="lv-LV"/>
              </w:rPr>
            </w:pPr>
            <w:r w:rsidRPr="00E70C16">
              <w:rPr>
                <w:color w:val="000000"/>
                <w:sz w:val="18"/>
                <w:szCs w:val="18"/>
              </w:rPr>
              <w:t>6,3</w:t>
            </w:r>
          </w:p>
        </w:tc>
        <w:tc>
          <w:tcPr>
            <w:tcW w:w="766" w:type="dxa"/>
            <w:tcBorders>
              <w:top w:val="nil"/>
              <w:left w:val="nil"/>
              <w:bottom w:val="single" w:sz="8" w:space="0" w:color="9CC2E5"/>
              <w:right w:val="single" w:sz="8" w:space="0" w:color="9CC2E5"/>
            </w:tcBorders>
            <w:shd w:val="clear" w:color="000000" w:fill="DEEAF6"/>
            <w:vAlign w:val="center"/>
            <w:hideMark/>
          </w:tcPr>
          <w:p w14:paraId="448F474C" w14:textId="77777777" w:rsidR="00281D96" w:rsidRPr="00E70C16" w:rsidRDefault="00281D96" w:rsidP="00277007">
            <w:pPr>
              <w:ind w:firstLine="0"/>
              <w:jc w:val="center"/>
              <w:rPr>
                <w:rFonts w:eastAsia="Times New Roman" w:cs="Times New Roman"/>
                <w:sz w:val="18"/>
                <w:szCs w:val="18"/>
                <w:lang w:eastAsia="lv-LV"/>
              </w:rPr>
            </w:pPr>
            <w:r w:rsidRPr="00E70C16">
              <w:rPr>
                <w:color w:val="000000"/>
                <w:sz w:val="18"/>
                <w:szCs w:val="18"/>
              </w:rPr>
              <w:t>4,7</w:t>
            </w:r>
          </w:p>
        </w:tc>
        <w:tc>
          <w:tcPr>
            <w:tcW w:w="766" w:type="dxa"/>
            <w:tcBorders>
              <w:top w:val="nil"/>
              <w:left w:val="nil"/>
              <w:bottom w:val="single" w:sz="8" w:space="0" w:color="9CC2E5"/>
              <w:right w:val="single" w:sz="8" w:space="0" w:color="9CC2E5"/>
            </w:tcBorders>
            <w:shd w:val="clear" w:color="000000" w:fill="DEEAF6"/>
            <w:vAlign w:val="center"/>
            <w:hideMark/>
          </w:tcPr>
          <w:p w14:paraId="47AF13FD" w14:textId="77777777" w:rsidR="00281D96" w:rsidRPr="00E70C16" w:rsidRDefault="00281D96" w:rsidP="00277007">
            <w:pPr>
              <w:ind w:firstLine="0"/>
              <w:jc w:val="center"/>
              <w:rPr>
                <w:rFonts w:eastAsia="Times New Roman" w:cs="Times New Roman"/>
                <w:sz w:val="18"/>
                <w:szCs w:val="18"/>
                <w:lang w:eastAsia="lv-LV"/>
              </w:rPr>
            </w:pPr>
            <w:r w:rsidRPr="00E70C16">
              <w:rPr>
                <w:color w:val="000000"/>
                <w:sz w:val="18"/>
                <w:szCs w:val="18"/>
              </w:rPr>
              <w:t>3,4</w:t>
            </w:r>
          </w:p>
        </w:tc>
      </w:tr>
      <w:tr w:rsidR="00281D96" w:rsidRPr="00E70C16" w14:paraId="132B49BC" w14:textId="77777777" w:rsidTr="00E54B38">
        <w:trPr>
          <w:trHeight w:val="56"/>
          <w:jc w:val="center"/>
        </w:trPr>
        <w:tc>
          <w:tcPr>
            <w:tcW w:w="2967" w:type="dxa"/>
            <w:tcBorders>
              <w:top w:val="nil"/>
              <w:left w:val="single" w:sz="8" w:space="0" w:color="9CC2E5"/>
              <w:bottom w:val="single" w:sz="8" w:space="0" w:color="9CC2E5"/>
              <w:right w:val="single" w:sz="8" w:space="0" w:color="9CC2E5"/>
            </w:tcBorders>
            <w:shd w:val="clear" w:color="auto" w:fill="auto"/>
            <w:vAlign w:val="center"/>
            <w:hideMark/>
          </w:tcPr>
          <w:p w14:paraId="3AA7C954" w14:textId="77777777" w:rsidR="00281D96" w:rsidRPr="00E70C16" w:rsidRDefault="00281D96" w:rsidP="00277007">
            <w:pPr>
              <w:ind w:firstLine="0"/>
              <w:jc w:val="left"/>
              <w:rPr>
                <w:rFonts w:eastAsia="Times New Roman" w:cs="Times New Roman"/>
                <w:sz w:val="18"/>
                <w:szCs w:val="18"/>
                <w:lang w:eastAsia="lv-LV"/>
              </w:rPr>
            </w:pPr>
            <w:r w:rsidRPr="00E70C16">
              <w:rPr>
                <w:rFonts w:eastAsia="Times New Roman" w:cs="Times New Roman"/>
                <w:sz w:val="18"/>
                <w:szCs w:val="18"/>
                <w:lang w:eastAsia="lv-LV"/>
              </w:rPr>
              <w:t xml:space="preserve">7. Bruto darba samaksa, </w:t>
            </w:r>
            <w:proofErr w:type="spellStart"/>
            <w:r w:rsidRPr="00E70C16">
              <w:rPr>
                <w:rFonts w:eastAsia="Times New Roman" w:cs="Times New Roman"/>
                <w:i/>
                <w:iCs/>
                <w:sz w:val="18"/>
                <w:szCs w:val="18"/>
                <w:lang w:eastAsia="lv-LV"/>
              </w:rPr>
              <w:t>euro</w:t>
            </w:r>
            <w:proofErr w:type="spellEnd"/>
          </w:p>
        </w:tc>
        <w:tc>
          <w:tcPr>
            <w:tcW w:w="709" w:type="dxa"/>
            <w:tcBorders>
              <w:top w:val="nil"/>
              <w:left w:val="nil"/>
              <w:bottom w:val="single" w:sz="8" w:space="0" w:color="9CC2E5"/>
              <w:right w:val="single" w:sz="8" w:space="0" w:color="9CC2E5"/>
            </w:tcBorders>
            <w:shd w:val="clear" w:color="auto" w:fill="auto"/>
            <w:vAlign w:val="center"/>
            <w:hideMark/>
          </w:tcPr>
          <w:p w14:paraId="51E37D12" w14:textId="77777777" w:rsidR="00281D96" w:rsidRPr="00E70C16" w:rsidRDefault="00281D96" w:rsidP="00277007">
            <w:pPr>
              <w:ind w:firstLine="0"/>
              <w:jc w:val="center"/>
              <w:rPr>
                <w:rFonts w:eastAsia="Times New Roman" w:cs="Times New Roman"/>
                <w:sz w:val="18"/>
                <w:szCs w:val="18"/>
                <w:lang w:eastAsia="lv-LV"/>
              </w:rPr>
            </w:pPr>
          </w:p>
        </w:tc>
        <w:tc>
          <w:tcPr>
            <w:tcW w:w="850" w:type="dxa"/>
            <w:tcBorders>
              <w:top w:val="nil"/>
              <w:left w:val="nil"/>
              <w:bottom w:val="single" w:sz="8" w:space="0" w:color="9CC2E5"/>
              <w:right w:val="single" w:sz="8" w:space="0" w:color="9CC2E5"/>
            </w:tcBorders>
            <w:shd w:val="clear" w:color="auto" w:fill="auto"/>
            <w:vAlign w:val="center"/>
            <w:hideMark/>
          </w:tcPr>
          <w:p w14:paraId="1F42086A" w14:textId="77777777" w:rsidR="00281D96" w:rsidRPr="00E70C16" w:rsidRDefault="00281D96" w:rsidP="00277007">
            <w:pPr>
              <w:ind w:firstLine="0"/>
              <w:jc w:val="center"/>
              <w:rPr>
                <w:rFonts w:eastAsia="Times New Roman" w:cs="Times New Roman"/>
                <w:sz w:val="18"/>
                <w:szCs w:val="18"/>
                <w:lang w:eastAsia="lv-LV"/>
              </w:rPr>
            </w:pPr>
            <w:r w:rsidRPr="00E70C16">
              <w:rPr>
                <w:color w:val="000000"/>
                <w:sz w:val="18"/>
                <w:szCs w:val="18"/>
              </w:rPr>
              <w:t>1 373</w:t>
            </w:r>
          </w:p>
        </w:tc>
        <w:tc>
          <w:tcPr>
            <w:tcW w:w="765" w:type="dxa"/>
            <w:tcBorders>
              <w:top w:val="nil"/>
              <w:left w:val="nil"/>
              <w:bottom w:val="single" w:sz="8" w:space="0" w:color="9CC2E5"/>
              <w:right w:val="single" w:sz="8" w:space="0" w:color="9CC2E5"/>
            </w:tcBorders>
            <w:shd w:val="clear" w:color="auto" w:fill="auto"/>
            <w:vAlign w:val="center"/>
            <w:hideMark/>
          </w:tcPr>
          <w:p w14:paraId="43497B10" w14:textId="77777777" w:rsidR="00281D96" w:rsidRPr="00E70C16" w:rsidRDefault="00281D96" w:rsidP="00277007">
            <w:pPr>
              <w:ind w:firstLine="0"/>
              <w:jc w:val="center"/>
              <w:rPr>
                <w:rFonts w:eastAsia="Times New Roman" w:cs="Times New Roman"/>
                <w:sz w:val="18"/>
                <w:szCs w:val="18"/>
                <w:lang w:eastAsia="lv-LV"/>
              </w:rPr>
            </w:pPr>
            <w:r w:rsidRPr="00E70C16">
              <w:rPr>
                <w:color w:val="000000"/>
                <w:sz w:val="18"/>
                <w:szCs w:val="18"/>
              </w:rPr>
              <w:t>7,5</w:t>
            </w:r>
          </w:p>
        </w:tc>
        <w:tc>
          <w:tcPr>
            <w:tcW w:w="766" w:type="dxa"/>
            <w:tcBorders>
              <w:top w:val="nil"/>
              <w:left w:val="nil"/>
              <w:bottom w:val="single" w:sz="8" w:space="0" w:color="9CC2E5"/>
              <w:right w:val="single" w:sz="8" w:space="0" w:color="9CC2E5"/>
            </w:tcBorders>
            <w:shd w:val="clear" w:color="auto" w:fill="auto"/>
            <w:vAlign w:val="center"/>
            <w:hideMark/>
          </w:tcPr>
          <w:p w14:paraId="7502E342" w14:textId="77777777" w:rsidR="00281D96" w:rsidRPr="00E70C16" w:rsidRDefault="00281D96" w:rsidP="00277007">
            <w:pPr>
              <w:ind w:firstLine="0"/>
              <w:jc w:val="center"/>
              <w:rPr>
                <w:rFonts w:eastAsia="Times New Roman" w:cs="Times New Roman"/>
                <w:sz w:val="18"/>
                <w:szCs w:val="18"/>
                <w:lang w:eastAsia="lv-LV"/>
              </w:rPr>
            </w:pPr>
            <w:r w:rsidRPr="00E70C16">
              <w:rPr>
                <w:color w:val="000000"/>
                <w:sz w:val="18"/>
                <w:szCs w:val="18"/>
              </w:rPr>
              <w:t>8,5</w:t>
            </w:r>
          </w:p>
        </w:tc>
        <w:tc>
          <w:tcPr>
            <w:tcW w:w="765" w:type="dxa"/>
            <w:tcBorders>
              <w:top w:val="nil"/>
              <w:left w:val="nil"/>
              <w:bottom w:val="single" w:sz="8" w:space="0" w:color="9CC2E5"/>
              <w:right w:val="single" w:sz="8" w:space="0" w:color="9CC2E5"/>
            </w:tcBorders>
            <w:shd w:val="clear" w:color="auto" w:fill="auto"/>
            <w:vAlign w:val="center"/>
            <w:hideMark/>
          </w:tcPr>
          <w:p w14:paraId="0AD56200" w14:textId="77777777" w:rsidR="00281D96" w:rsidRPr="00E70C16" w:rsidRDefault="00281D96" w:rsidP="00277007">
            <w:pPr>
              <w:ind w:firstLine="0"/>
              <w:jc w:val="center"/>
              <w:rPr>
                <w:rFonts w:eastAsia="Times New Roman" w:cs="Times New Roman"/>
                <w:sz w:val="18"/>
                <w:szCs w:val="18"/>
                <w:lang w:eastAsia="lv-LV"/>
              </w:rPr>
            </w:pPr>
            <w:r w:rsidRPr="00E70C16">
              <w:rPr>
                <w:color w:val="000000"/>
                <w:sz w:val="18"/>
                <w:szCs w:val="18"/>
              </w:rPr>
              <w:t>6,5</w:t>
            </w:r>
          </w:p>
        </w:tc>
        <w:tc>
          <w:tcPr>
            <w:tcW w:w="766" w:type="dxa"/>
            <w:tcBorders>
              <w:top w:val="nil"/>
              <w:left w:val="nil"/>
              <w:bottom w:val="single" w:sz="8" w:space="0" w:color="9CC2E5"/>
              <w:right w:val="single" w:sz="8" w:space="0" w:color="9CC2E5"/>
            </w:tcBorders>
            <w:shd w:val="clear" w:color="auto" w:fill="auto"/>
            <w:vAlign w:val="center"/>
            <w:hideMark/>
          </w:tcPr>
          <w:p w14:paraId="371D59C4" w14:textId="77777777" w:rsidR="00281D96" w:rsidRPr="00E70C16" w:rsidRDefault="00281D96" w:rsidP="00277007">
            <w:pPr>
              <w:ind w:firstLine="0"/>
              <w:jc w:val="center"/>
              <w:rPr>
                <w:rFonts w:eastAsia="Times New Roman" w:cs="Times New Roman"/>
                <w:sz w:val="18"/>
                <w:szCs w:val="18"/>
                <w:lang w:eastAsia="lv-LV"/>
              </w:rPr>
            </w:pPr>
            <w:r w:rsidRPr="00E70C16">
              <w:rPr>
                <w:color w:val="000000"/>
                <w:sz w:val="18"/>
                <w:szCs w:val="18"/>
              </w:rPr>
              <w:t>5,0</w:t>
            </w:r>
          </w:p>
        </w:tc>
        <w:tc>
          <w:tcPr>
            <w:tcW w:w="766" w:type="dxa"/>
            <w:tcBorders>
              <w:top w:val="nil"/>
              <w:left w:val="nil"/>
              <w:bottom w:val="single" w:sz="8" w:space="0" w:color="9CC2E5"/>
              <w:right w:val="single" w:sz="8" w:space="0" w:color="9CC2E5"/>
            </w:tcBorders>
            <w:shd w:val="clear" w:color="auto" w:fill="auto"/>
            <w:vAlign w:val="center"/>
            <w:hideMark/>
          </w:tcPr>
          <w:p w14:paraId="7C097DC8" w14:textId="77777777" w:rsidR="00281D96" w:rsidRPr="00E70C16" w:rsidRDefault="00281D96" w:rsidP="00277007">
            <w:pPr>
              <w:ind w:firstLine="0"/>
              <w:jc w:val="center"/>
              <w:rPr>
                <w:rFonts w:eastAsia="Times New Roman" w:cs="Times New Roman"/>
                <w:sz w:val="18"/>
                <w:szCs w:val="18"/>
                <w:lang w:eastAsia="lv-LV"/>
              </w:rPr>
            </w:pPr>
            <w:r w:rsidRPr="00E70C16">
              <w:rPr>
                <w:color w:val="000000"/>
                <w:sz w:val="18"/>
                <w:szCs w:val="18"/>
              </w:rPr>
              <w:t>4,0</w:t>
            </w:r>
          </w:p>
        </w:tc>
      </w:tr>
    </w:tbl>
    <w:p w14:paraId="0C3A7B53" w14:textId="596563CB" w:rsidR="00281D96" w:rsidRPr="00E70C16" w:rsidRDefault="00001558" w:rsidP="00281D96">
      <w:pPr>
        <w:spacing w:line="259" w:lineRule="auto"/>
        <w:ind w:firstLine="0"/>
        <w:jc w:val="left"/>
        <w:rPr>
          <w:rFonts w:eastAsia="Times New Roman" w:cs="Times New Roman"/>
          <w:color w:val="000000"/>
          <w:sz w:val="18"/>
          <w:szCs w:val="18"/>
        </w:rPr>
      </w:pPr>
      <w:r>
        <w:rPr>
          <w:rFonts w:eastAsia="Times New Roman" w:cs="Times New Roman"/>
          <w:color w:val="000000"/>
          <w:sz w:val="18"/>
          <w:szCs w:val="18"/>
          <w:vertAlign w:val="superscript"/>
        </w:rPr>
        <w:t>*</w:t>
      </w:r>
      <w:r w:rsidRPr="00E70C16">
        <w:rPr>
          <w:rFonts w:eastAsia="Times New Roman" w:cs="Times New Roman"/>
          <w:color w:val="000000"/>
          <w:sz w:val="18"/>
          <w:szCs w:val="18"/>
          <w:vertAlign w:val="superscript"/>
        </w:rPr>
        <w:t xml:space="preserve"> </w:t>
      </w:r>
      <w:r w:rsidR="00281D96" w:rsidRPr="00E70C16">
        <w:rPr>
          <w:rFonts w:eastAsia="Times New Roman" w:cs="Times New Roman"/>
          <w:color w:val="000000"/>
          <w:sz w:val="18"/>
          <w:szCs w:val="18"/>
        </w:rPr>
        <w:t>Prognozes</w:t>
      </w:r>
      <w:r w:rsidR="005C2A56">
        <w:rPr>
          <w:rFonts w:eastAsia="Times New Roman" w:cs="Times New Roman"/>
          <w:color w:val="000000"/>
          <w:sz w:val="18"/>
          <w:szCs w:val="18"/>
        </w:rPr>
        <w:t xml:space="preserve">: </w:t>
      </w:r>
      <w:r w:rsidR="00281D96" w:rsidRPr="00E70C16">
        <w:rPr>
          <w:rFonts w:eastAsia="Times New Roman" w:cs="Times New Roman"/>
          <w:color w:val="000000"/>
          <w:sz w:val="18"/>
          <w:szCs w:val="18"/>
        </w:rPr>
        <w:t>2023.gada marta scenārijs</w:t>
      </w:r>
    </w:p>
    <w:p w14:paraId="0D5D34E2" w14:textId="195DBD94" w:rsidR="00281D96" w:rsidRPr="00D21E1F" w:rsidRDefault="00281D96" w:rsidP="00281D96">
      <w:pPr>
        <w:keepNext/>
        <w:spacing w:after="120"/>
        <w:ind w:firstLine="0"/>
        <w:jc w:val="left"/>
        <w:rPr>
          <w:rFonts w:eastAsia="Times New Roman" w:cs="Times New Roman"/>
          <w:b/>
          <w:color w:val="000000"/>
          <w:sz w:val="24"/>
          <w:szCs w:val="20"/>
        </w:rPr>
      </w:pPr>
      <w:r w:rsidRPr="004B0606">
        <w:rPr>
          <w:rFonts w:eastAsia="Times New Roman" w:cs="Times New Roman"/>
          <w:b/>
          <w:color w:val="000000"/>
          <w:sz w:val="24"/>
          <w:szCs w:val="20"/>
        </w:rPr>
        <w:lastRenderedPageBreak/>
        <w:t>1d. tabula. Sektoru bilances</w:t>
      </w:r>
      <w:r w:rsidR="00001558">
        <w:rPr>
          <w:rFonts w:eastAsia="Times New Roman" w:cs="Times New Roman"/>
          <w:b/>
          <w:color w:val="000000"/>
          <w:sz w:val="20"/>
          <w:szCs w:val="20"/>
          <w:vertAlign w:val="superscript"/>
        </w:rPr>
        <w:t>*</w:t>
      </w:r>
      <w:r w:rsidR="00001558" w:rsidRPr="004B0606">
        <w:rPr>
          <w:rFonts w:eastAsia="Times New Roman" w:cs="Times New Roman"/>
          <w:b/>
          <w:color w:val="000000"/>
          <w:sz w:val="20"/>
          <w:szCs w:val="20"/>
        </w:rPr>
        <w:t xml:space="preserve"> </w:t>
      </w:r>
    </w:p>
    <w:tbl>
      <w:tblPr>
        <w:tblW w:w="8354" w:type="dxa"/>
        <w:jc w:val="center"/>
        <w:tblLayout w:type="fixed"/>
        <w:tblLook w:val="04A0" w:firstRow="1" w:lastRow="0" w:firstColumn="1" w:lastColumn="0" w:noHBand="0" w:noVBand="1"/>
      </w:tblPr>
      <w:tblGrid>
        <w:gridCol w:w="3676"/>
        <w:gridCol w:w="850"/>
        <w:gridCol w:w="765"/>
        <w:gridCol w:w="766"/>
        <w:gridCol w:w="765"/>
        <w:gridCol w:w="766"/>
        <w:gridCol w:w="766"/>
      </w:tblGrid>
      <w:tr w:rsidR="00281D96" w:rsidRPr="00E70C16" w14:paraId="0984723B" w14:textId="77777777" w:rsidTr="00E54B38">
        <w:trPr>
          <w:trHeight w:val="507"/>
          <w:jc w:val="center"/>
        </w:trPr>
        <w:tc>
          <w:tcPr>
            <w:tcW w:w="3676" w:type="dxa"/>
            <w:vMerge w:val="restart"/>
            <w:tcBorders>
              <w:top w:val="single" w:sz="8" w:space="0" w:color="9CC2E5"/>
              <w:left w:val="single" w:sz="8" w:space="0" w:color="9CC2E5"/>
              <w:bottom w:val="single" w:sz="8" w:space="0" w:color="9CC2E5"/>
              <w:right w:val="single" w:sz="8" w:space="0" w:color="9CC2E5"/>
            </w:tcBorders>
            <w:shd w:val="clear" w:color="auto" w:fill="auto"/>
            <w:vAlign w:val="center"/>
            <w:hideMark/>
          </w:tcPr>
          <w:p w14:paraId="4BC27F05" w14:textId="77777777" w:rsidR="00281D96" w:rsidRPr="00E70C16" w:rsidRDefault="00281D96" w:rsidP="00277007">
            <w:pPr>
              <w:ind w:firstLine="0"/>
              <w:jc w:val="center"/>
              <w:rPr>
                <w:rFonts w:eastAsia="Times New Roman" w:cs="Times New Roman"/>
                <w:b/>
                <w:bCs/>
                <w:sz w:val="18"/>
                <w:szCs w:val="18"/>
                <w:lang w:eastAsia="lv-LV"/>
              </w:rPr>
            </w:pPr>
            <w:r w:rsidRPr="00E70C16">
              <w:rPr>
                <w:rFonts w:eastAsia="Times New Roman" w:cs="Times New Roman"/>
                <w:b/>
                <w:bCs/>
                <w:sz w:val="18"/>
                <w:szCs w:val="18"/>
                <w:lang w:eastAsia="lv-LV"/>
              </w:rPr>
              <w:t>% no IKP</w:t>
            </w:r>
          </w:p>
        </w:tc>
        <w:tc>
          <w:tcPr>
            <w:tcW w:w="850" w:type="dxa"/>
            <w:vMerge w:val="restart"/>
            <w:tcBorders>
              <w:top w:val="single" w:sz="8" w:space="0" w:color="9CC2E5"/>
              <w:left w:val="single" w:sz="8" w:space="0" w:color="9CC2E5"/>
              <w:bottom w:val="single" w:sz="8" w:space="0" w:color="9CC2E5"/>
              <w:right w:val="single" w:sz="8" w:space="0" w:color="9CC2E5"/>
            </w:tcBorders>
            <w:shd w:val="clear" w:color="auto" w:fill="auto"/>
            <w:vAlign w:val="center"/>
            <w:hideMark/>
          </w:tcPr>
          <w:p w14:paraId="7F8FB024" w14:textId="77777777" w:rsidR="00281D96" w:rsidRPr="00E70C16" w:rsidRDefault="00281D96" w:rsidP="00277007">
            <w:pPr>
              <w:ind w:firstLine="0"/>
              <w:jc w:val="center"/>
              <w:rPr>
                <w:rFonts w:eastAsia="Times New Roman" w:cs="Times New Roman"/>
                <w:b/>
                <w:bCs/>
                <w:sz w:val="18"/>
                <w:szCs w:val="18"/>
                <w:lang w:eastAsia="lv-LV"/>
              </w:rPr>
            </w:pPr>
            <w:r w:rsidRPr="00E70C16">
              <w:rPr>
                <w:rFonts w:eastAsia="Times New Roman" w:cs="Times New Roman"/>
                <w:b/>
                <w:bCs/>
                <w:sz w:val="18"/>
                <w:szCs w:val="18"/>
                <w:lang w:eastAsia="lv-LV"/>
              </w:rPr>
              <w:t>EKS kods</w:t>
            </w:r>
          </w:p>
        </w:tc>
        <w:tc>
          <w:tcPr>
            <w:tcW w:w="765" w:type="dxa"/>
            <w:vMerge w:val="restart"/>
            <w:tcBorders>
              <w:top w:val="single" w:sz="8" w:space="0" w:color="9CC2E5"/>
              <w:left w:val="single" w:sz="8" w:space="0" w:color="9CC2E5"/>
              <w:bottom w:val="single" w:sz="8" w:space="0" w:color="9CC2E5"/>
              <w:right w:val="single" w:sz="8" w:space="0" w:color="9CC2E5"/>
            </w:tcBorders>
            <w:shd w:val="clear" w:color="auto" w:fill="auto"/>
            <w:vAlign w:val="center"/>
            <w:hideMark/>
          </w:tcPr>
          <w:p w14:paraId="4665404D" w14:textId="77777777" w:rsidR="00281D96" w:rsidRPr="00E70C16" w:rsidRDefault="00281D96" w:rsidP="00277007">
            <w:pPr>
              <w:ind w:firstLine="0"/>
              <w:jc w:val="center"/>
              <w:rPr>
                <w:rFonts w:eastAsia="Times New Roman" w:cs="Times New Roman"/>
                <w:b/>
                <w:bCs/>
                <w:sz w:val="18"/>
                <w:szCs w:val="18"/>
                <w:lang w:eastAsia="lv-LV"/>
              </w:rPr>
            </w:pPr>
            <w:r w:rsidRPr="00E70C16">
              <w:rPr>
                <w:b/>
                <w:bCs/>
                <w:sz w:val="18"/>
                <w:szCs w:val="18"/>
              </w:rPr>
              <w:t>2022</w:t>
            </w:r>
          </w:p>
        </w:tc>
        <w:tc>
          <w:tcPr>
            <w:tcW w:w="766" w:type="dxa"/>
            <w:vMerge w:val="restart"/>
            <w:tcBorders>
              <w:top w:val="single" w:sz="8" w:space="0" w:color="9CC2E5"/>
              <w:left w:val="single" w:sz="8" w:space="0" w:color="9CC2E5"/>
              <w:bottom w:val="single" w:sz="8" w:space="0" w:color="9CC2E5"/>
              <w:right w:val="single" w:sz="8" w:space="0" w:color="9CC2E5"/>
            </w:tcBorders>
            <w:shd w:val="clear" w:color="auto" w:fill="auto"/>
            <w:vAlign w:val="center"/>
            <w:hideMark/>
          </w:tcPr>
          <w:p w14:paraId="3560A11D" w14:textId="77777777" w:rsidR="00281D96" w:rsidRPr="00E70C16" w:rsidRDefault="00281D96" w:rsidP="00277007">
            <w:pPr>
              <w:ind w:firstLine="0"/>
              <w:jc w:val="center"/>
              <w:rPr>
                <w:rFonts w:eastAsia="Times New Roman" w:cs="Times New Roman"/>
                <w:b/>
                <w:bCs/>
                <w:sz w:val="18"/>
                <w:szCs w:val="18"/>
                <w:lang w:eastAsia="lv-LV"/>
              </w:rPr>
            </w:pPr>
            <w:r w:rsidRPr="00E70C16">
              <w:rPr>
                <w:b/>
                <w:bCs/>
                <w:sz w:val="18"/>
                <w:szCs w:val="18"/>
              </w:rPr>
              <w:t>2023</w:t>
            </w:r>
          </w:p>
        </w:tc>
        <w:tc>
          <w:tcPr>
            <w:tcW w:w="765" w:type="dxa"/>
            <w:vMerge w:val="restart"/>
            <w:tcBorders>
              <w:top w:val="single" w:sz="8" w:space="0" w:color="9CC2E5"/>
              <w:left w:val="single" w:sz="8" w:space="0" w:color="9CC2E5"/>
              <w:bottom w:val="single" w:sz="8" w:space="0" w:color="9CC2E5"/>
              <w:right w:val="single" w:sz="8" w:space="0" w:color="9CC2E5"/>
            </w:tcBorders>
            <w:shd w:val="clear" w:color="auto" w:fill="auto"/>
            <w:vAlign w:val="center"/>
            <w:hideMark/>
          </w:tcPr>
          <w:p w14:paraId="5711B8E4" w14:textId="77777777" w:rsidR="00281D96" w:rsidRPr="00E70C16" w:rsidRDefault="00281D96" w:rsidP="00277007">
            <w:pPr>
              <w:ind w:firstLine="0"/>
              <w:jc w:val="center"/>
              <w:rPr>
                <w:rFonts w:eastAsia="Times New Roman" w:cs="Times New Roman"/>
                <w:b/>
                <w:bCs/>
                <w:sz w:val="18"/>
                <w:szCs w:val="18"/>
                <w:lang w:eastAsia="lv-LV"/>
              </w:rPr>
            </w:pPr>
            <w:r w:rsidRPr="00E70C16">
              <w:rPr>
                <w:b/>
                <w:bCs/>
                <w:sz w:val="18"/>
                <w:szCs w:val="18"/>
              </w:rPr>
              <w:t>2024</w:t>
            </w:r>
          </w:p>
        </w:tc>
        <w:tc>
          <w:tcPr>
            <w:tcW w:w="766" w:type="dxa"/>
            <w:vMerge w:val="restart"/>
            <w:tcBorders>
              <w:top w:val="single" w:sz="8" w:space="0" w:color="9CC2E5"/>
              <w:left w:val="single" w:sz="8" w:space="0" w:color="9CC2E5"/>
              <w:bottom w:val="single" w:sz="8" w:space="0" w:color="9CC2E5"/>
              <w:right w:val="single" w:sz="8" w:space="0" w:color="9CC2E5"/>
            </w:tcBorders>
            <w:shd w:val="clear" w:color="auto" w:fill="auto"/>
            <w:vAlign w:val="center"/>
            <w:hideMark/>
          </w:tcPr>
          <w:p w14:paraId="5DEED71F" w14:textId="77777777" w:rsidR="00281D96" w:rsidRPr="00E70C16" w:rsidRDefault="00281D96" w:rsidP="00277007">
            <w:pPr>
              <w:ind w:firstLine="0"/>
              <w:jc w:val="center"/>
              <w:rPr>
                <w:rFonts w:eastAsia="Times New Roman" w:cs="Times New Roman"/>
                <w:b/>
                <w:bCs/>
                <w:sz w:val="18"/>
                <w:szCs w:val="18"/>
                <w:lang w:eastAsia="lv-LV"/>
              </w:rPr>
            </w:pPr>
            <w:r w:rsidRPr="00E70C16">
              <w:rPr>
                <w:b/>
                <w:bCs/>
                <w:sz w:val="18"/>
                <w:szCs w:val="18"/>
              </w:rPr>
              <w:t>2025</w:t>
            </w:r>
          </w:p>
        </w:tc>
        <w:tc>
          <w:tcPr>
            <w:tcW w:w="766" w:type="dxa"/>
            <w:vMerge w:val="restart"/>
            <w:tcBorders>
              <w:top w:val="single" w:sz="8" w:space="0" w:color="9CC2E5"/>
              <w:left w:val="single" w:sz="8" w:space="0" w:color="9CC2E5"/>
              <w:bottom w:val="single" w:sz="8" w:space="0" w:color="9CC2E5"/>
              <w:right w:val="single" w:sz="8" w:space="0" w:color="9CC2E5"/>
            </w:tcBorders>
            <w:shd w:val="clear" w:color="auto" w:fill="auto"/>
            <w:vAlign w:val="center"/>
            <w:hideMark/>
          </w:tcPr>
          <w:p w14:paraId="2EBFA75D" w14:textId="77777777" w:rsidR="00281D96" w:rsidRPr="00E70C16" w:rsidRDefault="00281D96" w:rsidP="00277007">
            <w:pPr>
              <w:ind w:firstLine="0"/>
              <w:jc w:val="center"/>
              <w:rPr>
                <w:rFonts w:eastAsia="Times New Roman" w:cs="Times New Roman"/>
                <w:b/>
                <w:bCs/>
                <w:sz w:val="18"/>
                <w:szCs w:val="18"/>
                <w:lang w:eastAsia="lv-LV"/>
              </w:rPr>
            </w:pPr>
            <w:r w:rsidRPr="00E70C16">
              <w:rPr>
                <w:b/>
                <w:bCs/>
                <w:sz w:val="18"/>
                <w:szCs w:val="18"/>
              </w:rPr>
              <w:t>2026</w:t>
            </w:r>
          </w:p>
        </w:tc>
      </w:tr>
      <w:tr w:rsidR="00281D96" w:rsidRPr="00E70C16" w14:paraId="0CC26386" w14:textId="77777777" w:rsidTr="00E54B38">
        <w:trPr>
          <w:trHeight w:val="507"/>
          <w:jc w:val="center"/>
        </w:trPr>
        <w:tc>
          <w:tcPr>
            <w:tcW w:w="3676" w:type="dxa"/>
            <w:vMerge/>
            <w:tcBorders>
              <w:top w:val="single" w:sz="8" w:space="0" w:color="9CC2E5"/>
              <w:left w:val="single" w:sz="8" w:space="0" w:color="9CC2E5"/>
              <w:bottom w:val="single" w:sz="8" w:space="0" w:color="9CC2E5"/>
              <w:right w:val="single" w:sz="8" w:space="0" w:color="9CC2E5"/>
            </w:tcBorders>
            <w:vAlign w:val="center"/>
            <w:hideMark/>
          </w:tcPr>
          <w:p w14:paraId="391EF3F0" w14:textId="77777777" w:rsidR="00281D96" w:rsidRPr="00E70C16" w:rsidRDefault="00281D96" w:rsidP="00277007">
            <w:pPr>
              <w:ind w:firstLine="0"/>
              <w:jc w:val="left"/>
              <w:rPr>
                <w:rFonts w:eastAsia="Times New Roman" w:cs="Times New Roman"/>
                <w:b/>
                <w:bCs/>
                <w:sz w:val="18"/>
                <w:szCs w:val="18"/>
                <w:lang w:eastAsia="lv-LV"/>
              </w:rPr>
            </w:pPr>
          </w:p>
        </w:tc>
        <w:tc>
          <w:tcPr>
            <w:tcW w:w="850" w:type="dxa"/>
            <w:vMerge/>
            <w:tcBorders>
              <w:top w:val="single" w:sz="8" w:space="0" w:color="9CC2E5"/>
              <w:left w:val="single" w:sz="8" w:space="0" w:color="9CC2E5"/>
              <w:bottom w:val="single" w:sz="8" w:space="0" w:color="9CC2E5"/>
              <w:right w:val="single" w:sz="8" w:space="0" w:color="9CC2E5"/>
            </w:tcBorders>
            <w:vAlign w:val="center"/>
            <w:hideMark/>
          </w:tcPr>
          <w:p w14:paraId="738101FF" w14:textId="77777777" w:rsidR="00281D96" w:rsidRPr="00E70C16" w:rsidRDefault="00281D96" w:rsidP="00277007">
            <w:pPr>
              <w:ind w:firstLine="0"/>
              <w:jc w:val="left"/>
              <w:rPr>
                <w:rFonts w:eastAsia="Times New Roman" w:cs="Times New Roman"/>
                <w:b/>
                <w:bCs/>
                <w:sz w:val="18"/>
                <w:szCs w:val="18"/>
                <w:lang w:eastAsia="lv-LV"/>
              </w:rPr>
            </w:pPr>
          </w:p>
        </w:tc>
        <w:tc>
          <w:tcPr>
            <w:tcW w:w="765" w:type="dxa"/>
            <w:vMerge/>
            <w:tcBorders>
              <w:top w:val="single" w:sz="8" w:space="0" w:color="9CC2E5"/>
              <w:left w:val="single" w:sz="8" w:space="0" w:color="9CC2E5"/>
              <w:bottom w:val="single" w:sz="8" w:space="0" w:color="9CC2E5"/>
              <w:right w:val="single" w:sz="8" w:space="0" w:color="9CC2E5"/>
            </w:tcBorders>
            <w:vAlign w:val="center"/>
            <w:hideMark/>
          </w:tcPr>
          <w:p w14:paraId="37367C3D" w14:textId="77777777" w:rsidR="00281D96" w:rsidRPr="00E70C16" w:rsidRDefault="00281D96" w:rsidP="00277007">
            <w:pPr>
              <w:ind w:firstLine="0"/>
              <w:jc w:val="left"/>
              <w:rPr>
                <w:rFonts w:eastAsia="Times New Roman" w:cs="Times New Roman"/>
                <w:b/>
                <w:bCs/>
                <w:sz w:val="18"/>
                <w:szCs w:val="18"/>
                <w:lang w:eastAsia="lv-LV"/>
              </w:rPr>
            </w:pPr>
          </w:p>
        </w:tc>
        <w:tc>
          <w:tcPr>
            <w:tcW w:w="766" w:type="dxa"/>
            <w:vMerge/>
            <w:tcBorders>
              <w:top w:val="single" w:sz="8" w:space="0" w:color="9CC2E5"/>
              <w:left w:val="single" w:sz="8" w:space="0" w:color="9CC2E5"/>
              <w:bottom w:val="single" w:sz="8" w:space="0" w:color="9CC2E5"/>
              <w:right w:val="single" w:sz="8" w:space="0" w:color="9CC2E5"/>
            </w:tcBorders>
            <w:vAlign w:val="center"/>
            <w:hideMark/>
          </w:tcPr>
          <w:p w14:paraId="4048F984" w14:textId="77777777" w:rsidR="00281D96" w:rsidRPr="00E70C16" w:rsidRDefault="00281D96" w:rsidP="00277007">
            <w:pPr>
              <w:ind w:firstLine="0"/>
              <w:jc w:val="left"/>
              <w:rPr>
                <w:rFonts w:eastAsia="Times New Roman" w:cs="Times New Roman"/>
                <w:b/>
                <w:bCs/>
                <w:sz w:val="18"/>
                <w:szCs w:val="18"/>
                <w:lang w:eastAsia="lv-LV"/>
              </w:rPr>
            </w:pPr>
          </w:p>
        </w:tc>
        <w:tc>
          <w:tcPr>
            <w:tcW w:w="765" w:type="dxa"/>
            <w:vMerge/>
            <w:tcBorders>
              <w:top w:val="single" w:sz="8" w:space="0" w:color="9CC2E5"/>
              <w:left w:val="single" w:sz="8" w:space="0" w:color="9CC2E5"/>
              <w:bottom w:val="single" w:sz="8" w:space="0" w:color="9CC2E5"/>
              <w:right w:val="single" w:sz="8" w:space="0" w:color="9CC2E5"/>
            </w:tcBorders>
            <w:vAlign w:val="center"/>
            <w:hideMark/>
          </w:tcPr>
          <w:p w14:paraId="4A991020" w14:textId="77777777" w:rsidR="00281D96" w:rsidRPr="00E70C16" w:rsidRDefault="00281D96" w:rsidP="00277007">
            <w:pPr>
              <w:ind w:firstLine="0"/>
              <w:jc w:val="left"/>
              <w:rPr>
                <w:rFonts w:eastAsia="Times New Roman" w:cs="Times New Roman"/>
                <w:b/>
                <w:bCs/>
                <w:sz w:val="18"/>
                <w:szCs w:val="18"/>
                <w:lang w:eastAsia="lv-LV"/>
              </w:rPr>
            </w:pPr>
          </w:p>
        </w:tc>
        <w:tc>
          <w:tcPr>
            <w:tcW w:w="766" w:type="dxa"/>
            <w:vMerge/>
            <w:tcBorders>
              <w:top w:val="single" w:sz="8" w:space="0" w:color="9CC2E5"/>
              <w:left w:val="single" w:sz="8" w:space="0" w:color="9CC2E5"/>
              <w:bottom w:val="single" w:sz="8" w:space="0" w:color="9CC2E5"/>
              <w:right w:val="single" w:sz="8" w:space="0" w:color="9CC2E5"/>
            </w:tcBorders>
            <w:vAlign w:val="center"/>
            <w:hideMark/>
          </w:tcPr>
          <w:p w14:paraId="6D0C66ED" w14:textId="77777777" w:rsidR="00281D96" w:rsidRPr="00E70C16" w:rsidRDefault="00281D96" w:rsidP="00277007">
            <w:pPr>
              <w:ind w:firstLine="0"/>
              <w:jc w:val="left"/>
              <w:rPr>
                <w:rFonts w:eastAsia="Times New Roman" w:cs="Times New Roman"/>
                <w:b/>
                <w:bCs/>
                <w:sz w:val="18"/>
                <w:szCs w:val="18"/>
                <w:lang w:eastAsia="lv-LV"/>
              </w:rPr>
            </w:pPr>
          </w:p>
        </w:tc>
        <w:tc>
          <w:tcPr>
            <w:tcW w:w="766" w:type="dxa"/>
            <w:vMerge/>
            <w:tcBorders>
              <w:top w:val="single" w:sz="8" w:space="0" w:color="9CC2E5"/>
              <w:left w:val="single" w:sz="8" w:space="0" w:color="9CC2E5"/>
              <w:bottom w:val="single" w:sz="8" w:space="0" w:color="9CC2E5"/>
              <w:right w:val="single" w:sz="8" w:space="0" w:color="9CC2E5"/>
            </w:tcBorders>
            <w:vAlign w:val="center"/>
            <w:hideMark/>
          </w:tcPr>
          <w:p w14:paraId="0FD580FF" w14:textId="77777777" w:rsidR="00281D96" w:rsidRPr="00E70C16" w:rsidRDefault="00281D96" w:rsidP="00277007">
            <w:pPr>
              <w:ind w:firstLine="0"/>
              <w:jc w:val="left"/>
              <w:rPr>
                <w:rFonts w:eastAsia="Times New Roman" w:cs="Times New Roman"/>
                <w:b/>
                <w:bCs/>
                <w:sz w:val="18"/>
                <w:szCs w:val="18"/>
                <w:lang w:eastAsia="lv-LV"/>
              </w:rPr>
            </w:pPr>
          </w:p>
        </w:tc>
      </w:tr>
      <w:tr w:rsidR="00281D96" w:rsidRPr="00E70C16" w14:paraId="04FDFA75" w14:textId="77777777" w:rsidTr="00E54B38">
        <w:trPr>
          <w:trHeight w:val="44"/>
          <w:jc w:val="center"/>
        </w:trPr>
        <w:tc>
          <w:tcPr>
            <w:tcW w:w="3676" w:type="dxa"/>
            <w:tcBorders>
              <w:top w:val="nil"/>
              <w:left w:val="single" w:sz="8" w:space="0" w:color="9CC2E5"/>
              <w:bottom w:val="single" w:sz="8" w:space="0" w:color="9CC2E5"/>
              <w:right w:val="single" w:sz="8" w:space="0" w:color="9CC2E5"/>
            </w:tcBorders>
            <w:shd w:val="clear" w:color="auto" w:fill="auto"/>
            <w:vAlign w:val="center"/>
            <w:hideMark/>
          </w:tcPr>
          <w:p w14:paraId="1870B797" w14:textId="77777777" w:rsidR="00281D96" w:rsidRPr="00E70C16" w:rsidRDefault="00281D96" w:rsidP="00277007">
            <w:pPr>
              <w:ind w:firstLine="0"/>
              <w:jc w:val="left"/>
              <w:rPr>
                <w:rFonts w:eastAsia="Times New Roman" w:cs="Times New Roman"/>
                <w:sz w:val="18"/>
                <w:szCs w:val="18"/>
                <w:lang w:eastAsia="lv-LV"/>
              </w:rPr>
            </w:pPr>
            <w:r w:rsidRPr="00E70C16">
              <w:rPr>
                <w:rFonts w:eastAsia="Times New Roman" w:cs="Times New Roman"/>
                <w:sz w:val="18"/>
                <w:szCs w:val="18"/>
                <w:lang w:eastAsia="lv-LV"/>
              </w:rPr>
              <w:t>1. Tekošais un kapitāla konts</w:t>
            </w:r>
          </w:p>
        </w:tc>
        <w:tc>
          <w:tcPr>
            <w:tcW w:w="850" w:type="dxa"/>
            <w:tcBorders>
              <w:top w:val="nil"/>
              <w:left w:val="nil"/>
              <w:bottom w:val="single" w:sz="8" w:space="0" w:color="9CC2E5"/>
              <w:right w:val="single" w:sz="8" w:space="0" w:color="9CC2E5"/>
            </w:tcBorders>
            <w:shd w:val="clear" w:color="auto" w:fill="auto"/>
            <w:vAlign w:val="center"/>
            <w:hideMark/>
          </w:tcPr>
          <w:p w14:paraId="373FE044" w14:textId="77777777" w:rsidR="00281D96" w:rsidRPr="00E70C16" w:rsidRDefault="00281D96" w:rsidP="00277007">
            <w:pPr>
              <w:ind w:firstLine="0"/>
              <w:jc w:val="center"/>
              <w:rPr>
                <w:rFonts w:eastAsia="Times New Roman" w:cs="Times New Roman"/>
                <w:sz w:val="18"/>
                <w:szCs w:val="18"/>
                <w:lang w:eastAsia="lv-LV"/>
              </w:rPr>
            </w:pPr>
            <w:r w:rsidRPr="00E70C16">
              <w:rPr>
                <w:rFonts w:eastAsia="Times New Roman" w:cs="Times New Roman"/>
                <w:sz w:val="18"/>
                <w:szCs w:val="18"/>
                <w:lang w:eastAsia="lv-LV"/>
              </w:rPr>
              <w:t>B.9</w:t>
            </w:r>
          </w:p>
        </w:tc>
        <w:tc>
          <w:tcPr>
            <w:tcW w:w="765" w:type="dxa"/>
            <w:tcBorders>
              <w:top w:val="nil"/>
              <w:left w:val="nil"/>
              <w:bottom w:val="single" w:sz="8" w:space="0" w:color="9CC2E5"/>
              <w:right w:val="single" w:sz="8" w:space="0" w:color="9CC2E5"/>
            </w:tcBorders>
            <w:shd w:val="clear" w:color="auto" w:fill="auto"/>
            <w:vAlign w:val="center"/>
          </w:tcPr>
          <w:p w14:paraId="288B6453" w14:textId="77777777" w:rsidR="00281D96" w:rsidRPr="00E70C16" w:rsidRDefault="00281D96" w:rsidP="00277007">
            <w:pPr>
              <w:ind w:firstLine="0"/>
              <w:jc w:val="center"/>
              <w:rPr>
                <w:rFonts w:eastAsia="Times New Roman" w:cs="Times New Roman"/>
                <w:sz w:val="18"/>
                <w:szCs w:val="18"/>
                <w:lang w:eastAsia="lv-LV"/>
              </w:rPr>
            </w:pPr>
            <w:r w:rsidRPr="00E70C16">
              <w:rPr>
                <w:rFonts w:eastAsia="Times New Roman" w:cs="Times New Roman"/>
                <w:sz w:val="18"/>
                <w:szCs w:val="18"/>
                <w:lang w:eastAsia="lv-LV"/>
              </w:rPr>
              <w:t>-5,3</w:t>
            </w:r>
          </w:p>
        </w:tc>
        <w:tc>
          <w:tcPr>
            <w:tcW w:w="766" w:type="dxa"/>
            <w:tcBorders>
              <w:top w:val="nil"/>
              <w:left w:val="nil"/>
              <w:bottom w:val="single" w:sz="8" w:space="0" w:color="9CC2E5"/>
              <w:right w:val="single" w:sz="8" w:space="0" w:color="9CC2E5"/>
            </w:tcBorders>
            <w:shd w:val="clear" w:color="auto" w:fill="auto"/>
            <w:vAlign w:val="center"/>
          </w:tcPr>
          <w:p w14:paraId="069492E8" w14:textId="77777777" w:rsidR="00281D96" w:rsidRPr="00E70C16" w:rsidRDefault="00281D96" w:rsidP="00277007">
            <w:pPr>
              <w:ind w:firstLine="0"/>
              <w:jc w:val="center"/>
              <w:rPr>
                <w:rFonts w:eastAsia="Times New Roman" w:cs="Times New Roman"/>
                <w:sz w:val="18"/>
                <w:szCs w:val="18"/>
                <w:lang w:eastAsia="lv-LV"/>
              </w:rPr>
            </w:pPr>
            <w:r w:rsidRPr="00E70C16">
              <w:rPr>
                <w:rFonts w:eastAsia="Times New Roman" w:cs="Times New Roman"/>
                <w:sz w:val="18"/>
                <w:szCs w:val="18"/>
                <w:lang w:eastAsia="lv-LV"/>
              </w:rPr>
              <w:t>-1,9</w:t>
            </w:r>
          </w:p>
        </w:tc>
        <w:tc>
          <w:tcPr>
            <w:tcW w:w="765" w:type="dxa"/>
            <w:tcBorders>
              <w:top w:val="nil"/>
              <w:left w:val="nil"/>
              <w:bottom w:val="single" w:sz="8" w:space="0" w:color="9CC2E5"/>
              <w:right w:val="single" w:sz="8" w:space="0" w:color="9CC2E5"/>
            </w:tcBorders>
            <w:shd w:val="clear" w:color="auto" w:fill="auto"/>
            <w:vAlign w:val="center"/>
          </w:tcPr>
          <w:p w14:paraId="0CD47E17" w14:textId="77777777" w:rsidR="00281D96" w:rsidRPr="00E70C16" w:rsidRDefault="00281D96" w:rsidP="00277007">
            <w:pPr>
              <w:ind w:firstLine="0"/>
              <w:jc w:val="center"/>
              <w:rPr>
                <w:rFonts w:eastAsia="Times New Roman" w:cs="Times New Roman"/>
                <w:sz w:val="18"/>
                <w:szCs w:val="18"/>
                <w:lang w:eastAsia="lv-LV"/>
              </w:rPr>
            </w:pPr>
            <w:r w:rsidRPr="00E70C16">
              <w:rPr>
                <w:rFonts w:eastAsia="Times New Roman" w:cs="Times New Roman"/>
                <w:sz w:val="18"/>
                <w:szCs w:val="18"/>
                <w:lang w:eastAsia="lv-LV"/>
              </w:rPr>
              <w:t>-1,3</w:t>
            </w:r>
          </w:p>
        </w:tc>
        <w:tc>
          <w:tcPr>
            <w:tcW w:w="766" w:type="dxa"/>
            <w:tcBorders>
              <w:top w:val="nil"/>
              <w:left w:val="nil"/>
              <w:bottom w:val="single" w:sz="8" w:space="0" w:color="9CC2E5"/>
              <w:right w:val="single" w:sz="8" w:space="0" w:color="9CC2E5"/>
            </w:tcBorders>
            <w:shd w:val="clear" w:color="auto" w:fill="auto"/>
            <w:vAlign w:val="center"/>
          </w:tcPr>
          <w:p w14:paraId="4EF5E77C" w14:textId="77777777" w:rsidR="00281D96" w:rsidRPr="00E70C16" w:rsidRDefault="00281D96" w:rsidP="00277007">
            <w:pPr>
              <w:ind w:firstLine="0"/>
              <w:jc w:val="center"/>
              <w:rPr>
                <w:rFonts w:eastAsia="Times New Roman" w:cs="Times New Roman"/>
                <w:sz w:val="18"/>
                <w:szCs w:val="18"/>
                <w:lang w:eastAsia="lv-LV"/>
              </w:rPr>
            </w:pPr>
            <w:r w:rsidRPr="00E70C16">
              <w:rPr>
                <w:rFonts w:eastAsia="Times New Roman" w:cs="Times New Roman"/>
                <w:sz w:val="18"/>
                <w:szCs w:val="18"/>
                <w:lang w:eastAsia="lv-LV"/>
              </w:rPr>
              <w:t>-1,0</w:t>
            </w:r>
          </w:p>
        </w:tc>
        <w:tc>
          <w:tcPr>
            <w:tcW w:w="766" w:type="dxa"/>
            <w:tcBorders>
              <w:top w:val="nil"/>
              <w:left w:val="nil"/>
              <w:bottom w:val="single" w:sz="8" w:space="0" w:color="9CC2E5"/>
              <w:right w:val="single" w:sz="8" w:space="0" w:color="9CC2E5"/>
            </w:tcBorders>
            <w:shd w:val="clear" w:color="auto" w:fill="auto"/>
            <w:vAlign w:val="center"/>
          </w:tcPr>
          <w:p w14:paraId="4ABE638D" w14:textId="77777777" w:rsidR="00281D96" w:rsidRPr="00E70C16" w:rsidRDefault="00281D96" w:rsidP="00277007">
            <w:pPr>
              <w:ind w:firstLine="0"/>
              <w:jc w:val="center"/>
              <w:rPr>
                <w:rFonts w:eastAsia="Times New Roman" w:cs="Times New Roman"/>
                <w:sz w:val="18"/>
                <w:szCs w:val="18"/>
                <w:lang w:eastAsia="lv-LV"/>
              </w:rPr>
            </w:pPr>
            <w:r w:rsidRPr="00E70C16">
              <w:rPr>
                <w:rFonts w:eastAsia="Times New Roman" w:cs="Times New Roman"/>
                <w:sz w:val="18"/>
                <w:szCs w:val="18"/>
                <w:lang w:eastAsia="lv-LV"/>
              </w:rPr>
              <w:t>-1,1</w:t>
            </w:r>
          </w:p>
        </w:tc>
      </w:tr>
      <w:tr w:rsidR="00281D96" w:rsidRPr="00E70C16" w14:paraId="163209D9" w14:textId="77777777" w:rsidTr="00E54B38">
        <w:trPr>
          <w:trHeight w:val="44"/>
          <w:jc w:val="center"/>
        </w:trPr>
        <w:tc>
          <w:tcPr>
            <w:tcW w:w="3676" w:type="dxa"/>
            <w:tcBorders>
              <w:top w:val="nil"/>
              <w:left w:val="single" w:sz="8" w:space="0" w:color="9CC2E5"/>
              <w:bottom w:val="single" w:sz="8" w:space="0" w:color="9CC2E5"/>
              <w:right w:val="single" w:sz="8" w:space="0" w:color="9CC2E5"/>
            </w:tcBorders>
            <w:shd w:val="clear" w:color="000000" w:fill="DEEAF6"/>
            <w:vAlign w:val="center"/>
            <w:hideMark/>
          </w:tcPr>
          <w:p w14:paraId="1E7E1301" w14:textId="77777777" w:rsidR="00281D96" w:rsidRPr="00E70C16" w:rsidRDefault="00281D96" w:rsidP="00277007">
            <w:pPr>
              <w:ind w:firstLine="0"/>
              <w:jc w:val="left"/>
              <w:rPr>
                <w:rFonts w:eastAsia="Times New Roman" w:cs="Times New Roman"/>
                <w:sz w:val="18"/>
                <w:szCs w:val="18"/>
                <w:lang w:eastAsia="lv-LV"/>
              </w:rPr>
            </w:pPr>
            <w:r w:rsidRPr="00E70C16">
              <w:rPr>
                <w:rFonts w:eastAsia="Times New Roman" w:cs="Times New Roman"/>
                <w:sz w:val="18"/>
                <w:szCs w:val="18"/>
                <w:lang w:eastAsia="lv-LV"/>
              </w:rPr>
              <w:t>t.sk.:</w:t>
            </w:r>
          </w:p>
        </w:tc>
        <w:tc>
          <w:tcPr>
            <w:tcW w:w="850" w:type="dxa"/>
            <w:tcBorders>
              <w:top w:val="nil"/>
              <w:left w:val="nil"/>
              <w:bottom w:val="single" w:sz="8" w:space="0" w:color="9CC2E5"/>
              <w:right w:val="single" w:sz="8" w:space="0" w:color="9CC2E5"/>
            </w:tcBorders>
            <w:shd w:val="clear" w:color="000000" w:fill="DEEAF6"/>
            <w:vAlign w:val="center"/>
            <w:hideMark/>
          </w:tcPr>
          <w:p w14:paraId="65ABBF30" w14:textId="77777777" w:rsidR="00281D96" w:rsidRPr="00E70C16" w:rsidRDefault="00281D96" w:rsidP="00277007">
            <w:pPr>
              <w:ind w:firstLine="0"/>
              <w:jc w:val="left"/>
              <w:rPr>
                <w:rFonts w:ascii="Calibri" w:eastAsia="Times New Roman" w:hAnsi="Calibri" w:cs="Calibri"/>
                <w:sz w:val="18"/>
                <w:szCs w:val="18"/>
                <w:lang w:eastAsia="lv-LV"/>
              </w:rPr>
            </w:pPr>
            <w:r w:rsidRPr="00E70C16">
              <w:rPr>
                <w:rFonts w:ascii="Calibri" w:eastAsia="Times New Roman" w:hAnsi="Calibri" w:cs="Calibri"/>
                <w:sz w:val="18"/>
                <w:szCs w:val="18"/>
                <w:lang w:eastAsia="lv-LV"/>
              </w:rPr>
              <w:t> </w:t>
            </w:r>
          </w:p>
        </w:tc>
        <w:tc>
          <w:tcPr>
            <w:tcW w:w="765" w:type="dxa"/>
            <w:tcBorders>
              <w:top w:val="nil"/>
              <w:left w:val="nil"/>
              <w:bottom w:val="single" w:sz="8" w:space="0" w:color="9CC2E5"/>
              <w:right w:val="single" w:sz="8" w:space="0" w:color="9CC2E5"/>
            </w:tcBorders>
            <w:shd w:val="clear" w:color="000000" w:fill="DEEAF6"/>
            <w:noWrap/>
            <w:vAlign w:val="center"/>
          </w:tcPr>
          <w:p w14:paraId="08D28CA0" w14:textId="77777777" w:rsidR="00281D96" w:rsidRPr="00E70C16" w:rsidRDefault="00281D96" w:rsidP="00277007">
            <w:pPr>
              <w:ind w:firstLine="0"/>
              <w:jc w:val="center"/>
              <w:rPr>
                <w:rFonts w:eastAsia="Times New Roman" w:cs="Times New Roman"/>
                <w:sz w:val="18"/>
                <w:szCs w:val="18"/>
                <w:lang w:eastAsia="lv-LV"/>
              </w:rPr>
            </w:pPr>
          </w:p>
        </w:tc>
        <w:tc>
          <w:tcPr>
            <w:tcW w:w="766" w:type="dxa"/>
            <w:tcBorders>
              <w:top w:val="nil"/>
              <w:left w:val="nil"/>
              <w:bottom w:val="single" w:sz="8" w:space="0" w:color="9CC2E5"/>
              <w:right w:val="single" w:sz="8" w:space="0" w:color="9CC2E5"/>
            </w:tcBorders>
            <w:shd w:val="clear" w:color="000000" w:fill="DEEAF6"/>
            <w:noWrap/>
            <w:vAlign w:val="center"/>
          </w:tcPr>
          <w:p w14:paraId="10699717" w14:textId="77777777" w:rsidR="00281D96" w:rsidRPr="00E70C16" w:rsidRDefault="00281D96" w:rsidP="00277007">
            <w:pPr>
              <w:ind w:firstLine="0"/>
              <w:jc w:val="center"/>
              <w:rPr>
                <w:rFonts w:eastAsia="Times New Roman" w:cs="Times New Roman"/>
                <w:sz w:val="18"/>
                <w:szCs w:val="18"/>
                <w:lang w:eastAsia="lv-LV"/>
              </w:rPr>
            </w:pPr>
          </w:p>
        </w:tc>
        <w:tc>
          <w:tcPr>
            <w:tcW w:w="765" w:type="dxa"/>
            <w:tcBorders>
              <w:top w:val="nil"/>
              <w:left w:val="nil"/>
              <w:bottom w:val="single" w:sz="8" w:space="0" w:color="9CC2E5"/>
              <w:right w:val="single" w:sz="8" w:space="0" w:color="9CC2E5"/>
            </w:tcBorders>
            <w:shd w:val="clear" w:color="000000" w:fill="DEEAF6"/>
            <w:noWrap/>
            <w:vAlign w:val="center"/>
          </w:tcPr>
          <w:p w14:paraId="3DD61357" w14:textId="77777777" w:rsidR="00281D96" w:rsidRPr="00E70C16" w:rsidRDefault="00281D96" w:rsidP="00277007">
            <w:pPr>
              <w:ind w:firstLine="0"/>
              <w:jc w:val="center"/>
              <w:rPr>
                <w:rFonts w:eastAsia="Times New Roman" w:cs="Times New Roman"/>
                <w:sz w:val="18"/>
                <w:szCs w:val="18"/>
                <w:lang w:eastAsia="lv-LV"/>
              </w:rPr>
            </w:pPr>
          </w:p>
        </w:tc>
        <w:tc>
          <w:tcPr>
            <w:tcW w:w="766" w:type="dxa"/>
            <w:tcBorders>
              <w:top w:val="nil"/>
              <w:left w:val="nil"/>
              <w:bottom w:val="single" w:sz="8" w:space="0" w:color="9CC2E5"/>
              <w:right w:val="single" w:sz="8" w:space="0" w:color="9CC2E5"/>
            </w:tcBorders>
            <w:shd w:val="clear" w:color="000000" w:fill="DEEAF6"/>
            <w:noWrap/>
            <w:vAlign w:val="center"/>
          </w:tcPr>
          <w:p w14:paraId="58B0BD1B" w14:textId="77777777" w:rsidR="00281D96" w:rsidRPr="00E70C16" w:rsidRDefault="00281D96" w:rsidP="00277007">
            <w:pPr>
              <w:ind w:firstLine="0"/>
              <w:jc w:val="center"/>
              <w:rPr>
                <w:rFonts w:eastAsia="Times New Roman" w:cs="Times New Roman"/>
                <w:sz w:val="18"/>
                <w:szCs w:val="18"/>
                <w:lang w:eastAsia="lv-LV"/>
              </w:rPr>
            </w:pPr>
          </w:p>
        </w:tc>
        <w:tc>
          <w:tcPr>
            <w:tcW w:w="766" w:type="dxa"/>
            <w:tcBorders>
              <w:top w:val="nil"/>
              <w:left w:val="nil"/>
              <w:bottom w:val="single" w:sz="8" w:space="0" w:color="9CC2E5"/>
              <w:right w:val="single" w:sz="8" w:space="0" w:color="9CC2E5"/>
            </w:tcBorders>
            <w:shd w:val="clear" w:color="000000" w:fill="DEEAF6"/>
            <w:noWrap/>
            <w:vAlign w:val="center"/>
          </w:tcPr>
          <w:p w14:paraId="0F53A01C" w14:textId="77777777" w:rsidR="00281D96" w:rsidRPr="00E70C16" w:rsidRDefault="00281D96" w:rsidP="00277007">
            <w:pPr>
              <w:ind w:firstLine="0"/>
              <w:jc w:val="center"/>
              <w:rPr>
                <w:rFonts w:eastAsia="Times New Roman" w:cs="Times New Roman"/>
                <w:sz w:val="18"/>
                <w:szCs w:val="18"/>
                <w:lang w:eastAsia="lv-LV"/>
              </w:rPr>
            </w:pPr>
          </w:p>
        </w:tc>
      </w:tr>
      <w:tr w:rsidR="00281D96" w:rsidRPr="00E70C16" w14:paraId="3BBDA2EF" w14:textId="77777777" w:rsidTr="00E54B38">
        <w:trPr>
          <w:trHeight w:val="132"/>
          <w:jc w:val="center"/>
        </w:trPr>
        <w:tc>
          <w:tcPr>
            <w:tcW w:w="3676" w:type="dxa"/>
            <w:tcBorders>
              <w:top w:val="nil"/>
              <w:left w:val="single" w:sz="8" w:space="0" w:color="9CC2E5"/>
              <w:bottom w:val="single" w:sz="8" w:space="0" w:color="9CC2E5"/>
              <w:right w:val="single" w:sz="8" w:space="0" w:color="9CC2E5"/>
            </w:tcBorders>
            <w:shd w:val="clear" w:color="auto" w:fill="auto"/>
            <w:vAlign w:val="center"/>
            <w:hideMark/>
          </w:tcPr>
          <w:p w14:paraId="18B07BBD" w14:textId="77777777" w:rsidR="00281D96" w:rsidRPr="00E70C16" w:rsidRDefault="00281D96" w:rsidP="00277007">
            <w:pPr>
              <w:ind w:firstLine="0"/>
              <w:jc w:val="left"/>
              <w:rPr>
                <w:rFonts w:eastAsia="Times New Roman" w:cs="Times New Roman"/>
                <w:color w:val="000000"/>
                <w:sz w:val="18"/>
                <w:szCs w:val="18"/>
                <w:lang w:eastAsia="lv-LV"/>
              </w:rPr>
            </w:pPr>
            <w:r w:rsidRPr="00E70C16">
              <w:rPr>
                <w:rFonts w:eastAsia="Times New Roman" w:cs="Times New Roman"/>
                <w:color w:val="000000"/>
                <w:sz w:val="18"/>
                <w:szCs w:val="18"/>
                <w:lang w:eastAsia="lv-LV"/>
              </w:rPr>
              <w:t>- Preču un pakalpojumu bilance</w:t>
            </w:r>
          </w:p>
        </w:tc>
        <w:tc>
          <w:tcPr>
            <w:tcW w:w="850" w:type="dxa"/>
            <w:tcBorders>
              <w:top w:val="nil"/>
              <w:left w:val="nil"/>
              <w:bottom w:val="single" w:sz="8" w:space="0" w:color="9CC2E5"/>
              <w:right w:val="single" w:sz="8" w:space="0" w:color="9CC2E5"/>
            </w:tcBorders>
            <w:shd w:val="clear" w:color="auto" w:fill="auto"/>
            <w:vAlign w:val="center"/>
            <w:hideMark/>
          </w:tcPr>
          <w:p w14:paraId="4587B416" w14:textId="77777777" w:rsidR="00281D96" w:rsidRPr="00E70C16" w:rsidRDefault="00281D96" w:rsidP="00277007">
            <w:pPr>
              <w:ind w:firstLine="0"/>
              <w:jc w:val="left"/>
              <w:rPr>
                <w:rFonts w:ascii="Calibri" w:eastAsia="Times New Roman" w:hAnsi="Calibri" w:cs="Calibri"/>
                <w:color w:val="000000"/>
                <w:sz w:val="18"/>
                <w:szCs w:val="18"/>
                <w:lang w:eastAsia="lv-LV"/>
              </w:rPr>
            </w:pPr>
            <w:r w:rsidRPr="00E70C16">
              <w:rPr>
                <w:rFonts w:ascii="Calibri" w:eastAsia="Times New Roman" w:hAnsi="Calibri" w:cs="Calibri"/>
                <w:color w:val="000000"/>
                <w:sz w:val="18"/>
                <w:szCs w:val="18"/>
                <w:lang w:eastAsia="lv-LV"/>
              </w:rPr>
              <w:t> </w:t>
            </w:r>
          </w:p>
        </w:tc>
        <w:tc>
          <w:tcPr>
            <w:tcW w:w="765" w:type="dxa"/>
            <w:tcBorders>
              <w:top w:val="nil"/>
              <w:left w:val="nil"/>
              <w:bottom w:val="single" w:sz="8" w:space="0" w:color="9CC2E5"/>
              <w:right w:val="single" w:sz="8" w:space="0" w:color="9CC2E5"/>
            </w:tcBorders>
            <w:shd w:val="clear" w:color="auto" w:fill="auto"/>
            <w:vAlign w:val="bottom"/>
          </w:tcPr>
          <w:p w14:paraId="02149334" w14:textId="77777777" w:rsidR="00281D96" w:rsidRPr="00E70C16" w:rsidRDefault="00281D96" w:rsidP="00277007">
            <w:pPr>
              <w:ind w:firstLine="0"/>
              <w:jc w:val="center"/>
              <w:rPr>
                <w:rFonts w:eastAsia="Times New Roman" w:cs="Times New Roman"/>
                <w:color w:val="000000"/>
                <w:sz w:val="18"/>
                <w:szCs w:val="18"/>
                <w:lang w:eastAsia="lv-LV"/>
              </w:rPr>
            </w:pPr>
            <w:r w:rsidRPr="00E70C16">
              <w:rPr>
                <w:rFonts w:eastAsia="Times New Roman" w:cs="Times New Roman"/>
                <w:color w:val="000000"/>
                <w:sz w:val="18"/>
                <w:szCs w:val="18"/>
                <w:lang w:eastAsia="lv-LV"/>
              </w:rPr>
              <w:t>-5,9</w:t>
            </w:r>
          </w:p>
        </w:tc>
        <w:tc>
          <w:tcPr>
            <w:tcW w:w="766" w:type="dxa"/>
            <w:tcBorders>
              <w:top w:val="nil"/>
              <w:left w:val="nil"/>
              <w:bottom w:val="single" w:sz="8" w:space="0" w:color="9CC2E5"/>
              <w:right w:val="single" w:sz="8" w:space="0" w:color="9CC2E5"/>
            </w:tcBorders>
            <w:shd w:val="clear" w:color="auto" w:fill="auto"/>
            <w:vAlign w:val="bottom"/>
          </w:tcPr>
          <w:p w14:paraId="6A5FD1E2" w14:textId="77777777" w:rsidR="00281D96" w:rsidRPr="00E70C16" w:rsidRDefault="00281D96" w:rsidP="00277007">
            <w:pPr>
              <w:ind w:firstLine="0"/>
              <w:jc w:val="center"/>
              <w:rPr>
                <w:rFonts w:eastAsia="Times New Roman" w:cs="Times New Roman"/>
                <w:color w:val="000000"/>
                <w:sz w:val="18"/>
                <w:szCs w:val="18"/>
                <w:lang w:eastAsia="lv-LV"/>
              </w:rPr>
            </w:pPr>
            <w:r w:rsidRPr="00E70C16">
              <w:rPr>
                <w:rFonts w:eastAsia="Times New Roman" w:cs="Times New Roman"/>
                <w:color w:val="000000"/>
                <w:sz w:val="18"/>
                <w:szCs w:val="18"/>
                <w:lang w:eastAsia="lv-LV"/>
              </w:rPr>
              <w:t>-4,7</w:t>
            </w:r>
          </w:p>
        </w:tc>
        <w:tc>
          <w:tcPr>
            <w:tcW w:w="765" w:type="dxa"/>
            <w:tcBorders>
              <w:top w:val="nil"/>
              <w:left w:val="nil"/>
              <w:bottom w:val="single" w:sz="8" w:space="0" w:color="9CC2E5"/>
              <w:right w:val="single" w:sz="8" w:space="0" w:color="9CC2E5"/>
            </w:tcBorders>
            <w:shd w:val="clear" w:color="auto" w:fill="auto"/>
            <w:vAlign w:val="bottom"/>
          </w:tcPr>
          <w:p w14:paraId="7903BA72" w14:textId="77777777" w:rsidR="00281D96" w:rsidRPr="00E70C16" w:rsidRDefault="00281D96" w:rsidP="00277007">
            <w:pPr>
              <w:ind w:firstLine="0"/>
              <w:jc w:val="center"/>
              <w:rPr>
                <w:rFonts w:eastAsia="Times New Roman" w:cs="Times New Roman"/>
                <w:color w:val="000000"/>
                <w:sz w:val="18"/>
                <w:szCs w:val="18"/>
                <w:lang w:eastAsia="lv-LV"/>
              </w:rPr>
            </w:pPr>
            <w:r w:rsidRPr="00E70C16">
              <w:rPr>
                <w:rFonts w:eastAsia="Times New Roman" w:cs="Times New Roman"/>
                <w:color w:val="000000"/>
                <w:sz w:val="18"/>
                <w:szCs w:val="18"/>
                <w:lang w:eastAsia="lv-LV"/>
              </w:rPr>
              <w:t>-3,9</w:t>
            </w:r>
          </w:p>
        </w:tc>
        <w:tc>
          <w:tcPr>
            <w:tcW w:w="766" w:type="dxa"/>
            <w:tcBorders>
              <w:top w:val="nil"/>
              <w:left w:val="nil"/>
              <w:bottom w:val="single" w:sz="8" w:space="0" w:color="9CC2E5"/>
              <w:right w:val="single" w:sz="8" w:space="0" w:color="9CC2E5"/>
            </w:tcBorders>
            <w:shd w:val="clear" w:color="auto" w:fill="auto"/>
            <w:vAlign w:val="bottom"/>
          </w:tcPr>
          <w:p w14:paraId="1F14951D" w14:textId="77777777" w:rsidR="00281D96" w:rsidRPr="00E70C16" w:rsidRDefault="00281D96" w:rsidP="00277007">
            <w:pPr>
              <w:ind w:firstLine="0"/>
              <w:jc w:val="center"/>
              <w:rPr>
                <w:rFonts w:eastAsia="Times New Roman" w:cs="Times New Roman"/>
                <w:color w:val="000000"/>
                <w:sz w:val="18"/>
                <w:szCs w:val="18"/>
                <w:lang w:eastAsia="lv-LV"/>
              </w:rPr>
            </w:pPr>
            <w:r w:rsidRPr="00E70C16">
              <w:rPr>
                <w:rFonts w:eastAsia="Times New Roman" w:cs="Times New Roman"/>
                <w:color w:val="000000"/>
                <w:sz w:val="18"/>
                <w:szCs w:val="18"/>
                <w:lang w:eastAsia="lv-LV"/>
              </w:rPr>
              <w:t>-3,3</w:t>
            </w:r>
          </w:p>
        </w:tc>
        <w:tc>
          <w:tcPr>
            <w:tcW w:w="766" w:type="dxa"/>
            <w:tcBorders>
              <w:top w:val="nil"/>
              <w:left w:val="nil"/>
              <w:bottom w:val="single" w:sz="8" w:space="0" w:color="9CC2E5"/>
              <w:right w:val="single" w:sz="8" w:space="0" w:color="9CC2E5"/>
            </w:tcBorders>
            <w:shd w:val="clear" w:color="auto" w:fill="auto"/>
            <w:vAlign w:val="bottom"/>
          </w:tcPr>
          <w:p w14:paraId="73A92A03" w14:textId="77777777" w:rsidR="00281D96" w:rsidRPr="00E70C16" w:rsidRDefault="00281D96" w:rsidP="00277007">
            <w:pPr>
              <w:ind w:firstLine="0"/>
              <w:jc w:val="center"/>
              <w:rPr>
                <w:rFonts w:eastAsia="Times New Roman" w:cs="Times New Roman"/>
                <w:color w:val="000000"/>
                <w:sz w:val="18"/>
                <w:szCs w:val="18"/>
                <w:lang w:eastAsia="lv-LV"/>
              </w:rPr>
            </w:pPr>
            <w:r w:rsidRPr="00E70C16">
              <w:rPr>
                <w:rFonts w:eastAsia="Times New Roman" w:cs="Times New Roman"/>
                <w:color w:val="000000"/>
                <w:sz w:val="18"/>
                <w:szCs w:val="18"/>
                <w:lang w:eastAsia="lv-LV"/>
              </w:rPr>
              <w:t>-3,3</w:t>
            </w:r>
          </w:p>
        </w:tc>
      </w:tr>
      <w:tr w:rsidR="00281D96" w:rsidRPr="00E70C16" w14:paraId="0A08DB28" w14:textId="77777777" w:rsidTr="00E54B38">
        <w:trPr>
          <w:trHeight w:val="44"/>
          <w:jc w:val="center"/>
        </w:trPr>
        <w:tc>
          <w:tcPr>
            <w:tcW w:w="3676" w:type="dxa"/>
            <w:tcBorders>
              <w:top w:val="nil"/>
              <w:left w:val="single" w:sz="8" w:space="0" w:color="9CC2E5"/>
              <w:bottom w:val="single" w:sz="8" w:space="0" w:color="9CC2E5"/>
              <w:right w:val="single" w:sz="8" w:space="0" w:color="9CC2E5"/>
            </w:tcBorders>
            <w:shd w:val="clear" w:color="000000" w:fill="DEEAF6"/>
            <w:vAlign w:val="center"/>
            <w:hideMark/>
          </w:tcPr>
          <w:p w14:paraId="75208FC0" w14:textId="77777777" w:rsidR="00281D96" w:rsidRPr="00E70C16" w:rsidRDefault="00281D96" w:rsidP="00277007">
            <w:pPr>
              <w:ind w:firstLine="0"/>
              <w:jc w:val="left"/>
              <w:rPr>
                <w:rFonts w:eastAsia="Times New Roman" w:cs="Times New Roman"/>
                <w:color w:val="000000"/>
                <w:sz w:val="18"/>
                <w:szCs w:val="18"/>
                <w:lang w:eastAsia="lv-LV"/>
              </w:rPr>
            </w:pPr>
            <w:r w:rsidRPr="00E70C16">
              <w:rPr>
                <w:rFonts w:eastAsia="Times New Roman" w:cs="Times New Roman"/>
                <w:color w:val="000000"/>
                <w:sz w:val="18"/>
                <w:szCs w:val="18"/>
                <w:lang w:eastAsia="lv-LV"/>
              </w:rPr>
              <w:t>- Ienākumu un pārvedumu bilance</w:t>
            </w:r>
          </w:p>
        </w:tc>
        <w:tc>
          <w:tcPr>
            <w:tcW w:w="850" w:type="dxa"/>
            <w:tcBorders>
              <w:top w:val="nil"/>
              <w:left w:val="nil"/>
              <w:bottom w:val="single" w:sz="8" w:space="0" w:color="9CC2E5"/>
              <w:right w:val="single" w:sz="8" w:space="0" w:color="9CC2E5"/>
            </w:tcBorders>
            <w:shd w:val="clear" w:color="000000" w:fill="DEEAF6"/>
            <w:vAlign w:val="center"/>
            <w:hideMark/>
          </w:tcPr>
          <w:p w14:paraId="7D37AC49" w14:textId="77777777" w:rsidR="00281D96" w:rsidRPr="00E70C16" w:rsidRDefault="00281D96" w:rsidP="00277007">
            <w:pPr>
              <w:ind w:firstLine="0"/>
              <w:jc w:val="left"/>
              <w:rPr>
                <w:rFonts w:ascii="Calibri" w:eastAsia="Times New Roman" w:hAnsi="Calibri" w:cs="Calibri"/>
                <w:color w:val="000000"/>
                <w:sz w:val="18"/>
                <w:szCs w:val="18"/>
                <w:lang w:eastAsia="lv-LV"/>
              </w:rPr>
            </w:pPr>
            <w:r w:rsidRPr="00E70C16">
              <w:rPr>
                <w:rFonts w:ascii="Calibri" w:eastAsia="Times New Roman" w:hAnsi="Calibri" w:cs="Calibri"/>
                <w:color w:val="000000"/>
                <w:sz w:val="18"/>
                <w:szCs w:val="18"/>
                <w:lang w:eastAsia="lv-LV"/>
              </w:rPr>
              <w:t> </w:t>
            </w:r>
          </w:p>
        </w:tc>
        <w:tc>
          <w:tcPr>
            <w:tcW w:w="765" w:type="dxa"/>
            <w:tcBorders>
              <w:top w:val="nil"/>
              <w:left w:val="nil"/>
              <w:bottom w:val="single" w:sz="8" w:space="0" w:color="9CC2E5"/>
              <w:right w:val="single" w:sz="8" w:space="0" w:color="9CC2E5"/>
            </w:tcBorders>
            <w:shd w:val="clear" w:color="000000" w:fill="DEEAF6"/>
            <w:vAlign w:val="center"/>
          </w:tcPr>
          <w:p w14:paraId="5BD97051" w14:textId="77777777" w:rsidR="00281D96" w:rsidRPr="00E70C16" w:rsidRDefault="00281D96" w:rsidP="00277007">
            <w:pPr>
              <w:ind w:firstLine="0"/>
              <w:jc w:val="center"/>
              <w:rPr>
                <w:rFonts w:eastAsia="Times New Roman" w:cs="Times New Roman"/>
                <w:color w:val="000000"/>
                <w:sz w:val="18"/>
                <w:szCs w:val="18"/>
                <w:lang w:eastAsia="lv-LV"/>
              </w:rPr>
            </w:pPr>
            <w:r w:rsidRPr="00E70C16">
              <w:rPr>
                <w:rFonts w:eastAsia="Times New Roman" w:cs="Times New Roman"/>
                <w:color w:val="000000"/>
                <w:sz w:val="18"/>
                <w:szCs w:val="18"/>
                <w:lang w:eastAsia="lv-LV"/>
              </w:rPr>
              <w:t>-0,6</w:t>
            </w:r>
          </w:p>
        </w:tc>
        <w:tc>
          <w:tcPr>
            <w:tcW w:w="766" w:type="dxa"/>
            <w:tcBorders>
              <w:top w:val="nil"/>
              <w:left w:val="nil"/>
              <w:bottom w:val="single" w:sz="8" w:space="0" w:color="9CC2E5"/>
              <w:right w:val="single" w:sz="8" w:space="0" w:color="9CC2E5"/>
            </w:tcBorders>
            <w:shd w:val="clear" w:color="000000" w:fill="DEEAF6"/>
            <w:vAlign w:val="center"/>
          </w:tcPr>
          <w:p w14:paraId="3FB6C0BF" w14:textId="77777777" w:rsidR="00281D96" w:rsidRPr="00E70C16" w:rsidRDefault="00281D96" w:rsidP="00277007">
            <w:pPr>
              <w:ind w:firstLine="0"/>
              <w:jc w:val="center"/>
              <w:rPr>
                <w:rFonts w:eastAsia="Times New Roman" w:cs="Times New Roman"/>
                <w:color w:val="000000"/>
                <w:sz w:val="18"/>
                <w:szCs w:val="18"/>
                <w:lang w:eastAsia="lv-LV"/>
              </w:rPr>
            </w:pPr>
            <w:r w:rsidRPr="00E70C16">
              <w:rPr>
                <w:rFonts w:eastAsia="Times New Roman" w:cs="Times New Roman"/>
                <w:color w:val="000000"/>
                <w:sz w:val="18"/>
                <w:szCs w:val="18"/>
                <w:lang w:eastAsia="lv-LV"/>
              </w:rPr>
              <w:t>1,1</w:t>
            </w:r>
          </w:p>
        </w:tc>
        <w:tc>
          <w:tcPr>
            <w:tcW w:w="765" w:type="dxa"/>
            <w:tcBorders>
              <w:top w:val="nil"/>
              <w:left w:val="nil"/>
              <w:bottom w:val="single" w:sz="8" w:space="0" w:color="9CC2E5"/>
              <w:right w:val="single" w:sz="8" w:space="0" w:color="9CC2E5"/>
            </w:tcBorders>
            <w:shd w:val="clear" w:color="000000" w:fill="DEEAF6"/>
            <w:vAlign w:val="center"/>
          </w:tcPr>
          <w:p w14:paraId="610D39C0" w14:textId="77777777" w:rsidR="00281D96" w:rsidRPr="00E70C16" w:rsidRDefault="00281D96" w:rsidP="00277007">
            <w:pPr>
              <w:ind w:firstLine="0"/>
              <w:jc w:val="center"/>
              <w:rPr>
                <w:rFonts w:eastAsia="Times New Roman" w:cs="Times New Roman"/>
                <w:color w:val="000000"/>
                <w:sz w:val="18"/>
                <w:szCs w:val="18"/>
                <w:lang w:eastAsia="lv-LV"/>
              </w:rPr>
            </w:pPr>
            <w:r w:rsidRPr="00E70C16">
              <w:rPr>
                <w:rFonts w:eastAsia="Times New Roman" w:cs="Times New Roman"/>
                <w:color w:val="000000"/>
                <w:sz w:val="18"/>
                <w:szCs w:val="18"/>
                <w:lang w:eastAsia="lv-LV"/>
              </w:rPr>
              <w:t>0,5</w:t>
            </w:r>
          </w:p>
        </w:tc>
        <w:tc>
          <w:tcPr>
            <w:tcW w:w="766" w:type="dxa"/>
            <w:tcBorders>
              <w:top w:val="nil"/>
              <w:left w:val="nil"/>
              <w:bottom w:val="single" w:sz="8" w:space="0" w:color="9CC2E5"/>
              <w:right w:val="single" w:sz="8" w:space="0" w:color="9CC2E5"/>
            </w:tcBorders>
            <w:shd w:val="clear" w:color="000000" w:fill="DEEAF6"/>
            <w:vAlign w:val="center"/>
          </w:tcPr>
          <w:p w14:paraId="536D56D6" w14:textId="77777777" w:rsidR="00281D96" w:rsidRPr="00E70C16" w:rsidRDefault="00281D96" w:rsidP="00277007">
            <w:pPr>
              <w:ind w:firstLine="0"/>
              <w:jc w:val="center"/>
              <w:rPr>
                <w:rFonts w:eastAsia="Times New Roman" w:cs="Times New Roman"/>
                <w:color w:val="000000"/>
                <w:sz w:val="18"/>
                <w:szCs w:val="18"/>
                <w:lang w:eastAsia="lv-LV"/>
              </w:rPr>
            </w:pPr>
            <w:r w:rsidRPr="00E70C16">
              <w:rPr>
                <w:rFonts w:eastAsia="Times New Roman" w:cs="Times New Roman"/>
                <w:color w:val="000000"/>
                <w:sz w:val="18"/>
                <w:szCs w:val="18"/>
                <w:lang w:eastAsia="lv-LV"/>
              </w:rPr>
              <w:t>0,9</w:t>
            </w:r>
          </w:p>
        </w:tc>
        <w:tc>
          <w:tcPr>
            <w:tcW w:w="766" w:type="dxa"/>
            <w:tcBorders>
              <w:top w:val="nil"/>
              <w:left w:val="nil"/>
              <w:bottom w:val="single" w:sz="8" w:space="0" w:color="9CC2E5"/>
              <w:right w:val="single" w:sz="8" w:space="0" w:color="9CC2E5"/>
            </w:tcBorders>
            <w:shd w:val="clear" w:color="000000" w:fill="DEEAF6"/>
            <w:vAlign w:val="center"/>
          </w:tcPr>
          <w:p w14:paraId="24A932A6" w14:textId="77777777" w:rsidR="00281D96" w:rsidRPr="00E70C16" w:rsidRDefault="00281D96" w:rsidP="00277007">
            <w:pPr>
              <w:ind w:firstLine="0"/>
              <w:jc w:val="center"/>
              <w:rPr>
                <w:rFonts w:eastAsia="Times New Roman" w:cs="Times New Roman"/>
                <w:color w:val="000000"/>
                <w:sz w:val="18"/>
                <w:szCs w:val="18"/>
                <w:lang w:eastAsia="lv-LV"/>
              </w:rPr>
            </w:pPr>
            <w:r w:rsidRPr="00E70C16">
              <w:rPr>
                <w:rFonts w:eastAsia="Times New Roman" w:cs="Times New Roman"/>
                <w:color w:val="000000"/>
                <w:sz w:val="18"/>
                <w:szCs w:val="18"/>
                <w:lang w:eastAsia="lv-LV"/>
              </w:rPr>
              <w:t>0,7</w:t>
            </w:r>
          </w:p>
        </w:tc>
      </w:tr>
      <w:tr w:rsidR="00281D96" w:rsidRPr="00E70C16" w14:paraId="1E72BFF5" w14:textId="77777777" w:rsidTr="00E54B38">
        <w:trPr>
          <w:trHeight w:val="68"/>
          <w:jc w:val="center"/>
        </w:trPr>
        <w:tc>
          <w:tcPr>
            <w:tcW w:w="3676" w:type="dxa"/>
            <w:tcBorders>
              <w:top w:val="nil"/>
              <w:left w:val="single" w:sz="8" w:space="0" w:color="9CC2E5"/>
              <w:bottom w:val="single" w:sz="8" w:space="0" w:color="9CC2E5"/>
              <w:right w:val="single" w:sz="8" w:space="0" w:color="9CC2E5"/>
            </w:tcBorders>
            <w:shd w:val="clear" w:color="auto" w:fill="auto"/>
            <w:vAlign w:val="center"/>
            <w:hideMark/>
          </w:tcPr>
          <w:p w14:paraId="10CC40A3" w14:textId="77777777" w:rsidR="00281D96" w:rsidRPr="00E70C16" w:rsidRDefault="00281D96" w:rsidP="00277007">
            <w:pPr>
              <w:ind w:firstLine="0"/>
              <w:jc w:val="left"/>
              <w:rPr>
                <w:rFonts w:eastAsia="Times New Roman" w:cs="Times New Roman"/>
                <w:color w:val="000000"/>
                <w:sz w:val="18"/>
                <w:szCs w:val="18"/>
                <w:lang w:eastAsia="lv-LV"/>
              </w:rPr>
            </w:pPr>
            <w:r w:rsidRPr="00E70C16">
              <w:rPr>
                <w:rFonts w:eastAsia="Times New Roman" w:cs="Times New Roman"/>
                <w:color w:val="000000"/>
                <w:sz w:val="18"/>
                <w:szCs w:val="18"/>
                <w:lang w:eastAsia="lv-LV"/>
              </w:rPr>
              <w:t>- Kapitāla konts</w:t>
            </w:r>
          </w:p>
        </w:tc>
        <w:tc>
          <w:tcPr>
            <w:tcW w:w="850" w:type="dxa"/>
            <w:tcBorders>
              <w:top w:val="nil"/>
              <w:left w:val="nil"/>
              <w:bottom w:val="single" w:sz="8" w:space="0" w:color="9CC2E5"/>
              <w:right w:val="single" w:sz="8" w:space="0" w:color="9CC2E5"/>
            </w:tcBorders>
            <w:shd w:val="clear" w:color="auto" w:fill="auto"/>
            <w:vAlign w:val="center"/>
            <w:hideMark/>
          </w:tcPr>
          <w:p w14:paraId="06D85C0D" w14:textId="77777777" w:rsidR="00281D96" w:rsidRPr="00E70C16" w:rsidRDefault="00281D96" w:rsidP="00277007">
            <w:pPr>
              <w:ind w:firstLine="0"/>
              <w:jc w:val="left"/>
              <w:rPr>
                <w:rFonts w:ascii="Calibri" w:eastAsia="Times New Roman" w:hAnsi="Calibri" w:cs="Calibri"/>
                <w:color w:val="000000"/>
                <w:sz w:val="18"/>
                <w:szCs w:val="18"/>
                <w:lang w:eastAsia="lv-LV"/>
              </w:rPr>
            </w:pPr>
            <w:r w:rsidRPr="00E70C16">
              <w:rPr>
                <w:rFonts w:ascii="Calibri" w:eastAsia="Times New Roman" w:hAnsi="Calibri" w:cs="Calibri"/>
                <w:color w:val="000000"/>
                <w:sz w:val="18"/>
                <w:szCs w:val="18"/>
                <w:lang w:eastAsia="lv-LV"/>
              </w:rPr>
              <w:t> </w:t>
            </w:r>
          </w:p>
        </w:tc>
        <w:tc>
          <w:tcPr>
            <w:tcW w:w="765" w:type="dxa"/>
            <w:tcBorders>
              <w:top w:val="nil"/>
              <w:left w:val="nil"/>
              <w:bottom w:val="single" w:sz="8" w:space="0" w:color="9CC2E5"/>
              <w:right w:val="single" w:sz="8" w:space="0" w:color="9CC2E5"/>
            </w:tcBorders>
            <w:shd w:val="clear" w:color="auto" w:fill="auto"/>
            <w:vAlign w:val="center"/>
          </w:tcPr>
          <w:p w14:paraId="354FFFFE" w14:textId="77777777" w:rsidR="00281D96" w:rsidRPr="00E70C16" w:rsidRDefault="00281D96" w:rsidP="00277007">
            <w:pPr>
              <w:ind w:firstLine="0"/>
              <w:jc w:val="center"/>
              <w:rPr>
                <w:rFonts w:eastAsia="Times New Roman" w:cs="Times New Roman"/>
                <w:color w:val="000000"/>
                <w:sz w:val="18"/>
                <w:szCs w:val="18"/>
                <w:lang w:eastAsia="lv-LV"/>
              </w:rPr>
            </w:pPr>
            <w:r w:rsidRPr="00E70C16">
              <w:rPr>
                <w:rFonts w:eastAsia="Times New Roman" w:cs="Times New Roman"/>
                <w:color w:val="000000"/>
                <w:sz w:val="18"/>
                <w:szCs w:val="18"/>
                <w:lang w:eastAsia="lv-LV"/>
              </w:rPr>
              <w:t>1,1</w:t>
            </w:r>
          </w:p>
        </w:tc>
        <w:tc>
          <w:tcPr>
            <w:tcW w:w="766" w:type="dxa"/>
            <w:tcBorders>
              <w:top w:val="nil"/>
              <w:left w:val="nil"/>
              <w:bottom w:val="single" w:sz="8" w:space="0" w:color="9CC2E5"/>
              <w:right w:val="single" w:sz="8" w:space="0" w:color="9CC2E5"/>
            </w:tcBorders>
            <w:shd w:val="clear" w:color="auto" w:fill="auto"/>
            <w:vAlign w:val="center"/>
          </w:tcPr>
          <w:p w14:paraId="591C7FA0" w14:textId="77777777" w:rsidR="00281D96" w:rsidRPr="00E70C16" w:rsidRDefault="00281D96" w:rsidP="00277007">
            <w:pPr>
              <w:ind w:firstLine="0"/>
              <w:jc w:val="center"/>
              <w:rPr>
                <w:rFonts w:eastAsia="Times New Roman" w:cs="Times New Roman"/>
                <w:color w:val="000000"/>
                <w:sz w:val="18"/>
                <w:szCs w:val="18"/>
                <w:lang w:eastAsia="lv-LV"/>
              </w:rPr>
            </w:pPr>
            <w:r w:rsidRPr="00E70C16">
              <w:rPr>
                <w:rFonts w:eastAsia="Times New Roman" w:cs="Times New Roman"/>
                <w:color w:val="000000"/>
                <w:sz w:val="18"/>
                <w:szCs w:val="18"/>
                <w:lang w:eastAsia="lv-LV"/>
              </w:rPr>
              <w:t>1,6</w:t>
            </w:r>
          </w:p>
        </w:tc>
        <w:tc>
          <w:tcPr>
            <w:tcW w:w="765" w:type="dxa"/>
            <w:tcBorders>
              <w:top w:val="nil"/>
              <w:left w:val="nil"/>
              <w:bottom w:val="single" w:sz="8" w:space="0" w:color="9CC2E5"/>
              <w:right w:val="single" w:sz="8" w:space="0" w:color="9CC2E5"/>
            </w:tcBorders>
            <w:shd w:val="clear" w:color="auto" w:fill="auto"/>
            <w:vAlign w:val="center"/>
          </w:tcPr>
          <w:p w14:paraId="3558FA7D" w14:textId="77777777" w:rsidR="00281D96" w:rsidRPr="00E70C16" w:rsidRDefault="00281D96" w:rsidP="00277007">
            <w:pPr>
              <w:ind w:firstLine="0"/>
              <w:jc w:val="center"/>
              <w:rPr>
                <w:rFonts w:eastAsia="Times New Roman" w:cs="Times New Roman"/>
                <w:color w:val="000000"/>
                <w:sz w:val="18"/>
                <w:szCs w:val="18"/>
                <w:lang w:eastAsia="lv-LV"/>
              </w:rPr>
            </w:pPr>
            <w:r w:rsidRPr="00E70C16">
              <w:rPr>
                <w:rFonts w:eastAsia="Times New Roman" w:cs="Times New Roman"/>
                <w:color w:val="000000"/>
                <w:sz w:val="18"/>
                <w:szCs w:val="18"/>
                <w:lang w:eastAsia="lv-LV"/>
              </w:rPr>
              <w:t>2,1</w:t>
            </w:r>
          </w:p>
        </w:tc>
        <w:tc>
          <w:tcPr>
            <w:tcW w:w="766" w:type="dxa"/>
            <w:tcBorders>
              <w:top w:val="nil"/>
              <w:left w:val="nil"/>
              <w:bottom w:val="single" w:sz="8" w:space="0" w:color="9CC2E5"/>
              <w:right w:val="single" w:sz="8" w:space="0" w:color="9CC2E5"/>
            </w:tcBorders>
            <w:shd w:val="clear" w:color="auto" w:fill="auto"/>
            <w:vAlign w:val="center"/>
          </w:tcPr>
          <w:p w14:paraId="318E4D53" w14:textId="77777777" w:rsidR="00281D96" w:rsidRPr="00E70C16" w:rsidRDefault="00281D96" w:rsidP="00277007">
            <w:pPr>
              <w:ind w:firstLine="0"/>
              <w:jc w:val="center"/>
              <w:rPr>
                <w:rFonts w:eastAsia="Times New Roman" w:cs="Times New Roman"/>
                <w:color w:val="000000"/>
                <w:sz w:val="18"/>
                <w:szCs w:val="18"/>
                <w:lang w:eastAsia="lv-LV"/>
              </w:rPr>
            </w:pPr>
            <w:r w:rsidRPr="00E70C16">
              <w:rPr>
                <w:rFonts w:eastAsia="Times New Roman" w:cs="Times New Roman"/>
                <w:color w:val="000000"/>
                <w:sz w:val="18"/>
                <w:szCs w:val="18"/>
                <w:lang w:eastAsia="lv-LV"/>
              </w:rPr>
              <w:t>1,4</w:t>
            </w:r>
          </w:p>
        </w:tc>
        <w:tc>
          <w:tcPr>
            <w:tcW w:w="766" w:type="dxa"/>
            <w:tcBorders>
              <w:top w:val="nil"/>
              <w:left w:val="nil"/>
              <w:bottom w:val="single" w:sz="8" w:space="0" w:color="9CC2E5"/>
              <w:right w:val="single" w:sz="8" w:space="0" w:color="9CC2E5"/>
            </w:tcBorders>
            <w:shd w:val="clear" w:color="auto" w:fill="auto"/>
            <w:vAlign w:val="center"/>
          </w:tcPr>
          <w:p w14:paraId="3B3940AB" w14:textId="77777777" w:rsidR="00281D96" w:rsidRPr="00E70C16" w:rsidRDefault="00281D96" w:rsidP="00277007">
            <w:pPr>
              <w:ind w:firstLine="0"/>
              <w:jc w:val="center"/>
              <w:rPr>
                <w:rFonts w:eastAsia="Times New Roman" w:cs="Times New Roman"/>
                <w:color w:val="000000"/>
                <w:sz w:val="18"/>
                <w:szCs w:val="18"/>
                <w:lang w:eastAsia="lv-LV"/>
              </w:rPr>
            </w:pPr>
            <w:r w:rsidRPr="00E70C16">
              <w:rPr>
                <w:rFonts w:eastAsia="Times New Roman" w:cs="Times New Roman"/>
                <w:color w:val="000000"/>
                <w:sz w:val="18"/>
                <w:szCs w:val="18"/>
                <w:lang w:eastAsia="lv-LV"/>
              </w:rPr>
              <w:t>1,5</w:t>
            </w:r>
          </w:p>
        </w:tc>
      </w:tr>
      <w:tr w:rsidR="00281D96" w:rsidRPr="00E70C16" w14:paraId="705EE43F" w14:textId="77777777" w:rsidTr="00E54B38">
        <w:trPr>
          <w:trHeight w:val="113"/>
          <w:jc w:val="center"/>
        </w:trPr>
        <w:tc>
          <w:tcPr>
            <w:tcW w:w="3676" w:type="dxa"/>
            <w:tcBorders>
              <w:top w:val="nil"/>
              <w:left w:val="single" w:sz="8" w:space="0" w:color="9CC2E5"/>
              <w:bottom w:val="single" w:sz="8" w:space="0" w:color="9CC2E5"/>
              <w:right w:val="single" w:sz="8" w:space="0" w:color="9CC2E5"/>
            </w:tcBorders>
            <w:shd w:val="clear" w:color="000000" w:fill="DEEAF6"/>
            <w:vAlign w:val="center"/>
            <w:hideMark/>
          </w:tcPr>
          <w:p w14:paraId="333AD9B2" w14:textId="779B5390" w:rsidR="00281D96" w:rsidRPr="00E70C16" w:rsidRDefault="00281D96" w:rsidP="00277007">
            <w:pPr>
              <w:ind w:firstLine="0"/>
              <w:jc w:val="left"/>
              <w:rPr>
                <w:rFonts w:eastAsia="Times New Roman" w:cs="Times New Roman"/>
                <w:color w:val="000000"/>
                <w:sz w:val="18"/>
                <w:szCs w:val="18"/>
                <w:lang w:eastAsia="lv-LV"/>
              </w:rPr>
            </w:pPr>
            <w:r w:rsidRPr="00E70C16">
              <w:rPr>
                <w:rFonts w:eastAsia="Times New Roman" w:cs="Times New Roman"/>
                <w:color w:val="000000"/>
                <w:sz w:val="18"/>
                <w:szCs w:val="18"/>
                <w:lang w:eastAsia="lv-LV"/>
              </w:rPr>
              <w:t>2. Neto aizdevumi/ aizņemšanās privātajā sektorā</w:t>
            </w:r>
            <w:r w:rsidR="004B0606">
              <w:rPr>
                <w:rFonts w:eastAsia="Times New Roman" w:cs="Times New Roman"/>
                <w:color w:val="000000"/>
                <w:sz w:val="18"/>
                <w:szCs w:val="18"/>
                <w:lang w:eastAsia="lv-LV"/>
              </w:rPr>
              <w:t xml:space="preserve"> (pie mainīgas politikas)</w:t>
            </w:r>
          </w:p>
        </w:tc>
        <w:tc>
          <w:tcPr>
            <w:tcW w:w="850" w:type="dxa"/>
            <w:tcBorders>
              <w:top w:val="nil"/>
              <w:left w:val="nil"/>
              <w:bottom w:val="single" w:sz="8" w:space="0" w:color="9CC2E5"/>
              <w:right w:val="single" w:sz="8" w:space="0" w:color="9CC2E5"/>
            </w:tcBorders>
            <w:shd w:val="clear" w:color="000000" w:fill="DEEAF6"/>
            <w:vAlign w:val="center"/>
            <w:hideMark/>
          </w:tcPr>
          <w:p w14:paraId="73BE4446" w14:textId="77777777" w:rsidR="00281D96" w:rsidRPr="00E70C16" w:rsidRDefault="00281D96" w:rsidP="00277007">
            <w:pPr>
              <w:ind w:firstLine="0"/>
              <w:jc w:val="center"/>
              <w:rPr>
                <w:rFonts w:eastAsia="Times New Roman" w:cs="Times New Roman"/>
                <w:color w:val="000000"/>
                <w:sz w:val="18"/>
                <w:szCs w:val="18"/>
                <w:lang w:eastAsia="lv-LV"/>
              </w:rPr>
            </w:pPr>
            <w:r w:rsidRPr="00E70C16">
              <w:rPr>
                <w:rFonts w:eastAsia="Times New Roman" w:cs="Times New Roman"/>
                <w:color w:val="000000"/>
                <w:sz w:val="18"/>
                <w:szCs w:val="18"/>
                <w:lang w:eastAsia="lv-LV"/>
              </w:rPr>
              <w:t>B.9</w:t>
            </w:r>
          </w:p>
        </w:tc>
        <w:tc>
          <w:tcPr>
            <w:tcW w:w="765" w:type="dxa"/>
            <w:tcBorders>
              <w:top w:val="nil"/>
              <w:left w:val="nil"/>
              <w:bottom w:val="single" w:sz="8" w:space="0" w:color="9CC2E5"/>
              <w:right w:val="single" w:sz="8" w:space="0" w:color="9CC2E5"/>
            </w:tcBorders>
            <w:shd w:val="clear" w:color="000000" w:fill="DEEAF6"/>
            <w:vAlign w:val="center"/>
          </w:tcPr>
          <w:p w14:paraId="654E1DA0" w14:textId="77777777" w:rsidR="00281D96" w:rsidRPr="00E70C16" w:rsidRDefault="00281D96" w:rsidP="00277007">
            <w:pPr>
              <w:ind w:firstLine="0"/>
              <w:jc w:val="center"/>
              <w:rPr>
                <w:rFonts w:eastAsia="Times New Roman" w:cs="Times New Roman"/>
                <w:color w:val="000000"/>
                <w:sz w:val="18"/>
                <w:szCs w:val="18"/>
                <w:lang w:eastAsia="lv-LV"/>
              </w:rPr>
            </w:pPr>
            <w:r w:rsidRPr="00E70C16">
              <w:rPr>
                <w:rFonts w:eastAsia="Times New Roman" w:cs="Times New Roman"/>
                <w:color w:val="000000"/>
                <w:sz w:val="18"/>
                <w:szCs w:val="18"/>
                <w:lang w:eastAsia="lv-LV"/>
              </w:rPr>
              <w:t>-0,6</w:t>
            </w:r>
          </w:p>
        </w:tc>
        <w:tc>
          <w:tcPr>
            <w:tcW w:w="766" w:type="dxa"/>
            <w:tcBorders>
              <w:top w:val="nil"/>
              <w:left w:val="nil"/>
              <w:bottom w:val="single" w:sz="8" w:space="0" w:color="9CC2E5"/>
              <w:right w:val="single" w:sz="8" w:space="0" w:color="9CC2E5"/>
            </w:tcBorders>
            <w:shd w:val="clear" w:color="000000" w:fill="DEEAF6"/>
            <w:vAlign w:val="center"/>
          </w:tcPr>
          <w:p w14:paraId="00D3680F" w14:textId="77777777" w:rsidR="00281D96" w:rsidRPr="00E70C16" w:rsidRDefault="00281D96" w:rsidP="00277007">
            <w:pPr>
              <w:ind w:firstLine="0"/>
              <w:jc w:val="center"/>
              <w:rPr>
                <w:rFonts w:eastAsia="Times New Roman" w:cs="Times New Roman"/>
                <w:color w:val="000000"/>
                <w:sz w:val="18"/>
                <w:szCs w:val="18"/>
                <w:lang w:eastAsia="lv-LV"/>
              </w:rPr>
            </w:pPr>
            <w:r w:rsidRPr="00E70C16">
              <w:rPr>
                <w:rFonts w:eastAsia="Times New Roman" w:cs="Times New Roman"/>
                <w:color w:val="000000"/>
                <w:sz w:val="18"/>
                <w:szCs w:val="18"/>
                <w:lang w:eastAsia="lv-LV"/>
              </w:rPr>
              <w:t>2,1</w:t>
            </w:r>
          </w:p>
        </w:tc>
        <w:tc>
          <w:tcPr>
            <w:tcW w:w="765" w:type="dxa"/>
            <w:tcBorders>
              <w:top w:val="nil"/>
              <w:left w:val="nil"/>
              <w:bottom w:val="single" w:sz="8" w:space="0" w:color="9CC2E5"/>
              <w:right w:val="single" w:sz="8" w:space="0" w:color="9CC2E5"/>
            </w:tcBorders>
            <w:shd w:val="clear" w:color="000000" w:fill="DEEAF6"/>
            <w:vAlign w:val="center"/>
          </w:tcPr>
          <w:p w14:paraId="494BAE43" w14:textId="7B8594F3" w:rsidR="00281D96" w:rsidRPr="00E70C16" w:rsidRDefault="00281D96" w:rsidP="00277007">
            <w:pPr>
              <w:ind w:firstLine="0"/>
              <w:jc w:val="center"/>
              <w:rPr>
                <w:rFonts w:eastAsia="Times New Roman" w:cs="Times New Roman"/>
                <w:color w:val="000000"/>
                <w:sz w:val="18"/>
                <w:szCs w:val="18"/>
                <w:lang w:eastAsia="lv-LV"/>
              </w:rPr>
            </w:pPr>
            <w:r w:rsidRPr="00E70C16">
              <w:rPr>
                <w:rFonts w:eastAsia="Times New Roman" w:cs="Times New Roman"/>
                <w:color w:val="000000"/>
                <w:sz w:val="18"/>
                <w:szCs w:val="18"/>
                <w:lang w:eastAsia="lv-LV"/>
              </w:rPr>
              <w:t>1,</w:t>
            </w:r>
            <w:r w:rsidR="00D21E1F">
              <w:rPr>
                <w:rFonts w:eastAsia="Times New Roman" w:cs="Times New Roman"/>
                <w:color w:val="000000"/>
                <w:sz w:val="18"/>
                <w:szCs w:val="18"/>
                <w:lang w:eastAsia="lv-LV"/>
              </w:rPr>
              <w:t>2</w:t>
            </w:r>
          </w:p>
        </w:tc>
        <w:tc>
          <w:tcPr>
            <w:tcW w:w="766" w:type="dxa"/>
            <w:tcBorders>
              <w:top w:val="nil"/>
              <w:left w:val="nil"/>
              <w:bottom w:val="single" w:sz="8" w:space="0" w:color="9CC2E5"/>
              <w:right w:val="single" w:sz="8" w:space="0" w:color="9CC2E5"/>
            </w:tcBorders>
            <w:shd w:val="clear" w:color="000000" w:fill="DEEAF6"/>
            <w:vAlign w:val="center"/>
          </w:tcPr>
          <w:p w14:paraId="77691DA0" w14:textId="4EB0323A" w:rsidR="00281D96" w:rsidRPr="00E70C16" w:rsidRDefault="00D21E1F" w:rsidP="00277007">
            <w:pPr>
              <w:ind w:firstLine="0"/>
              <w:jc w:val="center"/>
              <w:rPr>
                <w:rFonts w:eastAsia="Times New Roman" w:cs="Times New Roman"/>
                <w:color w:val="000000"/>
                <w:sz w:val="18"/>
                <w:szCs w:val="18"/>
                <w:lang w:eastAsia="lv-LV"/>
              </w:rPr>
            </w:pPr>
            <w:r>
              <w:rPr>
                <w:rFonts w:eastAsia="Times New Roman" w:cs="Times New Roman"/>
                <w:color w:val="000000"/>
                <w:sz w:val="18"/>
                <w:szCs w:val="18"/>
                <w:lang w:eastAsia="lv-LV"/>
              </w:rPr>
              <w:t>1,2</w:t>
            </w:r>
          </w:p>
        </w:tc>
        <w:tc>
          <w:tcPr>
            <w:tcW w:w="766" w:type="dxa"/>
            <w:tcBorders>
              <w:top w:val="nil"/>
              <w:left w:val="nil"/>
              <w:bottom w:val="single" w:sz="8" w:space="0" w:color="9CC2E5"/>
              <w:right w:val="single" w:sz="8" w:space="0" w:color="9CC2E5"/>
            </w:tcBorders>
            <w:shd w:val="clear" w:color="000000" w:fill="DEEAF6"/>
            <w:vAlign w:val="center"/>
          </w:tcPr>
          <w:p w14:paraId="16A26DE7" w14:textId="5883AFF7" w:rsidR="00281D96" w:rsidRPr="00E70C16" w:rsidRDefault="00281D96" w:rsidP="00277007">
            <w:pPr>
              <w:ind w:firstLine="0"/>
              <w:jc w:val="center"/>
              <w:rPr>
                <w:rFonts w:eastAsia="Times New Roman" w:cs="Times New Roman"/>
                <w:color w:val="000000"/>
                <w:sz w:val="18"/>
                <w:szCs w:val="18"/>
                <w:lang w:eastAsia="lv-LV"/>
              </w:rPr>
            </w:pPr>
            <w:r w:rsidRPr="00E70C16">
              <w:rPr>
                <w:rFonts w:eastAsia="Times New Roman" w:cs="Times New Roman"/>
                <w:color w:val="000000"/>
                <w:sz w:val="18"/>
                <w:szCs w:val="18"/>
                <w:lang w:eastAsia="lv-LV"/>
              </w:rPr>
              <w:t>-0,</w:t>
            </w:r>
            <w:r w:rsidR="00D21E1F">
              <w:rPr>
                <w:rFonts w:eastAsia="Times New Roman" w:cs="Times New Roman"/>
                <w:color w:val="000000"/>
                <w:sz w:val="18"/>
                <w:szCs w:val="18"/>
                <w:lang w:eastAsia="lv-LV"/>
              </w:rPr>
              <w:t>4</w:t>
            </w:r>
          </w:p>
        </w:tc>
      </w:tr>
      <w:tr w:rsidR="00281D96" w:rsidRPr="00E70C16" w14:paraId="19DCCA86" w14:textId="77777777" w:rsidTr="00E54B38">
        <w:trPr>
          <w:trHeight w:val="123"/>
          <w:jc w:val="center"/>
        </w:trPr>
        <w:tc>
          <w:tcPr>
            <w:tcW w:w="3676" w:type="dxa"/>
            <w:tcBorders>
              <w:top w:val="nil"/>
              <w:left w:val="single" w:sz="8" w:space="0" w:color="9CC2E5"/>
              <w:bottom w:val="single" w:sz="8" w:space="0" w:color="9CC2E5"/>
              <w:right w:val="single" w:sz="8" w:space="0" w:color="9CC2E5"/>
            </w:tcBorders>
            <w:shd w:val="clear" w:color="auto" w:fill="auto"/>
            <w:vAlign w:val="center"/>
            <w:hideMark/>
          </w:tcPr>
          <w:p w14:paraId="036740F9" w14:textId="6B40F6E1" w:rsidR="00281D96" w:rsidRPr="00E70C16" w:rsidRDefault="00281D96" w:rsidP="00277007">
            <w:pPr>
              <w:ind w:firstLine="0"/>
              <w:jc w:val="left"/>
              <w:rPr>
                <w:rFonts w:eastAsia="Times New Roman" w:cs="Times New Roman"/>
                <w:color w:val="000000"/>
                <w:sz w:val="18"/>
                <w:szCs w:val="18"/>
                <w:lang w:eastAsia="lv-LV"/>
              </w:rPr>
            </w:pPr>
            <w:r w:rsidRPr="00E70C16">
              <w:rPr>
                <w:rFonts w:eastAsia="Times New Roman" w:cs="Times New Roman"/>
                <w:color w:val="000000"/>
                <w:sz w:val="18"/>
                <w:szCs w:val="18"/>
                <w:lang w:eastAsia="lv-LV"/>
              </w:rPr>
              <w:t>3. Neto aizdevumi/ aizņemšanās vispārējās valdības sektorā</w:t>
            </w:r>
            <w:r w:rsidR="00001558">
              <w:rPr>
                <w:rFonts w:eastAsia="Times New Roman" w:cs="Times New Roman"/>
                <w:color w:val="000000"/>
                <w:sz w:val="18"/>
                <w:szCs w:val="18"/>
                <w:lang w:eastAsia="lv-LV"/>
              </w:rPr>
              <w:t xml:space="preserve"> </w:t>
            </w:r>
            <w:r w:rsidR="00001558" w:rsidRPr="00001558">
              <w:rPr>
                <w:rFonts w:eastAsia="Times New Roman" w:cs="Times New Roman"/>
                <w:color w:val="000000"/>
                <w:sz w:val="18"/>
                <w:szCs w:val="18"/>
                <w:lang w:eastAsia="lv-LV"/>
              </w:rPr>
              <w:t>(pie mainīgas politikas)</w:t>
            </w:r>
          </w:p>
        </w:tc>
        <w:tc>
          <w:tcPr>
            <w:tcW w:w="850" w:type="dxa"/>
            <w:tcBorders>
              <w:top w:val="nil"/>
              <w:left w:val="nil"/>
              <w:bottom w:val="single" w:sz="8" w:space="0" w:color="9CC2E5"/>
              <w:right w:val="single" w:sz="8" w:space="0" w:color="9CC2E5"/>
            </w:tcBorders>
            <w:shd w:val="clear" w:color="auto" w:fill="auto"/>
            <w:vAlign w:val="center"/>
            <w:hideMark/>
          </w:tcPr>
          <w:p w14:paraId="2B343C24" w14:textId="77777777" w:rsidR="00281D96" w:rsidRPr="00E70C16" w:rsidRDefault="00281D96" w:rsidP="00277007">
            <w:pPr>
              <w:ind w:firstLine="0"/>
              <w:jc w:val="center"/>
              <w:rPr>
                <w:rFonts w:eastAsia="Times New Roman" w:cs="Times New Roman"/>
                <w:color w:val="000000"/>
                <w:sz w:val="18"/>
                <w:szCs w:val="18"/>
                <w:lang w:eastAsia="lv-LV"/>
              </w:rPr>
            </w:pPr>
            <w:r w:rsidRPr="00E70C16">
              <w:rPr>
                <w:rFonts w:eastAsia="Times New Roman" w:cs="Times New Roman"/>
                <w:color w:val="000000"/>
                <w:sz w:val="18"/>
                <w:szCs w:val="18"/>
                <w:lang w:eastAsia="lv-LV"/>
              </w:rPr>
              <w:t>EDP B.9</w:t>
            </w:r>
          </w:p>
        </w:tc>
        <w:tc>
          <w:tcPr>
            <w:tcW w:w="765" w:type="dxa"/>
            <w:tcBorders>
              <w:top w:val="nil"/>
              <w:left w:val="nil"/>
              <w:bottom w:val="single" w:sz="8" w:space="0" w:color="9CC2E5"/>
              <w:right w:val="single" w:sz="8" w:space="0" w:color="9CC2E5"/>
            </w:tcBorders>
            <w:shd w:val="clear" w:color="auto" w:fill="auto"/>
            <w:vAlign w:val="center"/>
          </w:tcPr>
          <w:p w14:paraId="0DF406F3" w14:textId="77777777" w:rsidR="00281D96" w:rsidRPr="00E70C16" w:rsidRDefault="00281D96" w:rsidP="00277007">
            <w:pPr>
              <w:ind w:firstLine="0"/>
              <w:jc w:val="center"/>
              <w:rPr>
                <w:rFonts w:eastAsia="Times New Roman" w:cs="Times New Roman"/>
                <w:color w:val="000000"/>
                <w:sz w:val="18"/>
                <w:szCs w:val="18"/>
                <w:lang w:eastAsia="lv-LV"/>
              </w:rPr>
            </w:pPr>
            <w:r w:rsidRPr="00E70C16">
              <w:rPr>
                <w:rFonts w:eastAsia="Times New Roman" w:cs="Times New Roman"/>
                <w:color w:val="000000"/>
                <w:sz w:val="18"/>
                <w:szCs w:val="18"/>
                <w:lang w:eastAsia="lv-LV"/>
              </w:rPr>
              <w:t>-4,7</w:t>
            </w:r>
          </w:p>
        </w:tc>
        <w:tc>
          <w:tcPr>
            <w:tcW w:w="766" w:type="dxa"/>
            <w:tcBorders>
              <w:top w:val="nil"/>
              <w:left w:val="nil"/>
              <w:bottom w:val="single" w:sz="8" w:space="0" w:color="9CC2E5"/>
              <w:right w:val="single" w:sz="8" w:space="0" w:color="9CC2E5"/>
            </w:tcBorders>
            <w:shd w:val="clear" w:color="auto" w:fill="auto"/>
            <w:vAlign w:val="center"/>
          </w:tcPr>
          <w:p w14:paraId="65BB51E5" w14:textId="77777777" w:rsidR="00281D96" w:rsidRPr="00E70C16" w:rsidRDefault="00281D96" w:rsidP="00277007">
            <w:pPr>
              <w:ind w:firstLine="0"/>
              <w:jc w:val="center"/>
              <w:rPr>
                <w:rFonts w:eastAsia="Times New Roman" w:cs="Times New Roman"/>
                <w:color w:val="000000"/>
                <w:sz w:val="18"/>
                <w:szCs w:val="18"/>
                <w:lang w:eastAsia="lv-LV"/>
              </w:rPr>
            </w:pPr>
            <w:r w:rsidRPr="00E70C16">
              <w:rPr>
                <w:rFonts w:eastAsia="Times New Roman" w:cs="Times New Roman"/>
                <w:color w:val="000000"/>
                <w:sz w:val="18"/>
                <w:szCs w:val="18"/>
                <w:lang w:eastAsia="lv-LV"/>
              </w:rPr>
              <w:t>-4,0</w:t>
            </w:r>
          </w:p>
        </w:tc>
        <w:tc>
          <w:tcPr>
            <w:tcW w:w="765" w:type="dxa"/>
            <w:tcBorders>
              <w:top w:val="nil"/>
              <w:left w:val="nil"/>
              <w:bottom w:val="single" w:sz="8" w:space="0" w:color="9CC2E5"/>
              <w:right w:val="single" w:sz="8" w:space="0" w:color="9CC2E5"/>
            </w:tcBorders>
            <w:shd w:val="clear" w:color="auto" w:fill="auto"/>
            <w:vAlign w:val="center"/>
          </w:tcPr>
          <w:p w14:paraId="5E41B22E" w14:textId="4F0268DA" w:rsidR="00281D96" w:rsidRPr="00E70C16" w:rsidRDefault="00281D96" w:rsidP="00277007">
            <w:pPr>
              <w:ind w:firstLine="0"/>
              <w:jc w:val="center"/>
              <w:rPr>
                <w:rFonts w:eastAsia="Times New Roman" w:cs="Times New Roman"/>
                <w:color w:val="000000"/>
                <w:sz w:val="18"/>
                <w:szCs w:val="18"/>
                <w:lang w:eastAsia="lv-LV"/>
              </w:rPr>
            </w:pPr>
            <w:r w:rsidRPr="00E70C16">
              <w:rPr>
                <w:rFonts w:eastAsia="Times New Roman" w:cs="Times New Roman"/>
                <w:color w:val="000000"/>
                <w:sz w:val="18"/>
                <w:szCs w:val="18"/>
                <w:lang w:eastAsia="lv-LV"/>
              </w:rPr>
              <w:t>-2,</w:t>
            </w:r>
            <w:r w:rsidR="00D21E1F">
              <w:rPr>
                <w:rFonts w:eastAsia="Times New Roman" w:cs="Times New Roman"/>
                <w:color w:val="000000"/>
                <w:sz w:val="18"/>
                <w:szCs w:val="18"/>
                <w:lang w:eastAsia="lv-LV"/>
              </w:rPr>
              <w:t>5</w:t>
            </w:r>
          </w:p>
        </w:tc>
        <w:tc>
          <w:tcPr>
            <w:tcW w:w="766" w:type="dxa"/>
            <w:tcBorders>
              <w:top w:val="nil"/>
              <w:left w:val="nil"/>
              <w:bottom w:val="single" w:sz="8" w:space="0" w:color="9CC2E5"/>
              <w:right w:val="single" w:sz="8" w:space="0" w:color="9CC2E5"/>
            </w:tcBorders>
            <w:shd w:val="clear" w:color="auto" w:fill="auto"/>
            <w:vAlign w:val="center"/>
          </w:tcPr>
          <w:p w14:paraId="195D6F72" w14:textId="2A7D5008" w:rsidR="00281D96" w:rsidRPr="00E70C16" w:rsidRDefault="00281D96" w:rsidP="00277007">
            <w:pPr>
              <w:ind w:firstLine="0"/>
              <w:jc w:val="center"/>
              <w:rPr>
                <w:rFonts w:eastAsia="Times New Roman" w:cs="Times New Roman"/>
                <w:color w:val="000000"/>
                <w:sz w:val="18"/>
                <w:szCs w:val="18"/>
                <w:lang w:eastAsia="lv-LV"/>
              </w:rPr>
            </w:pPr>
            <w:r w:rsidRPr="00E70C16">
              <w:rPr>
                <w:rFonts w:eastAsia="Times New Roman" w:cs="Times New Roman"/>
                <w:color w:val="000000"/>
                <w:sz w:val="18"/>
                <w:szCs w:val="18"/>
                <w:lang w:eastAsia="lv-LV"/>
              </w:rPr>
              <w:t>-</w:t>
            </w:r>
            <w:r w:rsidR="00D21E1F">
              <w:rPr>
                <w:rFonts w:eastAsia="Times New Roman" w:cs="Times New Roman"/>
                <w:color w:val="000000"/>
                <w:sz w:val="18"/>
                <w:szCs w:val="18"/>
                <w:lang w:eastAsia="lv-LV"/>
              </w:rPr>
              <w:t>2,2</w:t>
            </w:r>
          </w:p>
        </w:tc>
        <w:tc>
          <w:tcPr>
            <w:tcW w:w="766" w:type="dxa"/>
            <w:tcBorders>
              <w:top w:val="nil"/>
              <w:left w:val="nil"/>
              <w:bottom w:val="single" w:sz="8" w:space="0" w:color="9CC2E5"/>
              <w:right w:val="single" w:sz="8" w:space="0" w:color="9CC2E5"/>
            </w:tcBorders>
            <w:shd w:val="clear" w:color="auto" w:fill="auto"/>
            <w:vAlign w:val="center"/>
          </w:tcPr>
          <w:p w14:paraId="30892EFF" w14:textId="10C4BD16" w:rsidR="00281D96" w:rsidRPr="00E70C16" w:rsidRDefault="00281D96" w:rsidP="00277007">
            <w:pPr>
              <w:ind w:firstLine="0"/>
              <w:jc w:val="center"/>
              <w:rPr>
                <w:rFonts w:eastAsia="Times New Roman" w:cs="Times New Roman"/>
                <w:color w:val="000000"/>
                <w:sz w:val="18"/>
                <w:szCs w:val="18"/>
                <w:lang w:eastAsia="lv-LV"/>
              </w:rPr>
            </w:pPr>
            <w:r w:rsidRPr="00E70C16">
              <w:rPr>
                <w:rFonts w:eastAsia="Times New Roman" w:cs="Times New Roman"/>
                <w:color w:val="000000"/>
                <w:sz w:val="18"/>
                <w:szCs w:val="18"/>
                <w:lang w:eastAsia="lv-LV"/>
              </w:rPr>
              <w:t>-0,</w:t>
            </w:r>
            <w:r w:rsidR="00D21E1F">
              <w:rPr>
                <w:rFonts w:eastAsia="Times New Roman" w:cs="Times New Roman"/>
                <w:color w:val="000000"/>
                <w:sz w:val="18"/>
                <w:szCs w:val="18"/>
                <w:lang w:eastAsia="lv-LV"/>
              </w:rPr>
              <w:t>7</w:t>
            </w:r>
          </w:p>
        </w:tc>
      </w:tr>
      <w:tr w:rsidR="00281D96" w:rsidRPr="00E70C16" w14:paraId="635D003B" w14:textId="77777777" w:rsidTr="00E54B38">
        <w:trPr>
          <w:trHeight w:val="44"/>
          <w:jc w:val="center"/>
        </w:trPr>
        <w:tc>
          <w:tcPr>
            <w:tcW w:w="3676" w:type="dxa"/>
            <w:tcBorders>
              <w:top w:val="nil"/>
              <w:left w:val="single" w:sz="8" w:space="0" w:color="9CC2E5"/>
              <w:bottom w:val="single" w:sz="8" w:space="0" w:color="9CC2E5"/>
              <w:right w:val="single" w:sz="8" w:space="0" w:color="9CC2E5"/>
            </w:tcBorders>
            <w:shd w:val="clear" w:color="000000" w:fill="DEEAF6"/>
            <w:vAlign w:val="center"/>
            <w:hideMark/>
          </w:tcPr>
          <w:p w14:paraId="46524102" w14:textId="77777777" w:rsidR="00281D96" w:rsidRPr="00E70C16" w:rsidRDefault="00281D96" w:rsidP="00277007">
            <w:pPr>
              <w:ind w:firstLine="0"/>
              <w:jc w:val="left"/>
              <w:rPr>
                <w:rFonts w:eastAsia="Times New Roman" w:cs="Times New Roman"/>
                <w:sz w:val="18"/>
                <w:szCs w:val="18"/>
                <w:lang w:eastAsia="lv-LV"/>
              </w:rPr>
            </w:pPr>
            <w:r w:rsidRPr="00E70C16">
              <w:rPr>
                <w:rFonts w:eastAsia="Times New Roman" w:cs="Times New Roman"/>
                <w:sz w:val="18"/>
                <w:szCs w:val="18"/>
                <w:lang w:eastAsia="lv-LV"/>
              </w:rPr>
              <w:t>4. Statistiskā novirze</w:t>
            </w:r>
          </w:p>
        </w:tc>
        <w:tc>
          <w:tcPr>
            <w:tcW w:w="850" w:type="dxa"/>
            <w:tcBorders>
              <w:top w:val="nil"/>
              <w:left w:val="nil"/>
              <w:bottom w:val="single" w:sz="8" w:space="0" w:color="9CC2E5"/>
              <w:right w:val="single" w:sz="8" w:space="0" w:color="9CC2E5"/>
            </w:tcBorders>
            <w:shd w:val="clear" w:color="000000" w:fill="DEEAF6"/>
            <w:vAlign w:val="center"/>
            <w:hideMark/>
          </w:tcPr>
          <w:p w14:paraId="5C94CAC2" w14:textId="77777777" w:rsidR="00281D96" w:rsidRPr="00E70C16" w:rsidRDefault="00281D96" w:rsidP="00277007">
            <w:pPr>
              <w:ind w:firstLine="0"/>
              <w:jc w:val="left"/>
              <w:rPr>
                <w:rFonts w:ascii="Calibri" w:eastAsia="Times New Roman" w:hAnsi="Calibri" w:cs="Calibri"/>
                <w:sz w:val="18"/>
                <w:szCs w:val="18"/>
                <w:lang w:eastAsia="lv-LV"/>
              </w:rPr>
            </w:pPr>
            <w:r w:rsidRPr="00E70C16">
              <w:rPr>
                <w:rFonts w:ascii="Calibri" w:eastAsia="Times New Roman" w:hAnsi="Calibri" w:cs="Calibri"/>
                <w:sz w:val="18"/>
                <w:szCs w:val="18"/>
                <w:lang w:eastAsia="lv-LV"/>
              </w:rPr>
              <w:t> </w:t>
            </w:r>
          </w:p>
        </w:tc>
        <w:tc>
          <w:tcPr>
            <w:tcW w:w="765" w:type="dxa"/>
            <w:tcBorders>
              <w:top w:val="nil"/>
              <w:left w:val="nil"/>
              <w:bottom w:val="single" w:sz="8" w:space="0" w:color="9CC2E5"/>
              <w:right w:val="single" w:sz="8" w:space="0" w:color="9CC2E5"/>
            </w:tcBorders>
            <w:shd w:val="clear" w:color="000000" w:fill="DEEAF6"/>
            <w:vAlign w:val="center"/>
          </w:tcPr>
          <w:p w14:paraId="533356EE" w14:textId="77777777" w:rsidR="00281D96" w:rsidRPr="00E70C16" w:rsidRDefault="00281D96" w:rsidP="00277007">
            <w:pPr>
              <w:ind w:firstLine="0"/>
              <w:jc w:val="center"/>
              <w:rPr>
                <w:rFonts w:eastAsia="Times New Roman" w:cs="Times New Roman"/>
                <w:sz w:val="18"/>
                <w:szCs w:val="18"/>
                <w:lang w:eastAsia="lv-LV"/>
              </w:rPr>
            </w:pPr>
            <w:r w:rsidRPr="00E70C16">
              <w:rPr>
                <w:rFonts w:eastAsia="Times New Roman" w:cs="Times New Roman"/>
                <w:sz w:val="18"/>
                <w:szCs w:val="18"/>
                <w:lang w:eastAsia="lv-LV"/>
              </w:rPr>
              <w:t>0,0</w:t>
            </w:r>
          </w:p>
        </w:tc>
        <w:tc>
          <w:tcPr>
            <w:tcW w:w="766" w:type="dxa"/>
            <w:tcBorders>
              <w:top w:val="nil"/>
              <w:left w:val="nil"/>
              <w:bottom w:val="single" w:sz="8" w:space="0" w:color="9CC2E5"/>
              <w:right w:val="single" w:sz="8" w:space="0" w:color="9CC2E5"/>
            </w:tcBorders>
            <w:shd w:val="clear" w:color="000000" w:fill="DEEAF6"/>
            <w:vAlign w:val="center"/>
          </w:tcPr>
          <w:p w14:paraId="739ADC39" w14:textId="77777777" w:rsidR="00281D96" w:rsidRPr="00E70C16" w:rsidRDefault="00281D96" w:rsidP="00277007">
            <w:pPr>
              <w:ind w:firstLine="0"/>
              <w:jc w:val="center"/>
              <w:rPr>
                <w:rFonts w:eastAsia="Times New Roman" w:cs="Times New Roman"/>
                <w:sz w:val="18"/>
                <w:szCs w:val="18"/>
                <w:lang w:eastAsia="lv-LV"/>
              </w:rPr>
            </w:pPr>
            <w:r w:rsidRPr="00E70C16">
              <w:rPr>
                <w:rFonts w:eastAsia="Times New Roman" w:cs="Times New Roman"/>
                <w:sz w:val="18"/>
                <w:szCs w:val="18"/>
                <w:lang w:eastAsia="lv-LV"/>
              </w:rPr>
              <w:t>0,0</w:t>
            </w:r>
          </w:p>
        </w:tc>
        <w:tc>
          <w:tcPr>
            <w:tcW w:w="765" w:type="dxa"/>
            <w:tcBorders>
              <w:top w:val="nil"/>
              <w:left w:val="nil"/>
              <w:bottom w:val="single" w:sz="8" w:space="0" w:color="9CC2E5"/>
              <w:right w:val="single" w:sz="8" w:space="0" w:color="9CC2E5"/>
            </w:tcBorders>
            <w:shd w:val="clear" w:color="000000" w:fill="DEEAF6"/>
            <w:vAlign w:val="center"/>
          </w:tcPr>
          <w:p w14:paraId="16FF68E7" w14:textId="77777777" w:rsidR="00281D96" w:rsidRPr="00E70C16" w:rsidRDefault="00281D96" w:rsidP="00277007">
            <w:pPr>
              <w:ind w:firstLine="0"/>
              <w:jc w:val="center"/>
              <w:rPr>
                <w:rFonts w:eastAsia="Times New Roman" w:cs="Times New Roman"/>
                <w:sz w:val="18"/>
                <w:szCs w:val="18"/>
                <w:lang w:eastAsia="lv-LV"/>
              </w:rPr>
            </w:pPr>
            <w:r w:rsidRPr="00E70C16">
              <w:rPr>
                <w:rFonts w:eastAsia="Times New Roman" w:cs="Times New Roman"/>
                <w:sz w:val="18"/>
                <w:szCs w:val="18"/>
                <w:lang w:eastAsia="lv-LV"/>
              </w:rPr>
              <w:t>0,0</w:t>
            </w:r>
          </w:p>
        </w:tc>
        <w:tc>
          <w:tcPr>
            <w:tcW w:w="766" w:type="dxa"/>
            <w:tcBorders>
              <w:top w:val="nil"/>
              <w:left w:val="nil"/>
              <w:bottom w:val="single" w:sz="8" w:space="0" w:color="9CC2E5"/>
              <w:right w:val="single" w:sz="8" w:space="0" w:color="9CC2E5"/>
            </w:tcBorders>
            <w:shd w:val="clear" w:color="000000" w:fill="DEEAF6"/>
            <w:vAlign w:val="center"/>
          </w:tcPr>
          <w:p w14:paraId="5F681280" w14:textId="77777777" w:rsidR="00281D96" w:rsidRPr="00E70C16" w:rsidRDefault="00281D96" w:rsidP="00277007">
            <w:pPr>
              <w:ind w:firstLine="0"/>
              <w:jc w:val="center"/>
              <w:rPr>
                <w:rFonts w:eastAsia="Times New Roman" w:cs="Times New Roman"/>
                <w:sz w:val="18"/>
                <w:szCs w:val="18"/>
                <w:lang w:eastAsia="lv-LV"/>
              </w:rPr>
            </w:pPr>
            <w:r w:rsidRPr="00E70C16">
              <w:rPr>
                <w:rFonts w:eastAsia="Times New Roman" w:cs="Times New Roman"/>
                <w:sz w:val="18"/>
                <w:szCs w:val="18"/>
                <w:lang w:eastAsia="lv-LV"/>
              </w:rPr>
              <w:t>0,0</w:t>
            </w:r>
          </w:p>
        </w:tc>
        <w:tc>
          <w:tcPr>
            <w:tcW w:w="766" w:type="dxa"/>
            <w:tcBorders>
              <w:top w:val="nil"/>
              <w:left w:val="nil"/>
              <w:bottom w:val="single" w:sz="8" w:space="0" w:color="9CC2E5"/>
              <w:right w:val="single" w:sz="8" w:space="0" w:color="9CC2E5"/>
            </w:tcBorders>
            <w:shd w:val="clear" w:color="000000" w:fill="DEEAF6"/>
            <w:vAlign w:val="center"/>
          </w:tcPr>
          <w:p w14:paraId="369A9543" w14:textId="77777777" w:rsidR="00281D96" w:rsidRPr="00E70C16" w:rsidRDefault="00281D96" w:rsidP="00277007">
            <w:pPr>
              <w:ind w:firstLine="0"/>
              <w:jc w:val="center"/>
              <w:rPr>
                <w:rFonts w:eastAsia="Times New Roman" w:cs="Times New Roman"/>
                <w:sz w:val="18"/>
                <w:szCs w:val="18"/>
                <w:lang w:eastAsia="lv-LV"/>
              </w:rPr>
            </w:pPr>
            <w:r w:rsidRPr="00E70C16">
              <w:rPr>
                <w:rFonts w:eastAsia="Times New Roman" w:cs="Times New Roman"/>
                <w:sz w:val="18"/>
                <w:szCs w:val="18"/>
                <w:lang w:eastAsia="lv-LV"/>
              </w:rPr>
              <w:t>0,0</w:t>
            </w:r>
          </w:p>
        </w:tc>
      </w:tr>
    </w:tbl>
    <w:p w14:paraId="01DECFEC" w14:textId="77BBA68E" w:rsidR="00281D96" w:rsidRDefault="00001558" w:rsidP="00042C12">
      <w:pPr>
        <w:ind w:firstLine="0"/>
        <w:jc w:val="left"/>
        <w:rPr>
          <w:rFonts w:eastAsia="Times New Roman" w:cs="Times New Roman"/>
          <w:color w:val="000000"/>
          <w:sz w:val="18"/>
          <w:szCs w:val="18"/>
        </w:rPr>
      </w:pPr>
      <w:r>
        <w:rPr>
          <w:rFonts w:eastAsia="Times New Roman" w:cs="Times New Roman"/>
          <w:color w:val="000000"/>
          <w:sz w:val="18"/>
          <w:szCs w:val="18"/>
          <w:vertAlign w:val="superscript"/>
        </w:rPr>
        <w:t>*</w:t>
      </w:r>
      <w:r w:rsidRPr="00E70C16">
        <w:rPr>
          <w:rFonts w:eastAsia="Times New Roman" w:cs="Times New Roman"/>
          <w:color w:val="000000"/>
          <w:sz w:val="18"/>
          <w:szCs w:val="18"/>
          <w:vertAlign w:val="superscript"/>
        </w:rPr>
        <w:t xml:space="preserve"> </w:t>
      </w:r>
      <w:r w:rsidR="00281D96" w:rsidRPr="00E70C16">
        <w:rPr>
          <w:rFonts w:eastAsia="Times New Roman" w:cs="Times New Roman"/>
          <w:color w:val="000000"/>
          <w:sz w:val="18"/>
          <w:szCs w:val="18"/>
        </w:rPr>
        <w:t>Prognozes</w:t>
      </w:r>
      <w:r w:rsidR="005C2A56">
        <w:rPr>
          <w:rFonts w:eastAsia="Times New Roman" w:cs="Times New Roman"/>
          <w:color w:val="000000"/>
          <w:sz w:val="18"/>
          <w:szCs w:val="18"/>
        </w:rPr>
        <w:t>:</w:t>
      </w:r>
      <w:r w:rsidR="00281D96" w:rsidRPr="00E70C16">
        <w:rPr>
          <w:rFonts w:eastAsia="Times New Roman" w:cs="Times New Roman"/>
          <w:color w:val="000000"/>
          <w:sz w:val="18"/>
          <w:szCs w:val="18"/>
        </w:rPr>
        <w:t xml:space="preserve"> 2023.gada marta scenārijs</w:t>
      </w:r>
    </w:p>
    <w:p w14:paraId="0CC2A8E3" w14:textId="77777777" w:rsidR="00042C12" w:rsidRPr="0087383B" w:rsidRDefault="00042C12" w:rsidP="00042C12">
      <w:pPr>
        <w:ind w:firstLine="0"/>
        <w:jc w:val="left"/>
        <w:rPr>
          <w:rFonts w:eastAsia="Times New Roman" w:cs="Times New Roman"/>
          <w:sz w:val="18"/>
          <w:szCs w:val="18"/>
        </w:rPr>
      </w:pPr>
    </w:p>
    <w:p w14:paraId="4231B8C4" w14:textId="1DEF9B33" w:rsidR="00DD6632" w:rsidRDefault="00884CF9" w:rsidP="00E54B38">
      <w:pPr>
        <w:spacing w:after="160" w:line="259" w:lineRule="auto"/>
        <w:ind w:firstLine="0"/>
        <w:jc w:val="left"/>
        <w:rPr>
          <w:rFonts w:cs="Times New Roman"/>
          <w:b/>
          <w:sz w:val="24"/>
          <w:szCs w:val="24"/>
        </w:rPr>
      </w:pPr>
      <w:r w:rsidRPr="00FE60EB">
        <w:rPr>
          <w:rFonts w:cs="Times New Roman"/>
          <w:b/>
          <w:sz w:val="24"/>
          <w:szCs w:val="24"/>
        </w:rPr>
        <w:t>2a. tabula. Vispārējās valdības budžeta attīstība</w:t>
      </w:r>
    </w:p>
    <w:tbl>
      <w:tblPr>
        <w:tblStyle w:val="GridTable6Colorful-Accent113"/>
        <w:tblW w:w="9224" w:type="dxa"/>
        <w:jc w:val="center"/>
        <w:tblLayout w:type="fixed"/>
        <w:tblLook w:val="04A0" w:firstRow="1" w:lastRow="0" w:firstColumn="1" w:lastColumn="0" w:noHBand="0" w:noVBand="1"/>
      </w:tblPr>
      <w:tblGrid>
        <w:gridCol w:w="3260"/>
        <w:gridCol w:w="1134"/>
        <w:gridCol w:w="1134"/>
        <w:gridCol w:w="861"/>
        <w:gridCol w:w="708"/>
        <w:gridCol w:w="709"/>
        <w:gridCol w:w="709"/>
        <w:gridCol w:w="709"/>
      </w:tblGrid>
      <w:tr w:rsidR="00D21E1F" w:rsidRPr="005346E4" w14:paraId="2EAD2E5B" w14:textId="77777777" w:rsidTr="007306F1">
        <w:trPr>
          <w:cnfStyle w:val="100000000000" w:firstRow="1" w:lastRow="0" w:firstColumn="0" w:lastColumn="0" w:oddVBand="0" w:evenVBand="0" w:oddHBand="0" w:evenHBand="0" w:firstRowFirstColumn="0" w:firstRowLastColumn="0" w:lastRowFirstColumn="0" w:lastRowLastColumn="0"/>
          <w:trHeight w:val="148"/>
          <w:tblHeader/>
          <w:jc w:val="center"/>
        </w:trPr>
        <w:tc>
          <w:tcPr>
            <w:cnfStyle w:val="001000000000" w:firstRow="0" w:lastRow="0" w:firstColumn="1" w:lastColumn="0" w:oddVBand="0" w:evenVBand="0" w:oddHBand="0" w:evenHBand="0" w:firstRowFirstColumn="0" w:firstRowLastColumn="0" w:lastRowFirstColumn="0" w:lastRowLastColumn="0"/>
            <w:tcW w:w="3260" w:type="dxa"/>
            <w:hideMark/>
          </w:tcPr>
          <w:p w14:paraId="24EAE723" w14:textId="77777777" w:rsidR="00D21E1F" w:rsidRPr="005346E4" w:rsidRDefault="00D21E1F" w:rsidP="007306F1">
            <w:pPr>
              <w:ind w:left="166" w:firstLine="31"/>
              <w:rPr>
                <w:rFonts w:cs="Times New Roman"/>
                <w:color w:val="000000" w:themeColor="text1"/>
                <w:sz w:val="18"/>
                <w:szCs w:val="18"/>
                <w:lang w:eastAsia="lv-LV"/>
              </w:rPr>
            </w:pPr>
          </w:p>
        </w:tc>
        <w:tc>
          <w:tcPr>
            <w:tcW w:w="1134" w:type="dxa"/>
            <w:vAlign w:val="center"/>
            <w:hideMark/>
          </w:tcPr>
          <w:p w14:paraId="62B1EECC" w14:textId="77777777" w:rsidR="00D21E1F" w:rsidRPr="005346E4" w:rsidRDefault="00D21E1F" w:rsidP="00E05086">
            <w:pPr>
              <w:ind w:firstLine="31"/>
              <w:jc w:val="center"/>
              <w:cnfStyle w:val="100000000000" w:firstRow="1" w:lastRow="0" w:firstColumn="0" w:lastColumn="0" w:oddVBand="0" w:evenVBand="0" w:oddHBand="0" w:evenHBand="0" w:firstRowFirstColumn="0" w:firstRowLastColumn="0" w:lastRowFirstColumn="0" w:lastRowLastColumn="0"/>
              <w:rPr>
                <w:rFonts w:cs="Times New Roman"/>
                <w:color w:val="000000" w:themeColor="text1"/>
                <w:sz w:val="18"/>
                <w:szCs w:val="18"/>
                <w:lang w:eastAsia="lv-LV"/>
              </w:rPr>
            </w:pPr>
            <w:r w:rsidRPr="005346E4">
              <w:rPr>
                <w:rFonts w:cs="Times New Roman"/>
                <w:color w:val="000000" w:themeColor="text1"/>
                <w:sz w:val="18"/>
                <w:szCs w:val="18"/>
                <w:lang w:eastAsia="lv-LV"/>
              </w:rPr>
              <w:t>EKS kods</w:t>
            </w:r>
          </w:p>
        </w:tc>
        <w:tc>
          <w:tcPr>
            <w:tcW w:w="1134" w:type="dxa"/>
            <w:vAlign w:val="center"/>
            <w:hideMark/>
          </w:tcPr>
          <w:p w14:paraId="5F22F414" w14:textId="2070F48B" w:rsidR="00D21E1F" w:rsidRPr="005346E4" w:rsidRDefault="00D21E1F" w:rsidP="00E05086">
            <w:pPr>
              <w:ind w:firstLine="31"/>
              <w:jc w:val="center"/>
              <w:cnfStyle w:val="100000000000" w:firstRow="1" w:lastRow="0" w:firstColumn="0" w:lastColumn="0" w:oddVBand="0" w:evenVBand="0" w:oddHBand="0" w:evenHBand="0" w:firstRowFirstColumn="0" w:firstRowLastColumn="0" w:lastRowFirstColumn="0" w:lastRowLastColumn="0"/>
              <w:rPr>
                <w:rFonts w:cs="Times New Roman"/>
                <w:color w:val="000000" w:themeColor="text1"/>
                <w:sz w:val="18"/>
                <w:szCs w:val="18"/>
                <w:lang w:eastAsia="lv-LV"/>
              </w:rPr>
            </w:pPr>
            <w:r w:rsidRPr="005346E4">
              <w:rPr>
                <w:rFonts w:cs="Times New Roman"/>
                <w:color w:val="000000" w:themeColor="text1"/>
                <w:sz w:val="18"/>
                <w:szCs w:val="18"/>
                <w:lang w:eastAsia="lv-LV"/>
              </w:rPr>
              <w:t>202</w:t>
            </w:r>
            <w:r>
              <w:rPr>
                <w:rFonts w:cs="Times New Roman"/>
                <w:color w:val="000000" w:themeColor="text1"/>
                <w:sz w:val="18"/>
                <w:szCs w:val="18"/>
                <w:lang w:eastAsia="lv-LV"/>
              </w:rPr>
              <w:t>2</w:t>
            </w:r>
          </w:p>
        </w:tc>
        <w:tc>
          <w:tcPr>
            <w:tcW w:w="861" w:type="dxa"/>
            <w:vAlign w:val="center"/>
            <w:hideMark/>
          </w:tcPr>
          <w:p w14:paraId="5AFA99A7" w14:textId="5BB344CE" w:rsidR="00D21E1F" w:rsidRPr="005346E4" w:rsidRDefault="00D21E1F" w:rsidP="00E05086">
            <w:pPr>
              <w:ind w:firstLine="31"/>
              <w:jc w:val="center"/>
              <w:cnfStyle w:val="100000000000" w:firstRow="1" w:lastRow="0" w:firstColumn="0" w:lastColumn="0" w:oddVBand="0" w:evenVBand="0" w:oddHBand="0" w:evenHBand="0" w:firstRowFirstColumn="0" w:firstRowLastColumn="0" w:lastRowFirstColumn="0" w:lastRowLastColumn="0"/>
              <w:rPr>
                <w:rFonts w:cs="Times New Roman"/>
                <w:color w:val="000000" w:themeColor="text1"/>
                <w:sz w:val="18"/>
                <w:szCs w:val="18"/>
                <w:lang w:eastAsia="lv-LV"/>
              </w:rPr>
            </w:pPr>
            <w:r w:rsidRPr="005346E4">
              <w:rPr>
                <w:rFonts w:cs="Times New Roman"/>
                <w:color w:val="000000" w:themeColor="text1"/>
                <w:sz w:val="18"/>
                <w:szCs w:val="18"/>
                <w:lang w:eastAsia="lv-LV"/>
              </w:rPr>
              <w:t>202</w:t>
            </w:r>
            <w:r>
              <w:rPr>
                <w:rFonts w:cs="Times New Roman"/>
                <w:color w:val="000000" w:themeColor="text1"/>
                <w:sz w:val="18"/>
                <w:szCs w:val="18"/>
                <w:lang w:eastAsia="lv-LV"/>
              </w:rPr>
              <w:t>2</w:t>
            </w:r>
          </w:p>
        </w:tc>
        <w:tc>
          <w:tcPr>
            <w:tcW w:w="708" w:type="dxa"/>
            <w:vAlign w:val="center"/>
            <w:hideMark/>
          </w:tcPr>
          <w:p w14:paraId="5AE57535" w14:textId="0EF63BDF" w:rsidR="00D21E1F" w:rsidRPr="005346E4" w:rsidRDefault="00D21E1F" w:rsidP="00E05086">
            <w:pPr>
              <w:ind w:firstLine="31"/>
              <w:jc w:val="center"/>
              <w:cnfStyle w:val="100000000000" w:firstRow="1" w:lastRow="0" w:firstColumn="0" w:lastColumn="0" w:oddVBand="0" w:evenVBand="0" w:oddHBand="0" w:evenHBand="0" w:firstRowFirstColumn="0" w:firstRowLastColumn="0" w:lastRowFirstColumn="0" w:lastRowLastColumn="0"/>
              <w:rPr>
                <w:rFonts w:cs="Times New Roman"/>
                <w:color w:val="000000" w:themeColor="text1"/>
                <w:sz w:val="18"/>
                <w:szCs w:val="18"/>
                <w:lang w:eastAsia="lv-LV"/>
              </w:rPr>
            </w:pPr>
            <w:r w:rsidRPr="005346E4">
              <w:rPr>
                <w:rFonts w:cs="Times New Roman"/>
                <w:color w:val="000000" w:themeColor="text1"/>
                <w:sz w:val="18"/>
                <w:szCs w:val="18"/>
                <w:lang w:eastAsia="lv-LV"/>
              </w:rPr>
              <w:t>202</w:t>
            </w:r>
            <w:r>
              <w:rPr>
                <w:rFonts w:cs="Times New Roman"/>
                <w:color w:val="000000" w:themeColor="text1"/>
                <w:sz w:val="18"/>
                <w:szCs w:val="18"/>
                <w:lang w:eastAsia="lv-LV"/>
              </w:rPr>
              <w:t>3</w:t>
            </w:r>
          </w:p>
        </w:tc>
        <w:tc>
          <w:tcPr>
            <w:tcW w:w="709" w:type="dxa"/>
            <w:vAlign w:val="center"/>
            <w:hideMark/>
          </w:tcPr>
          <w:p w14:paraId="2FCE4E6B" w14:textId="6442C308" w:rsidR="00D21E1F" w:rsidRPr="005346E4" w:rsidRDefault="00D21E1F" w:rsidP="00E05086">
            <w:pPr>
              <w:ind w:firstLine="31"/>
              <w:jc w:val="center"/>
              <w:cnfStyle w:val="100000000000" w:firstRow="1" w:lastRow="0" w:firstColumn="0" w:lastColumn="0" w:oddVBand="0" w:evenVBand="0" w:oddHBand="0" w:evenHBand="0" w:firstRowFirstColumn="0" w:firstRowLastColumn="0" w:lastRowFirstColumn="0" w:lastRowLastColumn="0"/>
              <w:rPr>
                <w:rFonts w:cs="Times New Roman"/>
                <w:color w:val="000000" w:themeColor="text1"/>
                <w:sz w:val="18"/>
                <w:szCs w:val="18"/>
                <w:lang w:eastAsia="lv-LV"/>
              </w:rPr>
            </w:pPr>
            <w:r w:rsidRPr="005346E4">
              <w:rPr>
                <w:rFonts w:cs="Times New Roman"/>
                <w:color w:val="000000" w:themeColor="text1"/>
                <w:sz w:val="18"/>
                <w:szCs w:val="18"/>
                <w:lang w:eastAsia="lv-LV"/>
              </w:rPr>
              <w:t>202</w:t>
            </w:r>
            <w:r>
              <w:rPr>
                <w:rFonts w:cs="Times New Roman"/>
                <w:color w:val="000000" w:themeColor="text1"/>
                <w:sz w:val="18"/>
                <w:szCs w:val="18"/>
                <w:lang w:eastAsia="lv-LV"/>
              </w:rPr>
              <w:t>4</w:t>
            </w:r>
          </w:p>
        </w:tc>
        <w:tc>
          <w:tcPr>
            <w:tcW w:w="709" w:type="dxa"/>
            <w:vAlign w:val="center"/>
            <w:hideMark/>
          </w:tcPr>
          <w:p w14:paraId="18A32262" w14:textId="09788DFF" w:rsidR="00D21E1F" w:rsidRPr="005346E4" w:rsidRDefault="00D21E1F" w:rsidP="00E05086">
            <w:pPr>
              <w:ind w:firstLine="31"/>
              <w:jc w:val="center"/>
              <w:cnfStyle w:val="100000000000" w:firstRow="1" w:lastRow="0" w:firstColumn="0" w:lastColumn="0" w:oddVBand="0" w:evenVBand="0" w:oddHBand="0" w:evenHBand="0" w:firstRowFirstColumn="0" w:firstRowLastColumn="0" w:lastRowFirstColumn="0" w:lastRowLastColumn="0"/>
              <w:rPr>
                <w:rFonts w:cs="Times New Roman"/>
                <w:color w:val="000000" w:themeColor="text1"/>
                <w:sz w:val="18"/>
                <w:szCs w:val="18"/>
                <w:lang w:eastAsia="lv-LV"/>
              </w:rPr>
            </w:pPr>
            <w:r w:rsidRPr="005346E4">
              <w:rPr>
                <w:rFonts w:cs="Times New Roman"/>
                <w:color w:val="000000" w:themeColor="text1"/>
                <w:sz w:val="18"/>
                <w:szCs w:val="18"/>
                <w:lang w:eastAsia="lv-LV"/>
              </w:rPr>
              <w:t>202</w:t>
            </w:r>
            <w:r>
              <w:rPr>
                <w:rFonts w:cs="Times New Roman"/>
                <w:color w:val="000000" w:themeColor="text1"/>
                <w:sz w:val="18"/>
                <w:szCs w:val="18"/>
                <w:lang w:eastAsia="lv-LV"/>
              </w:rPr>
              <w:t>5</w:t>
            </w:r>
          </w:p>
        </w:tc>
        <w:tc>
          <w:tcPr>
            <w:tcW w:w="709" w:type="dxa"/>
            <w:vAlign w:val="center"/>
            <w:hideMark/>
          </w:tcPr>
          <w:p w14:paraId="456AD654" w14:textId="2CA7713F" w:rsidR="00D21E1F" w:rsidRPr="005346E4" w:rsidRDefault="00D21E1F" w:rsidP="00E05086">
            <w:pPr>
              <w:ind w:firstLine="31"/>
              <w:jc w:val="center"/>
              <w:cnfStyle w:val="100000000000" w:firstRow="1" w:lastRow="0" w:firstColumn="0" w:lastColumn="0" w:oddVBand="0" w:evenVBand="0" w:oddHBand="0" w:evenHBand="0" w:firstRowFirstColumn="0" w:firstRowLastColumn="0" w:lastRowFirstColumn="0" w:lastRowLastColumn="0"/>
              <w:rPr>
                <w:rFonts w:cs="Times New Roman"/>
                <w:color w:val="000000" w:themeColor="text1"/>
                <w:sz w:val="18"/>
                <w:szCs w:val="18"/>
                <w:lang w:eastAsia="lv-LV"/>
              </w:rPr>
            </w:pPr>
            <w:r w:rsidRPr="005346E4">
              <w:rPr>
                <w:rFonts w:cs="Times New Roman"/>
                <w:color w:val="000000" w:themeColor="text1"/>
                <w:sz w:val="18"/>
                <w:szCs w:val="18"/>
                <w:lang w:eastAsia="lv-LV"/>
              </w:rPr>
              <w:t>202</w:t>
            </w:r>
            <w:r>
              <w:rPr>
                <w:rFonts w:cs="Times New Roman"/>
                <w:color w:val="000000" w:themeColor="text1"/>
                <w:sz w:val="18"/>
                <w:szCs w:val="18"/>
                <w:lang w:eastAsia="lv-LV"/>
              </w:rPr>
              <w:t>6</w:t>
            </w:r>
          </w:p>
        </w:tc>
      </w:tr>
      <w:tr w:rsidR="00D21E1F" w:rsidRPr="005346E4" w14:paraId="5E94B340" w14:textId="77777777" w:rsidTr="007306F1">
        <w:trPr>
          <w:cnfStyle w:val="100000000000" w:firstRow="1" w:lastRow="0" w:firstColumn="0" w:lastColumn="0" w:oddVBand="0" w:evenVBand="0" w:oddHBand="0" w:evenHBand="0" w:firstRowFirstColumn="0" w:firstRowLastColumn="0" w:lastRowFirstColumn="0" w:lastRowLastColumn="0"/>
          <w:trHeight w:val="236"/>
          <w:tblHeader/>
          <w:jc w:val="center"/>
        </w:trPr>
        <w:tc>
          <w:tcPr>
            <w:cnfStyle w:val="001000000000" w:firstRow="0" w:lastRow="0" w:firstColumn="1" w:lastColumn="0" w:oddVBand="0" w:evenVBand="0" w:oddHBand="0" w:evenHBand="0" w:firstRowFirstColumn="0" w:firstRowLastColumn="0" w:lastRowFirstColumn="0" w:lastRowLastColumn="0"/>
            <w:tcW w:w="3260" w:type="dxa"/>
            <w:hideMark/>
          </w:tcPr>
          <w:p w14:paraId="44D82ABB" w14:textId="77777777" w:rsidR="00D21E1F" w:rsidRPr="005346E4" w:rsidRDefault="00D21E1F" w:rsidP="00E05086">
            <w:pPr>
              <w:ind w:firstLine="31"/>
              <w:rPr>
                <w:rFonts w:cs="Times New Roman"/>
                <w:color w:val="000000" w:themeColor="text1"/>
                <w:sz w:val="18"/>
                <w:szCs w:val="18"/>
                <w:lang w:eastAsia="lv-LV"/>
              </w:rPr>
            </w:pPr>
          </w:p>
        </w:tc>
        <w:tc>
          <w:tcPr>
            <w:tcW w:w="1134" w:type="dxa"/>
            <w:vAlign w:val="center"/>
            <w:hideMark/>
          </w:tcPr>
          <w:p w14:paraId="33EC2153" w14:textId="77777777" w:rsidR="00D21E1F" w:rsidRPr="005346E4" w:rsidRDefault="00D21E1F" w:rsidP="00E05086">
            <w:pPr>
              <w:ind w:firstLine="31"/>
              <w:jc w:val="center"/>
              <w:cnfStyle w:val="100000000000" w:firstRow="1" w:lastRow="0" w:firstColumn="0" w:lastColumn="0" w:oddVBand="0" w:evenVBand="0" w:oddHBand="0" w:evenHBand="0" w:firstRowFirstColumn="0" w:firstRowLastColumn="0" w:lastRowFirstColumn="0" w:lastRowLastColumn="0"/>
              <w:rPr>
                <w:rFonts w:cs="Times New Roman"/>
                <w:bCs w:val="0"/>
                <w:color w:val="000000" w:themeColor="text1"/>
                <w:sz w:val="18"/>
                <w:szCs w:val="18"/>
                <w:lang w:eastAsia="lv-LV"/>
              </w:rPr>
            </w:pPr>
          </w:p>
        </w:tc>
        <w:tc>
          <w:tcPr>
            <w:tcW w:w="1134" w:type="dxa"/>
            <w:vAlign w:val="center"/>
            <w:hideMark/>
          </w:tcPr>
          <w:p w14:paraId="04C73B62" w14:textId="77777777" w:rsidR="00D21E1F" w:rsidRPr="005346E4" w:rsidRDefault="00D21E1F" w:rsidP="00E05086">
            <w:pPr>
              <w:ind w:firstLine="31"/>
              <w:jc w:val="center"/>
              <w:cnfStyle w:val="100000000000" w:firstRow="1" w:lastRow="0" w:firstColumn="0" w:lastColumn="0" w:oddVBand="0" w:evenVBand="0" w:oddHBand="0" w:evenHBand="0" w:firstRowFirstColumn="0" w:firstRowLastColumn="0" w:lastRowFirstColumn="0" w:lastRowLastColumn="0"/>
              <w:rPr>
                <w:rFonts w:cs="Times New Roman"/>
                <w:bCs w:val="0"/>
                <w:color w:val="000000" w:themeColor="text1"/>
                <w:sz w:val="18"/>
                <w:szCs w:val="18"/>
                <w:lang w:eastAsia="lv-LV"/>
              </w:rPr>
            </w:pPr>
            <w:r w:rsidRPr="005346E4">
              <w:rPr>
                <w:rFonts w:cs="Times New Roman"/>
                <w:color w:val="000000" w:themeColor="text1"/>
                <w:sz w:val="18"/>
                <w:szCs w:val="18"/>
                <w:lang w:eastAsia="lv-LV"/>
              </w:rPr>
              <w:t xml:space="preserve">milj. </w:t>
            </w:r>
            <w:proofErr w:type="spellStart"/>
            <w:r w:rsidRPr="005346E4">
              <w:rPr>
                <w:rFonts w:cs="Times New Roman"/>
                <w:i/>
                <w:color w:val="000000" w:themeColor="text1"/>
                <w:sz w:val="18"/>
                <w:szCs w:val="18"/>
                <w:lang w:eastAsia="lv-LV"/>
              </w:rPr>
              <w:t>euro</w:t>
            </w:r>
            <w:proofErr w:type="spellEnd"/>
          </w:p>
        </w:tc>
        <w:tc>
          <w:tcPr>
            <w:tcW w:w="3696" w:type="dxa"/>
            <w:gridSpan w:val="5"/>
            <w:vAlign w:val="center"/>
            <w:hideMark/>
          </w:tcPr>
          <w:p w14:paraId="6A3DC3FD" w14:textId="77777777" w:rsidR="00D21E1F" w:rsidRPr="005346E4" w:rsidRDefault="00D21E1F" w:rsidP="00E05086">
            <w:pPr>
              <w:ind w:firstLine="31"/>
              <w:jc w:val="center"/>
              <w:cnfStyle w:val="100000000000" w:firstRow="1" w:lastRow="0" w:firstColumn="0" w:lastColumn="0" w:oddVBand="0" w:evenVBand="0" w:oddHBand="0" w:evenHBand="0" w:firstRowFirstColumn="0" w:firstRowLastColumn="0" w:lastRowFirstColumn="0" w:lastRowLastColumn="0"/>
              <w:rPr>
                <w:rFonts w:cs="Times New Roman"/>
                <w:bCs w:val="0"/>
                <w:color w:val="000000" w:themeColor="text1"/>
                <w:sz w:val="18"/>
                <w:szCs w:val="18"/>
                <w:lang w:eastAsia="lv-LV"/>
              </w:rPr>
            </w:pPr>
            <w:r w:rsidRPr="005346E4">
              <w:rPr>
                <w:rFonts w:cs="Times New Roman"/>
                <w:color w:val="000000" w:themeColor="text1"/>
                <w:sz w:val="18"/>
                <w:szCs w:val="18"/>
                <w:lang w:eastAsia="lv-LV"/>
              </w:rPr>
              <w:t>% no IKP</w:t>
            </w:r>
          </w:p>
        </w:tc>
      </w:tr>
      <w:tr w:rsidR="00D21E1F" w:rsidRPr="005346E4" w14:paraId="5FF30FDE" w14:textId="77777777" w:rsidTr="007306F1">
        <w:trPr>
          <w:cnfStyle w:val="100000000000" w:firstRow="1" w:lastRow="0" w:firstColumn="0" w:lastColumn="0" w:oddVBand="0" w:evenVBand="0" w:oddHBand="0" w:evenHBand="0" w:firstRowFirstColumn="0" w:firstRowLastColumn="0" w:lastRowFirstColumn="0" w:lastRowLastColumn="0"/>
          <w:trHeight w:val="225"/>
          <w:tblHeader/>
          <w:jc w:val="center"/>
        </w:trPr>
        <w:tc>
          <w:tcPr>
            <w:cnfStyle w:val="001000000000" w:firstRow="0" w:lastRow="0" w:firstColumn="1" w:lastColumn="0" w:oddVBand="0" w:evenVBand="0" w:oddHBand="0" w:evenHBand="0" w:firstRowFirstColumn="0" w:firstRowLastColumn="0" w:lastRowFirstColumn="0" w:lastRowLastColumn="0"/>
            <w:tcW w:w="9224" w:type="dxa"/>
            <w:gridSpan w:val="8"/>
            <w:vAlign w:val="center"/>
            <w:hideMark/>
          </w:tcPr>
          <w:p w14:paraId="09AD7F23" w14:textId="77777777" w:rsidR="00D21E1F" w:rsidRPr="005346E4" w:rsidRDefault="00D21E1F" w:rsidP="00E05086">
            <w:pPr>
              <w:ind w:firstLine="31"/>
              <w:jc w:val="center"/>
              <w:rPr>
                <w:rFonts w:cs="Times New Roman"/>
                <w:color w:val="000000" w:themeColor="text1"/>
                <w:sz w:val="18"/>
                <w:szCs w:val="18"/>
                <w:lang w:eastAsia="lv-LV"/>
              </w:rPr>
            </w:pPr>
            <w:r w:rsidRPr="005346E4">
              <w:rPr>
                <w:rFonts w:cs="Times New Roman"/>
                <w:color w:val="000000" w:themeColor="text1"/>
                <w:sz w:val="18"/>
                <w:szCs w:val="18"/>
                <w:lang w:eastAsia="lv-LV"/>
              </w:rPr>
              <w:t xml:space="preserve">Neto aizdevumi (+) vai aizņēmumi (–) (B.9) pa </w:t>
            </w:r>
            <w:proofErr w:type="spellStart"/>
            <w:r w:rsidRPr="005346E4">
              <w:rPr>
                <w:rFonts w:cs="Times New Roman"/>
                <w:color w:val="000000" w:themeColor="text1"/>
                <w:sz w:val="18"/>
                <w:szCs w:val="18"/>
                <w:lang w:eastAsia="lv-LV"/>
              </w:rPr>
              <w:t>apakšsektoriem</w:t>
            </w:r>
            <w:proofErr w:type="spellEnd"/>
          </w:p>
        </w:tc>
      </w:tr>
    </w:tbl>
    <w:tbl>
      <w:tblPr>
        <w:tblStyle w:val="GridTable6Colorful-Accent114"/>
        <w:tblW w:w="9229" w:type="dxa"/>
        <w:jc w:val="center"/>
        <w:tblLayout w:type="fixed"/>
        <w:tblLook w:val="04A0" w:firstRow="1" w:lastRow="0" w:firstColumn="1" w:lastColumn="0" w:noHBand="0" w:noVBand="1"/>
      </w:tblPr>
      <w:tblGrid>
        <w:gridCol w:w="3265"/>
        <w:gridCol w:w="1134"/>
        <w:gridCol w:w="1134"/>
        <w:gridCol w:w="861"/>
        <w:gridCol w:w="708"/>
        <w:gridCol w:w="709"/>
        <w:gridCol w:w="709"/>
        <w:gridCol w:w="709"/>
      </w:tblGrid>
      <w:tr w:rsidR="00D21E1F" w:rsidRPr="005346E4" w14:paraId="7DD9C37F" w14:textId="77777777" w:rsidTr="007306F1">
        <w:trPr>
          <w:cnfStyle w:val="100000000000" w:firstRow="1" w:lastRow="0" w:firstColumn="0" w:lastColumn="0" w:oddVBand="0" w:evenVBand="0" w:oddHBand="0" w:evenHBand="0" w:firstRowFirstColumn="0" w:firstRowLastColumn="0" w:lastRowFirstColumn="0" w:lastRowLastColumn="0"/>
          <w:trHeight w:val="60"/>
          <w:jc w:val="center"/>
        </w:trPr>
        <w:tc>
          <w:tcPr>
            <w:cnfStyle w:val="001000000000" w:firstRow="0" w:lastRow="0" w:firstColumn="1" w:lastColumn="0" w:oddVBand="0" w:evenVBand="0" w:oddHBand="0" w:evenHBand="0" w:firstRowFirstColumn="0" w:firstRowLastColumn="0" w:lastRowFirstColumn="0" w:lastRowLastColumn="0"/>
            <w:tcW w:w="3265" w:type="dxa"/>
            <w:hideMark/>
          </w:tcPr>
          <w:p w14:paraId="0AB4B3A9" w14:textId="77777777" w:rsidR="00D21E1F" w:rsidRPr="005346E4" w:rsidRDefault="00D21E1F" w:rsidP="00D21E1F">
            <w:pPr>
              <w:ind w:firstLine="31"/>
              <w:rPr>
                <w:rFonts w:cs="Times New Roman"/>
                <w:color w:val="000000" w:themeColor="text1"/>
                <w:sz w:val="18"/>
                <w:szCs w:val="18"/>
                <w:lang w:eastAsia="lv-LV"/>
              </w:rPr>
            </w:pPr>
            <w:r w:rsidRPr="005346E4">
              <w:rPr>
                <w:rFonts w:cs="Times New Roman"/>
                <w:color w:val="000000" w:themeColor="text1"/>
                <w:sz w:val="18"/>
                <w:szCs w:val="18"/>
                <w:lang w:eastAsia="lv-LV"/>
              </w:rPr>
              <w:t>1. Vispārējā valdība</w:t>
            </w:r>
          </w:p>
        </w:tc>
        <w:tc>
          <w:tcPr>
            <w:tcW w:w="1134" w:type="dxa"/>
            <w:vAlign w:val="center"/>
            <w:hideMark/>
          </w:tcPr>
          <w:p w14:paraId="515CFF1C" w14:textId="77777777" w:rsidR="00D21E1F" w:rsidRPr="00C1707D" w:rsidRDefault="00D21E1F" w:rsidP="00D21E1F">
            <w:pPr>
              <w:ind w:firstLine="31"/>
              <w:jc w:val="center"/>
              <w:cnfStyle w:val="100000000000" w:firstRow="1" w:lastRow="0" w:firstColumn="0" w:lastColumn="0" w:oddVBand="0" w:evenVBand="0" w:oddHBand="0" w:evenHBand="0" w:firstRowFirstColumn="0" w:firstRowLastColumn="0" w:lastRowFirstColumn="0" w:lastRowLastColumn="0"/>
              <w:rPr>
                <w:rFonts w:cs="Times New Roman"/>
                <w:b w:val="0"/>
                <w:bCs w:val="0"/>
                <w:color w:val="000000" w:themeColor="text1"/>
                <w:sz w:val="18"/>
                <w:szCs w:val="18"/>
                <w:lang w:eastAsia="lv-LV"/>
              </w:rPr>
            </w:pPr>
            <w:r w:rsidRPr="00C1707D">
              <w:rPr>
                <w:rFonts w:cs="Times New Roman"/>
                <w:b w:val="0"/>
                <w:bCs w:val="0"/>
                <w:color w:val="000000" w:themeColor="text1"/>
                <w:sz w:val="18"/>
                <w:szCs w:val="18"/>
                <w:lang w:eastAsia="lv-LV"/>
              </w:rPr>
              <w:t>S.13</w:t>
            </w:r>
          </w:p>
        </w:tc>
        <w:tc>
          <w:tcPr>
            <w:tcW w:w="1134" w:type="dxa"/>
            <w:vAlign w:val="center"/>
          </w:tcPr>
          <w:p w14:paraId="77B3AF28" w14:textId="29082D83" w:rsidR="00D21E1F" w:rsidRPr="00C1707D" w:rsidRDefault="00D21E1F" w:rsidP="00D21E1F">
            <w:pPr>
              <w:ind w:firstLine="31"/>
              <w:jc w:val="center"/>
              <w:cnfStyle w:val="100000000000" w:firstRow="1" w:lastRow="0" w:firstColumn="0" w:lastColumn="0" w:oddVBand="0" w:evenVBand="0" w:oddHBand="0" w:evenHBand="0" w:firstRowFirstColumn="0" w:firstRowLastColumn="0" w:lastRowFirstColumn="0" w:lastRowLastColumn="0"/>
              <w:rPr>
                <w:rFonts w:cs="Times New Roman"/>
                <w:b w:val="0"/>
                <w:bCs w:val="0"/>
                <w:color w:val="000000" w:themeColor="text1"/>
                <w:sz w:val="18"/>
                <w:szCs w:val="18"/>
                <w:lang w:eastAsia="lv-LV"/>
              </w:rPr>
            </w:pPr>
            <w:r w:rsidRPr="00C1707D">
              <w:rPr>
                <w:b w:val="0"/>
                <w:bCs w:val="0"/>
                <w:color w:val="000000" w:themeColor="text1"/>
                <w:sz w:val="18"/>
                <w:szCs w:val="18"/>
              </w:rPr>
              <w:t>-1 838,8</w:t>
            </w:r>
          </w:p>
        </w:tc>
        <w:tc>
          <w:tcPr>
            <w:tcW w:w="861" w:type="dxa"/>
            <w:vAlign w:val="center"/>
          </w:tcPr>
          <w:p w14:paraId="43539781" w14:textId="39C6C9DD" w:rsidR="00D21E1F" w:rsidRPr="00C1707D" w:rsidRDefault="00D21E1F" w:rsidP="00D21E1F">
            <w:pPr>
              <w:ind w:firstLine="31"/>
              <w:jc w:val="center"/>
              <w:cnfStyle w:val="100000000000" w:firstRow="1" w:lastRow="0" w:firstColumn="0" w:lastColumn="0" w:oddVBand="0" w:evenVBand="0" w:oddHBand="0" w:evenHBand="0" w:firstRowFirstColumn="0" w:firstRowLastColumn="0" w:lastRowFirstColumn="0" w:lastRowLastColumn="0"/>
              <w:rPr>
                <w:rFonts w:cs="Times New Roman"/>
                <w:b w:val="0"/>
                <w:bCs w:val="0"/>
                <w:color w:val="000000" w:themeColor="text1"/>
                <w:sz w:val="18"/>
                <w:szCs w:val="18"/>
                <w:lang w:eastAsia="lv-LV"/>
              </w:rPr>
            </w:pPr>
            <w:r w:rsidRPr="00C1707D">
              <w:rPr>
                <w:b w:val="0"/>
                <w:bCs w:val="0"/>
                <w:color w:val="000000" w:themeColor="text1"/>
                <w:sz w:val="18"/>
                <w:szCs w:val="18"/>
              </w:rPr>
              <w:t>-4,7</w:t>
            </w:r>
          </w:p>
        </w:tc>
        <w:tc>
          <w:tcPr>
            <w:tcW w:w="708" w:type="dxa"/>
            <w:vAlign w:val="center"/>
          </w:tcPr>
          <w:p w14:paraId="78E80102" w14:textId="1A3B03DF" w:rsidR="00D21E1F" w:rsidRPr="00C1707D" w:rsidRDefault="00D21E1F" w:rsidP="00D21E1F">
            <w:pPr>
              <w:ind w:firstLine="31"/>
              <w:jc w:val="center"/>
              <w:cnfStyle w:val="100000000000" w:firstRow="1" w:lastRow="0" w:firstColumn="0" w:lastColumn="0" w:oddVBand="0" w:evenVBand="0" w:oddHBand="0" w:evenHBand="0" w:firstRowFirstColumn="0" w:firstRowLastColumn="0" w:lastRowFirstColumn="0" w:lastRowLastColumn="0"/>
              <w:rPr>
                <w:rFonts w:cs="Times New Roman"/>
                <w:b w:val="0"/>
                <w:bCs w:val="0"/>
                <w:color w:val="000000" w:themeColor="text1"/>
                <w:sz w:val="18"/>
                <w:szCs w:val="18"/>
                <w:lang w:eastAsia="lv-LV"/>
              </w:rPr>
            </w:pPr>
            <w:r w:rsidRPr="00C1707D">
              <w:rPr>
                <w:b w:val="0"/>
                <w:bCs w:val="0"/>
                <w:color w:val="000000" w:themeColor="text1"/>
                <w:sz w:val="18"/>
                <w:szCs w:val="18"/>
              </w:rPr>
              <w:t>-4,0</w:t>
            </w:r>
          </w:p>
        </w:tc>
        <w:tc>
          <w:tcPr>
            <w:tcW w:w="709" w:type="dxa"/>
            <w:vAlign w:val="center"/>
          </w:tcPr>
          <w:p w14:paraId="777B9F10" w14:textId="65103AA8" w:rsidR="00D21E1F" w:rsidRPr="00C1707D" w:rsidRDefault="00D21E1F" w:rsidP="00D21E1F">
            <w:pPr>
              <w:ind w:firstLine="31"/>
              <w:jc w:val="center"/>
              <w:cnfStyle w:val="100000000000" w:firstRow="1" w:lastRow="0" w:firstColumn="0" w:lastColumn="0" w:oddVBand="0" w:evenVBand="0" w:oddHBand="0" w:evenHBand="0" w:firstRowFirstColumn="0" w:firstRowLastColumn="0" w:lastRowFirstColumn="0" w:lastRowLastColumn="0"/>
              <w:rPr>
                <w:rFonts w:cs="Times New Roman"/>
                <w:b w:val="0"/>
                <w:bCs w:val="0"/>
                <w:color w:val="000000" w:themeColor="text1"/>
                <w:sz w:val="18"/>
                <w:szCs w:val="18"/>
                <w:lang w:eastAsia="lv-LV"/>
              </w:rPr>
            </w:pPr>
            <w:r w:rsidRPr="00C1707D">
              <w:rPr>
                <w:b w:val="0"/>
                <w:bCs w:val="0"/>
                <w:color w:val="000000" w:themeColor="text1"/>
                <w:sz w:val="18"/>
                <w:szCs w:val="18"/>
              </w:rPr>
              <w:t>-2,5</w:t>
            </w:r>
          </w:p>
        </w:tc>
        <w:tc>
          <w:tcPr>
            <w:tcW w:w="709" w:type="dxa"/>
            <w:vAlign w:val="center"/>
          </w:tcPr>
          <w:p w14:paraId="5C921409" w14:textId="3AA72529" w:rsidR="00D21E1F" w:rsidRPr="00C1707D" w:rsidRDefault="00D21E1F" w:rsidP="00D21E1F">
            <w:pPr>
              <w:ind w:firstLine="31"/>
              <w:jc w:val="center"/>
              <w:cnfStyle w:val="100000000000" w:firstRow="1" w:lastRow="0" w:firstColumn="0" w:lastColumn="0" w:oddVBand="0" w:evenVBand="0" w:oddHBand="0" w:evenHBand="0" w:firstRowFirstColumn="0" w:firstRowLastColumn="0" w:lastRowFirstColumn="0" w:lastRowLastColumn="0"/>
              <w:rPr>
                <w:rFonts w:cs="Times New Roman"/>
                <w:b w:val="0"/>
                <w:bCs w:val="0"/>
                <w:color w:val="000000" w:themeColor="text1"/>
                <w:sz w:val="18"/>
                <w:szCs w:val="18"/>
                <w:lang w:eastAsia="lv-LV"/>
              </w:rPr>
            </w:pPr>
            <w:r w:rsidRPr="00C1707D">
              <w:rPr>
                <w:b w:val="0"/>
                <w:bCs w:val="0"/>
                <w:color w:val="000000" w:themeColor="text1"/>
                <w:sz w:val="18"/>
                <w:szCs w:val="18"/>
              </w:rPr>
              <w:t>-2,2</w:t>
            </w:r>
          </w:p>
        </w:tc>
        <w:tc>
          <w:tcPr>
            <w:tcW w:w="709" w:type="dxa"/>
            <w:vAlign w:val="center"/>
          </w:tcPr>
          <w:p w14:paraId="6B177469" w14:textId="39495F7A" w:rsidR="00D21E1F" w:rsidRPr="00C1707D" w:rsidRDefault="00D21E1F" w:rsidP="00D21E1F">
            <w:pPr>
              <w:ind w:firstLine="31"/>
              <w:jc w:val="center"/>
              <w:cnfStyle w:val="100000000000" w:firstRow="1" w:lastRow="0" w:firstColumn="0" w:lastColumn="0" w:oddVBand="0" w:evenVBand="0" w:oddHBand="0" w:evenHBand="0" w:firstRowFirstColumn="0" w:firstRowLastColumn="0" w:lastRowFirstColumn="0" w:lastRowLastColumn="0"/>
              <w:rPr>
                <w:rFonts w:cs="Times New Roman"/>
                <w:b w:val="0"/>
                <w:bCs w:val="0"/>
                <w:color w:val="000000" w:themeColor="text1"/>
                <w:sz w:val="18"/>
                <w:szCs w:val="18"/>
                <w:lang w:eastAsia="lv-LV"/>
              </w:rPr>
            </w:pPr>
            <w:r w:rsidRPr="00C1707D">
              <w:rPr>
                <w:b w:val="0"/>
                <w:bCs w:val="0"/>
                <w:color w:val="000000" w:themeColor="text1"/>
                <w:sz w:val="18"/>
                <w:szCs w:val="18"/>
              </w:rPr>
              <w:t>-0,7</w:t>
            </w:r>
          </w:p>
        </w:tc>
      </w:tr>
      <w:tr w:rsidR="00D21E1F" w:rsidRPr="005346E4" w14:paraId="4B2764DC" w14:textId="77777777" w:rsidTr="007306F1">
        <w:trPr>
          <w:cnfStyle w:val="000000100000" w:firstRow="0" w:lastRow="0" w:firstColumn="0" w:lastColumn="0" w:oddVBand="0" w:evenVBand="0" w:oddHBand="1" w:evenHBand="0" w:firstRowFirstColumn="0" w:firstRowLastColumn="0" w:lastRowFirstColumn="0" w:lastRowLastColumn="0"/>
          <w:trHeight w:val="72"/>
          <w:jc w:val="center"/>
        </w:trPr>
        <w:tc>
          <w:tcPr>
            <w:cnfStyle w:val="001000000000" w:firstRow="0" w:lastRow="0" w:firstColumn="1" w:lastColumn="0" w:oddVBand="0" w:evenVBand="0" w:oddHBand="0" w:evenHBand="0" w:firstRowFirstColumn="0" w:firstRowLastColumn="0" w:lastRowFirstColumn="0" w:lastRowLastColumn="0"/>
            <w:tcW w:w="3265" w:type="dxa"/>
            <w:hideMark/>
          </w:tcPr>
          <w:p w14:paraId="262DD9F2" w14:textId="77777777" w:rsidR="00D21E1F" w:rsidRPr="005346E4" w:rsidRDefault="00D21E1F" w:rsidP="00D21E1F">
            <w:pPr>
              <w:ind w:firstLine="31"/>
              <w:rPr>
                <w:rFonts w:cs="Times New Roman"/>
                <w:color w:val="000000" w:themeColor="text1"/>
                <w:sz w:val="18"/>
                <w:szCs w:val="18"/>
                <w:lang w:eastAsia="lv-LV"/>
              </w:rPr>
            </w:pPr>
            <w:r w:rsidRPr="005346E4">
              <w:rPr>
                <w:rFonts w:cs="Times New Roman"/>
                <w:color w:val="000000" w:themeColor="text1"/>
                <w:sz w:val="18"/>
                <w:szCs w:val="18"/>
                <w:lang w:eastAsia="lv-LV"/>
              </w:rPr>
              <w:t>2. Centrālā valdība</w:t>
            </w:r>
          </w:p>
        </w:tc>
        <w:tc>
          <w:tcPr>
            <w:tcW w:w="1134" w:type="dxa"/>
            <w:vAlign w:val="center"/>
            <w:hideMark/>
          </w:tcPr>
          <w:p w14:paraId="480EE7AA" w14:textId="77777777" w:rsidR="00D21E1F" w:rsidRPr="005346E4" w:rsidRDefault="00D21E1F" w:rsidP="00D21E1F">
            <w:pPr>
              <w:ind w:firstLine="31"/>
              <w:jc w:val="center"/>
              <w:cnfStyle w:val="000000100000" w:firstRow="0" w:lastRow="0" w:firstColumn="0" w:lastColumn="0" w:oddVBand="0" w:evenVBand="0" w:oddHBand="1" w:evenHBand="0" w:firstRowFirstColumn="0" w:firstRowLastColumn="0" w:lastRowFirstColumn="0" w:lastRowLastColumn="0"/>
              <w:rPr>
                <w:rFonts w:cs="Times New Roman"/>
                <w:bCs/>
                <w:color w:val="000000" w:themeColor="text1"/>
                <w:sz w:val="18"/>
                <w:szCs w:val="18"/>
                <w:lang w:eastAsia="lv-LV"/>
              </w:rPr>
            </w:pPr>
            <w:r w:rsidRPr="005346E4">
              <w:rPr>
                <w:rFonts w:cs="Times New Roman"/>
                <w:bCs/>
                <w:color w:val="000000" w:themeColor="text1"/>
                <w:sz w:val="18"/>
                <w:szCs w:val="18"/>
                <w:lang w:eastAsia="lv-LV"/>
              </w:rPr>
              <w:t>S.1311</w:t>
            </w:r>
          </w:p>
        </w:tc>
        <w:tc>
          <w:tcPr>
            <w:tcW w:w="1134" w:type="dxa"/>
            <w:vAlign w:val="center"/>
          </w:tcPr>
          <w:p w14:paraId="7EDA3AEC" w14:textId="4EE08D08" w:rsidR="00D21E1F" w:rsidRPr="00D21E1F" w:rsidRDefault="00D21E1F" w:rsidP="00D21E1F">
            <w:pPr>
              <w:ind w:firstLine="31"/>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-2 157,8</w:t>
            </w:r>
          </w:p>
        </w:tc>
        <w:tc>
          <w:tcPr>
            <w:tcW w:w="861" w:type="dxa"/>
            <w:vAlign w:val="center"/>
          </w:tcPr>
          <w:p w14:paraId="15136B98" w14:textId="178F5136" w:rsidR="00D21E1F" w:rsidRPr="00D21E1F" w:rsidRDefault="00D21E1F" w:rsidP="00D21E1F">
            <w:pPr>
              <w:ind w:firstLine="31"/>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-5,5</w:t>
            </w:r>
          </w:p>
        </w:tc>
        <w:tc>
          <w:tcPr>
            <w:tcW w:w="708" w:type="dxa"/>
            <w:vAlign w:val="center"/>
          </w:tcPr>
          <w:p w14:paraId="25136370" w14:textId="702B4E45" w:rsidR="00D21E1F" w:rsidRPr="00D21E1F" w:rsidRDefault="00D21E1F" w:rsidP="00D21E1F">
            <w:pPr>
              <w:ind w:firstLine="31"/>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-4,2</w:t>
            </w:r>
          </w:p>
        </w:tc>
        <w:tc>
          <w:tcPr>
            <w:tcW w:w="709" w:type="dxa"/>
            <w:vAlign w:val="center"/>
          </w:tcPr>
          <w:p w14:paraId="73DA8285" w14:textId="48669C1C" w:rsidR="00D21E1F" w:rsidRPr="00D21E1F" w:rsidRDefault="00D21E1F" w:rsidP="00D21E1F">
            <w:pPr>
              <w:ind w:firstLine="31"/>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-2,9</w:t>
            </w:r>
          </w:p>
        </w:tc>
        <w:tc>
          <w:tcPr>
            <w:tcW w:w="709" w:type="dxa"/>
            <w:vAlign w:val="center"/>
          </w:tcPr>
          <w:p w14:paraId="20CE296C" w14:textId="237FBF81" w:rsidR="00D21E1F" w:rsidRPr="00D21E1F" w:rsidRDefault="00D21E1F" w:rsidP="00D21E1F">
            <w:pPr>
              <w:ind w:firstLine="31"/>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-2,3</w:t>
            </w:r>
          </w:p>
        </w:tc>
        <w:tc>
          <w:tcPr>
            <w:tcW w:w="709" w:type="dxa"/>
            <w:vAlign w:val="center"/>
          </w:tcPr>
          <w:p w14:paraId="2017C683" w14:textId="76E28FD3" w:rsidR="00D21E1F" w:rsidRPr="00D21E1F" w:rsidRDefault="00D21E1F" w:rsidP="00D21E1F">
            <w:pPr>
              <w:ind w:firstLine="31"/>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-0,6</w:t>
            </w:r>
          </w:p>
        </w:tc>
      </w:tr>
      <w:tr w:rsidR="00D21E1F" w:rsidRPr="005346E4" w14:paraId="22CF49B3" w14:textId="77777777" w:rsidTr="007306F1">
        <w:trPr>
          <w:trHeight w:val="123"/>
          <w:jc w:val="center"/>
        </w:trPr>
        <w:tc>
          <w:tcPr>
            <w:cnfStyle w:val="001000000000" w:firstRow="0" w:lastRow="0" w:firstColumn="1" w:lastColumn="0" w:oddVBand="0" w:evenVBand="0" w:oddHBand="0" w:evenHBand="0" w:firstRowFirstColumn="0" w:firstRowLastColumn="0" w:lastRowFirstColumn="0" w:lastRowLastColumn="0"/>
            <w:tcW w:w="3265" w:type="dxa"/>
            <w:hideMark/>
          </w:tcPr>
          <w:p w14:paraId="41551A86" w14:textId="77777777" w:rsidR="00D21E1F" w:rsidRPr="005346E4" w:rsidRDefault="00D21E1F" w:rsidP="00D21E1F">
            <w:pPr>
              <w:ind w:firstLine="31"/>
              <w:rPr>
                <w:rFonts w:cs="Times New Roman"/>
                <w:color w:val="000000" w:themeColor="text1"/>
                <w:sz w:val="18"/>
                <w:szCs w:val="18"/>
                <w:lang w:eastAsia="lv-LV"/>
              </w:rPr>
            </w:pPr>
            <w:r w:rsidRPr="005346E4">
              <w:rPr>
                <w:rFonts w:cs="Times New Roman"/>
                <w:color w:val="000000" w:themeColor="text1"/>
                <w:sz w:val="18"/>
                <w:szCs w:val="18"/>
                <w:lang w:eastAsia="lv-LV"/>
              </w:rPr>
              <w:t>3. Pavalsts valdība</w:t>
            </w:r>
          </w:p>
        </w:tc>
        <w:tc>
          <w:tcPr>
            <w:tcW w:w="1134" w:type="dxa"/>
            <w:vAlign w:val="center"/>
            <w:hideMark/>
          </w:tcPr>
          <w:p w14:paraId="78E74EE8" w14:textId="77777777" w:rsidR="00D21E1F" w:rsidRPr="005346E4" w:rsidRDefault="00D21E1F" w:rsidP="00D21E1F">
            <w:pPr>
              <w:ind w:firstLine="31"/>
              <w:jc w:val="center"/>
              <w:cnfStyle w:val="000000000000" w:firstRow="0" w:lastRow="0" w:firstColumn="0" w:lastColumn="0" w:oddVBand="0" w:evenVBand="0" w:oddHBand="0" w:evenHBand="0" w:firstRowFirstColumn="0" w:firstRowLastColumn="0" w:lastRowFirstColumn="0" w:lastRowLastColumn="0"/>
              <w:rPr>
                <w:rFonts w:cs="Times New Roman"/>
                <w:bCs/>
                <w:color w:val="000000" w:themeColor="text1"/>
                <w:sz w:val="18"/>
                <w:szCs w:val="18"/>
                <w:lang w:eastAsia="lv-LV"/>
              </w:rPr>
            </w:pPr>
            <w:r w:rsidRPr="005346E4">
              <w:rPr>
                <w:rFonts w:cs="Times New Roman"/>
                <w:bCs/>
                <w:color w:val="000000" w:themeColor="text1"/>
                <w:sz w:val="18"/>
                <w:szCs w:val="18"/>
                <w:lang w:eastAsia="lv-LV"/>
              </w:rPr>
              <w:t>S.1312</w:t>
            </w:r>
          </w:p>
        </w:tc>
        <w:tc>
          <w:tcPr>
            <w:tcW w:w="1134" w:type="dxa"/>
            <w:vAlign w:val="center"/>
          </w:tcPr>
          <w:p w14:paraId="5CCB1E61" w14:textId="6CB49B4B" w:rsidR="00D21E1F" w:rsidRPr="00D21E1F" w:rsidRDefault="00D21E1F" w:rsidP="00D21E1F">
            <w:pPr>
              <w:ind w:firstLine="31"/>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 </w:t>
            </w:r>
          </w:p>
        </w:tc>
        <w:tc>
          <w:tcPr>
            <w:tcW w:w="861" w:type="dxa"/>
            <w:vAlign w:val="center"/>
          </w:tcPr>
          <w:p w14:paraId="77595211" w14:textId="67B68002" w:rsidR="00D21E1F" w:rsidRPr="00D21E1F" w:rsidRDefault="00D21E1F" w:rsidP="00D21E1F">
            <w:pPr>
              <w:ind w:firstLine="31"/>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 </w:t>
            </w:r>
          </w:p>
        </w:tc>
        <w:tc>
          <w:tcPr>
            <w:tcW w:w="708" w:type="dxa"/>
            <w:vAlign w:val="center"/>
          </w:tcPr>
          <w:p w14:paraId="38AE466B" w14:textId="5F59BEFE" w:rsidR="00D21E1F" w:rsidRPr="00D21E1F" w:rsidRDefault="00D21E1F" w:rsidP="00D21E1F">
            <w:pPr>
              <w:ind w:firstLine="31"/>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 </w:t>
            </w:r>
          </w:p>
        </w:tc>
        <w:tc>
          <w:tcPr>
            <w:tcW w:w="709" w:type="dxa"/>
            <w:vAlign w:val="center"/>
          </w:tcPr>
          <w:p w14:paraId="10D0549C" w14:textId="1100F031" w:rsidR="00D21E1F" w:rsidRPr="00D21E1F" w:rsidRDefault="00D21E1F" w:rsidP="00D21E1F">
            <w:pPr>
              <w:ind w:firstLine="31"/>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 </w:t>
            </w:r>
          </w:p>
        </w:tc>
        <w:tc>
          <w:tcPr>
            <w:tcW w:w="709" w:type="dxa"/>
            <w:vAlign w:val="center"/>
          </w:tcPr>
          <w:p w14:paraId="234AA111" w14:textId="6C0B3A13" w:rsidR="00D21E1F" w:rsidRPr="00D21E1F" w:rsidRDefault="00D21E1F" w:rsidP="00D21E1F">
            <w:pPr>
              <w:ind w:firstLine="31"/>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 </w:t>
            </w:r>
          </w:p>
        </w:tc>
        <w:tc>
          <w:tcPr>
            <w:tcW w:w="709" w:type="dxa"/>
            <w:vAlign w:val="center"/>
          </w:tcPr>
          <w:p w14:paraId="0111CC17" w14:textId="05BFE68A" w:rsidR="00D21E1F" w:rsidRPr="00D21E1F" w:rsidRDefault="00D21E1F" w:rsidP="00D21E1F">
            <w:pPr>
              <w:ind w:firstLine="31"/>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 </w:t>
            </w:r>
          </w:p>
        </w:tc>
      </w:tr>
      <w:tr w:rsidR="00D21E1F" w:rsidRPr="005346E4" w14:paraId="16022766" w14:textId="77777777" w:rsidTr="007306F1">
        <w:trPr>
          <w:cnfStyle w:val="000000100000" w:firstRow="0" w:lastRow="0" w:firstColumn="0" w:lastColumn="0" w:oddVBand="0" w:evenVBand="0" w:oddHBand="1" w:evenHBand="0" w:firstRowFirstColumn="0" w:firstRowLastColumn="0" w:lastRowFirstColumn="0" w:lastRowLastColumn="0"/>
          <w:trHeight w:val="54"/>
          <w:jc w:val="center"/>
        </w:trPr>
        <w:tc>
          <w:tcPr>
            <w:cnfStyle w:val="001000000000" w:firstRow="0" w:lastRow="0" w:firstColumn="1" w:lastColumn="0" w:oddVBand="0" w:evenVBand="0" w:oddHBand="0" w:evenHBand="0" w:firstRowFirstColumn="0" w:firstRowLastColumn="0" w:lastRowFirstColumn="0" w:lastRowLastColumn="0"/>
            <w:tcW w:w="3265" w:type="dxa"/>
            <w:hideMark/>
          </w:tcPr>
          <w:p w14:paraId="054B2C7A" w14:textId="77777777" w:rsidR="00D21E1F" w:rsidRPr="005346E4" w:rsidRDefault="00D21E1F" w:rsidP="00D21E1F">
            <w:pPr>
              <w:ind w:firstLine="31"/>
              <w:rPr>
                <w:rFonts w:cs="Times New Roman"/>
                <w:color w:val="000000" w:themeColor="text1"/>
                <w:sz w:val="18"/>
                <w:szCs w:val="18"/>
                <w:lang w:eastAsia="lv-LV"/>
              </w:rPr>
            </w:pPr>
            <w:r w:rsidRPr="005346E4">
              <w:rPr>
                <w:rFonts w:cs="Times New Roman"/>
                <w:color w:val="000000" w:themeColor="text1"/>
                <w:sz w:val="18"/>
                <w:szCs w:val="18"/>
                <w:lang w:eastAsia="lv-LV"/>
              </w:rPr>
              <w:t>4. Vietējā valdība</w:t>
            </w:r>
          </w:p>
        </w:tc>
        <w:tc>
          <w:tcPr>
            <w:tcW w:w="1134" w:type="dxa"/>
            <w:vAlign w:val="center"/>
            <w:hideMark/>
          </w:tcPr>
          <w:p w14:paraId="2FF5F822" w14:textId="77777777" w:rsidR="00D21E1F" w:rsidRPr="005346E4" w:rsidRDefault="00D21E1F" w:rsidP="00D21E1F">
            <w:pPr>
              <w:ind w:firstLine="31"/>
              <w:jc w:val="center"/>
              <w:cnfStyle w:val="000000100000" w:firstRow="0" w:lastRow="0" w:firstColumn="0" w:lastColumn="0" w:oddVBand="0" w:evenVBand="0" w:oddHBand="1" w:evenHBand="0" w:firstRowFirstColumn="0" w:firstRowLastColumn="0" w:lastRowFirstColumn="0" w:lastRowLastColumn="0"/>
              <w:rPr>
                <w:rFonts w:cs="Times New Roman"/>
                <w:bCs/>
                <w:color w:val="000000" w:themeColor="text1"/>
                <w:sz w:val="18"/>
                <w:szCs w:val="18"/>
                <w:lang w:eastAsia="lv-LV"/>
              </w:rPr>
            </w:pPr>
            <w:r w:rsidRPr="005346E4">
              <w:rPr>
                <w:rFonts w:cs="Times New Roman"/>
                <w:bCs/>
                <w:color w:val="000000" w:themeColor="text1"/>
                <w:sz w:val="18"/>
                <w:szCs w:val="18"/>
                <w:lang w:eastAsia="lv-LV"/>
              </w:rPr>
              <w:t>S.1313</w:t>
            </w:r>
          </w:p>
        </w:tc>
        <w:tc>
          <w:tcPr>
            <w:tcW w:w="1134" w:type="dxa"/>
            <w:vAlign w:val="center"/>
          </w:tcPr>
          <w:p w14:paraId="0A3D0E34" w14:textId="2DFBE485" w:rsidR="00D21E1F" w:rsidRPr="00D21E1F" w:rsidRDefault="00D21E1F" w:rsidP="00D21E1F">
            <w:pPr>
              <w:ind w:firstLine="31"/>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50,9</w:t>
            </w:r>
          </w:p>
        </w:tc>
        <w:tc>
          <w:tcPr>
            <w:tcW w:w="861" w:type="dxa"/>
            <w:vAlign w:val="center"/>
          </w:tcPr>
          <w:p w14:paraId="6356948D" w14:textId="337A987C" w:rsidR="00D21E1F" w:rsidRPr="00D21E1F" w:rsidRDefault="00D21E1F" w:rsidP="00D21E1F">
            <w:pPr>
              <w:ind w:firstLine="31"/>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0,1</w:t>
            </w:r>
          </w:p>
        </w:tc>
        <w:tc>
          <w:tcPr>
            <w:tcW w:w="708" w:type="dxa"/>
            <w:vAlign w:val="center"/>
          </w:tcPr>
          <w:p w14:paraId="0B8DDB80" w14:textId="0138A28B" w:rsidR="00D21E1F" w:rsidRPr="00D21E1F" w:rsidRDefault="00D21E1F" w:rsidP="00D21E1F">
            <w:pPr>
              <w:ind w:firstLine="31"/>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-0,1</w:t>
            </w:r>
          </w:p>
        </w:tc>
        <w:tc>
          <w:tcPr>
            <w:tcW w:w="709" w:type="dxa"/>
            <w:vAlign w:val="center"/>
          </w:tcPr>
          <w:p w14:paraId="5C2A7971" w14:textId="74C06BA2" w:rsidR="00D21E1F" w:rsidRPr="00D21E1F" w:rsidRDefault="00D21E1F" w:rsidP="00D21E1F">
            <w:pPr>
              <w:ind w:firstLine="31"/>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0,0</w:t>
            </w:r>
          </w:p>
        </w:tc>
        <w:tc>
          <w:tcPr>
            <w:tcW w:w="709" w:type="dxa"/>
            <w:vAlign w:val="center"/>
          </w:tcPr>
          <w:p w14:paraId="6481C9E0" w14:textId="14EE2E73" w:rsidR="00D21E1F" w:rsidRPr="00D21E1F" w:rsidRDefault="00D21E1F" w:rsidP="00D21E1F">
            <w:pPr>
              <w:ind w:firstLine="31"/>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0,0</w:t>
            </w:r>
          </w:p>
        </w:tc>
        <w:tc>
          <w:tcPr>
            <w:tcW w:w="709" w:type="dxa"/>
            <w:vAlign w:val="center"/>
          </w:tcPr>
          <w:p w14:paraId="622A90CE" w14:textId="1078B5E4" w:rsidR="00D21E1F" w:rsidRPr="00D21E1F" w:rsidRDefault="00D21E1F" w:rsidP="00D21E1F">
            <w:pPr>
              <w:ind w:firstLine="31"/>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0,1</w:t>
            </w:r>
          </w:p>
        </w:tc>
      </w:tr>
      <w:tr w:rsidR="00D21E1F" w:rsidRPr="005346E4" w14:paraId="718F6417" w14:textId="77777777" w:rsidTr="007306F1">
        <w:trPr>
          <w:trHeight w:val="54"/>
          <w:jc w:val="center"/>
        </w:trPr>
        <w:tc>
          <w:tcPr>
            <w:cnfStyle w:val="001000000000" w:firstRow="0" w:lastRow="0" w:firstColumn="1" w:lastColumn="0" w:oddVBand="0" w:evenVBand="0" w:oddHBand="0" w:evenHBand="0" w:firstRowFirstColumn="0" w:firstRowLastColumn="0" w:lastRowFirstColumn="0" w:lastRowLastColumn="0"/>
            <w:tcW w:w="3265" w:type="dxa"/>
            <w:hideMark/>
          </w:tcPr>
          <w:p w14:paraId="6BAE317E" w14:textId="77777777" w:rsidR="00D21E1F" w:rsidRPr="005346E4" w:rsidRDefault="00D21E1F" w:rsidP="00D21E1F">
            <w:pPr>
              <w:ind w:firstLine="31"/>
              <w:rPr>
                <w:rFonts w:cs="Times New Roman"/>
                <w:color w:val="000000" w:themeColor="text1"/>
                <w:sz w:val="18"/>
                <w:szCs w:val="18"/>
                <w:lang w:eastAsia="lv-LV"/>
              </w:rPr>
            </w:pPr>
            <w:r w:rsidRPr="005346E4">
              <w:rPr>
                <w:rFonts w:cs="Times New Roman"/>
                <w:color w:val="000000" w:themeColor="text1"/>
                <w:sz w:val="18"/>
                <w:szCs w:val="18"/>
                <w:lang w:eastAsia="lv-LV"/>
              </w:rPr>
              <w:t>5. Sociālās nodrošināšanas fondi</w:t>
            </w:r>
          </w:p>
        </w:tc>
        <w:tc>
          <w:tcPr>
            <w:tcW w:w="1134" w:type="dxa"/>
            <w:vAlign w:val="center"/>
            <w:hideMark/>
          </w:tcPr>
          <w:p w14:paraId="14ADACE1" w14:textId="77777777" w:rsidR="00D21E1F" w:rsidRPr="005346E4" w:rsidRDefault="00D21E1F" w:rsidP="00D21E1F">
            <w:pPr>
              <w:ind w:firstLine="31"/>
              <w:jc w:val="center"/>
              <w:cnfStyle w:val="000000000000" w:firstRow="0" w:lastRow="0" w:firstColumn="0" w:lastColumn="0" w:oddVBand="0" w:evenVBand="0" w:oddHBand="0" w:evenHBand="0" w:firstRowFirstColumn="0" w:firstRowLastColumn="0" w:lastRowFirstColumn="0" w:lastRowLastColumn="0"/>
              <w:rPr>
                <w:rFonts w:cs="Times New Roman"/>
                <w:bCs/>
                <w:color w:val="000000" w:themeColor="text1"/>
                <w:sz w:val="18"/>
                <w:szCs w:val="18"/>
                <w:lang w:eastAsia="lv-LV"/>
              </w:rPr>
            </w:pPr>
            <w:r w:rsidRPr="005346E4">
              <w:rPr>
                <w:rFonts w:cs="Times New Roman"/>
                <w:bCs/>
                <w:color w:val="000000" w:themeColor="text1"/>
                <w:sz w:val="18"/>
                <w:szCs w:val="18"/>
                <w:lang w:eastAsia="lv-LV"/>
              </w:rPr>
              <w:t>S.1314</w:t>
            </w:r>
          </w:p>
        </w:tc>
        <w:tc>
          <w:tcPr>
            <w:tcW w:w="1134" w:type="dxa"/>
            <w:vAlign w:val="center"/>
          </w:tcPr>
          <w:p w14:paraId="65CE0230" w14:textId="01E6A394" w:rsidR="00D21E1F" w:rsidRPr="00D21E1F" w:rsidRDefault="00D21E1F" w:rsidP="00D21E1F">
            <w:pPr>
              <w:ind w:firstLine="31"/>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268,1</w:t>
            </w:r>
          </w:p>
        </w:tc>
        <w:tc>
          <w:tcPr>
            <w:tcW w:w="861" w:type="dxa"/>
            <w:vAlign w:val="center"/>
          </w:tcPr>
          <w:p w14:paraId="2B36CC19" w14:textId="081E1DA4" w:rsidR="00D21E1F" w:rsidRPr="00D21E1F" w:rsidRDefault="00D21E1F" w:rsidP="00D21E1F">
            <w:pPr>
              <w:ind w:firstLine="31"/>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0,7</w:t>
            </w:r>
          </w:p>
        </w:tc>
        <w:tc>
          <w:tcPr>
            <w:tcW w:w="708" w:type="dxa"/>
            <w:vAlign w:val="center"/>
          </w:tcPr>
          <w:p w14:paraId="70409AB2" w14:textId="0663CAE4" w:rsidR="00D21E1F" w:rsidRPr="00D21E1F" w:rsidRDefault="00D21E1F" w:rsidP="00D21E1F">
            <w:pPr>
              <w:ind w:firstLine="31"/>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0,3</w:t>
            </w:r>
          </w:p>
        </w:tc>
        <w:tc>
          <w:tcPr>
            <w:tcW w:w="709" w:type="dxa"/>
            <w:vAlign w:val="center"/>
          </w:tcPr>
          <w:p w14:paraId="797B80AB" w14:textId="3D6B3AAD" w:rsidR="00D21E1F" w:rsidRPr="00D21E1F" w:rsidRDefault="00D21E1F" w:rsidP="00D21E1F">
            <w:pPr>
              <w:ind w:firstLine="31"/>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0,3</w:t>
            </w:r>
          </w:p>
        </w:tc>
        <w:tc>
          <w:tcPr>
            <w:tcW w:w="709" w:type="dxa"/>
            <w:vAlign w:val="center"/>
          </w:tcPr>
          <w:p w14:paraId="12041071" w14:textId="55B6CFB9" w:rsidR="00D21E1F" w:rsidRPr="00D21E1F" w:rsidRDefault="00D21E1F" w:rsidP="00D21E1F">
            <w:pPr>
              <w:ind w:firstLine="31"/>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0,2</w:t>
            </w:r>
          </w:p>
        </w:tc>
        <w:tc>
          <w:tcPr>
            <w:tcW w:w="709" w:type="dxa"/>
            <w:vAlign w:val="center"/>
          </w:tcPr>
          <w:p w14:paraId="40F77D51" w14:textId="614BCD16" w:rsidR="00D21E1F" w:rsidRPr="00D21E1F" w:rsidRDefault="00D21E1F" w:rsidP="00D21E1F">
            <w:pPr>
              <w:ind w:firstLine="31"/>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-0,1</w:t>
            </w:r>
          </w:p>
        </w:tc>
      </w:tr>
    </w:tbl>
    <w:tbl>
      <w:tblPr>
        <w:tblStyle w:val="GridTable6Colorful-Accent113"/>
        <w:tblW w:w="9229" w:type="dxa"/>
        <w:jc w:val="center"/>
        <w:tblLayout w:type="fixed"/>
        <w:tblLook w:val="04A0" w:firstRow="1" w:lastRow="0" w:firstColumn="1" w:lastColumn="0" w:noHBand="0" w:noVBand="1"/>
      </w:tblPr>
      <w:tblGrid>
        <w:gridCol w:w="9229"/>
      </w:tblGrid>
      <w:tr w:rsidR="00D21E1F" w:rsidRPr="00AC2541" w14:paraId="00AE0D84" w14:textId="77777777" w:rsidTr="007306F1">
        <w:trPr>
          <w:cnfStyle w:val="100000000000" w:firstRow="1" w:lastRow="0" w:firstColumn="0" w:lastColumn="0" w:oddVBand="0" w:evenVBand="0" w:oddHBand="0" w:evenHBand="0" w:firstRowFirstColumn="0" w:firstRowLastColumn="0" w:lastRowFirstColumn="0" w:lastRowLastColumn="0"/>
          <w:trHeight w:val="203"/>
          <w:jc w:val="center"/>
        </w:trPr>
        <w:tc>
          <w:tcPr>
            <w:cnfStyle w:val="001000000000" w:firstRow="0" w:lastRow="0" w:firstColumn="1" w:lastColumn="0" w:oddVBand="0" w:evenVBand="0" w:oddHBand="0" w:evenHBand="0" w:firstRowFirstColumn="0" w:firstRowLastColumn="0" w:lastRowFirstColumn="0" w:lastRowLastColumn="0"/>
            <w:tcW w:w="9229" w:type="dxa"/>
            <w:vAlign w:val="center"/>
            <w:hideMark/>
          </w:tcPr>
          <w:p w14:paraId="24FFB421" w14:textId="77777777" w:rsidR="00D21E1F" w:rsidRPr="00AC2541" w:rsidRDefault="00D21E1F" w:rsidP="00E05086">
            <w:pPr>
              <w:jc w:val="center"/>
              <w:rPr>
                <w:rFonts w:cs="Times New Roman"/>
                <w:color w:val="000000" w:themeColor="text1"/>
                <w:sz w:val="20"/>
                <w:szCs w:val="20"/>
                <w:lang w:eastAsia="lv-LV"/>
              </w:rPr>
            </w:pPr>
            <w:r w:rsidRPr="00AC2541">
              <w:rPr>
                <w:rFonts w:cs="Times New Roman"/>
                <w:color w:val="000000" w:themeColor="text1"/>
                <w:sz w:val="20"/>
                <w:szCs w:val="20"/>
                <w:lang w:eastAsia="lv-LV"/>
              </w:rPr>
              <w:t>Vispārējā valdība (S.13)</w:t>
            </w:r>
          </w:p>
        </w:tc>
      </w:tr>
    </w:tbl>
    <w:tbl>
      <w:tblPr>
        <w:tblStyle w:val="GridTable6Colorful-Accent114"/>
        <w:tblW w:w="9224" w:type="dxa"/>
        <w:jc w:val="center"/>
        <w:tblLayout w:type="fixed"/>
        <w:tblLook w:val="04A0" w:firstRow="1" w:lastRow="0" w:firstColumn="1" w:lastColumn="0" w:noHBand="0" w:noVBand="1"/>
      </w:tblPr>
      <w:tblGrid>
        <w:gridCol w:w="3260"/>
        <w:gridCol w:w="1134"/>
        <w:gridCol w:w="1134"/>
        <w:gridCol w:w="861"/>
        <w:gridCol w:w="708"/>
        <w:gridCol w:w="709"/>
        <w:gridCol w:w="709"/>
        <w:gridCol w:w="709"/>
      </w:tblGrid>
      <w:tr w:rsidR="00D21E1F" w:rsidRPr="005346E4" w14:paraId="2FD4184E" w14:textId="77777777" w:rsidTr="007306F1">
        <w:trPr>
          <w:cnfStyle w:val="100000000000" w:firstRow="1" w:lastRow="0" w:firstColumn="0" w:lastColumn="0" w:oddVBand="0" w:evenVBand="0" w:oddHBand="0" w:evenHBand="0" w:firstRowFirstColumn="0" w:firstRowLastColumn="0" w:lastRowFirstColumn="0" w:lastRowLastColumn="0"/>
          <w:trHeight w:val="54"/>
          <w:jc w:val="center"/>
        </w:trPr>
        <w:tc>
          <w:tcPr>
            <w:cnfStyle w:val="001000000000" w:firstRow="0" w:lastRow="0" w:firstColumn="1" w:lastColumn="0" w:oddVBand="0" w:evenVBand="0" w:oddHBand="0" w:evenHBand="0" w:firstRowFirstColumn="0" w:firstRowLastColumn="0" w:lastRowFirstColumn="0" w:lastRowLastColumn="0"/>
            <w:tcW w:w="3260" w:type="dxa"/>
            <w:hideMark/>
          </w:tcPr>
          <w:p w14:paraId="304924EC" w14:textId="77777777" w:rsidR="00D21E1F" w:rsidRPr="005346E4" w:rsidRDefault="00D21E1F" w:rsidP="00D21E1F">
            <w:pPr>
              <w:ind w:firstLine="0"/>
              <w:rPr>
                <w:rFonts w:cs="Times New Roman"/>
                <w:color w:val="000000" w:themeColor="text1"/>
                <w:sz w:val="18"/>
                <w:szCs w:val="18"/>
                <w:lang w:eastAsia="lv-LV"/>
              </w:rPr>
            </w:pPr>
            <w:r w:rsidRPr="005346E4">
              <w:rPr>
                <w:rFonts w:cs="Times New Roman"/>
                <w:color w:val="000000" w:themeColor="text1"/>
                <w:sz w:val="18"/>
                <w:szCs w:val="18"/>
                <w:lang w:eastAsia="lv-LV"/>
              </w:rPr>
              <w:t>6. Kopējie ieņēmumi</w:t>
            </w:r>
          </w:p>
        </w:tc>
        <w:tc>
          <w:tcPr>
            <w:tcW w:w="1134" w:type="dxa"/>
            <w:vAlign w:val="center"/>
            <w:hideMark/>
          </w:tcPr>
          <w:p w14:paraId="011A2C69" w14:textId="77777777" w:rsidR="00D21E1F" w:rsidRPr="00C1707D" w:rsidRDefault="00D21E1F" w:rsidP="00D21E1F">
            <w:pPr>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color w:val="000000" w:themeColor="text1"/>
                <w:sz w:val="18"/>
                <w:szCs w:val="18"/>
                <w:lang w:eastAsia="lv-LV"/>
              </w:rPr>
            </w:pPr>
            <w:r w:rsidRPr="00C1707D">
              <w:rPr>
                <w:rFonts w:cs="Times New Roman"/>
                <w:b w:val="0"/>
                <w:bCs w:val="0"/>
                <w:color w:val="000000" w:themeColor="text1"/>
                <w:sz w:val="18"/>
                <w:szCs w:val="18"/>
                <w:lang w:eastAsia="lv-LV"/>
              </w:rPr>
              <w:t>TR</w:t>
            </w:r>
          </w:p>
        </w:tc>
        <w:tc>
          <w:tcPr>
            <w:tcW w:w="1134" w:type="dxa"/>
            <w:vAlign w:val="center"/>
          </w:tcPr>
          <w:p w14:paraId="64265960" w14:textId="3FA4BB78" w:rsidR="00D21E1F" w:rsidRPr="00C1707D" w:rsidRDefault="00D21E1F" w:rsidP="00D21E1F">
            <w:pPr>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color w:val="000000" w:themeColor="text1"/>
                <w:sz w:val="18"/>
                <w:szCs w:val="18"/>
                <w:lang w:eastAsia="lv-LV"/>
              </w:rPr>
            </w:pPr>
            <w:r w:rsidRPr="00C1707D">
              <w:rPr>
                <w:b w:val="0"/>
                <w:bCs w:val="0"/>
                <w:color w:val="000000" w:themeColor="text1"/>
                <w:sz w:val="18"/>
                <w:szCs w:val="18"/>
              </w:rPr>
              <w:t>14 118,2</w:t>
            </w:r>
          </w:p>
        </w:tc>
        <w:tc>
          <w:tcPr>
            <w:tcW w:w="861" w:type="dxa"/>
            <w:vAlign w:val="center"/>
          </w:tcPr>
          <w:p w14:paraId="2E3F93ED" w14:textId="2DB8B047" w:rsidR="00D21E1F" w:rsidRPr="00C1707D" w:rsidRDefault="00D21E1F" w:rsidP="00D21E1F">
            <w:pPr>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color w:val="000000" w:themeColor="text1"/>
                <w:sz w:val="18"/>
                <w:szCs w:val="18"/>
                <w:lang w:eastAsia="lv-LV"/>
              </w:rPr>
            </w:pPr>
            <w:r w:rsidRPr="00C1707D">
              <w:rPr>
                <w:b w:val="0"/>
                <w:bCs w:val="0"/>
                <w:color w:val="000000" w:themeColor="text1"/>
                <w:sz w:val="18"/>
                <w:szCs w:val="18"/>
              </w:rPr>
              <w:t>36,1</w:t>
            </w:r>
          </w:p>
        </w:tc>
        <w:tc>
          <w:tcPr>
            <w:tcW w:w="708" w:type="dxa"/>
            <w:vAlign w:val="center"/>
          </w:tcPr>
          <w:p w14:paraId="581AC2D6" w14:textId="214F6AC9" w:rsidR="00D21E1F" w:rsidRPr="00C1707D" w:rsidRDefault="00D21E1F" w:rsidP="00D21E1F">
            <w:pPr>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color w:val="000000" w:themeColor="text1"/>
                <w:sz w:val="18"/>
                <w:szCs w:val="18"/>
                <w:lang w:eastAsia="lv-LV"/>
              </w:rPr>
            </w:pPr>
            <w:r w:rsidRPr="00C1707D">
              <w:rPr>
                <w:b w:val="0"/>
                <w:bCs w:val="0"/>
                <w:color w:val="000000" w:themeColor="text1"/>
                <w:sz w:val="18"/>
                <w:szCs w:val="18"/>
              </w:rPr>
              <w:t>36,0</w:t>
            </w:r>
          </w:p>
        </w:tc>
        <w:tc>
          <w:tcPr>
            <w:tcW w:w="709" w:type="dxa"/>
            <w:vAlign w:val="center"/>
          </w:tcPr>
          <w:p w14:paraId="15B1807C" w14:textId="7EC0766F" w:rsidR="00D21E1F" w:rsidRPr="00C1707D" w:rsidRDefault="00D21E1F" w:rsidP="00D21E1F">
            <w:pPr>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color w:val="000000" w:themeColor="text1"/>
                <w:sz w:val="18"/>
                <w:szCs w:val="18"/>
                <w:lang w:eastAsia="lv-LV"/>
              </w:rPr>
            </w:pPr>
            <w:r w:rsidRPr="00C1707D">
              <w:rPr>
                <w:b w:val="0"/>
                <w:bCs w:val="0"/>
                <w:color w:val="000000" w:themeColor="text1"/>
                <w:sz w:val="18"/>
                <w:szCs w:val="18"/>
              </w:rPr>
              <w:t>36,1</w:t>
            </w:r>
          </w:p>
        </w:tc>
        <w:tc>
          <w:tcPr>
            <w:tcW w:w="709" w:type="dxa"/>
            <w:vAlign w:val="center"/>
          </w:tcPr>
          <w:p w14:paraId="559AC85F" w14:textId="388C833A" w:rsidR="00D21E1F" w:rsidRPr="00C1707D" w:rsidRDefault="00D21E1F" w:rsidP="00D21E1F">
            <w:pPr>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color w:val="000000" w:themeColor="text1"/>
                <w:sz w:val="18"/>
                <w:szCs w:val="18"/>
                <w:lang w:eastAsia="lv-LV"/>
              </w:rPr>
            </w:pPr>
            <w:r w:rsidRPr="00C1707D">
              <w:rPr>
                <w:b w:val="0"/>
                <w:bCs w:val="0"/>
                <w:color w:val="000000" w:themeColor="text1"/>
                <w:sz w:val="18"/>
                <w:szCs w:val="18"/>
              </w:rPr>
              <w:t>35,4</w:t>
            </w:r>
          </w:p>
        </w:tc>
        <w:tc>
          <w:tcPr>
            <w:tcW w:w="709" w:type="dxa"/>
            <w:vAlign w:val="center"/>
          </w:tcPr>
          <w:p w14:paraId="2E05CE9D" w14:textId="01930823" w:rsidR="00D21E1F" w:rsidRPr="00C1707D" w:rsidRDefault="00D21E1F" w:rsidP="00D21E1F">
            <w:pPr>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color w:val="000000" w:themeColor="text1"/>
                <w:sz w:val="18"/>
                <w:szCs w:val="18"/>
                <w:lang w:eastAsia="lv-LV"/>
              </w:rPr>
            </w:pPr>
            <w:r w:rsidRPr="00C1707D">
              <w:rPr>
                <w:b w:val="0"/>
                <w:bCs w:val="0"/>
                <w:color w:val="000000" w:themeColor="text1"/>
                <w:sz w:val="18"/>
                <w:szCs w:val="18"/>
              </w:rPr>
              <w:t>34,9</w:t>
            </w:r>
          </w:p>
        </w:tc>
      </w:tr>
      <w:tr w:rsidR="00D21E1F" w:rsidRPr="005346E4" w14:paraId="41B8FE3D" w14:textId="77777777" w:rsidTr="007306F1">
        <w:trPr>
          <w:cnfStyle w:val="000000100000" w:firstRow="0" w:lastRow="0" w:firstColumn="0" w:lastColumn="0" w:oddVBand="0" w:evenVBand="0" w:oddHBand="1" w:evenHBand="0" w:firstRowFirstColumn="0" w:firstRowLastColumn="0" w:lastRowFirstColumn="0" w:lastRowLastColumn="0"/>
          <w:trHeight w:val="128"/>
          <w:jc w:val="center"/>
        </w:trPr>
        <w:tc>
          <w:tcPr>
            <w:cnfStyle w:val="001000000000" w:firstRow="0" w:lastRow="0" w:firstColumn="1" w:lastColumn="0" w:oddVBand="0" w:evenVBand="0" w:oddHBand="0" w:evenHBand="0" w:firstRowFirstColumn="0" w:firstRowLastColumn="0" w:lastRowFirstColumn="0" w:lastRowLastColumn="0"/>
            <w:tcW w:w="3260" w:type="dxa"/>
            <w:hideMark/>
          </w:tcPr>
          <w:p w14:paraId="76B535CF" w14:textId="77777777" w:rsidR="00D21E1F" w:rsidRPr="005346E4" w:rsidRDefault="00D21E1F" w:rsidP="00D21E1F">
            <w:pPr>
              <w:ind w:firstLine="0"/>
              <w:rPr>
                <w:rFonts w:cs="Times New Roman"/>
                <w:color w:val="000000" w:themeColor="text1"/>
                <w:sz w:val="18"/>
                <w:szCs w:val="18"/>
                <w:lang w:eastAsia="lv-LV"/>
              </w:rPr>
            </w:pPr>
            <w:r w:rsidRPr="005346E4">
              <w:rPr>
                <w:rFonts w:cs="Times New Roman"/>
                <w:color w:val="000000" w:themeColor="text1"/>
                <w:sz w:val="18"/>
                <w:szCs w:val="18"/>
                <w:lang w:eastAsia="lv-LV"/>
              </w:rPr>
              <w:t>7. Kopējie izdevumi</w:t>
            </w:r>
          </w:p>
        </w:tc>
        <w:tc>
          <w:tcPr>
            <w:tcW w:w="1134" w:type="dxa"/>
            <w:vAlign w:val="center"/>
            <w:hideMark/>
          </w:tcPr>
          <w:p w14:paraId="20DE3F5C" w14:textId="77777777" w:rsidR="00D21E1F" w:rsidRPr="005346E4"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000000" w:themeColor="text1"/>
                <w:sz w:val="18"/>
                <w:szCs w:val="18"/>
                <w:lang w:eastAsia="lv-LV"/>
              </w:rPr>
            </w:pPr>
            <w:r w:rsidRPr="005346E4">
              <w:rPr>
                <w:rFonts w:cs="Times New Roman"/>
                <w:bCs/>
                <w:color w:val="000000" w:themeColor="text1"/>
                <w:sz w:val="18"/>
                <w:szCs w:val="18"/>
                <w:lang w:eastAsia="lv-LV"/>
              </w:rPr>
              <w:t>TE</w:t>
            </w:r>
          </w:p>
        </w:tc>
        <w:tc>
          <w:tcPr>
            <w:tcW w:w="1134" w:type="dxa"/>
            <w:vAlign w:val="center"/>
          </w:tcPr>
          <w:p w14:paraId="09317B53" w14:textId="00ABE5CF"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15 957,0</w:t>
            </w:r>
          </w:p>
        </w:tc>
        <w:tc>
          <w:tcPr>
            <w:tcW w:w="861" w:type="dxa"/>
            <w:vAlign w:val="center"/>
          </w:tcPr>
          <w:p w14:paraId="4A54DCE5" w14:textId="5D9BE76D"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40,8</w:t>
            </w:r>
          </w:p>
        </w:tc>
        <w:tc>
          <w:tcPr>
            <w:tcW w:w="708" w:type="dxa"/>
            <w:vAlign w:val="center"/>
          </w:tcPr>
          <w:p w14:paraId="34AB0A72" w14:textId="410A32E6"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40,0</w:t>
            </w:r>
          </w:p>
        </w:tc>
        <w:tc>
          <w:tcPr>
            <w:tcW w:w="709" w:type="dxa"/>
            <w:vAlign w:val="center"/>
          </w:tcPr>
          <w:p w14:paraId="20BC754F" w14:textId="3F4F7B2B"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38,6</w:t>
            </w:r>
          </w:p>
        </w:tc>
        <w:tc>
          <w:tcPr>
            <w:tcW w:w="709" w:type="dxa"/>
            <w:vAlign w:val="center"/>
          </w:tcPr>
          <w:p w14:paraId="78ED0C85" w14:textId="673503C0"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37,6</w:t>
            </w:r>
          </w:p>
        </w:tc>
        <w:tc>
          <w:tcPr>
            <w:tcW w:w="709" w:type="dxa"/>
            <w:vAlign w:val="center"/>
          </w:tcPr>
          <w:p w14:paraId="39064CB1" w14:textId="77DDC280"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35,6</w:t>
            </w:r>
          </w:p>
        </w:tc>
      </w:tr>
      <w:tr w:rsidR="00D21E1F" w:rsidRPr="005346E4" w14:paraId="599C87DC" w14:textId="77777777" w:rsidTr="007306F1">
        <w:trPr>
          <w:trHeight w:val="173"/>
          <w:jc w:val="center"/>
        </w:trPr>
        <w:tc>
          <w:tcPr>
            <w:cnfStyle w:val="001000000000" w:firstRow="0" w:lastRow="0" w:firstColumn="1" w:lastColumn="0" w:oddVBand="0" w:evenVBand="0" w:oddHBand="0" w:evenHBand="0" w:firstRowFirstColumn="0" w:firstRowLastColumn="0" w:lastRowFirstColumn="0" w:lastRowLastColumn="0"/>
            <w:tcW w:w="3260" w:type="dxa"/>
            <w:hideMark/>
          </w:tcPr>
          <w:p w14:paraId="70FE3F20" w14:textId="77777777" w:rsidR="00D21E1F" w:rsidRPr="005346E4" w:rsidRDefault="00D21E1F" w:rsidP="00D21E1F">
            <w:pPr>
              <w:ind w:firstLine="0"/>
              <w:rPr>
                <w:rFonts w:cs="Times New Roman"/>
                <w:color w:val="000000" w:themeColor="text1"/>
                <w:sz w:val="18"/>
                <w:szCs w:val="18"/>
                <w:lang w:eastAsia="lv-LV"/>
              </w:rPr>
            </w:pPr>
            <w:r w:rsidRPr="005346E4">
              <w:rPr>
                <w:rFonts w:cs="Times New Roman"/>
                <w:color w:val="000000" w:themeColor="text1"/>
                <w:sz w:val="18"/>
                <w:szCs w:val="18"/>
                <w:lang w:eastAsia="lv-LV"/>
              </w:rPr>
              <w:t>8. Budžeta bilance</w:t>
            </w:r>
          </w:p>
        </w:tc>
        <w:tc>
          <w:tcPr>
            <w:tcW w:w="1134" w:type="dxa"/>
            <w:vAlign w:val="center"/>
            <w:hideMark/>
          </w:tcPr>
          <w:p w14:paraId="64C8AE13" w14:textId="77777777" w:rsidR="00D21E1F" w:rsidRPr="005346E4"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000000" w:themeColor="text1"/>
                <w:sz w:val="18"/>
                <w:szCs w:val="18"/>
                <w:lang w:eastAsia="lv-LV"/>
              </w:rPr>
            </w:pPr>
            <w:r w:rsidRPr="005346E4">
              <w:rPr>
                <w:rFonts w:cs="Times New Roman"/>
                <w:bCs/>
                <w:color w:val="000000" w:themeColor="text1"/>
                <w:sz w:val="18"/>
                <w:szCs w:val="18"/>
                <w:lang w:eastAsia="lv-LV"/>
              </w:rPr>
              <w:t>B.9</w:t>
            </w:r>
          </w:p>
        </w:tc>
        <w:tc>
          <w:tcPr>
            <w:tcW w:w="1134" w:type="dxa"/>
            <w:vAlign w:val="center"/>
          </w:tcPr>
          <w:p w14:paraId="01CB0E0F" w14:textId="117B9BF8"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-1 838,8</w:t>
            </w:r>
          </w:p>
        </w:tc>
        <w:tc>
          <w:tcPr>
            <w:tcW w:w="861" w:type="dxa"/>
            <w:vAlign w:val="center"/>
          </w:tcPr>
          <w:p w14:paraId="65E7124A" w14:textId="4E1B291F"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-4,7</w:t>
            </w:r>
          </w:p>
        </w:tc>
        <w:tc>
          <w:tcPr>
            <w:tcW w:w="708" w:type="dxa"/>
            <w:vAlign w:val="center"/>
          </w:tcPr>
          <w:p w14:paraId="6CB58D9B" w14:textId="030574AA"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-4,0</w:t>
            </w:r>
          </w:p>
        </w:tc>
        <w:tc>
          <w:tcPr>
            <w:tcW w:w="709" w:type="dxa"/>
            <w:vAlign w:val="center"/>
          </w:tcPr>
          <w:p w14:paraId="0C06534C" w14:textId="03594E8A"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-2,5</w:t>
            </w:r>
          </w:p>
        </w:tc>
        <w:tc>
          <w:tcPr>
            <w:tcW w:w="709" w:type="dxa"/>
            <w:vAlign w:val="center"/>
          </w:tcPr>
          <w:p w14:paraId="69B631F2" w14:textId="1426C121"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-2,2</w:t>
            </w:r>
          </w:p>
        </w:tc>
        <w:tc>
          <w:tcPr>
            <w:tcW w:w="709" w:type="dxa"/>
            <w:vAlign w:val="center"/>
          </w:tcPr>
          <w:p w14:paraId="0DA6F89E" w14:textId="2DCBD3EA"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-0,7</w:t>
            </w:r>
          </w:p>
        </w:tc>
      </w:tr>
      <w:tr w:rsidR="007306F1" w:rsidRPr="005346E4" w14:paraId="1B3AD08B" w14:textId="77777777" w:rsidTr="007306F1">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3260" w:type="dxa"/>
            <w:hideMark/>
          </w:tcPr>
          <w:p w14:paraId="6514E12E" w14:textId="77777777" w:rsidR="00D21E1F" w:rsidRPr="005346E4" w:rsidRDefault="00D21E1F" w:rsidP="00D21E1F">
            <w:pPr>
              <w:ind w:firstLine="0"/>
              <w:rPr>
                <w:rFonts w:cs="Times New Roman"/>
                <w:color w:val="000000" w:themeColor="text1"/>
                <w:sz w:val="18"/>
                <w:szCs w:val="18"/>
                <w:lang w:eastAsia="lv-LV"/>
              </w:rPr>
            </w:pPr>
            <w:r w:rsidRPr="005346E4">
              <w:rPr>
                <w:rFonts w:cs="Times New Roman"/>
                <w:color w:val="000000" w:themeColor="text1"/>
                <w:sz w:val="18"/>
                <w:szCs w:val="18"/>
                <w:lang w:eastAsia="lv-LV"/>
              </w:rPr>
              <w:t>9. Procentu izdevumi</w:t>
            </w:r>
          </w:p>
        </w:tc>
        <w:tc>
          <w:tcPr>
            <w:tcW w:w="1134" w:type="dxa"/>
            <w:vAlign w:val="center"/>
            <w:hideMark/>
          </w:tcPr>
          <w:p w14:paraId="6D0F8EE1" w14:textId="77777777" w:rsidR="00D21E1F" w:rsidRPr="005346E4"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000000" w:themeColor="text1"/>
                <w:sz w:val="18"/>
                <w:szCs w:val="18"/>
                <w:lang w:eastAsia="lv-LV"/>
              </w:rPr>
            </w:pPr>
            <w:r w:rsidRPr="005346E4">
              <w:rPr>
                <w:rFonts w:cs="Times New Roman"/>
                <w:bCs/>
                <w:color w:val="000000" w:themeColor="text1"/>
                <w:sz w:val="18"/>
                <w:szCs w:val="18"/>
                <w:lang w:eastAsia="lv-LV"/>
              </w:rPr>
              <w:t>D.41</w:t>
            </w:r>
          </w:p>
        </w:tc>
        <w:tc>
          <w:tcPr>
            <w:tcW w:w="1134" w:type="dxa"/>
            <w:vAlign w:val="center"/>
          </w:tcPr>
          <w:p w14:paraId="08E94088" w14:textId="7F8D86CB"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208,8</w:t>
            </w:r>
          </w:p>
        </w:tc>
        <w:tc>
          <w:tcPr>
            <w:tcW w:w="861" w:type="dxa"/>
            <w:vAlign w:val="center"/>
          </w:tcPr>
          <w:p w14:paraId="775D5F5E" w14:textId="73790694"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0,5</w:t>
            </w:r>
          </w:p>
        </w:tc>
        <w:tc>
          <w:tcPr>
            <w:tcW w:w="708" w:type="dxa"/>
            <w:vAlign w:val="center"/>
          </w:tcPr>
          <w:p w14:paraId="5420A1AB" w14:textId="04FE427F"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0,6</w:t>
            </w:r>
          </w:p>
        </w:tc>
        <w:tc>
          <w:tcPr>
            <w:tcW w:w="709" w:type="dxa"/>
            <w:vAlign w:val="center"/>
          </w:tcPr>
          <w:p w14:paraId="02E6F52A" w14:textId="2949B6D0"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0,8</w:t>
            </w:r>
          </w:p>
        </w:tc>
        <w:tc>
          <w:tcPr>
            <w:tcW w:w="709" w:type="dxa"/>
            <w:vAlign w:val="center"/>
          </w:tcPr>
          <w:p w14:paraId="71581024" w14:textId="0BF717A4"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1,0</w:t>
            </w:r>
          </w:p>
        </w:tc>
        <w:tc>
          <w:tcPr>
            <w:tcW w:w="709" w:type="dxa"/>
            <w:vAlign w:val="center"/>
          </w:tcPr>
          <w:p w14:paraId="5A7024A6" w14:textId="2152AC65"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1,1</w:t>
            </w:r>
          </w:p>
        </w:tc>
      </w:tr>
      <w:tr w:rsidR="00D21E1F" w:rsidRPr="005346E4" w14:paraId="140B83F5" w14:textId="77777777" w:rsidTr="007306F1">
        <w:trPr>
          <w:trHeight w:val="251"/>
          <w:jc w:val="center"/>
        </w:trPr>
        <w:tc>
          <w:tcPr>
            <w:cnfStyle w:val="001000000000" w:firstRow="0" w:lastRow="0" w:firstColumn="1" w:lastColumn="0" w:oddVBand="0" w:evenVBand="0" w:oddHBand="0" w:evenHBand="0" w:firstRowFirstColumn="0" w:firstRowLastColumn="0" w:lastRowFirstColumn="0" w:lastRowLastColumn="0"/>
            <w:tcW w:w="3260" w:type="dxa"/>
            <w:hideMark/>
          </w:tcPr>
          <w:p w14:paraId="3A5F2EFA" w14:textId="77777777" w:rsidR="00D21E1F" w:rsidRPr="005346E4" w:rsidRDefault="00D21E1F" w:rsidP="00D21E1F">
            <w:pPr>
              <w:ind w:firstLine="0"/>
              <w:rPr>
                <w:rFonts w:cs="Times New Roman"/>
                <w:color w:val="000000" w:themeColor="text1"/>
                <w:sz w:val="18"/>
                <w:szCs w:val="18"/>
                <w:lang w:eastAsia="lv-LV"/>
              </w:rPr>
            </w:pPr>
            <w:r w:rsidRPr="005346E4">
              <w:rPr>
                <w:rFonts w:cs="Times New Roman"/>
                <w:color w:val="000000" w:themeColor="text1"/>
                <w:sz w:val="18"/>
                <w:szCs w:val="18"/>
                <w:lang w:eastAsia="lv-LV"/>
              </w:rPr>
              <w:t>10. Primārā bilance</w:t>
            </w:r>
          </w:p>
        </w:tc>
        <w:tc>
          <w:tcPr>
            <w:tcW w:w="1134" w:type="dxa"/>
            <w:vAlign w:val="center"/>
            <w:hideMark/>
          </w:tcPr>
          <w:p w14:paraId="7099F56C" w14:textId="77777777" w:rsidR="00D21E1F" w:rsidRPr="005346E4"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000000" w:themeColor="text1"/>
                <w:sz w:val="18"/>
                <w:szCs w:val="18"/>
                <w:lang w:eastAsia="lv-LV"/>
              </w:rPr>
            </w:pPr>
          </w:p>
        </w:tc>
        <w:tc>
          <w:tcPr>
            <w:tcW w:w="1134" w:type="dxa"/>
            <w:vAlign w:val="center"/>
          </w:tcPr>
          <w:p w14:paraId="5D6930CF" w14:textId="7BAC72E8"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-1 630,0</w:t>
            </w:r>
          </w:p>
        </w:tc>
        <w:tc>
          <w:tcPr>
            <w:tcW w:w="861" w:type="dxa"/>
            <w:vAlign w:val="center"/>
          </w:tcPr>
          <w:p w14:paraId="278269B7" w14:textId="21C134C8"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-4,2</w:t>
            </w:r>
          </w:p>
        </w:tc>
        <w:tc>
          <w:tcPr>
            <w:tcW w:w="708" w:type="dxa"/>
            <w:vAlign w:val="center"/>
          </w:tcPr>
          <w:p w14:paraId="511E5644" w14:textId="0C1291EF"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-3,4</w:t>
            </w:r>
          </w:p>
        </w:tc>
        <w:tc>
          <w:tcPr>
            <w:tcW w:w="709" w:type="dxa"/>
            <w:vAlign w:val="center"/>
          </w:tcPr>
          <w:p w14:paraId="13E03ECE" w14:textId="3F7536EC"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-1,7</w:t>
            </w:r>
          </w:p>
        </w:tc>
        <w:tc>
          <w:tcPr>
            <w:tcW w:w="709" w:type="dxa"/>
            <w:vAlign w:val="center"/>
          </w:tcPr>
          <w:p w14:paraId="1CD61EFC" w14:textId="0EC8BEF3"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-1,2</w:t>
            </w:r>
          </w:p>
        </w:tc>
        <w:tc>
          <w:tcPr>
            <w:tcW w:w="709" w:type="dxa"/>
            <w:vAlign w:val="center"/>
          </w:tcPr>
          <w:p w14:paraId="5D6F5B39" w14:textId="46522121"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0,4</w:t>
            </w:r>
          </w:p>
        </w:tc>
      </w:tr>
      <w:tr w:rsidR="007306F1" w:rsidRPr="005346E4" w14:paraId="3D5CCC4D" w14:textId="77777777" w:rsidTr="007306F1">
        <w:trPr>
          <w:cnfStyle w:val="000000100000" w:firstRow="0" w:lastRow="0" w:firstColumn="0" w:lastColumn="0" w:oddVBand="0" w:evenVBand="0" w:oddHBand="1" w:evenHBand="0" w:firstRowFirstColumn="0" w:firstRowLastColumn="0" w:lastRowFirstColumn="0" w:lastRowLastColumn="0"/>
          <w:trHeight w:val="141"/>
          <w:jc w:val="center"/>
        </w:trPr>
        <w:tc>
          <w:tcPr>
            <w:cnfStyle w:val="001000000000" w:firstRow="0" w:lastRow="0" w:firstColumn="1" w:lastColumn="0" w:oddVBand="0" w:evenVBand="0" w:oddHBand="0" w:evenHBand="0" w:firstRowFirstColumn="0" w:firstRowLastColumn="0" w:lastRowFirstColumn="0" w:lastRowLastColumn="0"/>
            <w:tcW w:w="3260" w:type="dxa"/>
            <w:hideMark/>
          </w:tcPr>
          <w:p w14:paraId="18D21736" w14:textId="77777777" w:rsidR="00D21E1F" w:rsidRPr="005346E4" w:rsidRDefault="00D21E1F" w:rsidP="00D21E1F">
            <w:pPr>
              <w:ind w:firstLine="0"/>
              <w:rPr>
                <w:rFonts w:cs="Times New Roman"/>
                <w:color w:val="000000" w:themeColor="text1"/>
                <w:sz w:val="18"/>
                <w:szCs w:val="18"/>
                <w:lang w:eastAsia="lv-LV"/>
              </w:rPr>
            </w:pPr>
            <w:r w:rsidRPr="005346E4">
              <w:rPr>
                <w:rFonts w:cs="Times New Roman"/>
                <w:color w:val="000000" w:themeColor="text1"/>
                <w:sz w:val="18"/>
                <w:szCs w:val="18"/>
                <w:lang w:eastAsia="lv-LV"/>
              </w:rPr>
              <w:t>11. Vienreizēji un citi īslaicīgi pasākumi</w:t>
            </w:r>
            <w:r w:rsidRPr="005346E4">
              <w:rPr>
                <w:rStyle w:val="FootnoteReference"/>
                <w:rFonts w:cs="Times New Roman"/>
                <w:b w:val="0"/>
                <w:bCs w:val="0"/>
                <w:color w:val="000000" w:themeColor="text1"/>
                <w:sz w:val="18"/>
                <w:szCs w:val="18"/>
                <w:lang w:eastAsia="lv-LV"/>
              </w:rPr>
              <w:footnoteReference w:id="20"/>
            </w:r>
          </w:p>
        </w:tc>
        <w:tc>
          <w:tcPr>
            <w:tcW w:w="1134" w:type="dxa"/>
            <w:vAlign w:val="center"/>
            <w:hideMark/>
          </w:tcPr>
          <w:p w14:paraId="4ED137DA" w14:textId="77777777" w:rsidR="00D21E1F" w:rsidRPr="005346E4"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000000" w:themeColor="text1"/>
                <w:sz w:val="18"/>
                <w:szCs w:val="18"/>
                <w:lang w:eastAsia="lv-LV"/>
              </w:rPr>
            </w:pPr>
          </w:p>
        </w:tc>
        <w:tc>
          <w:tcPr>
            <w:tcW w:w="1134" w:type="dxa"/>
            <w:vAlign w:val="center"/>
          </w:tcPr>
          <w:p w14:paraId="4B5879BD" w14:textId="57CDD94F"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auto"/>
                <w:sz w:val="18"/>
                <w:szCs w:val="18"/>
                <w:highlight w:val="yellow"/>
                <w:lang w:eastAsia="lv-LV"/>
              </w:rPr>
            </w:pPr>
            <w:r w:rsidRPr="00D21E1F">
              <w:rPr>
                <w:color w:val="auto"/>
                <w:sz w:val="18"/>
                <w:szCs w:val="18"/>
              </w:rPr>
              <w:t>-1 880,5</w:t>
            </w:r>
          </w:p>
        </w:tc>
        <w:tc>
          <w:tcPr>
            <w:tcW w:w="861" w:type="dxa"/>
            <w:vAlign w:val="center"/>
          </w:tcPr>
          <w:p w14:paraId="1C4335CF" w14:textId="0F16A23D"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auto"/>
                <w:sz w:val="18"/>
                <w:szCs w:val="18"/>
                <w:highlight w:val="yellow"/>
                <w:lang w:eastAsia="lv-LV"/>
              </w:rPr>
            </w:pPr>
            <w:r w:rsidRPr="00D21E1F">
              <w:rPr>
                <w:color w:val="auto"/>
                <w:sz w:val="18"/>
                <w:szCs w:val="18"/>
              </w:rPr>
              <w:t>-4,8</w:t>
            </w:r>
          </w:p>
        </w:tc>
        <w:tc>
          <w:tcPr>
            <w:tcW w:w="708" w:type="dxa"/>
            <w:shd w:val="clear" w:color="auto" w:fill="DEEAF6" w:themeFill="accent1" w:themeFillTint="33"/>
            <w:vAlign w:val="center"/>
          </w:tcPr>
          <w:p w14:paraId="5973FA20" w14:textId="725ABF45"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auto"/>
                <w:sz w:val="18"/>
                <w:szCs w:val="18"/>
                <w:lang w:eastAsia="lv-LV"/>
              </w:rPr>
            </w:pPr>
            <w:r w:rsidRPr="00D21E1F">
              <w:rPr>
                <w:color w:val="auto"/>
                <w:sz w:val="18"/>
                <w:szCs w:val="18"/>
              </w:rPr>
              <w:t>-3,0</w:t>
            </w:r>
          </w:p>
        </w:tc>
        <w:tc>
          <w:tcPr>
            <w:tcW w:w="709" w:type="dxa"/>
            <w:shd w:val="clear" w:color="auto" w:fill="DEEAF6" w:themeFill="accent1" w:themeFillTint="33"/>
            <w:vAlign w:val="center"/>
          </w:tcPr>
          <w:p w14:paraId="514F72BE" w14:textId="1E68B45A"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auto"/>
                <w:sz w:val="18"/>
                <w:szCs w:val="18"/>
                <w:lang w:eastAsia="lv-LV"/>
              </w:rPr>
            </w:pPr>
            <w:r w:rsidRPr="00D21E1F">
              <w:rPr>
                <w:color w:val="auto"/>
                <w:sz w:val="18"/>
                <w:szCs w:val="18"/>
              </w:rPr>
              <w:t>-1,5</w:t>
            </w:r>
          </w:p>
        </w:tc>
        <w:tc>
          <w:tcPr>
            <w:tcW w:w="709" w:type="dxa"/>
            <w:shd w:val="clear" w:color="auto" w:fill="DEEAF6" w:themeFill="accent1" w:themeFillTint="33"/>
            <w:vAlign w:val="center"/>
          </w:tcPr>
          <w:p w14:paraId="6FF1CA0C" w14:textId="31DBA4F5"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auto"/>
                <w:sz w:val="18"/>
                <w:szCs w:val="18"/>
                <w:lang w:eastAsia="lv-LV"/>
              </w:rPr>
            </w:pPr>
            <w:r w:rsidRPr="00D21E1F">
              <w:rPr>
                <w:color w:val="auto"/>
                <w:sz w:val="18"/>
                <w:szCs w:val="18"/>
              </w:rPr>
              <w:t>-1,5</w:t>
            </w:r>
          </w:p>
        </w:tc>
        <w:tc>
          <w:tcPr>
            <w:tcW w:w="709" w:type="dxa"/>
            <w:shd w:val="clear" w:color="auto" w:fill="DEEAF6" w:themeFill="accent1" w:themeFillTint="33"/>
            <w:vAlign w:val="center"/>
          </w:tcPr>
          <w:p w14:paraId="29E12533" w14:textId="525410B0"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auto"/>
                <w:sz w:val="18"/>
                <w:szCs w:val="18"/>
                <w:lang w:eastAsia="lv-LV"/>
              </w:rPr>
            </w:pPr>
            <w:r w:rsidRPr="00D21E1F">
              <w:rPr>
                <w:color w:val="auto"/>
                <w:sz w:val="18"/>
                <w:szCs w:val="18"/>
              </w:rPr>
              <w:t>-0,7</w:t>
            </w:r>
          </w:p>
        </w:tc>
      </w:tr>
    </w:tbl>
    <w:tbl>
      <w:tblPr>
        <w:tblStyle w:val="GridTable6Colorful-Accent113"/>
        <w:tblW w:w="9229" w:type="dxa"/>
        <w:jc w:val="center"/>
        <w:tblLayout w:type="fixed"/>
        <w:tblLook w:val="04A0" w:firstRow="1" w:lastRow="0" w:firstColumn="1" w:lastColumn="0" w:noHBand="0" w:noVBand="1"/>
      </w:tblPr>
      <w:tblGrid>
        <w:gridCol w:w="9229"/>
      </w:tblGrid>
      <w:tr w:rsidR="00D21E1F" w:rsidRPr="005346E4" w14:paraId="74ED4ED8" w14:textId="77777777" w:rsidTr="007306F1">
        <w:trPr>
          <w:cnfStyle w:val="100000000000" w:firstRow="1" w:lastRow="0" w:firstColumn="0" w:lastColumn="0" w:oddVBand="0" w:evenVBand="0" w:oddHBand="0"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9229" w:type="dxa"/>
            <w:vAlign w:val="center"/>
            <w:hideMark/>
          </w:tcPr>
          <w:p w14:paraId="2C167759" w14:textId="77777777" w:rsidR="00D21E1F" w:rsidRPr="005346E4" w:rsidRDefault="00D21E1F" w:rsidP="00E05086">
            <w:pPr>
              <w:jc w:val="center"/>
              <w:rPr>
                <w:rFonts w:cs="Times New Roman"/>
                <w:color w:val="000000" w:themeColor="text1"/>
                <w:sz w:val="18"/>
                <w:szCs w:val="18"/>
                <w:lang w:eastAsia="lv-LV"/>
              </w:rPr>
            </w:pPr>
            <w:r w:rsidRPr="005346E4">
              <w:rPr>
                <w:rFonts w:cs="Times New Roman"/>
                <w:color w:val="000000" w:themeColor="text1"/>
                <w:sz w:val="18"/>
                <w:szCs w:val="18"/>
                <w:lang w:eastAsia="lv-LV"/>
              </w:rPr>
              <w:t>Ieņēmumu sadaļas</w:t>
            </w:r>
          </w:p>
        </w:tc>
      </w:tr>
    </w:tbl>
    <w:tbl>
      <w:tblPr>
        <w:tblStyle w:val="GridTable6Colorful-Accent114"/>
        <w:tblW w:w="9224" w:type="dxa"/>
        <w:jc w:val="center"/>
        <w:tblLayout w:type="fixed"/>
        <w:tblLook w:val="04A0" w:firstRow="1" w:lastRow="0" w:firstColumn="1" w:lastColumn="0" w:noHBand="0" w:noVBand="1"/>
      </w:tblPr>
      <w:tblGrid>
        <w:gridCol w:w="3260"/>
        <w:gridCol w:w="992"/>
        <w:gridCol w:w="1276"/>
        <w:gridCol w:w="861"/>
        <w:gridCol w:w="708"/>
        <w:gridCol w:w="709"/>
        <w:gridCol w:w="709"/>
        <w:gridCol w:w="709"/>
      </w:tblGrid>
      <w:tr w:rsidR="00D21E1F" w:rsidRPr="005346E4" w14:paraId="130B9D34" w14:textId="77777777" w:rsidTr="007306F1">
        <w:trPr>
          <w:cnfStyle w:val="100000000000" w:firstRow="1" w:lastRow="0" w:firstColumn="0" w:lastColumn="0" w:oddVBand="0" w:evenVBand="0" w:oddHBand="0" w:evenHBand="0" w:firstRowFirstColumn="0" w:firstRowLastColumn="0" w:lastRowFirstColumn="0" w:lastRowLastColumn="0"/>
          <w:trHeight w:val="149"/>
          <w:jc w:val="center"/>
        </w:trPr>
        <w:tc>
          <w:tcPr>
            <w:cnfStyle w:val="001000000000" w:firstRow="0" w:lastRow="0" w:firstColumn="1" w:lastColumn="0" w:oddVBand="0" w:evenVBand="0" w:oddHBand="0" w:evenHBand="0" w:firstRowFirstColumn="0" w:firstRowLastColumn="0" w:lastRowFirstColumn="0" w:lastRowLastColumn="0"/>
            <w:tcW w:w="3260" w:type="dxa"/>
            <w:hideMark/>
          </w:tcPr>
          <w:p w14:paraId="4EF6B98A" w14:textId="77777777" w:rsidR="00D21E1F" w:rsidRPr="005346E4" w:rsidRDefault="00D21E1F" w:rsidP="00D21E1F">
            <w:pPr>
              <w:ind w:firstLine="0"/>
              <w:rPr>
                <w:rFonts w:cs="Times New Roman"/>
                <w:color w:val="000000" w:themeColor="text1"/>
                <w:sz w:val="18"/>
                <w:szCs w:val="18"/>
                <w:lang w:eastAsia="lv-LV"/>
              </w:rPr>
            </w:pPr>
            <w:r w:rsidRPr="005346E4">
              <w:rPr>
                <w:rFonts w:cs="Times New Roman"/>
                <w:color w:val="000000" w:themeColor="text1"/>
                <w:sz w:val="18"/>
                <w:szCs w:val="18"/>
                <w:lang w:eastAsia="lv-LV"/>
              </w:rPr>
              <w:t>12. Nodokļi kopā (12=12a+12b+12c)</w:t>
            </w:r>
          </w:p>
        </w:tc>
        <w:tc>
          <w:tcPr>
            <w:tcW w:w="992" w:type="dxa"/>
            <w:vAlign w:val="center"/>
            <w:hideMark/>
          </w:tcPr>
          <w:p w14:paraId="6A38D3BF" w14:textId="77777777" w:rsidR="00D21E1F" w:rsidRPr="005346E4" w:rsidRDefault="00D21E1F" w:rsidP="00D21E1F">
            <w:pPr>
              <w:ind w:firstLine="0"/>
              <w:jc w:val="center"/>
              <w:cnfStyle w:val="100000000000" w:firstRow="1" w:lastRow="0" w:firstColumn="0" w:lastColumn="0" w:oddVBand="0" w:evenVBand="0" w:oddHBand="0" w:evenHBand="0" w:firstRowFirstColumn="0" w:firstRowLastColumn="0" w:lastRowFirstColumn="0" w:lastRowLastColumn="0"/>
              <w:rPr>
                <w:rFonts w:cs="Times New Roman"/>
                <w:color w:val="000000" w:themeColor="text1"/>
                <w:sz w:val="18"/>
                <w:szCs w:val="18"/>
                <w:lang w:eastAsia="lv-LV"/>
              </w:rPr>
            </w:pPr>
          </w:p>
        </w:tc>
        <w:tc>
          <w:tcPr>
            <w:tcW w:w="1276" w:type="dxa"/>
            <w:vAlign w:val="center"/>
          </w:tcPr>
          <w:p w14:paraId="212046D1" w14:textId="351066CA" w:rsidR="00D21E1F" w:rsidRPr="00C1707D" w:rsidRDefault="00D21E1F" w:rsidP="00D21E1F">
            <w:pPr>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color w:val="000000" w:themeColor="text1"/>
                <w:sz w:val="18"/>
                <w:szCs w:val="18"/>
                <w:lang w:eastAsia="lv-LV"/>
              </w:rPr>
            </w:pPr>
            <w:r w:rsidRPr="00C1707D">
              <w:rPr>
                <w:b w:val="0"/>
                <w:bCs w:val="0"/>
                <w:color w:val="000000" w:themeColor="text1"/>
                <w:sz w:val="18"/>
                <w:szCs w:val="18"/>
              </w:rPr>
              <w:t>7 957,2</w:t>
            </w:r>
          </w:p>
        </w:tc>
        <w:tc>
          <w:tcPr>
            <w:tcW w:w="861" w:type="dxa"/>
            <w:vAlign w:val="center"/>
          </w:tcPr>
          <w:p w14:paraId="6E498023" w14:textId="51442355" w:rsidR="00D21E1F" w:rsidRPr="00C1707D" w:rsidRDefault="00D21E1F" w:rsidP="00D21E1F">
            <w:pPr>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color w:val="000000" w:themeColor="text1"/>
                <w:sz w:val="18"/>
                <w:szCs w:val="18"/>
                <w:lang w:eastAsia="lv-LV"/>
              </w:rPr>
            </w:pPr>
            <w:r w:rsidRPr="00C1707D">
              <w:rPr>
                <w:b w:val="0"/>
                <w:bCs w:val="0"/>
                <w:color w:val="000000" w:themeColor="text1"/>
                <w:sz w:val="18"/>
                <w:szCs w:val="18"/>
              </w:rPr>
              <w:t>20,4</w:t>
            </w:r>
          </w:p>
        </w:tc>
        <w:tc>
          <w:tcPr>
            <w:tcW w:w="708" w:type="dxa"/>
            <w:vAlign w:val="center"/>
          </w:tcPr>
          <w:p w14:paraId="14C5B21B" w14:textId="3E0C4673" w:rsidR="00D21E1F" w:rsidRPr="00C1707D" w:rsidRDefault="00D21E1F" w:rsidP="00D21E1F">
            <w:pPr>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color w:val="000000" w:themeColor="text1"/>
                <w:sz w:val="18"/>
                <w:szCs w:val="18"/>
                <w:lang w:eastAsia="lv-LV"/>
              </w:rPr>
            </w:pPr>
            <w:r w:rsidRPr="00C1707D">
              <w:rPr>
                <w:b w:val="0"/>
                <w:bCs w:val="0"/>
                <w:color w:val="000000" w:themeColor="text1"/>
                <w:sz w:val="18"/>
                <w:szCs w:val="18"/>
              </w:rPr>
              <w:t>19,4</w:t>
            </w:r>
          </w:p>
        </w:tc>
        <w:tc>
          <w:tcPr>
            <w:tcW w:w="709" w:type="dxa"/>
            <w:vAlign w:val="center"/>
          </w:tcPr>
          <w:p w14:paraId="7F4E8527" w14:textId="77F78A0F" w:rsidR="00D21E1F" w:rsidRPr="00C1707D" w:rsidRDefault="00D21E1F" w:rsidP="00D21E1F">
            <w:pPr>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color w:val="000000" w:themeColor="text1"/>
                <w:sz w:val="18"/>
                <w:szCs w:val="18"/>
                <w:lang w:eastAsia="lv-LV"/>
              </w:rPr>
            </w:pPr>
            <w:r w:rsidRPr="00C1707D">
              <w:rPr>
                <w:b w:val="0"/>
                <w:bCs w:val="0"/>
                <w:color w:val="000000" w:themeColor="text1"/>
                <w:sz w:val="18"/>
                <w:szCs w:val="18"/>
              </w:rPr>
              <w:t>19,5</w:t>
            </w:r>
          </w:p>
        </w:tc>
        <w:tc>
          <w:tcPr>
            <w:tcW w:w="709" w:type="dxa"/>
            <w:vAlign w:val="center"/>
          </w:tcPr>
          <w:p w14:paraId="02573716" w14:textId="6E784AF2" w:rsidR="00D21E1F" w:rsidRPr="00C1707D" w:rsidRDefault="00D21E1F" w:rsidP="00D21E1F">
            <w:pPr>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color w:val="000000" w:themeColor="text1"/>
                <w:sz w:val="18"/>
                <w:szCs w:val="18"/>
                <w:lang w:eastAsia="lv-LV"/>
              </w:rPr>
            </w:pPr>
            <w:r w:rsidRPr="00C1707D">
              <w:rPr>
                <w:b w:val="0"/>
                <w:bCs w:val="0"/>
                <w:color w:val="000000" w:themeColor="text1"/>
                <w:sz w:val="18"/>
                <w:szCs w:val="18"/>
              </w:rPr>
              <w:t>19,4</w:t>
            </w:r>
          </w:p>
        </w:tc>
        <w:tc>
          <w:tcPr>
            <w:tcW w:w="709" w:type="dxa"/>
            <w:vAlign w:val="center"/>
          </w:tcPr>
          <w:p w14:paraId="66E8FBAA" w14:textId="17E01C87" w:rsidR="00D21E1F" w:rsidRPr="00C1707D" w:rsidRDefault="00D21E1F" w:rsidP="00D21E1F">
            <w:pPr>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color w:val="000000" w:themeColor="text1"/>
                <w:sz w:val="18"/>
                <w:szCs w:val="18"/>
                <w:lang w:eastAsia="lv-LV"/>
              </w:rPr>
            </w:pPr>
            <w:r w:rsidRPr="00C1707D">
              <w:rPr>
                <w:b w:val="0"/>
                <w:bCs w:val="0"/>
                <w:color w:val="000000" w:themeColor="text1"/>
                <w:sz w:val="18"/>
                <w:szCs w:val="18"/>
              </w:rPr>
              <w:t>19,3</w:t>
            </w:r>
          </w:p>
        </w:tc>
      </w:tr>
      <w:tr w:rsidR="00D21E1F" w:rsidRPr="005346E4" w14:paraId="61CF1229" w14:textId="77777777" w:rsidTr="007306F1">
        <w:trPr>
          <w:cnfStyle w:val="000000100000" w:firstRow="0" w:lastRow="0" w:firstColumn="0" w:lastColumn="0" w:oddVBand="0" w:evenVBand="0" w:oddHBand="1" w:evenHBand="0" w:firstRowFirstColumn="0" w:firstRowLastColumn="0" w:lastRowFirstColumn="0" w:lastRowLastColumn="0"/>
          <w:trHeight w:val="48"/>
          <w:jc w:val="center"/>
        </w:trPr>
        <w:tc>
          <w:tcPr>
            <w:cnfStyle w:val="001000000000" w:firstRow="0" w:lastRow="0" w:firstColumn="1" w:lastColumn="0" w:oddVBand="0" w:evenVBand="0" w:oddHBand="0" w:evenHBand="0" w:firstRowFirstColumn="0" w:firstRowLastColumn="0" w:lastRowFirstColumn="0" w:lastRowLastColumn="0"/>
            <w:tcW w:w="3260" w:type="dxa"/>
            <w:hideMark/>
          </w:tcPr>
          <w:p w14:paraId="3F9A8259" w14:textId="77777777" w:rsidR="00D21E1F" w:rsidRPr="005346E4" w:rsidRDefault="00D21E1F" w:rsidP="00D21E1F">
            <w:pPr>
              <w:ind w:firstLine="0"/>
              <w:rPr>
                <w:rFonts w:cs="Times New Roman"/>
                <w:color w:val="000000" w:themeColor="text1"/>
                <w:sz w:val="18"/>
                <w:szCs w:val="18"/>
                <w:lang w:eastAsia="lv-LV"/>
              </w:rPr>
            </w:pPr>
            <w:r w:rsidRPr="005346E4">
              <w:rPr>
                <w:rFonts w:cs="Times New Roman"/>
                <w:color w:val="000000" w:themeColor="text1"/>
                <w:sz w:val="18"/>
                <w:szCs w:val="18"/>
                <w:lang w:eastAsia="lv-LV"/>
              </w:rPr>
              <w:t>12a. Ražošanas un importa nodokļi</w:t>
            </w:r>
          </w:p>
        </w:tc>
        <w:tc>
          <w:tcPr>
            <w:tcW w:w="992" w:type="dxa"/>
            <w:vAlign w:val="center"/>
            <w:hideMark/>
          </w:tcPr>
          <w:p w14:paraId="25875B7D" w14:textId="77777777" w:rsidR="00D21E1F" w:rsidRPr="005346E4"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000000" w:themeColor="text1"/>
                <w:sz w:val="18"/>
                <w:szCs w:val="18"/>
                <w:lang w:eastAsia="lv-LV"/>
              </w:rPr>
            </w:pPr>
            <w:r w:rsidRPr="005346E4">
              <w:rPr>
                <w:rFonts w:cs="Times New Roman"/>
                <w:bCs/>
                <w:color w:val="000000" w:themeColor="text1"/>
                <w:sz w:val="18"/>
                <w:szCs w:val="18"/>
                <w:lang w:eastAsia="lv-LV"/>
              </w:rPr>
              <w:t>D.2</w:t>
            </w:r>
          </w:p>
        </w:tc>
        <w:tc>
          <w:tcPr>
            <w:tcW w:w="1276" w:type="dxa"/>
            <w:vAlign w:val="center"/>
          </w:tcPr>
          <w:p w14:paraId="54CD8501" w14:textId="0BB32F34"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5 224,5</w:t>
            </w:r>
          </w:p>
        </w:tc>
        <w:tc>
          <w:tcPr>
            <w:tcW w:w="861" w:type="dxa"/>
            <w:vAlign w:val="center"/>
          </w:tcPr>
          <w:p w14:paraId="6B7452D9" w14:textId="74268E4B"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13,4</w:t>
            </w:r>
          </w:p>
        </w:tc>
        <w:tc>
          <w:tcPr>
            <w:tcW w:w="708" w:type="dxa"/>
            <w:vAlign w:val="center"/>
          </w:tcPr>
          <w:p w14:paraId="689B46B7" w14:textId="062DBA20"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12,8</w:t>
            </w:r>
          </w:p>
        </w:tc>
        <w:tc>
          <w:tcPr>
            <w:tcW w:w="709" w:type="dxa"/>
            <w:vAlign w:val="center"/>
          </w:tcPr>
          <w:p w14:paraId="27F4CC4C" w14:textId="234A203D"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12,9</w:t>
            </w:r>
          </w:p>
        </w:tc>
        <w:tc>
          <w:tcPr>
            <w:tcW w:w="709" w:type="dxa"/>
            <w:vAlign w:val="center"/>
          </w:tcPr>
          <w:p w14:paraId="754E5613" w14:textId="6DC389FE"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12,8</w:t>
            </w:r>
          </w:p>
        </w:tc>
        <w:tc>
          <w:tcPr>
            <w:tcW w:w="709" w:type="dxa"/>
            <w:vAlign w:val="center"/>
          </w:tcPr>
          <w:p w14:paraId="59490845" w14:textId="0191BA35"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12,7</w:t>
            </w:r>
          </w:p>
        </w:tc>
      </w:tr>
      <w:tr w:rsidR="00D21E1F" w:rsidRPr="005346E4" w14:paraId="33B95B2C" w14:textId="77777777" w:rsidTr="007306F1">
        <w:trPr>
          <w:trHeight w:val="383"/>
          <w:jc w:val="center"/>
        </w:trPr>
        <w:tc>
          <w:tcPr>
            <w:cnfStyle w:val="001000000000" w:firstRow="0" w:lastRow="0" w:firstColumn="1" w:lastColumn="0" w:oddVBand="0" w:evenVBand="0" w:oddHBand="0" w:evenHBand="0" w:firstRowFirstColumn="0" w:firstRowLastColumn="0" w:lastRowFirstColumn="0" w:lastRowLastColumn="0"/>
            <w:tcW w:w="3260" w:type="dxa"/>
            <w:hideMark/>
          </w:tcPr>
          <w:p w14:paraId="5FF89997" w14:textId="77777777" w:rsidR="00D21E1F" w:rsidRPr="005346E4" w:rsidRDefault="00D21E1F" w:rsidP="00D21E1F">
            <w:pPr>
              <w:ind w:firstLine="0"/>
              <w:rPr>
                <w:rFonts w:cs="Times New Roman"/>
                <w:color w:val="000000" w:themeColor="text1"/>
                <w:sz w:val="18"/>
                <w:szCs w:val="18"/>
                <w:lang w:eastAsia="lv-LV"/>
              </w:rPr>
            </w:pPr>
            <w:r w:rsidRPr="005346E4">
              <w:rPr>
                <w:rFonts w:cs="Times New Roman"/>
                <w:color w:val="000000" w:themeColor="text1"/>
                <w:sz w:val="18"/>
                <w:szCs w:val="18"/>
                <w:lang w:eastAsia="lv-LV"/>
              </w:rPr>
              <w:t>12b. Ienākuma un mantas kārtējie nodokļi</w:t>
            </w:r>
          </w:p>
        </w:tc>
        <w:tc>
          <w:tcPr>
            <w:tcW w:w="992" w:type="dxa"/>
            <w:vAlign w:val="center"/>
            <w:hideMark/>
          </w:tcPr>
          <w:p w14:paraId="5F2928DE" w14:textId="77777777" w:rsidR="00D21E1F" w:rsidRPr="005346E4"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000000" w:themeColor="text1"/>
                <w:sz w:val="18"/>
                <w:szCs w:val="18"/>
                <w:lang w:eastAsia="lv-LV"/>
              </w:rPr>
            </w:pPr>
            <w:r w:rsidRPr="005346E4">
              <w:rPr>
                <w:rFonts w:cs="Times New Roman"/>
                <w:bCs/>
                <w:color w:val="000000" w:themeColor="text1"/>
                <w:sz w:val="18"/>
                <w:szCs w:val="18"/>
                <w:lang w:eastAsia="lv-LV"/>
              </w:rPr>
              <w:t>D.5</w:t>
            </w:r>
          </w:p>
        </w:tc>
        <w:tc>
          <w:tcPr>
            <w:tcW w:w="1276" w:type="dxa"/>
            <w:vAlign w:val="center"/>
          </w:tcPr>
          <w:p w14:paraId="4911C5E2" w14:textId="4EA12A24"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2 711,7</w:t>
            </w:r>
          </w:p>
        </w:tc>
        <w:tc>
          <w:tcPr>
            <w:tcW w:w="861" w:type="dxa"/>
            <w:vAlign w:val="center"/>
          </w:tcPr>
          <w:p w14:paraId="49E144E5" w14:textId="17DA8B56"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6,9</w:t>
            </w:r>
          </w:p>
        </w:tc>
        <w:tc>
          <w:tcPr>
            <w:tcW w:w="708" w:type="dxa"/>
            <w:vAlign w:val="center"/>
          </w:tcPr>
          <w:p w14:paraId="621CDE34" w14:textId="36202288"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6,6</w:t>
            </w:r>
          </w:p>
        </w:tc>
        <w:tc>
          <w:tcPr>
            <w:tcW w:w="709" w:type="dxa"/>
            <w:vAlign w:val="center"/>
          </w:tcPr>
          <w:p w14:paraId="08856901" w14:textId="09D98F68"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6,6</w:t>
            </w:r>
          </w:p>
        </w:tc>
        <w:tc>
          <w:tcPr>
            <w:tcW w:w="709" w:type="dxa"/>
            <w:vAlign w:val="center"/>
          </w:tcPr>
          <w:p w14:paraId="011A055D" w14:textId="7A5F2DA5"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6,6</w:t>
            </w:r>
          </w:p>
        </w:tc>
        <w:tc>
          <w:tcPr>
            <w:tcW w:w="709" w:type="dxa"/>
            <w:vAlign w:val="center"/>
          </w:tcPr>
          <w:p w14:paraId="5E4C6486" w14:textId="3066FADE"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6,6</w:t>
            </w:r>
          </w:p>
        </w:tc>
      </w:tr>
      <w:tr w:rsidR="00D21E1F" w:rsidRPr="005346E4" w14:paraId="7088E718" w14:textId="77777777" w:rsidTr="007306F1">
        <w:trPr>
          <w:cnfStyle w:val="000000100000" w:firstRow="0" w:lastRow="0" w:firstColumn="0" w:lastColumn="0" w:oddVBand="0" w:evenVBand="0" w:oddHBand="1" w:evenHBand="0" w:firstRowFirstColumn="0" w:firstRowLastColumn="0" w:lastRowFirstColumn="0" w:lastRowLastColumn="0"/>
          <w:trHeight w:val="54"/>
          <w:jc w:val="center"/>
        </w:trPr>
        <w:tc>
          <w:tcPr>
            <w:cnfStyle w:val="001000000000" w:firstRow="0" w:lastRow="0" w:firstColumn="1" w:lastColumn="0" w:oddVBand="0" w:evenVBand="0" w:oddHBand="0" w:evenHBand="0" w:firstRowFirstColumn="0" w:firstRowLastColumn="0" w:lastRowFirstColumn="0" w:lastRowLastColumn="0"/>
            <w:tcW w:w="3260" w:type="dxa"/>
            <w:hideMark/>
          </w:tcPr>
          <w:p w14:paraId="68EB7AE7" w14:textId="77777777" w:rsidR="00D21E1F" w:rsidRPr="005346E4" w:rsidRDefault="00D21E1F" w:rsidP="00D21E1F">
            <w:pPr>
              <w:ind w:firstLine="0"/>
              <w:rPr>
                <w:rFonts w:cs="Times New Roman"/>
                <w:color w:val="000000" w:themeColor="text1"/>
                <w:sz w:val="18"/>
                <w:szCs w:val="18"/>
                <w:lang w:eastAsia="lv-LV"/>
              </w:rPr>
            </w:pPr>
            <w:r w:rsidRPr="005346E4">
              <w:rPr>
                <w:rFonts w:cs="Times New Roman"/>
                <w:color w:val="000000" w:themeColor="text1"/>
                <w:sz w:val="18"/>
                <w:szCs w:val="18"/>
                <w:lang w:eastAsia="lv-LV"/>
              </w:rPr>
              <w:t>12c. Kapitāla nodokļi</w:t>
            </w:r>
          </w:p>
        </w:tc>
        <w:tc>
          <w:tcPr>
            <w:tcW w:w="992" w:type="dxa"/>
            <w:vAlign w:val="center"/>
            <w:hideMark/>
          </w:tcPr>
          <w:p w14:paraId="2CD6DA8B" w14:textId="77777777" w:rsidR="00D21E1F" w:rsidRPr="005346E4"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000000" w:themeColor="text1"/>
                <w:sz w:val="18"/>
                <w:szCs w:val="18"/>
                <w:lang w:eastAsia="lv-LV"/>
              </w:rPr>
            </w:pPr>
            <w:r w:rsidRPr="005346E4">
              <w:rPr>
                <w:rFonts w:cs="Times New Roman"/>
                <w:bCs/>
                <w:color w:val="000000" w:themeColor="text1"/>
                <w:sz w:val="18"/>
                <w:szCs w:val="18"/>
                <w:lang w:eastAsia="lv-LV"/>
              </w:rPr>
              <w:t>D.91</w:t>
            </w:r>
          </w:p>
        </w:tc>
        <w:tc>
          <w:tcPr>
            <w:tcW w:w="1276" w:type="dxa"/>
            <w:vAlign w:val="center"/>
          </w:tcPr>
          <w:p w14:paraId="498ACC2E" w14:textId="79B2EE16"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21,0</w:t>
            </w:r>
          </w:p>
        </w:tc>
        <w:tc>
          <w:tcPr>
            <w:tcW w:w="861" w:type="dxa"/>
            <w:vAlign w:val="center"/>
          </w:tcPr>
          <w:p w14:paraId="6CC7D7B3" w14:textId="6064C138"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0,1</w:t>
            </w:r>
          </w:p>
        </w:tc>
        <w:tc>
          <w:tcPr>
            <w:tcW w:w="708" w:type="dxa"/>
            <w:vAlign w:val="center"/>
          </w:tcPr>
          <w:p w14:paraId="49AAE9CF" w14:textId="14556BAC"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0,0</w:t>
            </w:r>
          </w:p>
        </w:tc>
        <w:tc>
          <w:tcPr>
            <w:tcW w:w="709" w:type="dxa"/>
            <w:vAlign w:val="center"/>
          </w:tcPr>
          <w:p w14:paraId="3CD886BC" w14:textId="2C104F4C"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0,0</w:t>
            </w:r>
          </w:p>
        </w:tc>
        <w:tc>
          <w:tcPr>
            <w:tcW w:w="709" w:type="dxa"/>
            <w:vAlign w:val="center"/>
          </w:tcPr>
          <w:p w14:paraId="59B5C0A6" w14:textId="08BED7BA"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0,0</w:t>
            </w:r>
          </w:p>
        </w:tc>
        <w:tc>
          <w:tcPr>
            <w:tcW w:w="709" w:type="dxa"/>
            <w:vAlign w:val="center"/>
          </w:tcPr>
          <w:p w14:paraId="2CAC7ECA" w14:textId="1C66A821"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0,0</w:t>
            </w:r>
          </w:p>
        </w:tc>
      </w:tr>
      <w:tr w:rsidR="00D21E1F" w:rsidRPr="005346E4" w14:paraId="18130815" w14:textId="77777777" w:rsidTr="007306F1">
        <w:trPr>
          <w:trHeight w:val="135"/>
          <w:jc w:val="center"/>
        </w:trPr>
        <w:tc>
          <w:tcPr>
            <w:cnfStyle w:val="001000000000" w:firstRow="0" w:lastRow="0" w:firstColumn="1" w:lastColumn="0" w:oddVBand="0" w:evenVBand="0" w:oddHBand="0" w:evenHBand="0" w:firstRowFirstColumn="0" w:firstRowLastColumn="0" w:lastRowFirstColumn="0" w:lastRowLastColumn="0"/>
            <w:tcW w:w="3260" w:type="dxa"/>
            <w:hideMark/>
          </w:tcPr>
          <w:p w14:paraId="4F166A25" w14:textId="77777777" w:rsidR="00D21E1F" w:rsidRPr="005346E4" w:rsidRDefault="00D21E1F" w:rsidP="00D21E1F">
            <w:pPr>
              <w:ind w:firstLine="0"/>
              <w:rPr>
                <w:rFonts w:cs="Times New Roman"/>
                <w:color w:val="000000" w:themeColor="text1"/>
                <w:sz w:val="18"/>
                <w:szCs w:val="18"/>
                <w:lang w:eastAsia="lv-LV"/>
              </w:rPr>
            </w:pPr>
            <w:r w:rsidRPr="005346E4">
              <w:rPr>
                <w:rFonts w:cs="Times New Roman"/>
                <w:color w:val="000000" w:themeColor="text1"/>
                <w:sz w:val="18"/>
                <w:szCs w:val="18"/>
                <w:lang w:eastAsia="lv-LV"/>
              </w:rPr>
              <w:t>13. Sociālās iemaksas</w:t>
            </w:r>
          </w:p>
        </w:tc>
        <w:tc>
          <w:tcPr>
            <w:tcW w:w="992" w:type="dxa"/>
            <w:vAlign w:val="center"/>
            <w:hideMark/>
          </w:tcPr>
          <w:p w14:paraId="29F2F2F9" w14:textId="77777777" w:rsidR="00D21E1F" w:rsidRPr="005346E4"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000000" w:themeColor="text1"/>
                <w:sz w:val="18"/>
                <w:szCs w:val="18"/>
                <w:lang w:eastAsia="lv-LV"/>
              </w:rPr>
            </w:pPr>
            <w:r w:rsidRPr="005346E4">
              <w:rPr>
                <w:rFonts w:cs="Times New Roman"/>
                <w:bCs/>
                <w:color w:val="000000" w:themeColor="text1"/>
                <w:sz w:val="18"/>
                <w:szCs w:val="18"/>
                <w:lang w:eastAsia="lv-LV"/>
              </w:rPr>
              <w:t>D.61</w:t>
            </w:r>
          </w:p>
        </w:tc>
        <w:tc>
          <w:tcPr>
            <w:tcW w:w="1276" w:type="dxa"/>
            <w:vAlign w:val="center"/>
          </w:tcPr>
          <w:p w14:paraId="685FF2A7" w14:textId="294CBE40"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3 786,4</w:t>
            </w:r>
          </w:p>
        </w:tc>
        <w:tc>
          <w:tcPr>
            <w:tcW w:w="861" w:type="dxa"/>
            <w:vAlign w:val="center"/>
          </w:tcPr>
          <w:p w14:paraId="43ECD359" w14:textId="002B62F0"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9,7</w:t>
            </w:r>
          </w:p>
        </w:tc>
        <w:tc>
          <w:tcPr>
            <w:tcW w:w="708" w:type="dxa"/>
            <w:vAlign w:val="center"/>
          </w:tcPr>
          <w:p w14:paraId="6F74DFA3" w14:textId="1B7F41D2"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9,6</w:t>
            </w:r>
          </w:p>
        </w:tc>
        <w:tc>
          <w:tcPr>
            <w:tcW w:w="709" w:type="dxa"/>
            <w:vAlign w:val="center"/>
          </w:tcPr>
          <w:p w14:paraId="71B4560A" w14:textId="7C0CC458"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9,9</w:t>
            </w:r>
          </w:p>
        </w:tc>
        <w:tc>
          <w:tcPr>
            <w:tcW w:w="709" w:type="dxa"/>
            <w:vAlign w:val="center"/>
          </w:tcPr>
          <w:p w14:paraId="2E55B824" w14:textId="10D54EE5"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9,9</w:t>
            </w:r>
          </w:p>
        </w:tc>
        <w:tc>
          <w:tcPr>
            <w:tcW w:w="709" w:type="dxa"/>
            <w:vAlign w:val="center"/>
          </w:tcPr>
          <w:p w14:paraId="29861652" w14:textId="62406275"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9,8</w:t>
            </w:r>
          </w:p>
        </w:tc>
      </w:tr>
      <w:tr w:rsidR="00D21E1F" w:rsidRPr="005346E4" w14:paraId="0B50FA2D" w14:textId="77777777" w:rsidTr="007306F1">
        <w:trPr>
          <w:cnfStyle w:val="000000100000" w:firstRow="0" w:lastRow="0" w:firstColumn="0" w:lastColumn="0" w:oddVBand="0" w:evenVBand="0" w:oddHBand="1" w:evenHBand="0" w:firstRowFirstColumn="0" w:firstRowLastColumn="0" w:lastRowFirstColumn="0" w:lastRowLastColumn="0"/>
          <w:trHeight w:val="181"/>
          <w:jc w:val="center"/>
        </w:trPr>
        <w:tc>
          <w:tcPr>
            <w:cnfStyle w:val="001000000000" w:firstRow="0" w:lastRow="0" w:firstColumn="1" w:lastColumn="0" w:oddVBand="0" w:evenVBand="0" w:oddHBand="0" w:evenHBand="0" w:firstRowFirstColumn="0" w:firstRowLastColumn="0" w:lastRowFirstColumn="0" w:lastRowLastColumn="0"/>
            <w:tcW w:w="3260" w:type="dxa"/>
            <w:hideMark/>
          </w:tcPr>
          <w:p w14:paraId="2D29BB43" w14:textId="77777777" w:rsidR="00D21E1F" w:rsidRPr="005346E4" w:rsidRDefault="00D21E1F" w:rsidP="00D21E1F">
            <w:pPr>
              <w:ind w:firstLine="0"/>
              <w:rPr>
                <w:rFonts w:cs="Times New Roman"/>
                <w:color w:val="000000" w:themeColor="text1"/>
                <w:sz w:val="18"/>
                <w:szCs w:val="18"/>
                <w:lang w:eastAsia="lv-LV"/>
              </w:rPr>
            </w:pPr>
            <w:r w:rsidRPr="005346E4">
              <w:rPr>
                <w:rFonts w:cs="Times New Roman"/>
                <w:color w:val="000000" w:themeColor="text1"/>
                <w:sz w:val="18"/>
                <w:szCs w:val="18"/>
                <w:lang w:eastAsia="lv-LV"/>
              </w:rPr>
              <w:t>14. Īpašuma ienākumi</w:t>
            </w:r>
          </w:p>
        </w:tc>
        <w:tc>
          <w:tcPr>
            <w:tcW w:w="992" w:type="dxa"/>
            <w:vAlign w:val="center"/>
            <w:hideMark/>
          </w:tcPr>
          <w:p w14:paraId="3501C492" w14:textId="77777777" w:rsidR="00D21E1F" w:rsidRPr="005346E4"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000000" w:themeColor="text1"/>
                <w:sz w:val="18"/>
                <w:szCs w:val="18"/>
                <w:lang w:eastAsia="lv-LV"/>
              </w:rPr>
            </w:pPr>
            <w:r w:rsidRPr="005346E4">
              <w:rPr>
                <w:rFonts w:cs="Times New Roman"/>
                <w:bCs/>
                <w:color w:val="000000" w:themeColor="text1"/>
                <w:sz w:val="18"/>
                <w:szCs w:val="18"/>
                <w:lang w:eastAsia="lv-LV"/>
              </w:rPr>
              <w:t>D.4</w:t>
            </w:r>
          </w:p>
        </w:tc>
        <w:tc>
          <w:tcPr>
            <w:tcW w:w="1276" w:type="dxa"/>
            <w:vAlign w:val="center"/>
          </w:tcPr>
          <w:p w14:paraId="1FDED69B" w14:textId="5B0E1657"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284,2</w:t>
            </w:r>
          </w:p>
        </w:tc>
        <w:tc>
          <w:tcPr>
            <w:tcW w:w="861" w:type="dxa"/>
            <w:vAlign w:val="center"/>
          </w:tcPr>
          <w:p w14:paraId="42DBA950" w14:textId="467C00C4"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0,7</w:t>
            </w:r>
          </w:p>
        </w:tc>
        <w:tc>
          <w:tcPr>
            <w:tcW w:w="708" w:type="dxa"/>
            <w:vAlign w:val="center"/>
          </w:tcPr>
          <w:p w14:paraId="7FFB33F5" w14:textId="1E362E08"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1,0</w:t>
            </w:r>
          </w:p>
        </w:tc>
        <w:tc>
          <w:tcPr>
            <w:tcW w:w="709" w:type="dxa"/>
            <w:vAlign w:val="center"/>
          </w:tcPr>
          <w:p w14:paraId="63052C4C" w14:textId="1F909FAE"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0,7</w:t>
            </w:r>
          </w:p>
        </w:tc>
        <w:tc>
          <w:tcPr>
            <w:tcW w:w="709" w:type="dxa"/>
            <w:vAlign w:val="center"/>
          </w:tcPr>
          <w:p w14:paraId="588147D5" w14:textId="0A4AA796"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0,5</w:t>
            </w:r>
          </w:p>
        </w:tc>
        <w:tc>
          <w:tcPr>
            <w:tcW w:w="709" w:type="dxa"/>
            <w:vAlign w:val="center"/>
          </w:tcPr>
          <w:p w14:paraId="72ADA99E" w14:textId="6D0BE302"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0,4</w:t>
            </w:r>
          </w:p>
        </w:tc>
      </w:tr>
      <w:tr w:rsidR="00D21E1F" w:rsidRPr="005346E4" w14:paraId="50545CAF" w14:textId="77777777" w:rsidTr="007306F1">
        <w:trPr>
          <w:trHeight w:val="227"/>
          <w:jc w:val="center"/>
        </w:trPr>
        <w:tc>
          <w:tcPr>
            <w:cnfStyle w:val="001000000000" w:firstRow="0" w:lastRow="0" w:firstColumn="1" w:lastColumn="0" w:oddVBand="0" w:evenVBand="0" w:oddHBand="0" w:evenHBand="0" w:firstRowFirstColumn="0" w:firstRowLastColumn="0" w:lastRowFirstColumn="0" w:lastRowLastColumn="0"/>
            <w:tcW w:w="3260" w:type="dxa"/>
            <w:hideMark/>
          </w:tcPr>
          <w:p w14:paraId="3C9A59DA" w14:textId="77777777" w:rsidR="00D21E1F" w:rsidRPr="005346E4" w:rsidRDefault="00D21E1F" w:rsidP="00D21E1F">
            <w:pPr>
              <w:ind w:firstLine="0"/>
              <w:rPr>
                <w:rFonts w:cs="Times New Roman"/>
                <w:color w:val="000000" w:themeColor="text1"/>
                <w:sz w:val="18"/>
                <w:szCs w:val="18"/>
                <w:lang w:eastAsia="lv-LV"/>
              </w:rPr>
            </w:pPr>
            <w:r w:rsidRPr="005346E4">
              <w:rPr>
                <w:rFonts w:cs="Times New Roman"/>
                <w:color w:val="000000" w:themeColor="text1"/>
                <w:sz w:val="18"/>
                <w:szCs w:val="18"/>
                <w:lang w:eastAsia="lv-LV"/>
              </w:rPr>
              <w:t>15. Pārējie ieņēmumi</w:t>
            </w:r>
          </w:p>
        </w:tc>
        <w:tc>
          <w:tcPr>
            <w:tcW w:w="992" w:type="dxa"/>
            <w:vAlign w:val="center"/>
            <w:hideMark/>
          </w:tcPr>
          <w:p w14:paraId="0875E14E" w14:textId="77777777" w:rsidR="00D21E1F" w:rsidRPr="005346E4"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000000" w:themeColor="text1"/>
                <w:sz w:val="18"/>
                <w:szCs w:val="18"/>
                <w:lang w:eastAsia="lv-LV"/>
              </w:rPr>
            </w:pPr>
          </w:p>
        </w:tc>
        <w:tc>
          <w:tcPr>
            <w:tcW w:w="1276" w:type="dxa"/>
            <w:vAlign w:val="center"/>
          </w:tcPr>
          <w:p w14:paraId="2D513066" w14:textId="7C10A26F"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2 090,3</w:t>
            </w:r>
          </w:p>
        </w:tc>
        <w:tc>
          <w:tcPr>
            <w:tcW w:w="861" w:type="dxa"/>
            <w:vAlign w:val="center"/>
          </w:tcPr>
          <w:p w14:paraId="1EBA8256" w14:textId="25346CF2"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5,3</w:t>
            </w:r>
          </w:p>
        </w:tc>
        <w:tc>
          <w:tcPr>
            <w:tcW w:w="708" w:type="dxa"/>
            <w:vAlign w:val="center"/>
          </w:tcPr>
          <w:p w14:paraId="7426E971" w14:textId="674433B0"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5,9</w:t>
            </w:r>
          </w:p>
        </w:tc>
        <w:tc>
          <w:tcPr>
            <w:tcW w:w="709" w:type="dxa"/>
            <w:vAlign w:val="center"/>
          </w:tcPr>
          <w:p w14:paraId="13D689D7" w14:textId="3E7FD47C"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6,0</w:t>
            </w:r>
          </w:p>
        </w:tc>
        <w:tc>
          <w:tcPr>
            <w:tcW w:w="709" w:type="dxa"/>
            <w:vAlign w:val="center"/>
          </w:tcPr>
          <w:p w14:paraId="2872C543" w14:textId="490761F4"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5,5</w:t>
            </w:r>
          </w:p>
        </w:tc>
        <w:tc>
          <w:tcPr>
            <w:tcW w:w="709" w:type="dxa"/>
            <w:vAlign w:val="center"/>
          </w:tcPr>
          <w:p w14:paraId="5606721B" w14:textId="3B459D5D"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5,4</w:t>
            </w:r>
          </w:p>
        </w:tc>
      </w:tr>
      <w:tr w:rsidR="00D21E1F" w:rsidRPr="005346E4" w14:paraId="7E87EB05" w14:textId="77777777" w:rsidTr="007306F1">
        <w:trPr>
          <w:cnfStyle w:val="000000100000" w:firstRow="0" w:lastRow="0" w:firstColumn="0" w:lastColumn="0" w:oddVBand="0" w:evenVBand="0" w:oddHBand="1" w:evenHBand="0" w:firstRowFirstColumn="0" w:firstRowLastColumn="0" w:lastRowFirstColumn="0" w:lastRowLastColumn="0"/>
          <w:trHeight w:val="273"/>
          <w:jc w:val="center"/>
        </w:trPr>
        <w:tc>
          <w:tcPr>
            <w:cnfStyle w:val="001000000000" w:firstRow="0" w:lastRow="0" w:firstColumn="1" w:lastColumn="0" w:oddVBand="0" w:evenVBand="0" w:oddHBand="0" w:evenHBand="0" w:firstRowFirstColumn="0" w:firstRowLastColumn="0" w:lastRowFirstColumn="0" w:lastRowLastColumn="0"/>
            <w:tcW w:w="3260" w:type="dxa"/>
            <w:hideMark/>
          </w:tcPr>
          <w:p w14:paraId="4F748E79" w14:textId="77777777" w:rsidR="00D21E1F" w:rsidRPr="005346E4" w:rsidRDefault="00D21E1F" w:rsidP="00D21E1F">
            <w:pPr>
              <w:ind w:firstLine="0"/>
              <w:rPr>
                <w:rFonts w:cs="Times New Roman"/>
                <w:color w:val="000000" w:themeColor="text1"/>
                <w:sz w:val="18"/>
                <w:szCs w:val="18"/>
                <w:lang w:eastAsia="lv-LV"/>
              </w:rPr>
            </w:pPr>
            <w:r w:rsidRPr="005346E4">
              <w:rPr>
                <w:rFonts w:cs="Times New Roman"/>
                <w:color w:val="000000" w:themeColor="text1"/>
                <w:sz w:val="18"/>
                <w:szCs w:val="18"/>
                <w:lang w:eastAsia="lv-LV"/>
              </w:rPr>
              <w:t>16. Kopējie ieņēmumi</w:t>
            </w:r>
          </w:p>
        </w:tc>
        <w:tc>
          <w:tcPr>
            <w:tcW w:w="992" w:type="dxa"/>
            <w:vAlign w:val="center"/>
            <w:hideMark/>
          </w:tcPr>
          <w:p w14:paraId="458A9D2F" w14:textId="77777777" w:rsidR="00D21E1F" w:rsidRPr="005346E4"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000000" w:themeColor="text1"/>
                <w:sz w:val="18"/>
                <w:szCs w:val="18"/>
                <w:lang w:eastAsia="lv-LV"/>
              </w:rPr>
            </w:pPr>
            <w:r w:rsidRPr="005346E4">
              <w:rPr>
                <w:rFonts w:cs="Times New Roman"/>
                <w:bCs/>
                <w:color w:val="000000" w:themeColor="text1"/>
                <w:sz w:val="18"/>
                <w:szCs w:val="18"/>
                <w:lang w:eastAsia="lv-LV"/>
              </w:rPr>
              <w:t>TR</w:t>
            </w:r>
          </w:p>
        </w:tc>
        <w:tc>
          <w:tcPr>
            <w:tcW w:w="1276" w:type="dxa"/>
            <w:vAlign w:val="center"/>
          </w:tcPr>
          <w:p w14:paraId="71BCFD1F" w14:textId="78B2DCD0"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14 118,2</w:t>
            </w:r>
          </w:p>
        </w:tc>
        <w:tc>
          <w:tcPr>
            <w:tcW w:w="861" w:type="dxa"/>
            <w:vAlign w:val="center"/>
          </w:tcPr>
          <w:p w14:paraId="7A47816C" w14:textId="00CE0436"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36,1</w:t>
            </w:r>
          </w:p>
        </w:tc>
        <w:tc>
          <w:tcPr>
            <w:tcW w:w="708" w:type="dxa"/>
            <w:vAlign w:val="center"/>
          </w:tcPr>
          <w:p w14:paraId="243D137B" w14:textId="7A844DC7"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36,0</w:t>
            </w:r>
          </w:p>
        </w:tc>
        <w:tc>
          <w:tcPr>
            <w:tcW w:w="709" w:type="dxa"/>
            <w:vAlign w:val="center"/>
          </w:tcPr>
          <w:p w14:paraId="56212A47" w14:textId="40A8B40B"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36,1</w:t>
            </w:r>
          </w:p>
        </w:tc>
        <w:tc>
          <w:tcPr>
            <w:tcW w:w="709" w:type="dxa"/>
            <w:vAlign w:val="center"/>
          </w:tcPr>
          <w:p w14:paraId="515FC267" w14:textId="230FECD4"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35,4</w:t>
            </w:r>
          </w:p>
        </w:tc>
        <w:tc>
          <w:tcPr>
            <w:tcW w:w="709" w:type="dxa"/>
            <w:vAlign w:val="center"/>
          </w:tcPr>
          <w:p w14:paraId="61B1D6BD" w14:textId="34FD4AE5"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34,9</w:t>
            </w:r>
          </w:p>
        </w:tc>
      </w:tr>
      <w:tr w:rsidR="00D21E1F" w:rsidRPr="005346E4" w14:paraId="19A33696" w14:textId="77777777" w:rsidTr="007306F1">
        <w:trPr>
          <w:trHeight w:val="223"/>
          <w:jc w:val="center"/>
        </w:trPr>
        <w:tc>
          <w:tcPr>
            <w:cnfStyle w:val="001000000000" w:firstRow="0" w:lastRow="0" w:firstColumn="1" w:lastColumn="0" w:oddVBand="0" w:evenVBand="0" w:oddHBand="0" w:evenHBand="0" w:firstRowFirstColumn="0" w:firstRowLastColumn="0" w:lastRowFirstColumn="0" w:lastRowLastColumn="0"/>
            <w:tcW w:w="3260" w:type="dxa"/>
            <w:hideMark/>
          </w:tcPr>
          <w:p w14:paraId="3F502144" w14:textId="77777777" w:rsidR="00D21E1F" w:rsidRPr="005346E4" w:rsidRDefault="00D21E1F" w:rsidP="00D21E1F">
            <w:pPr>
              <w:ind w:firstLine="0"/>
              <w:rPr>
                <w:rFonts w:cs="Times New Roman"/>
                <w:color w:val="000000" w:themeColor="text1"/>
                <w:sz w:val="18"/>
                <w:szCs w:val="18"/>
                <w:lang w:eastAsia="lv-LV"/>
              </w:rPr>
            </w:pPr>
            <w:r w:rsidRPr="005346E4">
              <w:rPr>
                <w:rFonts w:cs="Times New Roman"/>
                <w:color w:val="000000" w:themeColor="text1"/>
                <w:sz w:val="18"/>
                <w:szCs w:val="18"/>
                <w:lang w:eastAsia="lv-LV"/>
              </w:rPr>
              <w:t>Nodokļu slogs (D.2</w:t>
            </w:r>
            <w:r w:rsidRPr="005346E4">
              <w:rPr>
                <w:rFonts w:cs="Times New Roman"/>
                <w:b w:val="0"/>
                <w:bCs w:val="0"/>
                <w:color w:val="000000" w:themeColor="text1"/>
                <w:sz w:val="18"/>
                <w:szCs w:val="18"/>
                <w:vertAlign w:val="superscript"/>
                <w:lang w:eastAsia="lv-LV"/>
              </w:rPr>
              <w:footnoteReference w:id="21"/>
            </w:r>
            <w:r w:rsidRPr="005346E4">
              <w:rPr>
                <w:rFonts w:cs="Times New Roman"/>
                <w:color w:val="000000" w:themeColor="text1"/>
                <w:sz w:val="18"/>
                <w:szCs w:val="18"/>
                <w:lang w:eastAsia="lv-LV"/>
              </w:rPr>
              <w:t>+D.5+D.61+D.91-D.995)</w:t>
            </w:r>
          </w:p>
        </w:tc>
        <w:tc>
          <w:tcPr>
            <w:tcW w:w="992" w:type="dxa"/>
            <w:vAlign w:val="center"/>
            <w:hideMark/>
          </w:tcPr>
          <w:p w14:paraId="001910B0" w14:textId="77777777" w:rsidR="00D21E1F" w:rsidRPr="005346E4"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000000" w:themeColor="text1"/>
                <w:sz w:val="18"/>
                <w:szCs w:val="18"/>
                <w:lang w:eastAsia="lv-LV"/>
              </w:rPr>
            </w:pPr>
          </w:p>
        </w:tc>
        <w:tc>
          <w:tcPr>
            <w:tcW w:w="1276" w:type="dxa"/>
            <w:vAlign w:val="center"/>
          </w:tcPr>
          <w:p w14:paraId="5CA1E164" w14:textId="742F10C6" w:rsidR="00D21E1F" w:rsidRPr="00D21E1F" w:rsidRDefault="00D21E1F" w:rsidP="00D21E1F">
            <w:pPr>
              <w:ind w:firstLine="0"/>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11 837,0</w:t>
            </w:r>
          </w:p>
        </w:tc>
        <w:tc>
          <w:tcPr>
            <w:tcW w:w="861" w:type="dxa"/>
            <w:vAlign w:val="center"/>
          </w:tcPr>
          <w:p w14:paraId="49508EAC" w14:textId="4CA3771D"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30,3</w:t>
            </w:r>
          </w:p>
        </w:tc>
        <w:tc>
          <w:tcPr>
            <w:tcW w:w="708" w:type="dxa"/>
            <w:vAlign w:val="center"/>
          </w:tcPr>
          <w:p w14:paraId="327E3FB1" w14:textId="361D5EB0"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29,2</w:t>
            </w:r>
          </w:p>
        </w:tc>
        <w:tc>
          <w:tcPr>
            <w:tcW w:w="709" w:type="dxa"/>
            <w:vAlign w:val="center"/>
          </w:tcPr>
          <w:p w14:paraId="305E2FA9" w14:textId="1FC666E6"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29,6</w:t>
            </w:r>
          </w:p>
        </w:tc>
        <w:tc>
          <w:tcPr>
            <w:tcW w:w="709" w:type="dxa"/>
            <w:vAlign w:val="center"/>
          </w:tcPr>
          <w:p w14:paraId="28572F60" w14:textId="19663AAE"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29,5</w:t>
            </w:r>
          </w:p>
        </w:tc>
        <w:tc>
          <w:tcPr>
            <w:tcW w:w="709" w:type="dxa"/>
            <w:vAlign w:val="center"/>
          </w:tcPr>
          <w:p w14:paraId="33C14C91" w14:textId="01E5F6BD"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29,3</w:t>
            </w:r>
          </w:p>
        </w:tc>
      </w:tr>
    </w:tbl>
    <w:tbl>
      <w:tblPr>
        <w:tblStyle w:val="GridTable6Colorful-Accent113"/>
        <w:tblW w:w="9229" w:type="dxa"/>
        <w:jc w:val="center"/>
        <w:tblLayout w:type="fixed"/>
        <w:tblLook w:val="04A0" w:firstRow="1" w:lastRow="0" w:firstColumn="1" w:lastColumn="0" w:noHBand="0" w:noVBand="1"/>
      </w:tblPr>
      <w:tblGrid>
        <w:gridCol w:w="9229"/>
      </w:tblGrid>
      <w:tr w:rsidR="00D21E1F" w:rsidRPr="005346E4" w14:paraId="1C8A99A9" w14:textId="77777777" w:rsidTr="007306F1">
        <w:trPr>
          <w:cnfStyle w:val="100000000000" w:firstRow="1" w:lastRow="0" w:firstColumn="0" w:lastColumn="0" w:oddVBand="0" w:evenVBand="0" w:oddHBand="0" w:evenHBand="0" w:firstRowFirstColumn="0" w:firstRowLastColumn="0" w:lastRowFirstColumn="0" w:lastRowLastColumn="0"/>
          <w:trHeight w:val="141"/>
          <w:jc w:val="center"/>
        </w:trPr>
        <w:tc>
          <w:tcPr>
            <w:cnfStyle w:val="001000000000" w:firstRow="0" w:lastRow="0" w:firstColumn="1" w:lastColumn="0" w:oddVBand="0" w:evenVBand="0" w:oddHBand="0" w:evenHBand="0" w:firstRowFirstColumn="0" w:firstRowLastColumn="0" w:lastRowFirstColumn="0" w:lastRowLastColumn="0"/>
            <w:tcW w:w="9229" w:type="dxa"/>
            <w:vAlign w:val="center"/>
            <w:hideMark/>
          </w:tcPr>
          <w:p w14:paraId="2571DF27" w14:textId="77777777" w:rsidR="00D21E1F" w:rsidRPr="005346E4" w:rsidRDefault="00D21E1F" w:rsidP="00E05086">
            <w:pPr>
              <w:jc w:val="center"/>
              <w:rPr>
                <w:rFonts w:cs="Times New Roman"/>
                <w:color w:val="000000" w:themeColor="text1"/>
                <w:sz w:val="18"/>
                <w:szCs w:val="18"/>
                <w:lang w:eastAsia="lv-LV"/>
              </w:rPr>
            </w:pPr>
            <w:r w:rsidRPr="005346E4">
              <w:rPr>
                <w:rFonts w:cs="Times New Roman"/>
                <w:color w:val="000000" w:themeColor="text1"/>
                <w:sz w:val="18"/>
                <w:szCs w:val="18"/>
                <w:lang w:eastAsia="lv-LV"/>
              </w:rPr>
              <w:t>Izdevumu sadaļas</w:t>
            </w:r>
          </w:p>
        </w:tc>
      </w:tr>
    </w:tbl>
    <w:tbl>
      <w:tblPr>
        <w:tblStyle w:val="GridTable6Colorful-Accent114"/>
        <w:tblW w:w="9224" w:type="dxa"/>
        <w:jc w:val="center"/>
        <w:tblLayout w:type="fixed"/>
        <w:tblLook w:val="04A0" w:firstRow="1" w:lastRow="0" w:firstColumn="1" w:lastColumn="0" w:noHBand="0" w:noVBand="1"/>
      </w:tblPr>
      <w:tblGrid>
        <w:gridCol w:w="3260"/>
        <w:gridCol w:w="992"/>
        <w:gridCol w:w="1276"/>
        <w:gridCol w:w="861"/>
        <w:gridCol w:w="708"/>
        <w:gridCol w:w="709"/>
        <w:gridCol w:w="709"/>
        <w:gridCol w:w="709"/>
      </w:tblGrid>
      <w:tr w:rsidR="00D21E1F" w:rsidRPr="005346E4" w14:paraId="34AE0D4D" w14:textId="77777777" w:rsidTr="007306F1">
        <w:trPr>
          <w:cnfStyle w:val="100000000000" w:firstRow="1" w:lastRow="0" w:firstColumn="0" w:lastColumn="0" w:oddVBand="0" w:evenVBand="0" w:oddHBand="0"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3260" w:type="dxa"/>
            <w:hideMark/>
          </w:tcPr>
          <w:p w14:paraId="0C35AE9B" w14:textId="77777777" w:rsidR="00D21E1F" w:rsidRPr="005346E4" w:rsidRDefault="00D21E1F" w:rsidP="00D21E1F">
            <w:pPr>
              <w:ind w:firstLine="0"/>
              <w:rPr>
                <w:rFonts w:cs="Times New Roman"/>
                <w:color w:val="000000" w:themeColor="text1"/>
                <w:sz w:val="18"/>
                <w:szCs w:val="18"/>
                <w:lang w:eastAsia="lv-LV"/>
              </w:rPr>
            </w:pPr>
            <w:r w:rsidRPr="005346E4">
              <w:rPr>
                <w:rFonts w:cs="Times New Roman"/>
                <w:color w:val="000000" w:themeColor="text1"/>
                <w:sz w:val="18"/>
                <w:szCs w:val="18"/>
                <w:lang w:eastAsia="lv-LV"/>
              </w:rPr>
              <w:t>17. Atlīdzība nodarbinātajiem un starppatēriņš</w:t>
            </w:r>
          </w:p>
        </w:tc>
        <w:tc>
          <w:tcPr>
            <w:tcW w:w="992" w:type="dxa"/>
            <w:vAlign w:val="center"/>
            <w:hideMark/>
          </w:tcPr>
          <w:p w14:paraId="02782B5B" w14:textId="77777777" w:rsidR="00D21E1F" w:rsidRPr="00C1707D" w:rsidRDefault="00D21E1F" w:rsidP="00D21E1F">
            <w:pPr>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color w:val="000000" w:themeColor="text1"/>
                <w:sz w:val="18"/>
                <w:szCs w:val="18"/>
                <w:lang w:eastAsia="lv-LV"/>
              </w:rPr>
            </w:pPr>
            <w:r w:rsidRPr="00C1707D">
              <w:rPr>
                <w:rFonts w:cs="Times New Roman"/>
                <w:b w:val="0"/>
                <w:bCs w:val="0"/>
                <w:color w:val="000000" w:themeColor="text1"/>
                <w:sz w:val="18"/>
                <w:szCs w:val="18"/>
                <w:lang w:eastAsia="lv-LV"/>
              </w:rPr>
              <w:t>D.1+P.2</w:t>
            </w:r>
          </w:p>
        </w:tc>
        <w:tc>
          <w:tcPr>
            <w:tcW w:w="1276" w:type="dxa"/>
            <w:vAlign w:val="center"/>
          </w:tcPr>
          <w:p w14:paraId="5723FAA1" w14:textId="4F88CA6F" w:rsidR="00D21E1F" w:rsidRPr="00C1707D" w:rsidRDefault="00D21E1F" w:rsidP="00825369">
            <w:pPr>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color w:val="000000" w:themeColor="text1"/>
                <w:sz w:val="18"/>
                <w:szCs w:val="18"/>
                <w:lang w:eastAsia="lv-LV"/>
              </w:rPr>
            </w:pPr>
            <w:r w:rsidRPr="00C1707D">
              <w:rPr>
                <w:b w:val="0"/>
                <w:bCs w:val="0"/>
                <w:color w:val="000000" w:themeColor="text1"/>
                <w:sz w:val="18"/>
                <w:szCs w:val="18"/>
              </w:rPr>
              <w:t>6 715,2</w:t>
            </w:r>
          </w:p>
        </w:tc>
        <w:tc>
          <w:tcPr>
            <w:tcW w:w="861" w:type="dxa"/>
            <w:vAlign w:val="center"/>
          </w:tcPr>
          <w:p w14:paraId="1A52D1A7" w14:textId="4DCAD47F" w:rsidR="00D21E1F" w:rsidRPr="00C1707D" w:rsidRDefault="00D21E1F" w:rsidP="00D21E1F">
            <w:pPr>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color w:val="000000" w:themeColor="text1"/>
                <w:sz w:val="18"/>
                <w:szCs w:val="18"/>
                <w:lang w:eastAsia="lv-LV"/>
              </w:rPr>
            </w:pPr>
            <w:r w:rsidRPr="00C1707D">
              <w:rPr>
                <w:b w:val="0"/>
                <w:bCs w:val="0"/>
                <w:color w:val="000000" w:themeColor="text1"/>
                <w:sz w:val="18"/>
                <w:szCs w:val="18"/>
              </w:rPr>
              <w:t>17,2</w:t>
            </w:r>
          </w:p>
        </w:tc>
        <w:tc>
          <w:tcPr>
            <w:tcW w:w="708" w:type="dxa"/>
            <w:vAlign w:val="center"/>
          </w:tcPr>
          <w:p w14:paraId="7641B201" w14:textId="7946F39C" w:rsidR="00D21E1F" w:rsidRPr="00C1707D" w:rsidRDefault="00D21E1F" w:rsidP="00D21E1F">
            <w:pPr>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color w:val="000000" w:themeColor="text1"/>
                <w:sz w:val="18"/>
                <w:szCs w:val="18"/>
                <w:lang w:eastAsia="lv-LV"/>
              </w:rPr>
            </w:pPr>
            <w:r w:rsidRPr="00C1707D">
              <w:rPr>
                <w:b w:val="0"/>
                <w:bCs w:val="0"/>
                <w:color w:val="000000" w:themeColor="text1"/>
                <w:sz w:val="18"/>
                <w:szCs w:val="18"/>
              </w:rPr>
              <w:t>16,2</w:t>
            </w:r>
          </w:p>
        </w:tc>
        <w:tc>
          <w:tcPr>
            <w:tcW w:w="709" w:type="dxa"/>
            <w:vAlign w:val="center"/>
          </w:tcPr>
          <w:p w14:paraId="5156D55C" w14:textId="31FCA1F5" w:rsidR="00D21E1F" w:rsidRPr="00C1707D" w:rsidRDefault="00D21E1F" w:rsidP="00D21E1F">
            <w:pPr>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color w:val="000000" w:themeColor="text1"/>
                <w:sz w:val="18"/>
                <w:szCs w:val="18"/>
                <w:lang w:eastAsia="lv-LV"/>
              </w:rPr>
            </w:pPr>
            <w:r w:rsidRPr="00C1707D">
              <w:rPr>
                <w:b w:val="0"/>
                <w:bCs w:val="0"/>
                <w:color w:val="000000" w:themeColor="text1"/>
                <w:sz w:val="18"/>
                <w:szCs w:val="18"/>
              </w:rPr>
              <w:t>15,7</w:t>
            </w:r>
          </w:p>
        </w:tc>
        <w:tc>
          <w:tcPr>
            <w:tcW w:w="709" w:type="dxa"/>
            <w:vAlign w:val="center"/>
          </w:tcPr>
          <w:p w14:paraId="0B441426" w14:textId="43DDF844" w:rsidR="00D21E1F" w:rsidRPr="00C1707D" w:rsidRDefault="00D21E1F" w:rsidP="00D21E1F">
            <w:pPr>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color w:val="000000" w:themeColor="text1"/>
                <w:sz w:val="18"/>
                <w:szCs w:val="18"/>
                <w:lang w:eastAsia="lv-LV"/>
              </w:rPr>
            </w:pPr>
            <w:r w:rsidRPr="00C1707D">
              <w:rPr>
                <w:b w:val="0"/>
                <w:bCs w:val="0"/>
                <w:color w:val="000000" w:themeColor="text1"/>
                <w:sz w:val="18"/>
                <w:szCs w:val="18"/>
              </w:rPr>
              <w:t>15,2</w:t>
            </w:r>
          </w:p>
        </w:tc>
        <w:tc>
          <w:tcPr>
            <w:tcW w:w="709" w:type="dxa"/>
            <w:vAlign w:val="center"/>
          </w:tcPr>
          <w:p w14:paraId="4DC5B498" w14:textId="358A0E63" w:rsidR="00D21E1F" w:rsidRPr="00C1707D" w:rsidRDefault="00D21E1F" w:rsidP="00D21E1F">
            <w:pPr>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color w:val="000000" w:themeColor="text1"/>
                <w:sz w:val="18"/>
                <w:szCs w:val="18"/>
                <w:lang w:eastAsia="lv-LV"/>
              </w:rPr>
            </w:pPr>
            <w:r w:rsidRPr="00C1707D">
              <w:rPr>
                <w:b w:val="0"/>
                <w:bCs w:val="0"/>
                <w:color w:val="000000" w:themeColor="text1"/>
                <w:sz w:val="18"/>
                <w:szCs w:val="18"/>
              </w:rPr>
              <w:t>14,4</w:t>
            </w:r>
          </w:p>
        </w:tc>
      </w:tr>
      <w:tr w:rsidR="00D21E1F" w:rsidRPr="005346E4" w14:paraId="7C6E914B" w14:textId="77777777" w:rsidTr="007306F1">
        <w:trPr>
          <w:cnfStyle w:val="000000100000" w:firstRow="0" w:lastRow="0" w:firstColumn="0" w:lastColumn="0" w:oddVBand="0" w:evenVBand="0" w:oddHBand="1" w:evenHBand="0" w:firstRowFirstColumn="0" w:firstRowLastColumn="0" w:lastRowFirstColumn="0" w:lastRowLastColumn="0"/>
          <w:trHeight w:val="121"/>
          <w:jc w:val="center"/>
        </w:trPr>
        <w:tc>
          <w:tcPr>
            <w:cnfStyle w:val="001000000000" w:firstRow="0" w:lastRow="0" w:firstColumn="1" w:lastColumn="0" w:oddVBand="0" w:evenVBand="0" w:oddHBand="0" w:evenHBand="0" w:firstRowFirstColumn="0" w:firstRowLastColumn="0" w:lastRowFirstColumn="0" w:lastRowLastColumn="0"/>
            <w:tcW w:w="3260" w:type="dxa"/>
            <w:hideMark/>
          </w:tcPr>
          <w:p w14:paraId="144113E6" w14:textId="77777777" w:rsidR="00D21E1F" w:rsidRPr="005346E4" w:rsidRDefault="00D21E1F" w:rsidP="00D21E1F">
            <w:pPr>
              <w:ind w:firstLine="0"/>
              <w:rPr>
                <w:rFonts w:cs="Times New Roman"/>
                <w:color w:val="000000" w:themeColor="text1"/>
                <w:sz w:val="18"/>
                <w:szCs w:val="18"/>
                <w:lang w:eastAsia="lv-LV"/>
              </w:rPr>
            </w:pPr>
            <w:r w:rsidRPr="005346E4">
              <w:rPr>
                <w:rFonts w:cs="Times New Roman"/>
                <w:color w:val="000000" w:themeColor="text1"/>
                <w:sz w:val="18"/>
                <w:szCs w:val="18"/>
                <w:lang w:eastAsia="lv-LV"/>
              </w:rPr>
              <w:t>17a. Atlīdzība nodarbinātajiem</w:t>
            </w:r>
          </w:p>
        </w:tc>
        <w:tc>
          <w:tcPr>
            <w:tcW w:w="992" w:type="dxa"/>
            <w:vAlign w:val="center"/>
            <w:hideMark/>
          </w:tcPr>
          <w:p w14:paraId="1FA518A0" w14:textId="77777777" w:rsidR="00D21E1F" w:rsidRPr="005346E4"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000000" w:themeColor="text1"/>
                <w:sz w:val="18"/>
                <w:szCs w:val="18"/>
                <w:lang w:eastAsia="lv-LV"/>
              </w:rPr>
            </w:pPr>
            <w:r w:rsidRPr="005346E4">
              <w:rPr>
                <w:rFonts w:cs="Times New Roman"/>
                <w:bCs/>
                <w:color w:val="000000" w:themeColor="text1"/>
                <w:sz w:val="18"/>
                <w:szCs w:val="18"/>
                <w:lang w:eastAsia="lv-LV"/>
              </w:rPr>
              <w:t>D.1</w:t>
            </w:r>
          </w:p>
        </w:tc>
        <w:tc>
          <w:tcPr>
            <w:tcW w:w="1276" w:type="dxa"/>
            <w:vAlign w:val="center"/>
          </w:tcPr>
          <w:p w14:paraId="1BAE8333" w14:textId="0C56C2F6"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3 985,8</w:t>
            </w:r>
          </w:p>
        </w:tc>
        <w:tc>
          <w:tcPr>
            <w:tcW w:w="861" w:type="dxa"/>
            <w:vAlign w:val="center"/>
          </w:tcPr>
          <w:p w14:paraId="10EC0389" w14:textId="7782066B"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10,2</w:t>
            </w:r>
          </w:p>
        </w:tc>
        <w:tc>
          <w:tcPr>
            <w:tcW w:w="708" w:type="dxa"/>
            <w:vAlign w:val="center"/>
          </w:tcPr>
          <w:p w14:paraId="49506799" w14:textId="523D39C5"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10,3</w:t>
            </w:r>
          </w:p>
        </w:tc>
        <w:tc>
          <w:tcPr>
            <w:tcW w:w="709" w:type="dxa"/>
            <w:vAlign w:val="center"/>
          </w:tcPr>
          <w:p w14:paraId="2CA347B4" w14:textId="11DE20FF"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10,0</w:t>
            </w:r>
          </w:p>
        </w:tc>
        <w:tc>
          <w:tcPr>
            <w:tcW w:w="709" w:type="dxa"/>
            <w:vAlign w:val="center"/>
          </w:tcPr>
          <w:p w14:paraId="0F02862E" w14:textId="11A495BB"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9,6</w:t>
            </w:r>
          </w:p>
        </w:tc>
        <w:tc>
          <w:tcPr>
            <w:tcW w:w="709" w:type="dxa"/>
            <w:vAlign w:val="center"/>
          </w:tcPr>
          <w:p w14:paraId="6EE2589E" w14:textId="7210D829"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9,1</w:t>
            </w:r>
          </w:p>
        </w:tc>
      </w:tr>
      <w:tr w:rsidR="00D21E1F" w:rsidRPr="005346E4" w14:paraId="1999B07B" w14:textId="77777777" w:rsidTr="007306F1">
        <w:trPr>
          <w:trHeight w:val="185"/>
          <w:jc w:val="center"/>
        </w:trPr>
        <w:tc>
          <w:tcPr>
            <w:cnfStyle w:val="001000000000" w:firstRow="0" w:lastRow="0" w:firstColumn="1" w:lastColumn="0" w:oddVBand="0" w:evenVBand="0" w:oddHBand="0" w:evenHBand="0" w:firstRowFirstColumn="0" w:firstRowLastColumn="0" w:lastRowFirstColumn="0" w:lastRowLastColumn="0"/>
            <w:tcW w:w="3260" w:type="dxa"/>
            <w:hideMark/>
          </w:tcPr>
          <w:p w14:paraId="38C8D9AA" w14:textId="77777777" w:rsidR="00D21E1F" w:rsidRPr="005346E4" w:rsidRDefault="00D21E1F" w:rsidP="00D21E1F">
            <w:pPr>
              <w:ind w:firstLine="0"/>
              <w:rPr>
                <w:rFonts w:cs="Times New Roman"/>
                <w:color w:val="000000" w:themeColor="text1"/>
                <w:sz w:val="18"/>
                <w:szCs w:val="18"/>
                <w:lang w:eastAsia="lv-LV"/>
              </w:rPr>
            </w:pPr>
            <w:r w:rsidRPr="005346E4">
              <w:rPr>
                <w:rFonts w:cs="Times New Roman"/>
                <w:color w:val="000000" w:themeColor="text1"/>
                <w:sz w:val="18"/>
                <w:szCs w:val="18"/>
                <w:lang w:eastAsia="lv-LV"/>
              </w:rPr>
              <w:t>17b. Starppatēriņš</w:t>
            </w:r>
          </w:p>
        </w:tc>
        <w:tc>
          <w:tcPr>
            <w:tcW w:w="992" w:type="dxa"/>
            <w:vAlign w:val="center"/>
            <w:hideMark/>
          </w:tcPr>
          <w:p w14:paraId="0C532C7F" w14:textId="77777777" w:rsidR="00D21E1F" w:rsidRPr="005346E4"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000000" w:themeColor="text1"/>
                <w:sz w:val="18"/>
                <w:szCs w:val="18"/>
                <w:lang w:eastAsia="lv-LV"/>
              </w:rPr>
            </w:pPr>
            <w:r w:rsidRPr="005346E4">
              <w:rPr>
                <w:rFonts w:cs="Times New Roman"/>
                <w:bCs/>
                <w:color w:val="000000" w:themeColor="text1"/>
                <w:sz w:val="18"/>
                <w:szCs w:val="18"/>
                <w:lang w:eastAsia="lv-LV"/>
              </w:rPr>
              <w:t>P.2</w:t>
            </w:r>
          </w:p>
        </w:tc>
        <w:tc>
          <w:tcPr>
            <w:tcW w:w="1276" w:type="dxa"/>
            <w:vAlign w:val="center"/>
          </w:tcPr>
          <w:p w14:paraId="6DDEC087" w14:textId="0B4183B3"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2 729,5</w:t>
            </w:r>
          </w:p>
        </w:tc>
        <w:tc>
          <w:tcPr>
            <w:tcW w:w="861" w:type="dxa"/>
            <w:vAlign w:val="center"/>
          </w:tcPr>
          <w:p w14:paraId="158CE452" w14:textId="6B662598"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7,0</w:t>
            </w:r>
          </w:p>
        </w:tc>
        <w:tc>
          <w:tcPr>
            <w:tcW w:w="708" w:type="dxa"/>
            <w:vAlign w:val="center"/>
          </w:tcPr>
          <w:p w14:paraId="591FD935" w14:textId="48BD2191"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5,9</w:t>
            </w:r>
          </w:p>
        </w:tc>
        <w:tc>
          <w:tcPr>
            <w:tcW w:w="709" w:type="dxa"/>
            <w:vAlign w:val="center"/>
          </w:tcPr>
          <w:p w14:paraId="35DCA1AB" w14:textId="1ABDA081"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5,7</w:t>
            </w:r>
          </w:p>
        </w:tc>
        <w:tc>
          <w:tcPr>
            <w:tcW w:w="709" w:type="dxa"/>
            <w:vAlign w:val="center"/>
          </w:tcPr>
          <w:p w14:paraId="6C32E7AC" w14:textId="77C32CC2"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5,6</w:t>
            </w:r>
          </w:p>
        </w:tc>
        <w:tc>
          <w:tcPr>
            <w:tcW w:w="709" w:type="dxa"/>
            <w:vAlign w:val="center"/>
          </w:tcPr>
          <w:p w14:paraId="77EEA76B" w14:textId="1598FBA6"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5,3</w:t>
            </w:r>
          </w:p>
        </w:tc>
      </w:tr>
      <w:tr w:rsidR="00D21E1F" w:rsidRPr="005346E4" w14:paraId="1EB45BD7" w14:textId="77777777" w:rsidTr="007306F1">
        <w:trPr>
          <w:cnfStyle w:val="000000100000" w:firstRow="0" w:lastRow="0" w:firstColumn="0" w:lastColumn="0" w:oddVBand="0" w:evenVBand="0" w:oddHBand="1" w:evenHBand="0" w:firstRowFirstColumn="0" w:firstRowLastColumn="0" w:lastRowFirstColumn="0" w:lastRowLastColumn="0"/>
          <w:trHeight w:val="231"/>
          <w:jc w:val="center"/>
        </w:trPr>
        <w:tc>
          <w:tcPr>
            <w:cnfStyle w:val="001000000000" w:firstRow="0" w:lastRow="0" w:firstColumn="1" w:lastColumn="0" w:oddVBand="0" w:evenVBand="0" w:oddHBand="0" w:evenHBand="0" w:firstRowFirstColumn="0" w:firstRowLastColumn="0" w:lastRowFirstColumn="0" w:lastRowLastColumn="0"/>
            <w:tcW w:w="3260" w:type="dxa"/>
            <w:hideMark/>
          </w:tcPr>
          <w:p w14:paraId="381414DC" w14:textId="77777777" w:rsidR="00D21E1F" w:rsidRPr="005346E4" w:rsidRDefault="00D21E1F" w:rsidP="00D21E1F">
            <w:pPr>
              <w:ind w:firstLine="0"/>
              <w:rPr>
                <w:rFonts w:cs="Times New Roman"/>
                <w:color w:val="000000" w:themeColor="text1"/>
                <w:sz w:val="18"/>
                <w:szCs w:val="18"/>
                <w:lang w:eastAsia="lv-LV"/>
              </w:rPr>
            </w:pPr>
            <w:r w:rsidRPr="005346E4">
              <w:rPr>
                <w:rFonts w:cs="Times New Roman"/>
                <w:color w:val="000000" w:themeColor="text1"/>
                <w:sz w:val="18"/>
                <w:szCs w:val="18"/>
                <w:lang w:eastAsia="lv-LV"/>
              </w:rPr>
              <w:t>18. Sociālie maksājumi (18=18a+18b)</w:t>
            </w:r>
          </w:p>
        </w:tc>
        <w:tc>
          <w:tcPr>
            <w:tcW w:w="992" w:type="dxa"/>
            <w:vAlign w:val="center"/>
            <w:hideMark/>
          </w:tcPr>
          <w:p w14:paraId="7570FBE8" w14:textId="77777777" w:rsidR="00D21E1F" w:rsidRPr="005346E4"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000000" w:themeColor="text1"/>
                <w:sz w:val="18"/>
                <w:szCs w:val="18"/>
                <w:lang w:eastAsia="lv-LV"/>
              </w:rPr>
            </w:pPr>
          </w:p>
        </w:tc>
        <w:tc>
          <w:tcPr>
            <w:tcW w:w="1276" w:type="dxa"/>
            <w:vAlign w:val="center"/>
          </w:tcPr>
          <w:p w14:paraId="0A7CF822" w14:textId="28FADBCF"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5 311,1</w:t>
            </w:r>
          </w:p>
        </w:tc>
        <w:tc>
          <w:tcPr>
            <w:tcW w:w="861" w:type="dxa"/>
            <w:vAlign w:val="center"/>
          </w:tcPr>
          <w:p w14:paraId="7747E5C6" w14:textId="3ACF5922"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13,6</w:t>
            </w:r>
          </w:p>
        </w:tc>
        <w:tc>
          <w:tcPr>
            <w:tcW w:w="708" w:type="dxa"/>
            <w:vAlign w:val="center"/>
          </w:tcPr>
          <w:p w14:paraId="1C46CA54" w14:textId="3F9B4B63"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13,0</w:t>
            </w:r>
          </w:p>
        </w:tc>
        <w:tc>
          <w:tcPr>
            <w:tcW w:w="709" w:type="dxa"/>
            <w:vAlign w:val="center"/>
          </w:tcPr>
          <w:p w14:paraId="62CCB37B" w14:textId="43A7ED3B"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13,1</w:t>
            </w:r>
          </w:p>
        </w:tc>
        <w:tc>
          <w:tcPr>
            <w:tcW w:w="709" w:type="dxa"/>
            <w:vAlign w:val="center"/>
          </w:tcPr>
          <w:p w14:paraId="620E7403" w14:textId="1C44C93A"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13,2</w:t>
            </w:r>
          </w:p>
        </w:tc>
        <w:tc>
          <w:tcPr>
            <w:tcW w:w="709" w:type="dxa"/>
            <w:vAlign w:val="center"/>
          </w:tcPr>
          <w:p w14:paraId="5F857A5E" w14:textId="15E872EA"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13,1</w:t>
            </w:r>
          </w:p>
        </w:tc>
      </w:tr>
      <w:tr w:rsidR="00D21E1F" w:rsidRPr="005346E4" w14:paraId="2F26553B" w14:textId="77777777" w:rsidTr="007306F1">
        <w:trPr>
          <w:trHeight w:val="135"/>
          <w:jc w:val="center"/>
        </w:trPr>
        <w:tc>
          <w:tcPr>
            <w:cnfStyle w:val="001000000000" w:firstRow="0" w:lastRow="0" w:firstColumn="1" w:lastColumn="0" w:oddVBand="0" w:evenVBand="0" w:oddHBand="0" w:evenHBand="0" w:firstRowFirstColumn="0" w:firstRowLastColumn="0" w:lastRowFirstColumn="0" w:lastRowLastColumn="0"/>
            <w:tcW w:w="3260" w:type="dxa"/>
            <w:hideMark/>
          </w:tcPr>
          <w:p w14:paraId="08340BF8" w14:textId="77777777" w:rsidR="00D21E1F" w:rsidRPr="005346E4" w:rsidRDefault="00D21E1F" w:rsidP="00D21E1F">
            <w:pPr>
              <w:ind w:firstLine="0"/>
              <w:rPr>
                <w:rFonts w:cs="Times New Roman"/>
                <w:color w:val="000000" w:themeColor="text1"/>
                <w:sz w:val="18"/>
                <w:szCs w:val="18"/>
                <w:lang w:eastAsia="lv-LV"/>
              </w:rPr>
            </w:pPr>
            <w:r w:rsidRPr="005346E4">
              <w:rPr>
                <w:rFonts w:cs="Times New Roman"/>
                <w:color w:val="000000" w:themeColor="text1"/>
                <w:sz w:val="18"/>
                <w:szCs w:val="18"/>
                <w:lang w:eastAsia="lv-LV"/>
              </w:rPr>
              <w:t>tai skaitā bezdarbnieku pabalsti</w:t>
            </w:r>
          </w:p>
        </w:tc>
        <w:tc>
          <w:tcPr>
            <w:tcW w:w="992" w:type="dxa"/>
            <w:vAlign w:val="center"/>
            <w:hideMark/>
          </w:tcPr>
          <w:p w14:paraId="4FBBD9CC" w14:textId="77777777" w:rsidR="00D21E1F" w:rsidRPr="005346E4"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000000" w:themeColor="text1"/>
                <w:sz w:val="18"/>
                <w:szCs w:val="18"/>
                <w:lang w:eastAsia="lv-LV"/>
              </w:rPr>
            </w:pPr>
          </w:p>
        </w:tc>
        <w:tc>
          <w:tcPr>
            <w:tcW w:w="1276" w:type="dxa"/>
            <w:vAlign w:val="center"/>
          </w:tcPr>
          <w:p w14:paraId="749F437E" w14:textId="118D415E"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150,6</w:t>
            </w:r>
          </w:p>
        </w:tc>
        <w:tc>
          <w:tcPr>
            <w:tcW w:w="861" w:type="dxa"/>
            <w:vAlign w:val="center"/>
          </w:tcPr>
          <w:p w14:paraId="1CED378E" w14:textId="73117C20"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0,4</w:t>
            </w:r>
          </w:p>
        </w:tc>
        <w:tc>
          <w:tcPr>
            <w:tcW w:w="708" w:type="dxa"/>
            <w:vAlign w:val="center"/>
          </w:tcPr>
          <w:p w14:paraId="537902F3" w14:textId="00D3D4AF"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0,4</w:t>
            </w:r>
          </w:p>
        </w:tc>
        <w:tc>
          <w:tcPr>
            <w:tcW w:w="709" w:type="dxa"/>
            <w:vAlign w:val="center"/>
          </w:tcPr>
          <w:p w14:paraId="6472FF3D" w14:textId="5992F731"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0,4</w:t>
            </w:r>
          </w:p>
        </w:tc>
        <w:tc>
          <w:tcPr>
            <w:tcW w:w="709" w:type="dxa"/>
            <w:vAlign w:val="center"/>
          </w:tcPr>
          <w:p w14:paraId="2AB6B4A2" w14:textId="762206CA"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0,4</w:t>
            </w:r>
          </w:p>
        </w:tc>
        <w:tc>
          <w:tcPr>
            <w:tcW w:w="709" w:type="dxa"/>
            <w:vAlign w:val="center"/>
          </w:tcPr>
          <w:p w14:paraId="3E3C6CCA" w14:textId="126B5F95"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0,4</w:t>
            </w:r>
          </w:p>
        </w:tc>
      </w:tr>
      <w:tr w:rsidR="00D21E1F" w:rsidRPr="005346E4" w14:paraId="2427656A" w14:textId="77777777" w:rsidTr="007306F1">
        <w:trPr>
          <w:cnfStyle w:val="000000100000" w:firstRow="0" w:lastRow="0" w:firstColumn="0" w:lastColumn="0" w:oddVBand="0" w:evenVBand="0" w:oddHBand="1" w:evenHBand="0" w:firstRowFirstColumn="0" w:firstRowLastColumn="0" w:lastRowFirstColumn="0" w:lastRowLastColumn="0"/>
          <w:trHeight w:val="441"/>
          <w:jc w:val="center"/>
        </w:trPr>
        <w:tc>
          <w:tcPr>
            <w:cnfStyle w:val="001000000000" w:firstRow="0" w:lastRow="0" w:firstColumn="1" w:lastColumn="0" w:oddVBand="0" w:evenVBand="0" w:oddHBand="0" w:evenHBand="0" w:firstRowFirstColumn="0" w:firstRowLastColumn="0" w:lastRowFirstColumn="0" w:lastRowLastColumn="0"/>
            <w:tcW w:w="3260" w:type="dxa"/>
            <w:hideMark/>
          </w:tcPr>
          <w:p w14:paraId="6CA075B9" w14:textId="77777777" w:rsidR="00D21E1F" w:rsidRPr="005346E4" w:rsidRDefault="00D21E1F" w:rsidP="00D21E1F">
            <w:pPr>
              <w:ind w:firstLine="0"/>
              <w:rPr>
                <w:rFonts w:cs="Times New Roman"/>
                <w:color w:val="000000" w:themeColor="text1"/>
                <w:sz w:val="18"/>
                <w:szCs w:val="18"/>
                <w:lang w:eastAsia="lv-LV"/>
              </w:rPr>
            </w:pPr>
            <w:r w:rsidRPr="005346E4">
              <w:rPr>
                <w:rFonts w:cs="Times New Roman"/>
                <w:color w:val="000000" w:themeColor="text1"/>
                <w:sz w:val="18"/>
                <w:szCs w:val="18"/>
                <w:lang w:eastAsia="lv-LV"/>
              </w:rPr>
              <w:lastRenderedPageBreak/>
              <w:t>18a. Sociālie pārvedumi piegādāti caur tirgus ražotājiem</w:t>
            </w:r>
          </w:p>
        </w:tc>
        <w:tc>
          <w:tcPr>
            <w:tcW w:w="992" w:type="dxa"/>
            <w:vAlign w:val="center"/>
            <w:hideMark/>
          </w:tcPr>
          <w:p w14:paraId="62D12A5F" w14:textId="77777777" w:rsidR="00D21E1F" w:rsidRPr="005346E4"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000000" w:themeColor="text1"/>
                <w:sz w:val="18"/>
                <w:szCs w:val="18"/>
                <w:lang w:eastAsia="lv-LV"/>
              </w:rPr>
            </w:pPr>
            <w:r w:rsidRPr="005346E4">
              <w:rPr>
                <w:rFonts w:cs="Times New Roman"/>
                <w:bCs/>
                <w:color w:val="000000" w:themeColor="text1"/>
                <w:sz w:val="18"/>
                <w:szCs w:val="18"/>
                <w:lang w:eastAsia="lv-LV"/>
              </w:rPr>
              <w:t>D.6311, D.63121, D.63131</w:t>
            </w:r>
          </w:p>
        </w:tc>
        <w:tc>
          <w:tcPr>
            <w:tcW w:w="1276" w:type="dxa"/>
            <w:vAlign w:val="center"/>
          </w:tcPr>
          <w:p w14:paraId="0D537B92" w14:textId="2BF495A0"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787,5</w:t>
            </w:r>
          </w:p>
        </w:tc>
        <w:tc>
          <w:tcPr>
            <w:tcW w:w="861" w:type="dxa"/>
            <w:vAlign w:val="center"/>
          </w:tcPr>
          <w:p w14:paraId="56B84995" w14:textId="611CDDE2"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2,0</w:t>
            </w:r>
          </w:p>
        </w:tc>
        <w:tc>
          <w:tcPr>
            <w:tcW w:w="708" w:type="dxa"/>
            <w:vAlign w:val="center"/>
          </w:tcPr>
          <w:p w14:paraId="76EBC626" w14:textId="2B79213C"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1,8</w:t>
            </w:r>
          </w:p>
        </w:tc>
        <w:tc>
          <w:tcPr>
            <w:tcW w:w="709" w:type="dxa"/>
            <w:vAlign w:val="center"/>
          </w:tcPr>
          <w:p w14:paraId="4E1D84A8" w14:textId="60FCD77B"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1,7</w:t>
            </w:r>
          </w:p>
        </w:tc>
        <w:tc>
          <w:tcPr>
            <w:tcW w:w="709" w:type="dxa"/>
            <w:vAlign w:val="center"/>
          </w:tcPr>
          <w:p w14:paraId="5D770DC0" w14:textId="5EE37DF9"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1,6</w:t>
            </w:r>
          </w:p>
        </w:tc>
        <w:tc>
          <w:tcPr>
            <w:tcW w:w="709" w:type="dxa"/>
            <w:vAlign w:val="center"/>
          </w:tcPr>
          <w:p w14:paraId="3B576E18" w14:textId="58648FB3"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1,5</w:t>
            </w:r>
          </w:p>
        </w:tc>
      </w:tr>
      <w:tr w:rsidR="00D21E1F" w:rsidRPr="005346E4" w14:paraId="19C6BE89" w14:textId="77777777" w:rsidTr="007306F1">
        <w:trPr>
          <w:trHeight w:val="293"/>
          <w:jc w:val="center"/>
        </w:trPr>
        <w:tc>
          <w:tcPr>
            <w:cnfStyle w:val="001000000000" w:firstRow="0" w:lastRow="0" w:firstColumn="1" w:lastColumn="0" w:oddVBand="0" w:evenVBand="0" w:oddHBand="0" w:evenHBand="0" w:firstRowFirstColumn="0" w:firstRowLastColumn="0" w:lastRowFirstColumn="0" w:lastRowLastColumn="0"/>
            <w:tcW w:w="3260" w:type="dxa"/>
            <w:hideMark/>
          </w:tcPr>
          <w:p w14:paraId="166A4D0E" w14:textId="77777777" w:rsidR="00D21E1F" w:rsidRPr="005346E4" w:rsidRDefault="00D21E1F" w:rsidP="00D21E1F">
            <w:pPr>
              <w:ind w:firstLine="0"/>
              <w:rPr>
                <w:rFonts w:cs="Times New Roman"/>
                <w:color w:val="000000" w:themeColor="text1"/>
                <w:sz w:val="18"/>
                <w:szCs w:val="18"/>
                <w:lang w:eastAsia="lv-LV"/>
              </w:rPr>
            </w:pPr>
            <w:r w:rsidRPr="005346E4">
              <w:rPr>
                <w:rFonts w:cs="Times New Roman"/>
                <w:color w:val="000000" w:themeColor="text1"/>
                <w:sz w:val="18"/>
                <w:szCs w:val="18"/>
                <w:lang w:eastAsia="lv-LV"/>
              </w:rPr>
              <w:t>18b. Sociālie pārvedumi, kas nav sociālie pārvedumi natūrā</w:t>
            </w:r>
          </w:p>
        </w:tc>
        <w:tc>
          <w:tcPr>
            <w:tcW w:w="992" w:type="dxa"/>
            <w:vAlign w:val="center"/>
            <w:hideMark/>
          </w:tcPr>
          <w:p w14:paraId="071AD8BF" w14:textId="77777777" w:rsidR="00D21E1F" w:rsidRPr="005346E4"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000000" w:themeColor="text1"/>
                <w:sz w:val="18"/>
                <w:szCs w:val="18"/>
                <w:lang w:eastAsia="lv-LV"/>
              </w:rPr>
            </w:pPr>
            <w:r w:rsidRPr="005346E4">
              <w:rPr>
                <w:rFonts w:cs="Times New Roman"/>
                <w:bCs/>
                <w:color w:val="000000" w:themeColor="text1"/>
                <w:sz w:val="18"/>
                <w:szCs w:val="18"/>
                <w:lang w:eastAsia="lv-LV"/>
              </w:rPr>
              <w:t>D.62</w:t>
            </w:r>
          </w:p>
        </w:tc>
        <w:tc>
          <w:tcPr>
            <w:tcW w:w="1276" w:type="dxa"/>
            <w:vAlign w:val="center"/>
          </w:tcPr>
          <w:p w14:paraId="2BF9D5E1" w14:textId="24E9A27E"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4 523,6</w:t>
            </w:r>
          </w:p>
        </w:tc>
        <w:tc>
          <w:tcPr>
            <w:tcW w:w="861" w:type="dxa"/>
            <w:vAlign w:val="center"/>
          </w:tcPr>
          <w:p w14:paraId="2A8EDEF3" w14:textId="320B74CC"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11,6</w:t>
            </w:r>
          </w:p>
        </w:tc>
        <w:tc>
          <w:tcPr>
            <w:tcW w:w="708" w:type="dxa"/>
            <w:vAlign w:val="center"/>
          </w:tcPr>
          <w:p w14:paraId="460BCB52" w14:textId="7C8C7259"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11,2</w:t>
            </w:r>
          </w:p>
        </w:tc>
        <w:tc>
          <w:tcPr>
            <w:tcW w:w="709" w:type="dxa"/>
            <w:vAlign w:val="center"/>
          </w:tcPr>
          <w:p w14:paraId="4D83E7B9" w14:textId="330BC209"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11,4</w:t>
            </w:r>
          </w:p>
        </w:tc>
        <w:tc>
          <w:tcPr>
            <w:tcW w:w="709" w:type="dxa"/>
            <w:vAlign w:val="center"/>
          </w:tcPr>
          <w:p w14:paraId="585D835D" w14:textId="651F96EE"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11,6</w:t>
            </w:r>
          </w:p>
        </w:tc>
        <w:tc>
          <w:tcPr>
            <w:tcW w:w="709" w:type="dxa"/>
            <w:vAlign w:val="center"/>
          </w:tcPr>
          <w:p w14:paraId="16857ADA" w14:textId="07EE0321"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11,5</w:t>
            </w:r>
          </w:p>
        </w:tc>
      </w:tr>
      <w:tr w:rsidR="00D21E1F" w:rsidRPr="005346E4" w14:paraId="04B94D34" w14:textId="77777777" w:rsidTr="007306F1">
        <w:trPr>
          <w:cnfStyle w:val="000000100000" w:firstRow="0" w:lastRow="0" w:firstColumn="0" w:lastColumn="0" w:oddVBand="0" w:evenVBand="0" w:oddHBand="1" w:evenHBand="0" w:firstRowFirstColumn="0" w:firstRowLastColumn="0" w:lastRowFirstColumn="0" w:lastRowLastColumn="0"/>
          <w:trHeight w:val="141"/>
          <w:jc w:val="center"/>
        </w:trPr>
        <w:tc>
          <w:tcPr>
            <w:cnfStyle w:val="001000000000" w:firstRow="0" w:lastRow="0" w:firstColumn="1" w:lastColumn="0" w:oddVBand="0" w:evenVBand="0" w:oddHBand="0" w:evenHBand="0" w:firstRowFirstColumn="0" w:firstRowLastColumn="0" w:lastRowFirstColumn="0" w:lastRowLastColumn="0"/>
            <w:tcW w:w="3260" w:type="dxa"/>
            <w:hideMark/>
          </w:tcPr>
          <w:p w14:paraId="7888503A" w14:textId="77777777" w:rsidR="00D21E1F" w:rsidRPr="005346E4" w:rsidRDefault="00D21E1F" w:rsidP="00D21E1F">
            <w:pPr>
              <w:ind w:firstLine="0"/>
              <w:rPr>
                <w:rFonts w:cs="Times New Roman"/>
                <w:color w:val="000000" w:themeColor="text1"/>
                <w:sz w:val="18"/>
                <w:szCs w:val="18"/>
                <w:lang w:eastAsia="lv-LV"/>
              </w:rPr>
            </w:pPr>
            <w:r w:rsidRPr="005346E4">
              <w:rPr>
                <w:rFonts w:cs="Times New Roman"/>
                <w:color w:val="000000" w:themeColor="text1"/>
                <w:sz w:val="18"/>
                <w:szCs w:val="18"/>
                <w:lang w:eastAsia="lv-LV"/>
              </w:rPr>
              <w:t>19.=9. Procentu izdevumi</w:t>
            </w:r>
          </w:p>
        </w:tc>
        <w:tc>
          <w:tcPr>
            <w:tcW w:w="992" w:type="dxa"/>
            <w:vAlign w:val="center"/>
            <w:hideMark/>
          </w:tcPr>
          <w:p w14:paraId="207AC5B2" w14:textId="77777777" w:rsidR="00D21E1F" w:rsidRPr="005346E4"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000000" w:themeColor="text1"/>
                <w:sz w:val="18"/>
                <w:szCs w:val="18"/>
                <w:lang w:eastAsia="lv-LV"/>
              </w:rPr>
            </w:pPr>
            <w:r w:rsidRPr="005346E4">
              <w:rPr>
                <w:rFonts w:cs="Times New Roman"/>
                <w:bCs/>
                <w:color w:val="000000" w:themeColor="text1"/>
                <w:sz w:val="18"/>
                <w:szCs w:val="18"/>
                <w:lang w:eastAsia="lv-LV"/>
              </w:rPr>
              <w:t>D.41</w:t>
            </w:r>
          </w:p>
        </w:tc>
        <w:tc>
          <w:tcPr>
            <w:tcW w:w="1276" w:type="dxa"/>
            <w:vAlign w:val="center"/>
          </w:tcPr>
          <w:p w14:paraId="20FF04A0" w14:textId="50FAB439"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208,8</w:t>
            </w:r>
          </w:p>
        </w:tc>
        <w:tc>
          <w:tcPr>
            <w:tcW w:w="861" w:type="dxa"/>
            <w:vAlign w:val="center"/>
          </w:tcPr>
          <w:p w14:paraId="7261221F" w14:textId="3CE0C121"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0,5</w:t>
            </w:r>
          </w:p>
        </w:tc>
        <w:tc>
          <w:tcPr>
            <w:tcW w:w="708" w:type="dxa"/>
            <w:vAlign w:val="center"/>
          </w:tcPr>
          <w:p w14:paraId="136701B7" w14:textId="155DE156"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0,6</w:t>
            </w:r>
          </w:p>
        </w:tc>
        <w:tc>
          <w:tcPr>
            <w:tcW w:w="709" w:type="dxa"/>
            <w:vAlign w:val="center"/>
          </w:tcPr>
          <w:p w14:paraId="71B98618" w14:textId="4D9A6B9F"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0,8</w:t>
            </w:r>
          </w:p>
        </w:tc>
        <w:tc>
          <w:tcPr>
            <w:tcW w:w="709" w:type="dxa"/>
            <w:vAlign w:val="center"/>
          </w:tcPr>
          <w:p w14:paraId="755A44E5" w14:textId="381F8243"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1,0</w:t>
            </w:r>
          </w:p>
        </w:tc>
        <w:tc>
          <w:tcPr>
            <w:tcW w:w="709" w:type="dxa"/>
            <w:vAlign w:val="center"/>
          </w:tcPr>
          <w:p w14:paraId="231200E6" w14:textId="2BD51377"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1,1</w:t>
            </w:r>
          </w:p>
        </w:tc>
      </w:tr>
      <w:tr w:rsidR="00D21E1F" w:rsidRPr="005346E4" w14:paraId="29D05AAB" w14:textId="77777777" w:rsidTr="007306F1">
        <w:trPr>
          <w:trHeight w:val="187"/>
          <w:jc w:val="center"/>
        </w:trPr>
        <w:tc>
          <w:tcPr>
            <w:cnfStyle w:val="001000000000" w:firstRow="0" w:lastRow="0" w:firstColumn="1" w:lastColumn="0" w:oddVBand="0" w:evenVBand="0" w:oddHBand="0" w:evenHBand="0" w:firstRowFirstColumn="0" w:firstRowLastColumn="0" w:lastRowFirstColumn="0" w:lastRowLastColumn="0"/>
            <w:tcW w:w="3260" w:type="dxa"/>
            <w:hideMark/>
          </w:tcPr>
          <w:p w14:paraId="53D3689B" w14:textId="77777777" w:rsidR="00D21E1F" w:rsidRPr="005346E4" w:rsidRDefault="00D21E1F" w:rsidP="00D21E1F">
            <w:pPr>
              <w:ind w:firstLine="0"/>
              <w:rPr>
                <w:rFonts w:cs="Times New Roman"/>
                <w:color w:val="000000" w:themeColor="text1"/>
                <w:sz w:val="18"/>
                <w:szCs w:val="18"/>
                <w:lang w:eastAsia="lv-LV"/>
              </w:rPr>
            </w:pPr>
            <w:r w:rsidRPr="005346E4">
              <w:rPr>
                <w:rFonts w:cs="Times New Roman"/>
                <w:color w:val="000000" w:themeColor="text1"/>
                <w:sz w:val="18"/>
                <w:szCs w:val="18"/>
                <w:lang w:eastAsia="lv-LV"/>
              </w:rPr>
              <w:t>20. Subsīdijas</w:t>
            </w:r>
          </w:p>
        </w:tc>
        <w:tc>
          <w:tcPr>
            <w:tcW w:w="992" w:type="dxa"/>
            <w:vAlign w:val="center"/>
            <w:hideMark/>
          </w:tcPr>
          <w:p w14:paraId="7060DC4B" w14:textId="77777777" w:rsidR="00D21E1F" w:rsidRPr="005346E4"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000000" w:themeColor="text1"/>
                <w:sz w:val="18"/>
                <w:szCs w:val="18"/>
                <w:lang w:eastAsia="lv-LV"/>
              </w:rPr>
            </w:pPr>
            <w:r w:rsidRPr="005346E4">
              <w:rPr>
                <w:rFonts w:cs="Times New Roman"/>
                <w:bCs/>
                <w:color w:val="000000" w:themeColor="text1"/>
                <w:sz w:val="18"/>
                <w:szCs w:val="18"/>
                <w:lang w:eastAsia="lv-LV"/>
              </w:rPr>
              <w:t>D.3</w:t>
            </w:r>
          </w:p>
        </w:tc>
        <w:tc>
          <w:tcPr>
            <w:tcW w:w="1276" w:type="dxa"/>
            <w:vAlign w:val="center"/>
          </w:tcPr>
          <w:p w14:paraId="4EF02F38" w14:textId="28588EE1"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266,1</w:t>
            </w:r>
          </w:p>
        </w:tc>
        <w:tc>
          <w:tcPr>
            <w:tcW w:w="861" w:type="dxa"/>
            <w:vAlign w:val="center"/>
          </w:tcPr>
          <w:p w14:paraId="6F50487D" w14:textId="686E0EA0"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0,7</w:t>
            </w:r>
          </w:p>
        </w:tc>
        <w:tc>
          <w:tcPr>
            <w:tcW w:w="708" w:type="dxa"/>
            <w:vAlign w:val="center"/>
          </w:tcPr>
          <w:p w14:paraId="75F9D8BF" w14:textId="6133F580"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0,7</w:t>
            </w:r>
          </w:p>
        </w:tc>
        <w:tc>
          <w:tcPr>
            <w:tcW w:w="709" w:type="dxa"/>
            <w:vAlign w:val="center"/>
          </w:tcPr>
          <w:p w14:paraId="0CFD029D" w14:textId="215E267D"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0,6</w:t>
            </w:r>
          </w:p>
        </w:tc>
        <w:tc>
          <w:tcPr>
            <w:tcW w:w="709" w:type="dxa"/>
            <w:vAlign w:val="center"/>
          </w:tcPr>
          <w:p w14:paraId="6159F1D0" w14:textId="33F74DF8"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0,6</w:t>
            </w:r>
          </w:p>
        </w:tc>
        <w:tc>
          <w:tcPr>
            <w:tcW w:w="709" w:type="dxa"/>
            <w:vAlign w:val="center"/>
          </w:tcPr>
          <w:p w14:paraId="529E9BEB" w14:textId="317704A7"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0,6</w:t>
            </w:r>
          </w:p>
        </w:tc>
      </w:tr>
      <w:tr w:rsidR="00D21E1F" w:rsidRPr="005346E4" w14:paraId="5612C9AD" w14:textId="77777777" w:rsidTr="007306F1">
        <w:trPr>
          <w:cnfStyle w:val="000000100000" w:firstRow="0" w:lastRow="0" w:firstColumn="0" w:lastColumn="0" w:oddVBand="0" w:evenVBand="0" w:oddHBand="1" w:evenHBand="0" w:firstRowFirstColumn="0" w:firstRowLastColumn="0" w:lastRowFirstColumn="0" w:lastRowLastColumn="0"/>
          <w:trHeight w:val="193"/>
          <w:jc w:val="center"/>
        </w:trPr>
        <w:tc>
          <w:tcPr>
            <w:cnfStyle w:val="001000000000" w:firstRow="0" w:lastRow="0" w:firstColumn="1" w:lastColumn="0" w:oddVBand="0" w:evenVBand="0" w:oddHBand="0" w:evenHBand="0" w:firstRowFirstColumn="0" w:firstRowLastColumn="0" w:lastRowFirstColumn="0" w:lastRowLastColumn="0"/>
            <w:tcW w:w="3260" w:type="dxa"/>
            <w:hideMark/>
          </w:tcPr>
          <w:p w14:paraId="393312DC" w14:textId="77777777" w:rsidR="00D21E1F" w:rsidRPr="005346E4" w:rsidRDefault="00D21E1F" w:rsidP="00D21E1F">
            <w:pPr>
              <w:ind w:firstLine="0"/>
              <w:rPr>
                <w:rFonts w:cs="Times New Roman"/>
                <w:color w:val="000000" w:themeColor="text1"/>
                <w:sz w:val="18"/>
                <w:szCs w:val="18"/>
                <w:lang w:eastAsia="lv-LV"/>
              </w:rPr>
            </w:pPr>
            <w:r w:rsidRPr="005346E4">
              <w:rPr>
                <w:rFonts w:cs="Times New Roman"/>
                <w:color w:val="000000" w:themeColor="text1"/>
                <w:sz w:val="18"/>
                <w:szCs w:val="18"/>
                <w:lang w:eastAsia="lv-LV"/>
              </w:rPr>
              <w:t>21. Bruto kopējā pamatkapitāla veidošana</w:t>
            </w:r>
          </w:p>
        </w:tc>
        <w:tc>
          <w:tcPr>
            <w:tcW w:w="992" w:type="dxa"/>
            <w:vAlign w:val="center"/>
            <w:hideMark/>
          </w:tcPr>
          <w:p w14:paraId="7767595C" w14:textId="77777777" w:rsidR="00D21E1F" w:rsidRPr="005346E4"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000000" w:themeColor="text1"/>
                <w:sz w:val="18"/>
                <w:szCs w:val="18"/>
                <w:lang w:eastAsia="lv-LV"/>
              </w:rPr>
            </w:pPr>
            <w:r w:rsidRPr="005346E4">
              <w:rPr>
                <w:rFonts w:cs="Times New Roman"/>
                <w:bCs/>
                <w:color w:val="000000" w:themeColor="text1"/>
                <w:sz w:val="18"/>
                <w:szCs w:val="18"/>
                <w:lang w:eastAsia="lv-LV"/>
              </w:rPr>
              <w:t>P.51</w:t>
            </w:r>
          </w:p>
        </w:tc>
        <w:tc>
          <w:tcPr>
            <w:tcW w:w="1276" w:type="dxa"/>
            <w:vAlign w:val="center"/>
          </w:tcPr>
          <w:p w14:paraId="52DC1DA6" w14:textId="3DFA412D"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1 705,4</w:t>
            </w:r>
          </w:p>
        </w:tc>
        <w:tc>
          <w:tcPr>
            <w:tcW w:w="861" w:type="dxa"/>
            <w:vAlign w:val="center"/>
          </w:tcPr>
          <w:p w14:paraId="616A53A0" w14:textId="44A33244"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4,4</w:t>
            </w:r>
          </w:p>
        </w:tc>
        <w:tc>
          <w:tcPr>
            <w:tcW w:w="708" w:type="dxa"/>
            <w:vAlign w:val="center"/>
          </w:tcPr>
          <w:p w14:paraId="471717A9" w14:textId="43CC2927"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5,1</w:t>
            </w:r>
          </w:p>
        </w:tc>
        <w:tc>
          <w:tcPr>
            <w:tcW w:w="709" w:type="dxa"/>
            <w:vAlign w:val="center"/>
          </w:tcPr>
          <w:p w14:paraId="5BF395DE" w14:textId="0A539DD4"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5,9</w:t>
            </w:r>
          </w:p>
        </w:tc>
        <w:tc>
          <w:tcPr>
            <w:tcW w:w="709" w:type="dxa"/>
            <w:vAlign w:val="center"/>
          </w:tcPr>
          <w:p w14:paraId="2AC95FEF" w14:textId="44DA8DA1"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5,7</w:t>
            </w:r>
          </w:p>
        </w:tc>
        <w:tc>
          <w:tcPr>
            <w:tcW w:w="709" w:type="dxa"/>
            <w:vAlign w:val="center"/>
          </w:tcPr>
          <w:p w14:paraId="0A721816" w14:textId="0F783B7F"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4,8</w:t>
            </w:r>
          </w:p>
        </w:tc>
      </w:tr>
      <w:tr w:rsidR="00D21E1F" w:rsidRPr="005346E4" w14:paraId="0FFC41CC" w14:textId="77777777" w:rsidTr="007306F1">
        <w:trPr>
          <w:trHeight w:val="123"/>
          <w:jc w:val="center"/>
        </w:trPr>
        <w:tc>
          <w:tcPr>
            <w:cnfStyle w:val="001000000000" w:firstRow="0" w:lastRow="0" w:firstColumn="1" w:lastColumn="0" w:oddVBand="0" w:evenVBand="0" w:oddHBand="0" w:evenHBand="0" w:firstRowFirstColumn="0" w:firstRowLastColumn="0" w:lastRowFirstColumn="0" w:lastRowLastColumn="0"/>
            <w:tcW w:w="3260" w:type="dxa"/>
            <w:hideMark/>
          </w:tcPr>
          <w:p w14:paraId="29CFC8D7" w14:textId="77777777" w:rsidR="00D21E1F" w:rsidRPr="005346E4" w:rsidRDefault="00D21E1F" w:rsidP="00D21E1F">
            <w:pPr>
              <w:ind w:firstLine="0"/>
              <w:rPr>
                <w:rFonts w:cs="Times New Roman"/>
                <w:color w:val="000000" w:themeColor="text1"/>
                <w:sz w:val="18"/>
                <w:szCs w:val="18"/>
                <w:lang w:eastAsia="lv-LV"/>
              </w:rPr>
            </w:pPr>
            <w:r w:rsidRPr="005346E4">
              <w:rPr>
                <w:rFonts w:cs="Times New Roman"/>
                <w:color w:val="000000" w:themeColor="text1"/>
                <w:sz w:val="18"/>
                <w:szCs w:val="18"/>
                <w:lang w:eastAsia="lv-LV"/>
              </w:rPr>
              <w:t xml:space="preserve">22. Kapitālo izdevumu </w:t>
            </w:r>
            <w:proofErr w:type="spellStart"/>
            <w:r w:rsidRPr="005346E4">
              <w:rPr>
                <w:rFonts w:cs="Times New Roman"/>
                <w:color w:val="000000" w:themeColor="text1"/>
                <w:sz w:val="18"/>
                <w:szCs w:val="18"/>
                <w:lang w:eastAsia="lv-LV"/>
              </w:rPr>
              <w:t>transferti</w:t>
            </w:r>
            <w:proofErr w:type="spellEnd"/>
          </w:p>
        </w:tc>
        <w:tc>
          <w:tcPr>
            <w:tcW w:w="992" w:type="dxa"/>
            <w:vAlign w:val="center"/>
            <w:hideMark/>
          </w:tcPr>
          <w:p w14:paraId="2358B587" w14:textId="77777777" w:rsidR="00D21E1F" w:rsidRPr="005346E4"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000000" w:themeColor="text1"/>
                <w:sz w:val="18"/>
                <w:szCs w:val="18"/>
                <w:lang w:eastAsia="lv-LV"/>
              </w:rPr>
            </w:pPr>
            <w:r w:rsidRPr="005346E4">
              <w:rPr>
                <w:rFonts w:cs="Times New Roman"/>
                <w:bCs/>
                <w:color w:val="000000" w:themeColor="text1"/>
                <w:sz w:val="18"/>
                <w:szCs w:val="18"/>
                <w:lang w:eastAsia="lv-LV"/>
              </w:rPr>
              <w:t>D.9</w:t>
            </w:r>
          </w:p>
        </w:tc>
        <w:tc>
          <w:tcPr>
            <w:tcW w:w="1276" w:type="dxa"/>
            <w:vAlign w:val="center"/>
          </w:tcPr>
          <w:p w14:paraId="1D38B238" w14:textId="128F4118"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76,4</w:t>
            </w:r>
          </w:p>
        </w:tc>
        <w:tc>
          <w:tcPr>
            <w:tcW w:w="861" w:type="dxa"/>
            <w:vAlign w:val="center"/>
          </w:tcPr>
          <w:p w14:paraId="2319CE56" w14:textId="1CC0F3E9"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0,2</w:t>
            </w:r>
          </w:p>
        </w:tc>
        <w:tc>
          <w:tcPr>
            <w:tcW w:w="708" w:type="dxa"/>
            <w:vAlign w:val="center"/>
          </w:tcPr>
          <w:p w14:paraId="300D715D" w14:textId="315A0258"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0,1</w:t>
            </w:r>
          </w:p>
        </w:tc>
        <w:tc>
          <w:tcPr>
            <w:tcW w:w="709" w:type="dxa"/>
            <w:vAlign w:val="center"/>
          </w:tcPr>
          <w:p w14:paraId="0EC2D880" w14:textId="6518B57F"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0,1</w:t>
            </w:r>
          </w:p>
        </w:tc>
        <w:tc>
          <w:tcPr>
            <w:tcW w:w="709" w:type="dxa"/>
            <w:vAlign w:val="center"/>
          </w:tcPr>
          <w:p w14:paraId="63F86690" w14:textId="7FF7A692"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0,1</w:t>
            </w:r>
          </w:p>
        </w:tc>
        <w:tc>
          <w:tcPr>
            <w:tcW w:w="709" w:type="dxa"/>
            <w:vAlign w:val="center"/>
          </w:tcPr>
          <w:p w14:paraId="4B8387C4" w14:textId="5ABE1C49"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0,0</w:t>
            </w:r>
          </w:p>
        </w:tc>
      </w:tr>
      <w:tr w:rsidR="00D21E1F" w:rsidRPr="005346E4" w14:paraId="70DCB13F" w14:textId="77777777" w:rsidTr="007306F1">
        <w:trPr>
          <w:cnfStyle w:val="000000100000" w:firstRow="0" w:lastRow="0" w:firstColumn="0" w:lastColumn="0" w:oddVBand="0" w:evenVBand="0" w:oddHBand="1" w:evenHBand="0" w:firstRowFirstColumn="0" w:firstRowLastColumn="0" w:lastRowFirstColumn="0" w:lastRowLastColumn="0"/>
          <w:trHeight w:val="169"/>
          <w:jc w:val="center"/>
        </w:trPr>
        <w:tc>
          <w:tcPr>
            <w:cnfStyle w:val="001000000000" w:firstRow="0" w:lastRow="0" w:firstColumn="1" w:lastColumn="0" w:oddVBand="0" w:evenVBand="0" w:oddHBand="0" w:evenHBand="0" w:firstRowFirstColumn="0" w:firstRowLastColumn="0" w:lastRowFirstColumn="0" w:lastRowLastColumn="0"/>
            <w:tcW w:w="3260" w:type="dxa"/>
            <w:hideMark/>
          </w:tcPr>
          <w:p w14:paraId="5B74EF8C" w14:textId="77777777" w:rsidR="00D21E1F" w:rsidRPr="005346E4" w:rsidRDefault="00D21E1F" w:rsidP="00D21E1F">
            <w:pPr>
              <w:ind w:firstLine="0"/>
              <w:rPr>
                <w:rFonts w:cs="Times New Roman"/>
                <w:color w:val="000000" w:themeColor="text1"/>
                <w:sz w:val="18"/>
                <w:szCs w:val="18"/>
                <w:lang w:eastAsia="lv-LV"/>
              </w:rPr>
            </w:pPr>
            <w:r w:rsidRPr="005346E4">
              <w:rPr>
                <w:rFonts w:cs="Times New Roman"/>
                <w:color w:val="000000" w:themeColor="text1"/>
                <w:sz w:val="18"/>
                <w:szCs w:val="18"/>
                <w:lang w:eastAsia="lv-LV"/>
              </w:rPr>
              <w:t>23. Pārējie izdevumi</w:t>
            </w:r>
          </w:p>
        </w:tc>
        <w:tc>
          <w:tcPr>
            <w:tcW w:w="992" w:type="dxa"/>
            <w:vAlign w:val="center"/>
            <w:hideMark/>
          </w:tcPr>
          <w:p w14:paraId="3016AFCB" w14:textId="77777777" w:rsidR="00D21E1F" w:rsidRPr="005346E4"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000000" w:themeColor="text1"/>
                <w:sz w:val="18"/>
                <w:szCs w:val="18"/>
                <w:lang w:eastAsia="lv-LV"/>
              </w:rPr>
            </w:pPr>
          </w:p>
        </w:tc>
        <w:tc>
          <w:tcPr>
            <w:tcW w:w="1276" w:type="dxa"/>
            <w:vAlign w:val="center"/>
          </w:tcPr>
          <w:p w14:paraId="7162C1BB" w14:textId="4A4FF010"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1 674,0</w:t>
            </w:r>
          </w:p>
        </w:tc>
        <w:tc>
          <w:tcPr>
            <w:tcW w:w="861" w:type="dxa"/>
            <w:vAlign w:val="center"/>
          </w:tcPr>
          <w:p w14:paraId="74AF0B9B" w14:textId="77B983F4"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4,3</w:t>
            </w:r>
          </w:p>
        </w:tc>
        <w:tc>
          <w:tcPr>
            <w:tcW w:w="708" w:type="dxa"/>
            <w:vAlign w:val="center"/>
          </w:tcPr>
          <w:p w14:paraId="7A5D3011" w14:textId="2308284B"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4,4</w:t>
            </w:r>
          </w:p>
        </w:tc>
        <w:tc>
          <w:tcPr>
            <w:tcW w:w="709" w:type="dxa"/>
            <w:vAlign w:val="center"/>
          </w:tcPr>
          <w:p w14:paraId="6409F8A1" w14:textId="0AFE9A71"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2,4</w:t>
            </w:r>
          </w:p>
        </w:tc>
        <w:tc>
          <w:tcPr>
            <w:tcW w:w="709" w:type="dxa"/>
            <w:vAlign w:val="center"/>
          </w:tcPr>
          <w:p w14:paraId="6D942D73" w14:textId="6477A8AE"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1,8</w:t>
            </w:r>
          </w:p>
        </w:tc>
        <w:tc>
          <w:tcPr>
            <w:tcW w:w="709" w:type="dxa"/>
            <w:vAlign w:val="center"/>
          </w:tcPr>
          <w:p w14:paraId="68A0835F" w14:textId="5D8F0DED"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1,6</w:t>
            </w:r>
          </w:p>
        </w:tc>
      </w:tr>
      <w:tr w:rsidR="00D21E1F" w:rsidRPr="005346E4" w14:paraId="2FEF4C31" w14:textId="77777777" w:rsidTr="007306F1">
        <w:trPr>
          <w:trHeight w:val="215"/>
          <w:jc w:val="center"/>
        </w:trPr>
        <w:tc>
          <w:tcPr>
            <w:cnfStyle w:val="001000000000" w:firstRow="0" w:lastRow="0" w:firstColumn="1" w:lastColumn="0" w:oddVBand="0" w:evenVBand="0" w:oddHBand="0" w:evenHBand="0" w:firstRowFirstColumn="0" w:firstRowLastColumn="0" w:lastRowFirstColumn="0" w:lastRowLastColumn="0"/>
            <w:tcW w:w="3260" w:type="dxa"/>
            <w:hideMark/>
          </w:tcPr>
          <w:p w14:paraId="5D88A0A4" w14:textId="77777777" w:rsidR="00D21E1F" w:rsidRPr="005346E4" w:rsidRDefault="00D21E1F" w:rsidP="00D21E1F">
            <w:pPr>
              <w:ind w:firstLine="0"/>
              <w:rPr>
                <w:rFonts w:cs="Times New Roman"/>
                <w:color w:val="000000" w:themeColor="text1"/>
                <w:sz w:val="18"/>
                <w:szCs w:val="18"/>
                <w:lang w:eastAsia="lv-LV"/>
              </w:rPr>
            </w:pPr>
            <w:r w:rsidRPr="005346E4">
              <w:rPr>
                <w:rFonts w:cs="Times New Roman"/>
                <w:color w:val="000000" w:themeColor="text1"/>
                <w:sz w:val="18"/>
                <w:szCs w:val="18"/>
                <w:lang w:eastAsia="lv-LV"/>
              </w:rPr>
              <w:t>24.=7. Kopējie izdevumi</w:t>
            </w:r>
          </w:p>
        </w:tc>
        <w:tc>
          <w:tcPr>
            <w:tcW w:w="992" w:type="dxa"/>
            <w:vAlign w:val="center"/>
            <w:hideMark/>
          </w:tcPr>
          <w:p w14:paraId="5D879D00" w14:textId="77777777" w:rsidR="00D21E1F" w:rsidRPr="005346E4"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000000" w:themeColor="text1"/>
                <w:sz w:val="18"/>
                <w:szCs w:val="18"/>
                <w:lang w:eastAsia="lv-LV"/>
              </w:rPr>
            </w:pPr>
            <w:r w:rsidRPr="005346E4">
              <w:rPr>
                <w:rFonts w:cs="Times New Roman"/>
                <w:bCs/>
                <w:color w:val="000000" w:themeColor="text1"/>
                <w:sz w:val="18"/>
                <w:szCs w:val="18"/>
                <w:lang w:eastAsia="lv-LV"/>
              </w:rPr>
              <w:t>TE</w:t>
            </w:r>
          </w:p>
        </w:tc>
        <w:tc>
          <w:tcPr>
            <w:tcW w:w="1276" w:type="dxa"/>
            <w:vAlign w:val="center"/>
          </w:tcPr>
          <w:p w14:paraId="369EF8A5" w14:textId="54161A75"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15 957,0</w:t>
            </w:r>
          </w:p>
        </w:tc>
        <w:tc>
          <w:tcPr>
            <w:tcW w:w="861" w:type="dxa"/>
            <w:vAlign w:val="center"/>
          </w:tcPr>
          <w:p w14:paraId="0BB59E26" w14:textId="6F01E0C7"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40,8</w:t>
            </w:r>
          </w:p>
        </w:tc>
        <w:tc>
          <w:tcPr>
            <w:tcW w:w="708" w:type="dxa"/>
            <w:vAlign w:val="center"/>
          </w:tcPr>
          <w:p w14:paraId="5180C0DD" w14:textId="3619302C"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40,0</w:t>
            </w:r>
          </w:p>
        </w:tc>
        <w:tc>
          <w:tcPr>
            <w:tcW w:w="709" w:type="dxa"/>
            <w:vAlign w:val="center"/>
          </w:tcPr>
          <w:p w14:paraId="5373CCCE" w14:textId="7F59E7D0"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38,6</w:t>
            </w:r>
          </w:p>
        </w:tc>
        <w:tc>
          <w:tcPr>
            <w:tcW w:w="709" w:type="dxa"/>
            <w:vAlign w:val="center"/>
          </w:tcPr>
          <w:p w14:paraId="1C84D19B" w14:textId="371F22FB"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37,6</w:t>
            </w:r>
          </w:p>
        </w:tc>
        <w:tc>
          <w:tcPr>
            <w:tcW w:w="709" w:type="dxa"/>
            <w:vAlign w:val="center"/>
          </w:tcPr>
          <w:p w14:paraId="2E69E7D3" w14:textId="408DB9F2" w:rsidR="00D21E1F" w:rsidRPr="00D21E1F" w:rsidRDefault="00D21E1F" w:rsidP="00D21E1F">
            <w:pPr>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18"/>
                <w:szCs w:val="18"/>
                <w:lang w:eastAsia="lv-LV"/>
              </w:rPr>
            </w:pPr>
            <w:r w:rsidRPr="00D21E1F">
              <w:rPr>
                <w:color w:val="auto"/>
                <w:sz w:val="18"/>
                <w:szCs w:val="18"/>
              </w:rPr>
              <w:t>35,6</w:t>
            </w:r>
          </w:p>
        </w:tc>
      </w:tr>
      <w:tr w:rsidR="00D21E1F" w:rsidRPr="005346E4" w14:paraId="645F9440" w14:textId="77777777" w:rsidTr="007306F1">
        <w:trPr>
          <w:cnfStyle w:val="000000100000" w:firstRow="0" w:lastRow="0" w:firstColumn="0" w:lastColumn="0" w:oddVBand="0" w:evenVBand="0" w:oddHBand="1" w:evenHBand="0" w:firstRowFirstColumn="0" w:firstRowLastColumn="0" w:lastRowFirstColumn="0" w:lastRowLastColumn="0"/>
          <w:trHeight w:val="119"/>
          <w:jc w:val="center"/>
        </w:trPr>
        <w:tc>
          <w:tcPr>
            <w:cnfStyle w:val="001000000000" w:firstRow="0" w:lastRow="0" w:firstColumn="1" w:lastColumn="0" w:oddVBand="0" w:evenVBand="0" w:oddHBand="0" w:evenHBand="0" w:firstRowFirstColumn="0" w:firstRowLastColumn="0" w:lastRowFirstColumn="0" w:lastRowLastColumn="0"/>
            <w:tcW w:w="3260" w:type="dxa"/>
            <w:hideMark/>
          </w:tcPr>
          <w:p w14:paraId="0A4AB2AB" w14:textId="77777777" w:rsidR="00D21E1F" w:rsidRPr="005346E4" w:rsidRDefault="00D21E1F" w:rsidP="00D21E1F">
            <w:pPr>
              <w:ind w:firstLine="0"/>
              <w:rPr>
                <w:rFonts w:cs="Times New Roman"/>
                <w:color w:val="000000" w:themeColor="text1"/>
                <w:sz w:val="18"/>
                <w:szCs w:val="18"/>
                <w:lang w:eastAsia="lv-LV"/>
              </w:rPr>
            </w:pPr>
            <w:r w:rsidRPr="005346E4">
              <w:rPr>
                <w:rFonts w:cs="Times New Roman"/>
                <w:color w:val="000000" w:themeColor="text1"/>
                <w:sz w:val="18"/>
                <w:szCs w:val="18"/>
                <w:lang w:eastAsia="lv-LV"/>
              </w:rPr>
              <w:t>Valdības patēriņš</w:t>
            </w:r>
          </w:p>
        </w:tc>
        <w:tc>
          <w:tcPr>
            <w:tcW w:w="992" w:type="dxa"/>
            <w:vAlign w:val="center"/>
            <w:hideMark/>
          </w:tcPr>
          <w:p w14:paraId="6EB50CCE" w14:textId="77777777" w:rsidR="00D21E1F" w:rsidRPr="005346E4"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000000" w:themeColor="text1"/>
                <w:sz w:val="18"/>
                <w:szCs w:val="18"/>
                <w:lang w:eastAsia="lv-LV"/>
              </w:rPr>
            </w:pPr>
            <w:r w:rsidRPr="005346E4">
              <w:rPr>
                <w:rFonts w:cs="Times New Roman"/>
                <w:bCs/>
                <w:color w:val="000000" w:themeColor="text1"/>
                <w:sz w:val="18"/>
                <w:szCs w:val="18"/>
                <w:lang w:eastAsia="lv-LV"/>
              </w:rPr>
              <w:t>P.3</w:t>
            </w:r>
          </w:p>
        </w:tc>
        <w:tc>
          <w:tcPr>
            <w:tcW w:w="1276" w:type="dxa"/>
            <w:vAlign w:val="center"/>
          </w:tcPr>
          <w:p w14:paraId="32B92E00" w14:textId="18234CB0"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7 518,9</w:t>
            </w:r>
          </w:p>
        </w:tc>
        <w:tc>
          <w:tcPr>
            <w:tcW w:w="861" w:type="dxa"/>
            <w:vAlign w:val="center"/>
          </w:tcPr>
          <w:p w14:paraId="052696E3" w14:textId="1D41B243"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19,2</w:t>
            </w:r>
          </w:p>
        </w:tc>
        <w:tc>
          <w:tcPr>
            <w:tcW w:w="708" w:type="dxa"/>
            <w:vAlign w:val="center"/>
          </w:tcPr>
          <w:p w14:paraId="3477309F" w14:textId="7C608243"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19,0</w:t>
            </w:r>
          </w:p>
        </w:tc>
        <w:tc>
          <w:tcPr>
            <w:tcW w:w="709" w:type="dxa"/>
            <w:vAlign w:val="center"/>
          </w:tcPr>
          <w:p w14:paraId="5B911967" w14:textId="1D7240F3"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19,1</w:t>
            </w:r>
          </w:p>
        </w:tc>
        <w:tc>
          <w:tcPr>
            <w:tcW w:w="709" w:type="dxa"/>
            <w:vAlign w:val="center"/>
          </w:tcPr>
          <w:p w14:paraId="688875DB" w14:textId="43326073"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18,3</w:t>
            </w:r>
          </w:p>
        </w:tc>
        <w:tc>
          <w:tcPr>
            <w:tcW w:w="709" w:type="dxa"/>
            <w:vAlign w:val="center"/>
          </w:tcPr>
          <w:p w14:paraId="561E52E9" w14:textId="7EAB0220" w:rsidR="00D21E1F" w:rsidRPr="00D21E1F" w:rsidRDefault="00D21E1F" w:rsidP="00D21E1F">
            <w:pPr>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18"/>
                <w:szCs w:val="18"/>
                <w:lang w:eastAsia="lv-LV"/>
              </w:rPr>
            </w:pPr>
            <w:r w:rsidRPr="00D21E1F">
              <w:rPr>
                <w:color w:val="auto"/>
                <w:sz w:val="18"/>
                <w:szCs w:val="18"/>
              </w:rPr>
              <w:t>17,0</w:t>
            </w:r>
          </w:p>
        </w:tc>
      </w:tr>
    </w:tbl>
    <w:p w14:paraId="1E3840FC" w14:textId="77777777" w:rsidR="00575E47" w:rsidRDefault="00575E47" w:rsidP="000F4627">
      <w:pPr>
        <w:keepNext/>
        <w:spacing w:after="120"/>
        <w:ind w:firstLine="0"/>
        <w:rPr>
          <w:rFonts w:eastAsia="Times New Roman" w:cs="Times New Roman"/>
          <w:b/>
          <w:color w:val="000000"/>
          <w:sz w:val="24"/>
          <w:szCs w:val="24"/>
        </w:rPr>
      </w:pPr>
    </w:p>
    <w:p w14:paraId="2FFFB268" w14:textId="52ABA726" w:rsidR="00884CF9" w:rsidRPr="00C13AFE" w:rsidRDefault="00884CF9" w:rsidP="000F4627">
      <w:pPr>
        <w:keepNext/>
        <w:spacing w:after="120"/>
        <w:ind w:firstLine="0"/>
        <w:rPr>
          <w:rFonts w:eastAsia="Times New Roman" w:cs="Times New Roman"/>
          <w:b/>
          <w:color w:val="000000"/>
          <w:sz w:val="24"/>
          <w:szCs w:val="24"/>
        </w:rPr>
      </w:pPr>
      <w:r w:rsidRPr="00C13AFE">
        <w:rPr>
          <w:rFonts w:eastAsia="Times New Roman" w:cs="Times New Roman"/>
          <w:b/>
          <w:color w:val="000000"/>
          <w:sz w:val="24"/>
          <w:szCs w:val="24"/>
        </w:rPr>
        <w:t>2b.</w:t>
      </w:r>
      <w:r w:rsidR="0087383B" w:rsidRPr="00C13AFE">
        <w:rPr>
          <w:rFonts w:eastAsia="Times New Roman" w:cs="Times New Roman"/>
          <w:b/>
          <w:color w:val="000000"/>
          <w:sz w:val="24"/>
          <w:szCs w:val="24"/>
        </w:rPr>
        <w:t xml:space="preserve"> </w:t>
      </w:r>
      <w:r w:rsidRPr="00C13AFE">
        <w:rPr>
          <w:rFonts w:eastAsia="Times New Roman" w:cs="Times New Roman"/>
          <w:b/>
          <w:color w:val="000000"/>
          <w:sz w:val="24"/>
          <w:szCs w:val="24"/>
        </w:rPr>
        <w:t xml:space="preserve">tabula. Prognozes pie </w:t>
      </w:r>
      <w:r w:rsidR="00CE2961" w:rsidRPr="00C13AFE">
        <w:rPr>
          <w:rFonts w:eastAsia="Times New Roman" w:cs="Times New Roman"/>
          <w:b/>
          <w:color w:val="000000"/>
          <w:sz w:val="24"/>
          <w:szCs w:val="24"/>
        </w:rPr>
        <w:t>ne</w:t>
      </w:r>
      <w:r w:rsidRPr="00C13AFE">
        <w:rPr>
          <w:rFonts w:eastAsia="Times New Roman" w:cs="Times New Roman"/>
          <w:b/>
          <w:color w:val="000000"/>
          <w:sz w:val="24"/>
          <w:szCs w:val="24"/>
        </w:rPr>
        <w:t>mainīgas politikas</w:t>
      </w:r>
    </w:p>
    <w:tbl>
      <w:tblPr>
        <w:tblStyle w:val="GridTable6Colorful-Accent117"/>
        <w:tblW w:w="9646" w:type="dxa"/>
        <w:jc w:val="center"/>
        <w:tblLook w:val="04A0" w:firstRow="1" w:lastRow="0" w:firstColumn="1" w:lastColumn="0" w:noHBand="0" w:noVBand="1"/>
      </w:tblPr>
      <w:tblGrid>
        <w:gridCol w:w="4087"/>
        <w:gridCol w:w="1169"/>
        <w:gridCol w:w="878"/>
        <w:gridCol w:w="878"/>
        <w:gridCol w:w="878"/>
        <w:gridCol w:w="878"/>
        <w:gridCol w:w="878"/>
      </w:tblGrid>
      <w:tr w:rsidR="00884CF9" w:rsidRPr="00A72128" w14:paraId="59844600" w14:textId="77777777" w:rsidTr="00991B5E">
        <w:trPr>
          <w:cnfStyle w:val="100000000000" w:firstRow="1" w:lastRow="0" w:firstColumn="0" w:lastColumn="0" w:oddVBand="0" w:evenVBand="0" w:oddHBand="0" w:evenHBand="0" w:firstRowFirstColumn="0" w:firstRowLastColumn="0" w:lastRowFirstColumn="0" w:lastRowLastColumn="0"/>
          <w:trHeight w:val="529"/>
          <w:jc w:val="center"/>
        </w:trPr>
        <w:tc>
          <w:tcPr>
            <w:cnfStyle w:val="001000000000" w:firstRow="0" w:lastRow="0" w:firstColumn="1" w:lastColumn="0" w:oddVBand="0" w:evenVBand="0" w:oddHBand="0" w:evenHBand="0" w:firstRowFirstColumn="0" w:firstRowLastColumn="0" w:lastRowFirstColumn="0" w:lastRowLastColumn="0"/>
            <w:tcW w:w="3964" w:type="dxa"/>
            <w:shd w:val="clear" w:color="auto" w:fill="DEEAF6"/>
            <w:noWrap/>
            <w:vAlign w:val="center"/>
            <w:hideMark/>
          </w:tcPr>
          <w:p w14:paraId="7F6C0FCD" w14:textId="77777777" w:rsidR="00884CF9" w:rsidRPr="00BA73EA" w:rsidRDefault="00884CF9" w:rsidP="00884CF9">
            <w:pPr>
              <w:ind w:firstLine="0"/>
              <w:jc w:val="center"/>
              <w:rPr>
                <w:rFonts w:cs="Times New Roman"/>
                <w:color w:val="000000"/>
                <w:sz w:val="18"/>
                <w:szCs w:val="18"/>
              </w:rPr>
            </w:pPr>
          </w:p>
        </w:tc>
        <w:tc>
          <w:tcPr>
            <w:tcW w:w="1134" w:type="dxa"/>
            <w:shd w:val="clear" w:color="auto" w:fill="DEEAF6"/>
            <w:vAlign w:val="center"/>
            <w:hideMark/>
          </w:tcPr>
          <w:p w14:paraId="6FA72B5F" w14:textId="2A842393" w:rsidR="00884CF9" w:rsidRPr="00BA73EA" w:rsidRDefault="00A72128" w:rsidP="00884CF9">
            <w:pPr>
              <w:ind w:firstLine="0"/>
              <w:jc w:val="center"/>
              <w:cnfStyle w:val="100000000000" w:firstRow="1" w:lastRow="0" w:firstColumn="0" w:lastColumn="0" w:oddVBand="0" w:evenVBand="0" w:oddHBand="0" w:evenHBand="0" w:firstRowFirstColumn="0" w:firstRowLastColumn="0" w:lastRowFirstColumn="0" w:lastRowLastColumn="0"/>
              <w:rPr>
                <w:rFonts w:cs="Times New Roman"/>
                <w:color w:val="000000"/>
                <w:sz w:val="18"/>
                <w:szCs w:val="18"/>
              </w:rPr>
            </w:pPr>
            <w:r w:rsidRPr="00BA73EA">
              <w:rPr>
                <w:rFonts w:cs="Times New Roman"/>
                <w:color w:val="000000"/>
                <w:sz w:val="18"/>
                <w:szCs w:val="18"/>
              </w:rPr>
              <w:t>202</w:t>
            </w:r>
            <w:r>
              <w:rPr>
                <w:rFonts w:cs="Times New Roman"/>
                <w:color w:val="000000"/>
                <w:sz w:val="18"/>
                <w:szCs w:val="18"/>
              </w:rPr>
              <w:t>2</w:t>
            </w:r>
          </w:p>
        </w:tc>
        <w:tc>
          <w:tcPr>
            <w:tcW w:w="851" w:type="dxa"/>
            <w:shd w:val="clear" w:color="auto" w:fill="DEEAF6"/>
            <w:noWrap/>
            <w:vAlign w:val="center"/>
            <w:hideMark/>
          </w:tcPr>
          <w:p w14:paraId="7B37DE1C" w14:textId="2A558DFA" w:rsidR="00884CF9" w:rsidRPr="00BA73EA" w:rsidRDefault="00A72128" w:rsidP="00884CF9">
            <w:pPr>
              <w:ind w:firstLine="0"/>
              <w:jc w:val="center"/>
              <w:cnfStyle w:val="100000000000" w:firstRow="1" w:lastRow="0" w:firstColumn="0" w:lastColumn="0" w:oddVBand="0" w:evenVBand="0" w:oddHBand="0" w:evenHBand="0" w:firstRowFirstColumn="0" w:firstRowLastColumn="0" w:lastRowFirstColumn="0" w:lastRowLastColumn="0"/>
              <w:rPr>
                <w:rFonts w:cs="Times New Roman"/>
                <w:bCs w:val="0"/>
                <w:color w:val="000000"/>
                <w:sz w:val="18"/>
                <w:szCs w:val="18"/>
              </w:rPr>
            </w:pPr>
            <w:r w:rsidRPr="00BA73EA">
              <w:rPr>
                <w:rFonts w:cs="Times New Roman"/>
                <w:color w:val="000000"/>
                <w:sz w:val="18"/>
                <w:szCs w:val="18"/>
              </w:rPr>
              <w:t>202</w:t>
            </w:r>
            <w:r>
              <w:rPr>
                <w:rFonts w:cs="Times New Roman"/>
                <w:bCs w:val="0"/>
                <w:color w:val="000000"/>
                <w:sz w:val="18"/>
                <w:szCs w:val="18"/>
              </w:rPr>
              <w:t>2</w:t>
            </w:r>
          </w:p>
        </w:tc>
        <w:tc>
          <w:tcPr>
            <w:tcW w:w="851" w:type="dxa"/>
            <w:shd w:val="clear" w:color="auto" w:fill="DEEAF6"/>
            <w:noWrap/>
            <w:vAlign w:val="center"/>
            <w:hideMark/>
          </w:tcPr>
          <w:p w14:paraId="2950C917" w14:textId="2F3485EA" w:rsidR="00884CF9" w:rsidRPr="00BA73EA" w:rsidRDefault="00A72128" w:rsidP="00884CF9">
            <w:pPr>
              <w:ind w:firstLine="0"/>
              <w:jc w:val="center"/>
              <w:cnfStyle w:val="100000000000" w:firstRow="1" w:lastRow="0" w:firstColumn="0" w:lastColumn="0" w:oddVBand="0" w:evenVBand="0" w:oddHBand="0" w:evenHBand="0" w:firstRowFirstColumn="0" w:firstRowLastColumn="0" w:lastRowFirstColumn="0" w:lastRowLastColumn="0"/>
              <w:rPr>
                <w:rFonts w:cs="Times New Roman"/>
                <w:bCs w:val="0"/>
                <w:color w:val="000000"/>
                <w:sz w:val="18"/>
                <w:szCs w:val="18"/>
              </w:rPr>
            </w:pPr>
            <w:r w:rsidRPr="00BA73EA">
              <w:rPr>
                <w:rFonts w:cs="Times New Roman"/>
                <w:color w:val="000000"/>
                <w:sz w:val="18"/>
                <w:szCs w:val="18"/>
              </w:rPr>
              <w:t>202</w:t>
            </w:r>
            <w:r>
              <w:rPr>
                <w:rFonts w:cs="Times New Roman"/>
                <w:bCs w:val="0"/>
                <w:color w:val="000000"/>
                <w:sz w:val="18"/>
                <w:szCs w:val="18"/>
              </w:rPr>
              <w:t>3</w:t>
            </w:r>
          </w:p>
        </w:tc>
        <w:tc>
          <w:tcPr>
            <w:tcW w:w="851" w:type="dxa"/>
            <w:shd w:val="clear" w:color="auto" w:fill="DEEAF6"/>
            <w:noWrap/>
            <w:vAlign w:val="center"/>
            <w:hideMark/>
          </w:tcPr>
          <w:p w14:paraId="1B3F4702" w14:textId="0D023089" w:rsidR="00884CF9" w:rsidRPr="00BA73EA" w:rsidRDefault="00A72128" w:rsidP="00884CF9">
            <w:pPr>
              <w:ind w:firstLine="0"/>
              <w:jc w:val="center"/>
              <w:cnfStyle w:val="100000000000" w:firstRow="1" w:lastRow="0" w:firstColumn="0" w:lastColumn="0" w:oddVBand="0" w:evenVBand="0" w:oddHBand="0" w:evenHBand="0" w:firstRowFirstColumn="0" w:firstRowLastColumn="0" w:lastRowFirstColumn="0" w:lastRowLastColumn="0"/>
              <w:rPr>
                <w:rFonts w:cs="Times New Roman"/>
                <w:bCs w:val="0"/>
                <w:color w:val="000000"/>
                <w:sz w:val="18"/>
                <w:szCs w:val="18"/>
              </w:rPr>
            </w:pPr>
            <w:r w:rsidRPr="00BA73EA">
              <w:rPr>
                <w:rFonts w:cs="Times New Roman"/>
                <w:color w:val="000000"/>
                <w:sz w:val="18"/>
                <w:szCs w:val="18"/>
              </w:rPr>
              <w:t>202</w:t>
            </w:r>
            <w:r>
              <w:rPr>
                <w:rFonts w:cs="Times New Roman"/>
                <w:bCs w:val="0"/>
                <w:color w:val="000000"/>
                <w:sz w:val="18"/>
                <w:szCs w:val="18"/>
              </w:rPr>
              <w:t>4</w:t>
            </w:r>
          </w:p>
        </w:tc>
        <w:tc>
          <w:tcPr>
            <w:tcW w:w="851" w:type="dxa"/>
            <w:shd w:val="clear" w:color="auto" w:fill="DEEAF6"/>
            <w:noWrap/>
            <w:vAlign w:val="center"/>
            <w:hideMark/>
          </w:tcPr>
          <w:p w14:paraId="6593CE6C" w14:textId="280CB909" w:rsidR="00884CF9" w:rsidRPr="00BA73EA" w:rsidRDefault="00A72128" w:rsidP="00884CF9">
            <w:pPr>
              <w:ind w:firstLine="0"/>
              <w:jc w:val="center"/>
              <w:cnfStyle w:val="100000000000" w:firstRow="1" w:lastRow="0" w:firstColumn="0" w:lastColumn="0" w:oddVBand="0" w:evenVBand="0" w:oddHBand="0" w:evenHBand="0" w:firstRowFirstColumn="0" w:firstRowLastColumn="0" w:lastRowFirstColumn="0" w:lastRowLastColumn="0"/>
              <w:rPr>
                <w:rFonts w:cs="Times New Roman"/>
                <w:bCs w:val="0"/>
                <w:color w:val="000000"/>
                <w:sz w:val="18"/>
                <w:szCs w:val="18"/>
              </w:rPr>
            </w:pPr>
            <w:r w:rsidRPr="00BA73EA">
              <w:rPr>
                <w:rFonts w:cs="Times New Roman"/>
                <w:color w:val="000000"/>
                <w:sz w:val="18"/>
                <w:szCs w:val="18"/>
              </w:rPr>
              <w:t>202</w:t>
            </w:r>
            <w:r>
              <w:rPr>
                <w:rFonts w:cs="Times New Roman"/>
                <w:bCs w:val="0"/>
                <w:color w:val="000000"/>
                <w:sz w:val="18"/>
                <w:szCs w:val="18"/>
              </w:rPr>
              <w:t>5</w:t>
            </w:r>
          </w:p>
        </w:tc>
        <w:tc>
          <w:tcPr>
            <w:tcW w:w="851" w:type="dxa"/>
            <w:shd w:val="clear" w:color="auto" w:fill="DEEAF6"/>
            <w:noWrap/>
            <w:vAlign w:val="center"/>
            <w:hideMark/>
          </w:tcPr>
          <w:p w14:paraId="7262F600" w14:textId="0B2349C4" w:rsidR="00884CF9" w:rsidRPr="00BA73EA" w:rsidRDefault="00A72128" w:rsidP="00884CF9">
            <w:pPr>
              <w:ind w:firstLine="0"/>
              <w:jc w:val="center"/>
              <w:cnfStyle w:val="100000000000" w:firstRow="1" w:lastRow="0" w:firstColumn="0" w:lastColumn="0" w:oddVBand="0" w:evenVBand="0" w:oddHBand="0" w:evenHBand="0" w:firstRowFirstColumn="0" w:firstRowLastColumn="0" w:lastRowFirstColumn="0" w:lastRowLastColumn="0"/>
              <w:rPr>
                <w:rFonts w:cs="Times New Roman"/>
                <w:bCs w:val="0"/>
                <w:color w:val="000000"/>
                <w:sz w:val="18"/>
                <w:szCs w:val="18"/>
              </w:rPr>
            </w:pPr>
            <w:r w:rsidRPr="00BA73EA">
              <w:rPr>
                <w:rFonts w:cs="Times New Roman"/>
                <w:color w:val="000000"/>
                <w:sz w:val="18"/>
                <w:szCs w:val="18"/>
              </w:rPr>
              <w:t>202</w:t>
            </w:r>
            <w:r>
              <w:rPr>
                <w:rFonts w:cs="Times New Roman"/>
                <w:bCs w:val="0"/>
                <w:color w:val="000000"/>
                <w:sz w:val="18"/>
                <w:szCs w:val="18"/>
              </w:rPr>
              <w:t>6</w:t>
            </w:r>
          </w:p>
        </w:tc>
      </w:tr>
    </w:tbl>
    <w:tbl>
      <w:tblPr>
        <w:tblStyle w:val="GridTable6Colorful-Accent118"/>
        <w:tblW w:w="9641" w:type="dxa"/>
        <w:jc w:val="center"/>
        <w:tblLook w:val="04A0" w:firstRow="1" w:lastRow="0" w:firstColumn="1" w:lastColumn="0" w:noHBand="0" w:noVBand="1"/>
      </w:tblPr>
      <w:tblGrid>
        <w:gridCol w:w="4087"/>
        <w:gridCol w:w="1169"/>
        <w:gridCol w:w="835"/>
        <w:gridCol w:w="992"/>
        <w:gridCol w:w="850"/>
        <w:gridCol w:w="851"/>
        <w:gridCol w:w="857"/>
      </w:tblGrid>
      <w:tr w:rsidR="00884CF9" w:rsidRPr="00A72128" w14:paraId="5ADC66F7" w14:textId="77777777" w:rsidTr="00991B5E">
        <w:trPr>
          <w:cnfStyle w:val="100000000000" w:firstRow="1" w:lastRow="0" w:firstColumn="0" w:lastColumn="0" w:oddVBand="0" w:evenVBand="0" w:oddHBand="0" w:evenHBand="0" w:firstRowFirstColumn="0" w:firstRowLastColumn="0" w:lastRowFirstColumn="0" w:lastRowLastColumn="0"/>
          <w:trHeight w:val="53"/>
          <w:jc w:val="center"/>
        </w:trPr>
        <w:tc>
          <w:tcPr>
            <w:cnfStyle w:val="001000000000" w:firstRow="0" w:lastRow="0" w:firstColumn="1" w:lastColumn="0" w:oddVBand="0" w:evenVBand="0" w:oddHBand="0" w:evenHBand="0" w:firstRowFirstColumn="0" w:firstRowLastColumn="0" w:lastRowFirstColumn="0" w:lastRowLastColumn="0"/>
            <w:tcW w:w="4087" w:type="dxa"/>
            <w:noWrap/>
            <w:vAlign w:val="bottom"/>
          </w:tcPr>
          <w:p w14:paraId="427E4C56" w14:textId="77777777" w:rsidR="00884CF9" w:rsidRPr="00BA73EA" w:rsidRDefault="00884CF9" w:rsidP="00884CF9">
            <w:pPr>
              <w:ind w:firstLine="31"/>
              <w:rPr>
                <w:rFonts w:cs="Times New Roman"/>
                <w:b w:val="0"/>
                <w:color w:val="000000"/>
                <w:sz w:val="18"/>
                <w:szCs w:val="18"/>
              </w:rPr>
            </w:pPr>
          </w:p>
        </w:tc>
        <w:tc>
          <w:tcPr>
            <w:tcW w:w="1169" w:type="dxa"/>
            <w:noWrap/>
            <w:vAlign w:val="center"/>
          </w:tcPr>
          <w:p w14:paraId="02434D06" w14:textId="77777777" w:rsidR="00884CF9" w:rsidRPr="00BA73EA" w:rsidRDefault="00884CF9" w:rsidP="00884CF9">
            <w:pPr>
              <w:ind w:firstLine="31"/>
              <w:jc w:val="center"/>
              <w:cnfStyle w:val="100000000000" w:firstRow="1" w:lastRow="0" w:firstColumn="0" w:lastColumn="0" w:oddVBand="0" w:evenVBand="0" w:oddHBand="0" w:evenHBand="0" w:firstRowFirstColumn="0" w:firstRowLastColumn="0" w:lastRowFirstColumn="0" w:lastRowLastColumn="0"/>
              <w:rPr>
                <w:rFonts w:cs="Times New Roman"/>
                <w:bCs w:val="0"/>
                <w:color w:val="000000" w:themeColor="text1"/>
                <w:sz w:val="18"/>
                <w:szCs w:val="18"/>
                <w:lang w:eastAsia="lv-LV"/>
              </w:rPr>
            </w:pPr>
            <w:r w:rsidRPr="00BA73EA">
              <w:rPr>
                <w:rFonts w:cs="Times New Roman"/>
                <w:color w:val="000000" w:themeColor="text1"/>
                <w:sz w:val="18"/>
                <w:szCs w:val="18"/>
                <w:lang w:eastAsia="lv-LV"/>
              </w:rPr>
              <w:t xml:space="preserve">milj. </w:t>
            </w:r>
            <w:proofErr w:type="spellStart"/>
            <w:r w:rsidRPr="00BA73EA">
              <w:rPr>
                <w:rFonts w:cs="Times New Roman"/>
                <w:i/>
                <w:iCs/>
                <w:color w:val="000000" w:themeColor="text1"/>
                <w:sz w:val="18"/>
                <w:szCs w:val="18"/>
                <w:lang w:eastAsia="lv-LV"/>
              </w:rPr>
              <w:t>euro</w:t>
            </w:r>
            <w:proofErr w:type="spellEnd"/>
          </w:p>
        </w:tc>
        <w:tc>
          <w:tcPr>
            <w:tcW w:w="4385" w:type="dxa"/>
            <w:gridSpan w:val="5"/>
            <w:noWrap/>
          </w:tcPr>
          <w:p w14:paraId="6AEE811F" w14:textId="77777777" w:rsidR="00884CF9" w:rsidRPr="00BA73EA" w:rsidRDefault="00884CF9" w:rsidP="00884CF9">
            <w:pPr>
              <w:ind w:firstLine="31"/>
              <w:jc w:val="center"/>
              <w:cnfStyle w:val="100000000000" w:firstRow="1" w:lastRow="0" w:firstColumn="0" w:lastColumn="0" w:oddVBand="0" w:evenVBand="0" w:oddHBand="0" w:evenHBand="0" w:firstRowFirstColumn="0" w:firstRowLastColumn="0" w:lastRowFirstColumn="0" w:lastRowLastColumn="0"/>
              <w:rPr>
                <w:rFonts w:cs="Times New Roman"/>
                <w:b w:val="0"/>
                <w:color w:val="000000" w:themeColor="text1"/>
                <w:sz w:val="18"/>
                <w:szCs w:val="18"/>
                <w:lang w:eastAsia="lv-LV"/>
              </w:rPr>
            </w:pPr>
            <w:r w:rsidRPr="00BA73EA">
              <w:rPr>
                <w:rFonts w:cs="Times New Roman"/>
                <w:color w:val="000000" w:themeColor="text1"/>
                <w:sz w:val="18"/>
                <w:szCs w:val="18"/>
                <w:lang w:eastAsia="lv-LV"/>
              </w:rPr>
              <w:t>% no IKP</w:t>
            </w:r>
          </w:p>
        </w:tc>
      </w:tr>
      <w:tr w:rsidR="00A72128" w:rsidRPr="00A72128" w14:paraId="46E09598" w14:textId="77777777" w:rsidTr="0077428B">
        <w:trPr>
          <w:cnfStyle w:val="000000100000" w:firstRow="0" w:lastRow="0" w:firstColumn="0" w:lastColumn="0" w:oddVBand="0" w:evenVBand="0" w:oddHBand="1"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4087" w:type="dxa"/>
            <w:noWrap/>
            <w:vAlign w:val="bottom"/>
          </w:tcPr>
          <w:p w14:paraId="54670771" w14:textId="77777777" w:rsidR="00A72128" w:rsidRPr="0077428B" w:rsidRDefault="00A72128" w:rsidP="00A72128">
            <w:pPr>
              <w:ind w:firstLine="31"/>
              <w:rPr>
                <w:rFonts w:cs="Times New Roman"/>
                <w:bCs w:val="0"/>
                <w:color w:val="auto"/>
                <w:sz w:val="18"/>
                <w:szCs w:val="18"/>
              </w:rPr>
            </w:pPr>
            <w:r w:rsidRPr="0077428B">
              <w:rPr>
                <w:rFonts w:cs="Times New Roman"/>
                <w:color w:val="auto"/>
                <w:sz w:val="18"/>
                <w:szCs w:val="18"/>
              </w:rPr>
              <w:t>1. Kopējie ieņēmumi pie nemainīgas politikas</w:t>
            </w:r>
          </w:p>
        </w:tc>
        <w:tc>
          <w:tcPr>
            <w:tcW w:w="1169" w:type="dxa"/>
            <w:noWrap/>
          </w:tcPr>
          <w:p w14:paraId="0F95619B" w14:textId="63D1A038" w:rsidR="00A72128" w:rsidRPr="0077428B" w:rsidRDefault="00A72128" w:rsidP="00A72128">
            <w:pPr>
              <w:ind w:firstLine="31"/>
              <w:jc w:val="center"/>
              <w:cnfStyle w:val="000000100000" w:firstRow="0" w:lastRow="0" w:firstColumn="0" w:lastColumn="0" w:oddVBand="0" w:evenVBand="0" w:oddHBand="1" w:evenHBand="0" w:firstRowFirstColumn="0" w:firstRowLastColumn="0" w:lastRowFirstColumn="0" w:lastRowLastColumn="0"/>
              <w:rPr>
                <w:rFonts w:cs="Times New Roman"/>
                <w:bCs/>
                <w:color w:val="auto"/>
                <w:sz w:val="18"/>
                <w:szCs w:val="18"/>
              </w:rPr>
            </w:pPr>
            <w:r w:rsidRPr="0077428B">
              <w:rPr>
                <w:color w:val="auto"/>
                <w:sz w:val="18"/>
                <w:szCs w:val="18"/>
              </w:rPr>
              <w:t>14 118,2</w:t>
            </w:r>
          </w:p>
        </w:tc>
        <w:tc>
          <w:tcPr>
            <w:tcW w:w="835" w:type="dxa"/>
            <w:noWrap/>
          </w:tcPr>
          <w:p w14:paraId="70CE2BD5" w14:textId="7BFC7123" w:rsidR="00A72128" w:rsidRPr="0077428B" w:rsidRDefault="00A72128" w:rsidP="00A72128">
            <w:pPr>
              <w:ind w:firstLine="31"/>
              <w:jc w:val="center"/>
              <w:cnfStyle w:val="000000100000" w:firstRow="0" w:lastRow="0" w:firstColumn="0" w:lastColumn="0" w:oddVBand="0" w:evenVBand="0" w:oddHBand="1" w:evenHBand="0" w:firstRowFirstColumn="0" w:firstRowLastColumn="0" w:lastRowFirstColumn="0" w:lastRowLastColumn="0"/>
              <w:rPr>
                <w:rFonts w:cs="Times New Roman"/>
                <w:bCs/>
                <w:color w:val="auto"/>
                <w:sz w:val="18"/>
                <w:szCs w:val="18"/>
              </w:rPr>
            </w:pPr>
            <w:r w:rsidRPr="0077428B">
              <w:rPr>
                <w:color w:val="auto"/>
                <w:sz w:val="18"/>
                <w:szCs w:val="18"/>
              </w:rPr>
              <w:t>36,1</w:t>
            </w:r>
          </w:p>
        </w:tc>
        <w:tc>
          <w:tcPr>
            <w:tcW w:w="992" w:type="dxa"/>
            <w:noWrap/>
          </w:tcPr>
          <w:p w14:paraId="307470E2" w14:textId="1E8D4207" w:rsidR="00A72128" w:rsidRPr="0077428B" w:rsidRDefault="00A72128" w:rsidP="00A72128">
            <w:pPr>
              <w:ind w:firstLine="31"/>
              <w:jc w:val="center"/>
              <w:cnfStyle w:val="000000100000" w:firstRow="0" w:lastRow="0" w:firstColumn="0" w:lastColumn="0" w:oddVBand="0" w:evenVBand="0" w:oddHBand="1" w:evenHBand="0" w:firstRowFirstColumn="0" w:firstRowLastColumn="0" w:lastRowFirstColumn="0" w:lastRowLastColumn="0"/>
              <w:rPr>
                <w:rFonts w:cs="Times New Roman"/>
                <w:bCs/>
                <w:color w:val="auto"/>
                <w:sz w:val="18"/>
                <w:szCs w:val="18"/>
              </w:rPr>
            </w:pPr>
            <w:r w:rsidRPr="0077428B">
              <w:rPr>
                <w:color w:val="auto"/>
                <w:sz w:val="18"/>
                <w:szCs w:val="18"/>
              </w:rPr>
              <w:t>36,0</w:t>
            </w:r>
          </w:p>
        </w:tc>
        <w:tc>
          <w:tcPr>
            <w:tcW w:w="850" w:type="dxa"/>
            <w:noWrap/>
          </w:tcPr>
          <w:p w14:paraId="7E1B5428" w14:textId="2C2AD931" w:rsidR="00A72128" w:rsidRPr="0077428B" w:rsidRDefault="00A72128" w:rsidP="00A72128">
            <w:pPr>
              <w:ind w:firstLine="31"/>
              <w:jc w:val="center"/>
              <w:cnfStyle w:val="000000100000" w:firstRow="0" w:lastRow="0" w:firstColumn="0" w:lastColumn="0" w:oddVBand="0" w:evenVBand="0" w:oddHBand="1" w:evenHBand="0" w:firstRowFirstColumn="0" w:firstRowLastColumn="0" w:lastRowFirstColumn="0" w:lastRowLastColumn="0"/>
              <w:rPr>
                <w:rFonts w:cs="Times New Roman"/>
                <w:bCs/>
                <w:color w:val="auto"/>
                <w:sz w:val="18"/>
                <w:szCs w:val="18"/>
              </w:rPr>
            </w:pPr>
            <w:r w:rsidRPr="0077428B">
              <w:rPr>
                <w:color w:val="auto"/>
                <w:sz w:val="18"/>
                <w:szCs w:val="18"/>
              </w:rPr>
              <w:t>36,1</w:t>
            </w:r>
          </w:p>
        </w:tc>
        <w:tc>
          <w:tcPr>
            <w:tcW w:w="851" w:type="dxa"/>
            <w:noWrap/>
          </w:tcPr>
          <w:p w14:paraId="79787C5D" w14:textId="02DAEDB1" w:rsidR="00A72128" w:rsidRPr="0077428B" w:rsidRDefault="00A72128" w:rsidP="00A72128">
            <w:pPr>
              <w:ind w:firstLine="31"/>
              <w:jc w:val="center"/>
              <w:cnfStyle w:val="000000100000" w:firstRow="0" w:lastRow="0" w:firstColumn="0" w:lastColumn="0" w:oddVBand="0" w:evenVBand="0" w:oddHBand="1" w:evenHBand="0" w:firstRowFirstColumn="0" w:firstRowLastColumn="0" w:lastRowFirstColumn="0" w:lastRowLastColumn="0"/>
              <w:rPr>
                <w:rFonts w:cs="Times New Roman"/>
                <w:bCs/>
                <w:color w:val="auto"/>
                <w:sz w:val="18"/>
                <w:szCs w:val="18"/>
              </w:rPr>
            </w:pPr>
            <w:r w:rsidRPr="0077428B">
              <w:rPr>
                <w:color w:val="auto"/>
                <w:sz w:val="18"/>
                <w:szCs w:val="18"/>
              </w:rPr>
              <w:t>35,4</w:t>
            </w:r>
          </w:p>
        </w:tc>
        <w:tc>
          <w:tcPr>
            <w:tcW w:w="857" w:type="dxa"/>
            <w:noWrap/>
          </w:tcPr>
          <w:p w14:paraId="1E47E31D" w14:textId="23DD5E51" w:rsidR="00A72128" w:rsidRPr="0077428B" w:rsidRDefault="00A72128" w:rsidP="00A72128">
            <w:pPr>
              <w:ind w:firstLine="31"/>
              <w:jc w:val="center"/>
              <w:cnfStyle w:val="000000100000" w:firstRow="0" w:lastRow="0" w:firstColumn="0" w:lastColumn="0" w:oddVBand="0" w:evenVBand="0" w:oddHBand="1" w:evenHBand="0" w:firstRowFirstColumn="0" w:firstRowLastColumn="0" w:lastRowFirstColumn="0" w:lastRowLastColumn="0"/>
              <w:rPr>
                <w:rFonts w:cs="Times New Roman"/>
                <w:bCs/>
                <w:color w:val="auto"/>
                <w:sz w:val="18"/>
                <w:szCs w:val="18"/>
              </w:rPr>
            </w:pPr>
            <w:r w:rsidRPr="0077428B">
              <w:rPr>
                <w:color w:val="auto"/>
                <w:sz w:val="18"/>
                <w:szCs w:val="18"/>
              </w:rPr>
              <w:t>34,9</w:t>
            </w:r>
          </w:p>
        </w:tc>
      </w:tr>
      <w:tr w:rsidR="00A72128" w:rsidRPr="00085AFE" w14:paraId="761D9F5F" w14:textId="77777777" w:rsidTr="0077428B">
        <w:trPr>
          <w:trHeight w:val="63"/>
          <w:jc w:val="center"/>
        </w:trPr>
        <w:tc>
          <w:tcPr>
            <w:cnfStyle w:val="001000000000" w:firstRow="0" w:lastRow="0" w:firstColumn="1" w:lastColumn="0" w:oddVBand="0" w:evenVBand="0" w:oddHBand="0" w:evenHBand="0" w:firstRowFirstColumn="0" w:firstRowLastColumn="0" w:lastRowFirstColumn="0" w:lastRowLastColumn="0"/>
            <w:tcW w:w="4087" w:type="dxa"/>
            <w:noWrap/>
            <w:vAlign w:val="bottom"/>
          </w:tcPr>
          <w:p w14:paraId="30D7BBB1" w14:textId="77777777" w:rsidR="00A72128" w:rsidRPr="0077428B" w:rsidRDefault="00A72128" w:rsidP="00A72128">
            <w:pPr>
              <w:ind w:firstLine="31"/>
              <w:rPr>
                <w:rFonts w:cs="Times New Roman"/>
                <w:bCs w:val="0"/>
                <w:color w:val="auto"/>
                <w:sz w:val="18"/>
                <w:szCs w:val="18"/>
              </w:rPr>
            </w:pPr>
            <w:r w:rsidRPr="0077428B">
              <w:rPr>
                <w:rFonts w:cs="Times New Roman"/>
                <w:color w:val="auto"/>
                <w:sz w:val="18"/>
                <w:szCs w:val="18"/>
              </w:rPr>
              <w:t>2. Kopējie izdevumi pie nemainīgas politikas</w:t>
            </w:r>
          </w:p>
        </w:tc>
        <w:tc>
          <w:tcPr>
            <w:tcW w:w="1169" w:type="dxa"/>
            <w:noWrap/>
          </w:tcPr>
          <w:p w14:paraId="5F48361D" w14:textId="7E781A0C" w:rsidR="00A72128" w:rsidRPr="0077428B" w:rsidRDefault="00A72128" w:rsidP="00A72128">
            <w:pPr>
              <w:ind w:firstLine="31"/>
              <w:jc w:val="center"/>
              <w:cnfStyle w:val="000000000000" w:firstRow="0" w:lastRow="0" w:firstColumn="0" w:lastColumn="0" w:oddVBand="0" w:evenVBand="0" w:oddHBand="0" w:evenHBand="0" w:firstRowFirstColumn="0" w:firstRowLastColumn="0" w:lastRowFirstColumn="0" w:lastRowLastColumn="0"/>
              <w:rPr>
                <w:rFonts w:cs="Times New Roman"/>
                <w:bCs/>
                <w:color w:val="auto"/>
                <w:sz w:val="18"/>
                <w:szCs w:val="18"/>
              </w:rPr>
            </w:pPr>
            <w:r w:rsidRPr="0077428B">
              <w:rPr>
                <w:color w:val="auto"/>
                <w:sz w:val="18"/>
                <w:szCs w:val="18"/>
              </w:rPr>
              <w:t>15 957,0</w:t>
            </w:r>
          </w:p>
        </w:tc>
        <w:tc>
          <w:tcPr>
            <w:tcW w:w="835" w:type="dxa"/>
            <w:noWrap/>
          </w:tcPr>
          <w:p w14:paraId="7050D4F1" w14:textId="608C4049" w:rsidR="00A72128" w:rsidRPr="0077428B" w:rsidRDefault="00A72128" w:rsidP="00A72128">
            <w:pPr>
              <w:ind w:firstLine="31"/>
              <w:jc w:val="center"/>
              <w:cnfStyle w:val="000000000000" w:firstRow="0" w:lastRow="0" w:firstColumn="0" w:lastColumn="0" w:oddVBand="0" w:evenVBand="0" w:oddHBand="0" w:evenHBand="0" w:firstRowFirstColumn="0" w:firstRowLastColumn="0" w:lastRowFirstColumn="0" w:lastRowLastColumn="0"/>
              <w:rPr>
                <w:rFonts w:cs="Times New Roman"/>
                <w:bCs/>
                <w:color w:val="auto"/>
                <w:sz w:val="18"/>
                <w:szCs w:val="18"/>
              </w:rPr>
            </w:pPr>
            <w:r w:rsidRPr="0077428B">
              <w:rPr>
                <w:color w:val="auto"/>
                <w:sz w:val="18"/>
                <w:szCs w:val="18"/>
              </w:rPr>
              <w:t>40,8</w:t>
            </w:r>
          </w:p>
        </w:tc>
        <w:tc>
          <w:tcPr>
            <w:tcW w:w="992" w:type="dxa"/>
            <w:noWrap/>
          </w:tcPr>
          <w:p w14:paraId="68061CA8" w14:textId="7F8B0928" w:rsidR="00A72128" w:rsidRPr="0077428B" w:rsidRDefault="00A72128" w:rsidP="00A72128">
            <w:pPr>
              <w:ind w:firstLine="31"/>
              <w:jc w:val="center"/>
              <w:cnfStyle w:val="000000000000" w:firstRow="0" w:lastRow="0" w:firstColumn="0" w:lastColumn="0" w:oddVBand="0" w:evenVBand="0" w:oddHBand="0" w:evenHBand="0" w:firstRowFirstColumn="0" w:firstRowLastColumn="0" w:lastRowFirstColumn="0" w:lastRowLastColumn="0"/>
              <w:rPr>
                <w:rFonts w:cs="Times New Roman"/>
                <w:bCs/>
                <w:color w:val="auto"/>
                <w:sz w:val="18"/>
                <w:szCs w:val="18"/>
              </w:rPr>
            </w:pPr>
            <w:r w:rsidRPr="0077428B">
              <w:rPr>
                <w:color w:val="auto"/>
                <w:sz w:val="18"/>
                <w:szCs w:val="18"/>
              </w:rPr>
              <w:t>40,0</w:t>
            </w:r>
          </w:p>
        </w:tc>
        <w:tc>
          <w:tcPr>
            <w:tcW w:w="850" w:type="dxa"/>
            <w:noWrap/>
          </w:tcPr>
          <w:p w14:paraId="4D8643A7" w14:textId="13EB3F2A" w:rsidR="00A72128" w:rsidRPr="0077428B" w:rsidRDefault="00A72128" w:rsidP="00A72128">
            <w:pPr>
              <w:ind w:firstLine="31"/>
              <w:jc w:val="center"/>
              <w:cnfStyle w:val="000000000000" w:firstRow="0" w:lastRow="0" w:firstColumn="0" w:lastColumn="0" w:oddVBand="0" w:evenVBand="0" w:oddHBand="0" w:evenHBand="0" w:firstRowFirstColumn="0" w:firstRowLastColumn="0" w:lastRowFirstColumn="0" w:lastRowLastColumn="0"/>
              <w:rPr>
                <w:rFonts w:cs="Times New Roman"/>
                <w:bCs/>
                <w:color w:val="auto"/>
                <w:sz w:val="18"/>
                <w:szCs w:val="18"/>
              </w:rPr>
            </w:pPr>
            <w:r w:rsidRPr="0077428B">
              <w:rPr>
                <w:color w:val="auto"/>
                <w:sz w:val="18"/>
                <w:szCs w:val="18"/>
              </w:rPr>
              <w:t>38,5</w:t>
            </w:r>
          </w:p>
        </w:tc>
        <w:tc>
          <w:tcPr>
            <w:tcW w:w="851" w:type="dxa"/>
            <w:noWrap/>
          </w:tcPr>
          <w:p w14:paraId="32DE49B7" w14:textId="42E2FD02" w:rsidR="00A72128" w:rsidRPr="0077428B" w:rsidRDefault="00A72128" w:rsidP="00A72128">
            <w:pPr>
              <w:ind w:firstLine="31"/>
              <w:jc w:val="center"/>
              <w:cnfStyle w:val="000000000000" w:firstRow="0" w:lastRow="0" w:firstColumn="0" w:lastColumn="0" w:oddVBand="0" w:evenVBand="0" w:oddHBand="0" w:evenHBand="0" w:firstRowFirstColumn="0" w:firstRowLastColumn="0" w:lastRowFirstColumn="0" w:lastRowLastColumn="0"/>
              <w:rPr>
                <w:rFonts w:cs="Times New Roman"/>
                <w:bCs/>
                <w:color w:val="auto"/>
                <w:sz w:val="18"/>
                <w:szCs w:val="18"/>
              </w:rPr>
            </w:pPr>
            <w:r w:rsidRPr="0077428B">
              <w:rPr>
                <w:color w:val="auto"/>
                <w:sz w:val="18"/>
                <w:szCs w:val="18"/>
              </w:rPr>
              <w:t>37,1</w:t>
            </w:r>
          </w:p>
        </w:tc>
        <w:tc>
          <w:tcPr>
            <w:tcW w:w="857" w:type="dxa"/>
            <w:noWrap/>
          </w:tcPr>
          <w:p w14:paraId="14BEC87A" w14:textId="19110BE6" w:rsidR="00A72128" w:rsidRPr="0077428B" w:rsidRDefault="00A72128" w:rsidP="00A72128">
            <w:pPr>
              <w:ind w:firstLine="31"/>
              <w:jc w:val="center"/>
              <w:cnfStyle w:val="000000000000" w:firstRow="0" w:lastRow="0" w:firstColumn="0" w:lastColumn="0" w:oddVBand="0" w:evenVBand="0" w:oddHBand="0" w:evenHBand="0" w:firstRowFirstColumn="0" w:firstRowLastColumn="0" w:lastRowFirstColumn="0" w:lastRowLastColumn="0"/>
              <w:rPr>
                <w:rFonts w:cs="Times New Roman"/>
                <w:bCs/>
                <w:color w:val="auto"/>
                <w:sz w:val="18"/>
                <w:szCs w:val="18"/>
              </w:rPr>
            </w:pPr>
            <w:r w:rsidRPr="0077428B">
              <w:rPr>
                <w:color w:val="auto"/>
                <w:sz w:val="18"/>
                <w:szCs w:val="18"/>
              </w:rPr>
              <w:t>35,4</w:t>
            </w:r>
          </w:p>
        </w:tc>
      </w:tr>
    </w:tbl>
    <w:p w14:paraId="2E000487" w14:textId="77777777" w:rsidR="00CE2961" w:rsidRPr="00085AFE" w:rsidRDefault="00CE2961" w:rsidP="00884CF9">
      <w:pPr>
        <w:keepNext/>
        <w:ind w:firstLine="0"/>
        <w:rPr>
          <w:rFonts w:eastAsia="Times New Roman" w:cs="Times New Roman"/>
          <w:b/>
          <w:color w:val="000000"/>
          <w:sz w:val="24"/>
          <w:szCs w:val="24"/>
          <w:highlight w:val="lightGray"/>
        </w:rPr>
      </w:pPr>
    </w:p>
    <w:p w14:paraId="738F5CE3" w14:textId="3CA50179" w:rsidR="00F57B5A" w:rsidRPr="00407459" w:rsidRDefault="00F57B5A" w:rsidP="008D5244">
      <w:pPr>
        <w:ind w:firstLine="0"/>
        <w:rPr>
          <w:rFonts w:cs="Times New Roman"/>
          <w:b/>
          <w:sz w:val="24"/>
          <w:szCs w:val="24"/>
        </w:rPr>
      </w:pPr>
      <w:r w:rsidRPr="00407459">
        <w:rPr>
          <w:rFonts w:cs="Times New Roman"/>
          <w:b/>
          <w:sz w:val="24"/>
          <w:szCs w:val="24"/>
        </w:rPr>
        <w:t>2c.</w:t>
      </w:r>
      <w:r w:rsidR="008D5244" w:rsidRPr="00407459">
        <w:rPr>
          <w:rFonts w:cs="Times New Roman"/>
          <w:b/>
          <w:sz w:val="24"/>
          <w:szCs w:val="24"/>
        </w:rPr>
        <w:t xml:space="preserve"> </w:t>
      </w:r>
      <w:r w:rsidRPr="00407459">
        <w:rPr>
          <w:rFonts w:cs="Times New Roman"/>
          <w:b/>
          <w:sz w:val="24"/>
          <w:szCs w:val="24"/>
        </w:rPr>
        <w:t>tabula. Izdevumi, kas tiek izslēgti no izdevumu kritērija</w:t>
      </w:r>
    </w:p>
    <w:tbl>
      <w:tblPr>
        <w:tblStyle w:val="GridTable6Colorful-Accent117"/>
        <w:tblW w:w="9646" w:type="dxa"/>
        <w:jc w:val="center"/>
        <w:tblLook w:val="04A0" w:firstRow="1" w:lastRow="0" w:firstColumn="1" w:lastColumn="0" w:noHBand="0" w:noVBand="1"/>
      </w:tblPr>
      <w:tblGrid>
        <w:gridCol w:w="4087"/>
        <w:gridCol w:w="1169"/>
        <w:gridCol w:w="878"/>
        <w:gridCol w:w="878"/>
        <w:gridCol w:w="878"/>
        <w:gridCol w:w="878"/>
        <w:gridCol w:w="878"/>
      </w:tblGrid>
      <w:tr w:rsidR="00F57B5A" w:rsidRPr="00407459" w14:paraId="7517B296" w14:textId="77777777" w:rsidTr="00CE2961">
        <w:trPr>
          <w:cnfStyle w:val="100000000000" w:firstRow="1" w:lastRow="0" w:firstColumn="0" w:lastColumn="0" w:oddVBand="0" w:evenVBand="0" w:oddHBand="0" w:evenHBand="0" w:firstRowFirstColumn="0" w:firstRowLastColumn="0" w:lastRowFirstColumn="0" w:lastRowLastColumn="0"/>
          <w:trHeight w:val="529"/>
          <w:jc w:val="center"/>
        </w:trPr>
        <w:tc>
          <w:tcPr>
            <w:cnfStyle w:val="001000000000" w:firstRow="0" w:lastRow="0" w:firstColumn="1" w:lastColumn="0" w:oddVBand="0" w:evenVBand="0" w:oddHBand="0" w:evenHBand="0" w:firstRowFirstColumn="0" w:firstRowLastColumn="0" w:lastRowFirstColumn="0" w:lastRowLastColumn="0"/>
            <w:tcW w:w="4087" w:type="dxa"/>
            <w:shd w:val="clear" w:color="auto" w:fill="DEEAF6"/>
            <w:noWrap/>
            <w:vAlign w:val="center"/>
            <w:hideMark/>
          </w:tcPr>
          <w:p w14:paraId="280CB2CF" w14:textId="628D9B27" w:rsidR="00F57B5A" w:rsidRPr="00407459" w:rsidRDefault="00F57B5A" w:rsidP="002E3A98">
            <w:pPr>
              <w:ind w:firstLine="0"/>
              <w:jc w:val="center"/>
              <w:rPr>
                <w:rFonts w:cs="Times New Roman"/>
                <w:color w:val="000000"/>
                <w:sz w:val="18"/>
                <w:szCs w:val="18"/>
              </w:rPr>
            </w:pPr>
          </w:p>
        </w:tc>
        <w:tc>
          <w:tcPr>
            <w:tcW w:w="1169" w:type="dxa"/>
            <w:shd w:val="clear" w:color="auto" w:fill="DEEAF6"/>
            <w:vAlign w:val="center"/>
            <w:hideMark/>
          </w:tcPr>
          <w:p w14:paraId="0A347D94" w14:textId="7AEEBE5A" w:rsidR="00F57B5A" w:rsidRPr="00407459" w:rsidRDefault="00F57B5A" w:rsidP="002E3A98">
            <w:pPr>
              <w:ind w:firstLine="0"/>
              <w:jc w:val="center"/>
              <w:cnfStyle w:val="100000000000" w:firstRow="1" w:lastRow="0" w:firstColumn="0" w:lastColumn="0" w:oddVBand="0" w:evenVBand="0" w:oddHBand="0" w:evenHBand="0" w:firstRowFirstColumn="0" w:firstRowLastColumn="0" w:lastRowFirstColumn="0" w:lastRowLastColumn="0"/>
              <w:rPr>
                <w:rFonts w:cs="Times New Roman"/>
                <w:color w:val="000000"/>
                <w:sz w:val="18"/>
                <w:szCs w:val="18"/>
              </w:rPr>
            </w:pPr>
            <w:r w:rsidRPr="00407459">
              <w:rPr>
                <w:rFonts w:cs="Times New Roman"/>
                <w:color w:val="000000"/>
                <w:sz w:val="18"/>
                <w:szCs w:val="18"/>
              </w:rPr>
              <w:t>202</w:t>
            </w:r>
            <w:r w:rsidR="00407459" w:rsidRPr="00407459">
              <w:rPr>
                <w:rFonts w:cs="Times New Roman"/>
                <w:color w:val="000000"/>
                <w:sz w:val="18"/>
                <w:szCs w:val="18"/>
              </w:rPr>
              <w:t>2</w:t>
            </w:r>
          </w:p>
        </w:tc>
        <w:tc>
          <w:tcPr>
            <w:tcW w:w="878" w:type="dxa"/>
            <w:shd w:val="clear" w:color="auto" w:fill="DEEAF6"/>
            <w:noWrap/>
            <w:vAlign w:val="center"/>
            <w:hideMark/>
          </w:tcPr>
          <w:p w14:paraId="1AC24A18" w14:textId="68DEC6AE" w:rsidR="00F57B5A" w:rsidRPr="00407459" w:rsidRDefault="00F57B5A" w:rsidP="002E3A98">
            <w:pPr>
              <w:ind w:firstLine="0"/>
              <w:jc w:val="center"/>
              <w:cnfStyle w:val="100000000000" w:firstRow="1" w:lastRow="0" w:firstColumn="0" w:lastColumn="0" w:oddVBand="0" w:evenVBand="0" w:oddHBand="0" w:evenHBand="0" w:firstRowFirstColumn="0" w:firstRowLastColumn="0" w:lastRowFirstColumn="0" w:lastRowLastColumn="0"/>
              <w:rPr>
                <w:rFonts w:cs="Times New Roman"/>
                <w:bCs w:val="0"/>
                <w:color w:val="000000"/>
                <w:sz w:val="18"/>
                <w:szCs w:val="18"/>
              </w:rPr>
            </w:pPr>
            <w:r w:rsidRPr="00407459">
              <w:rPr>
                <w:rFonts w:cs="Times New Roman"/>
                <w:bCs w:val="0"/>
                <w:color w:val="000000"/>
                <w:sz w:val="18"/>
                <w:szCs w:val="18"/>
              </w:rPr>
              <w:t>202</w:t>
            </w:r>
            <w:r w:rsidR="00407459" w:rsidRPr="00407459">
              <w:rPr>
                <w:rFonts w:cs="Times New Roman"/>
                <w:bCs w:val="0"/>
                <w:color w:val="000000"/>
                <w:sz w:val="18"/>
                <w:szCs w:val="18"/>
              </w:rPr>
              <w:t>2</w:t>
            </w:r>
          </w:p>
        </w:tc>
        <w:tc>
          <w:tcPr>
            <w:tcW w:w="878" w:type="dxa"/>
            <w:shd w:val="clear" w:color="auto" w:fill="DEEAF6"/>
            <w:noWrap/>
            <w:vAlign w:val="center"/>
            <w:hideMark/>
          </w:tcPr>
          <w:p w14:paraId="2AA13E75" w14:textId="4C5DC685" w:rsidR="00F57B5A" w:rsidRPr="00407459" w:rsidRDefault="00F57B5A" w:rsidP="002E3A98">
            <w:pPr>
              <w:ind w:firstLine="0"/>
              <w:jc w:val="center"/>
              <w:cnfStyle w:val="100000000000" w:firstRow="1" w:lastRow="0" w:firstColumn="0" w:lastColumn="0" w:oddVBand="0" w:evenVBand="0" w:oddHBand="0" w:evenHBand="0" w:firstRowFirstColumn="0" w:firstRowLastColumn="0" w:lastRowFirstColumn="0" w:lastRowLastColumn="0"/>
              <w:rPr>
                <w:rFonts w:cs="Times New Roman"/>
                <w:bCs w:val="0"/>
                <w:color w:val="000000"/>
                <w:sz w:val="18"/>
                <w:szCs w:val="18"/>
              </w:rPr>
            </w:pPr>
            <w:r w:rsidRPr="00407459">
              <w:rPr>
                <w:rFonts w:cs="Times New Roman"/>
                <w:bCs w:val="0"/>
                <w:color w:val="000000"/>
                <w:sz w:val="18"/>
                <w:szCs w:val="18"/>
              </w:rPr>
              <w:t>202</w:t>
            </w:r>
            <w:r w:rsidR="00407459" w:rsidRPr="00407459">
              <w:rPr>
                <w:rFonts w:cs="Times New Roman"/>
                <w:bCs w:val="0"/>
                <w:color w:val="000000"/>
                <w:sz w:val="18"/>
                <w:szCs w:val="18"/>
              </w:rPr>
              <w:t>3</w:t>
            </w:r>
          </w:p>
        </w:tc>
        <w:tc>
          <w:tcPr>
            <w:tcW w:w="878" w:type="dxa"/>
            <w:shd w:val="clear" w:color="auto" w:fill="DEEAF6"/>
            <w:noWrap/>
            <w:vAlign w:val="center"/>
            <w:hideMark/>
          </w:tcPr>
          <w:p w14:paraId="06E5C9C7" w14:textId="3CD36137" w:rsidR="00F57B5A" w:rsidRPr="00407459" w:rsidRDefault="00F57B5A" w:rsidP="002E3A98">
            <w:pPr>
              <w:ind w:firstLine="0"/>
              <w:jc w:val="center"/>
              <w:cnfStyle w:val="100000000000" w:firstRow="1" w:lastRow="0" w:firstColumn="0" w:lastColumn="0" w:oddVBand="0" w:evenVBand="0" w:oddHBand="0" w:evenHBand="0" w:firstRowFirstColumn="0" w:firstRowLastColumn="0" w:lastRowFirstColumn="0" w:lastRowLastColumn="0"/>
              <w:rPr>
                <w:rFonts w:cs="Times New Roman"/>
                <w:bCs w:val="0"/>
                <w:color w:val="000000"/>
                <w:sz w:val="18"/>
                <w:szCs w:val="18"/>
              </w:rPr>
            </w:pPr>
            <w:r w:rsidRPr="00407459">
              <w:rPr>
                <w:rFonts w:cs="Times New Roman"/>
                <w:bCs w:val="0"/>
                <w:color w:val="000000"/>
                <w:sz w:val="18"/>
                <w:szCs w:val="18"/>
              </w:rPr>
              <w:t>202</w:t>
            </w:r>
            <w:r w:rsidR="00407459" w:rsidRPr="00407459">
              <w:rPr>
                <w:rFonts w:cs="Times New Roman"/>
                <w:bCs w:val="0"/>
                <w:color w:val="000000"/>
                <w:sz w:val="18"/>
                <w:szCs w:val="18"/>
              </w:rPr>
              <w:t>4</w:t>
            </w:r>
          </w:p>
        </w:tc>
        <w:tc>
          <w:tcPr>
            <w:tcW w:w="878" w:type="dxa"/>
            <w:shd w:val="clear" w:color="auto" w:fill="DEEAF6"/>
            <w:noWrap/>
            <w:vAlign w:val="center"/>
            <w:hideMark/>
          </w:tcPr>
          <w:p w14:paraId="387A7E68" w14:textId="418EFC93" w:rsidR="00F57B5A" w:rsidRPr="00407459" w:rsidRDefault="00F57B5A" w:rsidP="002E3A98">
            <w:pPr>
              <w:ind w:firstLine="0"/>
              <w:jc w:val="center"/>
              <w:cnfStyle w:val="100000000000" w:firstRow="1" w:lastRow="0" w:firstColumn="0" w:lastColumn="0" w:oddVBand="0" w:evenVBand="0" w:oddHBand="0" w:evenHBand="0" w:firstRowFirstColumn="0" w:firstRowLastColumn="0" w:lastRowFirstColumn="0" w:lastRowLastColumn="0"/>
              <w:rPr>
                <w:rFonts w:cs="Times New Roman"/>
                <w:bCs w:val="0"/>
                <w:color w:val="000000"/>
                <w:sz w:val="18"/>
                <w:szCs w:val="18"/>
              </w:rPr>
            </w:pPr>
            <w:r w:rsidRPr="00407459">
              <w:rPr>
                <w:rFonts w:cs="Times New Roman"/>
                <w:bCs w:val="0"/>
                <w:color w:val="000000"/>
                <w:sz w:val="18"/>
                <w:szCs w:val="18"/>
              </w:rPr>
              <w:t>202</w:t>
            </w:r>
            <w:r w:rsidR="00407459" w:rsidRPr="00407459">
              <w:rPr>
                <w:rFonts w:cs="Times New Roman"/>
                <w:bCs w:val="0"/>
                <w:color w:val="000000"/>
                <w:sz w:val="18"/>
                <w:szCs w:val="18"/>
              </w:rPr>
              <w:t>5</w:t>
            </w:r>
          </w:p>
        </w:tc>
        <w:tc>
          <w:tcPr>
            <w:tcW w:w="878" w:type="dxa"/>
            <w:shd w:val="clear" w:color="auto" w:fill="DEEAF6"/>
            <w:noWrap/>
            <w:vAlign w:val="center"/>
            <w:hideMark/>
          </w:tcPr>
          <w:p w14:paraId="4E502E94" w14:textId="32328CCA" w:rsidR="00F57B5A" w:rsidRPr="00407459" w:rsidRDefault="00F57B5A" w:rsidP="002E3A98">
            <w:pPr>
              <w:ind w:firstLine="0"/>
              <w:jc w:val="center"/>
              <w:cnfStyle w:val="100000000000" w:firstRow="1" w:lastRow="0" w:firstColumn="0" w:lastColumn="0" w:oddVBand="0" w:evenVBand="0" w:oddHBand="0" w:evenHBand="0" w:firstRowFirstColumn="0" w:firstRowLastColumn="0" w:lastRowFirstColumn="0" w:lastRowLastColumn="0"/>
              <w:rPr>
                <w:rFonts w:cs="Times New Roman"/>
                <w:bCs w:val="0"/>
                <w:color w:val="000000"/>
                <w:sz w:val="18"/>
                <w:szCs w:val="18"/>
              </w:rPr>
            </w:pPr>
            <w:r w:rsidRPr="00407459">
              <w:rPr>
                <w:rFonts w:cs="Times New Roman"/>
                <w:bCs w:val="0"/>
                <w:color w:val="000000"/>
                <w:sz w:val="18"/>
                <w:szCs w:val="18"/>
              </w:rPr>
              <w:t>202</w:t>
            </w:r>
            <w:r w:rsidR="00407459" w:rsidRPr="00407459">
              <w:rPr>
                <w:rFonts w:cs="Times New Roman"/>
                <w:bCs w:val="0"/>
                <w:color w:val="000000"/>
                <w:sz w:val="18"/>
                <w:szCs w:val="18"/>
              </w:rPr>
              <w:t>6</w:t>
            </w:r>
          </w:p>
        </w:tc>
      </w:tr>
    </w:tbl>
    <w:tbl>
      <w:tblPr>
        <w:tblStyle w:val="GridTable6Colorful-Accent118"/>
        <w:tblW w:w="9641" w:type="dxa"/>
        <w:jc w:val="center"/>
        <w:tblLook w:val="04A0" w:firstRow="1" w:lastRow="0" w:firstColumn="1" w:lastColumn="0" w:noHBand="0" w:noVBand="1"/>
      </w:tblPr>
      <w:tblGrid>
        <w:gridCol w:w="4087"/>
        <w:gridCol w:w="1169"/>
        <w:gridCol w:w="877"/>
        <w:gridCol w:w="877"/>
        <w:gridCol w:w="877"/>
        <w:gridCol w:w="877"/>
        <w:gridCol w:w="877"/>
      </w:tblGrid>
      <w:tr w:rsidR="00F57B5A" w:rsidRPr="00407459" w14:paraId="6ECA3609" w14:textId="77777777" w:rsidTr="002E3A98">
        <w:trPr>
          <w:cnfStyle w:val="100000000000" w:firstRow="1" w:lastRow="0" w:firstColumn="0" w:lastColumn="0" w:oddVBand="0" w:evenVBand="0" w:oddHBand="0" w:evenHBand="0" w:firstRowFirstColumn="0" w:firstRowLastColumn="0" w:lastRowFirstColumn="0" w:lastRowLastColumn="0"/>
          <w:trHeight w:val="53"/>
          <w:jc w:val="center"/>
        </w:trPr>
        <w:tc>
          <w:tcPr>
            <w:cnfStyle w:val="001000000000" w:firstRow="0" w:lastRow="0" w:firstColumn="1" w:lastColumn="0" w:oddVBand="0" w:evenVBand="0" w:oddHBand="0" w:evenHBand="0" w:firstRowFirstColumn="0" w:firstRowLastColumn="0" w:lastRowFirstColumn="0" w:lastRowLastColumn="0"/>
            <w:tcW w:w="4087" w:type="dxa"/>
            <w:noWrap/>
            <w:vAlign w:val="bottom"/>
          </w:tcPr>
          <w:p w14:paraId="292B27FE" w14:textId="77777777" w:rsidR="00F57B5A" w:rsidRPr="00407459" w:rsidRDefault="00F57B5A" w:rsidP="002E3A98">
            <w:pPr>
              <w:ind w:firstLine="31"/>
              <w:rPr>
                <w:rFonts w:cs="Times New Roman"/>
                <w:b w:val="0"/>
                <w:color w:val="000000"/>
                <w:sz w:val="18"/>
                <w:szCs w:val="18"/>
              </w:rPr>
            </w:pPr>
          </w:p>
        </w:tc>
        <w:tc>
          <w:tcPr>
            <w:tcW w:w="1169" w:type="dxa"/>
            <w:noWrap/>
            <w:vAlign w:val="center"/>
          </w:tcPr>
          <w:p w14:paraId="77AA0CB8" w14:textId="77777777" w:rsidR="00F57B5A" w:rsidRPr="000E5CAF" w:rsidRDefault="00F57B5A" w:rsidP="002E3A98">
            <w:pPr>
              <w:ind w:firstLine="31"/>
              <w:jc w:val="center"/>
              <w:cnfStyle w:val="100000000000" w:firstRow="1" w:lastRow="0" w:firstColumn="0" w:lastColumn="0" w:oddVBand="0" w:evenVBand="0" w:oddHBand="0" w:evenHBand="0" w:firstRowFirstColumn="0" w:firstRowLastColumn="0" w:lastRowFirstColumn="0" w:lastRowLastColumn="0"/>
              <w:rPr>
                <w:rFonts w:cs="Times New Roman"/>
                <w:bCs w:val="0"/>
                <w:color w:val="000000" w:themeColor="text1"/>
                <w:sz w:val="18"/>
                <w:szCs w:val="18"/>
                <w:lang w:eastAsia="lv-LV"/>
              </w:rPr>
            </w:pPr>
            <w:r w:rsidRPr="000E5CAF">
              <w:rPr>
                <w:rFonts w:cs="Times New Roman"/>
                <w:bCs w:val="0"/>
                <w:color w:val="000000" w:themeColor="text1"/>
                <w:sz w:val="18"/>
                <w:szCs w:val="18"/>
                <w:lang w:eastAsia="lv-LV"/>
              </w:rPr>
              <w:t xml:space="preserve">milj. </w:t>
            </w:r>
            <w:proofErr w:type="spellStart"/>
            <w:r w:rsidRPr="000E5CAF">
              <w:rPr>
                <w:rFonts w:cs="Times New Roman"/>
                <w:bCs w:val="0"/>
                <w:i/>
                <w:iCs/>
                <w:color w:val="000000" w:themeColor="text1"/>
                <w:sz w:val="18"/>
                <w:szCs w:val="18"/>
                <w:lang w:eastAsia="lv-LV"/>
              </w:rPr>
              <w:t>euro</w:t>
            </w:r>
            <w:proofErr w:type="spellEnd"/>
          </w:p>
        </w:tc>
        <w:tc>
          <w:tcPr>
            <w:tcW w:w="4385" w:type="dxa"/>
            <w:gridSpan w:val="5"/>
            <w:noWrap/>
          </w:tcPr>
          <w:p w14:paraId="51B6D9B1" w14:textId="77777777" w:rsidR="00F57B5A" w:rsidRPr="000E5CAF" w:rsidRDefault="00F57B5A" w:rsidP="002E3A98">
            <w:pPr>
              <w:ind w:firstLine="31"/>
              <w:jc w:val="center"/>
              <w:cnfStyle w:val="100000000000" w:firstRow="1" w:lastRow="0" w:firstColumn="0" w:lastColumn="0" w:oddVBand="0" w:evenVBand="0" w:oddHBand="0" w:evenHBand="0" w:firstRowFirstColumn="0" w:firstRowLastColumn="0" w:lastRowFirstColumn="0" w:lastRowLastColumn="0"/>
              <w:rPr>
                <w:rFonts w:cs="Times New Roman"/>
                <w:bCs w:val="0"/>
                <w:color w:val="000000" w:themeColor="text1"/>
                <w:sz w:val="18"/>
                <w:szCs w:val="18"/>
                <w:lang w:eastAsia="lv-LV"/>
              </w:rPr>
            </w:pPr>
            <w:r w:rsidRPr="000E5CAF">
              <w:rPr>
                <w:rFonts w:cs="Times New Roman"/>
                <w:bCs w:val="0"/>
                <w:color w:val="000000" w:themeColor="text1"/>
                <w:sz w:val="18"/>
                <w:szCs w:val="18"/>
                <w:lang w:eastAsia="lv-LV"/>
              </w:rPr>
              <w:t>% no IKP</w:t>
            </w:r>
          </w:p>
        </w:tc>
      </w:tr>
      <w:tr w:rsidR="00407459" w:rsidRPr="00407459" w14:paraId="1E2EEEA6" w14:textId="77777777" w:rsidTr="0066431C">
        <w:trPr>
          <w:cnfStyle w:val="000000100000" w:firstRow="0" w:lastRow="0" w:firstColumn="0" w:lastColumn="0" w:oddVBand="0" w:evenVBand="0" w:oddHBand="1"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4087" w:type="dxa"/>
            <w:noWrap/>
            <w:vAlign w:val="center"/>
          </w:tcPr>
          <w:p w14:paraId="5E87F632" w14:textId="11BA45FC" w:rsidR="00407459" w:rsidRPr="00407459" w:rsidRDefault="00407459" w:rsidP="00407459">
            <w:pPr>
              <w:ind w:firstLine="0"/>
              <w:rPr>
                <w:rFonts w:cs="Times New Roman"/>
                <w:b w:val="0"/>
                <w:color w:val="000000"/>
                <w:sz w:val="18"/>
                <w:szCs w:val="18"/>
              </w:rPr>
            </w:pPr>
            <w:r w:rsidRPr="00407459">
              <w:rPr>
                <w:rFonts w:eastAsia="Times New Roman" w:cs="Times New Roman"/>
                <w:b w:val="0"/>
                <w:color w:val="000000" w:themeColor="text1"/>
                <w:sz w:val="18"/>
                <w:szCs w:val="18"/>
                <w:lang w:eastAsia="lv-LV"/>
              </w:rPr>
              <w:t>1. Izdevumi ārvalstu finanšu palīdzības projektiem, kas atbilst saņemtajiem ārvalstu finanšu palīdzības ieņēmumiem</w:t>
            </w:r>
          </w:p>
        </w:tc>
        <w:tc>
          <w:tcPr>
            <w:tcW w:w="1169" w:type="dxa"/>
            <w:noWrap/>
            <w:vAlign w:val="bottom"/>
          </w:tcPr>
          <w:p w14:paraId="1DE9E77B" w14:textId="49E7E3C4" w:rsidR="00407459" w:rsidRPr="00407459" w:rsidRDefault="00407459" w:rsidP="00407459">
            <w:pPr>
              <w:ind w:firstLine="31"/>
              <w:contextualSpacing/>
              <w:jc w:val="center"/>
              <w:cnfStyle w:val="000000100000" w:firstRow="0" w:lastRow="0" w:firstColumn="0" w:lastColumn="0" w:oddVBand="0" w:evenVBand="0" w:oddHBand="1" w:evenHBand="0" w:firstRowFirstColumn="0" w:firstRowLastColumn="0" w:lastRowFirstColumn="0" w:lastRowLastColumn="0"/>
              <w:rPr>
                <w:rFonts w:cs="Times New Roman"/>
                <w:bCs/>
                <w:color w:val="000000"/>
                <w:sz w:val="18"/>
                <w:szCs w:val="18"/>
              </w:rPr>
            </w:pPr>
            <w:r w:rsidRPr="00407459">
              <w:rPr>
                <w:rFonts w:cs="Times New Roman"/>
                <w:color w:val="000000"/>
                <w:sz w:val="18"/>
                <w:szCs w:val="18"/>
              </w:rPr>
              <w:t>450,0</w:t>
            </w:r>
          </w:p>
        </w:tc>
        <w:tc>
          <w:tcPr>
            <w:tcW w:w="877" w:type="dxa"/>
            <w:noWrap/>
            <w:vAlign w:val="bottom"/>
          </w:tcPr>
          <w:p w14:paraId="1B715A9E" w14:textId="6019A061" w:rsidR="00407459" w:rsidRPr="00407459" w:rsidRDefault="00407459" w:rsidP="00407459">
            <w:pPr>
              <w:ind w:firstLine="31"/>
              <w:contextualSpacing/>
              <w:jc w:val="center"/>
              <w:cnfStyle w:val="000000100000" w:firstRow="0" w:lastRow="0" w:firstColumn="0" w:lastColumn="0" w:oddVBand="0" w:evenVBand="0" w:oddHBand="1" w:evenHBand="0" w:firstRowFirstColumn="0" w:firstRowLastColumn="0" w:lastRowFirstColumn="0" w:lastRowLastColumn="0"/>
              <w:rPr>
                <w:rFonts w:cs="Times New Roman"/>
                <w:bCs/>
                <w:color w:val="000000"/>
                <w:sz w:val="18"/>
                <w:szCs w:val="18"/>
              </w:rPr>
            </w:pPr>
            <w:r w:rsidRPr="00407459">
              <w:rPr>
                <w:rFonts w:cs="Times New Roman"/>
                <w:color w:val="000000"/>
                <w:sz w:val="18"/>
                <w:szCs w:val="18"/>
              </w:rPr>
              <w:t>1,2</w:t>
            </w:r>
          </w:p>
        </w:tc>
        <w:tc>
          <w:tcPr>
            <w:tcW w:w="877" w:type="dxa"/>
            <w:noWrap/>
            <w:vAlign w:val="bottom"/>
          </w:tcPr>
          <w:p w14:paraId="42754640" w14:textId="522AA2B2" w:rsidR="00407459" w:rsidRPr="00407459" w:rsidRDefault="00407459" w:rsidP="00407459">
            <w:pPr>
              <w:ind w:firstLine="31"/>
              <w:contextualSpacing/>
              <w:jc w:val="center"/>
              <w:cnfStyle w:val="000000100000" w:firstRow="0" w:lastRow="0" w:firstColumn="0" w:lastColumn="0" w:oddVBand="0" w:evenVBand="0" w:oddHBand="1" w:evenHBand="0" w:firstRowFirstColumn="0" w:firstRowLastColumn="0" w:lastRowFirstColumn="0" w:lastRowLastColumn="0"/>
              <w:rPr>
                <w:rFonts w:cs="Times New Roman"/>
                <w:bCs/>
                <w:color w:val="000000"/>
                <w:sz w:val="18"/>
                <w:szCs w:val="18"/>
              </w:rPr>
            </w:pPr>
            <w:r w:rsidRPr="00407459">
              <w:rPr>
                <w:rFonts w:cs="Times New Roman"/>
                <w:color w:val="000000"/>
                <w:sz w:val="18"/>
                <w:szCs w:val="18"/>
              </w:rPr>
              <w:t>2,2</w:t>
            </w:r>
          </w:p>
        </w:tc>
        <w:tc>
          <w:tcPr>
            <w:tcW w:w="877" w:type="dxa"/>
            <w:noWrap/>
            <w:vAlign w:val="bottom"/>
          </w:tcPr>
          <w:p w14:paraId="426096CE" w14:textId="48B0715D" w:rsidR="00407459" w:rsidRPr="00407459" w:rsidRDefault="00407459" w:rsidP="00407459">
            <w:pPr>
              <w:ind w:firstLine="31"/>
              <w:contextualSpacing/>
              <w:jc w:val="center"/>
              <w:cnfStyle w:val="000000100000" w:firstRow="0" w:lastRow="0" w:firstColumn="0" w:lastColumn="0" w:oddVBand="0" w:evenVBand="0" w:oddHBand="1" w:evenHBand="0" w:firstRowFirstColumn="0" w:firstRowLastColumn="0" w:lastRowFirstColumn="0" w:lastRowLastColumn="0"/>
              <w:rPr>
                <w:rFonts w:cs="Times New Roman"/>
                <w:bCs/>
                <w:color w:val="000000"/>
                <w:sz w:val="18"/>
                <w:szCs w:val="18"/>
              </w:rPr>
            </w:pPr>
            <w:r w:rsidRPr="00407459">
              <w:rPr>
                <w:rFonts w:cs="Times New Roman"/>
                <w:color w:val="000000"/>
                <w:sz w:val="18"/>
                <w:szCs w:val="18"/>
              </w:rPr>
              <w:t>2,6</w:t>
            </w:r>
          </w:p>
        </w:tc>
        <w:tc>
          <w:tcPr>
            <w:tcW w:w="877" w:type="dxa"/>
            <w:noWrap/>
            <w:vAlign w:val="bottom"/>
          </w:tcPr>
          <w:p w14:paraId="4E765650" w14:textId="33F9C970" w:rsidR="00407459" w:rsidRPr="00407459" w:rsidRDefault="00407459" w:rsidP="00407459">
            <w:pPr>
              <w:ind w:firstLine="31"/>
              <w:contextualSpacing/>
              <w:jc w:val="center"/>
              <w:cnfStyle w:val="000000100000" w:firstRow="0" w:lastRow="0" w:firstColumn="0" w:lastColumn="0" w:oddVBand="0" w:evenVBand="0" w:oddHBand="1" w:evenHBand="0" w:firstRowFirstColumn="0" w:firstRowLastColumn="0" w:lastRowFirstColumn="0" w:lastRowLastColumn="0"/>
              <w:rPr>
                <w:rFonts w:cs="Times New Roman"/>
                <w:bCs/>
                <w:color w:val="000000"/>
                <w:sz w:val="18"/>
                <w:szCs w:val="18"/>
              </w:rPr>
            </w:pPr>
            <w:r w:rsidRPr="00407459">
              <w:rPr>
                <w:rFonts w:cs="Times New Roman"/>
                <w:color w:val="000000"/>
                <w:sz w:val="18"/>
                <w:szCs w:val="18"/>
              </w:rPr>
              <w:t>2,2</w:t>
            </w:r>
          </w:p>
        </w:tc>
        <w:tc>
          <w:tcPr>
            <w:tcW w:w="877" w:type="dxa"/>
            <w:noWrap/>
            <w:vAlign w:val="bottom"/>
          </w:tcPr>
          <w:p w14:paraId="44697EB6" w14:textId="10B1A090" w:rsidR="00407459" w:rsidRPr="00407459" w:rsidRDefault="00407459" w:rsidP="00407459">
            <w:pPr>
              <w:ind w:firstLine="31"/>
              <w:contextualSpacing/>
              <w:jc w:val="center"/>
              <w:cnfStyle w:val="000000100000" w:firstRow="0" w:lastRow="0" w:firstColumn="0" w:lastColumn="0" w:oddVBand="0" w:evenVBand="0" w:oddHBand="1" w:evenHBand="0" w:firstRowFirstColumn="0" w:firstRowLastColumn="0" w:lastRowFirstColumn="0" w:lastRowLastColumn="0"/>
              <w:rPr>
                <w:rFonts w:cs="Times New Roman"/>
                <w:bCs/>
                <w:color w:val="000000"/>
                <w:sz w:val="18"/>
                <w:szCs w:val="18"/>
              </w:rPr>
            </w:pPr>
            <w:r w:rsidRPr="00407459">
              <w:rPr>
                <w:rFonts w:cs="Times New Roman"/>
                <w:color w:val="000000"/>
                <w:sz w:val="18"/>
                <w:szCs w:val="18"/>
              </w:rPr>
              <w:t>2,2</w:t>
            </w:r>
          </w:p>
        </w:tc>
      </w:tr>
      <w:tr w:rsidR="00407459" w:rsidRPr="00407459" w14:paraId="2D160260" w14:textId="77777777" w:rsidTr="0066431C">
        <w:trPr>
          <w:trHeight w:val="63"/>
          <w:jc w:val="center"/>
        </w:trPr>
        <w:tc>
          <w:tcPr>
            <w:cnfStyle w:val="001000000000" w:firstRow="0" w:lastRow="0" w:firstColumn="1" w:lastColumn="0" w:oddVBand="0" w:evenVBand="0" w:oddHBand="0" w:evenHBand="0" w:firstRowFirstColumn="0" w:firstRowLastColumn="0" w:lastRowFirstColumn="0" w:lastRowLastColumn="0"/>
            <w:tcW w:w="4087" w:type="dxa"/>
            <w:noWrap/>
            <w:vAlign w:val="center"/>
          </w:tcPr>
          <w:p w14:paraId="09862AAD" w14:textId="77777777" w:rsidR="00407459" w:rsidRPr="00407459" w:rsidRDefault="00407459" w:rsidP="000E5CAF">
            <w:pPr>
              <w:ind w:firstLine="0"/>
              <w:contextualSpacing/>
              <w:rPr>
                <w:rFonts w:cs="Times New Roman"/>
                <w:b w:val="0"/>
                <w:color w:val="000000"/>
                <w:sz w:val="18"/>
                <w:szCs w:val="18"/>
              </w:rPr>
            </w:pPr>
            <w:r w:rsidRPr="00407459">
              <w:rPr>
                <w:rFonts w:eastAsia="Times New Roman" w:cs="Times New Roman"/>
                <w:b w:val="0"/>
                <w:color w:val="auto"/>
                <w:sz w:val="18"/>
                <w:szCs w:val="18"/>
                <w:lang w:eastAsia="lv-LV"/>
              </w:rPr>
              <w:t>1.a no kuriem kapitālie izdevumi (bruto pamatkapitāla veidošana), kas atbilst saņemtajiem ārvalstu finanšu palīdzības ieņēmumiem</w:t>
            </w:r>
          </w:p>
        </w:tc>
        <w:tc>
          <w:tcPr>
            <w:tcW w:w="1169" w:type="dxa"/>
            <w:noWrap/>
            <w:vAlign w:val="bottom"/>
          </w:tcPr>
          <w:p w14:paraId="144278E9" w14:textId="096963BF" w:rsidR="00407459" w:rsidRPr="00407459" w:rsidRDefault="00407459" w:rsidP="00407459">
            <w:pPr>
              <w:ind w:firstLine="31"/>
              <w:contextualSpacing/>
              <w:jc w:val="center"/>
              <w:cnfStyle w:val="000000000000" w:firstRow="0" w:lastRow="0" w:firstColumn="0" w:lastColumn="0" w:oddVBand="0" w:evenVBand="0" w:oddHBand="0" w:evenHBand="0" w:firstRowFirstColumn="0" w:firstRowLastColumn="0" w:lastRowFirstColumn="0" w:lastRowLastColumn="0"/>
              <w:rPr>
                <w:rFonts w:cs="Times New Roman"/>
                <w:bCs/>
                <w:color w:val="000000"/>
                <w:sz w:val="18"/>
                <w:szCs w:val="18"/>
              </w:rPr>
            </w:pPr>
            <w:r w:rsidRPr="00407459">
              <w:rPr>
                <w:rFonts w:cs="Times New Roman"/>
                <w:color w:val="000000"/>
                <w:sz w:val="18"/>
                <w:szCs w:val="18"/>
              </w:rPr>
              <w:t>222,4</w:t>
            </w:r>
          </w:p>
        </w:tc>
        <w:tc>
          <w:tcPr>
            <w:tcW w:w="877" w:type="dxa"/>
            <w:noWrap/>
            <w:vAlign w:val="bottom"/>
          </w:tcPr>
          <w:p w14:paraId="0F8315F9" w14:textId="2B24490A" w:rsidR="00407459" w:rsidRPr="00407459" w:rsidRDefault="00407459" w:rsidP="00407459">
            <w:pPr>
              <w:ind w:firstLine="31"/>
              <w:contextualSpacing/>
              <w:jc w:val="center"/>
              <w:cnfStyle w:val="000000000000" w:firstRow="0" w:lastRow="0" w:firstColumn="0" w:lastColumn="0" w:oddVBand="0" w:evenVBand="0" w:oddHBand="0" w:evenHBand="0" w:firstRowFirstColumn="0" w:firstRowLastColumn="0" w:lastRowFirstColumn="0" w:lastRowLastColumn="0"/>
              <w:rPr>
                <w:rFonts w:cs="Times New Roman"/>
                <w:bCs/>
                <w:color w:val="000000"/>
                <w:sz w:val="18"/>
                <w:szCs w:val="18"/>
              </w:rPr>
            </w:pPr>
            <w:r w:rsidRPr="00407459">
              <w:rPr>
                <w:rFonts w:cs="Times New Roman"/>
                <w:color w:val="000000"/>
                <w:sz w:val="18"/>
                <w:szCs w:val="18"/>
              </w:rPr>
              <w:t>0,6</w:t>
            </w:r>
          </w:p>
        </w:tc>
        <w:tc>
          <w:tcPr>
            <w:tcW w:w="877" w:type="dxa"/>
            <w:noWrap/>
            <w:vAlign w:val="bottom"/>
          </w:tcPr>
          <w:p w14:paraId="075A0096" w14:textId="2A12D662" w:rsidR="00407459" w:rsidRPr="00407459" w:rsidRDefault="00407459" w:rsidP="00407459">
            <w:pPr>
              <w:ind w:firstLine="31"/>
              <w:contextualSpacing/>
              <w:jc w:val="center"/>
              <w:cnfStyle w:val="000000000000" w:firstRow="0" w:lastRow="0" w:firstColumn="0" w:lastColumn="0" w:oddVBand="0" w:evenVBand="0" w:oddHBand="0" w:evenHBand="0" w:firstRowFirstColumn="0" w:firstRowLastColumn="0" w:lastRowFirstColumn="0" w:lastRowLastColumn="0"/>
              <w:rPr>
                <w:rFonts w:cs="Times New Roman"/>
                <w:bCs/>
                <w:color w:val="000000"/>
                <w:sz w:val="18"/>
                <w:szCs w:val="18"/>
              </w:rPr>
            </w:pPr>
            <w:r w:rsidRPr="00407459">
              <w:rPr>
                <w:rFonts w:cs="Times New Roman"/>
                <w:color w:val="000000"/>
                <w:sz w:val="18"/>
                <w:szCs w:val="18"/>
              </w:rPr>
              <w:t>0,9</w:t>
            </w:r>
          </w:p>
        </w:tc>
        <w:tc>
          <w:tcPr>
            <w:tcW w:w="877" w:type="dxa"/>
            <w:noWrap/>
            <w:vAlign w:val="bottom"/>
          </w:tcPr>
          <w:p w14:paraId="696DBC73" w14:textId="2FB72799" w:rsidR="00407459" w:rsidRPr="00407459" w:rsidRDefault="00407459" w:rsidP="00407459">
            <w:pPr>
              <w:ind w:firstLine="31"/>
              <w:contextualSpacing/>
              <w:jc w:val="center"/>
              <w:cnfStyle w:val="000000000000" w:firstRow="0" w:lastRow="0" w:firstColumn="0" w:lastColumn="0" w:oddVBand="0" w:evenVBand="0" w:oddHBand="0" w:evenHBand="0" w:firstRowFirstColumn="0" w:firstRowLastColumn="0" w:lastRowFirstColumn="0" w:lastRowLastColumn="0"/>
              <w:rPr>
                <w:rFonts w:cs="Times New Roman"/>
                <w:bCs/>
                <w:color w:val="000000"/>
                <w:sz w:val="18"/>
                <w:szCs w:val="18"/>
              </w:rPr>
            </w:pPr>
            <w:r w:rsidRPr="00407459">
              <w:rPr>
                <w:rFonts w:cs="Times New Roman"/>
                <w:color w:val="000000"/>
                <w:sz w:val="18"/>
                <w:szCs w:val="18"/>
              </w:rPr>
              <w:t>1,3</w:t>
            </w:r>
          </w:p>
        </w:tc>
        <w:tc>
          <w:tcPr>
            <w:tcW w:w="877" w:type="dxa"/>
            <w:noWrap/>
            <w:vAlign w:val="bottom"/>
          </w:tcPr>
          <w:p w14:paraId="7FB3C78F" w14:textId="2076E2B0" w:rsidR="00407459" w:rsidRPr="00407459" w:rsidRDefault="00407459" w:rsidP="00407459">
            <w:pPr>
              <w:ind w:firstLine="31"/>
              <w:contextualSpacing/>
              <w:jc w:val="center"/>
              <w:cnfStyle w:val="000000000000" w:firstRow="0" w:lastRow="0" w:firstColumn="0" w:lastColumn="0" w:oddVBand="0" w:evenVBand="0" w:oddHBand="0" w:evenHBand="0" w:firstRowFirstColumn="0" w:firstRowLastColumn="0" w:lastRowFirstColumn="0" w:lastRowLastColumn="0"/>
              <w:rPr>
                <w:rFonts w:cs="Times New Roman"/>
                <w:bCs/>
                <w:color w:val="000000"/>
                <w:sz w:val="18"/>
                <w:szCs w:val="18"/>
              </w:rPr>
            </w:pPr>
            <w:r w:rsidRPr="00407459">
              <w:rPr>
                <w:rFonts w:cs="Times New Roman"/>
                <w:color w:val="000000"/>
                <w:sz w:val="18"/>
                <w:szCs w:val="18"/>
              </w:rPr>
              <w:t>1,1</w:t>
            </w:r>
          </w:p>
        </w:tc>
        <w:tc>
          <w:tcPr>
            <w:tcW w:w="877" w:type="dxa"/>
            <w:noWrap/>
            <w:vAlign w:val="bottom"/>
          </w:tcPr>
          <w:p w14:paraId="0C22C616" w14:textId="0BE34611" w:rsidR="00407459" w:rsidRPr="00407459" w:rsidRDefault="00407459" w:rsidP="00407459">
            <w:pPr>
              <w:ind w:firstLine="31"/>
              <w:contextualSpacing/>
              <w:jc w:val="center"/>
              <w:cnfStyle w:val="000000000000" w:firstRow="0" w:lastRow="0" w:firstColumn="0" w:lastColumn="0" w:oddVBand="0" w:evenVBand="0" w:oddHBand="0" w:evenHBand="0" w:firstRowFirstColumn="0" w:firstRowLastColumn="0" w:lastRowFirstColumn="0" w:lastRowLastColumn="0"/>
              <w:rPr>
                <w:rFonts w:cs="Times New Roman"/>
                <w:bCs/>
                <w:color w:val="000000"/>
                <w:sz w:val="18"/>
                <w:szCs w:val="18"/>
              </w:rPr>
            </w:pPr>
            <w:r w:rsidRPr="00407459">
              <w:rPr>
                <w:rFonts w:cs="Times New Roman"/>
                <w:color w:val="000000"/>
                <w:sz w:val="18"/>
                <w:szCs w:val="18"/>
              </w:rPr>
              <w:t>1,1</w:t>
            </w:r>
          </w:p>
        </w:tc>
      </w:tr>
      <w:tr w:rsidR="00407459" w:rsidRPr="00407459" w14:paraId="6D28CE7C" w14:textId="77777777" w:rsidTr="0066431C">
        <w:trPr>
          <w:cnfStyle w:val="000000100000" w:firstRow="0" w:lastRow="0" w:firstColumn="0" w:lastColumn="0" w:oddVBand="0" w:evenVBand="0" w:oddHBand="1" w:evenHBand="0" w:firstRowFirstColumn="0" w:firstRowLastColumn="0" w:lastRowFirstColumn="0" w:lastRowLastColumn="0"/>
          <w:trHeight w:val="440"/>
          <w:jc w:val="center"/>
        </w:trPr>
        <w:tc>
          <w:tcPr>
            <w:cnfStyle w:val="001000000000" w:firstRow="0" w:lastRow="0" w:firstColumn="1" w:lastColumn="0" w:oddVBand="0" w:evenVBand="0" w:oddHBand="0" w:evenHBand="0" w:firstRowFirstColumn="0" w:firstRowLastColumn="0" w:lastRowFirstColumn="0" w:lastRowLastColumn="0"/>
            <w:tcW w:w="4087" w:type="dxa"/>
            <w:noWrap/>
            <w:vAlign w:val="center"/>
          </w:tcPr>
          <w:p w14:paraId="4065E22F" w14:textId="6CE2674E" w:rsidR="00407459" w:rsidRPr="00407459" w:rsidRDefault="00407459" w:rsidP="00407459">
            <w:pPr>
              <w:ind w:firstLine="31"/>
              <w:rPr>
                <w:rFonts w:eastAsia="Times New Roman" w:cs="Times New Roman"/>
                <w:b w:val="0"/>
                <w:sz w:val="18"/>
                <w:szCs w:val="18"/>
                <w:lang w:eastAsia="lv-LV"/>
              </w:rPr>
            </w:pPr>
            <w:r w:rsidRPr="00407459">
              <w:rPr>
                <w:rFonts w:eastAsia="Times New Roman" w:cs="Times New Roman"/>
                <w:b w:val="0"/>
                <w:color w:val="000000" w:themeColor="text1"/>
                <w:sz w:val="18"/>
                <w:szCs w:val="18"/>
                <w:lang w:eastAsia="lv-LV"/>
              </w:rPr>
              <w:t>2. Cikliskie izdevumi bezdarbnieku pabalstiem</w:t>
            </w:r>
          </w:p>
        </w:tc>
        <w:tc>
          <w:tcPr>
            <w:tcW w:w="1169" w:type="dxa"/>
            <w:noWrap/>
            <w:vAlign w:val="bottom"/>
          </w:tcPr>
          <w:p w14:paraId="1FA2FF97" w14:textId="2903C2A2" w:rsidR="00407459" w:rsidRPr="00407459" w:rsidRDefault="00407459" w:rsidP="00407459">
            <w:pPr>
              <w:ind w:firstLine="0"/>
              <w:contextualSpacing/>
              <w:jc w:val="center"/>
              <w:cnfStyle w:val="000000100000" w:firstRow="0" w:lastRow="0" w:firstColumn="0" w:lastColumn="0" w:oddVBand="0" w:evenVBand="0" w:oddHBand="1" w:evenHBand="0" w:firstRowFirstColumn="0" w:firstRowLastColumn="0" w:lastRowFirstColumn="0" w:lastRowLastColumn="0"/>
              <w:rPr>
                <w:rFonts w:cs="Times New Roman"/>
                <w:bCs/>
                <w:color w:val="000000"/>
                <w:sz w:val="18"/>
                <w:szCs w:val="18"/>
              </w:rPr>
            </w:pPr>
            <w:r w:rsidRPr="00407459">
              <w:rPr>
                <w:rFonts w:cs="Times New Roman"/>
                <w:color w:val="000000"/>
                <w:sz w:val="18"/>
                <w:szCs w:val="18"/>
              </w:rPr>
              <w:t>-5,69</w:t>
            </w:r>
          </w:p>
        </w:tc>
        <w:tc>
          <w:tcPr>
            <w:tcW w:w="877" w:type="dxa"/>
            <w:noWrap/>
            <w:vAlign w:val="bottom"/>
          </w:tcPr>
          <w:p w14:paraId="4B340784" w14:textId="104E8D22" w:rsidR="00407459" w:rsidRPr="00407459" w:rsidRDefault="00407459" w:rsidP="00407459">
            <w:pPr>
              <w:ind w:firstLine="31"/>
              <w:contextualSpacing/>
              <w:jc w:val="center"/>
              <w:cnfStyle w:val="000000100000" w:firstRow="0" w:lastRow="0" w:firstColumn="0" w:lastColumn="0" w:oddVBand="0" w:evenVBand="0" w:oddHBand="1" w:evenHBand="0" w:firstRowFirstColumn="0" w:firstRowLastColumn="0" w:lastRowFirstColumn="0" w:lastRowLastColumn="0"/>
              <w:rPr>
                <w:rFonts w:cs="Times New Roman"/>
                <w:bCs/>
                <w:color w:val="000000"/>
                <w:sz w:val="18"/>
                <w:szCs w:val="18"/>
              </w:rPr>
            </w:pPr>
            <w:r w:rsidRPr="00407459">
              <w:rPr>
                <w:rFonts w:cs="Times New Roman"/>
                <w:color w:val="000000"/>
                <w:sz w:val="18"/>
                <w:szCs w:val="18"/>
              </w:rPr>
              <w:t>0,0</w:t>
            </w:r>
          </w:p>
        </w:tc>
        <w:tc>
          <w:tcPr>
            <w:tcW w:w="877" w:type="dxa"/>
            <w:noWrap/>
            <w:vAlign w:val="bottom"/>
          </w:tcPr>
          <w:p w14:paraId="26112D9E" w14:textId="30890162" w:rsidR="00407459" w:rsidRPr="00407459" w:rsidRDefault="00407459" w:rsidP="00407459">
            <w:pPr>
              <w:ind w:firstLine="31"/>
              <w:contextualSpacing/>
              <w:jc w:val="center"/>
              <w:cnfStyle w:val="000000100000" w:firstRow="0" w:lastRow="0" w:firstColumn="0" w:lastColumn="0" w:oddVBand="0" w:evenVBand="0" w:oddHBand="1" w:evenHBand="0" w:firstRowFirstColumn="0" w:firstRowLastColumn="0" w:lastRowFirstColumn="0" w:lastRowLastColumn="0"/>
              <w:rPr>
                <w:rFonts w:cs="Times New Roman"/>
                <w:bCs/>
                <w:color w:val="000000"/>
                <w:sz w:val="18"/>
                <w:szCs w:val="18"/>
              </w:rPr>
            </w:pPr>
            <w:r w:rsidRPr="00407459">
              <w:rPr>
                <w:rFonts w:cs="Times New Roman"/>
                <w:color w:val="000000"/>
                <w:sz w:val="18"/>
                <w:szCs w:val="18"/>
              </w:rPr>
              <w:t>0,0</w:t>
            </w:r>
          </w:p>
        </w:tc>
        <w:tc>
          <w:tcPr>
            <w:tcW w:w="877" w:type="dxa"/>
            <w:noWrap/>
            <w:vAlign w:val="bottom"/>
          </w:tcPr>
          <w:p w14:paraId="7C0FD7FE" w14:textId="1306D0A4" w:rsidR="00407459" w:rsidRPr="00407459" w:rsidRDefault="00407459" w:rsidP="00407459">
            <w:pPr>
              <w:ind w:firstLine="31"/>
              <w:contextualSpacing/>
              <w:jc w:val="center"/>
              <w:cnfStyle w:val="000000100000" w:firstRow="0" w:lastRow="0" w:firstColumn="0" w:lastColumn="0" w:oddVBand="0" w:evenVBand="0" w:oddHBand="1" w:evenHBand="0" w:firstRowFirstColumn="0" w:firstRowLastColumn="0" w:lastRowFirstColumn="0" w:lastRowLastColumn="0"/>
              <w:rPr>
                <w:rFonts w:cs="Times New Roman"/>
                <w:bCs/>
                <w:color w:val="000000"/>
                <w:sz w:val="18"/>
                <w:szCs w:val="18"/>
              </w:rPr>
            </w:pPr>
            <w:r w:rsidRPr="00407459">
              <w:rPr>
                <w:rFonts w:cs="Times New Roman"/>
                <w:color w:val="000000"/>
                <w:sz w:val="18"/>
                <w:szCs w:val="18"/>
              </w:rPr>
              <w:t>0,0</w:t>
            </w:r>
          </w:p>
        </w:tc>
        <w:tc>
          <w:tcPr>
            <w:tcW w:w="877" w:type="dxa"/>
            <w:noWrap/>
            <w:vAlign w:val="bottom"/>
          </w:tcPr>
          <w:p w14:paraId="06DE2410" w14:textId="077ED45C" w:rsidR="00407459" w:rsidRPr="00407459" w:rsidRDefault="00407459" w:rsidP="00407459">
            <w:pPr>
              <w:ind w:firstLine="31"/>
              <w:contextualSpacing/>
              <w:jc w:val="center"/>
              <w:cnfStyle w:val="000000100000" w:firstRow="0" w:lastRow="0" w:firstColumn="0" w:lastColumn="0" w:oddVBand="0" w:evenVBand="0" w:oddHBand="1" w:evenHBand="0" w:firstRowFirstColumn="0" w:firstRowLastColumn="0" w:lastRowFirstColumn="0" w:lastRowLastColumn="0"/>
              <w:rPr>
                <w:rFonts w:cs="Times New Roman"/>
                <w:bCs/>
                <w:color w:val="000000"/>
                <w:sz w:val="18"/>
                <w:szCs w:val="18"/>
              </w:rPr>
            </w:pPr>
            <w:r w:rsidRPr="00407459">
              <w:rPr>
                <w:rFonts w:cs="Times New Roman"/>
                <w:color w:val="000000"/>
                <w:sz w:val="18"/>
                <w:szCs w:val="18"/>
              </w:rPr>
              <w:t>-0,1</w:t>
            </w:r>
          </w:p>
        </w:tc>
        <w:tc>
          <w:tcPr>
            <w:tcW w:w="877" w:type="dxa"/>
            <w:noWrap/>
            <w:vAlign w:val="bottom"/>
          </w:tcPr>
          <w:p w14:paraId="131A25CC" w14:textId="27A58A6A" w:rsidR="00407459" w:rsidRPr="00407459" w:rsidRDefault="00407459" w:rsidP="00407459">
            <w:pPr>
              <w:ind w:firstLine="31"/>
              <w:contextualSpacing/>
              <w:jc w:val="center"/>
              <w:cnfStyle w:val="000000100000" w:firstRow="0" w:lastRow="0" w:firstColumn="0" w:lastColumn="0" w:oddVBand="0" w:evenVBand="0" w:oddHBand="1" w:evenHBand="0" w:firstRowFirstColumn="0" w:firstRowLastColumn="0" w:lastRowFirstColumn="0" w:lastRowLastColumn="0"/>
              <w:rPr>
                <w:rFonts w:cs="Times New Roman"/>
                <w:bCs/>
                <w:color w:val="000000"/>
                <w:sz w:val="18"/>
                <w:szCs w:val="18"/>
              </w:rPr>
            </w:pPr>
            <w:r w:rsidRPr="00407459">
              <w:rPr>
                <w:rFonts w:cs="Times New Roman"/>
                <w:color w:val="000000"/>
                <w:sz w:val="18"/>
                <w:szCs w:val="18"/>
              </w:rPr>
              <w:t>-0,1</w:t>
            </w:r>
          </w:p>
        </w:tc>
      </w:tr>
      <w:tr w:rsidR="00407459" w:rsidRPr="00407459" w14:paraId="463E1634" w14:textId="77777777" w:rsidTr="0066431C">
        <w:trPr>
          <w:trHeight w:val="63"/>
          <w:jc w:val="center"/>
        </w:trPr>
        <w:tc>
          <w:tcPr>
            <w:cnfStyle w:val="001000000000" w:firstRow="0" w:lastRow="0" w:firstColumn="1" w:lastColumn="0" w:oddVBand="0" w:evenVBand="0" w:oddHBand="0" w:evenHBand="0" w:firstRowFirstColumn="0" w:firstRowLastColumn="0" w:lastRowFirstColumn="0" w:lastRowLastColumn="0"/>
            <w:tcW w:w="4087" w:type="dxa"/>
            <w:noWrap/>
            <w:vAlign w:val="center"/>
          </w:tcPr>
          <w:p w14:paraId="518660E9" w14:textId="49D8DFE8" w:rsidR="00407459" w:rsidRPr="00407459" w:rsidRDefault="00407459" w:rsidP="00407459">
            <w:pPr>
              <w:ind w:firstLine="31"/>
              <w:contextualSpacing/>
              <w:rPr>
                <w:rFonts w:eastAsia="Times New Roman" w:cs="Times New Roman"/>
                <w:b w:val="0"/>
                <w:sz w:val="18"/>
                <w:szCs w:val="18"/>
                <w:lang w:eastAsia="lv-LV"/>
              </w:rPr>
            </w:pPr>
            <w:r w:rsidRPr="00407459">
              <w:rPr>
                <w:rFonts w:eastAsia="Times New Roman" w:cs="Times New Roman"/>
                <w:b w:val="0"/>
                <w:color w:val="auto"/>
                <w:sz w:val="18"/>
                <w:szCs w:val="18"/>
                <w:lang w:eastAsia="lv-LV"/>
              </w:rPr>
              <w:t xml:space="preserve">3. </w:t>
            </w:r>
            <w:proofErr w:type="spellStart"/>
            <w:r w:rsidRPr="00407459">
              <w:rPr>
                <w:rFonts w:eastAsia="Times New Roman" w:cs="Times New Roman"/>
                <w:b w:val="0"/>
                <w:color w:val="auto"/>
                <w:sz w:val="18"/>
                <w:szCs w:val="18"/>
                <w:lang w:eastAsia="lv-LV"/>
              </w:rPr>
              <w:t>Diskrecionāri</w:t>
            </w:r>
            <w:proofErr w:type="spellEnd"/>
            <w:r w:rsidRPr="00407459">
              <w:rPr>
                <w:rFonts w:eastAsia="Times New Roman" w:cs="Times New Roman"/>
                <w:b w:val="0"/>
                <w:color w:val="auto"/>
                <w:sz w:val="18"/>
                <w:szCs w:val="18"/>
                <w:lang w:eastAsia="lv-LV"/>
              </w:rPr>
              <w:t xml:space="preserve"> ieņēmumu pasākumi</w:t>
            </w:r>
          </w:p>
        </w:tc>
        <w:tc>
          <w:tcPr>
            <w:tcW w:w="1169" w:type="dxa"/>
            <w:noWrap/>
            <w:vAlign w:val="bottom"/>
          </w:tcPr>
          <w:p w14:paraId="2B4099D8" w14:textId="4F8BF4C1" w:rsidR="00407459" w:rsidRPr="00407459" w:rsidRDefault="00407459" w:rsidP="00407459">
            <w:pPr>
              <w:ind w:firstLine="31"/>
              <w:contextualSpacing/>
              <w:jc w:val="center"/>
              <w:cnfStyle w:val="000000000000" w:firstRow="0" w:lastRow="0" w:firstColumn="0" w:lastColumn="0" w:oddVBand="0" w:evenVBand="0" w:oddHBand="0" w:evenHBand="0" w:firstRowFirstColumn="0" w:firstRowLastColumn="0" w:lastRowFirstColumn="0" w:lastRowLastColumn="0"/>
              <w:rPr>
                <w:rFonts w:cs="Times New Roman"/>
                <w:bCs/>
                <w:color w:val="000000"/>
                <w:sz w:val="18"/>
                <w:szCs w:val="18"/>
              </w:rPr>
            </w:pPr>
            <w:r w:rsidRPr="00407459">
              <w:rPr>
                <w:rFonts w:cs="Times New Roman"/>
                <w:color w:val="000000"/>
                <w:sz w:val="18"/>
                <w:szCs w:val="18"/>
              </w:rPr>
              <w:t>36,7</w:t>
            </w:r>
          </w:p>
        </w:tc>
        <w:tc>
          <w:tcPr>
            <w:tcW w:w="877" w:type="dxa"/>
            <w:noWrap/>
            <w:vAlign w:val="bottom"/>
          </w:tcPr>
          <w:p w14:paraId="685ACD15" w14:textId="03F56109" w:rsidR="00407459" w:rsidRPr="00407459" w:rsidRDefault="00407459" w:rsidP="00407459">
            <w:pPr>
              <w:ind w:firstLine="31"/>
              <w:contextualSpacing/>
              <w:jc w:val="center"/>
              <w:cnfStyle w:val="000000000000" w:firstRow="0" w:lastRow="0" w:firstColumn="0" w:lastColumn="0" w:oddVBand="0" w:evenVBand="0" w:oddHBand="0" w:evenHBand="0" w:firstRowFirstColumn="0" w:firstRowLastColumn="0" w:lastRowFirstColumn="0" w:lastRowLastColumn="0"/>
              <w:rPr>
                <w:rFonts w:cs="Times New Roman"/>
                <w:bCs/>
                <w:color w:val="000000"/>
                <w:sz w:val="18"/>
                <w:szCs w:val="18"/>
              </w:rPr>
            </w:pPr>
            <w:r w:rsidRPr="00407459">
              <w:rPr>
                <w:rFonts w:cs="Times New Roman"/>
                <w:color w:val="000000"/>
                <w:sz w:val="18"/>
                <w:szCs w:val="18"/>
              </w:rPr>
              <w:t>0,1</w:t>
            </w:r>
          </w:p>
        </w:tc>
        <w:tc>
          <w:tcPr>
            <w:tcW w:w="877" w:type="dxa"/>
            <w:noWrap/>
            <w:vAlign w:val="bottom"/>
          </w:tcPr>
          <w:p w14:paraId="7E7A81C1" w14:textId="296BA963" w:rsidR="00407459" w:rsidRPr="00407459" w:rsidRDefault="00407459" w:rsidP="00407459">
            <w:pPr>
              <w:ind w:firstLine="31"/>
              <w:contextualSpacing/>
              <w:jc w:val="center"/>
              <w:cnfStyle w:val="000000000000" w:firstRow="0" w:lastRow="0" w:firstColumn="0" w:lastColumn="0" w:oddVBand="0" w:evenVBand="0" w:oddHBand="0" w:evenHBand="0" w:firstRowFirstColumn="0" w:firstRowLastColumn="0" w:lastRowFirstColumn="0" w:lastRowLastColumn="0"/>
              <w:rPr>
                <w:rFonts w:cs="Times New Roman"/>
                <w:bCs/>
                <w:color w:val="000000"/>
                <w:sz w:val="18"/>
                <w:szCs w:val="18"/>
              </w:rPr>
            </w:pPr>
            <w:r w:rsidRPr="00407459">
              <w:rPr>
                <w:rFonts w:cs="Times New Roman"/>
                <w:color w:val="000000"/>
                <w:sz w:val="18"/>
                <w:szCs w:val="18"/>
              </w:rPr>
              <w:t>0,4</w:t>
            </w:r>
          </w:p>
        </w:tc>
        <w:tc>
          <w:tcPr>
            <w:tcW w:w="877" w:type="dxa"/>
            <w:noWrap/>
            <w:vAlign w:val="bottom"/>
          </w:tcPr>
          <w:p w14:paraId="3CD0D53B" w14:textId="25679834" w:rsidR="00407459" w:rsidRPr="00407459" w:rsidRDefault="00407459" w:rsidP="00407459">
            <w:pPr>
              <w:ind w:firstLine="31"/>
              <w:contextualSpacing/>
              <w:jc w:val="center"/>
              <w:cnfStyle w:val="000000000000" w:firstRow="0" w:lastRow="0" w:firstColumn="0" w:lastColumn="0" w:oddVBand="0" w:evenVBand="0" w:oddHBand="0" w:evenHBand="0" w:firstRowFirstColumn="0" w:firstRowLastColumn="0" w:lastRowFirstColumn="0" w:lastRowLastColumn="0"/>
              <w:rPr>
                <w:rFonts w:cs="Times New Roman"/>
                <w:bCs/>
                <w:color w:val="000000"/>
                <w:sz w:val="18"/>
                <w:szCs w:val="18"/>
              </w:rPr>
            </w:pPr>
            <w:r w:rsidRPr="00407459">
              <w:rPr>
                <w:rFonts w:cs="Times New Roman"/>
                <w:color w:val="000000"/>
                <w:sz w:val="18"/>
                <w:szCs w:val="18"/>
              </w:rPr>
              <w:t>-0,4</w:t>
            </w:r>
          </w:p>
        </w:tc>
        <w:tc>
          <w:tcPr>
            <w:tcW w:w="877" w:type="dxa"/>
            <w:noWrap/>
            <w:vAlign w:val="bottom"/>
          </w:tcPr>
          <w:p w14:paraId="329105B0" w14:textId="41781BA9" w:rsidR="00407459" w:rsidRPr="00407459" w:rsidRDefault="00407459" w:rsidP="00407459">
            <w:pPr>
              <w:ind w:firstLine="31"/>
              <w:contextualSpacing/>
              <w:jc w:val="center"/>
              <w:cnfStyle w:val="000000000000" w:firstRow="0" w:lastRow="0" w:firstColumn="0" w:lastColumn="0" w:oddVBand="0" w:evenVBand="0" w:oddHBand="0" w:evenHBand="0" w:firstRowFirstColumn="0" w:firstRowLastColumn="0" w:lastRowFirstColumn="0" w:lastRowLastColumn="0"/>
              <w:rPr>
                <w:rFonts w:cs="Times New Roman"/>
                <w:bCs/>
                <w:color w:val="000000"/>
                <w:sz w:val="18"/>
                <w:szCs w:val="18"/>
              </w:rPr>
            </w:pPr>
            <w:r w:rsidRPr="00407459">
              <w:rPr>
                <w:rFonts w:cs="Times New Roman"/>
                <w:color w:val="000000"/>
                <w:sz w:val="18"/>
                <w:szCs w:val="18"/>
              </w:rPr>
              <w:t>0,0</w:t>
            </w:r>
          </w:p>
        </w:tc>
        <w:tc>
          <w:tcPr>
            <w:tcW w:w="877" w:type="dxa"/>
            <w:noWrap/>
            <w:vAlign w:val="bottom"/>
          </w:tcPr>
          <w:p w14:paraId="0093EED5" w14:textId="5AB05D89" w:rsidR="00407459" w:rsidRPr="00407459" w:rsidRDefault="00407459" w:rsidP="00407459">
            <w:pPr>
              <w:ind w:firstLine="31"/>
              <w:contextualSpacing/>
              <w:jc w:val="center"/>
              <w:cnfStyle w:val="000000000000" w:firstRow="0" w:lastRow="0" w:firstColumn="0" w:lastColumn="0" w:oddVBand="0" w:evenVBand="0" w:oddHBand="0" w:evenHBand="0" w:firstRowFirstColumn="0" w:firstRowLastColumn="0" w:lastRowFirstColumn="0" w:lastRowLastColumn="0"/>
              <w:rPr>
                <w:rFonts w:cs="Times New Roman"/>
                <w:bCs/>
                <w:color w:val="000000"/>
                <w:sz w:val="18"/>
                <w:szCs w:val="18"/>
              </w:rPr>
            </w:pPr>
            <w:r w:rsidRPr="00407459">
              <w:rPr>
                <w:rFonts w:cs="Times New Roman"/>
                <w:color w:val="000000"/>
                <w:sz w:val="18"/>
                <w:szCs w:val="18"/>
              </w:rPr>
              <w:t>0,0</w:t>
            </w:r>
          </w:p>
        </w:tc>
      </w:tr>
      <w:tr w:rsidR="00F57B5A" w:rsidRPr="00085AFE" w14:paraId="07C0AA3A" w14:textId="5B20AAA0" w:rsidTr="00F57B5A">
        <w:trPr>
          <w:cnfStyle w:val="000000100000" w:firstRow="0" w:lastRow="0" w:firstColumn="0" w:lastColumn="0" w:oddVBand="0" w:evenVBand="0" w:oddHBand="1" w:evenHBand="0" w:firstRowFirstColumn="0" w:firstRowLastColumn="0" w:lastRowFirstColumn="0" w:lastRowLastColumn="0"/>
          <w:trHeight w:val="439"/>
          <w:jc w:val="center"/>
        </w:trPr>
        <w:tc>
          <w:tcPr>
            <w:cnfStyle w:val="001000000000" w:firstRow="0" w:lastRow="0" w:firstColumn="1" w:lastColumn="0" w:oddVBand="0" w:evenVBand="0" w:oddHBand="0" w:evenHBand="0" w:firstRowFirstColumn="0" w:firstRowLastColumn="0" w:lastRowFirstColumn="0" w:lastRowLastColumn="0"/>
            <w:tcW w:w="4087" w:type="dxa"/>
            <w:noWrap/>
            <w:vAlign w:val="center"/>
          </w:tcPr>
          <w:p w14:paraId="56E6A4E7" w14:textId="792EA025" w:rsidR="00F57B5A" w:rsidRPr="00407459" w:rsidRDefault="00F57B5A" w:rsidP="00F57B5A">
            <w:pPr>
              <w:ind w:firstLine="31"/>
              <w:rPr>
                <w:rFonts w:eastAsia="Times New Roman" w:cs="Times New Roman"/>
                <w:b w:val="0"/>
                <w:sz w:val="18"/>
                <w:szCs w:val="18"/>
                <w:lang w:eastAsia="lv-LV"/>
              </w:rPr>
            </w:pPr>
            <w:r w:rsidRPr="00407459">
              <w:rPr>
                <w:rFonts w:eastAsia="Times New Roman" w:cs="Times New Roman"/>
                <w:b w:val="0"/>
                <w:color w:val="000000" w:themeColor="text1"/>
                <w:sz w:val="18"/>
                <w:szCs w:val="18"/>
                <w:lang w:eastAsia="lv-LV"/>
              </w:rPr>
              <w:t>4.</w:t>
            </w:r>
            <w:r w:rsidR="000E5CAF">
              <w:rPr>
                <w:rFonts w:eastAsia="Times New Roman" w:cs="Times New Roman"/>
                <w:b w:val="0"/>
                <w:color w:val="000000" w:themeColor="text1"/>
                <w:sz w:val="18"/>
                <w:szCs w:val="18"/>
                <w:lang w:eastAsia="lv-LV"/>
              </w:rPr>
              <w:t xml:space="preserve"> </w:t>
            </w:r>
            <w:r w:rsidRPr="00407459">
              <w:rPr>
                <w:rFonts w:eastAsia="Times New Roman" w:cs="Times New Roman"/>
                <w:b w:val="0"/>
                <w:color w:val="000000" w:themeColor="text1"/>
                <w:sz w:val="18"/>
                <w:szCs w:val="18"/>
                <w:lang w:eastAsia="lv-LV"/>
              </w:rPr>
              <w:t>Ieņēmumu palielinājums, kas apstiprināts ar likumu</w:t>
            </w:r>
          </w:p>
        </w:tc>
        <w:tc>
          <w:tcPr>
            <w:tcW w:w="1169" w:type="dxa"/>
            <w:noWrap/>
            <w:vAlign w:val="center"/>
          </w:tcPr>
          <w:p w14:paraId="69511951" w14:textId="42B88C9F" w:rsidR="00F57B5A" w:rsidRPr="00407459" w:rsidRDefault="00C1707D" w:rsidP="00862FCD">
            <w:pPr>
              <w:ind w:firstLine="31"/>
              <w:contextualSpacing/>
              <w:jc w:val="center"/>
              <w:cnfStyle w:val="000000100000" w:firstRow="0" w:lastRow="0" w:firstColumn="0" w:lastColumn="0" w:oddVBand="0" w:evenVBand="0" w:oddHBand="1" w:evenHBand="0" w:firstRowFirstColumn="0" w:firstRowLastColumn="0" w:lastRowFirstColumn="0" w:lastRowLastColumn="0"/>
              <w:rPr>
                <w:rFonts w:cs="Times New Roman"/>
                <w:bCs/>
                <w:color w:val="000000"/>
                <w:sz w:val="18"/>
                <w:szCs w:val="18"/>
              </w:rPr>
            </w:pPr>
            <w:r>
              <w:rPr>
                <w:rFonts w:cs="Times New Roman"/>
                <w:bCs/>
                <w:color w:val="000000"/>
                <w:sz w:val="18"/>
                <w:szCs w:val="18"/>
              </w:rPr>
              <w:t>-</w:t>
            </w:r>
          </w:p>
        </w:tc>
        <w:tc>
          <w:tcPr>
            <w:tcW w:w="877" w:type="dxa"/>
            <w:noWrap/>
            <w:vAlign w:val="center"/>
          </w:tcPr>
          <w:p w14:paraId="67452BBD" w14:textId="3CF79630" w:rsidR="00F57B5A" w:rsidRPr="00407459" w:rsidRDefault="00C1707D" w:rsidP="002E3A98">
            <w:pPr>
              <w:ind w:firstLine="31"/>
              <w:contextualSpacing/>
              <w:jc w:val="center"/>
              <w:cnfStyle w:val="000000100000" w:firstRow="0" w:lastRow="0" w:firstColumn="0" w:lastColumn="0" w:oddVBand="0" w:evenVBand="0" w:oddHBand="1" w:evenHBand="0" w:firstRowFirstColumn="0" w:firstRowLastColumn="0" w:lastRowFirstColumn="0" w:lastRowLastColumn="0"/>
              <w:rPr>
                <w:rFonts w:cs="Times New Roman"/>
                <w:bCs/>
                <w:color w:val="000000"/>
                <w:sz w:val="18"/>
                <w:szCs w:val="18"/>
              </w:rPr>
            </w:pPr>
            <w:r>
              <w:rPr>
                <w:rFonts w:cs="Times New Roman"/>
                <w:bCs/>
                <w:color w:val="000000"/>
                <w:sz w:val="18"/>
                <w:szCs w:val="18"/>
              </w:rPr>
              <w:t>-</w:t>
            </w:r>
          </w:p>
        </w:tc>
        <w:tc>
          <w:tcPr>
            <w:tcW w:w="877" w:type="dxa"/>
            <w:noWrap/>
            <w:vAlign w:val="center"/>
          </w:tcPr>
          <w:p w14:paraId="63ABE067" w14:textId="014994E5" w:rsidR="00F57B5A" w:rsidRPr="00407459" w:rsidRDefault="00C1707D" w:rsidP="002E3A98">
            <w:pPr>
              <w:ind w:firstLine="31"/>
              <w:contextualSpacing/>
              <w:jc w:val="center"/>
              <w:cnfStyle w:val="000000100000" w:firstRow="0" w:lastRow="0" w:firstColumn="0" w:lastColumn="0" w:oddVBand="0" w:evenVBand="0" w:oddHBand="1" w:evenHBand="0" w:firstRowFirstColumn="0" w:firstRowLastColumn="0" w:lastRowFirstColumn="0" w:lastRowLastColumn="0"/>
              <w:rPr>
                <w:rFonts w:cs="Times New Roman"/>
                <w:bCs/>
                <w:color w:val="000000"/>
                <w:sz w:val="18"/>
                <w:szCs w:val="18"/>
              </w:rPr>
            </w:pPr>
            <w:r>
              <w:rPr>
                <w:rFonts w:cs="Times New Roman"/>
                <w:bCs/>
                <w:color w:val="000000"/>
                <w:sz w:val="18"/>
                <w:szCs w:val="18"/>
              </w:rPr>
              <w:t>-</w:t>
            </w:r>
          </w:p>
        </w:tc>
        <w:tc>
          <w:tcPr>
            <w:tcW w:w="877" w:type="dxa"/>
            <w:noWrap/>
            <w:vAlign w:val="center"/>
          </w:tcPr>
          <w:p w14:paraId="53CCBB17" w14:textId="7EE1C66A" w:rsidR="00F57B5A" w:rsidRPr="00407459" w:rsidRDefault="00C1707D" w:rsidP="002E3A98">
            <w:pPr>
              <w:ind w:firstLine="31"/>
              <w:contextualSpacing/>
              <w:jc w:val="center"/>
              <w:cnfStyle w:val="000000100000" w:firstRow="0" w:lastRow="0" w:firstColumn="0" w:lastColumn="0" w:oddVBand="0" w:evenVBand="0" w:oddHBand="1" w:evenHBand="0" w:firstRowFirstColumn="0" w:firstRowLastColumn="0" w:lastRowFirstColumn="0" w:lastRowLastColumn="0"/>
              <w:rPr>
                <w:rFonts w:cs="Times New Roman"/>
                <w:bCs/>
                <w:color w:val="000000"/>
                <w:sz w:val="18"/>
                <w:szCs w:val="18"/>
              </w:rPr>
            </w:pPr>
            <w:r>
              <w:rPr>
                <w:rFonts w:cs="Times New Roman"/>
                <w:bCs/>
                <w:color w:val="000000"/>
                <w:sz w:val="18"/>
                <w:szCs w:val="18"/>
              </w:rPr>
              <w:t>-</w:t>
            </w:r>
          </w:p>
        </w:tc>
        <w:tc>
          <w:tcPr>
            <w:tcW w:w="877" w:type="dxa"/>
            <w:noWrap/>
            <w:vAlign w:val="center"/>
          </w:tcPr>
          <w:p w14:paraId="70323BDE" w14:textId="3685DDAD" w:rsidR="00F57B5A" w:rsidRPr="00407459" w:rsidRDefault="00C1707D" w:rsidP="002E3A98">
            <w:pPr>
              <w:ind w:firstLine="31"/>
              <w:contextualSpacing/>
              <w:jc w:val="center"/>
              <w:cnfStyle w:val="000000100000" w:firstRow="0" w:lastRow="0" w:firstColumn="0" w:lastColumn="0" w:oddVBand="0" w:evenVBand="0" w:oddHBand="1" w:evenHBand="0" w:firstRowFirstColumn="0" w:firstRowLastColumn="0" w:lastRowFirstColumn="0" w:lastRowLastColumn="0"/>
              <w:rPr>
                <w:rFonts w:cs="Times New Roman"/>
                <w:bCs/>
                <w:color w:val="000000"/>
                <w:sz w:val="18"/>
                <w:szCs w:val="18"/>
              </w:rPr>
            </w:pPr>
            <w:r>
              <w:rPr>
                <w:rFonts w:cs="Times New Roman"/>
                <w:bCs/>
                <w:color w:val="000000"/>
                <w:sz w:val="18"/>
                <w:szCs w:val="18"/>
              </w:rPr>
              <w:t>-</w:t>
            </w:r>
          </w:p>
        </w:tc>
        <w:tc>
          <w:tcPr>
            <w:tcW w:w="877" w:type="dxa"/>
            <w:noWrap/>
            <w:vAlign w:val="center"/>
          </w:tcPr>
          <w:p w14:paraId="522F9DAC" w14:textId="4895FCF4" w:rsidR="00F57B5A" w:rsidRPr="00407459" w:rsidRDefault="00C1707D" w:rsidP="002E3A98">
            <w:pPr>
              <w:ind w:firstLine="31"/>
              <w:contextualSpacing/>
              <w:jc w:val="center"/>
              <w:cnfStyle w:val="000000100000" w:firstRow="0" w:lastRow="0" w:firstColumn="0" w:lastColumn="0" w:oddVBand="0" w:evenVBand="0" w:oddHBand="1" w:evenHBand="0" w:firstRowFirstColumn="0" w:firstRowLastColumn="0" w:lastRowFirstColumn="0" w:lastRowLastColumn="0"/>
              <w:rPr>
                <w:rFonts w:cs="Times New Roman"/>
                <w:bCs/>
                <w:color w:val="000000"/>
                <w:sz w:val="18"/>
                <w:szCs w:val="18"/>
              </w:rPr>
            </w:pPr>
            <w:r>
              <w:rPr>
                <w:rFonts w:cs="Times New Roman"/>
                <w:bCs/>
                <w:color w:val="000000"/>
                <w:sz w:val="18"/>
                <w:szCs w:val="18"/>
              </w:rPr>
              <w:t>-</w:t>
            </w:r>
          </w:p>
        </w:tc>
      </w:tr>
    </w:tbl>
    <w:p w14:paraId="23BD0D92" w14:textId="1F845236" w:rsidR="00CE2961" w:rsidRDefault="00CE2961" w:rsidP="00884CF9">
      <w:pPr>
        <w:keepNext/>
        <w:ind w:firstLine="0"/>
        <w:rPr>
          <w:rFonts w:eastAsia="Times New Roman" w:cs="Times New Roman"/>
          <w:b/>
          <w:color w:val="000000" w:themeColor="text1"/>
          <w:sz w:val="24"/>
          <w:szCs w:val="24"/>
          <w:highlight w:val="lightGray"/>
        </w:rPr>
      </w:pPr>
    </w:p>
    <w:p w14:paraId="3252A92D" w14:textId="77777777" w:rsidR="00575E47" w:rsidRPr="00085AFE" w:rsidRDefault="00575E47" w:rsidP="00884CF9">
      <w:pPr>
        <w:keepNext/>
        <w:ind w:firstLine="0"/>
        <w:rPr>
          <w:rFonts w:eastAsia="Times New Roman" w:cs="Times New Roman"/>
          <w:b/>
          <w:color w:val="000000" w:themeColor="text1"/>
          <w:sz w:val="24"/>
          <w:szCs w:val="24"/>
          <w:highlight w:val="lightGray"/>
        </w:rPr>
      </w:pPr>
    </w:p>
    <w:p w14:paraId="1B49327F" w14:textId="02A85EBA" w:rsidR="00884CF9" w:rsidRPr="003336F1" w:rsidRDefault="00884CF9" w:rsidP="000F4627">
      <w:pPr>
        <w:keepNext/>
        <w:spacing w:after="120"/>
        <w:ind w:firstLine="0"/>
        <w:rPr>
          <w:rFonts w:eastAsia="Times New Roman" w:cs="Times New Roman"/>
          <w:b/>
          <w:sz w:val="24"/>
          <w:szCs w:val="24"/>
        </w:rPr>
      </w:pPr>
      <w:r w:rsidRPr="003336F1">
        <w:rPr>
          <w:rFonts w:eastAsia="Times New Roman" w:cs="Times New Roman"/>
          <w:b/>
          <w:sz w:val="24"/>
          <w:szCs w:val="24"/>
        </w:rPr>
        <w:t xml:space="preserve">3. tabula. Vispārējās valdības izdevumi funkciju sadalījumā </w:t>
      </w:r>
      <w:r w:rsidR="00A72128" w:rsidRPr="003336F1">
        <w:rPr>
          <w:rFonts w:eastAsia="Times New Roman" w:cs="Times New Roman"/>
          <w:b/>
          <w:sz w:val="24"/>
          <w:szCs w:val="24"/>
        </w:rPr>
        <w:t>(</w:t>
      </w:r>
      <w:r w:rsidRPr="003336F1">
        <w:rPr>
          <w:rFonts w:eastAsia="Times New Roman" w:cs="Times New Roman"/>
          <w:b/>
          <w:sz w:val="24"/>
          <w:szCs w:val="24"/>
        </w:rPr>
        <w:t>pie mainīgas politikas</w:t>
      </w:r>
      <w:r w:rsidR="00A72128" w:rsidRPr="003336F1">
        <w:rPr>
          <w:rFonts w:eastAsia="Times New Roman" w:cs="Times New Roman"/>
          <w:b/>
          <w:sz w:val="24"/>
          <w:szCs w:val="24"/>
        </w:rPr>
        <w:t>)</w:t>
      </w:r>
    </w:p>
    <w:tbl>
      <w:tblPr>
        <w:tblStyle w:val="GridTable6Colorful-Accent117"/>
        <w:tblW w:w="6947" w:type="dxa"/>
        <w:jc w:val="center"/>
        <w:tblLook w:val="04A0" w:firstRow="1" w:lastRow="0" w:firstColumn="1" w:lastColumn="0" w:noHBand="0" w:noVBand="1"/>
      </w:tblPr>
      <w:tblGrid>
        <w:gridCol w:w="4112"/>
        <w:gridCol w:w="1130"/>
        <w:gridCol w:w="846"/>
        <w:gridCol w:w="859"/>
      </w:tblGrid>
      <w:tr w:rsidR="003336F1" w:rsidRPr="00407459" w14:paraId="3C7D91AD" w14:textId="77777777" w:rsidTr="008D5244">
        <w:trPr>
          <w:cnfStyle w:val="100000000000" w:firstRow="1" w:lastRow="0" w:firstColumn="0" w:lastColumn="0" w:oddVBand="0" w:evenVBand="0" w:oddHBand="0" w:evenHBand="0" w:firstRowFirstColumn="0" w:firstRowLastColumn="0" w:lastRowFirstColumn="0" w:lastRowLastColumn="0"/>
          <w:trHeight w:val="529"/>
          <w:jc w:val="center"/>
        </w:trPr>
        <w:tc>
          <w:tcPr>
            <w:cnfStyle w:val="001000000000" w:firstRow="0" w:lastRow="0" w:firstColumn="1" w:lastColumn="0" w:oddVBand="0" w:evenVBand="0" w:oddHBand="0" w:evenHBand="0" w:firstRowFirstColumn="0" w:firstRowLastColumn="0" w:lastRowFirstColumn="0" w:lastRowLastColumn="0"/>
            <w:tcW w:w="4112" w:type="dxa"/>
            <w:shd w:val="clear" w:color="auto" w:fill="DEEAF6"/>
            <w:noWrap/>
            <w:vAlign w:val="center"/>
          </w:tcPr>
          <w:p w14:paraId="6222E35D" w14:textId="77777777" w:rsidR="00884CF9" w:rsidRPr="00407459" w:rsidRDefault="00884CF9" w:rsidP="008D5244">
            <w:pPr>
              <w:ind w:firstLine="0"/>
              <w:jc w:val="left"/>
              <w:rPr>
                <w:rFonts w:cs="Times New Roman"/>
                <w:color w:val="auto"/>
                <w:sz w:val="18"/>
                <w:szCs w:val="18"/>
              </w:rPr>
            </w:pPr>
            <w:r w:rsidRPr="00407459">
              <w:rPr>
                <w:rFonts w:cs="Times New Roman"/>
                <w:color w:val="auto"/>
                <w:sz w:val="18"/>
                <w:szCs w:val="18"/>
              </w:rPr>
              <w:t>% no IKP</w:t>
            </w:r>
          </w:p>
        </w:tc>
        <w:tc>
          <w:tcPr>
            <w:tcW w:w="1130" w:type="dxa"/>
            <w:shd w:val="clear" w:color="auto" w:fill="DEEAF6"/>
            <w:vAlign w:val="center"/>
          </w:tcPr>
          <w:p w14:paraId="6F794D96" w14:textId="77777777" w:rsidR="00884CF9" w:rsidRPr="00407459" w:rsidRDefault="00884CF9" w:rsidP="008D5244">
            <w:pPr>
              <w:ind w:firstLine="0"/>
              <w:jc w:val="left"/>
              <w:cnfStyle w:val="100000000000" w:firstRow="1" w:lastRow="0" w:firstColumn="0" w:lastColumn="0" w:oddVBand="0" w:evenVBand="0" w:oddHBand="0" w:evenHBand="0" w:firstRowFirstColumn="0" w:firstRowLastColumn="0" w:lastRowFirstColumn="0" w:lastRowLastColumn="0"/>
              <w:rPr>
                <w:rFonts w:cs="Times New Roman"/>
                <w:color w:val="auto"/>
                <w:sz w:val="18"/>
                <w:szCs w:val="18"/>
              </w:rPr>
            </w:pPr>
            <w:r w:rsidRPr="00407459">
              <w:rPr>
                <w:rFonts w:cs="Times New Roman"/>
                <w:color w:val="auto"/>
                <w:sz w:val="18"/>
                <w:szCs w:val="18"/>
              </w:rPr>
              <w:t>COFOG kods</w:t>
            </w:r>
          </w:p>
        </w:tc>
        <w:tc>
          <w:tcPr>
            <w:tcW w:w="846" w:type="dxa"/>
            <w:shd w:val="clear" w:color="auto" w:fill="DEEAF6"/>
            <w:vAlign w:val="center"/>
          </w:tcPr>
          <w:p w14:paraId="1BA2556D" w14:textId="0663DD46" w:rsidR="00884CF9" w:rsidRPr="00407459" w:rsidRDefault="00884CF9" w:rsidP="008D5244">
            <w:pPr>
              <w:ind w:firstLine="0"/>
              <w:jc w:val="left"/>
              <w:cnfStyle w:val="100000000000" w:firstRow="1" w:lastRow="0" w:firstColumn="0" w:lastColumn="0" w:oddVBand="0" w:evenVBand="0" w:oddHBand="0" w:evenHBand="0" w:firstRowFirstColumn="0" w:firstRowLastColumn="0" w:lastRowFirstColumn="0" w:lastRowLastColumn="0"/>
              <w:rPr>
                <w:rFonts w:cs="Times New Roman"/>
                <w:bCs w:val="0"/>
                <w:color w:val="auto"/>
                <w:sz w:val="18"/>
                <w:szCs w:val="18"/>
              </w:rPr>
            </w:pPr>
            <w:r w:rsidRPr="00407459">
              <w:rPr>
                <w:rFonts w:cs="Times New Roman"/>
                <w:color w:val="auto"/>
                <w:sz w:val="18"/>
                <w:szCs w:val="18"/>
              </w:rPr>
              <w:t>202</w:t>
            </w:r>
            <w:r w:rsidR="00A72128" w:rsidRPr="00407459">
              <w:rPr>
                <w:rFonts w:cs="Times New Roman"/>
                <w:color w:val="auto"/>
                <w:sz w:val="18"/>
                <w:szCs w:val="18"/>
              </w:rPr>
              <w:t>2</w:t>
            </w:r>
          </w:p>
        </w:tc>
        <w:tc>
          <w:tcPr>
            <w:tcW w:w="859" w:type="dxa"/>
            <w:shd w:val="clear" w:color="auto" w:fill="DEEAF6"/>
            <w:noWrap/>
            <w:vAlign w:val="center"/>
          </w:tcPr>
          <w:p w14:paraId="3DB3F9A9" w14:textId="402C6C92" w:rsidR="00884CF9" w:rsidRPr="00407459" w:rsidRDefault="00884CF9" w:rsidP="008D5244">
            <w:pPr>
              <w:ind w:firstLine="0"/>
              <w:jc w:val="left"/>
              <w:cnfStyle w:val="100000000000" w:firstRow="1" w:lastRow="0" w:firstColumn="0" w:lastColumn="0" w:oddVBand="0" w:evenVBand="0" w:oddHBand="0" w:evenHBand="0" w:firstRowFirstColumn="0" w:firstRowLastColumn="0" w:lastRowFirstColumn="0" w:lastRowLastColumn="0"/>
              <w:rPr>
                <w:rFonts w:cs="Times New Roman"/>
                <w:bCs w:val="0"/>
                <w:color w:val="auto"/>
                <w:sz w:val="18"/>
                <w:szCs w:val="18"/>
              </w:rPr>
            </w:pPr>
            <w:r w:rsidRPr="00407459">
              <w:rPr>
                <w:rFonts w:cs="Times New Roman"/>
                <w:color w:val="auto"/>
                <w:sz w:val="18"/>
                <w:szCs w:val="18"/>
              </w:rPr>
              <w:t>202</w:t>
            </w:r>
            <w:r w:rsidR="00A72128" w:rsidRPr="00407459">
              <w:rPr>
                <w:rFonts w:cs="Times New Roman"/>
                <w:color w:val="auto"/>
                <w:sz w:val="18"/>
                <w:szCs w:val="18"/>
              </w:rPr>
              <w:t>6</w:t>
            </w:r>
          </w:p>
        </w:tc>
      </w:tr>
    </w:tbl>
    <w:tbl>
      <w:tblPr>
        <w:tblStyle w:val="GridTable6Colorful-Accent118"/>
        <w:tblW w:w="6947" w:type="dxa"/>
        <w:jc w:val="center"/>
        <w:tblLook w:val="04A0" w:firstRow="1" w:lastRow="0" w:firstColumn="1" w:lastColumn="0" w:noHBand="0" w:noVBand="1"/>
      </w:tblPr>
      <w:tblGrid>
        <w:gridCol w:w="4112"/>
        <w:gridCol w:w="1134"/>
        <w:gridCol w:w="850"/>
        <w:gridCol w:w="851"/>
      </w:tblGrid>
      <w:tr w:rsidR="00407459" w:rsidRPr="00407459" w14:paraId="214F743B" w14:textId="77777777" w:rsidTr="008E2CE6">
        <w:trPr>
          <w:cnfStyle w:val="100000000000" w:firstRow="1" w:lastRow="0" w:firstColumn="0" w:lastColumn="0" w:oddVBand="0" w:evenVBand="0" w:oddHBand="0" w:evenHBand="0" w:firstRowFirstColumn="0" w:firstRowLastColumn="0" w:lastRowFirstColumn="0" w:lastRowLastColumn="0"/>
          <w:trHeight w:val="53"/>
          <w:jc w:val="center"/>
        </w:trPr>
        <w:tc>
          <w:tcPr>
            <w:cnfStyle w:val="001000000000" w:firstRow="0" w:lastRow="0" w:firstColumn="1" w:lastColumn="0" w:oddVBand="0" w:evenVBand="0" w:oddHBand="0" w:evenHBand="0" w:firstRowFirstColumn="0" w:firstRowLastColumn="0" w:lastRowFirstColumn="0" w:lastRowLastColumn="0"/>
            <w:tcW w:w="4112" w:type="dxa"/>
            <w:noWrap/>
          </w:tcPr>
          <w:p w14:paraId="384A660D" w14:textId="318C3DBC" w:rsidR="00407459" w:rsidRPr="00407459" w:rsidRDefault="00407459" w:rsidP="00407459">
            <w:pPr>
              <w:ind w:firstLine="0"/>
              <w:jc w:val="left"/>
              <w:rPr>
                <w:rFonts w:cs="Times New Roman"/>
                <w:bCs w:val="0"/>
                <w:color w:val="auto"/>
                <w:sz w:val="18"/>
                <w:szCs w:val="18"/>
              </w:rPr>
            </w:pPr>
            <w:r w:rsidRPr="00407459">
              <w:rPr>
                <w:rFonts w:cs="Times New Roman"/>
                <w:color w:val="auto"/>
                <w:sz w:val="18"/>
                <w:szCs w:val="18"/>
              </w:rPr>
              <w:t>1. Vispārējie valdības dienesti</w:t>
            </w:r>
          </w:p>
        </w:tc>
        <w:tc>
          <w:tcPr>
            <w:tcW w:w="1134" w:type="dxa"/>
          </w:tcPr>
          <w:p w14:paraId="1939D026" w14:textId="034DE1FA" w:rsidR="00407459" w:rsidRPr="003435B5" w:rsidRDefault="00407459" w:rsidP="00407459">
            <w:pPr>
              <w:ind w:firstLine="0"/>
              <w:jc w:val="left"/>
              <w:cnfStyle w:val="100000000000" w:firstRow="1" w:lastRow="0" w:firstColumn="0" w:lastColumn="0" w:oddVBand="0" w:evenVBand="0" w:oddHBand="0" w:evenHBand="0" w:firstRowFirstColumn="0" w:firstRowLastColumn="0" w:lastRowFirstColumn="0" w:lastRowLastColumn="0"/>
              <w:rPr>
                <w:rFonts w:cs="Times New Roman"/>
                <w:b w:val="0"/>
                <w:bCs w:val="0"/>
                <w:color w:val="000000" w:themeColor="text1"/>
                <w:sz w:val="18"/>
                <w:szCs w:val="18"/>
              </w:rPr>
            </w:pPr>
            <w:r w:rsidRPr="003435B5">
              <w:rPr>
                <w:rFonts w:cs="Times New Roman"/>
                <w:b w:val="0"/>
                <w:bCs w:val="0"/>
                <w:color w:val="000000" w:themeColor="text1"/>
                <w:sz w:val="18"/>
                <w:szCs w:val="18"/>
              </w:rPr>
              <w:t>1</w:t>
            </w:r>
          </w:p>
        </w:tc>
        <w:tc>
          <w:tcPr>
            <w:tcW w:w="850" w:type="dxa"/>
            <w:noWrap/>
          </w:tcPr>
          <w:p w14:paraId="59F309F6" w14:textId="5DE2EB7E" w:rsidR="00407459" w:rsidRPr="003435B5" w:rsidRDefault="00407459" w:rsidP="00407459">
            <w:pPr>
              <w:ind w:firstLine="0"/>
              <w:jc w:val="left"/>
              <w:cnfStyle w:val="100000000000" w:firstRow="1" w:lastRow="0" w:firstColumn="0" w:lastColumn="0" w:oddVBand="0" w:evenVBand="0" w:oddHBand="0" w:evenHBand="0" w:firstRowFirstColumn="0" w:firstRowLastColumn="0" w:lastRowFirstColumn="0" w:lastRowLastColumn="0"/>
              <w:rPr>
                <w:rFonts w:cs="Times New Roman"/>
                <w:b w:val="0"/>
                <w:bCs w:val="0"/>
                <w:color w:val="000000" w:themeColor="text1"/>
                <w:sz w:val="18"/>
                <w:szCs w:val="18"/>
              </w:rPr>
            </w:pPr>
            <w:r w:rsidRPr="003435B5">
              <w:rPr>
                <w:rFonts w:cs="Times New Roman"/>
                <w:b w:val="0"/>
                <w:bCs w:val="0"/>
                <w:color w:val="000000" w:themeColor="text1"/>
                <w:sz w:val="18"/>
                <w:szCs w:val="18"/>
              </w:rPr>
              <w:t>3,2</w:t>
            </w:r>
          </w:p>
        </w:tc>
        <w:tc>
          <w:tcPr>
            <w:tcW w:w="851" w:type="dxa"/>
            <w:noWrap/>
            <w:vAlign w:val="center"/>
          </w:tcPr>
          <w:p w14:paraId="5BD1F922" w14:textId="34E0046E" w:rsidR="00407459" w:rsidRPr="003435B5" w:rsidRDefault="00407459" w:rsidP="00407459">
            <w:pPr>
              <w:ind w:firstLine="0"/>
              <w:jc w:val="left"/>
              <w:cnfStyle w:val="100000000000" w:firstRow="1" w:lastRow="0" w:firstColumn="0" w:lastColumn="0" w:oddVBand="0" w:evenVBand="0" w:oddHBand="0" w:evenHBand="0" w:firstRowFirstColumn="0" w:firstRowLastColumn="0" w:lastRowFirstColumn="0" w:lastRowLastColumn="0"/>
              <w:rPr>
                <w:rFonts w:cs="Times New Roman"/>
                <w:b w:val="0"/>
                <w:bCs w:val="0"/>
                <w:color w:val="000000" w:themeColor="text1"/>
                <w:sz w:val="18"/>
                <w:szCs w:val="18"/>
              </w:rPr>
            </w:pPr>
            <w:r w:rsidRPr="003435B5">
              <w:rPr>
                <w:b w:val="0"/>
                <w:bCs w:val="0"/>
                <w:color w:val="000000" w:themeColor="text1"/>
                <w:sz w:val="18"/>
                <w:szCs w:val="18"/>
              </w:rPr>
              <w:t>3,2</w:t>
            </w:r>
          </w:p>
        </w:tc>
      </w:tr>
      <w:tr w:rsidR="00407459" w:rsidRPr="00407459" w14:paraId="4F9D6748" w14:textId="77777777" w:rsidTr="008E2CE6">
        <w:trPr>
          <w:cnfStyle w:val="000000100000" w:firstRow="0" w:lastRow="0" w:firstColumn="0" w:lastColumn="0" w:oddVBand="0" w:evenVBand="0" w:oddHBand="1"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4112" w:type="dxa"/>
            <w:noWrap/>
          </w:tcPr>
          <w:p w14:paraId="002ABDF9" w14:textId="77777777" w:rsidR="00407459" w:rsidRPr="00407459" w:rsidRDefault="00407459" w:rsidP="00407459">
            <w:pPr>
              <w:ind w:firstLine="0"/>
              <w:jc w:val="left"/>
              <w:rPr>
                <w:rFonts w:cs="Times New Roman"/>
                <w:bCs w:val="0"/>
                <w:color w:val="auto"/>
                <w:sz w:val="18"/>
                <w:szCs w:val="18"/>
              </w:rPr>
            </w:pPr>
            <w:r w:rsidRPr="00407459">
              <w:rPr>
                <w:rFonts w:cs="Times New Roman"/>
                <w:color w:val="auto"/>
                <w:sz w:val="18"/>
                <w:szCs w:val="18"/>
              </w:rPr>
              <w:t>2. Aizsardzība</w:t>
            </w:r>
          </w:p>
        </w:tc>
        <w:tc>
          <w:tcPr>
            <w:tcW w:w="1134" w:type="dxa"/>
          </w:tcPr>
          <w:p w14:paraId="02C6B853" w14:textId="3EDA846D" w:rsidR="00407459" w:rsidRPr="00407459" w:rsidRDefault="00407459" w:rsidP="00407459">
            <w:pPr>
              <w:ind w:firstLine="0"/>
              <w:jc w:val="left"/>
              <w:cnfStyle w:val="000000100000" w:firstRow="0" w:lastRow="0" w:firstColumn="0" w:lastColumn="0" w:oddVBand="0" w:evenVBand="0" w:oddHBand="1" w:evenHBand="0" w:firstRowFirstColumn="0" w:firstRowLastColumn="0" w:lastRowFirstColumn="0" w:lastRowLastColumn="0"/>
              <w:rPr>
                <w:rFonts w:cs="Times New Roman"/>
                <w:bCs/>
                <w:color w:val="auto"/>
                <w:sz w:val="18"/>
                <w:szCs w:val="18"/>
              </w:rPr>
            </w:pPr>
            <w:r w:rsidRPr="00407459">
              <w:rPr>
                <w:rFonts w:cs="Times New Roman"/>
                <w:color w:val="auto"/>
                <w:sz w:val="18"/>
                <w:szCs w:val="18"/>
              </w:rPr>
              <w:t>2</w:t>
            </w:r>
          </w:p>
        </w:tc>
        <w:tc>
          <w:tcPr>
            <w:tcW w:w="850" w:type="dxa"/>
            <w:noWrap/>
          </w:tcPr>
          <w:p w14:paraId="1C9A0AD8" w14:textId="601723BC" w:rsidR="00407459" w:rsidRPr="00407459" w:rsidRDefault="00407459" w:rsidP="00407459">
            <w:pPr>
              <w:ind w:firstLine="0"/>
              <w:jc w:val="left"/>
              <w:cnfStyle w:val="000000100000" w:firstRow="0" w:lastRow="0" w:firstColumn="0" w:lastColumn="0" w:oddVBand="0" w:evenVBand="0" w:oddHBand="1" w:evenHBand="0" w:firstRowFirstColumn="0" w:firstRowLastColumn="0" w:lastRowFirstColumn="0" w:lastRowLastColumn="0"/>
              <w:rPr>
                <w:rFonts w:cs="Times New Roman"/>
                <w:bCs/>
                <w:color w:val="auto"/>
                <w:sz w:val="18"/>
                <w:szCs w:val="18"/>
              </w:rPr>
            </w:pPr>
            <w:r w:rsidRPr="00407459">
              <w:rPr>
                <w:rFonts w:cs="Times New Roman"/>
                <w:color w:val="auto"/>
                <w:sz w:val="18"/>
                <w:szCs w:val="18"/>
              </w:rPr>
              <w:t>2,2</w:t>
            </w:r>
          </w:p>
        </w:tc>
        <w:tc>
          <w:tcPr>
            <w:tcW w:w="851" w:type="dxa"/>
            <w:noWrap/>
            <w:vAlign w:val="center"/>
          </w:tcPr>
          <w:p w14:paraId="5C9EB548" w14:textId="1116C1C9" w:rsidR="00407459" w:rsidRPr="00407459" w:rsidRDefault="00407459" w:rsidP="00407459">
            <w:pPr>
              <w:ind w:firstLine="0"/>
              <w:jc w:val="left"/>
              <w:cnfStyle w:val="000000100000" w:firstRow="0" w:lastRow="0" w:firstColumn="0" w:lastColumn="0" w:oddVBand="0" w:evenVBand="0" w:oddHBand="1" w:evenHBand="0" w:firstRowFirstColumn="0" w:firstRowLastColumn="0" w:lastRowFirstColumn="0" w:lastRowLastColumn="0"/>
              <w:rPr>
                <w:rFonts w:cs="Times New Roman"/>
                <w:bCs/>
                <w:color w:val="auto"/>
                <w:sz w:val="18"/>
                <w:szCs w:val="18"/>
              </w:rPr>
            </w:pPr>
            <w:r w:rsidRPr="00407459">
              <w:rPr>
                <w:color w:val="auto"/>
                <w:sz w:val="18"/>
                <w:szCs w:val="18"/>
              </w:rPr>
              <w:t>2,6</w:t>
            </w:r>
          </w:p>
        </w:tc>
      </w:tr>
      <w:tr w:rsidR="00407459" w:rsidRPr="00407459" w14:paraId="296E461E" w14:textId="77777777" w:rsidTr="008E2CE6">
        <w:trPr>
          <w:trHeight w:val="63"/>
          <w:jc w:val="center"/>
        </w:trPr>
        <w:tc>
          <w:tcPr>
            <w:cnfStyle w:val="001000000000" w:firstRow="0" w:lastRow="0" w:firstColumn="1" w:lastColumn="0" w:oddVBand="0" w:evenVBand="0" w:oddHBand="0" w:evenHBand="0" w:firstRowFirstColumn="0" w:firstRowLastColumn="0" w:lastRowFirstColumn="0" w:lastRowLastColumn="0"/>
            <w:tcW w:w="4112" w:type="dxa"/>
            <w:noWrap/>
          </w:tcPr>
          <w:p w14:paraId="64900853" w14:textId="77777777" w:rsidR="00407459" w:rsidRPr="00407459" w:rsidRDefault="00407459" w:rsidP="00407459">
            <w:pPr>
              <w:ind w:firstLine="0"/>
              <w:jc w:val="left"/>
              <w:rPr>
                <w:rFonts w:cs="Times New Roman"/>
                <w:bCs w:val="0"/>
                <w:color w:val="auto"/>
                <w:sz w:val="18"/>
                <w:szCs w:val="18"/>
              </w:rPr>
            </w:pPr>
            <w:r w:rsidRPr="00407459">
              <w:rPr>
                <w:rFonts w:cs="Times New Roman"/>
                <w:color w:val="auto"/>
                <w:sz w:val="18"/>
                <w:szCs w:val="18"/>
              </w:rPr>
              <w:t>3. Sabiedriskā kārtība un drošība</w:t>
            </w:r>
          </w:p>
        </w:tc>
        <w:tc>
          <w:tcPr>
            <w:tcW w:w="1134" w:type="dxa"/>
          </w:tcPr>
          <w:p w14:paraId="049C49D3" w14:textId="36D2B760" w:rsidR="00407459" w:rsidRPr="00407459" w:rsidRDefault="00407459" w:rsidP="00407459">
            <w:pPr>
              <w:ind w:firstLine="0"/>
              <w:jc w:val="left"/>
              <w:cnfStyle w:val="000000000000" w:firstRow="0" w:lastRow="0" w:firstColumn="0" w:lastColumn="0" w:oddVBand="0" w:evenVBand="0" w:oddHBand="0" w:evenHBand="0" w:firstRowFirstColumn="0" w:firstRowLastColumn="0" w:lastRowFirstColumn="0" w:lastRowLastColumn="0"/>
              <w:rPr>
                <w:rFonts w:cs="Times New Roman"/>
                <w:bCs/>
                <w:color w:val="auto"/>
                <w:sz w:val="18"/>
                <w:szCs w:val="18"/>
              </w:rPr>
            </w:pPr>
            <w:r w:rsidRPr="00407459">
              <w:rPr>
                <w:rFonts w:cs="Times New Roman"/>
                <w:color w:val="auto"/>
                <w:sz w:val="18"/>
                <w:szCs w:val="18"/>
              </w:rPr>
              <w:t>3</w:t>
            </w:r>
          </w:p>
        </w:tc>
        <w:tc>
          <w:tcPr>
            <w:tcW w:w="850" w:type="dxa"/>
            <w:noWrap/>
          </w:tcPr>
          <w:p w14:paraId="7AC8C5D1" w14:textId="4CD1ADAC" w:rsidR="00407459" w:rsidRPr="00407459" w:rsidRDefault="00407459" w:rsidP="00407459">
            <w:pPr>
              <w:ind w:firstLine="0"/>
              <w:jc w:val="left"/>
              <w:cnfStyle w:val="000000000000" w:firstRow="0" w:lastRow="0" w:firstColumn="0" w:lastColumn="0" w:oddVBand="0" w:evenVBand="0" w:oddHBand="0" w:evenHBand="0" w:firstRowFirstColumn="0" w:firstRowLastColumn="0" w:lastRowFirstColumn="0" w:lastRowLastColumn="0"/>
              <w:rPr>
                <w:rFonts w:cs="Times New Roman"/>
                <w:bCs/>
                <w:color w:val="auto"/>
                <w:sz w:val="18"/>
                <w:szCs w:val="18"/>
              </w:rPr>
            </w:pPr>
            <w:r w:rsidRPr="00407459">
              <w:rPr>
                <w:rFonts w:cs="Times New Roman"/>
                <w:color w:val="auto"/>
                <w:sz w:val="18"/>
                <w:szCs w:val="18"/>
              </w:rPr>
              <w:t>2,1</w:t>
            </w:r>
          </w:p>
        </w:tc>
        <w:tc>
          <w:tcPr>
            <w:tcW w:w="851" w:type="dxa"/>
            <w:noWrap/>
            <w:vAlign w:val="center"/>
          </w:tcPr>
          <w:p w14:paraId="0359DC8A" w14:textId="3114FCFC" w:rsidR="00407459" w:rsidRPr="00407459" w:rsidRDefault="00407459" w:rsidP="00407459">
            <w:pPr>
              <w:ind w:firstLine="0"/>
              <w:jc w:val="left"/>
              <w:cnfStyle w:val="000000000000" w:firstRow="0" w:lastRow="0" w:firstColumn="0" w:lastColumn="0" w:oddVBand="0" w:evenVBand="0" w:oddHBand="0" w:evenHBand="0" w:firstRowFirstColumn="0" w:firstRowLastColumn="0" w:lastRowFirstColumn="0" w:lastRowLastColumn="0"/>
              <w:rPr>
                <w:rFonts w:cs="Times New Roman"/>
                <w:bCs/>
                <w:color w:val="auto"/>
                <w:sz w:val="18"/>
                <w:szCs w:val="18"/>
              </w:rPr>
            </w:pPr>
            <w:r w:rsidRPr="00407459">
              <w:rPr>
                <w:color w:val="auto"/>
                <w:sz w:val="18"/>
                <w:szCs w:val="18"/>
              </w:rPr>
              <w:t>1,7</w:t>
            </w:r>
          </w:p>
        </w:tc>
      </w:tr>
      <w:tr w:rsidR="00407459" w:rsidRPr="00407459" w14:paraId="4D8E3BC8" w14:textId="77777777" w:rsidTr="008E2CE6">
        <w:trPr>
          <w:cnfStyle w:val="000000100000" w:firstRow="0" w:lastRow="0" w:firstColumn="0" w:lastColumn="0" w:oddVBand="0" w:evenVBand="0" w:oddHBand="1"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4112" w:type="dxa"/>
            <w:noWrap/>
          </w:tcPr>
          <w:p w14:paraId="0684B848" w14:textId="77777777" w:rsidR="00407459" w:rsidRPr="00407459" w:rsidRDefault="00407459" w:rsidP="00407459">
            <w:pPr>
              <w:ind w:firstLine="0"/>
              <w:jc w:val="left"/>
              <w:rPr>
                <w:rFonts w:cs="Times New Roman"/>
                <w:bCs w:val="0"/>
                <w:color w:val="auto"/>
                <w:sz w:val="18"/>
                <w:szCs w:val="18"/>
              </w:rPr>
            </w:pPr>
            <w:r w:rsidRPr="00407459">
              <w:rPr>
                <w:rFonts w:cs="Times New Roman"/>
                <w:color w:val="auto"/>
                <w:sz w:val="18"/>
                <w:szCs w:val="18"/>
              </w:rPr>
              <w:t>4. Ekonomiskā darbība</w:t>
            </w:r>
          </w:p>
        </w:tc>
        <w:tc>
          <w:tcPr>
            <w:tcW w:w="1134" w:type="dxa"/>
          </w:tcPr>
          <w:p w14:paraId="2C9E4B4B" w14:textId="66CD7935" w:rsidR="00407459" w:rsidRPr="00407459" w:rsidRDefault="00407459" w:rsidP="00407459">
            <w:pPr>
              <w:ind w:firstLine="0"/>
              <w:jc w:val="left"/>
              <w:cnfStyle w:val="000000100000" w:firstRow="0" w:lastRow="0" w:firstColumn="0" w:lastColumn="0" w:oddVBand="0" w:evenVBand="0" w:oddHBand="1" w:evenHBand="0" w:firstRowFirstColumn="0" w:firstRowLastColumn="0" w:lastRowFirstColumn="0" w:lastRowLastColumn="0"/>
              <w:rPr>
                <w:rFonts w:cs="Times New Roman"/>
                <w:bCs/>
                <w:color w:val="auto"/>
                <w:sz w:val="18"/>
                <w:szCs w:val="18"/>
              </w:rPr>
            </w:pPr>
            <w:r w:rsidRPr="00407459">
              <w:rPr>
                <w:rFonts w:cs="Times New Roman"/>
                <w:color w:val="auto"/>
                <w:sz w:val="18"/>
                <w:szCs w:val="18"/>
              </w:rPr>
              <w:t>4</w:t>
            </w:r>
          </w:p>
        </w:tc>
        <w:tc>
          <w:tcPr>
            <w:tcW w:w="850" w:type="dxa"/>
            <w:noWrap/>
          </w:tcPr>
          <w:p w14:paraId="4FBB4B5F" w14:textId="73AFCF00" w:rsidR="00407459" w:rsidRPr="00407459" w:rsidRDefault="00407459" w:rsidP="00407459">
            <w:pPr>
              <w:ind w:firstLine="0"/>
              <w:jc w:val="left"/>
              <w:cnfStyle w:val="000000100000" w:firstRow="0" w:lastRow="0" w:firstColumn="0" w:lastColumn="0" w:oddVBand="0" w:evenVBand="0" w:oddHBand="1" w:evenHBand="0" w:firstRowFirstColumn="0" w:firstRowLastColumn="0" w:lastRowFirstColumn="0" w:lastRowLastColumn="0"/>
              <w:rPr>
                <w:rFonts w:cs="Times New Roman"/>
                <w:bCs/>
                <w:color w:val="auto"/>
                <w:sz w:val="18"/>
                <w:szCs w:val="18"/>
              </w:rPr>
            </w:pPr>
            <w:r w:rsidRPr="00407459">
              <w:rPr>
                <w:rFonts w:cs="Times New Roman"/>
                <w:color w:val="auto"/>
                <w:sz w:val="18"/>
                <w:szCs w:val="18"/>
              </w:rPr>
              <w:t>7,1</w:t>
            </w:r>
          </w:p>
        </w:tc>
        <w:tc>
          <w:tcPr>
            <w:tcW w:w="851" w:type="dxa"/>
            <w:noWrap/>
            <w:vAlign w:val="center"/>
          </w:tcPr>
          <w:p w14:paraId="5F474E28" w14:textId="0D3A1589" w:rsidR="00407459" w:rsidRPr="00407459" w:rsidRDefault="00407459" w:rsidP="00407459">
            <w:pPr>
              <w:ind w:firstLine="0"/>
              <w:jc w:val="left"/>
              <w:cnfStyle w:val="000000100000" w:firstRow="0" w:lastRow="0" w:firstColumn="0" w:lastColumn="0" w:oddVBand="0" w:evenVBand="0" w:oddHBand="1" w:evenHBand="0" w:firstRowFirstColumn="0" w:firstRowLastColumn="0" w:lastRowFirstColumn="0" w:lastRowLastColumn="0"/>
              <w:rPr>
                <w:rFonts w:cs="Times New Roman"/>
                <w:bCs/>
                <w:color w:val="auto"/>
                <w:sz w:val="18"/>
                <w:szCs w:val="18"/>
              </w:rPr>
            </w:pPr>
            <w:r w:rsidRPr="00407459">
              <w:rPr>
                <w:color w:val="auto"/>
                <w:sz w:val="18"/>
                <w:szCs w:val="18"/>
              </w:rPr>
              <w:t>5,3</w:t>
            </w:r>
          </w:p>
        </w:tc>
      </w:tr>
      <w:tr w:rsidR="00407459" w:rsidRPr="00407459" w14:paraId="571D6F35" w14:textId="77777777" w:rsidTr="008E2CE6">
        <w:trPr>
          <w:trHeight w:val="63"/>
          <w:jc w:val="center"/>
        </w:trPr>
        <w:tc>
          <w:tcPr>
            <w:cnfStyle w:val="001000000000" w:firstRow="0" w:lastRow="0" w:firstColumn="1" w:lastColumn="0" w:oddVBand="0" w:evenVBand="0" w:oddHBand="0" w:evenHBand="0" w:firstRowFirstColumn="0" w:firstRowLastColumn="0" w:lastRowFirstColumn="0" w:lastRowLastColumn="0"/>
            <w:tcW w:w="4112" w:type="dxa"/>
            <w:noWrap/>
          </w:tcPr>
          <w:p w14:paraId="64984D08" w14:textId="77777777" w:rsidR="00407459" w:rsidRPr="00407459" w:rsidRDefault="00407459" w:rsidP="00407459">
            <w:pPr>
              <w:ind w:firstLine="0"/>
              <w:jc w:val="left"/>
              <w:rPr>
                <w:rFonts w:cs="Times New Roman"/>
                <w:bCs w:val="0"/>
                <w:color w:val="auto"/>
                <w:sz w:val="18"/>
                <w:szCs w:val="18"/>
              </w:rPr>
            </w:pPr>
            <w:r w:rsidRPr="00407459">
              <w:rPr>
                <w:rFonts w:cs="Times New Roman"/>
                <w:color w:val="auto"/>
                <w:sz w:val="18"/>
                <w:szCs w:val="18"/>
              </w:rPr>
              <w:t>5. Vides aizsardzība</w:t>
            </w:r>
          </w:p>
        </w:tc>
        <w:tc>
          <w:tcPr>
            <w:tcW w:w="1134" w:type="dxa"/>
          </w:tcPr>
          <w:p w14:paraId="41D022E5" w14:textId="6E486808" w:rsidR="00407459" w:rsidRPr="00407459" w:rsidRDefault="00407459" w:rsidP="00407459">
            <w:pPr>
              <w:ind w:firstLine="0"/>
              <w:jc w:val="left"/>
              <w:cnfStyle w:val="000000000000" w:firstRow="0" w:lastRow="0" w:firstColumn="0" w:lastColumn="0" w:oddVBand="0" w:evenVBand="0" w:oddHBand="0" w:evenHBand="0" w:firstRowFirstColumn="0" w:firstRowLastColumn="0" w:lastRowFirstColumn="0" w:lastRowLastColumn="0"/>
              <w:rPr>
                <w:rFonts w:cs="Times New Roman"/>
                <w:bCs/>
                <w:color w:val="auto"/>
                <w:sz w:val="18"/>
                <w:szCs w:val="18"/>
              </w:rPr>
            </w:pPr>
            <w:r w:rsidRPr="00407459">
              <w:rPr>
                <w:rFonts w:cs="Times New Roman"/>
                <w:color w:val="auto"/>
                <w:sz w:val="18"/>
                <w:szCs w:val="18"/>
              </w:rPr>
              <w:t>5</w:t>
            </w:r>
          </w:p>
        </w:tc>
        <w:tc>
          <w:tcPr>
            <w:tcW w:w="850" w:type="dxa"/>
            <w:noWrap/>
          </w:tcPr>
          <w:p w14:paraId="68D76FC0" w14:textId="6ACBF44A" w:rsidR="00407459" w:rsidRPr="00407459" w:rsidRDefault="00407459" w:rsidP="00407459">
            <w:pPr>
              <w:ind w:firstLine="0"/>
              <w:jc w:val="left"/>
              <w:cnfStyle w:val="000000000000" w:firstRow="0" w:lastRow="0" w:firstColumn="0" w:lastColumn="0" w:oddVBand="0" w:evenVBand="0" w:oddHBand="0" w:evenHBand="0" w:firstRowFirstColumn="0" w:firstRowLastColumn="0" w:lastRowFirstColumn="0" w:lastRowLastColumn="0"/>
              <w:rPr>
                <w:rFonts w:cs="Times New Roman"/>
                <w:bCs/>
                <w:color w:val="auto"/>
                <w:sz w:val="18"/>
                <w:szCs w:val="18"/>
              </w:rPr>
            </w:pPr>
            <w:r w:rsidRPr="00407459">
              <w:rPr>
                <w:rFonts w:cs="Times New Roman"/>
                <w:color w:val="auto"/>
                <w:sz w:val="18"/>
                <w:szCs w:val="18"/>
              </w:rPr>
              <w:t>0,7</w:t>
            </w:r>
          </w:p>
        </w:tc>
        <w:tc>
          <w:tcPr>
            <w:tcW w:w="851" w:type="dxa"/>
            <w:noWrap/>
            <w:vAlign w:val="center"/>
          </w:tcPr>
          <w:p w14:paraId="2BE6FA4F" w14:textId="0858CEE9" w:rsidR="00407459" w:rsidRPr="00407459" w:rsidRDefault="00407459" w:rsidP="00407459">
            <w:pPr>
              <w:ind w:firstLine="0"/>
              <w:jc w:val="left"/>
              <w:cnfStyle w:val="000000000000" w:firstRow="0" w:lastRow="0" w:firstColumn="0" w:lastColumn="0" w:oddVBand="0" w:evenVBand="0" w:oddHBand="0" w:evenHBand="0" w:firstRowFirstColumn="0" w:firstRowLastColumn="0" w:lastRowFirstColumn="0" w:lastRowLastColumn="0"/>
              <w:rPr>
                <w:rFonts w:cs="Times New Roman"/>
                <w:bCs/>
                <w:color w:val="auto"/>
                <w:sz w:val="18"/>
                <w:szCs w:val="18"/>
              </w:rPr>
            </w:pPr>
            <w:r w:rsidRPr="00407459">
              <w:rPr>
                <w:color w:val="auto"/>
                <w:sz w:val="18"/>
                <w:szCs w:val="18"/>
              </w:rPr>
              <w:t>0,4</w:t>
            </w:r>
          </w:p>
        </w:tc>
      </w:tr>
      <w:tr w:rsidR="00407459" w:rsidRPr="00407459" w14:paraId="7C4D78A4" w14:textId="77777777" w:rsidTr="008E2CE6">
        <w:trPr>
          <w:cnfStyle w:val="000000100000" w:firstRow="0" w:lastRow="0" w:firstColumn="0" w:lastColumn="0" w:oddVBand="0" w:evenVBand="0" w:oddHBand="1"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4112" w:type="dxa"/>
            <w:noWrap/>
          </w:tcPr>
          <w:p w14:paraId="1F401B2C" w14:textId="180221E9" w:rsidR="00407459" w:rsidRPr="00407459" w:rsidRDefault="00407459" w:rsidP="00407459">
            <w:pPr>
              <w:ind w:firstLine="0"/>
              <w:jc w:val="left"/>
              <w:rPr>
                <w:rFonts w:cs="Times New Roman"/>
                <w:bCs w:val="0"/>
                <w:color w:val="auto"/>
                <w:sz w:val="18"/>
                <w:szCs w:val="18"/>
              </w:rPr>
            </w:pPr>
            <w:r w:rsidRPr="00407459">
              <w:rPr>
                <w:rFonts w:cs="Times New Roman"/>
                <w:color w:val="auto"/>
                <w:sz w:val="18"/>
                <w:szCs w:val="18"/>
              </w:rPr>
              <w:t>6. Teritoriju un mājokļu apsaimniekošana</w:t>
            </w:r>
          </w:p>
        </w:tc>
        <w:tc>
          <w:tcPr>
            <w:tcW w:w="1134" w:type="dxa"/>
          </w:tcPr>
          <w:p w14:paraId="795F356E" w14:textId="7B3CBDE1" w:rsidR="00407459" w:rsidRPr="00407459" w:rsidRDefault="00407459" w:rsidP="00407459">
            <w:pPr>
              <w:ind w:firstLine="0"/>
              <w:jc w:val="left"/>
              <w:cnfStyle w:val="000000100000" w:firstRow="0" w:lastRow="0" w:firstColumn="0" w:lastColumn="0" w:oddVBand="0" w:evenVBand="0" w:oddHBand="1" w:evenHBand="0" w:firstRowFirstColumn="0" w:firstRowLastColumn="0" w:lastRowFirstColumn="0" w:lastRowLastColumn="0"/>
              <w:rPr>
                <w:rFonts w:cs="Times New Roman"/>
                <w:bCs/>
                <w:color w:val="auto"/>
                <w:sz w:val="18"/>
                <w:szCs w:val="18"/>
              </w:rPr>
            </w:pPr>
            <w:r w:rsidRPr="00407459">
              <w:rPr>
                <w:rFonts w:cs="Times New Roman"/>
                <w:color w:val="auto"/>
                <w:sz w:val="18"/>
                <w:szCs w:val="18"/>
              </w:rPr>
              <w:t>6</w:t>
            </w:r>
          </w:p>
        </w:tc>
        <w:tc>
          <w:tcPr>
            <w:tcW w:w="850" w:type="dxa"/>
            <w:noWrap/>
          </w:tcPr>
          <w:p w14:paraId="5491C3FB" w14:textId="644D6090" w:rsidR="00407459" w:rsidRPr="00407459" w:rsidRDefault="00407459" w:rsidP="00407459">
            <w:pPr>
              <w:ind w:firstLine="0"/>
              <w:jc w:val="left"/>
              <w:cnfStyle w:val="000000100000" w:firstRow="0" w:lastRow="0" w:firstColumn="0" w:lastColumn="0" w:oddVBand="0" w:evenVBand="0" w:oddHBand="1" w:evenHBand="0" w:firstRowFirstColumn="0" w:firstRowLastColumn="0" w:lastRowFirstColumn="0" w:lastRowLastColumn="0"/>
              <w:rPr>
                <w:rFonts w:cs="Times New Roman"/>
                <w:bCs/>
                <w:color w:val="auto"/>
                <w:sz w:val="18"/>
                <w:szCs w:val="18"/>
              </w:rPr>
            </w:pPr>
            <w:r w:rsidRPr="00407459">
              <w:rPr>
                <w:rFonts w:cs="Times New Roman"/>
                <w:color w:val="auto"/>
                <w:sz w:val="18"/>
                <w:szCs w:val="18"/>
              </w:rPr>
              <w:t>1,0</w:t>
            </w:r>
          </w:p>
        </w:tc>
        <w:tc>
          <w:tcPr>
            <w:tcW w:w="851" w:type="dxa"/>
            <w:noWrap/>
            <w:vAlign w:val="center"/>
          </w:tcPr>
          <w:p w14:paraId="77185A4F" w14:textId="52068594" w:rsidR="00407459" w:rsidRPr="00407459" w:rsidRDefault="00407459" w:rsidP="00407459">
            <w:pPr>
              <w:ind w:firstLine="0"/>
              <w:jc w:val="left"/>
              <w:cnfStyle w:val="000000100000" w:firstRow="0" w:lastRow="0" w:firstColumn="0" w:lastColumn="0" w:oddVBand="0" w:evenVBand="0" w:oddHBand="1" w:evenHBand="0" w:firstRowFirstColumn="0" w:firstRowLastColumn="0" w:lastRowFirstColumn="0" w:lastRowLastColumn="0"/>
              <w:rPr>
                <w:rFonts w:cs="Times New Roman"/>
                <w:bCs/>
                <w:color w:val="auto"/>
                <w:sz w:val="18"/>
                <w:szCs w:val="18"/>
              </w:rPr>
            </w:pPr>
            <w:r w:rsidRPr="00407459">
              <w:rPr>
                <w:color w:val="auto"/>
                <w:sz w:val="18"/>
                <w:szCs w:val="18"/>
              </w:rPr>
              <w:t>0,8</w:t>
            </w:r>
          </w:p>
        </w:tc>
      </w:tr>
      <w:tr w:rsidR="00407459" w:rsidRPr="00407459" w14:paraId="478E9F1A" w14:textId="77777777" w:rsidTr="008E2CE6">
        <w:trPr>
          <w:trHeight w:val="63"/>
          <w:jc w:val="center"/>
        </w:trPr>
        <w:tc>
          <w:tcPr>
            <w:cnfStyle w:val="001000000000" w:firstRow="0" w:lastRow="0" w:firstColumn="1" w:lastColumn="0" w:oddVBand="0" w:evenVBand="0" w:oddHBand="0" w:evenHBand="0" w:firstRowFirstColumn="0" w:firstRowLastColumn="0" w:lastRowFirstColumn="0" w:lastRowLastColumn="0"/>
            <w:tcW w:w="4112" w:type="dxa"/>
            <w:noWrap/>
          </w:tcPr>
          <w:p w14:paraId="431A13CE" w14:textId="77777777" w:rsidR="00407459" w:rsidRPr="00407459" w:rsidRDefault="00407459" w:rsidP="00407459">
            <w:pPr>
              <w:ind w:firstLine="0"/>
              <w:jc w:val="left"/>
              <w:rPr>
                <w:rFonts w:cs="Times New Roman"/>
                <w:bCs w:val="0"/>
                <w:color w:val="auto"/>
                <w:sz w:val="18"/>
                <w:szCs w:val="18"/>
              </w:rPr>
            </w:pPr>
            <w:r w:rsidRPr="00407459">
              <w:rPr>
                <w:rFonts w:cs="Times New Roman"/>
                <w:color w:val="auto"/>
                <w:sz w:val="18"/>
                <w:szCs w:val="18"/>
              </w:rPr>
              <w:t>7. Veselība</w:t>
            </w:r>
          </w:p>
        </w:tc>
        <w:tc>
          <w:tcPr>
            <w:tcW w:w="1134" w:type="dxa"/>
          </w:tcPr>
          <w:p w14:paraId="5A7692C9" w14:textId="189C4563" w:rsidR="00407459" w:rsidRPr="00407459" w:rsidRDefault="00407459" w:rsidP="00407459">
            <w:pPr>
              <w:ind w:firstLine="0"/>
              <w:jc w:val="left"/>
              <w:cnfStyle w:val="000000000000" w:firstRow="0" w:lastRow="0" w:firstColumn="0" w:lastColumn="0" w:oddVBand="0" w:evenVBand="0" w:oddHBand="0" w:evenHBand="0" w:firstRowFirstColumn="0" w:firstRowLastColumn="0" w:lastRowFirstColumn="0" w:lastRowLastColumn="0"/>
              <w:rPr>
                <w:rFonts w:cs="Times New Roman"/>
                <w:bCs/>
                <w:color w:val="auto"/>
                <w:sz w:val="18"/>
                <w:szCs w:val="18"/>
              </w:rPr>
            </w:pPr>
            <w:r w:rsidRPr="00407459">
              <w:rPr>
                <w:rFonts w:cs="Times New Roman"/>
                <w:color w:val="auto"/>
                <w:sz w:val="18"/>
                <w:szCs w:val="18"/>
              </w:rPr>
              <w:t>7</w:t>
            </w:r>
          </w:p>
        </w:tc>
        <w:tc>
          <w:tcPr>
            <w:tcW w:w="850" w:type="dxa"/>
            <w:noWrap/>
          </w:tcPr>
          <w:p w14:paraId="11EA17C4" w14:textId="3E1EAB13" w:rsidR="00407459" w:rsidRPr="00407459" w:rsidRDefault="00407459" w:rsidP="00407459">
            <w:pPr>
              <w:ind w:firstLine="0"/>
              <w:jc w:val="left"/>
              <w:cnfStyle w:val="000000000000" w:firstRow="0" w:lastRow="0" w:firstColumn="0" w:lastColumn="0" w:oddVBand="0" w:evenVBand="0" w:oddHBand="0" w:evenHBand="0" w:firstRowFirstColumn="0" w:firstRowLastColumn="0" w:lastRowFirstColumn="0" w:lastRowLastColumn="0"/>
              <w:rPr>
                <w:rFonts w:cs="Times New Roman"/>
                <w:bCs/>
                <w:color w:val="auto"/>
                <w:sz w:val="18"/>
                <w:szCs w:val="18"/>
              </w:rPr>
            </w:pPr>
            <w:r w:rsidRPr="00407459">
              <w:rPr>
                <w:rFonts w:cs="Times New Roman"/>
                <w:color w:val="auto"/>
                <w:sz w:val="18"/>
                <w:szCs w:val="18"/>
              </w:rPr>
              <w:t>5,6</w:t>
            </w:r>
          </w:p>
        </w:tc>
        <w:tc>
          <w:tcPr>
            <w:tcW w:w="851" w:type="dxa"/>
            <w:noWrap/>
            <w:vAlign w:val="center"/>
          </w:tcPr>
          <w:p w14:paraId="5C9E7F83" w14:textId="5F3F5CCD" w:rsidR="00407459" w:rsidRPr="00407459" w:rsidRDefault="00407459" w:rsidP="00407459">
            <w:pPr>
              <w:ind w:firstLine="0"/>
              <w:jc w:val="left"/>
              <w:cnfStyle w:val="000000000000" w:firstRow="0" w:lastRow="0" w:firstColumn="0" w:lastColumn="0" w:oddVBand="0" w:evenVBand="0" w:oddHBand="0" w:evenHBand="0" w:firstRowFirstColumn="0" w:firstRowLastColumn="0" w:lastRowFirstColumn="0" w:lastRowLastColumn="0"/>
              <w:rPr>
                <w:rFonts w:cs="Times New Roman"/>
                <w:bCs/>
                <w:color w:val="auto"/>
                <w:sz w:val="18"/>
                <w:szCs w:val="18"/>
              </w:rPr>
            </w:pPr>
            <w:r w:rsidRPr="00407459">
              <w:rPr>
                <w:color w:val="auto"/>
                <w:sz w:val="18"/>
                <w:szCs w:val="18"/>
              </w:rPr>
              <w:t>3,6</w:t>
            </w:r>
          </w:p>
        </w:tc>
      </w:tr>
      <w:tr w:rsidR="00407459" w:rsidRPr="00407459" w14:paraId="0119C301" w14:textId="77777777" w:rsidTr="008E2CE6">
        <w:trPr>
          <w:cnfStyle w:val="000000100000" w:firstRow="0" w:lastRow="0" w:firstColumn="0" w:lastColumn="0" w:oddVBand="0" w:evenVBand="0" w:oddHBand="1"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4112" w:type="dxa"/>
            <w:noWrap/>
          </w:tcPr>
          <w:p w14:paraId="457A9278" w14:textId="77777777" w:rsidR="00407459" w:rsidRPr="00407459" w:rsidRDefault="00407459" w:rsidP="00407459">
            <w:pPr>
              <w:ind w:firstLine="0"/>
              <w:jc w:val="left"/>
              <w:rPr>
                <w:rFonts w:cs="Times New Roman"/>
                <w:bCs w:val="0"/>
                <w:color w:val="auto"/>
                <w:sz w:val="18"/>
                <w:szCs w:val="18"/>
              </w:rPr>
            </w:pPr>
            <w:r w:rsidRPr="00407459">
              <w:rPr>
                <w:rFonts w:cs="Times New Roman"/>
                <w:color w:val="auto"/>
                <w:sz w:val="18"/>
                <w:szCs w:val="18"/>
              </w:rPr>
              <w:t>8. Atpūta, kultūra un reliģija</w:t>
            </w:r>
          </w:p>
        </w:tc>
        <w:tc>
          <w:tcPr>
            <w:tcW w:w="1134" w:type="dxa"/>
          </w:tcPr>
          <w:p w14:paraId="0A51E043" w14:textId="44401053" w:rsidR="00407459" w:rsidRPr="00407459" w:rsidRDefault="00407459" w:rsidP="00407459">
            <w:pPr>
              <w:ind w:firstLine="0"/>
              <w:jc w:val="left"/>
              <w:cnfStyle w:val="000000100000" w:firstRow="0" w:lastRow="0" w:firstColumn="0" w:lastColumn="0" w:oddVBand="0" w:evenVBand="0" w:oddHBand="1" w:evenHBand="0" w:firstRowFirstColumn="0" w:firstRowLastColumn="0" w:lastRowFirstColumn="0" w:lastRowLastColumn="0"/>
              <w:rPr>
                <w:rFonts w:cs="Times New Roman"/>
                <w:bCs/>
                <w:color w:val="auto"/>
                <w:sz w:val="18"/>
                <w:szCs w:val="18"/>
              </w:rPr>
            </w:pPr>
            <w:r w:rsidRPr="00407459">
              <w:rPr>
                <w:rFonts w:cs="Times New Roman"/>
                <w:color w:val="auto"/>
                <w:sz w:val="18"/>
                <w:szCs w:val="18"/>
              </w:rPr>
              <w:t>8</w:t>
            </w:r>
          </w:p>
        </w:tc>
        <w:tc>
          <w:tcPr>
            <w:tcW w:w="850" w:type="dxa"/>
            <w:noWrap/>
          </w:tcPr>
          <w:p w14:paraId="02151594" w14:textId="68BF14D2" w:rsidR="00407459" w:rsidRPr="00407459" w:rsidRDefault="00407459" w:rsidP="00407459">
            <w:pPr>
              <w:ind w:firstLine="0"/>
              <w:jc w:val="left"/>
              <w:cnfStyle w:val="000000100000" w:firstRow="0" w:lastRow="0" w:firstColumn="0" w:lastColumn="0" w:oddVBand="0" w:evenVBand="0" w:oddHBand="1" w:evenHBand="0" w:firstRowFirstColumn="0" w:firstRowLastColumn="0" w:lastRowFirstColumn="0" w:lastRowLastColumn="0"/>
              <w:rPr>
                <w:rFonts w:cs="Times New Roman"/>
                <w:bCs/>
                <w:color w:val="auto"/>
                <w:sz w:val="18"/>
                <w:szCs w:val="18"/>
              </w:rPr>
            </w:pPr>
            <w:r w:rsidRPr="00407459">
              <w:rPr>
                <w:rFonts w:cs="Times New Roman"/>
                <w:color w:val="auto"/>
                <w:sz w:val="18"/>
                <w:szCs w:val="18"/>
              </w:rPr>
              <w:t>1,3</w:t>
            </w:r>
          </w:p>
        </w:tc>
        <w:tc>
          <w:tcPr>
            <w:tcW w:w="851" w:type="dxa"/>
            <w:noWrap/>
            <w:vAlign w:val="center"/>
          </w:tcPr>
          <w:p w14:paraId="7DE97AD2" w14:textId="1CD7FCBE" w:rsidR="00407459" w:rsidRPr="00407459" w:rsidRDefault="00407459" w:rsidP="00407459">
            <w:pPr>
              <w:ind w:firstLine="0"/>
              <w:jc w:val="left"/>
              <w:cnfStyle w:val="000000100000" w:firstRow="0" w:lastRow="0" w:firstColumn="0" w:lastColumn="0" w:oddVBand="0" w:evenVBand="0" w:oddHBand="1" w:evenHBand="0" w:firstRowFirstColumn="0" w:firstRowLastColumn="0" w:lastRowFirstColumn="0" w:lastRowLastColumn="0"/>
              <w:rPr>
                <w:rFonts w:cs="Times New Roman"/>
                <w:bCs/>
                <w:color w:val="auto"/>
                <w:sz w:val="18"/>
                <w:szCs w:val="18"/>
              </w:rPr>
            </w:pPr>
            <w:r w:rsidRPr="00407459">
              <w:rPr>
                <w:color w:val="auto"/>
                <w:sz w:val="18"/>
                <w:szCs w:val="18"/>
              </w:rPr>
              <w:t>1,0</w:t>
            </w:r>
          </w:p>
        </w:tc>
      </w:tr>
      <w:tr w:rsidR="00407459" w:rsidRPr="00407459" w14:paraId="059A6091" w14:textId="77777777" w:rsidTr="008E2CE6">
        <w:trPr>
          <w:trHeight w:val="63"/>
          <w:jc w:val="center"/>
        </w:trPr>
        <w:tc>
          <w:tcPr>
            <w:cnfStyle w:val="001000000000" w:firstRow="0" w:lastRow="0" w:firstColumn="1" w:lastColumn="0" w:oddVBand="0" w:evenVBand="0" w:oddHBand="0" w:evenHBand="0" w:firstRowFirstColumn="0" w:firstRowLastColumn="0" w:lastRowFirstColumn="0" w:lastRowLastColumn="0"/>
            <w:tcW w:w="4112" w:type="dxa"/>
            <w:noWrap/>
          </w:tcPr>
          <w:p w14:paraId="545AB961" w14:textId="77777777" w:rsidR="00407459" w:rsidRPr="00407459" w:rsidRDefault="00407459" w:rsidP="00407459">
            <w:pPr>
              <w:ind w:firstLine="0"/>
              <w:jc w:val="left"/>
              <w:rPr>
                <w:rFonts w:cs="Times New Roman"/>
                <w:bCs w:val="0"/>
                <w:color w:val="auto"/>
                <w:sz w:val="18"/>
                <w:szCs w:val="18"/>
              </w:rPr>
            </w:pPr>
            <w:r w:rsidRPr="00407459">
              <w:rPr>
                <w:rFonts w:cs="Times New Roman"/>
                <w:color w:val="auto"/>
                <w:sz w:val="18"/>
                <w:szCs w:val="18"/>
              </w:rPr>
              <w:t>9. Izglītība</w:t>
            </w:r>
          </w:p>
        </w:tc>
        <w:tc>
          <w:tcPr>
            <w:tcW w:w="1134" w:type="dxa"/>
          </w:tcPr>
          <w:p w14:paraId="3786AB09" w14:textId="4B97F0D9" w:rsidR="00407459" w:rsidRPr="00407459" w:rsidRDefault="00407459" w:rsidP="00407459">
            <w:pPr>
              <w:ind w:firstLine="0"/>
              <w:jc w:val="left"/>
              <w:cnfStyle w:val="000000000000" w:firstRow="0" w:lastRow="0" w:firstColumn="0" w:lastColumn="0" w:oddVBand="0" w:evenVBand="0" w:oddHBand="0" w:evenHBand="0" w:firstRowFirstColumn="0" w:firstRowLastColumn="0" w:lastRowFirstColumn="0" w:lastRowLastColumn="0"/>
              <w:rPr>
                <w:rFonts w:cs="Times New Roman"/>
                <w:bCs/>
                <w:color w:val="auto"/>
                <w:sz w:val="18"/>
                <w:szCs w:val="18"/>
              </w:rPr>
            </w:pPr>
            <w:r w:rsidRPr="00407459">
              <w:rPr>
                <w:rFonts w:cs="Times New Roman"/>
                <w:color w:val="auto"/>
                <w:sz w:val="18"/>
                <w:szCs w:val="18"/>
              </w:rPr>
              <w:t>9</w:t>
            </w:r>
          </w:p>
        </w:tc>
        <w:tc>
          <w:tcPr>
            <w:tcW w:w="850" w:type="dxa"/>
            <w:noWrap/>
          </w:tcPr>
          <w:p w14:paraId="445C53AF" w14:textId="1EFF8F93" w:rsidR="00407459" w:rsidRPr="00407459" w:rsidRDefault="00407459" w:rsidP="00407459">
            <w:pPr>
              <w:ind w:firstLine="0"/>
              <w:jc w:val="left"/>
              <w:cnfStyle w:val="000000000000" w:firstRow="0" w:lastRow="0" w:firstColumn="0" w:lastColumn="0" w:oddVBand="0" w:evenVBand="0" w:oddHBand="0" w:evenHBand="0" w:firstRowFirstColumn="0" w:firstRowLastColumn="0" w:lastRowFirstColumn="0" w:lastRowLastColumn="0"/>
              <w:rPr>
                <w:rFonts w:cs="Times New Roman"/>
                <w:bCs/>
                <w:color w:val="auto"/>
                <w:sz w:val="18"/>
                <w:szCs w:val="18"/>
              </w:rPr>
            </w:pPr>
            <w:r w:rsidRPr="00407459">
              <w:rPr>
                <w:rFonts w:cs="Times New Roman"/>
                <w:color w:val="auto"/>
                <w:sz w:val="18"/>
                <w:szCs w:val="18"/>
              </w:rPr>
              <w:t>5,1</w:t>
            </w:r>
          </w:p>
        </w:tc>
        <w:tc>
          <w:tcPr>
            <w:tcW w:w="851" w:type="dxa"/>
            <w:noWrap/>
            <w:vAlign w:val="center"/>
          </w:tcPr>
          <w:p w14:paraId="25032B21" w14:textId="2507B774" w:rsidR="00407459" w:rsidRPr="00407459" w:rsidRDefault="00407459" w:rsidP="00407459">
            <w:pPr>
              <w:ind w:firstLine="0"/>
              <w:jc w:val="left"/>
              <w:cnfStyle w:val="000000000000" w:firstRow="0" w:lastRow="0" w:firstColumn="0" w:lastColumn="0" w:oddVBand="0" w:evenVBand="0" w:oddHBand="0" w:evenHBand="0" w:firstRowFirstColumn="0" w:firstRowLastColumn="0" w:lastRowFirstColumn="0" w:lastRowLastColumn="0"/>
              <w:rPr>
                <w:rFonts w:cs="Times New Roman"/>
                <w:bCs/>
                <w:color w:val="auto"/>
                <w:sz w:val="18"/>
                <w:szCs w:val="18"/>
              </w:rPr>
            </w:pPr>
            <w:r w:rsidRPr="00407459">
              <w:rPr>
                <w:color w:val="auto"/>
                <w:sz w:val="18"/>
                <w:szCs w:val="18"/>
              </w:rPr>
              <w:t>4,7</w:t>
            </w:r>
          </w:p>
        </w:tc>
      </w:tr>
      <w:tr w:rsidR="00407459" w:rsidRPr="00407459" w14:paraId="2522BD17" w14:textId="77777777" w:rsidTr="008E2CE6">
        <w:trPr>
          <w:cnfStyle w:val="000000100000" w:firstRow="0" w:lastRow="0" w:firstColumn="0" w:lastColumn="0" w:oddVBand="0" w:evenVBand="0" w:oddHBand="1"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4112" w:type="dxa"/>
          </w:tcPr>
          <w:p w14:paraId="0E774A69" w14:textId="77777777" w:rsidR="00407459" w:rsidRPr="00407459" w:rsidRDefault="00407459" w:rsidP="00407459">
            <w:pPr>
              <w:ind w:firstLine="0"/>
              <w:jc w:val="left"/>
              <w:rPr>
                <w:rFonts w:cs="Times New Roman"/>
                <w:bCs w:val="0"/>
                <w:color w:val="auto"/>
                <w:sz w:val="18"/>
                <w:szCs w:val="18"/>
              </w:rPr>
            </w:pPr>
            <w:r w:rsidRPr="00407459">
              <w:rPr>
                <w:rFonts w:cs="Times New Roman"/>
                <w:color w:val="auto"/>
                <w:sz w:val="18"/>
                <w:szCs w:val="18"/>
              </w:rPr>
              <w:t>10. Sociālā aizsardzība</w:t>
            </w:r>
          </w:p>
        </w:tc>
        <w:tc>
          <w:tcPr>
            <w:tcW w:w="1134" w:type="dxa"/>
          </w:tcPr>
          <w:p w14:paraId="116E464F" w14:textId="5271849C" w:rsidR="00407459" w:rsidRPr="00407459" w:rsidRDefault="00407459" w:rsidP="00407459">
            <w:pPr>
              <w:ind w:firstLine="0"/>
              <w:jc w:val="left"/>
              <w:cnfStyle w:val="000000100000" w:firstRow="0" w:lastRow="0" w:firstColumn="0" w:lastColumn="0" w:oddVBand="0" w:evenVBand="0" w:oddHBand="1" w:evenHBand="0" w:firstRowFirstColumn="0" w:firstRowLastColumn="0" w:lastRowFirstColumn="0" w:lastRowLastColumn="0"/>
              <w:rPr>
                <w:rFonts w:cs="Times New Roman"/>
                <w:bCs/>
                <w:color w:val="auto"/>
                <w:sz w:val="18"/>
                <w:szCs w:val="18"/>
              </w:rPr>
            </w:pPr>
            <w:r w:rsidRPr="00407459">
              <w:rPr>
                <w:rFonts w:cs="Times New Roman"/>
                <w:color w:val="auto"/>
                <w:sz w:val="18"/>
                <w:szCs w:val="18"/>
              </w:rPr>
              <w:t>10</w:t>
            </w:r>
          </w:p>
        </w:tc>
        <w:tc>
          <w:tcPr>
            <w:tcW w:w="850" w:type="dxa"/>
            <w:noWrap/>
          </w:tcPr>
          <w:p w14:paraId="4E8C05F6" w14:textId="67F92764" w:rsidR="00407459" w:rsidRPr="00407459" w:rsidRDefault="00407459" w:rsidP="00407459">
            <w:pPr>
              <w:ind w:firstLine="0"/>
              <w:jc w:val="left"/>
              <w:cnfStyle w:val="000000100000" w:firstRow="0" w:lastRow="0" w:firstColumn="0" w:lastColumn="0" w:oddVBand="0" w:evenVBand="0" w:oddHBand="1" w:evenHBand="0" w:firstRowFirstColumn="0" w:firstRowLastColumn="0" w:lastRowFirstColumn="0" w:lastRowLastColumn="0"/>
              <w:rPr>
                <w:rFonts w:cs="Times New Roman"/>
                <w:bCs/>
                <w:color w:val="auto"/>
                <w:sz w:val="18"/>
                <w:szCs w:val="18"/>
              </w:rPr>
            </w:pPr>
            <w:r w:rsidRPr="00407459">
              <w:rPr>
                <w:rFonts w:cs="Times New Roman"/>
                <w:color w:val="auto"/>
                <w:sz w:val="18"/>
                <w:szCs w:val="18"/>
              </w:rPr>
              <w:t>12,6</w:t>
            </w:r>
          </w:p>
        </w:tc>
        <w:tc>
          <w:tcPr>
            <w:tcW w:w="851" w:type="dxa"/>
            <w:noWrap/>
            <w:vAlign w:val="center"/>
          </w:tcPr>
          <w:p w14:paraId="6CCD9039" w14:textId="341599FC" w:rsidR="00407459" w:rsidRPr="00407459" w:rsidRDefault="00407459" w:rsidP="00407459">
            <w:pPr>
              <w:ind w:firstLine="0"/>
              <w:jc w:val="left"/>
              <w:cnfStyle w:val="000000100000" w:firstRow="0" w:lastRow="0" w:firstColumn="0" w:lastColumn="0" w:oddVBand="0" w:evenVBand="0" w:oddHBand="1" w:evenHBand="0" w:firstRowFirstColumn="0" w:firstRowLastColumn="0" w:lastRowFirstColumn="0" w:lastRowLastColumn="0"/>
              <w:rPr>
                <w:rFonts w:cs="Times New Roman"/>
                <w:bCs/>
                <w:color w:val="auto"/>
                <w:sz w:val="18"/>
                <w:szCs w:val="18"/>
              </w:rPr>
            </w:pPr>
            <w:r w:rsidRPr="00407459">
              <w:rPr>
                <w:color w:val="auto"/>
                <w:sz w:val="18"/>
                <w:szCs w:val="18"/>
              </w:rPr>
              <w:t>12,4</w:t>
            </w:r>
          </w:p>
        </w:tc>
      </w:tr>
      <w:tr w:rsidR="00407459" w:rsidRPr="003336F1" w14:paraId="42668D78" w14:textId="77777777" w:rsidTr="008E2CE6">
        <w:trPr>
          <w:trHeight w:val="63"/>
          <w:jc w:val="center"/>
        </w:trPr>
        <w:tc>
          <w:tcPr>
            <w:cnfStyle w:val="001000000000" w:firstRow="0" w:lastRow="0" w:firstColumn="1" w:lastColumn="0" w:oddVBand="0" w:evenVBand="0" w:oddHBand="0" w:evenHBand="0" w:firstRowFirstColumn="0" w:firstRowLastColumn="0" w:lastRowFirstColumn="0" w:lastRowLastColumn="0"/>
            <w:tcW w:w="4112" w:type="dxa"/>
            <w:noWrap/>
          </w:tcPr>
          <w:p w14:paraId="40BCE1DD" w14:textId="77777777" w:rsidR="00407459" w:rsidRPr="00407459" w:rsidRDefault="00407459" w:rsidP="00407459">
            <w:pPr>
              <w:ind w:firstLine="0"/>
              <w:jc w:val="left"/>
              <w:rPr>
                <w:rFonts w:cs="Times New Roman"/>
                <w:bCs w:val="0"/>
                <w:color w:val="auto"/>
                <w:sz w:val="18"/>
                <w:szCs w:val="18"/>
              </w:rPr>
            </w:pPr>
            <w:r w:rsidRPr="00407459">
              <w:rPr>
                <w:rFonts w:cs="Times New Roman"/>
                <w:color w:val="auto"/>
                <w:sz w:val="18"/>
                <w:szCs w:val="18"/>
              </w:rPr>
              <w:t>11. Kopējie izdevumi</w:t>
            </w:r>
          </w:p>
        </w:tc>
        <w:tc>
          <w:tcPr>
            <w:tcW w:w="1134" w:type="dxa"/>
          </w:tcPr>
          <w:p w14:paraId="2931B234" w14:textId="466C7D1E" w:rsidR="00407459" w:rsidRPr="00407459" w:rsidRDefault="00407459" w:rsidP="00407459">
            <w:pPr>
              <w:ind w:firstLine="0"/>
              <w:jc w:val="left"/>
              <w:cnfStyle w:val="000000000000" w:firstRow="0" w:lastRow="0" w:firstColumn="0" w:lastColumn="0" w:oddVBand="0" w:evenVBand="0" w:oddHBand="0" w:evenHBand="0" w:firstRowFirstColumn="0" w:firstRowLastColumn="0" w:lastRowFirstColumn="0" w:lastRowLastColumn="0"/>
              <w:rPr>
                <w:rFonts w:cs="Times New Roman"/>
                <w:b/>
                <w:color w:val="auto"/>
                <w:sz w:val="18"/>
                <w:szCs w:val="18"/>
              </w:rPr>
            </w:pPr>
            <w:r w:rsidRPr="00407459">
              <w:rPr>
                <w:rFonts w:cs="Times New Roman"/>
                <w:b/>
                <w:color w:val="auto"/>
                <w:sz w:val="18"/>
                <w:szCs w:val="18"/>
              </w:rPr>
              <w:t>TE</w:t>
            </w:r>
          </w:p>
        </w:tc>
        <w:tc>
          <w:tcPr>
            <w:tcW w:w="850" w:type="dxa"/>
            <w:noWrap/>
          </w:tcPr>
          <w:p w14:paraId="728E4356" w14:textId="4B08B8E5" w:rsidR="00407459" w:rsidRPr="00407459" w:rsidRDefault="00407459" w:rsidP="00407459">
            <w:pPr>
              <w:ind w:firstLine="0"/>
              <w:jc w:val="left"/>
              <w:cnfStyle w:val="000000000000" w:firstRow="0" w:lastRow="0" w:firstColumn="0" w:lastColumn="0" w:oddVBand="0" w:evenVBand="0" w:oddHBand="0" w:evenHBand="0" w:firstRowFirstColumn="0" w:firstRowLastColumn="0" w:lastRowFirstColumn="0" w:lastRowLastColumn="0"/>
              <w:rPr>
                <w:rFonts w:cs="Times New Roman"/>
                <w:b/>
                <w:color w:val="auto"/>
                <w:sz w:val="18"/>
                <w:szCs w:val="18"/>
              </w:rPr>
            </w:pPr>
            <w:r w:rsidRPr="00407459">
              <w:rPr>
                <w:rFonts w:cs="Times New Roman"/>
                <w:b/>
                <w:color w:val="auto"/>
                <w:sz w:val="18"/>
                <w:szCs w:val="18"/>
              </w:rPr>
              <w:t>40,8</w:t>
            </w:r>
          </w:p>
        </w:tc>
        <w:tc>
          <w:tcPr>
            <w:tcW w:w="851" w:type="dxa"/>
            <w:noWrap/>
            <w:vAlign w:val="center"/>
          </w:tcPr>
          <w:p w14:paraId="56BA4143" w14:textId="3BC11EE8" w:rsidR="00407459" w:rsidRPr="00407459" w:rsidRDefault="00407459" w:rsidP="00407459">
            <w:pPr>
              <w:ind w:firstLine="0"/>
              <w:jc w:val="left"/>
              <w:cnfStyle w:val="000000000000" w:firstRow="0" w:lastRow="0" w:firstColumn="0" w:lastColumn="0" w:oddVBand="0" w:evenVBand="0" w:oddHBand="0" w:evenHBand="0" w:firstRowFirstColumn="0" w:firstRowLastColumn="0" w:lastRowFirstColumn="0" w:lastRowLastColumn="0"/>
              <w:rPr>
                <w:rFonts w:cs="Times New Roman"/>
                <w:b/>
                <w:color w:val="auto"/>
                <w:sz w:val="18"/>
                <w:szCs w:val="18"/>
              </w:rPr>
            </w:pPr>
            <w:r w:rsidRPr="00407459">
              <w:rPr>
                <w:b/>
                <w:bCs/>
                <w:color w:val="auto"/>
                <w:sz w:val="18"/>
                <w:szCs w:val="18"/>
              </w:rPr>
              <w:t>35,6</w:t>
            </w:r>
          </w:p>
        </w:tc>
      </w:tr>
    </w:tbl>
    <w:p w14:paraId="77B55BA0" w14:textId="3D1604F1" w:rsidR="00862FCD" w:rsidRDefault="00862FCD" w:rsidP="008D5244">
      <w:pPr>
        <w:spacing w:after="120"/>
        <w:ind w:firstLine="0"/>
        <w:rPr>
          <w:b/>
          <w:bCs/>
          <w:sz w:val="24"/>
          <w:szCs w:val="20"/>
          <w:lang w:eastAsia="lv-LV"/>
        </w:rPr>
      </w:pPr>
    </w:p>
    <w:p w14:paraId="10C86566" w14:textId="72E6B758" w:rsidR="00C1707D" w:rsidRDefault="00C1707D" w:rsidP="008D5244">
      <w:pPr>
        <w:spacing w:after="120"/>
        <w:ind w:firstLine="0"/>
        <w:rPr>
          <w:b/>
          <w:bCs/>
          <w:sz w:val="24"/>
          <w:szCs w:val="20"/>
          <w:lang w:eastAsia="lv-LV"/>
        </w:rPr>
      </w:pPr>
    </w:p>
    <w:p w14:paraId="18149B24" w14:textId="77777777" w:rsidR="00C1707D" w:rsidRDefault="00C1707D" w:rsidP="008D5244">
      <w:pPr>
        <w:spacing w:after="120"/>
        <w:ind w:firstLine="0"/>
        <w:rPr>
          <w:b/>
          <w:bCs/>
          <w:sz w:val="24"/>
          <w:szCs w:val="20"/>
          <w:lang w:eastAsia="lv-LV"/>
        </w:rPr>
      </w:pPr>
    </w:p>
    <w:p w14:paraId="5FB757D3" w14:textId="484AC6B1" w:rsidR="00BF4753" w:rsidRPr="008D5244" w:rsidRDefault="008D5244" w:rsidP="008D5244">
      <w:pPr>
        <w:spacing w:after="120"/>
        <w:ind w:firstLine="0"/>
        <w:rPr>
          <w:b/>
          <w:bCs/>
          <w:sz w:val="24"/>
          <w:szCs w:val="20"/>
          <w:lang w:eastAsia="lv-LV"/>
        </w:rPr>
      </w:pPr>
      <w:r>
        <w:rPr>
          <w:b/>
          <w:bCs/>
          <w:sz w:val="24"/>
          <w:szCs w:val="20"/>
          <w:lang w:eastAsia="lv-LV"/>
        </w:rPr>
        <w:lastRenderedPageBreak/>
        <w:t xml:space="preserve">4. </w:t>
      </w:r>
      <w:r w:rsidR="003D5553" w:rsidRPr="008D5244">
        <w:rPr>
          <w:b/>
          <w:bCs/>
          <w:sz w:val="24"/>
          <w:szCs w:val="20"/>
          <w:lang w:eastAsia="lv-LV"/>
        </w:rPr>
        <w:t>tabula. Vispārējās valdības parāda attīstība un parāda izmaiņas ietekmējošie faktori 202</w:t>
      </w:r>
      <w:r w:rsidR="001B1AA2" w:rsidRPr="008D5244">
        <w:rPr>
          <w:b/>
          <w:bCs/>
          <w:sz w:val="24"/>
          <w:szCs w:val="20"/>
          <w:lang w:eastAsia="lv-LV"/>
        </w:rPr>
        <w:t>2</w:t>
      </w:r>
      <w:r w:rsidR="003D5553" w:rsidRPr="008D5244">
        <w:rPr>
          <w:b/>
          <w:bCs/>
          <w:sz w:val="24"/>
          <w:szCs w:val="20"/>
          <w:lang w:eastAsia="lv-LV"/>
        </w:rPr>
        <w:t>.-202</w:t>
      </w:r>
      <w:r w:rsidR="001B1AA2" w:rsidRPr="008D5244">
        <w:rPr>
          <w:b/>
          <w:bCs/>
          <w:sz w:val="24"/>
          <w:szCs w:val="20"/>
          <w:lang w:eastAsia="lv-LV"/>
        </w:rPr>
        <w:t>6</w:t>
      </w:r>
      <w:r w:rsidR="003D5553" w:rsidRPr="008D5244">
        <w:rPr>
          <w:b/>
          <w:bCs/>
          <w:sz w:val="24"/>
          <w:szCs w:val="20"/>
          <w:lang w:eastAsia="lv-LV"/>
        </w:rPr>
        <w:t>. gadā</w:t>
      </w:r>
    </w:p>
    <w:tbl>
      <w:tblPr>
        <w:tblW w:w="9072"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3686"/>
        <w:gridCol w:w="1134"/>
        <w:gridCol w:w="850"/>
        <w:gridCol w:w="851"/>
        <w:gridCol w:w="850"/>
        <w:gridCol w:w="851"/>
        <w:gridCol w:w="850"/>
      </w:tblGrid>
      <w:tr w:rsidR="00630809" w:rsidRPr="00085AFE" w14:paraId="06986072" w14:textId="77777777" w:rsidTr="00E54B38">
        <w:trPr>
          <w:trHeight w:val="50"/>
          <w:tblHeader/>
        </w:trPr>
        <w:tc>
          <w:tcPr>
            <w:tcW w:w="3686" w:type="dxa"/>
            <w:shd w:val="clear" w:color="auto" w:fill="DEEAF6" w:themeFill="accent1" w:themeFillTint="33"/>
            <w:noWrap/>
            <w:vAlign w:val="center"/>
            <w:hideMark/>
          </w:tcPr>
          <w:p w14:paraId="2C9F32E9" w14:textId="77777777" w:rsidR="00630809" w:rsidRPr="001B1AA2" w:rsidRDefault="00630809" w:rsidP="006419B6">
            <w:pPr>
              <w:spacing w:line="276" w:lineRule="auto"/>
              <w:ind w:firstLine="0"/>
              <w:jc w:val="left"/>
              <w:rPr>
                <w:rFonts w:eastAsia="Times New Roman" w:cs="Times New Roman"/>
                <w:b/>
                <w:bCs/>
                <w:sz w:val="18"/>
                <w:szCs w:val="18"/>
                <w:lang w:eastAsia="lv-LV"/>
              </w:rPr>
            </w:pPr>
            <w:r w:rsidRPr="001B1AA2">
              <w:rPr>
                <w:rFonts w:eastAsia="Times New Roman" w:cs="Times New Roman"/>
                <w:b/>
                <w:bCs/>
                <w:sz w:val="18"/>
                <w:szCs w:val="18"/>
                <w:lang w:eastAsia="lv-LV"/>
              </w:rPr>
              <w:t>% no IKP</w:t>
            </w:r>
          </w:p>
        </w:tc>
        <w:tc>
          <w:tcPr>
            <w:tcW w:w="1134" w:type="dxa"/>
            <w:shd w:val="clear" w:color="auto" w:fill="DEEAF6" w:themeFill="accent1" w:themeFillTint="33"/>
            <w:vAlign w:val="center"/>
            <w:hideMark/>
          </w:tcPr>
          <w:p w14:paraId="7270E21E" w14:textId="77777777" w:rsidR="00630809" w:rsidRPr="001B1AA2" w:rsidRDefault="00630809" w:rsidP="006419B6">
            <w:pPr>
              <w:spacing w:line="276" w:lineRule="auto"/>
              <w:ind w:firstLine="0"/>
              <w:jc w:val="center"/>
              <w:rPr>
                <w:rFonts w:eastAsia="Times New Roman" w:cs="Times New Roman"/>
                <w:sz w:val="18"/>
                <w:szCs w:val="18"/>
                <w:lang w:eastAsia="lv-LV"/>
              </w:rPr>
            </w:pPr>
            <w:r w:rsidRPr="001B1AA2">
              <w:rPr>
                <w:rFonts w:eastAsia="Times New Roman" w:cs="Times New Roman"/>
                <w:sz w:val="18"/>
                <w:szCs w:val="18"/>
                <w:lang w:eastAsia="lv-LV"/>
              </w:rPr>
              <w:t>EKS kods</w:t>
            </w:r>
          </w:p>
        </w:tc>
        <w:tc>
          <w:tcPr>
            <w:tcW w:w="850" w:type="dxa"/>
            <w:shd w:val="clear" w:color="auto" w:fill="DEEAF6" w:themeFill="accent1" w:themeFillTint="33"/>
            <w:noWrap/>
            <w:vAlign w:val="center"/>
            <w:hideMark/>
          </w:tcPr>
          <w:p w14:paraId="6F9F920E" w14:textId="228C6ADF" w:rsidR="00630809" w:rsidRPr="001B1AA2" w:rsidRDefault="00630809" w:rsidP="006419B6">
            <w:pPr>
              <w:spacing w:line="276" w:lineRule="auto"/>
              <w:ind w:firstLine="0"/>
              <w:jc w:val="center"/>
              <w:rPr>
                <w:rFonts w:eastAsia="Times New Roman" w:cs="Times New Roman"/>
                <w:b/>
                <w:bCs/>
                <w:sz w:val="18"/>
                <w:szCs w:val="18"/>
                <w:lang w:eastAsia="lv-LV"/>
              </w:rPr>
            </w:pPr>
            <w:r w:rsidRPr="001B1AA2">
              <w:rPr>
                <w:rFonts w:eastAsia="Times New Roman" w:cs="Times New Roman"/>
                <w:b/>
                <w:bCs/>
                <w:sz w:val="18"/>
                <w:szCs w:val="18"/>
                <w:lang w:eastAsia="lv-LV"/>
              </w:rPr>
              <w:t>202</w:t>
            </w:r>
            <w:r w:rsidR="001B1AA2" w:rsidRPr="001B1AA2">
              <w:rPr>
                <w:rFonts w:eastAsia="Times New Roman" w:cs="Times New Roman"/>
                <w:b/>
                <w:bCs/>
                <w:sz w:val="18"/>
                <w:szCs w:val="18"/>
                <w:lang w:eastAsia="lv-LV"/>
              </w:rPr>
              <w:t>2</w:t>
            </w:r>
          </w:p>
        </w:tc>
        <w:tc>
          <w:tcPr>
            <w:tcW w:w="851" w:type="dxa"/>
            <w:shd w:val="clear" w:color="auto" w:fill="DEEAF6" w:themeFill="accent1" w:themeFillTint="33"/>
            <w:noWrap/>
            <w:vAlign w:val="center"/>
            <w:hideMark/>
          </w:tcPr>
          <w:p w14:paraId="57B31859" w14:textId="37482561" w:rsidR="00630809" w:rsidRPr="001B1AA2" w:rsidRDefault="00630809" w:rsidP="006419B6">
            <w:pPr>
              <w:spacing w:line="276" w:lineRule="auto"/>
              <w:ind w:firstLine="0"/>
              <w:jc w:val="center"/>
              <w:rPr>
                <w:rFonts w:eastAsia="Times New Roman" w:cs="Times New Roman"/>
                <w:b/>
                <w:bCs/>
                <w:sz w:val="18"/>
                <w:szCs w:val="18"/>
                <w:lang w:eastAsia="lv-LV"/>
              </w:rPr>
            </w:pPr>
            <w:r w:rsidRPr="001B1AA2">
              <w:rPr>
                <w:rFonts w:eastAsia="Times New Roman" w:cs="Times New Roman"/>
                <w:b/>
                <w:bCs/>
                <w:sz w:val="18"/>
                <w:szCs w:val="18"/>
                <w:lang w:eastAsia="lv-LV"/>
              </w:rPr>
              <w:t>202</w:t>
            </w:r>
            <w:r w:rsidR="001B1AA2" w:rsidRPr="001B1AA2">
              <w:rPr>
                <w:rFonts w:eastAsia="Times New Roman" w:cs="Times New Roman"/>
                <w:b/>
                <w:bCs/>
                <w:sz w:val="18"/>
                <w:szCs w:val="18"/>
                <w:lang w:eastAsia="lv-LV"/>
              </w:rPr>
              <w:t>3</w:t>
            </w:r>
          </w:p>
        </w:tc>
        <w:tc>
          <w:tcPr>
            <w:tcW w:w="850" w:type="dxa"/>
            <w:shd w:val="clear" w:color="auto" w:fill="DEEAF6" w:themeFill="accent1" w:themeFillTint="33"/>
            <w:noWrap/>
            <w:vAlign w:val="center"/>
            <w:hideMark/>
          </w:tcPr>
          <w:p w14:paraId="0CB9F284" w14:textId="4ABC1429" w:rsidR="00630809" w:rsidRPr="001B1AA2" w:rsidRDefault="00630809" w:rsidP="006419B6">
            <w:pPr>
              <w:spacing w:line="276" w:lineRule="auto"/>
              <w:ind w:firstLine="0"/>
              <w:jc w:val="center"/>
              <w:rPr>
                <w:rFonts w:eastAsia="Times New Roman" w:cs="Times New Roman"/>
                <w:b/>
                <w:bCs/>
                <w:sz w:val="18"/>
                <w:szCs w:val="18"/>
                <w:lang w:eastAsia="lv-LV"/>
              </w:rPr>
            </w:pPr>
            <w:r w:rsidRPr="001B1AA2">
              <w:rPr>
                <w:rFonts w:eastAsia="Times New Roman" w:cs="Times New Roman"/>
                <w:b/>
                <w:bCs/>
                <w:sz w:val="18"/>
                <w:szCs w:val="18"/>
                <w:lang w:eastAsia="lv-LV"/>
              </w:rPr>
              <w:t>202</w:t>
            </w:r>
            <w:r w:rsidR="001B1AA2" w:rsidRPr="001B1AA2">
              <w:rPr>
                <w:rFonts w:eastAsia="Times New Roman" w:cs="Times New Roman"/>
                <w:b/>
                <w:bCs/>
                <w:sz w:val="18"/>
                <w:szCs w:val="18"/>
                <w:lang w:eastAsia="lv-LV"/>
              </w:rPr>
              <w:t>4</w:t>
            </w:r>
          </w:p>
        </w:tc>
        <w:tc>
          <w:tcPr>
            <w:tcW w:w="851" w:type="dxa"/>
            <w:shd w:val="clear" w:color="auto" w:fill="DEEAF6" w:themeFill="accent1" w:themeFillTint="33"/>
            <w:noWrap/>
            <w:vAlign w:val="center"/>
            <w:hideMark/>
          </w:tcPr>
          <w:p w14:paraId="54995FCF" w14:textId="392CE135" w:rsidR="00630809" w:rsidRPr="001B1AA2" w:rsidRDefault="00630809" w:rsidP="006419B6">
            <w:pPr>
              <w:spacing w:line="276" w:lineRule="auto"/>
              <w:ind w:firstLine="0"/>
              <w:jc w:val="center"/>
              <w:rPr>
                <w:rFonts w:eastAsia="Times New Roman" w:cs="Times New Roman"/>
                <w:b/>
                <w:bCs/>
                <w:sz w:val="18"/>
                <w:szCs w:val="18"/>
                <w:lang w:eastAsia="lv-LV"/>
              </w:rPr>
            </w:pPr>
            <w:r w:rsidRPr="001B1AA2">
              <w:rPr>
                <w:rFonts w:eastAsia="Times New Roman" w:cs="Times New Roman"/>
                <w:b/>
                <w:bCs/>
                <w:sz w:val="18"/>
                <w:szCs w:val="18"/>
                <w:lang w:eastAsia="lv-LV"/>
              </w:rPr>
              <w:t>202</w:t>
            </w:r>
            <w:r w:rsidR="001B1AA2" w:rsidRPr="001B1AA2">
              <w:rPr>
                <w:rFonts w:eastAsia="Times New Roman" w:cs="Times New Roman"/>
                <w:b/>
                <w:bCs/>
                <w:sz w:val="18"/>
                <w:szCs w:val="18"/>
                <w:lang w:eastAsia="lv-LV"/>
              </w:rPr>
              <w:t>5</w:t>
            </w:r>
          </w:p>
        </w:tc>
        <w:tc>
          <w:tcPr>
            <w:tcW w:w="850" w:type="dxa"/>
            <w:shd w:val="clear" w:color="auto" w:fill="DEEAF6" w:themeFill="accent1" w:themeFillTint="33"/>
            <w:noWrap/>
            <w:vAlign w:val="center"/>
            <w:hideMark/>
          </w:tcPr>
          <w:p w14:paraId="1AFD6856" w14:textId="6D928CF5" w:rsidR="00630809" w:rsidRPr="001B1AA2" w:rsidRDefault="00630809" w:rsidP="006419B6">
            <w:pPr>
              <w:spacing w:line="276" w:lineRule="auto"/>
              <w:ind w:firstLine="0"/>
              <w:jc w:val="center"/>
              <w:rPr>
                <w:rFonts w:eastAsia="Times New Roman" w:cs="Times New Roman"/>
                <w:b/>
                <w:bCs/>
                <w:sz w:val="18"/>
                <w:szCs w:val="18"/>
                <w:lang w:eastAsia="lv-LV"/>
              </w:rPr>
            </w:pPr>
            <w:r w:rsidRPr="001B1AA2">
              <w:rPr>
                <w:rFonts w:eastAsia="Times New Roman" w:cs="Times New Roman"/>
                <w:b/>
                <w:bCs/>
                <w:sz w:val="18"/>
                <w:szCs w:val="18"/>
                <w:lang w:eastAsia="lv-LV"/>
              </w:rPr>
              <w:t>202</w:t>
            </w:r>
            <w:r w:rsidR="001B1AA2" w:rsidRPr="001B1AA2">
              <w:rPr>
                <w:rFonts w:eastAsia="Times New Roman" w:cs="Times New Roman"/>
                <w:b/>
                <w:bCs/>
                <w:sz w:val="18"/>
                <w:szCs w:val="18"/>
                <w:lang w:eastAsia="lv-LV"/>
              </w:rPr>
              <w:t>6</w:t>
            </w:r>
          </w:p>
        </w:tc>
      </w:tr>
      <w:tr w:rsidR="001B1AA2" w:rsidRPr="00085AFE" w14:paraId="10B89BA5" w14:textId="77777777" w:rsidTr="00A265E2">
        <w:trPr>
          <w:trHeight w:val="50"/>
        </w:trPr>
        <w:tc>
          <w:tcPr>
            <w:tcW w:w="3686" w:type="dxa"/>
            <w:shd w:val="clear" w:color="auto" w:fill="auto"/>
            <w:noWrap/>
            <w:vAlign w:val="center"/>
            <w:hideMark/>
          </w:tcPr>
          <w:p w14:paraId="1EB8A78B" w14:textId="77777777" w:rsidR="001B1AA2" w:rsidRPr="001B1AA2" w:rsidRDefault="001B1AA2" w:rsidP="001B1AA2">
            <w:pPr>
              <w:spacing w:line="276" w:lineRule="auto"/>
              <w:ind w:firstLine="0"/>
              <w:jc w:val="left"/>
              <w:rPr>
                <w:rFonts w:eastAsia="Times New Roman" w:cs="Times New Roman"/>
                <w:b/>
                <w:bCs/>
                <w:sz w:val="18"/>
                <w:szCs w:val="18"/>
                <w:lang w:eastAsia="lv-LV"/>
              </w:rPr>
            </w:pPr>
            <w:r w:rsidRPr="001B1AA2">
              <w:rPr>
                <w:rFonts w:eastAsia="Times New Roman" w:cs="Times New Roman"/>
                <w:b/>
                <w:bCs/>
                <w:sz w:val="18"/>
                <w:szCs w:val="18"/>
                <w:lang w:eastAsia="lv-LV"/>
              </w:rPr>
              <w:t>1. Bruto parāds</w:t>
            </w:r>
          </w:p>
        </w:tc>
        <w:tc>
          <w:tcPr>
            <w:tcW w:w="1134" w:type="dxa"/>
            <w:shd w:val="clear" w:color="auto" w:fill="auto"/>
            <w:noWrap/>
            <w:vAlign w:val="center"/>
            <w:hideMark/>
          </w:tcPr>
          <w:p w14:paraId="2D0046D4" w14:textId="77777777" w:rsidR="001B1AA2" w:rsidRPr="001B1AA2" w:rsidRDefault="001B1AA2" w:rsidP="001B1AA2">
            <w:pPr>
              <w:spacing w:line="276" w:lineRule="auto"/>
              <w:ind w:firstLine="0"/>
              <w:jc w:val="left"/>
              <w:rPr>
                <w:rFonts w:eastAsia="Times New Roman" w:cs="Times New Roman"/>
                <w:b/>
                <w:bCs/>
                <w:sz w:val="18"/>
                <w:szCs w:val="18"/>
                <w:lang w:eastAsia="lv-LV"/>
              </w:rPr>
            </w:pPr>
            <w:r w:rsidRPr="001B1AA2">
              <w:rPr>
                <w:rFonts w:eastAsia="Times New Roman" w:cs="Times New Roman"/>
                <w:b/>
                <w:bCs/>
                <w:sz w:val="18"/>
                <w:szCs w:val="18"/>
                <w:lang w:eastAsia="lv-LV"/>
              </w:rPr>
              <w:t> </w:t>
            </w:r>
          </w:p>
        </w:tc>
        <w:tc>
          <w:tcPr>
            <w:tcW w:w="850" w:type="dxa"/>
            <w:shd w:val="clear" w:color="auto" w:fill="auto"/>
            <w:noWrap/>
            <w:hideMark/>
          </w:tcPr>
          <w:p w14:paraId="7EAA09DB" w14:textId="190F7C33" w:rsidR="001B1AA2" w:rsidRPr="00862FCD" w:rsidRDefault="001B1AA2" w:rsidP="001B1AA2">
            <w:pPr>
              <w:spacing w:line="276" w:lineRule="auto"/>
              <w:ind w:firstLine="0"/>
              <w:jc w:val="right"/>
              <w:rPr>
                <w:rFonts w:eastAsia="Times New Roman" w:cs="Times New Roman"/>
                <w:b/>
                <w:bCs/>
                <w:sz w:val="18"/>
                <w:szCs w:val="14"/>
                <w:lang w:eastAsia="lv-LV"/>
              </w:rPr>
            </w:pPr>
            <w:r w:rsidRPr="00862FCD">
              <w:rPr>
                <w:b/>
                <w:bCs/>
                <w:sz w:val="18"/>
                <w:szCs w:val="14"/>
              </w:rPr>
              <w:t>40,8</w:t>
            </w:r>
          </w:p>
        </w:tc>
        <w:tc>
          <w:tcPr>
            <w:tcW w:w="851" w:type="dxa"/>
            <w:shd w:val="clear" w:color="auto" w:fill="auto"/>
            <w:noWrap/>
            <w:hideMark/>
          </w:tcPr>
          <w:p w14:paraId="5C490467" w14:textId="7C2097C6" w:rsidR="001B1AA2" w:rsidRPr="00862FCD" w:rsidRDefault="001B1AA2" w:rsidP="001B1AA2">
            <w:pPr>
              <w:spacing w:line="276" w:lineRule="auto"/>
              <w:ind w:firstLine="0"/>
              <w:jc w:val="right"/>
              <w:rPr>
                <w:rFonts w:eastAsia="Times New Roman" w:cs="Times New Roman"/>
                <w:b/>
                <w:bCs/>
                <w:sz w:val="18"/>
                <w:szCs w:val="14"/>
                <w:lang w:eastAsia="lv-LV"/>
              </w:rPr>
            </w:pPr>
            <w:r w:rsidRPr="00862FCD">
              <w:rPr>
                <w:b/>
                <w:bCs/>
                <w:sz w:val="18"/>
                <w:szCs w:val="14"/>
              </w:rPr>
              <w:t>39,6</w:t>
            </w:r>
          </w:p>
        </w:tc>
        <w:tc>
          <w:tcPr>
            <w:tcW w:w="850" w:type="dxa"/>
            <w:shd w:val="clear" w:color="auto" w:fill="auto"/>
            <w:noWrap/>
            <w:hideMark/>
          </w:tcPr>
          <w:p w14:paraId="783AC858" w14:textId="02D6E4A1" w:rsidR="001B1AA2" w:rsidRPr="00862FCD" w:rsidRDefault="001B1AA2" w:rsidP="001B1AA2">
            <w:pPr>
              <w:spacing w:line="276" w:lineRule="auto"/>
              <w:ind w:firstLine="0"/>
              <w:jc w:val="right"/>
              <w:rPr>
                <w:rFonts w:eastAsia="Times New Roman" w:cs="Times New Roman"/>
                <w:b/>
                <w:bCs/>
                <w:sz w:val="18"/>
                <w:szCs w:val="14"/>
                <w:lang w:eastAsia="lv-LV"/>
              </w:rPr>
            </w:pPr>
            <w:r w:rsidRPr="00862FCD">
              <w:rPr>
                <w:b/>
                <w:bCs/>
                <w:sz w:val="18"/>
                <w:szCs w:val="14"/>
              </w:rPr>
              <w:t>39,7</w:t>
            </w:r>
          </w:p>
        </w:tc>
        <w:tc>
          <w:tcPr>
            <w:tcW w:w="851" w:type="dxa"/>
            <w:shd w:val="clear" w:color="auto" w:fill="auto"/>
            <w:noWrap/>
            <w:hideMark/>
          </w:tcPr>
          <w:p w14:paraId="0224CB83" w14:textId="090D9696" w:rsidR="001B1AA2" w:rsidRPr="00862FCD" w:rsidRDefault="001B1AA2" w:rsidP="001B1AA2">
            <w:pPr>
              <w:spacing w:line="276" w:lineRule="auto"/>
              <w:ind w:firstLine="0"/>
              <w:jc w:val="right"/>
              <w:rPr>
                <w:rFonts w:eastAsia="Times New Roman" w:cs="Times New Roman"/>
                <w:b/>
                <w:bCs/>
                <w:sz w:val="18"/>
                <w:szCs w:val="14"/>
                <w:lang w:eastAsia="lv-LV"/>
              </w:rPr>
            </w:pPr>
            <w:r w:rsidRPr="00862FCD">
              <w:rPr>
                <w:b/>
                <w:bCs/>
                <w:sz w:val="18"/>
                <w:szCs w:val="14"/>
              </w:rPr>
              <w:t>39,8</w:t>
            </w:r>
          </w:p>
        </w:tc>
        <w:tc>
          <w:tcPr>
            <w:tcW w:w="850" w:type="dxa"/>
            <w:shd w:val="clear" w:color="auto" w:fill="auto"/>
            <w:noWrap/>
            <w:hideMark/>
          </w:tcPr>
          <w:p w14:paraId="58A017A9" w14:textId="69569E68" w:rsidR="001B1AA2" w:rsidRPr="00862FCD" w:rsidRDefault="001B1AA2" w:rsidP="001B1AA2">
            <w:pPr>
              <w:spacing w:line="276" w:lineRule="auto"/>
              <w:ind w:firstLine="0"/>
              <w:jc w:val="right"/>
              <w:rPr>
                <w:rFonts w:eastAsia="Times New Roman" w:cs="Times New Roman"/>
                <w:b/>
                <w:bCs/>
                <w:sz w:val="18"/>
                <w:szCs w:val="14"/>
                <w:lang w:eastAsia="lv-LV"/>
              </w:rPr>
            </w:pPr>
            <w:r w:rsidRPr="00862FCD">
              <w:rPr>
                <w:b/>
                <w:bCs/>
                <w:sz w:val="18"/>
                <w:szCs w:val="14"/>
              </w:rPr>
              <w:t>38,9</w:t>
            </w:r>
          </w:p>
        </w:tc>
      </w:tr>
      <w:tr w:rsidR="001B1AA2" w:rsidRPr="00085AFE" w14:paraId="1C675584" w14:textId="77777777" w:rsidTr="006F601F">
        <w:trPr>
          <w:trHeight w:val="50"/>
        </w:trPr>
        <w:tc>
          <w:tcPr>
            <w:tcW w:w="3686" w:type="dxa"/>
            <w:shd w:val="clear" w:color="auto" w:fill="auto"/>
            <w:noWrap/>
            <w:vAlign w:val="center"/>
            <w:hideMark/>
          </w:tcPr>
          <w:p w14:paraId="1537CCFB" w14:textId="77777777" w:rsidR="001B1AA2" w:rsidRPr="00085AFE" w:rsidRDefault="001B1AA2" w:rsidP="001B1AA2">
            <w:pPr>
              <w:spacing w:line="276" w:lineRule="auto"/>
              <w:ind w:firstLine="0"/>
              <w:jc w:val="left"/>
              <w:rPr>
                <w:rFonts w:eastAsia="Times New Roman" w:cs="Times New Roman"/>
                <w:b/>
                <w:bCs/>
                <w:sz w:val="18"/>
                <w:szCs w:val="18"/>
                <w:highlight w:val="lightGray"/>
                <w:lang w:eastAsia="lv-LV"/>
              </w:rPr>
            </w:pPr>
            <w:r w:rsidRPr="001B1AA2">
              <w:rPr>
                <w:rFonts w:eastAsia="Times New Roman" w:cs="Times New Roman"/>
                <w:b/>
                <w:bCs/>
                <w:sz w:val="18"/>
                <w:szCs w:val="18"/>
                <w:lang w:eastAsia="lv-LV"/>
              </w:rPr>
              <w:t>2. Bruto parāda izmaiņas</w:t>
            </w:r>
          </w:p>
        </w:tc>
        <w:tc>
          <w:tcPr>
            <w:tcW w:w="1134" w:type="dxa"/>
            <w:shd w:val="clear" w:color="auto" w:fill="auto"/>
            <w:noWrap/>
            <w:vAlign w:val="center"/>
            <w:hideMark/>
          </w:tcPr>
          <w:p w14:paraId="18BF69F7" w14:textId="77777777" w:rsidR="001B1AA2" w:rsidRPr="00085AFE" w:rsidRDefault="001B1AA2" w:rsidP="001B1AA2">
            <w:pPr>
              <w:spacing w:line="276" w:lineRule="auto"/>
              <w:ind w:firstLine="0"/>
              <w:jc w:val="left"/>
              <w:rPr>
                <w:rFonts w:eastAsia="Times New Roman" w:cs="Times New Roman"/>
                <w:b/>
                <w:bCs/>
                <w:sz w:val="18"/>
                <w:szCs w:val="18"/>
                <w:highlight w:val="lightGray"/>
                <w:lang w:eastAsia="lv-LV"/>
              </w:rPr>
            </w:pPr>
            <w:r w:rsidRPr="001B1AA2">
              <w:rPr>
                <w:rFonts w:eastAsia="Times New Roman" w:cs="Times New Roman"/>
                <w:b/>
                <w:bCs/>
                <w:sz w:val="18"/>
                <w:szCs w:val="18"/>
                <w:lang w:eastAsia="lv-LV"/>
              </w:rPr>
              <w:t> </w:t>
            </w:r>
          </w:p>
        </w:tc>
        <w:tc>
          <w:tcPr>
            <w:tcW w:w="850" w:type="dxa"/>
            <w:shd w:val="clear" w:color="auto" w:fill="auto"/>
            <w:noWrap/>
            <w:hideMark/>
          </w:tcPr>
          <w:p w14:paraId="0250E5BA" w14:textId="3B07E92B" w:rsidR="001B1AA2" w:rsidRPr="00096780" w:rsidRDefault="001B1AA2" w:rsidP="001B1AA2">
            <w:pPr>
              <w:spacing w:line="276" w:lineRule="auto"/>
              <w:ind w:firstLine="0"/>
              <w:jc w:val="right"/>
              <w:rPr>
                <w:rFonts w:eastAsia="Times New Roman" w:cs="Times New Roman"/>
                <w:sz w:val="18"/>
                <w:szCs w:val="14"/>
                <w:highlight w:val="lightGray"/>
                <w:lang w:eastAsia="lv-LV"/>
              </w:rPr>
            </w:pPr>
            <w:r w:rsidRPr="00096780">
              <w:rPr>
                <w:sz w:val="18"/>
                <w:szCs w:val="14"/>
              </w:rPr>
              <w:t>-3,1</w:t>
            </w:r>
          </w:p>
        </w:tc>
        <w:tc>
          <w:tcPr>
            <w:tcW w:w="851" w:type="dxa"/>
            <w:shd w:val="clear" w:color="auto" w:fill="auto"/>
            <w:noWrap/>
            <w:hideMark/>
          </w:tcPr>
          <w:p w14:paraId="7489BE80" w14:textId="3988E8AB" w:rsidR="001B1AA2" w:rsidRPr="00096780" w:rsidRDefault="001B1AA2" w:rsidP="001B1AA2">
            <w:pPr>
              <w:spacing w:line="276" w:lineRule="auto"/>
              <w:ind w:firstLine="0"/>
              <w:jc w:val="right"/>
              <w:rPr>
                <w:rFonts w:eastAsia="Times New Roman" w:cs="Times New Roman"/>
                <w:sz w:val="18"/>
                <w:szCs w:val="14"/>
                <w:highlight w:val="lightGray"/>
                <w:lang w:eastAsia="lv-LV"/>
              </w:rPr>
            </w:pPr>
            <w:r w:rsidRPr="00096780">
              <w:rPr>
                <w:sz w:val="18"/>
                <w:szCs w:val="14"/>
              </w:rPr>
              <w:t>-1,2</w:t>
            </w:r>
          </w:p>
        </w:tc>
        <w:tc>
          <w:tcPr>
            <w:tcW w:w="850" w:type="dxa"/>
            <w:shd w:val="clear" w:color="auto" w:fill="auto"/>
            <w:noWrap/>
            <w:hideMark/>
          </w:tcPr>
          <w:p w14:paraId="635E1B9A" w14:textId="5452BDFD" w:rsidR="001B1AA2" w:rsidRPr="00096780" w:rsidRDefault="001B1AA2" w:rsidP="001B1AA2">
            <w:pPr>
              <w:spacing w:line="276" w:lineRule="auto"/>
              <w:ind w:firstLine="0"/>
              <w:jc w:val="right"/>
              <w:rPr>
                <w:rFonts w:eastAsia="Times New Roman" w:cs="Times New Roman"/>
                <w:sz w:val="18"/>
                <w:szCs w:val="14"/>
                <w:highlight w:val="lightGray"/>
                <w:lang w:eastAsia="lv-LV"/>
              </w:rPr>
            </w:pPr>
            <w:r w:rsidRPr="00096780">
              <w:rPr>
                <w:sz w:val="18"/>
                <w:szCs w:val="14"/>
              </w:rPr>
              <w:t>0,2</w:t>
            </w:r>
          </w:p>
        </w:tc>
        <w:tc>
          <w:tcPr>
            <w:tcW w:w="851" w:type="dxa"/>
            <w:shd w:val="clear" w:color="auto" w:fill="auto"/>
            <w:noWrap/>
            <w:hideMark/>
          </w:tcPr>
          <w:p w14:paraId="2C55D177" w14:textId="054F72E6" w:rsidR="001B1AA2" w:rsidRPr="00096780" w:rsidRDefault="001B1AA2" w:rsidP="001B1AA2">
            <w:pPr>
              <w:spacing w:line="276" w:lineRule="auto"/>
              <w:ind w:firstLine="0"/>
              <w:jc w:val="right"/>
              <w:rPr>
                <w:rFonts w:eastAsia="Times New Roman" w:cs="Times New Roman"/>
                <w:sz w:val="18"/>
                <w:szCs w:val="14"/>
                <w:highlight w:val="lightGray"/>
                <w:lang w:eastAsia="lv-LV"/>
              </w:rPr>
            </w:pPr>
            <w:r w:rsidRPr="00096780">
              <w:rPr>
                <w:sz w:val="18"/>
                <w:szCs w:val="14"/>
              </w:rPr>
              <w:t>0,1</w:t>
            </w:r>
          </w:p>
        </w:tc>
        <w:tc>
          <w:tcPr>
            <w:tcW w:w="850" w:type="dxa"/>
            <w:shd w:val="clear" w:color="auto" w:fill="auto"/>
            <w:noWrap/>
            <w:hideMark/>
          </w:tcPr>
          <w:p w14:paraId="735198FF" w14:textId="53F788D1" w:rsidR="001B1AA2" w:rsidRPr="00096780" w:rsidRDefault="001B1AA2" w:rsidP="001B1AA2">
            <w:pPr>
              <w:spacing w:line="276" w:lineRule="auto"/>
              <w:ind w:firstLine="0"/>
              <w:jc w:val="right"/>
              <w:rPr>
                <w:rFonts w:eastAsia="Times New Roman" w:cs="Times New Roman"/>
                <w:sz w:val="18"/>
                <w:szCs w:val="14"/>
                <w:highlight w:val="lightGray"/>
                <w:lang w:eastAsia="lv-LV"/>
              </w:rPr>
            </w:pPr>
            <w:r w:rsidRPr="00096780">
              <w:rPr>
                <w:sz w:val="18"/>
                <w:szCs w:val="14"/>
              </w:rPr>
              <w:t>-0,9</w:t>
            </w:r>
          </w:p>
        </w:tc>
      </w:tr>
      <w:tr w:rsidR="00630809" w:rsidRPr="00085AFE" w14:paraId="4C535F82" w14:textId="77777777" w:rsidTr="007C75DF">
        <w:trPr>
          <w:trHeight w:val="439"/>
        </w:trPr>
        <w:tc>
          <w:tcPr>
            <w:tcW w:w="9072" w:type="dxa"/>
            <w:gridSpan w:val="7"/>
            <w:shd w:val="clear" w:color="auto" w:fill="DEEAF6" w:themeFill="accent1" w:themeFillTint="33"/>
            <w:vAlign w:val="center"/>
            <w:hideMark/>
          </w:tcPr>
          <w:p w14:paraId="43486B91" w14:textId="77777777" w:rsidR="00630809" w:rsidRPr="00085AFE" w:rsidRDefault="00630809" w:rsidP="006419B6">
            <w:pPr>
              <w:spacing w:line="276" w:lineRule="auto"/>
              <w:ind w:firstLine="0"/>
              <w:jc w:val="center"/>
              <w:rPr>
                <w:rFonts w:eastAsia="Times New Roman" w:cs="Times New Roman"/>
                <w:b/>
                <w:bCs/>
                <w:sz w:val="18"/>
                <w:szCs w:val="18"/>
                <w:highlight w:val="lightGray"/>
                <w:lang w:eastAsia="lv-LV"/>
              </w:rPr>
            </w:pPr>
            <w:r w:rsidRPr="001B1AA2">
              <w:rPr>
                <w:rFonts w:eastAsia="Times New Roman" w:cs="Times New Roman"/>
                <w:b/>
                <w:bCs/>
                <w:sz w:val="18"/>
                <w:szCs w:val="18"/>
                <w:lang w:eastAsia="lv-LV"/>
              </w:rPr>
              <w:t>Kopējā parāda izmaiņas ietekmējošie faktori</w:t>
            </w:r>
          </w:p>
        </w:tc>
      </w:tr>
      <w:tr w:rsidR="001B1AA2" w:rsidRPr="00085AFE" w14:paraId="13FE1E6C" w14:textId="77777777" w:rsidTr="00D312B1">
        <w:trPr>
          <w:trHeight w:val="50"/>
        </w:trPr>
        <w:tc>
          <w:tcPr>
            <w:tcW w:w="3686" w:type="dxa"/>
            <w:shd w:val="clear" w:color="auto" w:fill="auto"/>
            <w:noWrap/>
            <w:vAlign w:val="center"/>
            <w:hideMark/>
          </w:tcPr>
          <w:p w14:paraId="3583E328" w14:textId="77777777" w:rsidR="001B1AA2" w:rsidRPr="001B1AA2" w:rsidRDefault="001B1AA2" w:rsidP="001B1AA2">
            <w:pPr>
              <w:spacing w:line="276" w:lineRule="auto"/>
              <w:ind w:firstLine="0"/>
              <w:jc w:val="left"/>
              <w:rPr>
                <w:rFonts w:eastAsia="Times New Roman" w:cs="Times New Roman"/>
                <w:b/>
                <w:bCs/>
                <w:sz w:val="18"/>
                <w:szCs w:val="18"/>
                <w:lang w:eastAsia="lv-LV"/>
              </w:rPr>
            </w:pPr>
            <w:r w:rsidRPr="001B1AA2">
              <w:rPr>
                <w:rFonts w:eastAsia="Times New Roman" w:cs="Times New Roman"/>
                <w:b/>
                <w:bCs/>
                <w:sz w:val="18"/>
                <w:szCs w:val="18"/>
                <w:lang w:eastAsia="lv-LV"/>
              </w:rPr>
              <w:t>3. Primārā bilance</w:t>
            </w:r>
          </w:p>
        </w:tc>
        <w:tc>
          <w:tcPr>
            <w:tcW w:w="1134" w:type="dxa"/>
            <w:shd w:val="clear" w:color="auto" w:fill="auto"/>
            <w:noWrap/>
            <w:vAlign w:val="center"/>
            <w:hideMark/>
          </w:tcPr>
          <w:p w14:paraId="1FAE42B6" w14:textId="77777777" w:rsidR="001B1AA2" w:rsidRPr="00096780" w:rsidRDefault="001B1AA2" w:rsidP="001B1AA2">
            <w:pPr>
              <w:spacing w:line="276" w:lineRule="auto"/>
              <w:ind w:firstLine="0"/>
              <w:jc w:val="left"/>
              <w:rPr>
                <w:rFonts w:eastAsia="Times New Roman" w:cs="Times New Roman"/>
                <w:sz w:val="18"/>
                <w:szCs w:val="18"/>
                <w:lang w:eastAsia="lv-LV"/>
              </w:rPr>
            </w:pPr>
            <w:r w:rsidRPr="00096780">
              <w:rPr>
                <w:rFonts w:eastAsia="Times New Roman" w:cs="Times New Roman"/>
                <w:sz w:val="18"/>
                <w:szCs w:val="18"/>
                <w:lang w:eastAsia="lv-LV"/>
              </w:rPr>
              <w:t> </w:t>
            </w:r>
          </w:p>
        </w:tc>
        <w:tc>
          <w:tcPr>
            <w:tcW w:w="850" w:type="dxa"/>
            <w:shd w:val="clear" w:color="auto" w:fill="auto"/>
            <w:noWrap/>
            <w:hideMark/>
          </w:tcPr>
          <w:p w14:paraId="7B41F709" w14:textId="178E3D3D" w:rsidR="001B1AA2" w:rsidRPr="00096780" w:rsidRDefault="001B1AA2" w:rsidP="001B1AA2">
            <w:pPr>
              <w:spacing w:line="276" w:lineRule="auto"/>
              <w:ind w:firstLine="0"/>
              <w:jc w:val="right"/>
              <w:rPr>
                <w:rFonts w:eastAsia="Times New Roman" w:cs="Times New Roman"/>
                <w:sz w:val="18"/>
                <w:szCs w:val="14"/>
                <w:lang w:eastAsia="lv-LV"/>
              </w:rPr>
            </w:pPr>
            <w:r w:rsidRPr="00096780">
              <w:rPr>
                <w:sz w:val="18"/>
                <w:szCs w:val="14"/>
              </w:rPr>
              <w:t>-4,2</w:t>
            </w:r>
          </w:p>
        </w:tc>
        <w:tc>
          <w:tcPr>
            <w:tcW w:w="851" w:type="dxa"/>
            <w:shd w:val="clear" w:color="auto" w:fill="auto"/>
            <w:noWrap/>
            <w:hideMark/>
          </w:tcPr>
          <w:p w14:paraId="2CAF19F1" w14:textId="46D01697" w:rsidR="001B1AA2" w:rsidRPr="00096780" w:rsidRDefault="001B1AA2" w:rsidP="001B1AA2">
            <w:pPr>
              <w:spacing w:line="276" w:lineRule="auto"/>
              <w:ind w:firstLine="0"/>
              <w:jc w:val="right"/>
              <w:rPr>
                <w:rFonts w:eastAsia="Times New Roman" w:cs="Times New Roman"/>
                <w:sz w:val="18"/>
                <w:szCs w:val="14"/>
                <w:lang w:eastAsia="lv-LV"/>
              </w:rPr>
            </w:pPr>
            <w:r w:rsidRPr="00096780">
              <w:rPr>
                <w:sz w:val="18"/>
                <w:szCs w:val="14"/>
              </w:rPr>
              <w:t>-3,4</w:t>
            </w:r>
          </w:p>
        </w:tc>
        <w:tc>
          <w:tcPr>
            <w:tcW w:w="850" w:type="dxa"/>
            <w:shd w:val="clear" w:color="auto" w:fill="auto"/>
            <w:noWrap/>
            <w:hideMark/>
          </w:tcPr>
          <w:p w14:paraId="54830E30" w14:textId="37FF78FF" w:rsidR="001B1AA2" w:rsidRPr="00096780" w:rsidRDefault="001B1AA2" w:rsidP="001B1AA2">
            <w:pPr>
              <w:spacing w:line="276" w:lineRule="auto"/>
              <w:ind w:firstLine="0"/>
              <w:jc w:val="right"/>
              <w:rPr>
                <w:rFonts w:eastAsia="Times New Roman" w:cs="Times New Roman"/>
                <w:sz w:val="18"/>
                <w:szCs w:val="14"/>
                <w:lang w:eastAsia="lv-LV"/>
              </w:rPr>
            </w:pPr>
            <w:r w:rsidRPr="00096780">
              <w:rPr>
                <w:sz w:val="18"/>
                <w:szCs w:val="14"/>
              </w:rPr>
              <w:t>-1,6</w:t>
            </w:r>
          </w:p>
        </w:tc>
        <w:tc>
          <w:tcPr>
            <w:tcW w:w="851" w:type="dxa"/>
            <w:shd w:val="clear" w:color="auto" w:fill="auto"/>
            <w:noWrap/>
            <w:hideMark/>
          </w:tcPr>
          <w:p w14:paraId="42C426E5" w14:textId="5ED195D1" w:rsidR="001B1AA2" w:rsidRPr="00096780" w:rsidRDefault="001B1AA2" w:rsidP="001B1AA2">
            <w:pPr>
              <w:spacing w:line="276" w:lineRule="auto"/>
              <w:ind w:firstLine="0"/>
              <w:jc w:val="right"/>
              <w:rPr>
                <w:rFonts w:eastAsia="Times New Roman" w:cs="Times New Roman"/>
                <w:sz w:val="18"/>
                <w:szCs w:val="14"/>
                <w:lang w:eastAsia="lv-LV"/>
              </w:rPr>
            </w:pPr>
            <w:r w:rsidRPr="00096780">
              <w:rPr>
                <w:sz w:val="18"/>
                <w:szCs w:val="14"/>
              </w:rPr>
              <w:t>-0,7</w:t>
            </w:r>
          </w:p>
        </w:tc>
        <w:tc>
          <w:tcPr>
            <w:tcW w:w="850" w:type="dxa"/>
            <w:shd w:val="clear" w:color="auto" w:fill="auto"/>
            <w:noWrap/>
            <w:hideMark/>
          </w:tcPr>
          <w:p w14:paraId="7A1508C3" w14:textId="296D6232" w:rsidR="001B1AA2" w:rsidRPr="00096780" w:rsidRDefault="001B1AA2" w:rsidP="001B1AA2">
            <w:pPr>
              <w:spacing w:line="276" w:lineRule="auto"/>
              <w:ind w:firstLine="0"/>
              <w:jc w:val="right"/>
              <w:rPr>
                <w:rFonts w:eastAsia="Times New Roman" w:cs="Times New Roman"/>
                <w:sz w:val="18"/>
                <w:szCs w:val="14"/>
                <w:lang w:eastAsia="lv-LV"/>
              </w:rPr>
            </w:pPr>
            <w:r w:rsidRPr="00096780">
              <w:rPr>
                <w:sz w:val="18"/>
                <w:szCs w:val="14"/>
              </w:rPr>
              <w:t>0,6</w:t>
            </w:r>
          </w:p>
        </w:tc>
      </w:tr>
      <w:tr w:rsidR="001B1AA2" w:rsidRPr="00085AFE" w14:paraId="707F40C9" w14:textId="77777777" w:rsidTr="00D312B1">
        <w:trPr>
          <w:trHeight w:val="50"/>
        </w:trPr>
        <w:tc>
          <w:tcPr>
            <w:tcW w:w="3686" w:type="dxa"/>
            <w:shd w:val="clear" w:color="auto" w:fill="auto"/>
            <w:noWrap/>
            <w:vAlign w:val="center"/>
            <w:hideMark/>
          </w:tcPr>
          <w:p w14:paraId="16E1D932" w14:textId="77777777" w:rsidR="001B1AA2" w:rsidRPr="001B1AA2" w:rsidRDefault="001B1AA2" w:rsidP="001B1AA2">
            <w:pPr>
              <w:spacing w:line="276" w:lineRule="auto"/>
              <w:ind w:firstLine="0"/>
              <w:jc w:val="left"/>
              <w:rPr>
                <w:rFonts w:eastAsia="Times New Roman" w:cs="Times New Roman"/>
                <w:b/>
                <w:bCs/>
                <w:sz w:val="18"/>
                <w:szCs w:val="18"/>
                <w:lang w:eastAsia="lv-LV"/>
              </w:rPr>
            </w:pPr>
            <w:r w:rsidRPr="001B1AA2">
              <w:rPr>
                <w:rFonts w:eastAsia="Times New Roman" w:cs="Times New Roman"/>
                <w:b/>
                <w:bCs/>
                <w:sz w:val="18"/>
                <w:szCs w:val="18"/>
                <w:lang w:eastAsia="lv-LV"/>
              </w:rPr>
              <w:t>4. Procentu maksājumi</w:t>
            </w:r>
          </w:p>
        </w:tc>
        <w:tc>
          <w:tcPr>
            <w:tcW w:w="1134" w:type="dxa"/>
            <w:shd w:val="clear" w:color="auto" w:fill="auto"/>
            <w:vAlign w:val="center"/>
            <w:hideMark/>
          </w:tcPr>
          <w:p w14:paraId="71562356" w14:textId="77777777" w:rsidR="001B1AA2" w:rsidRPr="00096780" w:rsidRDefault="001B1AA2" w:rsidP="001B1AA2">
            <w:pPr>
              <w:spacing w:line="276" w:lineRule="auto"/>
              <w:ind w:firstLine="0"/>
              <w:jc w:val="left"/>
              <w:rPr>
                <w:rFonts w:eastAsia="Times New Roman" w:cs="Times New Roman"/>
                <w:sz w:val="18"/>
                <w:szCs w:val="18"/>
                <w:lang w:eastAsia="lv-LV"/>
              </w:rPr>
            </w:pPr>
            <w:r w:rsidRPr="00096780">
              <w:rPr>
                <w:rFonts w:eastAsia="Times New Roman" w:cs="Times New Roman"/>
                <w:sz w:val="18"/>
                <w:szCs w:val="18"/>
                <w:lang w:eastAsia="lv-LV"/>
              </w:rPr>
              <w:t>EDP D.41</w:t>
            </w:r>
          </w:p>
        </w:tc>
        <w:tc>
          <w:tcPr>
            <w:tcW w:w="850" w:type="dxa"/>
            <w:shd w:val="clear" w:color="auto" w:fill="auto"/>
            <w:noWrap/>
            <w:hideMark/>
          </w:tcPr>
          <w:p w14:paraId="109681B9" w14:textId="645CE7E3" w:rsidR="001B1AA2" w:rsidRPr="00096780" w:rsidRDefault="001B1AA2" w:rsidP="001B1AA2">
            <w:pPr>
              <w:spacing w:line="276" w:lineRule="auto"/>
              <w:ind w:firstLine="0"/>
              <w:jc w:val="right"/>
              <w:rPr>
                <w:rFonts w:eastAsia="Times New Roman" w:cs="Times New Roman"/>
                <w:sz w:val="18"/>
                <w:szCs w:val="14"/>
                <w:lang w:eastAsia="lv-LV"/>
              </w:rPr>
            </w:pPr>
            <w:r w:rsidRPr="00096780">
              <w:rPr>
                <w:sz w:val="18"/>
                <w:szCs w:val="14"/>
              </w:rPr>
              <w:t>0,5</w:t>
            </w:r>
          </w:p>
        </w:tc>
        <w:tc>
          <w:tcPr>
            <w:tcW w:w="851" w:type="dxa"/>
            <w:shd w:val="clear" w:color="auto" w:fill="auto"/>
            <w:noWrap/>
            <w:hideMark/>
          </w:tcPr>
          <w:p w14:paraId="78FB43D6" w14:textId="5B38D37E" w:rsidR="001B1AA2" w:rsidRPr="00096780" w:rsidRDefault="001B1AA2" w:rsidP="001B1AA2">
            <w:pPr>
              <w:spacing w:line="276" w:lineRule="auto"/>
              <w:ind w:firstLine="0"/>
              <w:jc w:val="right"/>
              <w:rPr>
                <w:rFonts w:eastAsia="Times New Roman" w:cs="Times New Roman"/>
                <w:sz w:val="18"/>
                <w:szCs w:val="14"/>
                <w:lang w:eastAsia="lv-LV"/>
              </w:rPr>
            </w:pPr>
            <w:r w:rsidRPr="00096780">
              <w:rPr>
                <w:sz w:val="18"/>
                <w:szCs w:val="14"/>
              </w:rPr>
              <w:t>0,6</w:t>
            </w:r>
          </w:p>
        </w:tc>
        <w:tc>
          <w:tcPr>
            <w:tcW w:w="850" w:type="dxa"/>
            <w:shd w:val="clear" w:color="auto" w:fill="auto"/>
            <w:noWrap/>
            <w:hideMark/>
          </w:tcPr>
          <w:p w14:paraId="5A665A55" w14:textId="2E16756C" w:rsidR="001B1AA2" w:rsidRPr="00096780" w:rsidRDefault="001B1AA2" w:rsidP="001B1AA2">
            <w:pPr>
              <w:spacing w:line="276" w:lineRule="auto"/>
              <w:ind w:firstLine="0"/>
              <w:jc w:val="right"/>
              <w:rPr>
                <w:rFonts w:eastAsia="Times New Roman" w:cs="Times New Roman"/>
                <w:sz w:val="18"/>
                <w:szCs w:val="14"/>
                <w:lang w:eastAsia="lv-LV"/>
              </w:rPr>
            </w:pPr>
            <w:r w:rsidRPr="00096780">
              <w:rPr>
                <w:sz w:val="18"/>
                <w:szCs w:val="14"/>
              </w:rPr>
              <w:t>0,8</w:t>
            </w:r>
          </w:p>
        </w:tc>
        <w:tc>
          <w:tcPr>
            <w:tcW w:w="851" w:type="dxa"/>
            <w:shd w:val="clear" w:color="auto" w:fill="auto"/>
            <w:noWrap/>
            <w:hideMark/>
          </w:tcPr>
          <w:p w14:paraId="23A456CE" w14:textId="2EA3723F" w:rsidR="001B1AA2" w:rsidRPr="00096780" w:rsidRDefault="001B1AA2" w:rsidP="001B1AA2">
            <w:pPr>
              <w:spacing w:line="276" w:lineRule="auto"/>
              <w:ind w:firstLine="0"/>
              <w:jc w:val="right"/>
              <w:rPr>
                <w:rFonts w:eastAsia="Times New Roman" w:cs="Times New Roman"/>
                <w:sz w:val="18"/>
                <w:szCs w:val="14"/>
                <w:lang w:eastAsia="lv-LV"/>
              </w:rPr>
            </w:pPr>
            <w:r w:rsidRPr="00096780">
              <w:rPr>
                <w:sz w:val="18"/>
                <w:szCs w:val="14"/>
              </w:rPr>
              <w:t>1,0</w:t>
            </w:r>
          </w:p>
        </w:tc>
        <w:tc>
          <w:tcPr>
            <w:tcW w:w="850" w:type="dxa"/>
            <w:shd w:val="clear" w:color="auto" w:fill="auto"/>
            <w:noWrap/>
            <w:hideMark/>
          </w:tcPr>
          <w:p w14:paraId="72A2F433" w14:textId="4F62B5B3" w:rsidR="001B1AA2" w:rsidRPr="00096780" w:rsidRDefault="001B1AA2" w:rsidP="001B1AA2">
            <w:pPr>
              <w:spacing w:line="276" w:lineRule="auto"/>
              <w:ind w:firstLine="0"/>
              <w:jc w:val="right"/>
              <w:rPr>
                <w:rFonts w:eastAsia="Times New Roman" w:cs="Times New Roman"/>
                <w:sz w:val="18"/>
                <w:szCs w:val="14"/>
                <w:lang w:eastAsia="lv-LV"/>
              </w:rPr>
            </w:pPr>
            <w:r w:rsidRPr="00096780">
              <w:rPr>
                <w:sz w:val="18"/>
                <w:szCs w:val="14"/>
              </w:rPr>
              <w:t>1,1</w:t>
            </w:r>
          </w:p>
        </w:tc>
      </w:tr>
      <w:tr w:rsidR="001B1AA2" w:rsidRPr="00085AFE" w14:paraId="31287069" w14:textId="77777777" w:rsidTr="00D312B1">
        <w:trPr>
          <w:trHeight w:val="58"/>
        </w:trPr>
        <w:tc>
          <w:tcPr>
            <w:tcW w:w="3686" w:type="dxa"/>
            <w:shd w:val="clear" w:color="auto" w:fill="auto"/>
            <w:noWrap/>
            <w:vAlign w:val="center"/>
            <w:hideMark/>
          </w:tcPr>
          <w:p w14:paraId="5CE54D63" w14:textId="77777777" w:rsidR="001B1AA2" w:rsidRPr="001B1AA2" w:rsidRDefault="001B1AA2" w:rsidP="001B1AA2">
            <w:pPr>
              <w:spacing w:line="276" w:lineRule="auto"/>
              <w:ind w:firstLine="0"/>
              <w:jc w:val="left"/>
              <w:rPr>
                <w:rFonts w:eastAsia="Times New Roman" w:cs="Times New Roman"/>
                <w:b/>
                <w:bCs/>
                <w:sz w:val="18"/>
                <w:szCs w:val="18"/>
                <w:lang w:eastAsia="lv-LV"/>
              </w:rPr>
            </w:pPr>
            <w:r w:rsidRPr="001B1AA2">
              <w:rPr>
                <w:rFonts w:eastAsia="Times New Roman" w:cs="Times New Roman"/>
                <w:b/>
                <w:bCs/>
                <w:sz w:val="18"/>
                <w:szCs w:val="18"/>
                <w:lang w:eastAsia="lv-LV"/>
              </w:rPr>
              <w:t>5. Krājumu izmaiņas</w:t>
            </w:r>
          </w:p>
        </w:tc>
        <w:tc>
          <w:tcPr>
            <w:tcW w:w="1134" w:type="dxa"/>
            <w:shd w:val="clear" w:color="auto" w:fill="auto"/>
            <w:vAlign w:val="center"/>
            <w:hideMark/>
          </w:tcPr>
          <w:p w14:paraId="63D6BE3B" w14:textId="77777777" w:rsidR="001B1AA2" w:rsidRPr="00096780" w:rsidRDefault="001B1AA2" w:rsidP="001B1AA2">
            <w:pPr>
              <w:spacing w:line="276" w:lineRule="auto"/>
              <w:ind w:firstLine="0"/>
              <w:jc w:val="left"/>
              <w:rPr>
                <w:rFonts w:eastAsia="Times New Roman" w:cs="Times New Roman"/>
                <w:sz w:val="18"/>
                <w:szCs w:val="18"/>
                <w:lang w:eastAsia="lv-LV"/>
              </w:rPr>
            </w:pPr>
            <w:r w:rsidRPr="00096780">
              <w:rPr>
                <w:rFonts w:eastAsia="Times New Roman" w:cs="Times New Roman"/>
                <w:sz w:val="18"/>
                <w:szCs w:val="18"/>
                <w:lang w:eastAsia="lv-LV"/>
              </w:rPr>
              <w:t> </w:t>
            </w:r>
          </w:p>
        </w:tc>
        <w:tc>
          <w:tcPr>
            <w:tcW w:w="850" w:type="dxa"/>
            <w:shd w:val="clear" w:color="auto" w:fill="auto"/>
            <w:noWrap/>
            <w:hideMark/>
          </w:tcPr>
          <w:p w14:paraId="404CD385" w14:textId="18E17390" w:rsidR="001B1AA2" w:rsidRPr="00096780" w:rsidRDefault="001B1AA2" w:rsidP="001B1AA2">
            <w:pPr>
              <w:spacing w:line="276" w:lineRule="auto"/>
              <w:ind w:firstLine="0"/>
              <w:jc w:val="right"/>
              <w:rPr>
                <w:rFonts w:eastAsia="Times New Roman" w:cs="Times New Roman"/>
                <w:sz w:val="18"/>
                <w:szCs w:val="14"/>
                <w:lang w:eastAsia="lv-LV"/>
              </w:rPr>
            </w:pPr>
            <w:r w:rsidRPr="00096780">
              <w:rPr>
                <w:sz w:val="18"/>
                <w:szCs w:val="14"/>
              </w:rPr>
              <w:t>-1,6</w:t>
            </w:r>
          </w:p>
        </w:tc>
        <w:tc>
          <w:tcPr>
            <w:tcW w:w="851" w:type="dxa"/>
            <w:shd w:val="clear" w:color="auto" w:fill="auto"/>
            <w:noWrap/>
            <w:hideMark/>
          </w:tcPr>
          <w:p w14:paraId="5E5B7958" w14:textId="61B0B29C" w:rsidR="001B1AA2" w:rsidRPr="00096780" w:rsidRDefault="001B1AA2" w:rsidP="001B1AA2">
            <w:pPr>
              <w:spacing w:line="276" w:lineRule="auto"/>
              <w:ind w:firstLine="0"/>
              <w:jc w:val="right"/>
              <w:rPr>
                <w:rFonts w:eastAsia="Times New Roman" w:cs="Times New Roman"/>
                <w:sz w:val="18"/>
                <w:szCs w:val="14"/>
                <w:lang w:eastAsia="lv-LV"/>
              </w:rPr>
            </w:pPr>
            <w:r w:rsidRPr="00096780">
              <w:rPr>
                <w:sz w:val="18"/>
                <w:szCs w:val="14"/>
              </w:rPr>
              <w:t>-1,0</w:t>
            </w:r>
          </w:p>
        </w:tc>
        <w:tc>
          <w:tcPr>
            <w:tcW w:w="850" w:type="dxa"/>
            <w:shd w:val="clear" w:color="auto" w:fill="auto"/>
            <w:noWrap/>
            <w:hideMark/>
          </w:tcPr>
          <w:p w14:paraId="764B119D" w14:textId="52C100D5" w:rsidR="001B1AA2" w:rsidRPr="00096780" w:rsidRDefault="001B1AA2" w:rsidP="001B1AA2">
            <w:pPr>
              <w:spacing w:line="276" w:lineRule="auto"/>
              <w:ind w:firstLine="0"/>
              <w:jc w:val="right"/>
              <w:rPr>
                <w:rFonts w:eastAsia="Times New Roman" w:cs="Times New Roman"/>
                <w:sz w:val="18"/>
                <w:szCs w:val="14"/>
                <w:lang w:eastAsia="lv-LV"/>
              </w:rPr>
            </w:pPr>
            <w:r w:rsidRPr="00096780">
              <w:rPr>
                <w:sz w:val="18"/>
                <w:szCs w:val="14"/>
              </w:rPr>
              <w:t>-0,2</w:t>
            </w:r>
          </w:p>
        </w:tc>
        <w:tc>
          <w:tcPr>
            <w:tcW w:w="851" w:type="dxa"/>
            <w:shd w:val="clear" w:color="auto" w:fill="auto"/>
            <w:noWrap/>
            <w:hideMark/>
          </w:tcPr>
          <w:p w14:paraId="38EF9C69" w14:textId="5149D660" w:rsidR="001B1AA2" w:rsidRPr="00096780" w:rsidRDefault="001B1AA2" w:rsidP="001B1AA2">
            <w:pPr>
              <w:spacing w:line="276" w:lineRule="auto"/>
              <w:ind w:firstLine="0"/>
              <w:jc w:val="right"/>
              <w:rPr>
                <w:rFonts w:eastAsia="Times New Roman" w:cs="Times New Roman"/>
                <w:sz w:val="18"/>
                <w:szCs w:val="14"/>
                <w:lang w:eastAsia="lv-LV"/>
              </w:rPr>
            </w:pPr>
            <w:r w:rsidRPr="00096780">
              <w:rPr>
                <w:sz w:val="18"/>
                <w:szCs w:val="14"/>
              </w:rPr>
              <w:t>0,6</w:t>
            </w:r>
          </w:p>
        </w:tc>
        <w:tc>
          <w:tcPr>
            <w:tcW w:w="850" w:type="dxa"/>
            <w:shd w:val="clear" w:color="auto" w:fill="auto"/>
            <w:noWrap/>
            <w:hideMark/>
          </w:tcPr>
          <w:p w14:paraId="5B504308" w14:textId="18B20967" w:rsidR="001B1AA2" w:rsidRPr="00096780" w:rsidRDefault="001B1AA2" w:rsidP="001B1AA2">
            <w:pPr>
              <w:spacing w:line="276" w:lineRule="auto"/>
              <w:ind w:firstLine="0"/>
              <w:jc w:val="right"/>
              <w:rPr>
                <w:rFonts w:eastAsia="Times New Roman" w:cs="Times New Roman"/>
                <w:sz w:val="18"/>
                <w:szCs w:val="14"/>
                <w:lang w:eastAsia="lv-LV"/>
              </w:rPr>
            </w:pPr>
            <w:r w:rsidRPr="00096780">
              <w:rPr>
                <w:sz w:val="18"/>
                <w:szCs w:val="14"/>
              </w:rPr>
              <w:t>0,7</w:t>
            </w:r>
          </w:p>
        </w:tc>
      </w:tr>
      <w:tr w:rsidR="001B1AA2" w:rsidRPr="00085AFE" w14:paraId="6121E131" w14:textId="77777777" w:rsidTr="00D312B1">
        <w:trPr>
          <w:trHeight w:val="50"/>
        </w:trPr>
        <w:tc>
          <w:tcPr>
            <w:tcW w:w="3686" w:type="dxa"/>
            <w:shd w:val="clear" w:color="auto" w:fill="auto"/>
            <w:vAlign w:val="center"/>
            <w:hideMark/>
          </w:tcPr>
          <w:p w14:paraId="776D3233" w14:textId="77777777" w:rsidR="001B1AA2" w:rsidRPr="001B1AA2" w:rsidRDefault="001B1AA2" w:rsidP="001B1AA2">
            <w:pPr>
              <w:spacing w:line="276" w:lineRule="auto"/>
              <w:ind w:firstLine="0"/>
              <w:jc w:val="left"/>
              <w:rPr>
                <w:rFonts w:eastAsia="Times New Roman" w:cs="Times New Roman"/>
                <w:b/>
                <w:bCs/>
                <w:sz w:val="18"/>
                <w:szCs w:val="18"/>
                <w:lang w:eastAsia="lv-LV"/>
              </w:rPr>
            </w:pPr>
            <w:r w:rsidRPr="001B1AA2">
              <w:rPr>
                <w:rFonts w:eastAsia="Times New Roman" w:cs="Times New Roman"/>
                <w:b/>
                <w:bCs/>
                <w:sz w:val="18"/>
                <w:szCs w:val="18"/>
                <w:lang w:eastAsia="lv-LV"/>
              </w:rPr>
              <w:t>Valsts parāda netiešā procentu likme</w:t>
            </w:r>
          </w:p>
        </w:tc>
        <w:tc>
          <w:tcPr>
            <w:tcW w:w="1134" w:type="dxa"/>
            <w:shd w:val="clear" w:color="auto" w:fill="auto"/>
            <w:noWrap/>
            <w:vAlign w:val="center"/>
            <w:hideMark/>
          </w:tcPr>
          <w:p w14:paraId="332BC85D" w14:textId="77777777" w:rsidR="001B1AA2" w:rsidRPr="00096780" w:rsidRDefault="001B1AA2" w:rsidP="001B1AA2">
            <w:pPr>
              <w:spacing w:line="276" w:lineRule="auto"/>
              <w:ind w:firstLine="0"/>
              <w:jc w:val="left"/>
              <w:rPr>
                <w:rFonts w:eastAsia="Times New Roman" w:cs="Times New Roman"/>
                <w:sz w:val="18"/>
                <w:szCs w:val="18"/>
                <w:lang w:eastAsia="lv-LV"/>
              </w:rPr>
            </w:pPr>
            <w:r w:rsidRPr="00096780">
              <w:rPr>
                <w:rFonts w:eastAsia="Times New Roman" w:cs="Times New Roman"/>
                <w:sz w:val="18"/>
                <w:szCs w:val="18"/>
                <w:lang w:eastAsia="lv-LV"/>
              </w:rPr>
              <w:t> </w:t>
            </w:r>
          </w:p>
        </w:tc>
        <w:tc>
          <w:tcPr>
            <w:tcW w:w="850" w:type="dxa"/>
            <w:shd w:val="clear" w:color="auto" w:fill="auto"/>
            <w:noWrap/>
            <w:hideMark/>
          </w:tcPr>
          <w:p w14:paraId="31B258C0" w14:textId="011F76CF" w:rsidR="001B1AA2" w:rsidRPr="00096780" w:rsidRDefault="001B1AA2" w:rsidP="001B1AA2">
            <w:pPr>
              <w:spacing w:line="276" w:lineRule="auto"/>
              <w:ind w:firstLine="0"/>
              <w:jc w:val="right"/>
              <w:rPr>
                <w:rFonts w:eastAsia="Times New Roman" w:cs="Times New Roman"/>
                <w:sz w:val="18"/>
                <w:szCs w:val="14"/>
                <w:lang w:eastAsia="lv-LV"/>
              </w:rPr>
            </w:pPr>
            <w:r w:rsidRPr="00096780">
              <w:rPr>
                <w:sz w:val="18"/>
                <w:szCs w:val="14"/>
              </w:rPr>
              <w:t>1,4</w:t>
            </w:r>
          </w:p>
        </w:tc>
        <w:tc>
          <w:tcPr>
            <w:tcW w:w="851" w:type="dxa"/>
            <w:shd w:val="clear" w:color="auto" w:fill="auto"/>
            <w:noWrap/>
            <w:hideMark/>
          </w:tcPr>
          <w:p w14:paraId="220383BC" w14:textId="2F1D9421" w:rsidR="001B1AA2" w:rsidRPr="00096780" w:rsidRDefault="001B1AA2" w:rsidP="001B1AA2">
            <w:pPr>
              <w:spacing w:line="276" w:lineRule="auto"/>
              <w:ind w:firstLine="0"/>
              <w:jc w:val="right"/>
              <w:rPr>
                <w:rFonts w:eastAsia="Times New Roman" w:cs="Times New Roman"/>
                <w:sz w:val="18"/>
                <w:szCs w:val="14"/>
                <w:lang w:eastAsia="lv-LV"/>
              </w:rPr>
            </w:pPr>
            <w:r w:rsidRPr="00096780">
              <w:rPr>
                <w:sz w:val="18"/>
                <w:szCs w:val="14"/>
              </w:rPr>
              <w:t>1,7</w:t>
            </w:r>
          </w:p>
        </w:tc>
        <w:tc>
          <w:tcPr>
            <w:tcW w:w="850" w:type="dxa"/>
            <w:shd w:val="clear" w:color="auto" w:fill="auto"/>
            <w:noWrap/>
            <w:hideMark/>
          </w:tcPr>
          <w:p w14:paraId="7BE18FCC" w14:textId="1CC880EC" w:rsidR="001B1AA2" w:rsidRPr="00096780" w:rsidRDefault="001B1AA2" w:rsidP="001B1AA2">
            <w:pPr>
              <w:spacing w:line="276" w:lineRule="auto"/>
              <w:ind w:firstLine="0"/>
              <w:jc w:val="right"/>
              <w:rPr>
                <w:rFonts w:eastAsia="Times New Roman" w:cs="Times New Roman"/>
                <w:sz w:val="18"/>
                <w:szCs w:val="14"/>
                <w:lang w:eastAsia="lv-LV"/>
              </w:rPr>
            </w:pPr>
            <w:r w:rsidRPr="00096780">
              <w:rPr>
                <w:sz w:val="18"/>
                <w:szCs w:val="14"/>
              </w:rPr>
              <w:t>2,2</w:t>
            </w:r>
          </w:p>
        </w:tc>
        <w:tc>
          <w:tcPr>
            <w:tcW w:w="851" w:type="dxa"/>
            <w:shd w:val="clear" w:color="auto" w:fill="auto"/>
            <w:noWrap/>
            <w:hideMark/>
          </w:tcPr>
          <w:p w14:paraId="17567069" w14:textId="53068EED" w:rsidR="001B1AA2" w:rsidRPr="00096780" w:rsidRDefault="001B1AA2" w:rsidP="001B1AA2">
            <w:pPr>
              <w:spacing w:line="276" w:lineRule="auto"/>
              <w:ind w:firstLine="0"/>
              <w:jc w:val="right"/>
              <w:rPr>
                <w:rFonts w:eastAsia="Times New Roman" w:cs="Times New Roman"/>
                <w:sz w:val="18"/>
                <w:szCs w:val="14"/>
                <w:lang w:eastAsia="lv-LV"/>
              </w:rPr>
            </w:pPr>
            <w:r w:rsidRPr="00096780">
              <w:rPr>
                <w:sz w:val="18"/>
                <w:szCs w:val="14"/>
              </w:rPr>
              <w:t>2,7</w:t>
            </w:r>
          </w:p>
        </w:tc>
        <w:tc>
          <w:tcPr>
            <w:tcW w:w="850" w:type="dxa"/>
            <w:shd w:val="clear" w:color="auto" w:fill="auto"/>
            <w:noWrap/>
            <w:hideMark/>
          </w:tcPr>
          <w:p w14:paraId="6A2323D0" w14:textId="3DA5EA3C" w:rsidR="001B1AA2" w:rsidRPr="00096780" w:rsidRDefault="001B1AA2" w:rsidP="001B1AA2">
            <w:pPr>
              <w:spacing w:line="276" w:lineRule="auto"/>
              <w:ind w:firstLine="0"/>
              <w:jc w:val="right"/>
              <w:rPr>
                <w:rFonts w:eastAsia="Times New Roman" w:cs="Times New Roman"/>
                <w:sz w:val="18"/>
                <w:szCs w:val="14"/>
                <w:lang w:eastAsia="lv-LV"/>
              </w:rPr>
            </w:pPr>
            <w:r w:rsidRPr="00096780">
              <w:rPr>
                <w:sz w:val="18"/>
                <w:szCs w:val="14"/>
              </w:rPr>
              <w:t>2,8</w:t>
            </w:r>
          </w:p>
        </w:tc>
      </w:tr>
      <w:tr w:rsidR="00630809" w:rsidRPr="00085AFE" w14:paraId="164F9D10" w14:textId="77777777" w:rsidTr="007C75DF">
        <w:trPr>
          <w:trHeight w:val="409"/>
        </w:trPr>
        <w:tc>
          <w:tcPr>
            <w:tcW w:w="9072" w:type="dxa"/>
            <w:gridSpan w:val="7"/>
            <w:shd w:val="clear" w:color="auto" w:fill="DEEAF6" w:themeFill="accent1" w:themeFillTint="33"/>
            <w:vAlign w:val="center"/>
            <w:hideMark/>
          </w:tcPr>
          <w:p w14:paraId="6BC8ED97" w14:textId="77777777" w:rsidR="00630809" w:rsidRPr="001B1AA2" w:rsidRDefault="00630809" w:rsidP="006419B6">
            <w:pPr>
              <w:spacing w:line="276" w:lineRule="auto"/>
              <w:ind w:firstLine="0"/>
              <w:jc w:val="center"/>
              <w:rPr>
                <w:rFonts w:eastAsia="Times New Roman" w:cs="Times New Roman"/>
                <w:b/>
                <w:bCs/>
                <w:sz w:val="18"/>
                <w:szCs w:val="18"/>
                <w:lang w:eastAsia="lv-LV"/>
              </w:rPr>
            </w:pPr>
            <w:r w:rsidRPr="001B1AA2">
              <w:rPr>
                <w:rFonts w:eastAsia="Times New Roman" w:cs="Times New Roman"/>
                <w:b/>
                <w:bCs/>
                <w:sz w:val="18"/>
                <w:szCs w:val="18"/>
                <w:lang w:eastAsia="lv-LV"/>
              </w:rPr>
              <w:t>Citi mainīgie</w:t>
            </w:r>
          </w:p>
        </w:tc>
      </w:tr>
      <w:tr w:rsidR="001B1AA2" w:rsidRPr="00085AFE" w14:paraId="66F30C19" w14:textId="77777777" w:rsidTr="00B50C4A">
        <w:trPr>
          <w:trHeight w:val="50"/>
        </w:trPr>
        <w:tc>
          <w:tcPr>
            <w:tcW w:w="3686" w:type="dxa"/>
            <w:shd w:val="clear" w:color="auto" w:fill="auto"/>
            <w:noWrap/>
            <w:vAlign w:val="center"/>
            <w:hideMark/>
          </w:tcPr>
          <w:p w14:paraId="0749352D" w14:textId="77777777" w:rsidR="001B1AA2" w:rsidRPr="001B1AA2" w:rsidRDefault="001B1AA2" w:rsidP="001B1AA2">
            <w:pPr>
              <w:spacing w:line="276" w:lineRule="auto"/>
              <w:ind w:firstLine="0"/>
              <w:jc w:val="left"/>
              <w:rPr>
                <w:rFonts w:eastAsia="Times New Roman" w:cs="Times New Roman"/>
                <w:b/>
                <w:bCs/>
                <w:sz w:val="18"/>
                <w:szCs w:val="18"/>
                <w:lang w:eastAsia="lv-LV"/>
              </w:rPr>
            </w:pPr>
            <w:r w:rsidRPr="001B1AA2">
              <w:rPr>
                <w:rFonts w:eastAsia="Times New Roman" w:cs="Times New Roman"/>
                <w:b/>
                <w:bCs/>
                <w:sz w:val="18"/>
                <w:szCs w:val="18"/>
                <w:lang w:eastAsia="lv-LV"/>
              </w:rPr>
              <w:t>6. Likvīdi finanšu aktīvi</w:t>
            </w:r>
          </w:p>
        </w:tc>
        <w:tc>
          <w:tcPr>
            <w:tcW w:w="1134" w:type="dxa"/>
            <w:shd w:val="clear" w:color="auto" w:fill="auto"/>
            <w:noWrap/>
            <w:vAlign w:val="center"/>
            <w:hideMark/>
          </w:tcPr>
          <w:p w14:paraId="1E89A1F8" w14:textId="77777777" w:rsidR="001B1AA2" w:rsidRPr="00862FCD" w:rsidRDefault="001B1AA2" w:rsidP="001B1AA2">
            <w:pPr>
              <w:spacing w:line="276" w:lineRule="auto"/>
              <w:ind w:firstLine="0"/>
              <w:jc w:val="left"/>
              <w:rPr>
                <w:rFonts w:eastAsia="Times New Roman" w:cs="Times New Roman"/>
                <w:sz w:val="18"/>
                <w:szCs w:val="18"/>
                <w:lang w:eastAsia="lv-LV"/>
              </w:rPr>
            </w:pPr>
            <w:r w:rsidRPr="00862FCD">
              <w:rPr>
                <w:rFonts w:eastAsia="Times New Roman" w:cs="Times New Roman"/>
                <w:sz w:val="18"/>
                <w:szCs w:val="18"/>
                <w:lang w:eastAsia="lv-LV"/>
              </w:rPr>
              <w:t> </w:t>
            </w:r>
          </w:p>
        </w:tc>
        <w:tc>
          <w:tcPr>
            <w:tcW w:w="850" w:type="dxa"/>
            <w:shd w:val="clear" w:color="auto" w:fill="auto"/>
            <w:noWrap/>
            <w:hideMark/>
          </w:tcPr>
          <w:p w14:paraId="2117576D" w14:textId="2117D092" w:rsidR="001B1AA2" w:rsidRPr="00096780" w:rsidRDefault="001B1AA2" w:rsidP="001B1AA2">
            <w:pPr>
              <w:spacing w:line="276" w:lineRule="auto"/>
              <w:ind w:firstLine="0"/>
              <w:jc w:val="right"/>
              <w:rPr>
                <w:rFonts w:eastAsia="Times New Roman" w:cs="Times New Roman"/>
                <w:sz w:val="18"/>
                <w:szCs w:val="14"/>
                <w:lang w:eastAsia="lv-LV"/>
              </w:rPr>
            </w:pPr>
            <w:r w:rsidRPr="00096780">
              <w:rPr>
                <w:sz w:val="18"/>
                <w:szCs w:val="14"/>
              </w:rPr>
              <w:t>9,3</w:t>
            </w:r>
          </w:p>
        </w:tc>
        <w:tc>
          <w:tcPr>
            <w:tcW w:w="851" w:type="dxa"/>
            <w:shd w:val="clear" w:color="auto" w:fill="auto"/>
            <w:noWrap/>
            <w:hideMark/>
          </w:tcPr>
          <w:p w14:paraId="1781AA25" w14:textId="306070B1" w:rsidR="001B1AA2" w:rsidRPr="00096780" w:rsidRDefault="001B1AA2" w:rsidP="001B1AA2">
            <w:pPr>
              <w:spacing w:line="276" w:lineRule="auto"/>
              <w:ind w:firstLine="0"/>
              <w:jc w:val="left"/>
              <w:rPr>
                <w:rFonts w:eastAsia="Times New Roman" w:cs="Times New Roman"/>
                <w:sz w:val="18"/>
                <w:szCs w:val="14"/>
                <w:lang w:eastAsia="lv-LV"/>
              </w:rPr>
            </w:pPr>
          </w:p>
        </w:tc>
        <w:tc>
          <w:tcPr>
            <w:tcW w:w="850" w:type="dxa"/>
            <w:shd w:val="clear" w:color="auto" w:fill="auto"/>
            <w:noWrap/>
            <w:hideMark/>
          </w:tcPr>
          <w:p w14:paraId="64691419" w14:textId="7ECFF563" w:rsidR="001B1AA2" w:rsidRPr="00096780" w:rsidRDefault="001B1AA2" w:rsidP="001B1AA2">
            <w:pPr>
              <w:spacing w:line="276" w:lineRule="auto"/>
              <w:ind w:firstLine="0"/>
              <w:jc w:val="left"/>
              <w:rPr>
                <w:rFonts w:eastAsia="Times New Roman" w:cs="Times New Roman"/>
                <w:sz w:val="18"/>
                <w:szCs w:val="14"/>
                <w:lang w:eastAsia="lv-LV"/>
              </w:rPr>
            </w:pPr>
          </w:p>
        </w:tc>
        <w:tc>
          <w:tcPr>
            <w:tcW w:w="851" w:type="dxa"/>
            <w:shd w:val="clear" w:color="auto" w:fill="auto"/>
            <w:noWrap/>
            <w:hideMark/>
          </w:tcPr>
          <w:p w14:paraId="2E34E7F0" w14:textId="0B05D4EC" w:rsidR="001B1AA2" w:rsidRPr="00096780" w:rsidRDefault="001B1AA2" w:rsidP="001B1AA2">
            <w:pPr>
              <w:spacing w:line="276" w:lineRule="auto"/>
              <w:ind w:firstLine="0"/>
              <w:jc w:val="left"/>
              <w:rPr>
                <w:rFonts w:eastAsia="Times New Roman" w:cs="Times New Roman"/>
                <w:sz w:val="18"/>
                <w:szCs w:val="14"/>
                <w:lang w:eastAsia="lv-LV"/>
              </w:rPr>
            </w:pPr>
          </w:p>
        </w:tc>
        <w:tc>
          <w:tcPr>
            <w:tcW w:w="850" w:type="dxa"/>
            <w:shd w:val="clear" w:color="auto" w:fill="auto"/>
            <w:noWrap/>
            <w:hideMark/>
          </w:tcPr>
          <w:p w14:paraId="3EB2A865" w14:textId="79C6223F" w:rsidR="001B1AA2" w:rsidRPr="00096780" w:rsidRDefault="001B1AA2" w:rsidP="001B1AA2">
            <w:pPr>
              <w:spacing w:line="276" w:lineRule="auto"/>
              <w:ind w:firstLine="0"/>
              <w:jc w:val="left"/>
              <w:rPr>
                <w:rFonts w:eastAsia="Times New Roman" w:cs="Times New Roman"/>
                <w:sz w:val="18"/>
                <w:szCs w:val="14"/>
                <w:lang w:eastAsia="lv-LV"/>
              </w:rPr>
            </w:pPr>
          </w:p>
        </w:tc>
      </w:tr>
      <w:tr w:rsidR="001B1AA2" w:rsidRPr="00085AFE" w14:paraId="60A2079C" w14:textId="77777777" w:rsidTr="00B50C4A">
        <w:trPr>
          <w:trHeight w:val="50"/>
        </w:trPr>
        <w:tc>
          <w:tcPr>
            <w:tcW w:w="3686" w:type="dxa"/>
            <w:shd w:val="clear" w:color="auto" w:fill="auto"/>
            <w:noWrap/>
            <w:vAlign w:val="center"/>
            <w:hideMark/>
          </w:tcPr>
          <w:p w14:paraId="1523FA05" w14:textId="77777777" w:rsidR="001B1AA2" w:rsidRPr="001B1AA2" w:rsidRDefault="001B1AA2" w:rsidP="001B1AA2">
            <w:pPr>
              <w:spacing w:line="276" w:lineRule="auto"/>
              <w:ind w:firstLine="0"/>
              <w:jc w:val="left"/>
              <w:rPr>
                <w:rFonts w:eastAsia="Times New Roman" w:cs="Times New Roman"/>
                <w:b/>
                <w:bCs/>
                <w:sz w:val="18"/>
                <w:szCs w:val="18"/>
                <w:lang w:eastAsia="lv-LV"/>
              </w:rPr>
            </w:pPr>
            <w:r w:rsidRPr="001B1AA2">
              <w:rPr>
                <w:rFonts w:eastAsia="Times New Roman" w:cs="Times New Roman"/>
                <w:b/>
                <w:bCs/>
                <w:sz w:val="18"/>
                <w:szCs w:val="18"/>
                <w:lang w:eastAsia="lv-LV"/>
              </w:rPr>
              <w:t>7. Neto finansiālais parāds (7=1-6)</w:t>
            </w:r>
          </w:p>
        </w:tc>
        <w:tc>
          <w:tcPr>
            <w:tcW w:w="1134" w:type="dxa"/>
            <w:shd w:val="clear" w:color="auto" w:fill="auto"/>
            <w:noWrap/>
            <w:vAlign w:val="center"/>
            <w:hideMark/>
          </w:tcPr>
          <w:p w14:paraId="203B4A9D" w14:textId="77777777" w:rsidR="001B1AA2" w:rsidRPr="00862FCD" w:rsidRDefault="001B1AA2" w:rsidP="001B1AA2">
            <w:pPr>
              <w:spacing w:line="276" w:lineRule="auto"/>
              <w:ind w:firstLine="0"/>
              <w:jc w:val="left"/>
              <w:rPr>
                <w:rFonts w:eastAsia="Times New Roman" w:cs="Times New Roman"/>
                <w:sz w:val="18"/>
                <w:szCs w:val="18"/>
                <w:lang w:eastAsia="lv-LV"/>
              </w:rPr>
            </w:pPr>
            <w:r w:rsidRPr="00862FCD">
              <w:rPr>
                <w:rFonts w:eastAsia="Times New Roman" w:cs="Times New Roman"/>
                <w:sz w:val="18"/>
                <w:szCs w:val="18"/>
                <w:lang w:eastAsia="lv-LV"/>
              </w:rPr>
              <w:t> </w:t>
            </w:r>
          </w:p>
        </w:tc>
        <w:tc>
          <w:tcPr>
            <w:tcW w:w="850" w:type="dxa"/>
            <w:shd w:val="clear" w:color="auto" w:fill="auto"/>
            <w:noWrap/>
            <w:hideMark/>
          </w:tcPr>
          <w:p w14:paraId="1DAA36BD" w14:textId="29A94389" w:rsidR="001B1AA2" w:rsidRPr="00096780" w:rsidRDefault="001B1AA2" w:rsidP="001B1AA2">
            <w:pPr>
              <w:spacing w:line="276" w:lineRule="auto"/>
              <w:ind w:firstLine="0"/>
              <w:jc w:val="right"/>
              <w:rPr>
                <w:rFonts w:eastAsia="Times New Roman" w:cs="Times New Roman"/>
                <w:sz w:val="18"/>
                <w:szCs w:val="14"/>
                <w:lang w:eastAsia="lv-LV"/>
              </w:rPr>
            </w:pPr>
            <w:r w:rsidRPr="00096780">
              <w:rPr>
                <w:sz w:val="18"/>
                <w:szCs w:val="14"/>
              </w:rPr>
              <w:t>31,5</w:t>
            </w:r>
          </w:p>
        </w:tc>
        <w:tc>
          <w:tcPr>
            <w:tcW w:w="851" w:type="dxa"/>
            <w:shd w:val="clear" w:color="auto" w:fill="auto"/>
            <w:noWrap/>
            <w:hideMark/>
          </w:tcPr>
          <w:p w14:paraId="2602B200" w14:textId="38FE58F0" w:rsidR="001B1AA2" w:rsidRPr="00096780" w:rsidRDefault="001B1AA2" w:rsidP="001B1AA2">
            <w:pPr>
              <w:spacing w:line="276" w:lineRule="auto"/>
              <w:ind w:firstLine="0"/>
              <w:jc w:val="left"/>
              <w:rPr>
                <w:rFonts w:eastAsia="Times New Roman" w:cs="Times New Roman"/>
                <w:sz w:val="18"/>
                <w:szCs w:val="14"/>
                <w:lang w:eastAsia="lv-LV"/>
              </w:rPr>
            </w:pPr>
          </w:p>
        </w:tc>
        <w:tc>
          <w:tcPr>
            <w:tcW w:w="850" w:type="dxa"/>
            <w:shd w:val="clear" w:color="auto" w:fill="auto"/>
            <w:noWrap/>
            <w:hideMark/>
          </w:tcPr>
          <w:p w14:paraId="50736C76" w14:textId="10A6BBFE" w:rsidR="001B1AA2" w:rsidRPr="00096780" w:rsidRDefault="001B1AA2" w:rsidP="001B1AA2">
            <w:pPr>
              <w:spacing w:line="276" w:lineRule="auto"/>
              <w:ind w:firstLine="0"/>
              <w:jc w:val="left"/>
              <w:rPr>
                <w:rFonts w:eastAsia="Times New Roman" w:cs="Times New Roman"/>
                <w:sz w:val="18"/>
                <w:szCs w:val="14"/>
                <w:lang w:eastAsia="lv-LV"/>
              </w:rPr>
            </w:pPr>
          </w:p>
        </w:tc>
        <w:tc>
          <w:tcPr>
            <w:tcW w:w="851" w:type="dxa"/>
            <w:shd w:val="clear" w:color="auto" w:fill="auto"/>
            <w:noWrap/>
            <w:hideMark/>
          </w:tcPr>
          <w:p w14:paraId="7714C920" w14:textId="6786B9B7" w:rsidR="001B1AA2" w:rsidRPr="00096780" w:rsidRDefault="001B1AA2" w:rsidP="001B1AA2">
            <w:pPr>
              <w:spacing w:line="276" w:lineRule="auto"/>
              <w:ind w:firstLine="0"/>
              <w:jc w:val="left"/>
              <w:rPr>
                <w:rFonts w:eastAsia="Times New Roman" w:cs="Times New Roman"/>
                <w:sz w:val="18"/>
                <w:szCs w:val="14"/>
                <w:lang w:eastAsia="lv-LV"/>
              </w:rPr>
            </w:pPr>
          </w:p>
        </w:tc>
        <w:tc>
          <w:tcPr>
            <w:tcW w:w="850" w:type="dxa"/>
            <w:shd w:val="clear" w:color="auto" w:fill="auto"/>
            <w:noWrap/>
            <w:hideMark/>
          </w:tcPr>
          <w:p w14:paraId="7374BDCB" w14:textId="368F9565" w:rsidR="001B1AA2" w:rsidRPr="00096780" w:rsidRDefault="001B1AA2" w:rsidP="001B1AA2">
            <w:pPr>
              <w:spacing w:line="276" w:lineRule="auto"/>
              <w:ind w:firstLine="0"/>
              <w:jc w:val="left"/>
              <w:rPr>
                <w:rFonts w:eastAsia="Times New Roman" w:cs="Times New Roman"/>
                <w:sz w:val="18"/>
                <w:szCs w:val="14"/>
                <w:lang w:eastAsia="lv-LV"/>
              </w:rPr>
            </w:pPr>
          </w:p>
        </w:tc>
      </w:tr>
      <w:tr w:rsidR="001B1AA2" w:rsidRPr="00085AFE" w14:paraId="090F3654" w14:textId="77777777" w:rsidTr="00B50C4A">
        <w:trPr>
          <w:trHeight w:val="50"/>
        </w:trPr>
        <w:tc>
          <w:tcPr>
            <w:tcW w:w="3686" w:type="dxa"/>
            <w:shd w:val="clear" w:color="auto" w:fill="auto"/>
            <w:vAlign w:val="center"/>
            <w:hideMark/>
          </w:tcPr>
          <w:p w14:paraId="430AD70B" w14:textId="77777777" w:rsidR="001B1AA2" w:rsidRPr="001B1AA2" w:rsidRDefault="001B1AA2" w:rsidP="001B1AA2">
            <w:pPr>
              <w:spacing w:line="276" w:lineRule="auto"/>
              <w:ind w:firstLine="0"/>
              <w:jc w:val="left"/>
              <w:rPr>
                <w:rFonts w:eastAsia="Times New Roman" w:cs="Times New Roman"/>
                <w:b/>
                <w:bCs/>
                <w:sz w:val="18"/>
                <w:szCs w:val="18"/>
                <w:lang w:eastAsia="lv-LV"/>
              </w:rPr>
            </w:pPr>
            <w:r w:rsidRPr="001B1AA2">
              <w:rPr>
                <w:rFonts w:eastAsia="Times New Roman" w:cs="Times New Roman"/>
                <w:b/>
                <w:bCs/>
                <w:sz w:val="18"/>
                <w:szCs w:val="18"/>
                <w:lang w:eastAsia="lv-LV"/>
              </w:rPr>
              <w:t>8. Parāda amortizācija</w:t>
            </w:r>
          </w:p>
        </w:tc>
        <w:tc>
          <w:tcPr>
            <w:tcW w:w="1134" w:type="dxa"/>
            <w:shd w:val="clear" w:color="auto" w:fill="auto"/>
            <w:noWrap/>
            <w:vAlign w:val="center"/>
            <w:hideMark/>
          </w:tcPr>
          <w:p w14:paraId="11E8A601" w14:textId="77777777" w:rsidR="001B1AA2" w:rsidRPr="00862FCD" w:rsidRDefault="001B1AA2" w:rsidP="001B1AA2">
            <w:pPr>
              <w:spacing w:line="276" w:lineRule="auto"/>
              <w:ind w:firstLine="0"/>
              <w:jc w:val="right"/>
              <w:rPr>
                <w:rFonts w:eastAsia="Times New Roman" w:cs="Times New Roman"/>
                <w:color w:val="FF0000"/>
                <w:sz w:val="18"/>
                <w:szCs w:val="18"/>
                <w:lang w:eastAsia="lv-LV"/>
              </w:rPr>
            </w:pPr>
            <w:r w:rsidRPr="00862FCD">
              <w:rPr>
                <w:rFonts w:eastAsia="Times New Roman" w:cs="Times New Roman"/>
                <w:color w:val="FF0000"/>
                <w:sz w:val="18"/>
                <w:szCs w:val="18"/>
                <w:lang w:eastAsia="lv-LV"/>
              </w:rPr>
              <w:t> </w:t>
            </w:r>
          </w:p>
        </w:tc>
        <w:tc>
          <w:tcPr>
            <w:tcW w:w="850" w:type="dxa"/>
            <w:shd w:val="clear" w:color="auto" w:fill="auto"/>
            <w:noWrap/>
            <w:hideMark/>
          </w:tcPr>
          <w:p w14:paraId="25352225" w14:textId="5D90B815" w:rsidR="001B1AA2" w:rsidRPr="00096780" w:rsidRDefault="001B1AA2" w:rsidP="001B1AA2">
            <w:pPr>
              <w:spacing w:line="276" w:lineRule="auto"/>
              <w:ind w:firstLine="0"/>
              <w:jc w:val="right"/>
              <w:rPr>
                <w:rFonts w:eastAsia="Times New Roman" w:cs="Times New Roman"/>
                <w:sz w:val="18"/>
                <w:szCs w:val="14"/>
                <w:lang w:eastAsia="lv-LV"/>
              </w:rPr>
            </w:pPr>
            <w:r w:rsidRPr="00096780">
              <w:rPr>
                <w:sz w:val="18"/>
                <w:szCs w:val="14"/>
              </w:rPr>
              <w:t>1,6</w:t>
            </w:r>
          </w:p>
        </w:tc>
        <w:tc>
          <w:tcPr>
            <w:tcW w:w="851" w:type="dxa"/>
            <w:shd w:val="clear" w:color="auto" w:fill="auto"/>
            <w:noWrap/>
            <w:hideMark/>
          </w:tcPr>
          <w:p w14:paraId="026BBE9C" w14:textId="13F2EB41" w:rsidR="001B1AA2" w:rsidRPr="00096780" w:rsidRDefault="001B1AA2" w:rsidP="001B1AA2">
            <w:pPr>
              <w:spacing w:line="276" w:lineRule="auto"/>
              <w:ind w:firstLine="0"/>
              <w:jc w:val="right"/>
              <w:rPr>
                <w:rFonts w:eastAsia="Times New Roman" w:cs="Times New Roman"/>
                <w:sz w:val="18"/>
                <w:szCs w:val="14"/>
                <w:lang w:eastAsia="lv-LV"/>
              </w:rPr>
            </w:pPr>
            <w:r w:rsidRPr="00096780">
              <w:rPr>
                <w:sz w:val="18"/>
                <w:szCs w:val="14"/>
              </w:rPr>
              <w:t>3,5</w:t>
            </w:r>
          </w:p>
        </w:tc>
        <w:tc>
          <w:tcPr>
            <w:tcW w:w="850" w:type="dxa"/>
            <w:shd w:val="clear" w:color="auto" w:fill="auto"/>
            <w:noWrap/>
            <w:hideMark/>
          </w:tcPr>
          <w:p w14:paraId="7A7C1FFD" w14:textId="6937C61F" w:rsidR="001B1AA2" w:rsidRPr="00096780" w:rsidRDefault="001B1AA2" w:rsidP="001B1AA2">
            <w:pPr>
              <w:spacing w:line="276" w:lineRule="auto"/>
              <w:ind w:firstLine="0"/>
              <w:jc w:val="right"/>
              <w:rPr>
                <w:rFonts w:eastAsia="Times New Roman" w:cs="Times New Roman"/>
                <w:sz w:val="18"/>
                <w:szCs w:val="14"/>
                <w:lang w:eastAsia="lv-LV"/>
              </w:rPr>
            </w:pPr>
            <w:r w:rsidRPr="00096780">
              <w:rPr>
                <w:sz w:val="18"/>
                <w:szCs w:val="14"/>
              </w:rPr>
              <w:t>2,9</w:t>
            </w:r>
          </w:p>
        </w:tc>
        <w:tc>
          <w:tcPr>
            <w:tcW w:w="851" w:type="dxa"/>
            <w:shd w:val="clear" w:color="auto" w:fill="auto"/>
            <w:noWrap/>
            <w:hideMark/>
          </w:tcPr>
          <w:p w14:paraId="06E42B65" w14:textId="1BB8853B" w:rsidR="001B1AA2" w:rsidRPr="00096780" w:rsidRDefault="001B1AA2" w:rsidP="001B1AA2">
            <w:pPr>
              <w:spacing w:line="276" w:lineRule="auto"/>
              <w:ind w:firstLine="0"/>
              <w:jc w:val="right"/>
              <w:rPr>
                <w:rFonts w:eastAsia="Times New Roman" w:cs="Times New Roman"/>
                <w:sz w:val="18"/>
                <w:szCs w:val="14"/>
                <w:lang w:eastAsia="lv-LV"/>
              </w:rPr>
            </w:pPr>
            <w:r w:rsidRPr="00096780">
              <w:rPr>
                <w:sz w:val="18"/>
                <w:szCs w:val="14"/>
              </w:rPr>
              <w:t>3,1</w:t>
            </w:r>
          </w:p>
        </w:tc>
        <w:tc>
          <w:tcPr>
            <w:tcW w:w="850" w:type="dxa"/>
            <w:shd w:val="clear" w:color="auto" w:fill="auto"/>
            <w:noWrap/>
            <w:hideMark/>
          </w:tcPr>
          <w:p w14:paraId="7A617D42" w14:textId="10DBE67A" w:rsidR="001B1AA2" w:rsidRPr="00096780" w:rsidRDefault="001B1AA2" w:rsidP="001B1AA2">
            <w:pPr>
              <w:spacing w:line="276" w:lineRule="auto"/>
              <w:ind w:firstLine="0"/>
              <w:jc w:val="right"/>
              <w:rPr>
                <w:rFonts w:eastAsia="Times New Roman" w:cs="Times New Roman"/>
                <w:sz w:val="18"/>
                <w:szCs w:val="14"/>
                <w:lang w:eastAsia="lv-LV"/>
              </w:rPr>
            </w:pPr>
            <w:r w:rsidRPr="00096780">
              <w:rPr>
                <w:sz w:val="18"/>
                <w:szCs w:val="14"/>
              </w:rPr>
              <w:t>3,7</w:t>
            </w:r>
          </w:p>
        </w:tc>
      </w:tr>
      <w:tr w:rsidR="001B1AA2" w:rsidRPr="00085AFE" w14:paraId="003E6F9C" w14:textId="77777777" w:rsidTr="00B50C4A">
        <w:trPr>
          <w:trHeight w:val="50"/>
        </w:trPr>
        <w:tc>
          <w:tcPr>
            <w:tcW w:w="3686" w:type="dxa"/>
            <w:shd w:val="clear" w:color="auto" w:fill="auto"/>
            <w:vAlign w:val="center"/>
            <w:hideMark/>
          </w:tcPr>
          <w:p w14:paraId="27A3F6FB" w14:textId="77777777" w:rsidR="001B1AA2" w:rsidRPr="001B1AA2" w:rsidRDefault="001B1AA2" w:rsidP="001B1AA2">
            <w:pPr>
              <w:spacing w:line="276" w:lineRule="auto"/>
              <w:ind w:firstLine="0"/>
              <w:jc w:val="left"/>
              <w:rPr>
                <w:rFonts w:eastAsia="Times New Roman" w:cs="Times New Roman"/>
                <w:b/>
                <w:bCs/>
                <w:sz w:val="18"/>
                <w:szCs w:val="18"/>
                <w:lang w:eastAsia="lv-LV"/>
              </w:rPr>
            </w:pPr>
            <w:r w:rsidRPr="001B1AA2">
              <w:rPr>
                <w:rFonts w:eastAsia="Times New Roman" w:cs="Times New Roman"/>
                <w:b/>
                <w:bCs/>
                <w:sz w:val="18"/>
                <w:szCs w:val="18"/>
                <w:lang w:eastAsia="lv-LV"/>
              </w:rPr>
              <w:t xml:space="preserve">9. Ārvalstu valūtā </w:t>
            </w:r>
            <w:proofErr w:type="spellStart"/>
            <w:r w:rsidRPr="001B1AA2">
              <w:rPr>
                <w:rFonts w:eastAsia="Times New Roman" w:cs="Times New Roman"/>
                <w:b/>
                <w:bCs/>
                <w:sz w:val="18"/>
                <w:szCs w:val="18"/>
                <w:lang w:eastAsia="lv-LV"/>
              </w:rPr>
              <w:t>denominētā</w:t>
            </w:r>
            <w:proofErr w:type="spellEnd"/>
            <w:r w:rsidRPr="001B1AA2">
              <w:rPr>
                <w:rFonts w:eastAsia="Times New Roman" w:cs="Times New Roman"/>
                <w:b/>
                <w:bCs/>
                <w:sz w:val="18"/>
                <w:szCs w:val="18"/>
                <w:lang w:eastAsia="lv-LV"/>
              </w:rPr>
              <w:t xml:space="preserve"> parāda īpatsvars</w:t>
            </w:r>
          </w:p>
        </w:tc>
        <w:tc>
          <w:tcPr>
            <w:tcW w:w="1134" w:type="dxa"/>
            <w:shd w:val="clear" w:color="auto" w:fill="auto"/>
            <w:noWrap/>
            <w:vAlign w:val="center"/>
            <w:hideMark/>
          </w:tcPr>
          <w:p w14:paraId="5846B314" w14:textId="77777777" w:rsidR="001B1AA2" w:rsidRPr="00862FCD" w:rsidRDefault="001B1AA2" w:rsidP="001B1AA2">
            <w:pPr>
              <w:spacing w:line="276" w:lineRule="auto"/>
              <w:ind w:firstLine="0"/>
              <w:jc w:val="left"/>
              <w:rPr>
                <w:rFonts w:eastAsia="Times New Roman" w:cs="Times New Roman"/>
                <w:sz w:val="18"/>
                <w:szCs w:val="18"/>
                <w:lang w:eastAsia="lv-LV"/>
              </w:rPr>
            </w:pPr>
            <w:r w:rsidRPr="00862FCD">
              <w:rPr>
                <w:rFonts w:eastAsia="Times New Roman" w:cs="Times New Roman"/>
                <w:sz w:val="18"/>
                <w:szCs w:val="18"/>
                <w:lang w:eastAsia="lv-LV"/>
              </w:rPr>
              <w:t> </w:t>
            </w:r>
          </w:p>
        </w:tc>
        <w:tc>
          <w:tcPr>
            <w:tcW w:w="850" w:type="dxa"/>
            <w:shd w:val="clear" w:color="auto" w:fill="auto"/>
            <w:noWrap/>
            <w:hideMark/>
          </w:tcPr>
          <w:p w14:paraId="2B50F370" w14:textId="5F259914" w:rsidR="001B1AA2" w:rsidRPr="00096780" w:rsidRDefault="001B1AA2" w:rsidP="001B1AA2">
            <w:pPr>
              <w:spacing w:line="276" w:lineRule="auto"/>
              <w:ind w:firstLine="0"/>
              <w:jc w:val="right"/>
              <w:rPr>
                <w:rFonts w:eastAsia="Times New Roman" w:cs="Times New Roman"/>
                <w:sz w:val="18"/>
                <w:szCs w:val="14"/>
                <w:lang w:eastAsia="lv-LV"/>
              </w:rPr>
            </w:pPr>
            <w:r w:rsidRPr="00096780">
              <w:rPr>
                <w:sz w:val="18"/>
                <w:szCs w:val="14"/>
              </w:rPr>
              <w:t>0,0</w:t>
            </w:r>
          </w:p>
        </w:tc>
        <w:tc>
          <w:tcPr>
            <w:tcW w:w="851" w:type="dxa"/>
            <w:shd w:val="clear" w:color="auto" w:fill="auto"/>
            <w:noWrap/>
            <w:hideMark/>
          </w:tcPr>
          <w:p w14:paraId="5B97DC1D" w14:textId="406E8E66" w:rsidR="001B1AA2" w:rsidRPr="00096780" w:rsidRDefault="001B1AA2" w:rsidP="001B1AA2">
            <w:pPr>
              <w:spacing w:line="276" w:lineRule="auto"/>
              <w:ind w:firstLine="0"/>
              <w:jc w:val="right"/>
              <w:rPr>
                <w:rFonts w:eastAsia="Times New Roman" w:cs="Times New Roman"/>
                <w:sz w:val="18"/>
                <w:szCs w:val="14"/>
                <w:lang w:eastAsia="lv-LV"/>
              </w:rPr>
            </w:pPr>
            <w:r w:rsidRPr="00096780">
              <w:rPr>
                <w:sz w:val="18"/>
                <w:szCs w:val="14"/>
              </w:rPr>
              <w:t>0,0</w:t>
            </w:r>
          </w:p>
        </w:tc>
        <w:tc>
          <w:tcPr>
            <w:tcW w:w="850" w:type="dxa"/>
            <w:shd w:val="clear" w:color="auto" w:fill="auto"/>
            <w:noWrap/>
            <w:hideMark/>
          </w:tcPr>
          <w:p w14:paraId="6BE428DD" w14:textId="6C59BBBD" w:rsidR="001B1AA2" w:rsidRPr="00096780" w:rsidRDefault="001B1AA2" w:rsidP="001B1AA2">
            <w:pPr>
              <w:spacing w:line="276" w:lineRule="auto"/>
              <w:ind w:firstLine="0"/>
              <w:jc w:val="right"/>
              <w:rPr>
                <w:rFonts w:eastAsia="Times New Roman" w:cs="Times New Roman"/>
                <w:sz w:val="18"/>
                <w:szCs w:val="14"/>
                <w:lang w:eastAsia="lv-LV"/>
              </w:rPr>
            </w:pPr>
            <w:r w:rsidRPr="00096780">
              <w:rPr>
                <w:sz w:val="18"/>
                <w:szCs w:val="14"/>
              </w:rPr>
              <w:t>0,0</w:t>
            </w:r>
          </w:p>
        </w:tc>
        <w:tc>
          <w:tcPr>
            <w:tcW w:w="851" w:type="dxa"/>
            <w:shd w:val="clear" w:color="auto" w:fill="auto"/>
            <w:noWrap/>
            <w:hideMark/>
          </w:tcPr>
          <w:p w14:paraId="2B008871" w14:textId="1FAFB9E0" w:rsidR="001B1AA2" w:rsidRPr="00096780" w:rsidRDefault="001B1AA2" w:rsidP="001B1AA2">
            <w:pPr>
              <w:spacing w:line="276" w:lineRule="auto"/>
              <w:ind w:firstLine="0"/>
              <w:jc w:val="right"/>
              <w:rPr>
                <w:rFonts w:eastAsia="Times New Roman" w:cs="Times New Roman"/>
                <w:sz w:val="18"/>
                <w:szCs w:val="14"/>
                <w:lang w:eastAsia="lv-LV"/>
              </w:rPr>
            </w:pPr>
            <w:r w:rsidRPr="00096780">
              <w:rPr>
                <w:sz w:val="18"/>
                <w:szCs w:val="14"/>
              </w:rPr>
              <w:t>0,0</w:t>
            </w:r>
          </w:p>
        </w:tc>
        <w:tc>
          <w:tcPr>
            <w:tcW w:w="850" w:type="dxa"/>
            <w:shd w:val="clear" w:color="auto" w:fill="auto"/>
            <w:noWrap/>
            <w:hideMark/>
          </w:tcPr>
          <w:p w14:paraId="4E7F2F17" w14:textId="337A828B" w:rsidR="001B1AA2" w:rsidRPr="00096780" w:rsidRDefault="001B1AA2" w:rsidP="001B1AA2">
            <w:pPr>
              <w:spacing w:line="276" w:lineRule="auto"/>
              <w:ind w:firstLine="0"/>
              <w:jc w:val="right"/>
              <w:rPr>
                <w:rFonts w:eastAsia="Times New Roman" w:cs="Times New Roman"/>
                <w:sz w:val="18"/>
                <w:szCs w:val="14"/>
                <w:lang w:eastAsia="lv-LV"/>
              </w:rPr>
            </w:pPr>
            <w:r w:rsidRPr="00096780">
              <w:rPr>
                <w:sz w:val="18"/>
                <w:szCs w:val="14"/>
              </w:rPr>
              <w:t>0,0</w:t>
            </w:r>
          </w:p>
        </w:tc>
      </w:tr>
      <w:tr w:rsidR="001B1AA2" w:rsidRPr="00085AFE" w14:paraId="002396B6" w14:textId="77777777" w:rsidTr="00B50C4A">
        <w:trPr>
          <w:trHeight w:val="50"/>
        </w:trPr>
        <w:tc>
          <w:tcPr>
            <w:tcW w:w="3686" w:type="dxa"/>
            <w:shd w:val="clear" w:color="auto" w:fill="auto"/>
            <w:noWrap/>
            <w:vAlign w:val="center"/>
            <w:hideMark/>
          </w:tcPr>
          <w:p w14:paraId="764C5683" w14:textId="77777777" w:rsidR="001B1AA2" w:rsidRPr="001B1AA2" w:rsidRDefault="001B1AA2" w:rsidP="001B1AA2">
            <w:pPr>
              <w:spacing w:line="276" w:lineRule="auto"/>
              <w:ind w:firstLine="0"/>
              <w:jc w:val="left"/>
              <w:rPr>
                <w:rFonts w:eastAsia="Times New Roman" w:cs="Times New Roman"/>
                <w:b/>
                <w:bCs/>
                <w:sz w:val="18"/>
                <w:szCs w:val="18"/>
                <w:lang w:eastAsia="lv-LV"/>
              </w:rPr>
            </w:pPr>
            <w:r w:rsidRPr="001B1AA2">
              <w:rPr>
                <w:rFonts w:eastAsia="Times New Roman" w:cs="Times New Roman"/>
                <w:b/>
                <w:bCs/>
                <w:sz w:val="18"/>
                <w:szCs w:val="18"/>
                <w:lang w:eastAsia="lv-LV"/>
              </w:rPr>
              <w:t xml:space="preserve">10. Vidējā dzēšana </w:t>
            </w:r>
          </w:p>
        </w:tc>
        <w:tc>
          <w:tcPr>
            <w:tcW w:w="1134" w:type="dxa"/>
            <w:shd w:val="clear" w:color="auto" w:fill="auto"/>
            <w:noWrap/>
            <w:vAlign w:val="center"/>
            <w:hideMark/>
          </w:tcPr>
          <w:p w14:paraId="699FCB30" w14:textId="77777777" w:rsidR="001B1AA2" w:rsidRPr="00862FCD" w:rsidRDefault="001B1AA2" w:rsidP="001B1AA2">
            <w:pPr>
              <w:spacing w:line="276" w:lineRule="auto"/>
              <w:ind w:firstLine="0"/>
              <w:jc w:val="left"/>
              <w:rPr>
                <w:rFonts w:eastAsia="Times New Roman" w:cs="Times New Roman"/>
                <w:sz w:val="18"/>
                <w:szCs w:val="18"/>
                <w:lang w:eastAsia="lv-LV"/>
              </w:rPr>
            </w:pPr>
            <w:r w:rsidRPr="00862FCD">
              <w:rPr>
                <w:rFonts w:eastAsia="Times New Roman" w:cs="Times New Roman"/>
                <w:sz w:val="18"/>
                <w:szCs w:val="18"/>
                <w:lang w:eastAsia="lv-LV"/>
              </w:rPr>
              <w:t> </w:t>
            </w:r>
          </w:p>
        </w:tc>
        <w:tc>
          <w:tcPr>
            <w:tcW w:w="850" w:type="dxa"/>
            <w:shd w:val="clear" w:color="auto" w:fill="auto"/>
            <w:noWrap/>
            <w:hideMark/>
          </w:tcPr>
          <w:p w14:paraId="3242D25F" w14:textId="71D094B8" w:rsidR="001B1AA2" w:rsidRPr="00096780" w:rsidRDefault="001B1AA2" w:rsidP="001B1AA2">
            <w:pPr>
              <w:spacing w:line="276" w:lineRule="auto"/>
              <w:ind w:firstLine="0"/>
              <w:jc w:val="right"/>
              <w:rPr>
                <w:rFonts w:eastAsia="Times New Roman" w:cs="Times New Roman"/>
                <w:sz w:val="18"/>
                <w:szCs w:val="14"/>
                <w:lang w:eastAsia="lv-LV"/>
              </w:rPr>
            </w:pPr>
            <w:r w:rsidRPr="00096780">
              <w:rPr>
                <w:sz w:val="18"/>
                <w:szCs w:val="14"/>
              </w:rPr>
              <w:t>6,58 gadi</w:t>
            </w:r>
          </w:p>
        </w:tc>
        <w:tc>
          <w:tcPr>
            <w:tcW w:w="851" w:type="dxa"/>
            <w:shd w:val="clear" w:color="auto" w:fill="auto"/>
            <w:noWrap/>
            <w:hideMark/>
          </w:tcPr>
          <w:p w14:paraId="488D497F" w14:textId="69E6594B" w:rsidR="001B1AA2" w:rsidRPr="00096780" w:rsidRDefault="001B1AA2" w:rsidP="001B1AA2">
            <w:pPr>
              <w:spacing w:line="276" w:lineRule="auto"/>
              <w:ind w:firstLine="0"/>
              <w:jc w:val="center"/>
              <w:rPr>
                <w:rFonts w:eastAsia="Times New Roman" w:cs="Times New Roman"/>
                <w:sz w:val="18"/>
                <w:szCs w:val="14"/>
                <w:lang w:eastAsia="lv-LV"/>
              </w:rPr>
            </w:pPr>
          </w:p>
        </w:tc>
        <w:tc>
          <w:tcPr>
            <w:tcW w:w="850" w:type="dxa"/>
            <w:shd w:val="clear" w:color="auto" w:fill="auto"/>
            <w:noWrap/>
            <w:hideMark/>
          </w:tcPr>
          <w:p w14:paraId="6F4975CF" w14:textId="44FC753A" w:rsidR="001B1AA2" w:rsidRPr="00096780" w:rsidRDefault="001B1AA2" w:rsidP="001B1AA2">
            <w:pPr>
              <w:spacing w:line="276" w:lineRule="auto"/>
              <w:ind w:firstLine="0"/>
              <w:jc w:val="center"/>
              <w:rPr>
                <w:rFonts w:eastAsia="Times New Roman" w:cs="Times New Roman"/>
                <w:sz w:val="18"/>
                <w:szCs w:val="14"/>
                <w:lang w:eastAsia="lv-LV"/>
              </w:rPr>
            </w:pPr>
          </w:p>
        </w:tc>
        <w:tc>
          <w:tcPr>
            <w:tcW w:w="851" w:type="dxa"/>
            <w:shd w:val="clear" w:color="auto" w:fill="auto"/>
            <w:noWrap/>
            <w:hideMark/>
          </w:tcPr>
          <w:p w14:paraId="70397CE2" w14:textId="242A09E3" w:rsidR="001B1AA2" w:rsidRPr="00096780" w:rsidRDefault="001B1AA2" w:rsidP="001B1AA2">
            <w:pPr>
              <w:spacing w:line="276" w:lineRule="auto"/>
              <w:ind w:firstLine="0"/>
              <w:jc w:val="center"/>
              <w:rPr>
                <w:rFonts w:eastAsia="Times New Roman" w:cs="Times New Roman"/>
                <w:sz w:val="18"/>
                <w:szCs w:val="14"/>
                <w:lang w:eastAsia="lv-LV"/>
              </w:rPr>
            </w:pPr>
          </w:p>
        </w:tc>
        <w:tc>
          <w:tcPr>
            <w:tcW w:w="850" w:type="dxa"/>
            <w:shd w:val="clear" w:color="auto" w:fill="auto"/>
            <w:noWrap/>
            <w:hideMark/>
          </w:tcPr>
          <w:p w14:paraId="6878DF83" w14:textId="7BCA1ECE" w:rsidR="001B1AA2" w:rsidRPr="00096780" w:rsidRDefault="001B1AA2" w:rsidP="001B1AA2">
            <w:pPr>
              <w:spacing w:line="276" w:lineRule="auto"/>
              <w:ind w:firstLine="0"/>
              <w:jc w:val="center"/>
              <w:rPr>
                <w:rFonts w:eastAsia="Times New Roman" w:cs="Times New Roman"/>
                <w:sz w:val="18"/>
                <w:szCs w:val="14"/>
                <w:lang w:eastAsia="lv-LV"/>
              </w:rPr>
            </w:pPr>
          </w:p>
        </w:tc>
      </w:tr>
    </w:tbl>
    <w:p w14:paraId="508318C5" w14:textId="77777777" w:rsidR="008D5244" w:rsidRDefault="008D5244" w:rsidP="008D5244">
      <w:pPr>
        <w:keepNext/>
        <w:spacing w:after="120"/>
        <w:ind w:firstLine="0"/>
        <w:jc w:val="left"/>
        <w:rPr>
          <w:rFonts w:cs="Times New Roman"/>
          <w:b/>
          <w:color w:val="000000"/>
          <w:sz w:val="24"/>
          <w:szCs w:val="24"/>
        </w:rPr>
      </w:pPr>
    </w:p>
    <w:p w14:paraId="65534B19" w14:textId="5AEE1F2F" w:rsidR="00A50770" w:rsidRPr="008D5244" w:rsidRDefault="008D5244" w:rsidP="008D5244">
      <w:pPr>
        <w:keepNext/>
        <w:spacing w:after="120"/>
        <w:ind w:firstLine="0"/>
        <w:jc w:val="left"/>
        <w:rPr>
          <w:rFonts w:eastAsia="Times New Roman" w:cs="Times New Roman"/>
          <w:b/>
          <w:color w:val="000000"/>
          <w:sz w:val="24"/>
          <w:szCs w:val="24"/>
        </w:rPr>
      </w:pPr>
      <w:r>
        <w:rPr>
          <w:rFonts w:cs="Times New Roman"/>
          <w:b/>
          <w:color w:val="000000"/>
          <w:sz w:val="24"/>
          <w:szCs w:val="24"/>
        </w:rPr>
        <w:t xml:space="preserve">5. </w:t>
      </w:r>
      <w:r w:rsidR="000F4627" w:rsidRPr="008D5244">
        <w:rPr>
          <w:rFonts w:eastAsia="Times New Roman" w:cs="Times New Roman"/>
          <w:b/>
          <w:color w:val="000000"/>
          <w:sz w:val="24"/>
          <w:szCs w:val="24"/>
        </w:rPr>
        <w:t>tabula. Cikliskā attīstība</w:t>
      </w:r>
    </w:p>
    <w:tbl>
      <w:tblPr>
        <w:tblStyle w:val="GridTable6Colorful-Accent1174"/>
        <w:tblW w:w="9637" w:type="dxa"/>
        <w:jc w:val="center"/>
        <w:tblLook w:val="04A0" w:firstRow="1" w:lastRow="0" w:firstColumn="1" w:lastColumn="0" w:noHBand="0" w:noVBand="1"/>
      </w:tblPr>
      <w:tblGrid>
        <w:gridCol w:w="3964"/>
        <w:gridCol w:w="851"/>
        <w:gridCol w:w="850"/>
        <w:gridCol w:w="993"/>
        <w:gridCol w:w="992"/>
        <w:gridCol w:w="992"/>
        <w:gridCol w:w="995"/>
      </w:tblGrid>
      <w:tr w:rsidR="00EA1D22" w:rsidRPr="00407459" w14:paraId="05E7608F" w14:textId="77777777" w:rsidTr="008D5244">
        <w:trPr>
          <w:cnfStyle w:val="100000000000" w:firstRow="1" w:lastRow="0" w:firstColumn="0" w:lastColumn="0" w:oddVBand="0" w:evenVBand="0" w:oddHBand="0" w:evenHBand="0" w:firstRowFirstColumn="0" w:firstRowLastColumn="0" w:lastRowFirstColumn="0" w:lastRowLastColumn="0"/>
          <w:trHeight w:val="529"/>
          <w:jc w:val="center"/>
        </w:trPr>
        <w:tc>
          <w:tcPr>
            <w:cnfStyle w:val="001000000000" w:firstRow="0" w:lastRow="0" w:firstColumn="1" w:lastColumn="0" w:oddVBand="0" w:evenVBand="0" w:oddHBand="0" w:evenHBand="0" w:firstRowFirstColumn="0" w:firstRowLastColumn="0" w:lastRowFirstColumn="0" w:lastRowLastColumn="0"/>
            <w:tcW w:w="3964" w:type="dxa"/>
            <w:shd w:val="clear" w:color="auto" w:fill="DEEAF6"/>
            <w:noWrap/>
            <w:vAlign w:val="center"/>
            <w:hideMark/>
          </w:tcPr>
          <w:p w14:paraId="5D83686D" w14:textId="79324588" w:rsidR="000F4627" w:rsidRPr="00407459" w:rsidRDefault="00407459" w:rsidP="000F4627">
            <w:pPr>
              <w:spacing w:after="160" w:line="259" w:lineRule="auto"/>
              <w:ind w:firstLine="0"/>
              <w:jc w:val="center"/>
              <w:rPr>
                <w:rFonts w:eastAsia="Times New Roman" w:cs="Times New Roman"/>
                <w:b w:val="0"/>
                <w:bCs w:val="0"/>
                <w:color w:val="auto"/>
                <w:sz w:val="18"/>
                <w:szCs w:val="18"/>
              </w:rPr>
            </w:pPr>
            <w:bookmarkStart w:id="77" w:name="_Hlk67664640"/>
            <w:r>
              <w:rPr>
                <w:rFonts w:eastAsia="Times New Roman" w:cs="Times New Roman"/>
                <w:color w:val="auto"/>
                <w:sz w:val="18"/>
                <w:szCs w:val="18"/>
              </w:rPr>
              <w:t>i</w:t>
            </w:r>
            <w:r w:rsidR="000F4627" w:rsidRPr="00407459">
              <w:rPr>
                <w:rFonts w:eastAsia="Times New Roman" w:cs="Times New Roman"/>
                <w:color w:val="auto"/>
                <w:sz w:val="18"/>
                <w:szCs w:val="18"/>
              </w:rPr>
              <w:t xml:space="preserve">% no IKP </w:t>
            </w:r>
          </w:p>
        </w:tc>
        <w:tc>
          <w:tcPr>
            <w:tcW w:w="851" w:type="dxa"/>
            <w:shd w:val="clear" w:color="auto" w:fill="DEEAF6"/>
            <w:vAlign w:val="center"/>
            <w:hideMark/>
          </w:tcPr>
          <w:p w14:paraId="1549F99D" w14:textId="77777777" w:rsidR="000F4627" w:rsidRPr="00407459" w:rsidRDefault="000F4627" w:rsidP="000F4627">
            <w:pPr>
              <w:spacing w:after="160" w:line="259"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18"/>
                <w:szCs w:val="18"/>
              </w:rPr>
            </w:pPr>
            <w:r w:rsidRPr="00407459">
              <w:rPr>
                <w:rFonts w:eastAsia="Times New Roman" w:cs="Times New Roman"/>
                <w:color w:val="auto"/>
                <w:sz w:val="18"/>
                <w:szCs w:val="18"/>
              </w:rPr>
              <w:t>EKS kods</w:t>
            </w:r>
          </w:p>
        </w:tc>
        <w:tc>
          <w:tcPr>
            <w:tcW w:w="850" w:type="dxa"/>
            <w:shd w:val="clear" w:color="auto" w:fill="DEEAF6"/>
            <w:noWrap/>
            <w:vAlign w:val="center"/>
            <w:hideMark/>
          </w:tcPr>
          <w:p w14:paraId="51F9B19C" w14:textId="57036E09" w:rsidR="000F4627" w:rsidRPr="00407459" w:rsidRDefault="00FC127E" w:rsidP="000F4627">
            <w:pPr>
              <w:spacing w:after="160" w:line="259"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18"/>
                <w:szCs w:val="18"/>
              </w:rPr>
            </w:pPr>
            <w:r w:rsidRPr="00407459">
              <w:rPr>
                <w:rFonts w:eastAsia="Times New Roman" w:cs="Times New Roman"/>
                <w:color w:val="auto"/>
                <w:sz w:val="18"/>
                <w:szCs w:val="18"/>
              </w:rPr>
              <w:t>2022</w:t>
            </w:r>
          </w:p>
        </w:tc>
        <w:tc>
          <w:tcPr>
            <w:tcW w:w="993" w:type="dxa"/>
            <w:shd w:val="clear" w:color="auto" w:fill="DEEAF6"/>
            <w:noWrap/>
            <w:vAlign w:val="center"/>
            <w:hideMark/>
          </w:tcPr>
          <w:p w14:paraId="731F82A3" w14:textId="39A1212B" w:rsidR="000F4627" w:rsidRPr="00407459" w:rsidRDefault="00FC127E" w:rsidP="000F4627">
            <w:pPr>
              <w:spacing w:after="160" w:line="259"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18"/>
                <w:szCs w:val="18"/>
              </w:rPr>
            </w:pPr>
            <w:r w:rsidRPr="00407459">
              <w:rPr>
                <w:rFonts w:eastAsia="Times New Roman" w:cs="Times New Roman"/>
                <w:color w:val="auto"/>
                <w:sz w:val="18"/>
                <w:szCs w:val="18"/>
              </w:rPr>
              <w:t>2023</w:t>
            </w:r>
          </w:p>
        </w:tc>
        <w:tc>
          <w:tcPr>
            <w:tcW w:w="992" w:type="dxa"/>
            <w:shd w:val="clear" w:color="auto" w:fill="DEEAF6"/>
            <w:noWrap/>
            <w:vAlign w:val="center"/>
            <w:hideMark/>
          </w:tcPr>
          <w:p w14:paraId="1AE3A6AC" w14:textId="7582368D" w:rsidR="000F4627" w:rsidRPr="00407459" w:rsidRDefault="00FC127E" w:rsidP="000F4627">
            <w:pPr>
              <w:spacing w:after="160" w:line="259"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18"/>
                <w:szCs w:val="18"/>
              </w:rPr>
            </w:pPr>
            <w:r w:rsidRPr="00407459">
              <w:rPr>
                <w:rFonts w:eastAsia="Times New Roman" w:cs="Times New Roman"/>
                <w:color w:val="auto"/>
                <w:sz w:val="18"/>
                <w:szCs w:val="18"/>
              </w:rPr>
              <w:t>2024</w:t>
            </w:r>
          </w:p>
        </w:tc>
        <w:tc>
          <w:tcPr>
            <w:tcW w:w="992" w:type="dxa"/>
            <w:shd w:val="clear" w:color="auto" w:fill="DEEAF6"/>
            <w:noWrap/>
            <w:vAlign w:val="center"/>
            <w:hideMark/>
          </w:tcPr>
          <w:p w14:paraId="2A7DC6EA" w14:textId="1F73A773" w:rsidR="000F4627" w:rsidRPr="00407459" w:rsidRDefault="00FC127E" w:rsidP="000F4627">
            <w:pPr>
              <w:spacing w:after="160" w:line="259"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18"/>
                <w:szCs w:val="18"/>
              </w:rPr>
            </w:pPr>
            <w:r w:rsidRPr="00407459">
              <w:rPr>
                <w:rFonts w:eastAsia="Times New Roman" w:cs="Times New Roman"/>
                <w:color w:val="auto"/>
                <w:sz w:val="18"/>
                <w:szCs w:val="18"/>
              </w:rPr>
              <w:t>2025</w:t>
            </w:r>
          </w:p>
        </w:tc>
        <w:tc>
          <w:tcPr>
            <w:tcW w:w="995" w:type="dxa"/>
            <w:shd w:val="clear" w:color="auto" w:fill="DEEAF6"/>
            <w:noWrap/>
            <w:vAlign w:val="center"/>
            <w:hideMark/>
          </w:tcPr>
          <w:p w14:paraId="3644BBDA" w14:textId="32EBB3BB" w:rsidR="000F4627" w:rsidRPr="00407459" w:rsidRDefault="00FC127E" w:rsidP="000F4627">
            <w:pPr>
              <w:spacing w:after="160" w:line="259"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18"/>
                <w:szCs w:val="18"/>
              </w:rPr>
            </w:pPr>
            <w:r w:rsidRPr="00407459">
              <w:rPr>
                <w:rFonts w:eastAsia="Times New Roman" w:cs="Times New Roman"/>
                <w:color w:val="auto"/>
                <w:sz w:val="18"/>
                <w:szCs w:val="18"/>
              </w:rPr>
              <w:t>2026</w:t>
            </w:r>
          </w:p>
        </w:tc>
      </w:tr>
    </w:tbl>
    <w:tbl>
      <w:tblPr>
        <w:tblStyle w:val="GridTable6Colorful-Accent1184"/>
        <w:tblW w:w="9641" w:type="dxa"/>
        <w:jc w:val="center"/>
        <w:tblLook w:val="04A0" w:firstRow="1" w:lastRow="0" w:firstColumn="1" w:lastColumn="0" w:noHBand="0" w:noVBand="1"/>
      </w:tblPr>
      <w:tblGrid>
        <w:gridCol w:w="3970"/>
        <w:gridCol w:w="840"/>
        <w:gridCol w:w="803"/>
        <w:gridCol w:w="1007"/>
        <w:gridCol w:w="1007"/>
        <w:gridCol w:w="1007"/>
        <w:gridCol w:w="1007"/>
      </w:tblGrid>
      <w:tr w:rsidR="00EA1D22" w:rsidRPr="00407459" w14:paraId="219C0298" w14:textId="77777777" w:rsidTr="00C6662E">
        <w:trPr>
          <w:cnfStyle w:val="100000000000" w:firstRow="1" w:lastRow="0" w:firstColumn="0" w:lastColumn="0" w:oddVBand="0" w:evenVBand="0" w:oddHBand="0" w:evenHBand="0" w:firstRowFirstColumn="0" w:firstRowLastColumn="0" w:lastRowFirstColumn="0" w:lastRowLastColumn="0"/>
          <w:trHeight w:val="54"/>
          <w:jc w:val="center"/>
        </w:trPr>
        <w:tc>
          <w:tcPr>
            <w:cnfStyle w:val="001000000000" w:firstRow="0" w:lastRow="0" w:firstColumn="1" w:lastColumn="0" w:oddVBand="0" w:evenVBand="0" w:oddHBand="0" w:evenHBand="0" w:firstRowFirstColumn="0" w:firstRowLastColumn="0" w:lastRowFirstColumn="0" w:lastRowLastColumn="0"/>
            <w:tcW w:w="3970" w:type="dxa"/>
            <w:noWrap/>
            <w:vAlign w:val="bottom"/>
            <w:hideMark/>
          </w:tcPr>
          <w:p w14:paraId="186FF092" w14:textId="77777777" w:rsidR="00FC127E" w:rsidRPr="00407459" w:rsidRDefault="00FC127E" w:rsidP="00FC127E">
            <w:pPr>
              <w:spacing w:line="276" w:lineRule="auto"/>
              <w:ind w:firstLine="0"/>
              <w:jc w:val="left"/>
              <w:rPr>
                <w:rFonts w:eastAsia="Times New Roman" w:cs="Times New Roman"/>
                <w:color w:val="auto"/>
                <w:sz w:val="18"/>
                <w:szCs w:val="18"/>
              </w:rPr>
            </w:pPr>
            <w:r w:rsidRPr="00407459">
              <w:rPr>
                <w:rFonts w:eastAsia="Times New Roman" w:cs="Times New Roman"/>
                <w:color w:val="auto"/>
                <w:sz w:val="18"/>
                <w:szCs w:val="18"/>
              </w:rPr>
              <w:t>1. IKP pieaugums salīdzināmās cenās (%)</w:t>
            </w:r>
          </w:p>
        </w:tc>
        <w:tc>
          <w:tcPr>
            <w:tcW w:w="840" w:type="dxa"/>
            <w:noWrap/>
            <w:hideMark/>
          </w:tcPr>
          <w:p w14:paraId="196CC15F" w14:textId="175AD551" w:rsidR="00FC127E" w:rsidRPr="00096780" w:rsidRDefault="00FC127E" w:rsidP="00FC127E">
            <w:pPr>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 w:val="18"/>
                <w:szCs w:val="18"/>
              </w:rPr>
            </w:pPr>
            <w:r w:rsidRPr="00096780">
              <w:rPr>
                <w:rFonts w:cs="Times New Roman"/>
                <w:b w:val="0"/>
                <w:bCs w:val="0"/>
                <w:color w:val="000000" w:themeColor="text1"/>
                <w:sz w:val="18"/>
                <w:szCs w:val="18"/>
              </w:rPr>
              <w:t>B1g</w:t>
            </w:r>
          </w:p>
        </w:tc>
        <w:tc>
          <w:tcPr>
            <w:tcW w:w="803" w:type="dxa"/>
            <w:noWrap/>
          </w:tcPr>
          <w:p w14:paraId="7C43130E" w14:textId="12B649BD" w:rsidR="00FC127E" w:rsidRPr="00096780" w:rsidRDefault="00FC127E" w:rsidP="00FC127E">
            <w:pPr>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 w:val="18"/>
                <w:szCs w:val="18"/>
                <w:lang w:eastAsia="lv-LV"/>
              </w:rPr>
            </w:pPr>
            <w:r w:rsidRPr="00096780">
              <w:rPr>
                <w:rFonts w:cs="Times New Roman"/>
                <w:b w:val="0"/>
                <w:bCs w:val="0"/>
                <w:color w:val="000000" w:themeColor="text1"/>
                <w:sz w:val="18"/>
                <w:szCs w:val="18"/>
              </w:rPr>
              <w:t>2,0</w:t>
            </w:r>
          </w:p>
        </w:tc>
        <w:tc>
          <w:tcPr>
            <w:tcW w:w="1007" w:type="dxa"/>
            <w:noWrap/>
          </w:tcPr>
          <w:p w14:paraId="343EED1C" w14:textId="76378BCF" w:rsidR="00FC127E" w:rsidRPr="00096780" w:rsidRDefault="00FC127E" w:rsidP="00FC127E">
            <w:pPr>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 w:val="18"/>
                <w:szCs w:val="18"/>
                <w:lang w:eastAsia="lv-LV"/>
              </w:rPr>
            </w:pPr>
            <w:r w:rsidRPr="00096780">
              <w:rPr>
                <w:rFonts w:cs="Times New Roman"/>
                <w:b w:val="0"/>
                <w:bCs w:val="0"/>
                <w:color w:val="000000" w:themeColor="text1"/>
                <w:sz w:val="18"/>
                <w:szCs w:val="18"/>
              </w:rPr>
              <w:t>0,0</w:t>
            </w:r>
          </w:p>
        </w:tc>
        <w:tc>
          <w:tcPr>
            <w:tcW w:w="1007" w:type="dxa"/>
            <w:noWrap/>
          </w:tcPr>
          <w:p w14:paraId="6D1B09BC" w14:textId="4BFB6E39" w:rsidR="00FC127E" w:rsidRPr="00096780" w:rsidRDefault="00FC127E" w:rsidP="00FC127E">
            <w:pPr>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 w:val="18"/>
                <w:szCs w:val="18"/>
                <w:lang w:eastAsia="lv-LV"/>
              </w:rPr>
            </w:pPr>
            <w:r w:rsidRPr="00096780">
              <w:rPr>
                <w:rFonts w:cs="Times New Roman"/>
                <w:b w:val="0"/>
                <w:bCs w:val="0"/>
                <w:color w:val="000000" w:themeColor="text1"/>
                <w:sz w:val="18"/>
                <w:szCs w:val="18"/>
              </w:rPr>
              <w:t>2,0</w:t>
            </w:r>
          </w:p>
        </w:tc>
        <w:tc>
          <w:tcPr>
            <w:tcW w:w="1007" w:type="dxa"/>
            <w:noWrap/>
          </w:tcPr>
          <w:p w14:paraId="415164D6" w14:textId="07C05B73" w:rsidR="00FC127E" w:rsidRPr="00096780" w:rsidRDefault="00FC127E" w:rsidP="00FC127E">
            <w:pPr>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 w:val="18"/>
                <w:szCs w:val="18"/>
                <w:lang w:eastAsia="lv-LV"/>
              </w:rPr>
            </w:pPr>
            <w:r w:rsidRPr="00096780">
              <w:rPr>
                <w:rFonts w:cs="Times New Roman"/>
                <w:b w:val="0"/>
                <w:bCs w:val="0"/>
                <w:color w:val="000000" w:themeColor="text1"/>
                <w:sz w:val="18"/>
                <w:szCs w:val="18"/>
              </w:rPr>
              <w:t>2,9</w:t>
            </w:r>
          </w:p>
        </w:tc>
        <w:tc>
          <w:tcPr>
            <w:tcW w:w="1007" w:type="dxa"/>
            <w:noWrap/>
          </w:tcPr>
          <w:p w14:paraId="6A96432D" w14:textId="7980FCFA" w:rsidR="00FC127E" w:rsidRPr="00096780" w:rsidRDefault="00FC127E" w:rsidP="00FC127E">
            <w:pPr>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 w:val="18"/>
                <w:szCs w:val="18"/>
                <w:lang w:eastAsia="lv-LV"/>
              </w:rPr>
            </w:pPr>
            <w:r w:rsidRPr="00096780">
              <w:rPr>
                <w:rFonts w:cs="Times New Roman"/>
                <w:b w:val="0"/>
                <w:bCs w:val="0"/>
                <w:color w:val="000000" w:themeColor="text1"/>
                <w:sz w:val="18"/>
                <w:szCs w:val="18"/>
              </w:rPr>
              <w:t>2,8</w:t>
            </w:r>
          </w:p>
        </w:tc>
      </w:tr>
      <w:tr w:rsidR="00407459" w:rsidRPr="00407459" w14:paraId="42525465" w14:textId="77777777" w:rsidTr="000D6602">
        <w:trPr>
          <w:cnfStyle w:val="000000100000" w:firstRow="0" w:lastRow="0" w:firstColumn="0" w:lastColumn="0" w:oddVBand="0" w:evenVBand="0" w:oddHBand="1" w:evenHBand="0" w:firstRowFirstColumn="0" w:firstRowLastColumn="0" w:lastRowFirstColumn="0" w:lastRowLastColumn="0"/>
          <w:trHeight w:val="34"/>
          <w:jc w:val="center"/>
        </w:trPr>
        <w:tc>
          <w:tcPr>
            <w:cnfStyle w:val="001000000000" w:firstRow="0" w:lastRow="0" w:firstColumn="1" w:lastColumn="0" w:oddVBand="0" w:evenVBand="0" w:oddHBand="0" w:evenHBand="0" w:firstRowFirstColumn="0" w:firstRowLastColumn="0" w:lastRowFirstColumn="0" w:lastRowLastColumn="0"/>
            <w:tcW w:w="3970" w:type="dxa"/>
            <w:noWrap/>
            <w:vAlign w:val="bottom"/>
            <w:hideMark/>
          </w:tcPr>
          <w:p w14:paraId="791C549C" w14:textId="77777777" w:rsidR="00407459" w:rsidRPr="00407459" w:rsidRDefault="00407459" w:rsidP="00407459">
            <w:pPr>
              <w:spacing w:line="276" w:lineRule="auto"/>
              <w:ind w:firstLine="0"/>
              <w:jc w:val="left"/>
              <w:rPr>
                <w:rFonts w:eastAsia="Times New Roman" w:cs="Times New Roman"/>
                <w:color w:val="auto"/>
                <w:sz w:val="18"/>
                <w:szCs w:val="18"/>
              </w:rPr>
            </w:pPr>
            <w:r w:rsidRPr="00407459">
              <w:rPr>
                <w:rFonts w:eastAsia="Times New Roman" w:cs="Times New Roman"/>
                <w:color w:val="auto"/>
                <w:sz w:val="18"/>
                <w:szCs w:val="18"/>
              </w:rPr>
              <w:t>2. Faktiskā budžeta bilance</w:t>
            </w:r>
          </w:p>
        </w:tc>
        <w:tc>
          <w:tcPr>
            <w:tcW w:w="840" w:type="dxa"/>
            <w:noWrap/>
            <w:hideMark/>
          </w:tcPr>
          <w:p w14:paraId="4EE6EB3E" w14:textId="6475F77B" w:rsidR="00407459" w:rsidRPr="00407459" w:rsidRDefault="00407459" w:rsidP="00407459">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407459">
              <w:rPr>
                <w:rFonts w:cs="Times New Roman"/>
                <w:color w:val="auto"/>
                <w:sz w:val="18"/>
                <w:szCs w:val="18"/>
              </w:rPr>
              <w:t>B.9</w:t>
            </w:r>
          </w:p>
        </w:tc>
        <w:tc>
          <w:tcPr>
            <w:tcW w:w="803" w:type="dxa"/>
            <w:noWrap/>
          </w:tcPr>
          <w:p w14:paraId="0BDB8C0F" w14:textId="1CA422D8" w:rsidR="00407459" w:rsidRPr="00407459" w:rsidRDefault="00407459" w:rsidP="00407459">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407459">
              <w:rPr>
                <w:rFonts w:cs="Times New Roman"/>
                <w:color w:val="auto"/>
                <w:sz w:val="18"/>
                <w:szCs w:val="18"/>
              </w:rPr>
              <w:t>-4,7</w:t>
            </w:r>
          </w:p>
        </w:tc>
        <w:tc>
          <w:tcPr>
            <w:tcW w:w="1007" w:type="dxa"/>
            <w:noWrap/>
          </w:tcPr>
          <w:p w14:paraId="0098C976" w14:textId="5FD9874B" w:rsidR="00407459" w:rsidRPr="00407459" w:rsidRDefault="00407459" w:rsidP="00407459">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407459">
              <w:rPr>
                <w:rFonts w:cs="Times New Roman"/>
                <w:color w:val="auto"/>
                <w:sz w:val="18"/>
                <w:szCs w:val="18"/>
              </w:rPr>
              <w:t>-4,0</w:t>
            </w:r>
          </w:p>
        </w:tc>
        <w:tc>
          <w:tcPr>
            <w:tcW w:w="1007" w:type="dxa"/>
            <w:noWrap/>
            <w:vAlign w:val="center"/>
          </w:tcPr>
          <w:p w14:paraId="00755537" w14:textId="1A5ACA95" w:rsidR="00407459" w:rsidRPr="00407459" w:rsidRDefault="00407459" w:rsidP="00407459">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407459">
              <w:rPr>
                <w:color w:val="auto"/>
                <w:sz w:val="18"/>
                <w:szCs w:val="18"/>
              </w:rPr>
              <w:t>-2,5</w:t>
            </w:r>
          </w:p>
        </w:tc>
        <w:tc>
          <w:tcPr>
            <w:tcW w:w="1007" w:type="dxa"/>
            <w:noWrap/>
            <w:vAlign w:val="center"/>
          </w:tcPr>
          <w:p w14:paraId="3052CBF1" w14:textId="281A80C2" w:rsidR="00407459" w:rsidRPr="00407459" w:rsidRDefault="00407459" w:rsidP="00407459">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407459">
              <w:rPr>
                <w:color w:val="auto"/>
                <w:sz w:val="18"/>
                <w:szCs w:val="18"/>
              </w:rPr>
              <w:t>-2,2</w:t>
            </w:r>
          </w:p>
        </w:tc>
        <w:tc>
          <w:tcPr>
            <w:tcW w:w="1007" w:type="dxa"/>
            <w:noWrap/>
            <w:vAlign w:val="center"/>
          </w:tcPr>
          <w:p w14:paraId="73669AEC" w14:textId="1BCA6905" w:rsidR="00407459" w:rsidRPr="00407459" w:rsidRDefault="00407459" w:rsidP="00407459">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407459">
              <w:rPr>
                <w:color w:val="auto"/>
                <w:sz w:val="18"/>
                <w:szCs w:val="18"/>
              </w:rPr>
              <w:t>-0,7</w:t>
            </w:r>
          </w:p>
        </w:tc>
      </w:tr>
      <w:tr w:rsidR="00EA1D22" w:rsidRPr="00407459" w14:paraId="4BE076B8" w14:textId="77777777" w:rsidTr="00C6662E">
        <w:trPr>
          <w:trHeight w:val="63"/>
          <w:jc w:val="center"/>
        </w:trPr>
        <w:tc>
          <w:tcPr>
            <w:cnfStyle w:val="001000000000" w:firstRow="0" w:lastRow="0" w:firstColumn="1" w:lastColumn="0" w:oddVBand="0" w:evenVBand="0" w:oddHBand="0" w:evenHBand="0" w:firstRowFirstColumn="0" w:firstRowLastColumn="0" w:lastRowFirstColumn="0" w:lastRowLastColumn="0"/>
            <w:tcW w:w="3970" w:type="dxa"/>
            <w:noWrap/>
            <w:vAlign w:val="bottom"/>
            <w:hideMark/>
          </w:tcPr>
          <w:p w14:paraId="6B7C8446" w14:textId="77777777" w:rsidR="00FC127E" w:rsidRPr="00407459" w:rsidRDefault="00FC127E" w:rsidP="00FC127E">
            <w:pPr>
              <w:spacing w:line="276" w:lineRule="auto"/>
              <w:ind w:firstLine="0"/>
              <w:jc w:val="left"/>
              <w:rPr>
                <w:rFonts w:eastAsia="Times New Roman" w:cs="Times New Roman"/>
                <w:color w:val="auto"/>
                <w:sz w:val="18"/>
                <w:szCs w:val="18"/>
              </w:rPr>
            </w:pPr>
            <w:r w:rsidRPr="00407459">
              <w:rPr>
                <w:rFonts w:eastAsia="Times New Roman" w:cs="Times New Roman"/>
                <w:color w:val="auto"/>
                <w:sz w:val="18"/>
                <w:szCs w:val="18"/>
              </w:rPr>
              <w:t>3. Procentu izdevumi</w:t>
            </w:r>
          </w:p>
        </w:tc>
        <w:tc>
          <w:tcPr>
            <w:tcW w:w="840" w:type="dxa"/>
            <w:noWrap/>
            <w:hideMark/>
          </w:tcPr>
          <w:p w14:paraId="22EB6C9D" w14:textId="75D6DEF3" w:rsidR="00FC127E" w:rsidRPr="00407459" w:rsidRDefault="00FC127E" w:rsidP="00FC127E">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407459">
              <w:rPr>
                <w:rFonts w:cs="Times New Roman"/>
                <w:color w:val="auto"/>
                <w:sz w:val="18"/>
                <w:szCs w:val="18"/>
              </w:rPr>
              <w:t>D.41</w:t>
            </w:r>
          </w:p>
        </w:tc>
        <w:tc>
          <w:tcPr>
            <w:tcW w:w="803" w:type="dxa"/>
            <w:noWrap/>
          </w:tcPr>
          <w:p w14:paraId="3CB28E30" w14:textId="4F3400E5" w:rsidR="00FC127E" w:rsidRPr="00407459" w:rsidRDefault="00FC127E" w:rsidP="00FC127E">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407459">
              <w:rPr>
                <w:rFonts w:cs="Times New Roman"/>
                <w:color w:val="auto"/>
                <w:sz w:val="18"/>
                <w:szCs w:val="18"/>
              </w:rPr>
              <w:t>0,5</w:t>
            </w:r>
          </w:p>
        </w:tc>
        <w:tc>
          <w:tcPr>
            <w:tcW w:w="1007" w:type="dxa"/>
            <w:noWrap/>
          </w:tcPr>
          <w:p w14:paraId="2905A865" w14:textId="19132B55" w:rsidR="00FC127E" w:rsidRPr="00407459" w:rsidRDefault="00FC127E" w:rsidP="00FC127E">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407459">
              <w:rPr>
                <w:rFonts w:cs="Times New Roman"/>
                <w:color w:val="auto"/>
                <w:sz w:val="18"/>
                <w:szCs w:val="18"/>
              </w:rPr>
              <w:t>0,6</w:t>
            </w:r>
          </w:p>
        </w:tc>
        <w:tc>
          <w:tcPr>
            <w:tcW w:w="1007" w:type="dxa"/>
            <w:noWrap/>
          </w:tcPr>
          <w:p w14:paraId="591A062D" w14:textId="0F722310" w:rsidR="00FC127E" w:rsidRPr="00407459" w:rsidRDefault="00FC127E" w:rsidP="00FC127E">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407459">
              <w:rPr>
                <w:rFonts w:cs="Times New Roman"/>
                <w:color w:val="auto"/>
                <w:sz w:val="18"/>
                <w:szCs w:val="18"/>
              </w:rPr>
              <w:t>0,8</w:t>
            </w:r>
          </w:p>
        </w:tc>
        <w:tc>
          <w:tcPr>
            <w:tcW w:w="1007" w:type="dxa"/>
            <w:noWrap/>
          </w:tcPr>
          <w:p w14:paraId="566BE43B" w14:textId="28B7E5B8" w:rsidR="00FC127E" w:rsidRPr="00407459" w:rsidRDefault="00FC127E" w:rsidP="00FC127E">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407459">
              <w:rPr>
                <w:rFonts w:cs="Times New Roman"/>
                <w:color w:val="auto"/>
                <w:sz w:val="18"/>
                <w:szCs w:val="18"/>
              </w:rPr>
              <w:t>1,0</w:t>
            </w:r>
          </w:p>
        </w:tc>
        <w:tc>
          <w:tcPr>
            <w:tcW w:w="1007" w:type="dxa"/>
            <w:noWrap/>
          </w:tcPr>
          <w:p w14:paraId="041F9D41" w14:textId="31F49392" w:rsidR="00FC127E" w:rsidRPr="00407459" w:rsidRDefault="00FC127E" w:rsidP="00FC127E">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407459">
              <w:rPr>
                <w:rFonts w:cs="Times New Roman"/>
                <w:color w:val="auto"/>
                <w:sz w:val="18"/>
                <w:szCs w:val="18"/>
              </w:rPr>
              <w:t>1,1</w:t>
            </w:r>
          </w:p>
        </w:tc>
      </w:tr>
      <w:tr w:rsidR="00EA1D22" w:rsidRPr="00407459" w14:paraId="7FE58FFC" w14:textId="77777777" w:rsidTr="00C6662E">
        <w:trPr>
          <w:cnfStyle w:val="000000100000" w:firstRow="0" w:lastRow="0" w:firstColumn="0" w:lastColumn="0" w:oddVBand="0" w:evenVBand="0" w:oddHBand="1"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3970" w:type="dxa"/>
            <w:noWrap/>
            <w:vAlign w:val="bottom"/>
            <w:hideMark/>
          </w:tcPr>
          <w:p w14:paraId="7D373BD8" w14:textId="77777777" w:rsidR="00FC127E" w:rsidRPr="00407459" w:rsidRDefault="00FC127E" w:rsidP="00FC127E">
            <w:pPr>
              <w:spacing w:line="276" w:lineRule="auto"/>
              <w:ind w:firstLine="0"/>
              <w:jc w:val="left"/>
              <w:rPr>
                <w:rFonts w:eastAsia="Times New Roman" w:cs="Times New Roman"/>
                <w:color w:val="auto"/>
                <w:sz w:val="18"/>
                <w:szCs w:val="18"/>
                <w:vertAlign w:val="superscript"/>
              </w:rPr>
            </w:pPr>
            <w:r w:rsidRPr="00407459">
              <w:rPr>
                <w:rFonts w:eastAsia="Times New Roman" w:cs="Times New Roman"/>
                <w:color w:val="auto"/>
                <w:sz w:val="18"/>
                <w:szCs w:val="18"/>
              </w:rPr>
              <w:t>4. Vienreizēji un citi īslaicīgi pasākumi</w:t>
            </w:r>
            <w:r w:rsidRPr="00407459">
              <w:rPr>
                <w:rFonts w:ascii="Garamond" w:eastAsia="Times New Roman" w:hAnsi="Garamond" w:cs="Times New Roman"/>
                <w:color w:val="auto"/>
                <w:sz w:val="18"/>
                <w:szCs w:val="18"/>
                <w:vertAlign w:val="superscript"/>
              </w:rPr>
              <w:footnoteReference w:id="22"/>
            </w:r>
          </w:p>
        </w:tc>
        <w:tc>
          <w:tcPr>
            <w:tcW w:w="840" w:type="dxa"/>
            <w:noWrap/>
            <w:hideMark/>
          </w:tcPr>
          <w:p w14:paraId="4AFFC6DA" w14:textId="77777777" w:rsidR="00FC127E" w:rsidRPr="00407459" w:rsidRDefault="00FC127E" w:rsidP="00FC127E">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p>
        </w:tc>
        <w:tc>
          <w:tcPr>
            <w:tcW w:w="803" w:type="dxa"/>
            <w:noWrap/>
          </w:tcPr>
          <w:p w14:paraId="517C7CED" w14:textId="0ECE05B5" w:rsidR="00FC127E" w:rsidRPr="00407459" w:rsidRDefault="00FC127E" w:rsidP="00FC127E">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407459">
              <w:rPr>
                <w:rFonts w:cs="Times New Roman"/>
                <w:color w:val="auto"/>
                <w:sz w:val="18"/>
                <w:szCs w:val="18"/>
              </w:rPr>
              <w:t>-4,8</w:t>
            </w:r>
          </w:p>
        </w:tc>
        <w:tc>
          <w:tcPr>
            <w:tcW w:w="1007" w:type="dxa"/>
            <w:noWrap/>
          </w:tcPr>
          <w:p w14:paraId="2FD160DF" w14:textId="10BDB70A" w:rsidR="00FC127E" w:rsidRPr="00407459" w:rsidRDefault="00FC127E" w:rsidP="00FC127E">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407459">
              <w:rPr>
                <w:rFonts w:cs="Times New Roman"/>
                <w:color w:val="auto"/>
                <w:sz w:val="18"/>
                <w:szCs w:val="18"/>
              </w:rPr>
              <w:t>-3,0</w:t>
            </w:r>
          </w:p>
        </w:tc>
        <w:tc>
          <w:tcPr>
            <w:tcW w:w="1007" w:type="dxa"/>
            <w:noWrap/>
          </w:tcPr>
          <w:p w14:paraId="0E7E1D83" w14:textId="5923BCA5" w:rsidR="00FC127E" w:rsidRPr="00407459" w:rsidRDefault="00FC127E" w:rsidP="00FC127E">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407459">
              <w:rPr>
                <w:rFonts w:cs="Times New Roman"/>
                <w:color w:val="auto"/>
                <w:sz w:val="18"/>
                <w:szCs w:val="18"/>
              </w:rPr>
              <w:t>-1,5</w:t>
            </w:r>
          </w:p>
        </w:tc>
        <w:tc>
          <w:tcPr>
            <w:tcW w:w="1007" w:type="dxa"/>
            <w:noWrap/>
          </w:tcPr>
          <w:p w14:paraId="173EDD8B" w14:textId="4B08E0C1" w:rsidR="00FC127E" w:rsidRPr="00407459" w:rsidRDefault="00FC127E" w:rsidP="00FC127E">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407459">
              <w:rPr>
                <w:rFonts w:cs="Times New Roman"/>
                <w:color w:val="auto"/>
                <w:sz w:val="18"/>
                <w:szCs w:val="18"/>
              </w:rPr>
              <w:t>-1,5</w:t>
            </w:r>
          </w:p>
        </w:tc>
        <w:tc>
          <w:tcPr>
            <w:tcW w:w="1007" w:type="dxa"/>
            <w:noWrap/>
          </w:tcPr>
          <w:p w14:paraId="61C5E4C0" w14:textId="2EA32BA6" w:rsidR="00FC127E" w:rsidRPr="00407459" w:rsidRDefault="00FC127E" w:rsidP="00FC127E">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407459">
              <w:rPr>
                <w:rFonts w:cs="Times New Roman"/>
                <w:color w:val="auto"/>
                <w:sz w:val="18"/>
                <w:szCs w:val="18"/>
              </w:rPr>
              <w:t>-0,7</w:t>
            </w:r>
          </w:p>
        </w:tc>
      </w:tr>
      <w:tr w:rsidR="00EA1D22" w:rsidRPr="00407459" w14:paraId="7DB3A021" w14:textId="77777777" w:rsidTr="00C6662E">
        <w:trPr>
          <w:trHeight w:val="63"/>
          <w:jc w:val="center"/>
        </w:trPr>
        <w:tc>
          <w:tcPr>
            <w:cnfStyle w:val="001000000000" w:firstRow="0" w:lastRow="0" w:firstColumn="1" w:lastColumn="0" w:oddVBand="0" w:evenVBand="0" w:oddHBand="0" w:evenHBand="0" w:firstRowFirstColumn="0" w:firstRowLastColumn="0" w:lastRowFirstColumn="0" w:lastRowLastColumn="0"/>
            <w:tcW w:w="3970" w:type="dxa"/>
            <w:noWrap/>
            <w:vAlign w:val="bottom"/>
            <w:hideMark/>
          </w:tcPr>
          <w:p w14:paraId="24D1A884" w14:textId="77777777" w:rsidR="00FC127E" w:rsidRPr="00407459" w:rsidRDefault="00FC127E" w:rsidP="00FC127E">
            <w:pPr>
              <w:spacing w:line="276" w:lineRule="auto"/>
              <w:ind w:firstLine="0"/>
              <w:jc w:val="left"/>
              <w:rPr>
                <w:rFonts w:eastAsia="Times New Roman" w:cs="Times New Roman"/>
                <w:color w:val="auto"/>
                <w:sz w:val="18"/>
                <w:szCs w:val="18"/>
              </w:rPr>
            </w:pPr>
            <w:r w:rsidRPr="00407459">
              <w:rPr>
                <w:rFonts w:eastAsia="Times New Roman" w:cs="Times New Roman"/>
                <w:color w:val="auto"/>
                <w:sz w:val="18"/>
                <w:szCs w:val="18"/>
              </w:rPr>
              <w:t>5. Potenciālā IKP pieaugums (%)</w:t>
            </w:r>
          </w:p>
        </w:tc>
        <w:tc>
          <w:tcPr>
            <w:tcW w:w="840" w:type="dxa"/>
            <w:noWrap/>
            <w:hideMark/>
          </w:tcPr>
          <w:p w14:paraId="1A3A8E12" w14:textId="77777777" w:rsidR="00FC127E" w:rsidRPr="00407459" w:rsidRDefault="00FC127E" w:rsidP="00FC127E">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p>
        </w:tc>
        <w:tc>
          <w:tcPr>
            <w:tcW w:w="803" w:type="dxa"/>
            <w:noWrap/>
          </w:tcPr>
          <w:p w14:paraId="53691245" w14:textId="44CE497C" w:rsidR="00FC127E" w:rsidRPr="00407459" w:rsidRDefault="00FC127E" w:rsidP="00FC127E">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407459">
              <w:rPr>
                <w:rFonts w:cs="Times New Roman"/>
                <w:color w:val="auto"/>
                <w:sz w:val="18"/>
                <w:szCs w:val="18"/>
              </w:rPr>
              <w:t>2,1</w:t>
            </w:r>
          </w:p>
        </w:tc>
        <w:tc>
          <w:tcPr>
            <w:tcW w:w="1007" w:type="dxa"/>
            <w:noWrap/>
          </w:tcPr>
          <w:p w14:paraId="00EEB0B8" w14:textId="38E5ED25" w:rsidR="00FC127E" w:rsidRPr="00407459" w:rsidRDefault="00FC127E" w:rsidP="00FC127E">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407459">
              <w:rPr>
                <w:rFonts w:cs="Times New Roman"/>
                <w:color w:val="auto"/>
                <w:sz w:val="18"/>
                <w:szCs w:val="18"/>
              </w:rPr>
              <w:t>2,0</w:t>
            </w:r>
          </w:p>
        </w:tc>
        <w:tc>
          <w:tcPr>
            <w:tcW w:w="1007" w:type="dxa"/>
            <w:noWrap/>
          </w:tcPr>
          <w:p w14:paraId="5FFE398A" w14:textId="67C768C6" w:rsidR="00FC127E" w:rsidRPr="00407459" w:rsidRDefault="00FC127E" w:rsidP="00FC127E">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407459">
              <w:rPr>
                <w:rFonts w:cs="Times New Roman"/>
                <w:color w:val="auto"/>
                <w:sz w:val="18"/>
                <w:szCs w:val="18"/>
              </w:rPr>
              <w:t>2,0</w:t>
            </w:r>
          </w:p>
        </w:tc>
        <w:tc>
          <w:tcPr>
            <w:tcW w:w="1007" w:type="dxa"/>
            <w:noWrap/>
          </w:tcPr>
          <w:p w14:paraId="36F253E7" w14:textId="680B66F1" w:rsidR="00FC127E" w:rsidRPr="00407459" w:rsidRDefault="00FC127E" w:rsidP="00FC127E">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407459">
              <w:rPr>
                <w:rFonts w:cs="Times New Roman"/>
                <w:color w:val="auto"/>
                <w:sz w:val="18"/>
                <w:szCs w:val="18"/>
              </w:rPr>
              <w:t>2,1</w:t>
            </w:r>
          </w:p>
        </w:tc>
        <w:tc>
          <w:tcPr>
            <w:tcW w:w="1007" w:type="dxa"/>
            <w:noWrap/>
          </w:tcPr>
          <w:p w14:paraId="09899206" w14:textId="187924CA" w:rsidR="00FC127E" w:rsidRPr="00407459" w:rsidRDefault="00FC127E" w:rsidP="00FC127E">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407459">
              <w:rPr>
                <w:rFonts w:cs="Times New Roman"/>
                <w:color w:val="auto"/>
                <w:sz w:val="18"/>
                <w:szCs w:val="18"/>
              </w:rPr>
              <w:t>2,1</w:t>
            </w:r>
          </w:p>
        </w:tc>
      </w:tr>
      <w:tr w:rsidR="00EA1D22" w:rsidRPr="00407459" w14:paraId="15EF43A5" w14:textId="77777777" w:rsidTr="00C6662E">
        <w:trPr>
          <w:cnfStyle w:val="000000100000" w:firstRow="0" w:lastRow="0" w:firstColumn="0" w:lastColumn="0" w:oddVBand="0" w:evenVBand="0" w:oddHBand="1"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3970" w:type="dxa"/>
            <w:noWrap/>
            <w:vAlign w:val="bottom"/>
            <w:hideMark/>
          </w:tcPr>
          <w:p w14:paraId="6F131BC7" w14:textId="77777777" w:rsidR="00FC127E" w:rsidRPr="00407459" w:rsidRDefault="00FC127E" w:rsidP="00FC127E">
            <w:pPr>
              <w:spacing w:line="276" w:lineRule="auto"/>
              <w:ind w:firstLineChars="100" w:firstLine="181"/>
              <w:jc w:val="left"/>
              <w:rPr>
                <w:rFonts w:eastAsia="Times New Roman" w:cs="Times New Roman"/>
                <w:color w:val="auto"/>
                <w:sz w:val="18"/>
                <w:szCs w:val="18"/>
              </w:rPr>
            </w:pPr>
            <w:r w:rsidRPr="00407459">
              <w:rPr>
                <w:rFonts w:eastAsia="Times New Roman" w:cs="Times New Roman"/>
                <w:color w:val="auto"/>
                <w:sz w:val="18"/>
                <w:szCs w:val="18"/>
              </w:rPr>
              <w:t>ieguldījums:</w:t>
            </w:r>
          </w:p>
        </w:tc>
        <w:tc>
          <w:tcPr>
            <w:tcW w:w="840" w:type="dxa"/>
            <w:noWrap/>
            <w:hideMark/>
          </w:tcPr>
          <w:p w14:paraId="4B1DA2FE" w14:textId="77777777" w:rsidR="00FC127E" w:rsidRPr="00407459" w:rsidRDefault="00FC127E" w:rsidP="00FC127E">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p>
        </w:tc>
        <w:tc>
          <w:tcPr>
            <w:tcW w:w="803" w:type="dxa"/>
            <w:noWrap/>
          </w:tcPr>
          <w:p w14:paraId="4B02D44C" w14:textId="77777777" w:rsidR="00FC127E" w:rsidRPr="00407459" w:rsidRDefault="00FC127E" w:rsidP="00FC127E">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p>
        </w:tc>
        <w:tc>
          <w:tcPr>
            <w:tcW w:w="1007" w:type="dxa"/>
            <w:noWrap/>
          </w:tcPr>
          <w:p w14:paraId="46974246" w14:textId="77777777" w:rsidR="00FC127E" w:rsidRPr="00407459" w:rsidRDefault="00FC127E" w:rsidP="00FC127E">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p>
        </w:tc>
        <w:tc>
          <w:tcPr>
            <w:tcW w:w="1007" w:type="dxa"/>
            <w:noWrap/>
          </w:tcPr>
          <w:p w14:paraId="33D64907" w14:textId="77777777" w:rsidR="00FC127E" w:rsidRPr="00407459" w:rsidRDefault="00FC127E" w:rsidP="00FC127E">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p>
        </w:tc>
        <w:tc>
          <w:tcPr>
            <w:tcW w:w="1007" w:type="dxa"/>
            <w:noWrap/>
          </w:tcPr>
          <w:p w14:paraId="3EBC63F7" w14:textId="77777777" w:rsidR="00FC127E" w:rsidRPr="00407459" w:rsidRDefault="00FC127E" w:rsidP="00FC127E">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p>
        </w:tc>
        <w:tc>
          <w:tcPr>
            <w:tcW w:w="1007" w:type="dxa"/>
            <w:noWrap/>
          </w:tcPr>
          <w:p w14:paraId="5C53CD13" w14:textId="77777777" w:rsidR="00FC127E" w:rsidRPr="00407459" w:rsidRDefault="00FC127E" w:rsidP="00FC127E">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p>
        </w:tc>
      </w:tr>
      <w:tr w:rsidR="00EA1D22" w:rsidRPr="00407459" w14:paraId="192DFBEE" w14:textId="77777777" w:rsidTr="00C6662E">
        <w:trPr>
          <w:trHeight w:val="103"/>
          <w:jc w:val="center"/>
        </w:trPr>
        <w:tc>
          <w:tcPr>
            <w:cnfStyle w:val="001000000000" w:firstRow="0" w:lastRow="0" w:firstColumn="1" w:lastColumn="0" w:oddVBand="0" w:evenVBand="0" w:oddHBand="0" w:evenHBand="0" w:firstRowFirstColumn="0" w:firstRowLastColumn="0" w:lastRowFirstColumn="0" w:lastRowLastColumn="0"/>
            <w:tcW w:w="3970" w:type="dxa"/>
            <w:noWrap/>
            <w:vAlign w:val="bottom"/>
            <w:hideMark/>
          </w:tcPr>
          <w:p w14:paraId="1702E071" w14:textId="77777777" w:rsidR="00FC127E" w:rsidRPr="00407459" w:rsidRDefault="00FC127E" w:rsidP="00FC127E">
            <w:pPr>
              <w:spacing w:line="276" w:lineRule="auto"/>
              <w:ind w:firstLineChars="200" w:firstLine="361"/>
              <w:jc w:val="left"/>
              <w:rPr>
                <w:rFonts w:eastAsia="Times New Roman" w:cs="Times New Roman"/>
                <w:color w:val="auto"/>
                <w:sz w:val="18"/>
                <w:szCs w:val="18"/>
              </w:rPr>
            </w:pPr>
            <w:r w:rsidRPr="00407459">
              <w:rPr>
                <w:rFonts w:eastAsia="Times New Roman" w:cs="Times New Roman"/>
                <w:color w:val="auto"/>
                <w:sz w:val="18"/>
                <w:szCs w:val="18"/>
              </w:rPr>
              <w:t xml:space="preserve"> - nodarbinātības</w:t>
            </w:r>
          </w:p>
        </w:tc>
        <w:tc>
          <w:tcPr>
            <w:tcW w:w="840" w:type="dxa"/>
            <w:noWrap/>
            <w:hideMark/>
          </w:tcPr>
          <w:p w14:paraId="64691E2C" w14:textId="77777777" w:rsidR="00FC127E" w:rsidRPr="00407459" w:rsidRDefault="00FC127E" w:rsidP="00FC127E">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p>
        </w:tc>
        <w:tc>
          <w:tcPr>
            <w:tcW w:w="803" w:type="dxa"/>
            <w:noWrap/>
          </w:tcPr>
          <w:p w14:paraId="2FB776FF" w14:textId="7A8508CF" w:rsidR="00FC127E" w:rsidRPr="00407459" w:rsidRDefault="00FC127E" w:rsidP="00FC127E">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407459">
              <w:rPr>
                <w:rFonts w:cs="Times New Roman"/>
                <w:color w:val="auto"/>
                <w:sz w:val="18"/>
                <w:szCs w:val="18"/>
              </w:rPr>
              <w:t>0,0</w:t>
            </w:r>
          </w:p>
        </w:tc>
        <w:tc>
          <w:tcPr>
            <w:tcW w:w="1007" w:type="dxa"/>
            <w:noWrap/>
          </w:tcPr>
          <w:p w14:paraId="2C5CD587" w14:textId="5CAFEC93" w:rsidR="00FC127E" w:rsidRPr="00407459" w:rsidRDefault="00FC127E" w:rsidP="00FC127E">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407459">
              <w:rPr>
                <w:rFonts w:cs="Times New Roman"/>
                <w:color w:val="auto"/>
                <w:sz w:val="18"/>
                <w:szCs w:val="18"/>
              </w:rPr>
              <w:t>-0,1</w:t>
            </w:r>
          </w:p>
        </w:tc>
        <w:tc>
          <w:tcPr>
            <w:tcW w:w="1007" w:type="dxa"/>
            <w:noWrap/>
          </w:tcPr>
          <w:p w14:paraId="00785B10" w14:textId="6413BB83" w:rsidR="00FC127E" w:rsidRPr="00407459" w:rsidRDefault="00FC127E" w:rsidP="00FC127E">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407459">
              <w:rPr>
                <w:rFonts w:cs="Times New Roman"/>
                <w:color w:val="auto"/>
                <w:sz w:val="18"/>
                <w:szCs w:val="18"/>
              </w:rPr>
              <w:t>-0,2</w:t>
            </w:r>
          </w:p>
        </w:tc>
        <w:tc>
          <w:tcPr>
            <w:tcW w:w="1007" w:type="dxa"/>
            <w:noWrap/>
          </w:tcPr>
          <w:p w14:paraId="244A1F13" w14:textId="640D70F2" w:rsidR="00FC127E" w:rsidRPr="00407459" w:rsidRDefault="00FC127E" w:rsidP="00FC127E">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407459">
              <w:rPr>
                <w:rFonts w:cs="Times New Roman"/>
                <w:color w:val="auto"/>
                <w:sz w:val="18"/>
                <w:szCs w:val="18"/>
              </w:rPr>
              <w:t>-0,8</w:t>
            </w:r>
          </w:p>
        </w:tc>
        <w:tc>
          <w:tcPr>
            <w:tcW w:w="1007" w:type="dxa"/>
            <w:noWrap/>
          </w:tcPr>
          <w:p w14:paraId="4A96E076" w14:textId="72B2E461" w:rsidR="00FC127E" w:rsidRPr="00407459" w:rsidRDefault="00FC127E" w:rsidP="00FC127E">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407459">
              <w:rPr>
                <w:rFonts w:cs="Times New Roman"/>
                <w:color w:val="auto"/>
                <w:sz w:val="18"/>
                <w:szCs w:val="18"/>
              </w:rPr>
              <w:t>-0,9</w:t>
            </w:r>
          </w:p>
        </w:tc>
      </w:tr>
      <w:tr w:rsidR="00EA1D22" w:rsidRPr="00407459" w14:paraId="55BC3EF0" w14:textId="77777777" w:rsidTr="00C6662E">
        <w:trPr>
          <w:cnfStyle w:val="000000100000" w:firstRow="0" w:lastRow="0" w:firstColumn="0" w:lastColumn="0" w:oddVBand="0" w:evenVBand="0" w:oddHBand="1"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3970" w:type="dxa"/>
            <w:noWrap/>
            <w:vAlign w:val="bottom"/>
            <w:hideMark/>
          </w:tcPr>
          <w:p w14:paraId="14268838" w14:textId="77777777" w:rsidR="00FC127E" w:rsidRPr="00407459" w:rsidRDefault="00FC127E" w:rsidP="00FC127E">
            <w:pPr>
              <w:spacing w:line="276" w:lineRule="auto"/>
              <w:ind w:firstLineChars="200" w:firstLine="361"/>
              <w:jc w:val="left"/>
              <w:rPr>
                <w:rFonts w:eastAsia="Times New Roman" w:cs="Times New Roman"/>
                <w:color w:val="auto"/>
                <w:sz w:val="18"/>
                <w:szCs w:val="18"/>
              </w:rPr>
            </w:pPr>
            <w:r w:rsidRPr="00407459">
              <w:rPr>
                <w:rFonts w:eastAsia="Times New Roman" w:cs="Times New Roman"/>
                <w:color w:val="auto"/>
                <w:sz w:val="18"/>
                <w:szCs w:val="18"/>
              </w:rPr>
              <w:t xml:space="preserve"> - kapitāla</w:t>
            </w:r>
          </w:p>
        </w:tc>
        <w:tc>
          <w:tcPr>
            <w:tcW w:w="840" w:type="dxa"/>
            <w:noWrap/>
            <w:hideMark/>
          </w:tcPr>
          <w:p w14:paraId="25448D02" w14:textId="77777777" w:rsidR="00FC127E" w:rsidRPr="00407459" w:rsidRDefault="00FC127E" w:rsidP="00FC127E">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p>
        </w:tc>
        <w:tc>
          <w:tcPr>
            <w:tcW w:w="803" w:type="dxa"/>
            <w:noWrap/>
          </w:tcPr>
          <w:p w14:paraId="51E25633" w14:textId="53F04FBA" w:rsidR="00FC127E" w:rsidRPr="00407459" w:rsidRDefault="00FC127E" w:rsidP="00FC127E">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407459">
              <w:rPr>
                <w:rFonts w:cs="Times New Roman"/>
                <w:color w:val="auto"/>
                <w:sz w:val="18"/>
                <w:szCs w:val="18"/>
              </w:rPr>
              <w:t>0,8</w:t>
            </w:r>
          </w:p>
        </w:tc>
        <w:tc>
          <w:tcPr>
            <w:tcW w:w="1007" w:type="dxa"/>
            <w:noWrap/>
          </w:tcPr>
          <w:p w14:paraId="7311BF83" w14:textId="452F8164" w:rsidR="00FC127E" w:rsidRPr="00407459" w:rsidRDefault="00FC127E" w:rsidP="00FC127E">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407459">
              <w:rPr>
                <w:rFonts w:cs="Times New Roman"/>
                <w:color w:val="auto"/>
                <w:sz w:val="18"/>
                <w:szCs w:val="18"/>
              </w:rPr>
              <w:t>0,8</w:t>
            </w:r>
          </w:p>
        </w:tc>
        <w:tc>
          <w:tcPr>
            <w:tcW w:w="1007" w:type="dxa"/>
            <w:noWrap/>
          </w:tcPr>
          <w:p w14:paraId="0AECEE64" w14:textId="4A83A59B" w:rsidR="00FC127E" w:rsidRPr="00407459" w:rsidRDefault="00FC127E" w:rsidP="00FC127E">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407459">
              <w:rPr>
                <w:rFonts w:cs="Times New Roman"/>
                <w:color w:val="auto"/>
                <w:sz w:val="18"/>
                <w:szCs w:val="18"/>
              </w:rPr>
              <w:t>0,8</w:t>
            </w:r>
          </w:p>
        </w:tc>
        <w:tc>
          <w:tcPr>
            <w:tcW w:w="1007" w:type="dxa"/>
            <w:noWrap/>
          </w:tcPr>
          <w:p w14:paraId="3E823816" w14:textId="377501B4" w:rsidR="00FC127E" w:rsidRPr="00407459" w:rsidRDefault="00FC127E" w:rsidP="00FC127E">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407459">
              <w:rPr>
                <w:rFonts w:cs="Times New Roman"/>
                <w:color w:val="auto"/>
                <w:sz w:val="18"/>
                <w:szCs w:val="18"/>
              </w:rPr>
              <w:t>0,9</w:t>
            </w:r>
          </w:p>
        </w:tc>
        <w:tc>
          <w:tcPr>
            <w:tcW w:w="1007" w:type="dxa"/>
            <w:noWrap/>
          </w:tcPr>
          <w:p w14:paraId="24AE81F4" w14:textId="1ECF1A6E" w:rsidR="00FC127E" w:rsidRPr="00407459" w:rsidRDefault="00FC127E" w:rsidP="00FC127E">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407459">
              <w:rPr>
                <w:rFonts w:cs="Times New Roman"/>
                <w:color w:val="auto"/>
                <w:sz w:val="18"/>
                <w:szCs w:val="18"/>
              </w:rPr>
              <w:t>0,9</w:t>
            </w:r>
          </w:p>
        </w:tc>
      </w:tr>
      <w:tr w:rsidR="00EA1D22" w:rsidRPr="00407459" w14:paraId="1B282BD4" w14:textId="77777777" w:rsidTr="00C6662E">
        <w:trPr>
          <w:trHeight w:val="63"/>
          <w:jc w:val="center"/>
        </w:trPr>
        <w:tc>
          <w:tcPr>
            <w:cnfStyle w:val="001000000000" w:firstRow="0" w:lastRow="0" w:firstColumn="1" w:lastColumn="0" w:oddVBand="0" w:evenVBand="0" w:oddHBand="0" w:evenHBand="0" w:firstRowFirstColumn="0" w:firstRowLastColumn="0" w:lastRowFirstColumn="0" w:lastRowLastColumn="0"/>
            <w:tcW w:w="3970" w:type="dxa"/>
            <w:noWrap/>
            <w:vAlign w:val="bottom"/>
            <w:hideMark/>
          </w:tcPr>
          <w:p w14:paraId="31C75A1A" w14:textId="77777777" w:rsidR="00FC127E" w:rsidRPr="00407459" w:rsidRDefault="00FC127E" w:rsidP="00FC127E">
            <w:pPr>
              <w:spacing w:line="276" w:lineRule="auto"/>
              <w:ind w:firstLineChars="200" w:firstLine="361"/>
              <w:jc w:val="left"/>
              <w:rPr>
                <w:rFonts w:eastAsia="Times New Roman" w:cs="Times New Roman"/>
                <w:color w:val="auto"/>
                <w:sz w:val="18"/>
                <w:szCs w:val="18"/>
              </w:rPr>
            </w:pPr>
            <w:r w:rsidRPr="00407459">
              <w:rPr>
                <w:rFonts w:eastAsia="Times New Roman" w:cs="Times New Roman"/>
                <w:color w:val="auto"/>
                <w:sz w:val="18"/>
                <w:szCs w:val="18"/>
              </w:rPr>
              <w:t xml:space="preserve"> - kopējās ražošanas faktoru produktivitātes</w:t>
            </w:r>
          </w:p>
        </w:tc>
        <w:tc>
          <w:tcPr>
            <w:tcW w:w="840" w:type="dxa"/>
            <w:noWrap/>
            <w:hideMark/>
          </w:tcPr>
          <w:p w14:paraId="47D853EA" w14:textId="77777777" w:rsidR="00FC127E" w:rsidRPr="00407459" w:rsidRDefault="00FC127E" w:rsidP="00FC127E">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p>
        </w:tc>
        <w:tc>
          <w:tcPr>
            <w:tcW w:w="803" w:type="dxa"/>
            <w:noWrap/>
          </w:tcPr>
          <w:p w14:paraId="511801E3" w14:textId="0A359EBE" w:rsidR="00FC127E" w:rsidRPr="00407459" w:rsidRDefault="00FC127E" w:rsidP="00FC127E">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407459">
              <w:rPr>
                <w:rFonts w:cs="Times New Roman"/>
                <w:color w:val="auto"/>
                <w:sz w:val="18"/>
                <w:szCs w:val="18"/>
              </w:rPr>
              <w:t>1,3</w:t>
            </w:r>
          </w:p>
        </w:tc>
        <w:tc>
          <w:tcPr>
            <w:tcW w:w="1007" w:type="dxa"/>
            <w:noWrap/>
          </w:tcPr>
          <w:p w14:paraId="210D3F0D" w14:textId="46179C04" w:rsidR="00FC127E" w:rsidRPr="00407459" w:rsidRDefault="00FC127E" w:rsidP="00FC127E">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407459">
              <w:rPr>
                <w:rFonts w:cs="Times New Roman"/>
                <w:color w:val="auto"/>
                <w:sz w:val="18"/>
                <w:szCs w:val="18"/>
              </w:rPr>
              <w:t>1,3</w:t>
            </w:r>
          </w:p>
        </w:tc>
        <w:tc>
          <w:tcPr>
            <w:tcW w:w="1007" w:type="dxa"/>
            <w:noWrap/>
          </w:tcPr>
          <w:p w14:paraId="1438AA8B" w14:textId="12C919C0" w:rsidR="00FC127E" w:rsidRPr="00407459" w:rsidRDefault="00FC127E" w:rsidP="00FC127E">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407459">
              <w:rPr>
                <w:rFonts w:cs="Times New Roman"/>
                <w:color w:val="auto"/>
                <w:sz w:val="18"/>
                <w:szCs w:val="18"/>
              </w:rPr>
              <w:t>1,4</w:t>
            </w:r>
          </w:p>
        </w:tc>
        <w:tc>
          <w:tcPr>
            <w:tcW w:w="1007" w:type="dxa"/>
            <w:noWrap/>
          </w:tcPr>
          <w:p w14:paraId="5CF361A6" w14:textId="47ED9B7D" w:rsidR="00FC127E" w:rsidRPr="00407459" w:rsidRDefault="00FC127E" w:rsidP="00FC127E">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407459">
              <w:rPr>
                <w:rFonts w:cs="Times New Roman"/>
                <w:color w:val="auto"/>
                <w:sz w:val="18"/>
                <w:szCs w:val="18"/>
              </w:rPr>
              <w:t>1,9</w:t>
            </w:r>
          </w:p>
        </w:tc>
        <w:tc>
          <w:tcPr>
            <w:tcW w:w="1007" w:type="dxa"/>
            <w:noWrap/>
          </w:tcPr>
          <w:p w14:paraId="7FF5FE42" w14:textId="0172E1DB" w:rsidR="00FC127E" w:rsidRPr="00407459" w:rsidRDefault="00FC127E" w:rsidP="00FC127E">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407459">
              <w:rPr>
                <w:rFonts w:cs="Times New Roman"/>
                <w:color w:val="auto"/>
                <w:sz w:val="18"/>
                <w:szCs w:val="18"/>
              </w:rPr>
              <w:t>2,1</w:t>
            </w:r>
          </w:p>
        </w:tc>
      </w:tr>
      <w:tr w:rsidR="00EA1D22" w:rsidRPr="00407459" w14:paraId="04ED87D5" w14:textId="77777777" w:rsidTr="00C6662E">
        <w:trPr>
          <w:cnfStyle w:val="000000100000" w:firstRow="0" w:lastRow="0" w:firstColumn="0" w:lastColumn="0" w:oddVBand="0" w:evenVBand="0" w:oddHBand="1"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3970" w:type="dxa"/>
            <w:vAlign w:val="bottom"/>
            <w:hideMark/>
          </w:tcPr>
          <w:p w14:paraId="6F26359C" w14:textId="77777777" w:rsidR="00FC127E" w:rsidRPr="00407459" w:rsidRDefault="00FC127E" w:rsidP="00FC127E">
            <w:pPr>
              <w:spacing w:line="276" w:lineRule="auto"/>
              <w:ind w:firstLine="0"/>
              <w:jc w:val="left"/>
              <w:rPr>
                <w:rFonts w:eastAsia="Times New Roman" w:cs="Times New Roman"/>
                <w:color w:val="auto"/>
                <w:sz w:val="18"/>
                <w:szCs w:val="18"/>
              </w:rPr>
            </w:pPr>
            <w:r w:rsidRPr="00407459">
              <w:rPr>
                <w:rFonts w:eastAsia="Times New Roman" w:cs="Times New Roman"/>
                <w:color w:val="auto"/>
                <w:sz w:val="18"/>
                <w:szCs w:val="18"/>
              </w:rPr>
              <w:t xml:space="preserve">6. Starpība starp faktisko un potenciālo IKP </w:t>
            </w:r>
            <w:r w:rsidRPr="00407459">
              <w:rPr>
                <w:rFonts w:eastAsia="Times New Roman" w:cs="Times New Roman"/>
                <w:color w:val="auto"/>
                <w:sz w:val="18"/>
                <w:szCs w:val="18"/>
              </w:rPr>
              <w:br/>
              <w:t>(% no potenciālā IKP)</w:t>
            </w:r>
          </w:p>
        </w:tc>
        <w:tc>
          <w:tcPr>
            <w:tcW w:w="840" w:type="dxa"/>
            <w:noWrap/>
            <w:hideMark/>
          </w:tcPr>
          <w:p w14:paraId="27E39A75" w14:textId="77777777" w:rsidR="00FC127E" w:rsidRPr="00407459" w:rsidRDefault="00FC127E" w:rsidP="00FC127E">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p>
        </w:tc>
        <w:tc>
          <w:tcPr>
            <w:tcW w:w="803" w:type="dxa"/>
            <w:noWrap/>
          </w:tcPr>
          <w:p w14:paraId="61A94CD9" w14:textId="2F4F4110" w:rsidR="00FC127E" w:rsidRPr="00407459" w:rsidRDefault="00FC127E" w:rsidP="00FC127E">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407459">
              <w:rPr>
                <w:rFonts w:cs="Times New Roman"/>
                <w:color w:val="auto"/>
                <w:sz w:val="18"/>
                <w:szCs w:val="18"/>
              </w:rPr>
              <w:t>0,5</w:t>
            </w:r>
          </w:p>
        </w:tc>
        <w:tc>
          <w:tcPr>
            <w:tcW w:w="1007" w:type="dxa"/>
            <w:noWrap/>
          </w:tcPr>
          <w:p w14:paraId="36F61293" w14:textId="0E7FC6A1" w:rsidR="00FC127E" w:rsidRPr="00407459" w:rsidRDefault="00FC127E" w:rsidP="00FC127E">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407459">
              <w:rPr>
                <w:rFonts w:cs="Times New Roman"/>
                <w:color w:val="auto"/>
                <w:sz w:val="18"/>
                <w:szCs w:val="18"/>
              </w:rPr>
              <w:t>-1,5</w:t>
            </w:r>
          </w:p>
        </w:tc>
        <w:tc>
          <w:tcPr>
            <w:tcW w:w="1007" w:type="dxa"/>
            <w:noWrap/>
          </w:tcPr>
          <w:p w14:paraId="193360E7" w14:textId="56F3B5DD" w:rsidR="00FC127E" w:rsidRPr="00407459" w:rsidRDefault="00FC127E" w:rsidP="00FC127E">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407459">
              <w:rPr>
                <w:rFonts w:cs="Times New Roman"/>
                <w:color w:val="auto"/>
                <w:sz w:val="18"/>
                <w:szCs w:val="18"/>
              </w:rPr>
              <w:t>-1,4</w:t>
            </w:r>
          </w:p>
        </w:tc>
        <w:tc>
          <w:tcPr>
            <w:tcW w:w="1007" w:type="dxa"/>
            <w:noWrap/>
          </w:tcPr>
          <w:p w14:paraId="63194D0A" w14:textId="5E94B749" w:rsidR="00FC127E" w:rsidRPr="00407459" w:rsidRDefault="00FC127E" w:rsidP="00FC127E">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407459">
              <w:rPr>
                <w:rFonts w:cs="Times New Roman"/>
                <w:color w:val="auto"/>
                <w:sz w:val="18"/>
                <w:szCs w:val="18"/>
              </w:rPr>
              <w:t>-0,6</w:t>
            </w:r>
          </w:p>
        </w:tc>
        <w:tc>
          <w:tcPr>
            <w:tcW w:w="1007" w:type="dxa"/>
            <w:noWrap/>
          </w:tcPr>
          <w:p w14:paraId="5CAD71A4" w14:textId="0A486582" w:rsidR="00FC127E" w:rsidRPr="00407459" w:rsidRDefault="00FC127E" w:rsidP="00FC127E">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407459">
              <w:rPr>
                <w:rFonts w:cs="Times New Roman"/>
                <w:color w:val="auto"/>
                <w:sz w:val="18"/>
                <w:szCs w:val="18"/>
              </w:rPr>
              <w:t>0,0</w:t>
            </w:r>
          </w:p>
        </w:tc>
      </w:tr>
      <w:tr w:rsidR="00EA1D22" w:rsidRPr="00407459" w14:paraId="73D6B787" w14:textId="77777777" w:rsidTr="00C6662E">
        <w:trPr>
          <w:trHeight w:val="63"/>
          <w:jc w:val="center"/>
        </w:trPr>
        <w:tc>
          <w:tcPr>
            <w:cnfStyle w:val="001000000000" w:firstRow="0" w:lastRow="0" w:firstColumn="1" w:lastColumn="0" w:oddVBand="0" w:evenVBand="0" w:oddHBand="0" w:evenHBand="0" w:firstRowFirstColumn="0" w:firstRowLastColumn="0" w:lastRowFirstColumn="0" w:lastRowLastColumn="0"/>
            <w:tcW w:w="3970" w:type="dxa"/>
            <w:noWrap/>
            <w:vAlign w:val="bottom"/>
            <w:hideMark/>
          </w:tcPr>
          <w:p w14:paraId="2780B565" w14:textId="77777777" w:rsidR="00FC127E" w:rsidRPr="00407459" w:rsidRDefault="00FC127E" w:rsidP="00FC127E">
            <w:pPr>
              <w:spacing w:line="276" w:lineRule="auto"/>
              <w:ind w:firstLine="0"/>
              <w:jc w:val="left"/>
              <w:rPr>
                <w:rFonts w:eastAsia="Times New Roman" w:cs="Times New Roman"/>
                <w:color w:val="auto"/>
                <w:sz w:val="18"/>
                <w:szCs w:val="18"/>
              </w:rPr>
            </w:pPr>
            <w:r w:rsidRPr="00407459">
              <w:rPr>
                <w:rFonts w:eastAsia="Times New Roman" w:cs="Times New Roman"/>
                <w:color w:val="auto"/>
                <w:sz w:val="18"/>
                <w:szCs w:val="18"/>
              </w:rPr>
              <w:t>7. Budžeta bilances cikliskā komponente</w:t>
            </w:r>
          </w:p>
        </w:tc>
        <w:tc>
          <w:tcPr>
            <w:tcW w:w="840" w:type="dxa"/>
            <w:noWrap/>
            <w:hideMark/>
          </w:tcPr>
          <w:p w14:paraId="0FBBB451" w14:textId="77777777" w:rsidR="00FC127E" w:rsidRPr="00407459" w:rsidRDefault="00FC127E" w:rsidP="00FC127E">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p>
        </w:tc>
        <w:tc>
          <w:tcPr>
            <w:tcW w:w="803" w:type="dxa"/>
            <w:noWrap/>
          </w:tcPr>
          <w:p w14:paraId="2F014BFD" w14:textId="166AD49E" w:rsidR="00FC127E" w:rsidRPr="00407459" w:rsidRDefault="00FC127E" w:rsidP="00FC127E">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407459">
              <w:rPr>
                <w:rFonts w:cs="Times New Roman"/>
                <w:color w:val="auto"/>
                <w:sz w:val="18"/>
                <w:szCs w:val="18"/>
              </w:rPr>
              <w:t>0,2</w:t>
            </w:r>
          </w:p>
        </w:tc>
        <w:tc>
          <w:tcPr>
            <w:tcW w:w="1007" w:type="dxa"/>
            <w:noWrap/>
          </w:tcPr>
          <w:p w14:paraId="5FCCE41A" w14:textId="1B6B6135" w:rsidR="00FC127E" w:rsidRPr="00407459" w:rsidRDefault="00FC127E" w:rsidP="00FC127E">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407459">
              <w:rPr>
                <w:rFonts w:cs="Times New Roman"/>
                <w:color w:val="auto"/>
                <w:sz w:val="18"/>
                <w:szCs w:val="18"/>
              </w:rPr>
              <w:t>-0,5</w:t>
            </w:r>
          </w:p>
        </w:tc>
        <w:tc>
          <w:tcPr>
            <w:tcW w:w="1007" w:type="dxa"/>
            <w:noWrap/>
          </w:tcPr>
          <w:p w14:paraId="5257A651" w14:textId="017CDD63" w:rsidR="00FC127E" w:rsidRPr="00407459" w:rsidRDefault="00FC127E" w:rsidP="00FC127E">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407459">
              <w:rPr>
                <w:rFonts w:cs="Times New Roman"/>
                <w:color w:val="auto"/>
                <w:sz w:val="18"/>
                <w:szCs w:val="18"/>
              </w:rPr>
              <w:t>-0,5</w:t>
            </w:r>
          </w:p>
        </w:tc>
        <w:tc>
          <w:tcPr>
            <w:tcW w:w="1007" w:type="dxa"/>
            <w:noWrap/>
          </w:tcPr>
          <w:p w14:paraId="07944859" w14:textId="2E45DC1C" w:rsidR="00FC127E" w:rsidRPr="00407459" w:rsidRDefault="00FC127E" w:rsidP="00FC127E">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407459">
              <w:rPr>
                <w:rFonts w:cs="Times New Roman"/>
                <w:color w:val="auto"/>
                <w:sz w:val="18"/>
                <w:szCs w:val="18"/>
              </w:rPr>
              <w:t>-0,2</w:t>
            </w:r>
          </w:p>
        </w:tc>
        <w:tc>
          <w:tcPr>
            <w:tcW w:w="1007" w:type="dxa"/>
            <w:noWrap/>
          </w:tcPr>
          <w:p w14:paraId="5EA8266B" w14:textId="4919DA0A" w:rsidR="00FC127E" w:rsidRPr="00407459" w:rsidRDefault="00FC127E" w:rsidP="00FC127E">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407459">
              <w:rPr>
                <w:rFonts w:cs="Times New Roman"/>
                <w:color w:val="auto"/>
                <w:sz w:val="18"/>
                <w:szCs w:val="18"/>
              </w:rPr>
              <w:t>0,0</w:t>
            </w:r>
          </w:p>
        </w:tc>
      </w:tr>
      <w:tr w:rsidR="00407459" w:rsidRPr="00407459" w14:paraId="0A89E6A5" w14:textId="77777777" w:rsidTr="007A4C61">
        <w:trPr>
          <w:cnfStyle w:val="000000100000" w:firstRow="0" w:lastRow="0" w:firstColumn="0" w:lastColumn="0" w:oddVBand="0" w:evenVBand="0" w:oddHBand="1"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3970" w:type="dxa"/>
            <w:noWrap/>
            <w:vAlign w:val="bottom"/>
            <w:hideMark/>
          </w:tcPr>
          <w:p w14:paraId="0F4B9C06" w14:textId="77777777" w:rsidR="00407459" w:rsidRPr="00407459" w:rsidRDefault="00407459" w:rsidP="00407459">
            <w:pPr>
              <w:spacing w:line="276" w:lineRule="auto"/>
              <w:ind w:firstLine="0"/>
              <w:jc w:val="left"/>
              <w:rPr>
                <w:rFonts w:eastAsia="Times New Roman" w:cs="Times New Roman"/>
                <w:color w:val="auto"/>
                <w:sz w:val="18"/>
                <w:szCs w:val="18"/>
              </w:rPr>
            </w:pPr>
            <w:r w:rsidRPr="00407459">
              <w:rPr>
                <w:rFonts w:eastAsia="Times New Roman" w:cs="Times New Roman"/>
                <w:color w:val="auto"/>
                <w:sz w:val="18"/>
                <w:szCs w:val="18"/>
              </w:rPr>
              <w:t>8. Cikliski koriģētā bilance (2–7)</w:t>
            </w:r>
          </w:p>
        </w:tc>
        <w:tc>
          <w:tcPr>
            <w:tcW w:w="840" w:type="dxa"/>
            <w:noWrap/>
            <w:hideMark/>
          </w:tcPr>
          <w:p w14:paraId="62AD4DE5" w14:textId="77777777" w:rsidR="00407459" w:rsidRPr="00407459" w:rsidRDefault="00407459" w:rsidP="00407459">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p>
        </w:tc>
        <w:tc>
          <w:tcPr>
            <w:tcW w:w="803" w:type="dxa"/>
            <w:noWrap/>
          </w:tcPr>
          <w:p w14:paraId="2D92417B" w14:textId="7FCE9BFD" w:rsidR="00407459" w:rsidRPr="00407459" w:rsidRDefault="00407459" w:rsidP="00407459">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407459">
              <w:rPr>
                <w:rFonts w:cs="Times New Roman"/>
                <w:color w:val="auto"/>
                <w:sz w:val="18"/>
                <w:szCs w:val="18"/>
              </w:rPr>
              <w:t>-4,9</w:t>
            </w:r>
          </w:p>
        </w:tc>
        <w:tc>
          <w:tcPr>
            <w:tcW w:w="1007" w:type="dxa"/>
            <w:noWrap/>
          </w:tcPr>
          <w:p w14:paraId="5EE6C5C0" w14:textId="34434613" w:rsidR="00407459" w:rsidRPr="00407459" w:rsidRDefault="00407459" w:rsidP="00407459">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407459">
              <w:rPr>
                <w:rFonts w:cs="Times New Roman"/>
                <w:color w:val="auto"/>
                <w:sz w:val="18"/>
                <w:szCs w:val="18"/>
              </w:rPr>
              <w:t>-3,5</w:t>
            </w:r>
          </w:p>
        </w:tc>
        <w:tc>
          <w:tcPr>
            <w:tcW w:w="1007" w:type="dxa"/>
            <w:noWrap/>
            <w:vAlign w:val="bottom"/>
          </w:tcPr>
          <w:p w14:paraId="563D4E2F" w14:textId="5A1025CF" w:rsidR="00407459" w:rsidRPr="00407459" w:rsidRDefault="00407459" w:rsidP="00407459">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407459">
              <w:rPr>
                <w:color w:val="auto"/>
                <w:sz w:val="18"/>
                <w:szCs w:val="18"/>
              </w:rPr>
              <w:t>-2,0</w:t>
            </w:r>
          </w:p>
        </w:tc>
        <w:tc>
          <w:tcPr>
            <w:tcW w:w="1007" w:type="dxa"/>
            <w:noWrap/>
            <w:vAlign w:val="bottom"/>
          </w:tcPr>
          <w:p w14:paraId="08ED4F73" w14:textId="38875DAD" w:rsidR="00407459" w:rsidRPr="00407459" w:rsidRDefault="00407459" w:rsidP="00407459">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407459">
              <w:rPr>
                <w:color w:val="auto"/>
                <w:sz w:val="18"/>
                <w:szCs w:val="18"/>
              </w:rPr>
              <w:t>-2,0</w:t>
            </w:r>
          </w:p>
        </w:tc>
        <w:tc>
          <w:tcPr>
            <w:tcW w:w="1007" w:type="dxa"/>
            <w:noWrap/>
            <w:vAlign w:val="bottom"/>
          </w:tcPr>
          <w:p w14:paraId="130D913F" w14:textId="3C2189C5" w:rsidR="00407459" w:rsidRPr="00407459" w:rsidRDefault="00407459" w:rsidP="00407459">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407459">
              <w:rPr>
                <w:color w:val="auto"/>
                <w:sz w:val="18"/>
                <w:szCs w:val="18"/>
              </w:rPr>
              <w:t>-0,7</w:t>
            </w:r>
          </w:p>
        </w:tc>
      </w:tr>
      <w:tr w:rsidR="00407459" w:rsidRPr="00407459" w14:paraId="6AC1D67E" w14:textId="77777777" w:rsidTr="007A4C61">
        <w:trPr>
          <w:trHeight w:val="63"/>
          <w:jc w:val="center"/>
        </w:trPr>
        <w:tc>
          <w:tcPr>
            <w:cnfStyle w:val="001000000000" w:firstRow="0" w:lastRow="0" w:firstColumn="1" w:lastColumn="0" w:oddVBand="0" w:evenVBand="0" w:oddHBand="0" w:evenHBand="0" w:firstRowFirstColumn="0" w:firstRowLastColumn="0" w:lastRowFirstColumn="0" w:lastRowLastColumn="0"/>
            <w:tcW w:w="3970" w:type="dxa"/>
            <w:noWrap/>
            <w:vAlign w:val="bottom"/>
            <w:hideMark/>
          </w:tcPr>
          <w:p w14:paraId="676209BA" w14:textId="77777777" w:rsidR="00407459" w:rsidRPr="00407459" w:rsidRDefault="00407459" w:rsidP="00407459">
            <w:pPr>
              <w:spacing w:line="276" w:lineRule="auto"/>
              <w:ind w:firstLine="0"/>
              <w:jc w:val="left"/>
              <w:rPr>
                <w:rFonts w:eastAsia="Times New Roman" w:cs="Times New Roman"/>
                <w:color w:val="auto"/>
                <w:sz w:val="18"/>
                <w:szCs w:val="18"/>
              </w:rPr>
            </w:pPr>
            <w:r w:rsidRPr="00407459">
              <w:rPr>
                <w:rFonts w:eastAsia="Times New Roman" w:cs="Times New Roman"/>
                <w:color w:val="auto"/>
                <w:sz w:val="18"/>
                <w:szCs w:val="18"/>
              </w:rPr>
              <w:t>9. Cikliski koriģētā primārā bilance (8+3)</w:t>
            </w:r>
          </w:p>
        </w:tc>
        <w:tc>
          <w:tcPr>
            <w:tcW w:w="840" w:type="dxa"/>
            <w:noWrap/>
            <w:hideMark/>
          </w:tcPr>
          <w:p w14:paraId="371C10D8" w14:textId="77777777" w:rsidR="00407459" w:rsidRPr="00407459" w:rsidRDefault="00407459" w:rsidP="00407459">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p>
        </w:tc>
        <w:tc>
          <w:tcPr>
            <w:tcW w:w="803" w:type="dxa"/>
            <w:noWrap/>
          </w:tcPr>
          <w:p w14:paraId="4ABEF400" w14:textId="3C022536" w:rsidR="00407459" w:rsidRPr="00407459" w:rsidRDefault="00407459" w:rsidP="00407459">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407459">
              <w:rPr>
                <w:rFonts w:cs="Times New Roman"/>
                <w:color w:val="auto"/>
                <w:sz w:val="18"/>
                <w:szCs w:val="18"/>
              </w:rPr>
              <w:t>-4,4</w:t>
            </w:r>
          </w:p>
        </w:tc>
        <w:tc>
          <w:tcPr>
            <w:tcW w:w="1007" w:type="dxa"/>
            <w:noWrap/>
          </w:tcPr>
          <w:p w14:paraId="1AA3936C" w14:textId="395A57AB" w:rsidR="00407459" w:rsidRPr="00407459" w:rsidRDefault="00407459" w:rsidP="00407459">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407459">
              <w:rPr>
                <w:rFonts w:cs="Times New Roman"/>
                <w:color w:val="auto"/>
                <w:sz w:val="18"/>
                <w:szCs w:val="18"/>
              </w:rPr>
              <w:t>-2,9</w:t>
            </w:r>
          </w:p>
        </w:tc>
        <w:tc>
          <w:tcPr>
            <w:tcW w:w="1007" w:type="dxa"/>
            <w:noWrap/>
            <w:vAlign w:val="bottom"/>
          </w:tcPr>
          <w:p w14:paraId="105B4D89" w14:textId="6DAF0ED3" w:rsidR="00407459" w:rsidRPr="00407459" w:rsidRDefault="00407459" w:rsidP="00407459">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407459">
              <w:rPr>
                <w:color w:val="auto"/>
                <w:sz w:val="18"/>
                <w:szCs w:val="18"/>
              </w:rPr>
              <w:t>-1,2</w:t>
            </w:r>
          </w:p>
        </w:tc>
        <w:tc>
          <w:tcPr>
            <w:tcW w:w="1007" w:type="dxa"/>
            <w:noWrap/>
            <w:vAlign w:val="bottom"/>
          </w:tcPr>
          <w:p w14:paraId="19BA3632" w14:textId="6FD8A0B2" w:rsidR="00407459" w:rsidRPr="00407459" w:rsidRDefault="00407459" w:rsidP="00407459">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407459">
              <w:rPr>
                <w:color w:val="auto"/>
                <w:sz w:val="18"/>
                <w:szCs w:val="18"/>
              </w:rPr>
              <w:t>-1,0</w:t>
            </w:r>
          </w:p>
        </w:tc>
        <w:tc>
          <w:tcPr>
            <w:tcW w:w="1007" w:type="dxa"/>
            <w:noWrap/>
            <w:vAlign w:val="bottom"/>
          </w:tcPr>
          <w:p w14:paraId="17BDE333" w14:textId="6499CA2B" w:rsidR="00407459" w:rsidRPr="00407459" w:rsidRDefault="00407459" w:rsidP="00407459">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lv-LV"/>
              </w:rPr>
            </w:pPr>
            <w:r w:rsidRPr="00407459">
              <w:rPr>
                <w:color w:val="auto"/>
                <w:sz w:val="18"/>
                <w:szCs w:val="18"/>
              </w:rPr>
              <w:t>0,4</w:t>
            </w:r>
          </w:p>
        </w:tc>
      </w:tr>
      <w:tr w:rsidR="00407459" w:rsidRPr="00E70C16" w14:paraId="33398FD6" w14:textId="77777777" w:rsidTr="007A4C61">
        <w:trPr>
          <w:cnfStyle w:val="000000100000" w:firstRow="0" w:lastRow="0" w:firstColumn="0" w:lastColumn="0" w:oddVBand="0" w:evenVBand="0" w:oddHBand="1"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3970" w:type="dxa"/>
            <w:noWrap/>
            <w:vAlign w:val="bottom"/>
            <w:hideMark/>
          </w:tcPr>
          <w:p w14:paraId="294E9E1B" w14:textId="77777777" w:rsidR="00407459" w:rsidRPr="00407459" w:rsidRDefault="00407459" w:rsidP="00407459">
            <w:pPr>
              <w:spacing w:line="276" w:lineRule="auto"/>
              <w:ind w:firstLine="0"/>
              <w:jc w:val="left"/>
              <w:rPr>
                <w:rFonts w:eastAsia="Times New Roman" w:cs="Times New Roman"/>
                <w:color w:val="auto"/>
                <w:sz w:val="18"/>
                <w:szCs w:val="18"/>
              </w:rPr>
            </w:pPr>
            <w:r w:rsidRPr="00407459">
              <w:rPr>
                <w:rFonts w:eastAsia="Times New Roman" w:cs="Times New Roman"/>
                <w:color w:val="auto"/>
                <w:sz w:val="18"/>
                <w:szCs w:val="18"/>
              </w:rPr>
              <w:t>10. Strukturālā bilance (8–4)</w:t>
            </w:r>
          </w:p>
        </w:tc>
        <w:tc>
          <w:tcPr>
            <w:tcW w:w="840" w:type="dxa"/>
            <w:noWrap/>
            <w:hideMark/>
          </w:tcPr>
          <w:p w14:paraId="48142EBA" w14:textId="77777777" w:rsidR="00407459" w:rsidRPr="00407459" w:rsidRDefault="00407459" w:rsidP="00407459">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p>
        </w:tc>
        <w:tc>
          <w:tcPr>
            <w:tcW w:w="803" w:type="dxa"/>
            <w:noWrap/>
          </w:tcPr>
          <w:p w14:paraId="495162E5" w14:textId="17629E16" w:rsidR="00407459" w:rsidRPr="00407459" w:rsidRDefault="00407459" w:rsidP="00407459">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407459">
              <w:rPr>
                <w:rFonts w:cs="Times New Roman"/>
                <w:color w:val="auto"/>
                <w:sz w:val="18"/>
                <w:szCs w:val="18"/>
              </w:rPr>
              <w:t>-0,1</w:t>
            </w:r>
          </w:p>
        </w:tc>
        <w:tc>
          <w:tcPr>
            <w:tcW w:w="1007" w:type="dxa"/>
            <w:noWrap/>
          </w:tcPr>
          <w:p w14:paraId="524BD66A" w14:textId="3D5764CB" w:rsidR="00407459" w:rsidRPr="00407459" w:rsidRDefault="00407459" w:rsidP="00407459">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407459">
              <w:rPr>
                <w:rFonts w:cs="Times New Roman"/>
                <w:color w:val="auto"/>
                <w:sz w:val="18"/>
                <w:szCs w:val="18"/>
              </w:rPr>
              <w:t>-0,5</w:t>
            </w:r>
          </w:p>
        </w:tc>
        <w:tc>
          <w:tcPr>
            <w:tcW w:w="1007" w:type="dxa"/>
            <w:noWrap/>
            <w:vAlign w:val="bottom"/>
          </w:tcPr>
          <w:p w14:paraId="426D7793" w14:textId="7AEDB70C" w:rsidR="00407459" w:rsidRPr="00407459" w:rsidRDefault="00407459" w:rsidP="00407459">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407459">
              <w:rPr>
                <w:color w:val="auto"/>
                <w:sz w:val="18"/>
                <w:szCs w:val="18"/>
              </w:rPr>
              <w:t>-0,5</w:t>
            </w:r>
          </w:p>
        </w:tc>
        <w:tc>
          <w:tcPr>
            <w:tcW w:w="1007" w:type="dxa"/>
            <w:noWrap/>
            <w:vAlign w:val="bottom"/>
          </w:tcPr>
          <w:p w14:paraId="7C911EC9" w14:textId="0C9448FD" w:rsidR="00407459" w:rsidRPr="00407459" w:rsidRDefault="00407459" w:rsidP="00407459">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407459">
              <w:rPr>
                <w:color w:val="auto"/>
                <w:sz w:val="18"/>
                <w:szCs w:val="18"/>
              </w:rPr>
              <w:t>-0,5</w:t>
            </w:r>
          </w:p>
        </w:tc>
        <w:tc>
          <w:tcPr>
            <w:tcW w:w="1007" w:type="dxa"/>
            <w:noWrap/>
            <w:vAlign w:val="bottom"/>
          </w:tcPr>
          <w:p w14:paraId="665703CC" w14:textId="2FC0CEAE" w:rsidR="00407459" w:rsidRPr="00407459" w:rsidRDefault="00407459" w:rsidP="00407459">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lv-LV"/>
              </w:rPr>
            </w:pPr>
            <w:r w:rsidRPr="00407459">
              <w:rPr>
                <w:color w:val="auto"/>
                <w:sz w:val="18"/>
                <w:szCs w:val="18"/>
              </w:rPr>
              <w:t>0,0</w:t>
            </w:r>
          </w:p>
        </w:tc>
      </w:tr>
      <w:bookmarkEnd w:id="77"/>
    </w:tbl>
    <w:p w14:paraId="7CB6117D" w14:textId="77777777" w:rsidR="006419B6" w:rsidRPr="00E70C16" w:rsidRDefault="006419B6" w:rsidP="008D5244">
      <w:pPr>
        <w:spacing w:line="259" w:lineRule="auto"/>
        <w:ind w:firstLine="0"/>
        <w:rPr>
          <w:rFonts w:eastAsia="Times New Roman" w:cs="Times New Roman"/>
          <w:b/>
          <w:sz w:val="24"/>
          <w:szCs w:val="20"/>
          <w:highlight w:val="lightGray"/>
        </w:rPr>
      </w:pPr>
    </w:p>
    <w:p w14:paraId="3572D265" w14:textId="589FFE55" w:rsidR="000F4627" w:rsidRPr="00085AFE" w:rsidRDefault="000F4627" w:rsidP="00042C12">
      <w:pPr>
        <w:spacing w:after="120" w:line="259" w:lineRule="auto"/>
        <w:ind w:firstLine="0"/>
        <w:jc w:val="left"/>
        <w:rPr>
          <w:rFonts w:eastAsia="Times New Roman" w:cs="Times New Roman"/>
          <w:bCs/>
          <w:sz w:val="20"/>
          <w:szCs w:val="20"/>
          <w:highlight w:val="lightGray"/>
        </w:rPr>
      </w:pPr>
      <w:r w:rsidRPr="008D5244">
        <w:rPr>
          <w:rFonts w:eastAsia="Times New Roman" w:cs="Times New Roman"/>
          <w:b/>
          <w:sz w:val="24"/>
          <w:szCs w:val="20"/>
        </w:rPr>
        <w:t xml:space="preserve">6. tabula. </w:t>
      </w:r>
      <w:r w:rsidR="008D5244" w:rsidRPr="008D5244">
        <w:rPr>
          <w:rFonts w:eastAsia="Times New Roman" w:cs="Times New Roman"/>
          <w:b/>
          <w:sz w:val="24"/>
          <w:szCs w:val="20"/>
        </w:rPr>
        <w:t>Salīdzinājums ar Stabilitātes programmas 2022.-2025.</w:t>
      </w:r>
      <w:r w:rsidR="008D5244">
        <w:rPr>
          <w:rFonts w:eastAsia="Times New Roman" w:cs="Times New Roman"/>
          <w:b/>
          <w:sz w:val="24"/>
          <w:szCs w:val="20"/>
        </w:rPr>
        <w:t xml:space="preserve"> </w:t>
      </w:r>
      <w:r w:rsidR="008D5244" w:rsidRPr="008D5244">
        <w:rPr>
          <w:rFonts w:eastAsia="Times New Roman" w:cs="Times New Roman"/>
          <w:b/>
          <w:sz w:val="24"/>
          <w:szCs w:val="20"/>
        </w:rPr>
        <w:t>gadam prognozēm</w:t>
      </w:r>
    </w:p>
    <w:tbl>
      <w:tblPr>
        <w:tblW w:w="9493" w:type="dxa"/>
        <w:jc w:val="cente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A0" w:firstRow="1" w:lastRow="0" w:firstColumn="1" w:lastColumn="0" w:noHBand="0" w:noVBand="1"/>
      </w:tblPr>
      <w:tblGrid>
        <w:gridCol w:w="3964"/>
        <w:gridCol w:w="1289"/>
        <w:gridCol w:w="850"/>
        <w:gridCol w:w="851"/>
        <w:gridCol w:w="850"/>
        <w:gridCol w:w="851"/>
        <w:gridCol w:w="838"/>
      </w:tblGrid>
      <w:tr w:rsidR="000F4627" w:rsidRPr="008D5244" w14:paraId="1AC00CCF" w14:textId="77777777" w:rsidTr="00AE2C3A">
        <w:trPr>
          <w:tblHeader/>
          <w:jc w:val="center"/>
        </w:trPr>
        <w:tc>
          <w:tcPr>
            <w:tcW w:w="3964" w:type="dxa"/>
            <w:shd w:val="clear" w:color="auto" w:fill="BDD6EE"/>
          </w:tcPr>
          <w:p w14:paraId="10FE3500" w14:textId="77777777" w:rsidR="000F4627" w:rsidRPr="00407459" w:rsidRDefault="000F4627" w:rsidP="000F4627">
            <w:pPr>
              <w:ind w:firstLine="0"/>
              <w:jc w:val="left"/>
              <w:rPr>
                <w:rFonts w:eastAsia="Times New Roman" w:cs="Times New Roman"/>
                <w:b/>
                <w:bCs/>
                <w:sz w:val="18"/>
                <w:szCs w:val="18"/>
              </w:rPr>
            </w:pPr>
          </w:p>
        </w:tc>
        <w:tc>
          <w:tcPr>
            <w:tcW w:w="1289" w:type="dxa"/>
            <w:shd w:val="clear" w:color="auto" w:fill="BDD6EE"/>
            <w:vAlign w:val="center"/>
          </w:tcPr>
          <w:p w14:paraId="0343FF58" w14:textId="77777777" w:rsidR="000F4627" w:rsidRPr="00407459" w:rsidRDefault="000F4627" w:rsidP="000F4627">
            <w:pPr>
              <w:ind w:firstLine="0"/>
              <w:jc w:val="center"/>
              <w:rPr>
                <w:rFonts w:eastAsia="Times New Roman" w:cs="Times New Roman"/>
                <w:b/>
                <w:bCs/>
                <w:sz w:val="18"/>
                <w:szCs w:val="18"/>
              </w:rPr>
            </w:pPr>
            <w:r w:rsidRPr="00407459">
              <w:rPr>
                <w:rFonts w:eastAsia="Times New Roman" w:cs="Times New Roman"/>
                <w:b/>
                <w:bCs/>
                <w:sz w:val="18"/>
                <w:szCs w:val="18"/>
              </w:rPr>
              <w:t>EKS kods</w:t>
            </w:r>
          </w:p>
        </w:tc>
        <w:tc>
          <w:tcPr>
            <w:tcW w:w="850" w:type="dxa"/>
            <w:shd w:val="clear" w:color="auto" w:fill="BDD6EE"/>
            <w:vAlign w:val="center"/>
          </w:tcPr>
          <w:p w14:paraId="62A78B3D" w14:textId="096FEB26" w:rsidR="000F4627" w:rsidRPr="00407459" w:rsidRDefault="000F4627" w:rsidP="000F4627">
            <w:pPr>
              <w:ind w:firstLine="0"/>
              <w:jc w:val="center"/>
              <w:rPr>
                <w:rFonts w:eastAsia="Times New Roman" w:cs="Times New Roman"/>
                <w:b/>
                <w:bCs/>
                <w:sz w:val="18"/>
                <w:szCs w:val="18"/>
              </w:rPr>
            </w:pPr>
            <w:r w:rsidRPr="00407459">
              <w:rPr>
                <w:rFonts w:eastAsia="Times New Roman" w:cs="Times New Roman"/>
                <w:b/>
                <w:bCs/>
                <w:sz w:val="18"/>
                <w:szCs w:val="18"/>
              </w:rPr>
              <w:t>202</w:t>
            </w:r>
            <w:r w:rsidR="008D5244" w:rsidRPr="00407459">
              <w:rPr>
                <w:rFonts w:eastAsia="Times New Roman" w:cs="Times New Roman"/>
                <w:b/>
                <w:bCs/>
                <w:sz w:val="18"/>
                <w:szCs w:val="18"/>
              </w:rPr>
              <w:t>2</w:t>
            </w:r>
          </w:p>
        </w:tc>
        <w:tc>
          <w:tcPr>
            <w:tcW w:w="851" w:type="dxa"/>
            <w:shd w:val="clear" w:color="auto" w:fill="BDD6EE"/>
            <w:vAlign w:val="center"/>
          </w:tcPr>
          <w:p w14:paraId="50958CD0" w14:textId="0950F946" w:rsidR="000F4627" w:rsidRPr="00407459" w:rsidRDefault="000F4627" w:rsidP="000F4627">
            <w:pPr>
              <w:ind w:firstLine="0"/>
              <w:jc w:val="center"/>
              <w:rPr>
                <w:rFonts w:eastAsia="Times New Roman" w:cs="Times New Roman"/>
                <w:b/>
                <w:bCs/>
                <w:sz w:val="18"/>
                <w:szCs w:val="18"/>
              </w:rPr>
            </w:pPr>
            <w:r w:rsidRPr="00407459">
              <w:rPr>
                <w:rFonts w:eastAsia="Times New Roman" w:cs="Times New Roman"/>
                <w:b/>
                <w:bCs/>
                <w:sz w:val="18"/>
                <w:szCs w:val="18"/>
              </w:rPr>
              <w:t>202</w:t>
            </w:r>
            <w:r w:rsidR="008D5244" w:rsidRPr="00407459">
              <w:rPr>
                <w:rFonts w:eastAsia="Times New Roman" w:cs="Times New Roman"/>
                <w:b/>
                <w:bCs/>
                <w:sz w:val="18"/>
                <w:szCs w:val="18"/>
              </w:rPr>
              <w:t>3</w:t>
            </w:r>
          </w:p>
        </w:tc>
        <w:tc>
          <w:tcPr>
            <w:tcW w:w="850" w:type="dxa"/>
            <w:shd w:val="clear" w:color="auto" w:fill="BDD6EE"/>
            <w:vAlign w:val="center"/>
          </w:tcPr>
          <w:p w14:paraId="1447D664" w14:textId="422A7234" w:rsidR="000F4627" w:rsidRPr="00407459" w:rsidRDefault="000F4627" w:rsidP="000F4627">
            <w:pPr>
              <w:ind w:firstLine="0"/>
              <w:jc w:val="center"/>
              <w:rPr>
                <w:rFonts w:eastAsia="Times New Roman" w:cs="Times New Roman"/>
                <w:b/>
                <w:bCs/>
                <w:sz w:val="18"/>
                <w:szCs w:val="18"/>
              </w:rPr>
            </w:pPr>
            <w:r w:rsidRPr="00407459">
              <w:rPr>
                <w:rFonts w:eastAsia="Times New Roman" w:cs="Times New Roman"/>
                <w:b/>
                <w:bCs/>
                <w:sz w:val="18"/>
                <w:szCs w:val="18"/>
              </w:rPr>
              <w:t>202</w:t>
            </w:r>
            <w:r w:rsidR="008D5244" w:rsidRPr="00407459">
              <w:rPr>
                <w:rFonts w:eastAsia="Times New Roman" w:cs="Times New Roman"/>
                <w:b/>
                <w:bCs/>
                <w:sz w:val="18"/>
                <w:szCs w:val="18"/>
              </w:rPr>
              <w:t>4</w:t>
            </w:r>
          </w:p>
        </w:tc>
        <w:tc>
          <w:tcPr>
            <w:tcW w:w="851" w:type="dxa"/>
            <w:shd w:val="clear" w:color="auto" w:fill="BDD6EE"/>
            <w:vAlign w:val="center"/>
          </w:tcPr>
          <w:p w14:paraId="22F8711A" w14:textId="5B698E7E" w:rsidR="000F4627" w:rsidRPr="00407459" w:rsidRDefault="000F4627" w:rsidP="000F4627">
            <w:pPr>
              <w:ind w:firstLine="0"/>
              <w:jc w:val="center"/>
              <w:rPr>
                <w:rFonts w:eastAsia="Times New Roman" w:cs="Times New Roman"/>
                <w:b/>
                <w:bCs/>
                <w:sz w:val="18"/>
                <w:szCs w:val="18"/>
              </w:rPr>
            </w:pPr>
            <w:r w:rsidRPr="00407459">
              <w:rPr>
                <w:rFonts w:eastAsia="Times New Roman" w:cs="Times New Roman"/>
                <w:b/>
                <w:bCs/>
                <w:sz w:val="18"/>
                <w:szCs w:val="18"/>
              </w:rPr>
              <w:t>202</w:t>
            </w:r>
            <w:r w:rsidR="008D5244" w:rsidRPr="00407459">
              <w:rPr>
                <w:rFonts w:eastAsia="Times New Roman" w:cs="Times New Roman"/>
                <w:b/>
                <w:bCs/>
                <w:sz w:val="18"/>
                <w:szCs w:val="18"/>
              </w:rPr>
              <w:t>5</w:t>
            </w:r>
          </w:p>
        </w:tc>
        <w:tc>
          <w:tcPr>
            <w:tcW w:w="838" w:type="dxa"/>
            <w:shd w:val="clear" w:color="auto" w:fill="BDD6EE"/>
            <w:vAlign w:val="center"/>
          </w:tcPr>
          <w:p w14:paraId="3017C3D2" w14:textId="53572C5C" w:rsidR="000F4627" w:rsidRPr="00407459" w:rsidRDefault="000F4627" w:rsidP="000F4627">
            <w:pPr>
              <w:ind w:firstLine="0"/>
              <w:jc w:val="center"/>
              <w:rPr>
                <w:rFonts w:eastAsia="Times New Roman" w:cs="Times New Roman"/>
                <w:b/>
                <w:bCs/>
                <w:sz w:val="18"/>
                <w:szCs w:val="18"/>
              </w:rPr>
            </w:pPr>
            <w:r w:rsidRPr="00407459">
              <w:rPr>
                <w:rFonts w:eastAsia="Times New Roman" w:cs="Times New Roman"/>
                <w:b/>
                <w:bCs/>
                <w:sz w:val="18"/>
                <w:szCs w:val="18"/>
              </w:rPr>
              <w:t>202</w:t>
            </w:r>
            <w:r w:rsidR="008D5244" w:rsidRPr="00407459">
              <w:rPr>
                <w:rFonts w:eastAsia="Times New Roman" w:cs="Times New Roman"/>
                <w:b/>
                <w:bCs/>
                <w:sz w:val="18"/>
                <w:szCs w:val="18"/>
              </w:rPr>
              <w:t>6</w:t>
            </w:r>
          </w:p>
        </w:tc>
      </w:tr>
      <w:tr w:rsidR="008D5244" w:rsidRPr="008D5244" w14:paraId="35E62A9A" w14:textId="77777777" w:rsidTr="00760098">
        <w:trPr>
          <w:jc w:val="center"/>
        </w:trPr>
        <w:tc>
          <w:tcPr>
            <w:tcW w:w="3964" w:type="dxa"/>
            <w:shd w:val="clear" w:color="auto" w:fill="auto"/>
          </w:tcPr>
          <w:p w14:paraId="54B8198B" w14:textId="77777777" w:rsidR="008D5244" w:rsidRPr="00407459" w:rsidRDefault="008D5244" w:rsidP="008D5244">
            <w:pPr>
              <w:ind w:firstLine="0"/>
              <w:jc w:val="right"/>
              <w:rPr>
                <w:rFonts w:eastAsia="Times New Roman" w:cs="Times New Roman"/>
                <w:b/>
                <w:snapToGrid w:val="0"/>
                <w:sz w:val="18"/>
                <w:szCs w:val="18"/>
              </w:rPr>
            </w:pPr>
            <w:r w:rsidRPr="00407459">
              <w:rPr>
                <w:rFonts w:eastAsia="Times New Roman" w:cs="Times New Roman"/>
                <w:b/>
                <w:sz w:val="18"/>
                <w:szCs w:val="18"/>
              </w:rPr>
              <w:t>IKP pieaugums (%)</w:t>
            </w:r>
          </w:p>
        </w:tc>
        <w:tc>
          <w:tcPr>
            <w:tcW w:w="1289" w:type="dxa"/>
            <w:shd w:val="clear" w:color="auto" w:fill="auto"/>
          </w:tcPr>
          <w:p w14:paraId="35B8DA1D" w14:textId="60405B4E" w:rsidR="008D5244" w:rsidRPr="00407459" w:rsidRDefault="008D5244" w:rsidP="008D5244">
            <w:pPr>
              <w:ind w:firstLine="0"/>
              <w:jc w:val="center"/>
              <w:rPr>
                <w:rFonts w:eastAsia="Times New Roman" w:cs="Times New Roman"/>
                <w:sz w:val="18"/>
                <w:szCs w:val="18"/>
              </w:rPr>
            </w:pPr>
            <w:r w:rsidRPr="00407459">
              <w:rPr>
                <w:rFonts w:cs="Times New Roman"/>
                <w:sz w:val="18"/>
                <w:szCs w:val="18"/>
              </w:rPr>
              <w:t>B1g</w:t>
            </w:r>
          </w:p>
        </w:tc>
        <w:tc>
          <w:tcPr>
            <w:tcW w:w="850" w:type="dxa"/>
            <w:shd w:val="clear" w:color="auto" w:fill="auto"/>
          </w:tcPr>
          <w:p w14:paraId="0F94649A" w14:textId="77777777" w:rsidR="008D5244" w:rsidRPr="00407459" w:rsidRDefault="008D5244" w:rsidP="008D5244">
            <w:pPr>
              <w:ind w:firstLine="0"/>
              <w:jc w:val="left"/>
              <w:rPr>
                <w:rFonts w:eastAsia="Times New Roman" w:cs="Times New Roman"/>
                <w:sz w:val="18"/>
                <w:szCs w:val="18"/>
              </w:rPr>
            </w:pPr>
          </w:p>
        </w:tc>
        <w:tc>
          <w:tcPr>
            <w:tcW w:w="851" w:type="dxa"/>
            <w:shd w:val="clear" w:color="auto" w:fill="auto"/>
          </w:tcPr>
          <w:p w14:paraId="4AE42829" w14:textId="77777777" w:rsidR="008D5244" w:rsidRPr="00407459" w:rsidRDefault="008D5244" w:rsidP="008D5244">
            <w:pPr>
              <w:ind w:firstLine="0"/>
              <w:jc w:val="left"/>
              <w:rPr>
                <w:rFonts w:eastAsia="Times New Roman" w:cs="Times New Roman"/>
                <w:sz w:val="18"/>
                <w:szCs w:val="18"/>
              </w:rPr>
            </w:pPr>
          </w:p>
        </w:tc>
        <w:tc>
          <w:tcPr>
            <w:tcW w:w="850" w:type="dxa"/>
            <w:shd w:val="clear" w:color="auto" w:fill="auto"/>
          </w:tcPr>
          <w:p w14:paraId="2DE579EC" w14:textId="77777777" w:rsidR="008D5244" w:rsidRPr="00407459" w:rsidRDefault="008D5244" w:rsidP="008D5244">
            <w:pPr>
              <w:ind w:firstLine="0"/>
              <w:jc w:val="left"/>
              <w:rPr>
                <w:rFonts w:eastAsia="Arial Unicode MS" w:cs="Times New Roman"/>
                <w:sz w:val="18"/>
                <w:szCs w:val="18"/>
              </w:rPr>
            </w:pPr>
          </w:p>
        </w:tc>
        <w:tc>
          <w:tcPr>
            <w:tcW w:w="851" w:type="dxa"/>
            <w:shd w:val="clear" w:color="auto" w:fill="auto"/>
          </w:tcPr>
          <w:p w14:paraId="57832215" w14:textId="77777777" w:rsidR="008D5244" w:rsidRPr="00407459" w:rsidRDefault="008D5244" w:rsidP="008D5244">
            <w:pPr>
              <w:ind w:firstLine="0"/>
              <w:jc w:val="left"/>
              <w:rPr>
                <w:rFonts w:eastAsia="Times New Roman" w:cs="Times New Roman"/>
                <w:sz w:val="18"/>
                <w:szCs w:val="18"/>
              </w:rPr>
            </w:pPr>
          </w:p>
        </w:tc>
        <w:tc>
          <w:tcPr>
            <w:tcW w:w="838" w:type="dxa"/>
            <w:shd w:val="clear" w:color="auto" w:fill="auto"/>
          </w:tcPr>
          <w:p w14:paraId="5CBF672E" w14:textId="77777777" w:rsidR="008D5244" w:rsidRPr="00407459" w:rsidRDefault="008D5244" w:rsidP="008D5244">
            <w:pPr>
              <w:ind w:firstLine="0"/>
              <w:jc w:val="left"/>
              <w:rPr>
                <w:rFonts w:eastAsia="Times New Roman" w:cs="Times New Roman"/>
                <w:sz w:val="18"/>
                <w:szCs w:val="18"/>
              </w:rPr>
            </w:pPr>
          </w:p>
        </w:tc>
      </w:tr>
      <w:tr w:rsidR="008D5244" w:rsidRPr="008D5244" w14:paraId="60F36F45" w14:textId="77777777" w:rsidTr="00760098">
        <w:trPr>
          <w:jc w:val="center"/>
        </w:trPr>
        <w:tc>
          <w:tcPr>
            <w:tcW w:w="3964" w:type="dxa"/>
            <w:shd w:val="clear" w:color="auto" w:fill="DEEAF6"/>
          </w:tcPr>
          <w:p w14:paraId="59FD1615" w14:textId="0687A327" w:rsidR="008D5244" w:rsidRPr="00407459" w:rsidRDefault="008D5244" w:rsidP="008D5244">
            <w:pPr>
              <w:ind w:firstLine="0"/>
              <w:jc w:val="right"/>
              <w:rPr>
                <w:rFonts w:eastAsia="Times New Roman" w:cs="Times New Roman"/>
                <w:bCs/>
                <w:sz w:val="18"/>
                <w:szCs w:val="18"/>
              </w:rPr>
            </w:pPr>
            <w:r w:rsidRPr="00407459">
              <w:rPr>
                <w:rFonts w:eastAsia="Times New Roman" w:cs="Times New Roman"/>
                <w:bCs/>
                <w:sz w:val="18"/>
                <w:szCs w:val="18"/>
              </w:rPr>
              <w:t>2022.gads</w:t>
            </w:r>
          </w:p>
        </w:tc>
        <w:tc>
          <w:tcPr>
            <w:tcW w:w="1289" w:type="dxa"/>
            <w:shd w:val="clear" w:color="auto" w:fill="DEEAF6"/>
          </w:tcPr>
          <w:p w14:paraId="5D45100C" w14:textId="77777777" w:rsidR="008D5244" w:rsidRPr="00407459" w:rsidRDefault="008D5244" w:rsidP="008D5244">
            <w:pPr>
              <w:ind w:firstLine="0"/>
              <w:jc w:val="center"/>
              <w:rPr>
                <w:rFonts w:eastAsia="Times New Roman" w:cs="Times New Roman"/>
                <w:sz w:val="18"/>
                <w:szCs w:val="18"/>
              </w:rPr>
            </w:pPr>
          </w:p>
        </w:tc>
        <w:tc>
          <w:tcPr>
            <w:tcW w:w="850" w:type="dxa"/>
            <w:shd w:val="clear" w:color="auto" w:fill="DEEAF6"/>
          </w:tcPr>
          <w:p w14:paraId="3D859631" w14:textId="1404AFF1" w:rsidR="008D5244" w:rsidRPr="00407459" w:rsidRDefault="008D5244" w:rsidP="00407459">
            <w:pPr>
              <w:ind w:firstLine="0"/>
              <w:jc w:val="center"/>
              <w:rPr>
                <w:rFonts w:eastAsia="Times New Roman" w:cs="Times New Roman"/>
                <w:sz w:val="18"/>
                <w:szCs w:val="18"/>
              </w:rPr>
            </w:pPr>
            <w:r w:rsidRPr="00407459">
              <w:rPr>
                <w:rFonts w:cs="Times New Roman"/>
                <w:sz w:val="18"/>
                <w:szCs w:val="18"/>
              </w:rPr>
              <w:t>2,1</w:t>
            </w:r>
          </w:p>
        </w:tc>
        <w:tc>
          <w:tcPr>
            <w:tcW w:w="851" w:type="dxa"/>
            <w:shd w:val="clear" w:color="auto" w:fill="DEEAF6"/>
          </w:tcPr>
          <w:p w14:paraId="48DFBCFA" w14:textId="7B707287" w:rsidR="008D5244" w:rsidRPr="00407459" w:rsidRDefault="008D5244" w:rsidP="00407459">
            <w:pPr>
              <w:ind w:firstLine="0"/>
              <w:jc w:val="center"/>
              <w:rPr>
                <w:rFonts w:eastAsia="Times New Roman" w:cs="Times New Roman"/>
                <w:sz w:val="18"/>
                <w:szCs w:val="18"/>
              </w:rPr>
            </w:pPr>
            <w:r w:rsidRPr="00407459">
              <w:rPr>
                <w:rFonts w:cs="Times New Roman"/>
                <w:sz w:val="18"/>
                <w:szCs w:val="18"/>
              </w:rPr>
              <w:t>2,5</w:t>
            </w:r>
          </w:p>
        </w:tc>
        <w:tc>
          <w:tcPr>
            <w:tcW w:w="850" w:type="dxa"/>
            <w:shd w:val="clear" w:color="auto" w:fill="DEEAF6"/>
          </w:tcPr>
          <w:p w14:paraId="4A61A13B" w14:textId="60786990" w:rsidR="008D5244" w:rsidRPr="00407459" w:rsidRDefault="008D5244" w:rsidP="00407459">
            <w:pPr>
              <w:ind w:firstLine="0"/>
              <w:jc w:val="center"/>
              <w:rPr>
                <w:rFonts w:eastAsia="Arial Unicode MS" w:cs="Times New Roman"/>
                <w:sz w:val="18"/>
                <w:szCs w:val="18"/>
              </w:rPr>
            </w:pPr>
            <w:r w:rsidRPr="00407459">
              <w:rPr>
                <w:rFonts w:cs="Times New Roman"/>
                <w:sz w:val="18"/>
                <w:szCs w:val="18"/>
              </w:rPr>
              <w:t>3,3</w:t>
            </w:r>
          </w:p>
        </w:tc>
        <w:tc>
          <w:tcPr>
            <w:tcW w:w="851" w:type="dxa"/>
            <w:shd w:val="clear" w:color="auto" w:fill="DEEAF6"/>
          </w:tcPr>
          <w:p w14:paraId="1E73292E" w14:textId="10E08F59" w:rsidR="008D5244" w:rsidRPr="00407459" w:rsidRDefault="008D5244" w:rsidP="00407459">
            <w:pPr>
              <w:ind w:firstLine="0"/>
              <w:jc w:val="center"/>
              <w:rPr>
                <w:rFonts w:eastAsia="Times New Roman" w:cs="Times New Roman"/>
                <w:sz w:val="18"/>
                <w:szCs w:val="18"/>
              </w:rPr>
            </w:pPr>
            <w:r w:rsidRPr="00407459">
              <w:rPr>
                <w:rFonts w:cs="Times New Roman"/>
                <w:sz w:val="18"/>
                <w:szCs w:val="18"/>
              </w:rPr>
              <w:t>3,4</w:t>
            </w:r>
          </w:p>
        </w:tc>
        <w:tc>
          <w:tcPr>
            <w:tcW w:w="838" w:type="dxa"/>
            <w:shd w:val="clear" w:color="auto" w:fill="DEEAF6"/>
          </w:tcPr>
          <w:p w14:paraId="42FF8DE5" w14:textId="0CCEB7E2" w:rsidR="008D5244" w:rsidRPr="00407459" w:rsidRDefault="008D5244" w:rsidP="00407459">
            <w:pPr>
              <w:ind w:firstLine="0"/>
              <w:jc w:val="center"/>
              <w:rPr>
                <w:rFonts w:eastAsia="Times New Roman" w:cs="Times New Roman"/>
                <w:sz w:val="18"/>
                <w:szCs w:val="18"/>
              </w:rPr>
            </w:pPr>
            <w:r w:rsidRPr="00407459">
              <w:rPr>
                <w:rFonts w:cs="Times New Roman"/>
                <w:sz w:val="18"/>
                <w:szCs w:val="18"/>
              </w:rPr>
              <w:t>-</w:t>
            </w:r>
          </w:p>
        </w:tc>
      </w:tr>
      <w:tr w:rsidR="008D5244" w:rsidRPr="008D5244" w14:paraId="1120560A" w14:textId="77777777" w:rsidTr="00760098">
        <w:trPr>
          <w:jc w:val="center"/>
        </w:trPr>
        <w:tc>
          <w:tcPr>
            <w:tcW w:w="3964" w:type="dxa"/>
            <w:shd w:val="clear" w:color="auto" w:fill="auto"/>
          </w:tcPr>
          <w:p w14:paraId="7600852D" w14:textId="14CCA96C" w:rsidR="008D5244" w:rsidRPr="00407459" w:rsidRDefault="008D5244" w:rsidP="008D5244">
            <w:pPr>
              <w:ind w:firstLine="0"/>
              <w:jc w:val="right"/>
              <w:rPr>
                <w:rFonts w:eastAsia="Times New Roman" w:cs="Times New Roman"/>
                <w:bCs/>
                <w:sz w:val="18"/>
                <w:szCs w:val="18"/>
              </w:rPr>
            </w:pPr>
            <w:r w:rsidRPr="00407459">
              <w:rPr>
                <w:rFonts w:eastAsia="Times New Roman" w:cs="Times New Roman"/>
                <w:bCs/>
                <w:sz w:val="18"/>
                <w:szCs w:val="18"/>
              </w:rPr>
              <w:t xml:space="preserve">2023.gads </w:t>
            </w:r>
          </w:p>
        </w:tc>
        <w:tc>
          <w:tcPr>
            <w:tcW w:w="1289" w:type="dxa"/>
            <w:shd w:val="clear" w:color="auto" w:fill="auto"/>
          </w:tcPr>
          <w:p w14:paraId="0D020AC2" w14:textId="77777777" w:rsidR="008D5244" w:rsidRPr="00407459" w:rsidRDefault="008D5244" w:rsidP="008D5244">
            <w:pPr>
              <w:ind w:firstLine="0"/>
              <w:jc w:val="center"/>
              <w:rPr>
                <w:rFonts w:eastAsia="Times New Roman" w:cs="Times New Roman"/>
                <w:sz w:val="18"/>
                <w:szCs w:val="18"/>
              </w:rPr>
            </w:pPr>
          </w:p>
        </w:tc>
        <w:tc>
          <w:tcPr>
            <w:tcW w:w="850" w:type="dxa"/>
            <w:shd w:val="clear" w:color="auto" w:fill="auto"/>
          </w:tcPr>
          <w:p w14:paraId="22636E40" w14:textId="182A84E2" w:rsidR="008D5244" w:rsidRPr="00407459" w:rsidRDefault="008D5244" w:rsidP="00407459">
            <w:pPr>
              <w:ind w:firstLine="0"/>
              <w:jc w:val="center"/>
              <w:rPr>
                <w:rFonts w:eastAsia="Calibri" w:cs="Times New Roman"/>
                <w:sz w:val="18"/>
                <w:szCs w:val="18"/>
              </w:rPr>
            </w:pPr>
            <w:r w:rsidRPr="00407459">
              <w:rPr>
                <w:rFonts w:cs="Times New Roman"/>
                <w:sz w:val="18"/>
                <w:szCs w:val="18"/>
              </w:rPr>
              <w:t>2,0</w:t>
            </w:r>
          </w:p>
        </w:tc>
        <w:tc>
          <w:tcPr>
            <w:tcW w:w="851" w:type="dxa"/>
            <w:shd w:val="clear" w:color="auto" w:fill="auto"/>
          </w:tcPr>
          <w:p w14:paraId="5B894273" w14:textId="3C721B8F" w:rsidR="008D5244" w:rsidRPr="00407459" w:rsidRDefault="008D5244" w:rsidP="00407459">
            <w:pPr>
              <w:ind w:firstLine="0"/>
              <w:jc w:val="center"/>
              <w:rPr>
                <w:rFonts w:eastAsia="Calibri" w:cs="Times New Roman"/>
                <w:sz w:val="18"/>
                <w:szCs w:val="18"/>
              </w:rPr>
            </w:pPr>
            <w:r w:rsidRPr="00407459">
              <w:rPr>
                <w:rFonts w:cs="Times New Roman"/>
                <w:sz w:val="18"/>
                <w:szCs w:val="18"/>
              </w:rPr>
              <w:t>0,0</w:t>
            </w:r>
          </w:p>
        </w:tc>
        <w:tc>
          <w:tcPr>
            <w:tcW w:w="850" w:type="dxa"/>
            <w:shd w:val="clear" w:color="auto" w:fill="auto"/>
          </w:tcPr>
          <w:p w14:paraId="3BC70E45" w14:textId="66FC860D" w:rsidR="008D5244" w:rsidRPr="00407459" w:rsidRDefault="008D5244" w:rsidP="00407459">
            <w:pPr>
              <w:ind w:firstLine="0"/>
              <w:jc w:val="center"/>
              <w:rPr>
                <w:rFonts w:eastAsia="Calibri" w:cs="Times New Roman"/>
                <w:sz w:val="18"/>
                <w:szCs w:val="18"/>
              </w:rPr>
            </w:pPr>
            <w:r w:rsidRPr="00407459">
              <w:rPr>
                <w:rFonts w:cs="Times New Roman"/>
                <w:sz w:val="18"/>
                <w:szCs w:val="18"/>
              </w:rPr>
              <w:t>2,0</w:t>
            </w:r>
          </w:p>
        </w:tc>
        <w:tc>
          <w:tcPr>
            <w:tcW w:w="851" w:type="dxa"/>
            <w:shd w:val="clear" w:color="auto" w:fill="auto"/>
          </w:tcPr>
          <w:p w14:paraId="5E7B3466" w14:textId="6A05E087" w:rsidR="008D5244" w:rsidRPr="00407459" w:rsidRDefault="008D5244" w:rsidP="00407459">
            <w:pPr>
              <w:ind w:firstLine="0"/>
              <w:jc w:val="center"/>
              <w:rPr>
                <w:rFonts w:eastAsia="Calibri" w:cs="Times New Roman"/>
                <w:sz w:val="18"/>
                <w:szCs w:val="18"/>
              </w:rPr>
            </w:pPr>
            <w:r w:rsidRPr="00407459">
              <w:rPr>
                <w:rFonts w:cs="Times New Roman"/>
                <w:sz w:val="18"/>
                <w:szCs w:val="18"/>
              </w:rPr>
              <w:t>2,9</w:t>
            </w:r>
          </w:p>
        </w:tc>
        <w:tc>
          <w:tcPr>
            <w:tcW w:w="838" w:type="dxa"/>
            <w:shd w:val="clear" w:color="auto" w:fill="auto"/>
          </w:tcPr>
          <w:p w14:paraId="379603E6" w14:textId="189D0BE6" w:rsidR="008D5244" w:rsidRPr="00407459" w:rsidRDefault="008D5244" w:rsidP="00407459">
            <w:pPr>
              <w:ind w:firstLine="0"/>
              <w:jc w:val="center"/>
              <w:rPr>
                <w:rFonts w:eastAsia="Calibri" w:cs="Times New Roman"/>
                <w:sz w:val="18"/>
                <w:szCs w:val="18"/>
              </w:rPr>
            </w:pPr>
            <w:r w:rsidRPr="00407459">
              <w:rPr>
                <w:rFonts w:cs="Times New Roman"/>
                <w:sz w:val="18"/>
                <w:szCs w:val="18"/>
              </w:rPr>
              <w:t>2,8</w:t>
            </w:r>
          </w:p>
        </w:tc>
      </w:tr>
      <w:tr w:rsidR="008D5244" w:rsidRPr="008D5244" w14:paraId="40B6B77A" w14:textId="77777777" w:rsidTr="00760098">
        <w:trPr>
          <w:jc w:val="center"/>
        </w:trPr>
        <w:tc>
          <w:tcPr>
            <w:tcW w:w="3964" w:type="dxa"/>
            <w:shd w:val="clear" w:color="auto" w:fill="DEEAF6"/>
          </w:tcPr>
          <w:p w14:paraId="20917C0D" w14:textId="77777777" w:rsidR="008D5244" w:rsidRPr="00407459" w:rsidRDefault="008D5244" w:rsidP="008D5244">
            <w:pPr>
              <w:ind w:firstLine="0"/>
              <w:jc w:val="right"/>
              <w:rPr>
                <w:rFonts w:eastAsia="Times New Roman" w:cs="Times New Roman"/>
                <w:b/>
                <w:sz w:val="18"/>
                <w:szCs w:val="18"/>
              </w:rPr>
            </w:pPr>
            <w:r w:rsidRPr="00407459">
              <w:rPr>
                <w:rFonts w:eastAsia="Times New Roman" w:cs="Times New Roman"/>
                <w:b/>
                <w:snapToGrid w:val="0"/>
                <w:sz w:val="18"/>
                <w:szCs w:val="18"/>
              </w:rPr>
              <w:t>Izmaiņas</w:t>
            </w:r>
          </w:p>
        </w:tc>
        <w:tc>
          <w:tcPr>
            <w:tcW w:w="1289" w:type="dxa"/>
            <w:shd w:val="clear" w:color="auto" w:fill="DEEAF6"/>
          </w:tcPr>
          <w:p w14:paraId="0850BDF7" w14:textId="77777777" w:rsidR="008D5244" w:rsidRPr="00407459" w:rsidRDefault="008D5244" w:rsidP="008D5244">
            <w:pPr>
              <w:ind w:firstLine="0"/>
              <w:jc w:val="center"/>
              <w:rPr>
                <w:rFonts w:eastAsia="Times New Roman" w:cs="Times New Roman"/>
                <w:sz w:val="18"/>
                <w:szCs w:val="18"/>
              </w:rPr>
            </w:pPr>
          </w:p>
        </w:tc>
        <w:tc>
          <w:tcPr>
            <w:tcW w:w="850" w:type="dxa"/>
            <w:shd w:val="clear" w:color="auto" w:fill="DEEAF6"/>
          </w:tcPr>
          <w:p w14:paraId="1C946BE6" w14:textId="75C2BDC8" w:rsidR="008D5244" w:rsidRPr="00407459" w:rsidRDefault="008D5244" w:rsidP="00407459">
            <w:pPr>
              <w:ind w:firstLine="0"/>
              <w:jc w:val="center"/>
              <w:rPr>
                <w:rFonts w:eastAsia="Calibri" w:cs="Times New Roman"/>
                <w:sz w:val="18"/>
                <w:szCs w:val="18"/>
              </w:rPr>
            </w:pPr>
            <w:r w:rsidRPr="00407459">
              <w:rPr>
                <w:rFonts w:cs="Times New Roman"/>
                <w:sz w:val="18"/>
                <w:szCs w:val="18"/>
              </w:rPr>
              <w:t>-0,1</w:t>
            </w:r>
          </w:p>
        </w:tc>
        <w:tc>
          <w:tcPr>
            <w:tcW w:w="851" w:type="dxa"/>
            <w:shd w:val="clear" w:color="auto" w:fill="DEEAF6"/>
          </w:tcPr>
          <w:p w14:paraId="04FC0EC1" w14:textId="17379B9F" w:rsidR="008D5244" w:rsidRPr="00407459" w:rsidRDefault="008D5244" w:rsidP="00407459">
            <w:pPr>
              <w:ind w:firstLine="0"/>
              <w:jc w:val="center"/>
              <w:rPr>
                <w:rFonts w:eastAsia="Calibri" w:cs="Times New Roman"/>
                <w:sz w:val="18"/>
                <w:szCs w:val="18"/>
              </w:rPr>
            </w:pPr>
            <w:r w:rsidRPr="00407459">
              <w:rPr>
                <w:rFonts w:cs="Times New Roman"/>
                <w:sz w:val="18"/>
                <w:szCs w:val="18"/>
              </w:rPr>
              <w:t>-2,5</w:t>
            </w:r>
          </w:p>
        </w:tc>
        <w:tc>
          <w:tcPr>
            <w:tcW w:w="850" w:type="dxa"/>
            <w:shd w:val="clear" w:color="auto" w:fill="DEEAF6"/>
          </w:tcPr>
          <w:p w14:paraId="54CEBE6E" w14:textId="53C6EDF0" w:rsidR="008D5244" w:rsidRPr="00407459" w:rsidRDefault="008D5244" w:rsidP="00407459">
            <w:pPr>
              <w:ind w:firstLine="0"/>
              <w:jc w:val="center"/>
              <w:rPr>
                <w:rFonts w:eastAsia="Calibri" w:cs="Times New Roman"/>
                <w:sz w:val="18"/>
                <w:szCs w:val="18"/>
              </w:rPr>
            </w:pPr>
            <w:r w:rsidRPr="00407459">
              <w:rPr>
                <w:rFonts w:cs="Times New Roman"/>
                <w:sz w:val="18"/>
                <w:szCs w:val="18"/>
              </w:rPr>
              <w:t>-1,3</w:t>
            </w:r>
          </w:p>
        </w:tc>
        <w:tc>
          <w:tcPr>
            <w:tcW w:w="851" w:type="dxa"/>
            <w:shd w:val="clear" w:color="auto" w:fill="DEEAF6"/>
          </w:tcPr>
          <w:p w14:paraId="1A6C6445" w14:textId="34ECDE34" w:rsidR="008D5244" w:rsidRPr="00407459" w:rsidRDefault="008D5244" w:rsidP="00407459">
            <w:pPr>
              <w:ind w:firstLine="0"/>
              <w:jc w:val="center"/>
              <w:rPr>
                <w:rFonts w:eastAsia="Calibri" w:cs="Times New Roman"/>
                <w:sz w:val="18"/>
                <w:szCs w:val="18"/>
              </w:rPr>
            </w:pPr>
            <w:r w:rsidRPr="00407459">
              <w:rPr>
                <w:rFonts w:cs="Times New Roman"/>
                <w:sz w:val="18"/>
                <w:szCs w:val="18"/>
              </w:rPr>
              <w:t>-0,5</w:t>
            </w:r>
          </w:p>
        </w:tc>
        <w:tc>
          <w:tcPr>
            <w:tcW w:w="838" w:type="dxa"/>
            <w:shd w:val="clear" w:color="auto" w:fill="DEEAF6"/>
          </w:tcPr>
          <w:p w14:paraId="4B4F6A88" w14:textId="105CAB11" w:rsidR="008D5244" w:rsidRPr="00407459" w:rsidRDefault="008D5244" w:rsidP="00407459">
            <w:pPr>
              <w:ind w:firstLine="0"/>
              <w:jc w:val="center"/>
              <w:rPr>
                <w:rFonts w:eastAsia="Calibri" w:cs="Times New Roman"/>
                <w:sz w:val="18"/>
                <w:szCs w:val="18"/>
              </w:rPr>
            </w:pPr>
            <w:r w:rsidRPr="00407459">
              <w:rPr>
                <w:rFonts w:cs="Times New Roman"/>
                <w:sz w:val="18"/>
                <w:szCs w:val="18"/>
              </w:rPr>
              <w:t>-</w:t>
            </w:r>
          </w:p>
        </w:tc>
      </w:tr>
      <w:tr w:rsidR="008D5244" w:rsidRPr="008D5244" w14:paraId="169183B4" w14:textId="77777777" w:rsidTr="00760098">
        <w:trPr>
          <w:jc w:val="center"/>
        </w:trPr>
        <w:tc>
          <w:tcPr>
            <w:tcW w:w="3964" w:type="dxa"/>
            <w:shd w:val="clear" w:color="auto" w:fill="auto"/>
          </w:tcPr>
          <w:p w14:paraId="3CA99584" w14:textId="77777777" w:rsidR="008D5244" w:rsidRPr="00407459" w:rsidRDefault="008D5244" w:rsidP="008D5244">
            <w:pPr>
              <w:ind w:firstLine="0"/>
              <w:jc w:val="right"/>
              <w:rPr>
                <w:rFonts w:eastAsia="Times New Roman" w:cs="Times New Roman"/>
                <w:b/>
                <w:sz w:val="18"/>
                <w:szCs w:val="18"/>
              </w:rPr>
            </w:pPr>
            <w:r w:rsidRPr="00407459">
              <w:rPr>
                <w:rFonts w:eastAsia="Times New Roman" w:cs="Times New Roman"/>
                <w:b/>
                <w:sz w:val="18"/>
                <w:szCs w:val="18"/>
              </w:rPr>
              <w:t>Faktiskā budžeta bilance</w:t>
            </w:r>
          </w:p>
          <w:p w14:paraId="50D9CCC2" w14:textId="77777777" w:rsidR="008D5244" w:rsidRPr="00407459" w:rsidRDefault="008D5244" w:rsidP="008D5244">
            <w:pPr>
              <w:ind w:firstLine="0"/>
              <w:jc w:val="right"/>
              <w:rPr>
                <w:rFonts w:eastAsia="Times New Roman" w:cs="Times New Roman"/>
                <w:b/>
                <w:snapToGrid w:val="0"/>
                <w:sz w:val="18"/>
                <w:szCs w:val="18"/>
              </w:rPr>
            </w:pPr>
            <w:r w:rsidRPr="00407459">
              <w:rPr>
                <w:rFonts w:eastAsia="Times New Roman" w:cs="Times New Roman"/>
                <w:b/>
                <w:sz w:val="18"/>
                <w:szCs w:val="18"/>
              </w:rPr>
              <w:t>(% no IKP)</w:t>
            </w:r>
          </w:p>
        </w:tc>
        <w:tc>
          <w:tcPr>
            <w:tcW w:w="1289" w:type="dxa"/>
            <w:shd w:val="clear" w:color="auto" w:fill="auto"/>
          </w:tcPr>
          <w:p w14:paraId="4E910638" w14:textId="0DDF5DC1" w:rsidR="008D5244" w:rsidRPr="00407459" w:rsidRDefault="008D5244" w:rsidP="008D5244">
            <w:pPr>
              <w:ind w:firstLine="0"/>
              <w:jc w:val="center"/>
              <w:rPr>
                <w:rFonts w:eastAsia="Times New Roman" w:cs="Times New Roman"/>
                <w:sz w:val="18"/>
                <w:szCs w:val="18"/>
              </w:rPr>
            </w:pPr>
            <w:r w:rsidRPr="00407459">
              <w:rPr>
                <w:rFonts w:cs="Times New Roman"/>
                <w:sz w:val="18"/>
                <w:szCs w:val="18"/>
              </w:rPr>
              <w:t>B.9</w:t>
            </w:r>
          </w:p>
        </w:tc>
        <w:tc>
          <w:tcPr>
            <w:tcW w:w="850" w:type="dxa"/>
            <w:shd w:val="clear" w:color="auto" w:fill="auto"/>
          </w:tcPr>
          <w:p w14:paraId="2CA860B8" w14:textId="77777777" w:rsidR="008D5244" w:rsidRPr="00407459" w:rsidRDefault="008D5244" w:rsidP="00407459">
            <w:pPr>
              <w:ind w:firstLine="0"/>
              <w:jc w:val="center"/>
              <w:rPr>
                <w:rFonts w:eastAsia="Calibri" w:cs="Times New Roman"/>
                <w:sz w:val="18"/>
                <w:szCs w:val="18"/>
              </w:rPr>
            </w:pPr>
          </w:p>
        </w:tc>
        <w:tc>
          <w:tcPr>
            <w:tcW w:w="851" w:type="dxa"/>
            <w:shd w:val="clear" w:color="auto" w:fill="auto"/>
          </w:tcPr>
          <w:p w14:paraId="52934C88" w14:textId="77777777" w:rsidR="008D5244" w:rsidRPr="00407459" w:rsidRDefault="008D5244" w:rsidP="00407459">
            <w:pPr>
              <w:ind w:firstLine="0"/>
              <w:jc w:val="center"/>
              <w:rPr>
                <w:rFonts w:eastAsia="Calibri" w:cs="Times New Roman"/>
                <w:sz w:val="18"/>
                <w:szCs w:val="18"/>
              </w:rPr>
            </w:pPr>
          </w:p>
        </w:tc>
        <w:tc>
          <w:tcPr>
            <w:tcW w:w="850" w:type="dxa"/>
            <w:shd w:val="clear" w:color="auto" w:fill="auto"/>
          </w:tcPr>
          <w:p w14:paraId="77EBE780" w14:textId="77777777" w:rsidR="008D5244" w:rsidRPr="00407459" w:rsidRDefault="008D5244" w:rsidP="00407459">
            <w:pPr>
              <w:ind w:firstLine="0"/>
              <w:jc w:val="center"/>
              <w:rPr>
                <w:rFonts w:eastAsia="Calibri" w:cs="Times New Roman"/>
                <w:sz w:val="18"/>
                <w:szCs w:val="18"/>
              </w:rPr>
            </w:pPr>
          </w:p>
        </w:tc>
        <w:tc>
          <w:tcPr>
            <w:tcW w:w="851" w:type="dxa"/>
            <w:shd w:val="clear" w:color="auto" w:fill="auto"/>
          </w:tcPr>
          <w:p w14:paraId="301D217F" w14:textId="77777777" w:rsidR="008D5244" w:rsidRPr="00407459" w:rsidRDefault="008D5244" w:rsidP="00407459">
            <w:pPr>
              <w:ind w:firstLine="0"/>
              <w:jc w:val="center"/>
              <w:rPr>
                <w:rFonts w:eastAsia="Calibri" w:cs="Times New Roman"/>
                <w:sz w:val="18"/>
                <w:szCs w:val="18"/>
              </w:rPr>
            </w:pPr>
          </w:p>
        </w:tc>
        <w:tc>
          <w:tcPr>
            <w:tcW w:w="838" w:type="dxa"/>
            <w:shd w:val="clear" w:color="auto" w:fill="auto"/>
          </w:tcPr>
          <w:p w14:paraId="689AD2AF" w14:textId="77777777" w:rsidR="008D5244" w:rsidRPr="00407459" w:rsidRDefault="008D5244" w:rsidP="00407459">
            <w:pPr>
              <w:ind w:firstLine="0"/>
              <w:jc w:val="center"/>
              <w:rPr>
                <w:rFonts w:eastAsia="Calibri" w:cs="Times New Roman"/>
                <w:sz w:val="18"/>
                <w:szCs w:val="18"/>
              </w:rPr>
            </w:pPr>
          </w:p>
        </w:tc>
      </w:tr>
      <w:tr w:rsidR="008D5244" w:rsidRPr="008D5244" w14:paraId="3790A6C8" w14:textId="77777777" w:rsidTr="00760098">
        <w:trPr>
          <w:jc w:val="center"/>
        </w:trPr>
        <w:tc>
          <w:tcPr>
            <w:tcW w:w="3964" w:type="dxa"/>
            <w:shd w:val="clear" w:color="auto" w:fill="DEEAF6"/>
          </w:tcPr>
          <w:p w14:paraId="67765B18" w14:textId="45EF3D07" w:rsidR="008D5244" w:rsidRPr="00407459" w:rsidRDefault="008D5244" w:rsidP="008D5244">
            <w:pPr>
              <w:ind w:firstLine="0"/>
              <w:jc w:val="right"/>
              <w:rPr>
                <w:rFonts w:eastAsia="Times New Roman" w:cs="Times New Roman"/>
                <w:bCs/>
                <w:snapToGrid w:val="0"/>
                <w:sz w:val="18"/>
                <w:szCs w:val="18"/>
              </w:rPr>
            </w:pPr>
            <w:r w:rsidRPr="00407459">
              <w:rPr>
                <w:rFonts w:eastAsia="Times New Roman" w:cs="Times New Roman"/>
                <w:bCs/>
                <w:sz w:val="18"/>
                <w:szCs w:val="18"/>
              </w:rPr>
              <w:t>2022.gads</w:t>
            </w:r>
          </w:p>
        </w:tc>
        <w:tc>
          <w:tcPr>
            <w:tcW w:w="1289" w:type="dxa"/>
            <w:shd w:val="clear" w:color="auto" w:fill="DEEAF6"/>
          </w:tcPr>
          <w:p w14:paraId="4291853B" w14:textId="77777777" w:rsidR="008D5244" w:rsidRPr="00407459" w:rsidRDefault="008D5244" w:rsidP="008D5244">
            <w:pPr>
              <w:ind w:firstLine="0"/>
              <w:jc w:val="center"/>
              <w:rPr>
                <w:rFonts w:eastAsia="Times New Roman" w:cs="Times New Roman"/>
                <w:sz w:val="18"/>
                <w:szCs w:val="18"/>
              </w:rPr>
            </w:pPr>
          </w:p>
        </w:tc>
        <w:tc>
          <w:tcPr>
            <w:tcW w:w="850" w:type="dxa"/>
            <w:shd w:val="clear" w:color="auto" w:fill="DEEAF6"/>
          </w:tcPr>
          <w:p w14:paraId="63B0F648" w14:textId="556C7FF5" w:rsidR="008D5244" w:rsidRPr="00407459" w:rsidRDefault="008D5244" w:rsidP="00FF6B84">
            <w:pPr>
              <w:tabs>
                <w:tab w:val="decimal" w:pos="330"/>
              </w:tabs>
              <w:ind w:firstLine="0"/>
              <w:rPr>
                <w:rFonts w:eastAsia="Times New Roman" w:cs="Times New Roman"/>
                <w:sz w:val="18"/>
                <w:szCs w:val="18"/>
              </w:rPr>
            </w:pPr>
            <w:r w:rsidRPr="00407459">
              <w:rPr>
                <w:rFonts w:cs="Times New Roman"/>
                <w:sz w:val="18"/>
                <w:szCs w:val="18"/>
              </w:rPr>
              <w:t>-6,5</w:t>
            </w:r>
          </w:p>
        </w:tc>
        <w:tc>
          <w:tcPr>
            <w:tcW w:w="851" w:type="dxa"/>
            <w:shd w:val="clear" w:color="auto" w:fill="DEEAF6"/>
          </w:tcPr>
          <w:p w14:paraId="16E51DCC" w14:textId="47611608" w:rsidR="008D5244" w:rsidRPr="00407459" w:rsidRDefault="008D5244" w:rsidP="00FF6B84">
            <w:pPr>
              <w:tabs>
                <w:tab w:val="decimal" w:pos="330"/>
              </w:tabs>
              <w:ind w:firstLine="0"/>
              <w:rPr>
                <w:rFonts w:eastAsia="Times New Roman" w:cs="Times New Roman"/>
                <w:sz w:val="18"/>
                <w:szCs w:val="18"/>
              </w:rPr>
            </w:pPr>
            <w:r w:rsidRPr="00407459">
              <w:rPr>
                <w:rFonts w:cs="Times New Roman"/>
                <w:sz w:val="18"/>
                <w:szCs w:val="18"/>
              </w:rPr>
              <w:t>-2,4</w:t>
            </w:r>
          </w:p>
        </w:tc>
        <w:tc>
          <w:tcPr>
            <w:tcW w:w="850" w:type="dxa"/>
            <w:shd w:val="clear" w:color="auto" w:fill="DEEAF6"/>
          </w:tcPr>
          <w:p w14:paraId="6EB4D553" w14:textId="2A52B2BB" w:rsidR="008D5244" w:rsidRPr="00407459" w:rsidRDefault="008D5244" w:rsidP="00FF6B84">
            <w:pPr>
              <w:tabs>
                <w:tab w:val="decimal" w:pos="330"/>
              </w:tabs>
              <w:ind w:firstLine="0"/>
              <w:rPr>
                <w:rFonts w:eastAsia="Times New Roman" w:cs="Times New Roman"/>
                <w:sz w:val="18"/>
                <w:szCs w:val="18"/>
              </w:rPr>
            </w:pPr>
            <w:r w:rsidRPr="00407459">
              <w:rPr>
                <w:rFonts w:cs="Times New Roman"/>
                <w:sz w:val="18"/>
                <w:szCs w:val="18"/>
              </w:rPr>
              <w:t>-1,8</w:t>
            </w:r>
          </w:p>
        </w:tc>
        <w:tc>
          <w:tcPr>
            <w:tcW w:w="851" w:type="dxa"/>
            <w:shd w:val="clear" w:color="auto" w:fill="DEEAF6"/>
          </w:tcPr>
          <w:p w14:paraId="2A68D687" w14:textId="1B78FC06" w:rsidR="008D5244" w:rsidRPr="00407459" w:rsidRDefault="008D5244" w:rsidP="00FF6B84">
            <w:pPr>
              <w:tabs>
                <w:tab w:val="decimal" w:pos="330"/>
              </w:tabs>
              <w:ind w:firstLine="0"/>
              <w:rPr>
                <w:rFonts w:eastAsia="Arial Unicode MS" w:cs="Times New Roman"/>
                <w:sz w:val="18"/>
                <w:szCs w:val="18"/>
              </w:rPr>
            </w:pPr>
            <w:r w:rsidRPr="00407459">
              <w:rPr>
                <w:rFonts w:cs="Times New Roman"/>
                <w:sz w:val="18"/>
                <w:szCs w:val="18"/>
              </w:rPr>
              <w:t>-0,9</w:t>
            </w:r>
          </w:p>
        </w:tc>
        <w:tc>
          <w:tcPr>
            <w:tcW w:w="838" w:type="dxa"/>
            <w:shd w:val="clear" w:color="auto" w:fill="DEEAF6"/>
          </w:tcPr>
          <w:p w14:paraId="12FAB8CF" w14:textId="176D986E" w:rsidR="008D5244" w:rsidRPr="00407459" w:rsidRDefault="008D5244" w:rsidP="00FF6B84">
            <w:pPr>
              <w:tabs>
                <w:tab w:val="decimal" w:pos="330"/>
              </w:tabs>
              <w:ind w:firstLine="0"/>
              <w:rPr>
                <w:rFonts w:eastAsia="Times New Roman" w:cs="Times New Roman"/>
                <w:sz w:val="18"/>
                <w:szCs w:val="18"/>
              </w:rPr>
            </w:pPr>
            <w:r w:rsidRPr="00407459">
              <w:rPr>
                <w:rFonts w:cs="Times New Roman"/>
                <w:sz w:val="18"/>
                <w:szCs w:val="18"/>
              </w:rPr>
              <w:t>-</w:t>
            </w:r>
          </w:p>
        </w:tc>
      </w:tr>
      <w:tr w:rsidR="00407459" w:rsidRPr="008D5244" w14:paraId="1A7FF17A" w14:textId="77777777" w:rsidTr="001E5149">
        <w:trPr>
          <w:jc w:val="center"/>
        </w:trPr>
        <w:tc>
          <w:tcPr>
            <w:tcW w:w="3964" w:type="dxa"/>
            <w:shd w:val="clear" w:color="auto" w:fill="auto"/>
          </w:tcPr>
          <w:p w14:paraId="435B085E" w14:textId="08FE4D5E" w:rsidR="00407459" w:rsidRPr="00407459" w:rsidRDefault="00407459" w:rsidP="00407459">
            <w:pPr>
              <w:ind w:firstLine="0"/>
              <w:jc w:val="right"/>
              <w:rPr>
                <w:rFonts w:eastAsia="Times New Roman" w:cs="Times New Roman"/>
                <w:bCs/>
                <w:sz w:val="18"/>
                <w:szCs w:val="18"/>
              </w:rPr>
            </w:pPr>
            <w:r w:rsidRPr="00407459">
              <w:rPr>
                <w:rFonts w:eastAsia="Times New Roman" w:cs="Times New Roman"/>
                <w:bCs/>
                <w:sz w:val="18"/>
                <w:szCs w:val="18"/>
              </w:rPr>
              <w:t xml:space="preserve">2023.gads </w:t>
            </w:r>
          </w:p>
        </w:tc>
        <w:tc>
          <w:tcPr>
            <w:tcW w:w="1289" w:type="dxa"/>
            <w:shd w:val="clear" w:color="auto" w:fill="auto"/>
          </w:tcPr>
          <w:p w14:paraId="165CE374" w14:textId="77777777" w:rsidR="00407459" w:rsidRPr="00407459" w:rsidRDefault="00407459" w:rsidP="00407459">
            <w:pPr>
              <w:ind w:firstLine="0"/>
              <w:jc w:val="center"/>
              <w:rPr>
                <w:rFonts w:eastAsia="Times New Roman" w:cs="Times New Roman"/>
                <w:sz w:val="18"/>
                <w:szCs w:val="18"/>
              </w:rPr>
            </w:pPr>
          </w:p>
        </w:tc>
        <w:tc>
          <w:tcPr>
            <w:tcW w:w="850" w:type="dxa"/>
            <w:shd w:val="clear" w:color="auto" w:fill="auto"/>
          </w:tcPr>
          <w:p w14:paraId="048EA2CD" w14:textId="2073DEDA" w:rsidR="00407459" w:rsidRPr="00407459" w:rsidRDefault="00407459" w:rsidP="00FF6B84">
            <w:pPr>
              <w:tabs>
                <w:tab w:val="decimal" w:pos="330"/>
              </w:tabs>
              <w:ind w:firstLine="0"/>
              <w:rPr>
                <w:rFonts w:eastAsia="Times New Roman" w:cs="Times New Roman"/>
                <w:sz w:val="18"/>
                <w:szCs w:val="18"/>
              </w:rPr>
            </w:pPr>
            <w:r w:rsidRPr="00407459">
              <w:rPr>
                <w:rFonts w:cs="Times New Roman"/>
                <w:sz w:val="18"/>
                <w:szCs w:val="18"/>
              </w:rPr>
              <w:t>-4,7</w:t>
            </w:r>
          </w:p>
        </w:tc>
        <w:tc>
          <w:tcPr>
            <w:tcW w:w="851" w:type="dxa"/>
            <w:shd w:val="clear" w:color="auto" w:fill="auto"/>
          </w:tcPr>
          <w:p w14:paraId="6F0834CA" w14:textId="615AAACA" w:rsidR="00407459" w:rsidRPr="00407459" w:rsidRDefault="00407459" w:rsidP="00FF6B84">
            <w:pPr>
              <w:tabs>
                <w:tab w:val="decimal" w:pos="330"/>
              </w:tabs>
              <w:ind w:firstLine="0"/>
              <w:rPr>
                <w:rFonts w:eastAsia="Times New Roman" w:cs="Times New Roman"/>
                <w:sz w:val="18"/>
                <w:szCs w:val="18"/>
              </w:rPr>
            </w:pPr>
            <w:r w:rsidRPr="00407459">
              <w:rPr>
                <w:rFonts w:cs="Times New Roman"/>
                <w:sz w:val="18"/>
                <w:szCs w:val="18"/>
              </w:rPr>
              <w:t>-4,0</w:t>
            </w:r>
          </w:p>
        </w:tc>
        <w:tc>
          <w:tcPr>
            <w:tcW w:w="850" w:type="dxa"/>
            <w:shd w:val="clear" w:color="auto" w:fill="auto"/>
            <w:vAlign w:val="bottom"/>
          </w:tcPr>
          <w:p w14:paraId="28DE0A91" w14:textId="1AF6E5FA" w:rsidR="00407459" w:rsidRPr="00407459" w:rsidRDefault="00407459" w:rsidP="00FF6B84">
            <w:pPr>
              <w:tabs>
                <w:tab w:val="decimal" w:pos="330"/>
              </w:tabs>
              <w:ind w:firstLine="0"/>
              <w:rPr>
                <w:rFonts w:eastAsia="Times New Roman" w:cs="Times New Roman"/>
                <w:sz w:val="18"/>
                <w:szCs w:val="18"/>
              </w:rPr>
            </w:pPr>
            <w:r w:rsidRPr="00407459">
              <w:rPr>
                <w:sz w:val="18"/>
                <w:szCs w:val="18"/>
              </w:rPr>
              <w:t>-2,5</w:t>
            </w:r>
          </w:p>
        </w:tc>
        <w:tc>
          <w:tcPr>
            <w:tcW w:w="851" w:type="dxa"/>
            <w:shd w:val="clear" w:color="auto" w:fill="auto"/>
            <w:vAlign w:val="bottom"/>
          </w:tcPr>
          <w:p w14:paraId="694826C7" w14:textId="0CE16650" w:rsidR="00407459" w:rsidRPr="00407459" w:rsidRDefault="00407459" w:rsidP="00FF6B84">
            <w:pPr>
              <w:tabs>
                <w:tab w:val="decimal" w:pos="330"/>
              </w:tabs>
              <w:ind w:firstLine="0"/>
              <w:rPr>
                <w:rFonts w:eastAsia="Arial Unicode MS" w:cs="Times New Roman"/>
                <w:sz w:val="18"/>
                <w:szCs w:val="18"/>
              </w:rPr>
            </w:pPr>
            <w:r w:rsidRPr="00407459">
              <w:rPr>
                <w:sz w:val="18"/>
                <w:szCs w:val="18"/>
              </w:rPr>
              <w:t>-2,2</w:t>
            </w:r>
          </w:p>
        </w:tc>
        <w:tc>
          <w:tcPr>
            <w:tcW w:w="838" w:type="dxa"/>
            <w:shd w:val="clear" w:color="auto" w:fill="auto"/>
            <w:vAlign w:val="bottom"/>
          </w:tcPr>
          <w:p w14:paraId="100492C9" w14:textId="3E1ED145" w:rsidR="00407459" w:rsidRPr="00407459" w:rsidRDefault="00407459" w:rsidP="00FF6B84">
            <w:pPr>
              <w:tabs>
                <w:tab w:val="decimal" w:pos="330"/>
              </w:tabs>
              <w:ind w:firstLine="0"/>
              <w:rPr>
                <w:rFonts w:eastAsia="Times New Roman" w:cs="Times New Roman"/>
                <w:sz w:val="18"/>
                <w:szCs w:val="18"/>
              </w:rPr>
            </w:pPr>
            <w:r w:rsidRPr="00407459">
              <w:rPr>
                <w:sz w:val="18"/>
                <w:szCs w:val="18"/>
              </w:rPr>
              <w:t>-0,7</w:t>
            </w:r>
          </w:p>
        </w:tc>
      </w:tr>
      <w:tr w:rsidR="00407459" w:rsidRPr="008D5244" w14:paraId="2941EFB0" w14:textId="77777777" w:rsidTr="00E20AA8">
        <w:trPr>
          <w:jc w:val="center"/>
        </w:trPr>
        <w:tc>
          <w:tcPr>
            <w:tcW w:w="3964" w:type="dxa"/>
            <w:shd w:val="clear" w:color="auto" w:fill="DEEAF6"/>
          </w:tcPr>
          <w:p w14:paraId="395FA199" w14:textId="77777777" w:rsidR="00407459" w:rsidRPr="00407459" w:rsidRDefault="00407459" w:rsidP="00407459">
            <w:pPr>
              <w:ind w:firstLine="0"/>
              <w:jc w:val="right"/>
              <w:rPr>
                <w:rFonts w:eastAsia="Times New Roman" w:cs="Times New Roman"/>
                <w:b/>
                <w:sz w:val="18"/>
                <w:szCs w:val="18"/>
              </w:rPr>
            </w:pPr>
            <w:r w:rsidRPr="00407459">
              <w:rPr>
                <w:rFonts w:eastAsia="Times New Roman" w:cs="Times New Roman"/>
                <w:b/>
                <w:snapToGrid w:val="0"/>
                <w:sz w:val="18"/>
                <w:szCs w:val="18"/>
              </w:rPr>
              <w:t>Izmaiņas</w:t>
            </w:r>
          </w:p>
        </w:tc>
        <w:tc>
          <w:tcPr>
            <w:tcW w:w="1289" w:type="dxa"/>
            <w:shd w:val="clear" w:color="auto" w:fill="DEEAF6"/>
          </w:tcPr>
          <w:p w14:paraId="24C740FA" w14:textId="77777777" w:rsidR="00407459" w:rsidRPr="00407459" w:rsidRDefault="00407459" w:rsidP="00407459">
            <w:pPr>
              <w:ind w:firstLine="0"/>
              <w:jc w:val="center"/>
              <w:rPr>
                <w:rFonts w:eastAsia="Times New Roman" w:cs="Times New Roman"/>
                <w:sz w:val="18"/>
                <w:szCs w:val="18"/>
              </w:rPr>
            </w:pPr>
          </w:p>
        </w:tc>
        <w:tc>
          <w:tcPr>
            <w:tcW w:w="850" w:type="dxa"/>
            <w:shd w:val="clear" w:color="auto" w:fill="DEEAF6"/>
          </w:tcPr>
          <w:p w14:paraId="0B147ADC" w14:textId="7FB6BF04" w:rsidR="00407459" w:rsidRPr="00407459" w:rsidRDefault="00407459" w:rsidP="00407459">
            <w:pPr>
              <w:ind w:firstLine="0"/>
              <w:jc w:val="center"/>
              <w:rPr>
                <w:rFonts w:eastAsia="Calibri" w:cs="Times New Roman"/>
                <w:sz w:val="18"/>
                <w:szCs w:val="18"/>
              </w:rPr>
            </w:pPr>
            <w:r w:rsidRPr="00407459">
              <w:rPr>
                <w:rFonts w:cs="Times New Roman"/>
                <w:sz w:val="18"/>
                <w:szCs w:val="18"/>
              </w:rPr>
              <w:t>1,8</w:t>
            </w:r>
          </w:p>
        </w:tc>
        <w:tc>
          <w:tcPr>
            <w:tcW w:w="851" w:type="dxa"/>
            <w:shd w:val="clear" w:color="auto" w:fill="DEEAF6"/>
          </w:tcPr>
          <w:p w14:paraId="2BB9FAB4" w14:textId="266B296F" w:rsidR="00407459" w:rsidRPr="00407459" w:rsidRDefault="00407459" w:rsidP="00407459">
            <w:pPr>
              <w:ind w:firstLine="0"/>
              <w:jc w:val="center"/>
              <w:rPr>
                <w:rFonts w:eastAsia="Calibri" w:cs="Times New Roman"/>
                <w:sz w:val="18"/>
                <w:szCs w:val="18"/>
              </w:rPr>
            </w:pPr>
            <w:r w:rsidRPr="00407459">
              <w:rPr>
                <w:rFonts w:cs="Times New Roman"/>
                <w:sz w:val="18"/>
                <w:szCs w:val="18"/>
              </w:rPr>
              <w:t>-1,7</w:t>
            </w:r>
          </w:p>
        </w:tc>
        <w:tc>
          <w:tcPr>
            <w:tcW w:w="850" w:type="dxa"/>
            <w:shd w:val="clear" w:color="auto" w:fill="DEEAF6"/>
            <w:vAlign w:val="bottom"/>
          </w:tcPr>
          <w:p w14:paraId="18D38863" w14:textId="0FF161DF" w:rsidR="00407459" w:rsidRPr="00407459" w:rsidRDefault="00407459" w:rsidP="00407459">
            <w:pPr>
              <w:ind w:firstLine="0"/>
              <w:jc w:val="center"/>
              <w:rPr>
                <w:rFonts w:eastAsia="Calibri" w:cs="Times New Roman"/>
                <w:sz w:val="18"/>
                <w:szCs w:val="18"/>
              </w:rPr>
            </w:pPr>
            <w:r w:rsidRPr="00407459">
              <w:rPr>
                <w:sz w:val="18"/>
                <w:szCs w:val="18"/>
              </w:rPr>
              <w:t>-0,7</w:t>
            </w:r>
          </w:p>
        </w:tc>
        <w:tc>
          <w:tcPr>
            <w:tcW w:w="851" w:type="dxa"/>
            <w:shd w:val="clear" w:color="auto" w:fill="DEEAF6"/>
            <w:vAlign w:val="bottom"/>
          </w:tcPr>
          <w:p w14:paraId="0623EBE6" w14:textId="3A445B43" w:rsidR="00407459" w:rsidRPr="00407459" w:rsidRDefault="00407459" w:rsidP="00407459">
            <w:pPr>
              <w:ind w:firstLine="0"/>
              <w:jc w:val="center"/>
              <w:rPr>
                <w:rFonts w:eastAsia="Calibri" w:cs="Times New Roman"/>
                <w:sz w:val="18"/>
                <w:szCs w:val="18"/>
              </w:rPr>
            </w:pPr>
            <w:r w:rsidRPr="00407459">
              <w:rPr>
                <w:sz w:val="18"/>
                <w:szCs w:val="18"/>
              </w:rPr>
              <w:t>-1,2</w:t>
            </w:r>
          </w:p>
        </w:tc>
        <w:tc>
          <w:tcPr>
            <w:tcW w:w="838" w:type="dxa"/>
            <w:shd w:val="clear" w:color="auto" w:fill="DEEAF6"/>
            <w:vAlign w:val="bottom"/>
          </w:tcPr>
          <w:p w14:paraId="2B1D974B" w14:textId="627D61AA" w:rsidR="00407459" w:rsidRPr="00407459" w:rsidRDefault="00407459" w:rsidP="00407459">
            <w:pPr>
              <w:ind w:firstLine="0"/>
              <w:jc w:val="center"/>
              <w:rPr>
                <w:rFonts w:eastAsia="Calibri" w:cs="Times New Roman"/>
                <w:sz w:val="18"/>
                <w:szCs w:val="18"/>
              </w:rPr>
            </w:pPr>
            <w:r w:rsidRPr="00407459">
              <w:rPr>
                <w:sz w:val="18"/>
                <w:szCs w:val="18"/>
              </w:rPr>
              <w:t>-</w:t>
            </w:r>
          </w:p>
        </w:tc>
      </w:tr>
      <w:tr w:rsidR="008D5244" w:rsidRPr="008D5244" w14:paraId="5D070A34" w14:textId="77777777" w:rsidTr="00760098">
        <w:trPr>
          <w:jc w:val="center"/>
        </w:trPr>
        <w:tc>
          <w:tcPr>
            <w:tcW w:w="3964" w:type="dxa"/>
            <w:shd w:val="clear" w:color="auto" w:fill="auto"/>
          </w:tcPr>
          <w:p w14:paraId="61950BCD" w14:textId="77777777" w:rsidR="008D5244" w:rsidRPr="00407459" w:rsidRDefault="008D5244" w:rsidP="008D5244">
            <w:pPr>
              <w:ind w:firstLine="0"/>
              <w:jc w:val="right"/>
              <w:rPr>
                <w:rFonts w:eastAsia="Times New Roman" w:cs="Times New Roman"/>
                <w:b/>
                <w:sz w:val="18"/>
                <w:szCs w:val="18"/>
              </w:rPr>
            </w:pPr>
            <w:r w:rsidRPr="00407459">
              <w:rPr>
                <w:rFonts w:eastAsia="Times New Roman" w:cs="Times New Roman"/>
                <w:b/>
                <w:sz w:val="18"/>
                <w:szCs w:val="18"/>
              </w:rPr>
              <w:lastRenderedPageBreak/>
              <w:t xml:space="preserve">Vispārējās valdības kopējais parāds </w:t>
            </w:r>
          </w:p>
          <w:p w14:paraId="2DF2A1A6" w14:textId="77777777" w:rsidR="008D5244" w:rsidRPr="00407459" w:rsidRDefault="008D5244" w:rsidP="008D5244">
            <w:pPr>
              <w:ind w:firstLine="0"/>
              <w:jc w:val="right"/>
              <w:rPr>
                <w:rFonts w:eastAsia="Times New Roman" w:cs="Times New Roman"/>
                <w:b/>
                <w:sz w:val="18"/>
                <w:szCs w:val="18"/>
              </w:rPr>
            </w:pPr>
            <w:r w:rsidRPr="00407459">
              <w:rPr>
                <w:rFonts w:eastAsia="Times New Roman" w:cs="Times New Roman"/>
                <w:b/>
                <w:sz w:val="18"/>
                <w:szCs w:val="18"/>
              </w:rPr>
              <w:t>(% no IKP)</w:t>
            </w:r>
          </w:p>
        </w:tc>
        <w:tc>
          <w:tcPr>
            <w:tcW w:w="1289" w:type="dxa"/>
            <w:shd w:val="clear" w:color="auto" w:fill="auto"/>
          </w:tcPr>
          <w:p w14:paraId="50301F8A" w14:textId="77777777" w:rsidR="008D5244" w:rsidRPr="00407459" w:rsidRDefault="008D5244" w:rsidP="008D5244">
            <w:pPr>
              <w:ind w:firstLine="0"/>
              <w:jc w:val="center"/>
              <w:rPr>
                <w:rFonts w:eastAsia="Times New Roman" w:cs="Times New Roman"/>
                <w:sz w:val="18"/>
                <w:szCs w:val="18"/>
              </w:rPr>
            </w:pPr>
          </w:p>
        </w:tc>
        <w:tc>
          <w:tcPr>
            <w:tcW w:w="850" w:type="dxa"/>
            <w:shd w:val="clear" w:color="auto" w:fill="auto"/>
          </w:tcPr>
          <w:p w14:paraId="6136E0D9" w14:textId="77777777" w:rsidR="008D5244" w:rsidRPr="00407459" w:rsidRDefault="008D5244" w:rsidP="00407459">
            <w:pPr>
              <w:ind w:firstLine="0"/>
              <w:jc w:val="center"/>
              <w:rPr>
                <w:rFonts w:eastAsia="Calibri" w:cs="Times New Roman"/>
                <w:sz w:val="18"/>
                <w:szCs w:val="18"/>
              </w:rPr>
            </w:pPr>
          </w:p>
        </w:tc>
        <w:tc>
          <w:tcPr>
            <w:tcW w:w="851" w:type="dxa"/>
            <w:shd w:val="clear" w:color="auto" w:fill="auto"/>
          </w:tcPr>
          <w:p w14:paraId="115CDE5E" w14:textId="77777777" w:rsidR="008D5244" w:rsidRPr="00407459" w:rsidRDefault="008D5244" w:rsidP="00407459">
            <w:pPr>
              <w:ind w:firstLine="0"/>
              <w:jc w:val="center"/>
              <w:rPr>
                <w:rFonts w:eastAsia="Calibri" w:cs="Times New Roman"/>
                <w:sz w:val="18"/>
                <w:szCs w:val="18"/>
              </w:rPr>
            </w:pPr>
          </w:p>
        </w:tc>
        <w:tc>
          <w:tcPr>
            <w:tcW w:w="850" w:type="dxa"/>
            <w:shd w:val="clear" w:color="auto" w:fill="auto"/>
          </w:tcPr>
          <w:p w14:paraId="32CB8774" w14:textId="77777777" w:rsidR="008D5244" w:rsidRPr="00407459" w:rsidRDefault="008D5244" w:rsidP="00407459">
            <w:pPr>
              <w:ind w:firstLine="0"/>
              <w:jc w:val="center"/>
              <w:rPr>
                <w:rFonts w:eastAsia="Calibri" w:cs="Times New Roman"/>
                <w:sz w:val="18"/>
                <w:szCs w:val="18"/>
              </w:rPr>
            </w:pPr>
          </w:p>
        </w:tc>
        <w:tc>
          <w:tcPr>
            <w:tcW w:w="851" w:type="dxa"/>
            <w:shd w:val="clear" w:color="auto" w:fill="auto"/>
          </w:tcPr>
          <w:p w14:paraId="451835AC" w14:textId="77777777" w:rsidR="008D5244" w:rsidRPr="00407459" w:rsidRDefault="008D5244" w:rsidP="00407459">
            <w:pPr>
              <w:ind w:firstLine="0"/>
              <w:jc w:val="center"/>
              <w:rPr>
                <w:rFonts w:eastAsia="Calibri" w:cs="Times New Roman"/>
                <w:sz w:val="18"/>
                <w:szCs w:val="18"/>
              </w:rPr>
            </w:pPr>
          </w:p>
        </w:tc>
        <w:tc>
          <w:tcPr>
            <w:tcW w:w="838" w:type="dxa"/>
            <w:shd w:val="clear" w:color="auto" w:fill="auto"/>
          </w:tcPr>
          <w:p w14:paraId="4CCFDABB" w14:textId="77777777" w:rsidR="008D5244" w:rsidRPr="00407459" w:rsidRDefault="008D5244" w:rsidP="00407459">
            <w:pPr>
              <w:ind w:firstLine="0"/>
              <w:jc w:val="center"/>
              <w:rPr>
                <w:rFonts w:eastAsia="Calibri" w:cs="Times New Roman"/>
                <w:sz w:val="18"/>
                <w:szCs w:val="18"/>
              </w:rPr>
            </w:pPr>
          </w:p>
        </w:tc>
      </w:tr>
      <w:tr w:rsidR="008D5244" w:rsidRPr="008D5244" w14:paraId="5FF4A234" w14:textId="77777777" w:rsidTr="00760098">
        <w:trPr>
          <w:jc w:val="center"/>
        </w:trPr>
        <w:tc>
          <w:tcPr>
            <w:tcW w:w="3964" w:type="dxa"/>
            <w:shd w:val="clear" w:color="auto" w:fill="DEEAF6"/>
          </w:tcPr>
          <w:p w14:paraId="721F57A9" w14:textId="2E3C512E" w:rsidR="008D5244" w:rsidRPr="00407459" w:rsidRDefault="008D5244" w:rsidP="008D5244">
            <w:pPr>
              <w:ind w:firstLine="0"/>
              <w:jc w:val="right"/>
              <w:rPr>
                <w:rFonts w:eastAsia="Times New Roman" w:cs="Times New Roman"/>
                <w:bCs/>
                <w:snapToGrid w:val="0"/>
                <w:sz w:val="18"/>
                <w:szCs w:val="18"/>
              </w:rPr>
            </w:pPr>
            <w:r w:rsidRPr="00407459">
              <w:rPr>
                <w:rFonts w:eastAsia="Times New Roman" w:cs="Times New Roman"/>
                <w:bCs/>
                <w:sz w:val="18"/>
                <w:szCs w:val="18"/>
              </w:rPr>
              <w:t>2022.gads</w:t>
            </w:r>
          </w:p>
        </w:tc>
        <w:tc>
          <w:tcPr>
            <w:tcW w:w="1289" w:type="dxa"/>
            <w:shd w:val="clear" w:color="auto" w:fill="DEEAF6"/>
          </w:tcPr>
          <w:p w14:paraId="3772E861" w14:textId="77777777" w:rsidR="008D5244" w:rsidRPr="00407459" w:rsidRDefault="008D5244" w:rsidP="008D5244">
            <w:pPr>
              <w:ind w:firstLine="0"/>
              <w:jc w:val="center"/>
              <w:rPr>
                <w:rFonts w:eastAsia="Times New Roman" w:cs="Times New Roman"/>
                <w:sz w:val="18"/>
                <w:szCs w:val="18"/>
              </w:rPr>
            </w:pPr>
          </w:p>
        </w:tc>
        <w:tc>
          <w:tcPr>
            <w:tcW w:w="850" w:type="dxa"/>
            <w:shd w:val="clear" w:color="auto" w:fill="DEEAF6"/>
          </w:tcPr>
          <w:p w14:paraId="4E499FFD" w14:textId="7C094A6F" w:rsidR="008D5244" w:rsidRPr="00407459" w:rsidRDefault="008D5244" w:rsidP="00407459">
            <w:pPr>
              <w:ind w:firstLine="0"/>
              <w:jc w:val="center"/>
              <w:rPr>
                <w:rFonts w:eastAsia="Calibri" w:cs="Times New Roman"/>
                <w:sz w:val="18"/>
                <w:szCs w:val="18"/>
              </w:rPr>
            </w:pPr>
            <w:r w:rsidRPr="00407459">
              <w:rPr>
                <w:rFonts w:cs="Times New Roman"/>
                <w:sz w:val="18"/>
                <w:szCs w:val="18"/>
              </w:rPr>
              <w:t>45,7</w:t>
            </w:r>
          </w:p>
        </w:tc>
        <w:tc>
          <w:tcPr>
            <w:tcW w:w="851" w:type="dxa"/>
            <w:shd w:val="clear" w:color="auto" w:fill="DEEAF6"/>
          </w:tcPr>
          <w:p w14:paraId="798B8313" w14:textId="5192ED22" w:rsidR="008D5244" w:rsidRPr="00407459" w:rsidRDefault="008D5244" w:rsidP="00407459">
            <w:pPr>
              <w:ind w:firstLine="0"/>
              <w:jc w:val="center"/>
              <w:rPr>
                <w:rFonts w:eastAsia="Calibri" w:cs="Times New Roman"/>
                <w:sz w:val="18"/>
                <w:szCs w:val="18"/>
              </w:rPr>
            </w:pPr>
            <w:r w:rsidRPr="00407459">
              <w:rPr>
                <w:rFonts w:cs="Times New Roman"/>
                <w:sz w:val="18"/>
                <w:szCs w:val="18"/>
              </w:rPr>
              <w:t>45,2</w:t>
            </w:r>
          </w:p>
        </w:tc>
        <w:tc>
          <w:tcPr>
            <w:tcW w:w="850" w:type="dxa"/>
            <w:shd w:val="clear" w:color="auto" w:fill="DEEAF6"/>
          </w:tcPr>
          <w:p w14:paraId="78306BC1" w14:textId="71F152F2" w:rsidR="008D5244" w:rsidRPr="00407459" w:rsidRDefault="008D5244" w:rsidP="00407459">
            <w:pPr>
              <w:ind w:firstLine="0"/>
              <w:jc w:val="center"/>
              <w:rPr>
                <w:rFonts w:eastAsia="Calibri" w:cs="Times New Roman"/>
                <w:sz w:val="18"/>
                <w:szCs w:val="18"/>
              </w:rPr>
            </w:pPr>
            <w:r w:rsidRPr="00407459">
              <w:rPr>
                <w:rFonts w:cs="Times New Roman"/>
                <w:sz w:val="18"/>
                <w:szCs w:val="18"/>
              </w:rPr>
              <w:t>44,5</w:t>
            </w:r>
          </w:p>
        </w:tc>
        <w:tc>
          <w:tcPr>
            <w:tcW w:w="851" w:type="dxa"/>
            <w:shd w:val="clear" w:color="auto" w:fill="DEEAF6"/>
          </w:tcPr>
          <w:p w14:paraId="74A2D50E" w14:textId="18495B23" w:rsidR="008D5244" w:rsidRPr="00407459" w:rsidRDefault="008D5244" w:rsidP="00407459">
            <w:pPr>
              <w:ind w:firstLine="0"/>
              <w:jc w:val="center"/>
              <w:rPr>
                <w:rFonts w:eastAsia="Calibri" w:cs="Times New Roman"/>
                <w:sz w:val="18"/>
                <w:szCs w:val="18"/>
              </w:rPr>
            </w:pPr>
            <w:r w:rsidRPr="00407459">
              <w:rPr>
                <w:rFonts w:cs="Times New Roman"/>
                <w:sz w:val="18"/>
                <w:szCs w:val="18"/>
              </w:rPr>
              <w:t>43,4</w:t>
            </w:r>
          </w:p>
        </w:tc>
        <w:tc>
          <w:tcPr>
            <w:tcW w:w="838" w:type="dxa"/>
            <w:shd w:val="clear" w:color="auto" w:fill="DEEAF6"/>
          </w:tcPr>
          <w:p w14:paraId="25D4635D" w14:textId="39B121F2" w:rsidR="008D5244" w:rsidRPr="00407459" w:rsidRDefault="008D5244" w:rsidP="00407459">
            <w:pPr>
              <w:ind w:firstLine="0"/>
              <w:jc w:val="center"/>
              <w:rPr>
                <w:rFonts w:eastAsia="Calibri" w:cs="Times New Roman"/>
                <w:sz w:val="18"/>
                <w:szCs w:val="18"/>
              </w:rPr>
            </w:pPr>
            <w:r w:rsidRPr="00407459">
              <w:rPr>
                <w:rFonts w:cs="Times New Roman"/>
                <w:sz w:val="18"/>
                <w:szCs w:val="18"/>
              </w:rPr>
              <w:t>-</w:t>
            </w:r>
          </w:p>
        </w:tc>
      </w:tr>
      <w:tr w:rsidR="008D5244" w:rsidRPr="008D5244" w14:paraId="0116C756" w14:textId="77777777" w:rsidTr="00760098">
        <w:trPr>
          <w:jc w:val="center"/>
        </w:trPr>
        <w:tc>
          <w:tcPr>
            <w:tcW w:w="3964" w:type="dxa"/>
            <w:shd w:val="clear" w:color="auto" w:fill="auto"/>
          </w:tcPr>
          <w:p w14:paraId="46FF804E" w14:textId="207476E2" w:rsidR="008D5244" w:rsidRPr="00407459" w:rsidRDefault="008D5244" w:rsidP="008D5244">
            <w:pPr>
              <w:ind w:firstLine="0"/>
              <w:jc w:val="right"/>
              <w:rPr>
                <w:rFonts w:eastAsia="Times New Roman" w:cs="Times New Roman"/>
                <w:bCs/>
                <w:snapToGrid w:val="0"/>
                <w:sz w:val="18"/>
                <w:szCs w:val="18"/>
              </w:rPr>
            </w:pPr>
            <w:r w:rsidRPr="00407459">
              <w:rPr>
                <w:rFonts w:eastAsia="Times New Roman" w:cs="Times New Roman"/>
                <w:bCs/>
                <w:sz w:val="18"/>
                <w:szCs w:val="18"/>
              </w:rPr>
              <w:t>2023.gads</w:t>
            </w:r>
          </w:p>
        </w:tc>
        <w:tc>
          <w:tcPr>
            <w:tcW w:w="1289" w:type="dxa"/>
            <w:shd w:val="clear" w:color="auto" w:fill="auto"/>
          </w:tcPr>
          <w:p w14:paraId="52E9FAE4" w14:textId="77777777" w:rsidR="008D5244" w:rsidRPr="00407459" w:rsidRDefault="008D5244" w:rsidP="008D5244">
            <w:pPr>
              <w:ind w:firstLine="0"/>
              <w:jc w:val="center"/>
              <w:rPr>
                <w:rFonts w:eastAsia="Times New Roman" w:cs="Times New Roman"/>
                <w:sz w:val="18"/>
                <w:szCs w:val="18"/>
              </w:rPr>
            </w:pPr>
          </w:p>
        </w:tc>
        <w:tc>
          <w:tcPr>
            <w:tcW w:w="850" w:type="dxa"/>
            <w:shd w:val="clear" w:color="auto" w:fill="auto"/>
          </w:tcPr>
          <w:p w14:paraId="754ACC66" w14:textId="780F80A7" w:rsidR="008D5244" w:rsidRPr="00407459" w:rsidRDefault="008D5244" w:rsidP="00FF6B84">
            <w:pPr>
              <w:tabs>
                <w:tab w:val="decimal" w:pos="330"/>
              </w:tabs>
              <w:ind w:firstLine="0"/>
              <w:rPr>
                <w:rFonts w:eastAsia="Times New Roman" w:cs="Times New Roman"/>
                <w:sz w:val="18"/>
                <w:szCs w:val="18"/>
              </w:rPr>
            </w:pPr>
            <w:r w:rsidRPr="00407459">
              <w:rPr>
                <w:rFonts w:cs="Times New Roman"/>
                <w:sz w:val="18"/>
                <w:szCs w:val="18"/>
              </w:rPr>
              <w:t>40,8</w:t>
            </w:r>
          </w:p>
        </w:tc>
        <w:tc>
          <w:tcPr>
            <w:tcW w:w="851" w:type="dxa"/>
            <w:shd w:val="clear" w:color="auto" w:fill="auto"/>
          </w:tcPr>
          <w:p w14:paraId="51906183" w14:textId="4F38313E" w:rsidR="008D5244" w:rsidRPr="00407459" w:rsidRDefault="008D5244" w:rsidP="00FF6B84">
            <w:pPr>
              <w:tabs>
                <w:tab w:val="decimal" w:pos="330"/>
              </w:tabs>
              <w:ind w:firstLine="0"/>
              <w:rPr>
                <w:rFonts w:eastAsia="Times New Roman" w:cs="Times New Roman"/>
                <w:sz w:val="18"/>
                <w:szCs w:val="18"/>
              </w:rPr>
            </w:pPr>
            <w:r w:rsidRPr="00407459">
              <w:rPr>
                <w:rFonts w:cs="Times New Roman"/>
                <w:sz w:val="18"/>
                <w:szCs w:val="18"/>
              </w:rPr>
              <w:t>39,6</w:t>
            </w:r>
          </w:p>
        </w:tc>
        <w:tc>
          <w:tcPr>
            <w:tcW w:w="850" w:type="dxa"/>
            <w:shd w:val="clear" w:color="auto" w:fill="auto"/>
          </w:tcPr>
          <w:p w14:paraId="2AF9AD31" w14:textId="7B41DD83" w:rsidR="008D5244" w:rsidRPr="00407459" w:rsidRDefault="008D5244" w:rsidP="00FF6B84">
            <w:pPr>
              <w:tabs>
                <w:tab w:val="decimal" w:pos="330"/>
              </w:tabs>
              <w:ind w:firstLine="0"/>
              <w:rPr>
                <w:rFonts w:eastAsia="Times New Roman" w:cs="Times New Roman"/>
                <w:sz w:val="18"/>
                <w:szCs w:val="18"/>
              </w:rPr>
            </w:pPr>
            <w:r w:rsidRPr="00407459">
              <w:rPr>
                <w:rFonts w:cs="Times New Roman"/>
                <w:sz w:val="18"/>
                <w:szCs w:val="18"/>
              </w:rPr>
              <w:t>39,7</w:t>
            </w:r>
          </w:p>
        </w:tc>
        <w:tc>
          <w:tcPr>
            <w:tcW w:w="851" w:type="dxa"/>
            <w:shd w:val="clear" w:color="auto" w:fill="auto"/>
          </w:tcPr>
          <w:p w14:paraId="4775F908" w14:textId="174FA4FB" w:rsidR="008D5244" w:rsidRPr="00407459" w:rsidRDefault="008D5244" w:rsidP="00FF6B84">
            <w:pPr>
              <w:tabs>
                <w:tab w:val="decimal" w:pos="330"/>
              </w:tabs>
              <w:ind w:firstLine="0"/>
              <w:rPr>
                <w:rFonts w:eastAsia="Arial Unicode MS" w:cs="Times New Roman"/>
                <w:sz w:val="18"/>
                <w:szCs w:val="18"/>
              </w:rPr>
            </w:pPr>
            <w:r w:rsidRPr="00407459">
              <w:rPr>
                <w:rFonts w:cs="Times New Roman"/>
                <w:sz w:val="18"/>
                <w:szCs w:val="18"/>
              </w:rPr>
              <w:t>39,8</w:t>
            </w:r>
          </w:p>
        </w:tc>
        <w:tc>
          <w:tcPr>
            <w:tcW w:w="838" w:type="dxa"/>
            <w:shd w:val="clear" w:color="auto" w:fill="auto"/>
          </w:tcPr>
          <w:p w14:paraId="13DF85A5" w14:textId="6D66F0D8" w:rsidR="008D5244" w:rsidRPr="00407459" w:rsidRDefault="008D5244" w:rsidP="00407459">
            <w:pPr>
              <w:ind w:firstLine="0"/>
              <w:jc w:val="center"/>
              <w:rPr>
                <w:rFonts w:eastAsia="Times New Roman" w:cs="Times New Roman"/>
                <w:sz w:val="18"/>
                <w:szCs w:val="18"/>
              </w:rPr>
            </w:pPr>
            <w:r w:rsidRPr="00407459">
              <w:rPr>
                <w:rFonts w:cs="Times New Roman"/>
                <w:sz w:val="18"/>
                <w:szCs w:val="18"/>
              </w:rPr>
              <w:t>38,9</w:t>
            </w:r>
          </w:p>
        </w:tc>
      </w:tr>
      <w:tr w:rsidR="008D5244" w:rsidRPr="008D5244" w14:paraId="0E829C59" w14:textId="77777777" w:rsidTr="00760098">
        <w:trPr>
          <w:jc w:val="center"/>
        </w:trPr>
        <w:tc>
          <w:tcPr>
            <w:tcW w:w="3964" w:type="dxa"/>
            <w:shd w:val="clear" w:color="auto" w:fill="DEEAF6"/>
          </w:tcPr>
          <w:p w14:paraId="61E9F127" w14:textId="77777777" w:rsidR="008D5244" w:rsidRPr="00407459" w:rsidRDefault="008D5244" w:rsidP="008D5244">
            <w:pPr>
              <w:ind w:firstLine="0"/>
              <w:jc w:val="right"/>
              <w:rPr>
                <w:rFonts w:eastAsia="Times New Roman" w:cs="Times New Roman"/>
                <w:b/>
                <w:sz w:val="18"/>
                <w:szCs w:val="18"/>
              </w:rPr>
            </w:pPr>
            <w:r w:rsidRPr="00407459">
              <w:rPr>
                <w:rFonts w:eastAsia="Times New Roman" w:cs="Times New Roman"/>
                <w:b/>
                <w:snapToGrid w:val="0"/>
                <w:sz w:val="18"/>
                <w:szCs w:val="18"/>
              </w:rPr>
              <w:t>Izmaiņas</w:t>
            </w:r>
          </w:p>
        </w:tc>
        <w:tc>
          <w:tcPr>
            <w:tcW w:w="1289" w:type="dxa"/>
            <w:shd w:val="clear" w:color="auto" w:fill="DEEAF6"/>
          </w:tcPr>
          <w:p w14:paraId="66D546E0" w14:textId="77777777" w:rsidR="008D5244" w:rsidRPr="00407459" w:rsidRDefault="008D5244" w:rsidP="008D5244">
            <w:pPr>
              <w:ind w:firstLine="0"/>
              <w:jc w:val="center"/>
              <w:rPr>
                <w:rFonts w:eastAsia="Times New Roman" w:cs="Times New Roman"/>
                <w:sz w:val="18"/>
                <w:szCs w:val="18"/>
              </w:rPr>
            </w:pPr>
          </w:p>
        </w:tc>
        <w:tc>
          <w:tcPr>
            <w:tcW w:w="850" w:type="dxa"/>
            <w:shd w:val="clear" w:color="auto" w:fill="DEEAF6"/>
          </w:tcPr>
          <w:p w14:paraId="1F0CDF49" w14:textId="292E29F7" w:rsidR="008D5244" w:rsidRPr="00407459" w:rsidRDefault="008D5244" w:rsidP="00407459">
            <w:pPr>
              <w:ind w:firstLine="0"/>
              <w:jc w:val="center"/>
              <w:rPr>
                <w:rFonts w:eastAsia="Times New Roman" w:cs="Times New Roman"/>
                <w:sz w:val="18"/>
                <w:szCs w:val="18"/>
              </w:rPr>
            </w:pPr>
            <w:r w:rsidRPr="00407459">
              <w:rPr>
                <w:rFonts w:cs="Times New Roman"/>
                <w:sz w:val="18"/>
                <w:szCs w:val="18"/>
              </w:rPr>
              <w:t>-4,9</w:t>
            </w:r>
          </w:p>
        </w:tc>
        <w:tc>
          <w:tcPr>
            <w:tcW w:w="851" w:type="dxa"/>
            <w:shd w:val="clear" w:color="auto" w:fill="DEEAF6"/>
          </w:tcPr>
          <w:p w14:paraId="4BDEBA2D" w14:textId="5E4D095D" w:rsidR="008D5244" w:rsidRPr="00407459" w:rsidRDefault="008D5244" w:rsidP="00407459">
            <w:pPr>
              <w:ind w:firstLine="0"/>
              <w:jc w:val="center"/>
              <w:rPr>
                <w:rFonts w:eastAsia="Times New Roman" w:cs="Times New Roman"/>
                <w:sz w:val="18"/>
                <w:szCs w:val="18"/>
              </w:rPr>
            </w:pPr>
            <w:r w:rsidRPr="00407459">
              <w:rPr>
                <w:rFonts w:cs="Times New Roman"/>
                <w:sz w:val="18"/>
                <w:szCs w:val="18"/>
              </w:rPr>
              <w:t>-5,6</w:t>
            </w:r>
          </w:p>
        </w:tc>
        <w:tc>
          <w:tcPr>
            <w:tcW w:w="850" w:type="dxa"/>
            <w:shd w:val="clear" w:color="auto" w:fill="DEEAF6"/>
          </w:tcPr>
          <w:p w14:paraId="3A993534" w14:textId="10F9093A" w:rsidR="008D5244" w:rsidRPr="00407459" w:rsidRDefault="008D5244" w:rsidP="00407459">
            <w:pPr>
              <w:ind w:firstLine="0"/>
              <w:jc w:val="center"/>
              <w:rPr>
                <w:rFonts w:eastAsia="Times New Roman" w:cs="Times New Roman"/>
                <w:sz w:val="18"/>
                <w:szCs w:val="18"/>
              </w:rPr>
            </w:pPr>
            <w:r w:rsidRPr="00407459">
              <w:rPr>
                <w:rFonts w:cs="Times New Roman"/>
                <w:sz w:val="18"/>
                <w:szCs w:val="18"/>
              </w:rPr>
              <w:t>-4,8</w:t>
            </w:r>
          </w:p>
        </w:tc>
        <w:tc>
          <w:tcPr>
            <w:tcW w:w="851" w:type="dxa"/>
            <w:shd w:val="clear" w:color="auto" w:fill="DEEAF6"/>
          </w:tcPr>
          <w:p w14:paraId="229AD21A" w14:textId="083F0B41" w:rsidR="008D5244" w:rsidRPr="00407459" w:rsidRDefault="008D5244" w:rsidP="00407459">
            <w:pPr>
              <w:ind w:firstLine="0"/>
              <w:jc w:val="center"/>
              <w:rPr>
                <w:rFonts w:eastAsia="Times New Roman" w:cs="Times New Roman"/>
                <w:sz w:val="18"/>
                <w:szCs w:val="18"/>
              </w:rPr>
            </w:pPr>
            <w:r w:rsidRPr="00407459">
              <w:rPr>
                <w:rFonts w:cs="Times New Roman"/>
                <w:sz w:val="18"/>
                <w:szCs w:val="18"/>
              </w:rPr>
              <w:t>-3,6</w:t>
            </w:r>
          </w:p>
        </w:tc>
        <w:tc>
          <w:tcPr>
            <w:tcW w:w="838" w:type="dxa"/>
            <w:shd w:val="clear" w:color="auto" w:fill="DEEAF6"/>
          </w:tcPr>
          <w:p w14:paraId="287AEA7E" w14:textId="01B5A75C" w:rsidR="008D5244" w:rsidRPr="00407459" w:rsidRDefault="008D5244" w:rsidP="00FF6B84">
            <w:pPr>
              <w:tabs>
                <w:tab w:val="decimal" w:pos="330"/>
              </w:tabs>
              <w:ind w:firstLine="0"/>
              <w:rPr>
                <w:rFonts w:eastAsia="Times New Roman" w:cs="Times New Roman"/>
                <w:sz w:val="18"/>
                <w:szCs w:val="18"/>
              </w:rPr>
            </w:pPr>
            <w:r w:rsidRPr="00407459">
              <w:rPr>
                <w:rFonts w:cs="Times New Roman"/>
                <w:sz w:val="18"/>
                <w:szCs w:val="18"/>
              </w:rPr>
              <w:t>-</w:t>
            </w:r>
          </w:p>
        </w:tc>
      </w:tr>
    </w:tbl>
    <w:p w14:paraId="6368C9B0" w14:textId="77777777" w:rsidR="00C1707D" w:rsidRDefault="00C1707D" w:rsidP="00C1707D">
      <w:pPr>
        <w:ind w:firstLine="0"/>
        <w:jc w:val="left"/>
        <w:rPr>
          <w:rFonts w:eastAsia="Times New Roman" w:cs="Times New Roman"/>
          <w:b/>
          <w:sz w:val="24"/>
          <w:szCs w:val="24"/>
        </w:rPr>
      </w:pPr>
    </w:p>
    <w:p w14:paraId="2EE97DA4" w14:textId="69906468" w:rsidR="000F4627" w:rsidRPr="00010616" w:rsidRDefault="000F4627" w:rsidP="00C1707D">
      <w:pPr>
        <w:spacing w:after="120" w:line="259" w:lineRule="auto"/>
        <w:ind w:firstLine="0"/>
        <w:jc w:val="left"/>
        <w:rPr>
          <w:rFonts w:eastAsia="Times New Roman" w:cs="Times New Roman"/>
          <w:b/>
          <w:sz w:val="24"/>
          <w:szCs w:val="24"/>
        </w:rPr>
      </w:pPr>
      <w:r w:rsidRPr="00010616">
        <w:rPr>
          <w:rFonts w:eastAsia="Times New Roman" w:cs="Times New Roman"/>
          <w:b/>
          <w:sz w:val="24"/>
          <w:szCs w:val="24"/>
        </w:rPr>
        <w:t>7. tabula. Publisko finanšu ilgtspēj</w:t>
      </w:r>
      <w:r w:rsidRPr="00E54B38">
        <w:rPr>
          <w:rFonts w:eastAsia="Times New Roman" w:cs="Times New Roman"/>
          <w:b/>
          <w:sz w:val="24"/>
          <w:szCs w:val="24"/>
        </w:rPr>
        <w:t>a</w:t>
      </w:r>
      <w:r w:rsidRPr="00E54B38">
        <w:rPr>
          <w:rFonts w:eastAsia="Times New Roman"/>
          <w:bCs/>
          <w:sz w:val="18"/>
          <w:szCs w:val="14"/>
          <w:vertAlign w:val="superscript"/>
        </w:rPr>
        <w:footnoteReference w:id="23"/>
      </w:r>
    </w:p>
    <w:tbl>
      <w:tblPr>
        <w:tblStyle w:val="GridTable6Colorful-Accent513"/>
        <w:tblW w:w="9640" w:type="dxa"/>
        <w:tblInd w:w="-289" w:type="dxa"/>
        <w:tblLook w:val="04A0" w:firstRow="1" w:lastRow="0" w:firstColumn="1" w:lastColumn="0" w:noHBand="0" w:noVBand="1"/>
      </w:tblPr>
      <w:tblGrid>
        <w:gridCol w:w="5441"/>
        <w:gridCol w:w="681"/>
        <w:gridCol w:w="696"/>
        <w:gridCol w:w="696"/>
        <w:gridCol w:w="708"/>
        <w:gridCol w:w="722"/>
        <w:gridCol w:w="696"/>
      </w:tblGrid>
      <w:tr w:rsidR="000F4627" w:rsidRPr="00010616" w14:paraId="7F6830D1" w14:textId="77777777" w:rsidTr="00991B5E">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529" w:type="dxa"/>
            <w:hideMark/>
          </w:tcPr>
          <w:p w14:paraId="4E85BF0A" w14:textId="77777777" w:rsidR="000F4627" w:rsidRPr="00010616" w:rsidRDefault="000F4627" w:rsidP="000F4627">
            <w:pPr>
              <w:ind w:firstLine="0"/>
              <w:jc w:val="left"/>
              <w:rPr>
                <w:rFonts w:eastAsia="Times New Roman" w:cs="Times New Roman"/>
                <w:color w:val="000000"/>
                <w:sz w:val="18"/>
                <w:szCs w:val="18"/>
                <w:lang w:eastAsia="lv-LV"/>
              </w:rPr>
            </w:pPr>
            <w:r w:rsidRPr="00010616">
              <w:rPr>
                <w:rFonts w:eastAsia="Times New Roman" w:cs="Times New Roman"/>
                <w:color w:val="000000"/>
                <w:sz w:val="18"/>
                <w:szCs w:val="18"/>
                <w:lang w:eastAsia="lv-LV"/>
              </w:rPr>
              <w:t>% no IKP</w:t>
            </w:r>
          </w:p>
        </w:tc>
        <w:tc>
          <w:tcPr>
            <w:tcW w:w="593" w:type="dxa"/>
            <w:noWrap/>
            <w:hideMark/>
          </w:tcPr>
          <w:p w14:paraId="7BFEC0E4" w14:textId="58B7EE30" w:rsidR="000F4627" w:rsidRPr="00010616" w:rsidRDefault="000F4627" w:rsidP="000F4627">
            <w:pPr>
              <w:ind w:firstLine="0"/>
              <w:jc w:val="lef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lv-LV"/>
              </w:rPr>
            </w:pPr>
            <w:r w:rsidRPr="00010616">
              <w:rPr>
                <w:rFonts w:eastAsia="Times New Roman" w:cs="Times New Roman"/>
                <w:color w:val="000000"/>
                <w:sz w:val="18"/>
                <w:szCs w:val="18"/>
                <w:lang w:eastAsia="lv-LV"/>
              </w:rPr>
              <w:t>20</w:t>
            </w:r>
            <w:r w:rsidR="0062512B" w:rsidRPr="00010616">
              <w:rPr>
                <w:rFonts w:eastAsia="Times New Roman" w:cs="Times New Roman"/>
                <w:color w:val="000000"/>
                <w:sz w:val="18"/>
                <w:szCs w:val="18"/>
                <w:lang w:eastAsia="lv-LV"/>
              </w:rPr>
              <w:t>19</w:t>
            </w:r>
          </w:p>
        </w:tc>
        <w:tc>
          <w:tcPr>
            <w:tcW w:w="696" w:type="dxa"/>
            <w:noWrap/>
            <w:hideMark/>
          </w:tcPr>
          <w:p w14:paraId="773AD7FF" w14:textId="77777777" w:rsidR="000F4627" w:rsidRPr="00010616" w:rsidRDefault="000F4627" w:rsidP="000F4627">
            <w:pPr>
              <w:ind w:firstLine="0"/>
              <w:jc w:val="lef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lv-LV"/>
              </w:rPr>
            </w:pPr>
            <w:r w:rsidRPr="00010616">
              <w:rPr>
                <w:rFonts w:eastAsia="Times New Roman" w:cs="Times New Roman"/>
                <w:color w:val="000000"/>
                <w:sz w:val="18"/>
                <w:szCs w:val="18"/>
                <w:lang w:eastAsia="lv-LV"/>
              </w:rPr>
              <w:t>2030</w:t>
            </w:r>
          </w:p>
        </w:tc>
        <w:tc>
          <w:tcPr>
            <w:tcW w:w="696" w:type="dxa"/>
            <w:noWrap/>
          </w:tcPr>
          <w:p w14:paraId="277D4481" w14:textId="77777777" w:rsidR="000F4627" w:rsidRPr="00010616" w:rsidRDefault="000F4627" w:rsidP="000F4627">
            <w:pPr>
              <w:ind w:firstLine="0"/>
              <w:jc w:val="lef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lv-LV"/>
              </w:rPr>
            </w:pPr>
            <w:r w:rsidRPr="00010616">
              <w:rPr>
                <w:rFonts w:eastAsia="Times New Roman" w:cs="Times New Roman"/>
                <w:color w:val="000000"/>
                <w:sz w:val="18"/>
                <w:szCs w:val="18"/>
                <w:lang w:eastAsia="lv-LV"/>
              </w:rPr>
              <w:t>2040</w:t>
            </w:r>
          </w:p>
        </w:tc>
        <w:tc>
          <w:tcPr>
            <w:tcW w:w="708" w:type="dxa"/>
            <w:noWrap/>
          </w:tcPr>
          <w:p w14:paraId="0BB9CDE0" w14:textId="77777777" w:rsidR="000F4627" w:rsidRPr="00010616" w:rsidRDefault="000F4627" w:rsidP="000F4627">
            <w:pPr>
              <w:ind w:firstLine="0"/>
              <w:jc w:val="lef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lv-LV"/>
              </w:rPr>
            </w:pPr>
            <w:r w:rsidRPr="00010616">
              <w:rPr>
                <w:rFonts w:eastAsia="Times New Roman" w:cs="Times New Roman"/>
                <w:color w:val="000000"/>
                <w:sz w:val="18"/>
                <w:szCs w:val="18"/>
                <w:lang w:eastAsia="lv-LV"/>
              </w:rPr>
              <w:t>2050</w:t>
            </w:r>
          </w:p>
        </w:tc>
        <w:tc>
          <w:tcPr>
            <w:tcW w:w="722" w:type="dxa"/>
            <w:noWrap/>
          </w:tcPr>
          <w:p w14:paraId="721BC903" w14:textId="77777777" w:rsidR="000F4627" w:rsidRPr="00010616" w:rsidRDefault="000F4627" w:rsidP="000F4627">
            <w:pPr>
              <w:ind w:firstLine="0"/>
              <w:jc w:val="lef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lv-LV"/>
              </w:rPr>
            </w:pPr>
            <w:r w:rsidRPr="00010616">
              <w:rPr>
                <w:rFonts w:eastAsia="Times New Roman" w:cs="Times New Roman"/>
                <w:color w:val="000000"/>
                <w:sz w:val="18"/>
                <w:szCs w:val="18"/>
                <w:lang w:eastAsia="lv-LV"/>
              </w:rPr>
              <w:t>2060</w:t>
            </w:r>
          </w:p>
        </w:tc>
        <w:tc>
          <w:tcPr>
            <w:tcW w:w="696" w:type="dxa"/>
            <w:noWrap/>
          </w:tcPr>
          <w:p w14:paraId="2EFB7299" w14:textId="77777777" w:rsidR="000F4627" w:rsidRPr="00010616" w:rsidRDefault="000F4627" w:rsidP="000F4627">
            <w:pPr>
              <w:ind w:firstLine="0"/>
              <w:jc w:val="lef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lv-LV"/>
              </w:rPr>
            </w:pPr>
            <w:r w:rsidRPr="00010616">
              <w:rPr>
                <w:rFonts w:eastAsia="Times New Roman" w:cs="Times New Roman"/>
                <w:color w:val="000000"/>
                <w:sz w:val="18"/>
                <w:szCs w:val="18"/>
                <w:lang w:eastAsia="lv-LV"/>
              </w:rPr>
              <w:t>2070</w:t>
            </w:r>
          </w:p>
        </w:tc>
      </w:tr>
      <w:tr w:rsidR="000F4627" w:rsidRPr="00010616" w14:paraId="715F9B79" w14:textId="77777777" w:rsidTr="00991B5E">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5529" w:type="dxa"/>
            <w:shd w:val="clear" w:color="auto" w:fill="DEEAF6"/>
            <w:hideMark/>
          </w:tcPr>
          <w:p w14:paraId="5B25CEF1" w14:textId="77777777" w:rsidR="000F4627" w:rsidRPr="007A3AE7" w:rsidRDefault="000F4627" w:rsidP="000F4627">
            <w:pPr>
              <w:ind w:firstLine="0"/>
              <w:jc w:val="left"/>
              <w:rPr>
                <w:rFonts w:eastAsia="Times New Roman" w:cs="Times New Roman"/>
                <w:color w:val="000000"/>
                <w:sz w:val="18"/>
                <w:szCs w:val="18"/>
                <w:lang w:eastAsia="lv-LV"/>
              </w:rPr>
            </w:pPr>
            <w:r w:rsidRPr="007A3AE7">
              <w:rPr>
                <w:rFonts w:eastAsia="Times New Roman" w:cs="Times New Roman"/>
                <w:color w:val="000000"/>
                <w:sz w:val="18"/>
                <w:szCs w:val="18"/>
                <w:lang w:eastAsia="lv-LV"/>
              </w:rPr>
              <w:t>Ar vecumu saistītie vispārējās valdības budžeta izdevumi</w:t>
            </w:r>
          </w:p>
        </w:tc>
        <w:tc>
          <w:tcPr>
            <w:tcW w:w="593" w:type="dxa"/>
            <w:shd w:val="clear" w:color="auto" w:fill="DEEAF6"/>
            <w:noWrap/>
            <w:vAlign w:val="bottom"/>
            <w:hideMark/>
          </w:tcPr>
          <w:p w14:paraId="5480C7B2" w14:textId="77777777" w:rsidR="000F4627" w:rsidRPr="00010616" w:rsidRDefault="000F4627" w:rsidP="000F4627">
            <w:pPr>
              <w:tabs>
                <w:tab w:val="decimal" w:pos="330"/>
              </w:tabs>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auto"/>
                <w:sz w:val="18"/>
                <w:szCs w:val="18"/>
              </w:rPr>
            </w:pPr>
            <w:r w:rsidRPr="00010616">
              <w:rPr>
                <w:rFonts w:eastAsia="Times New Roman" w:cs="Times New Roman"/>
                <w:b/>
                <w:bCs/>
                <w:color w:val="auto"/>
                <w:sz w:val="18"/>
                <w:szCs w:val="18"/>
              </w:rPr>
              <w:t>15,8</w:t>
            </w:r>
          </w:p>
        </w:tc>
        <w:tc>
          <w:tcPr>
            <w:tcW w:w="696" w:type="dxa"/>
            <w:shd w:val="clear" w:color="auto" w:fill="DEEAF6"/>
            <w:noWrap/>
            <w:vAlign w:val="bottom"/>
            <w:hideMark/>
          </w:tcPr>
          <w:p w14:paraId="6B79D0D4" w14:textId="77777777" w:rsidR="000F4627" w:rsidRPr="00010616" w:rsidRDefault="000F4627" w:rsidP="000F4627">
            <w:pPr>
              <w:tabs>
                <w:tab w:val="decimal" w:pos="330"/>
              </w:tabs>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auto"/>
                <w:sz w:val="18"/>
                <w:szCs w:val="18"/>
              </w:rPr>
            </w:pPr>
            <w:r w:rsidRPr="00010616">
              <w:rPr>
                <w:rFonts w:eastAsia="Times New Roman" w:cs="Times New Roman"/>
                <w:b/>
                <w:bCs/>
                <w:color w:val="auto"/>
                <w:sz w:val="18"/>
                <w:szCs w:val="18"/>
              </w:rPr>
              <w:t>16,3</w:t>
            </w:r>
          </w:p>
        </w:tc>
        <w:tc>
          <w:tcPr>
            <w:tcW w:w="696" w:type="dxa"/>
            <w:shd w:val="clear" w:color="auto" w:fill="DEEAF6"/>
            <w:noWrap/>
            <w:vAlign w:val="bottom"/>
            <w:hideMark/>
          </w:tcPr>
          <w:p w14:paraId="3B4D34B3" w14:textId="77777777" w:rsidR="000F4627" w:rsidRPr="00010616" w:rsidRDefault="000F4627" w:rsidP="000F4627">
            <w:pPr>
              <w:tabs>
                <w:tab w:val="decimal" w:pos="330"/>
              </w:tabs>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auto"/>
                <w:sz w:val="18"/>
                <w:szCs w:val="18"/>
              </w:rPr>
            </w:pPr>
            <w:r w:rsidRPr="00010616">
              <w:rPr>
                <w:rFonts w:eastAsia="Times New Roman" w:cs="Times New Roman"/>
                <w:b/>
                <w:bCs/>
                <w:color w:val="auto"/>
                <w:sz w:val="18"/>
                <w:szCs w:val="18"/>
              </w:rPr>
              <w:t>15,8</w:t>
            </w:r>
          </w:p>
        </w:tc>
        <w:tc>
          <w:tcPr>
            <w:tcW w:w="708" w:type="dxa"/>
            <w:shd w:val="clear" w:color="auto" w:fill="DEEAF6"/>
            <w:noWrap/>
            <w:vAlign w:val="bottom"/>
            <w:hideMark/>
          </w:tcPr>
          <w:p w14:paraId="1BEB8F38" w14:textId="77777777" w:rsidR="000F4627" w:rsidRPr="00010616" w:rsidRDefault="000F4627" w:rsidP="000F4627">
            <w:pPr>
              <w:tabs>
                <w:tab w:val="decimal" w:pos="330"/>
              </w:tabs>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auto"/>
                <w:sz w:val="18"/>
                <w:szCs w:val="18"/>
              </w:rPr>
            </w:pPr>
            <w:r w:rsidRPr="00010616">
              <w:rPr>
                <w:rFonts w:eastAsia="Times New Roman" w:cs="Times New Roman"/>
                <w:b/>
                <w:bCs/>
                <w:color w:val="auto"/>
                <w:sz w:val="18"/>
                <w:szCs w:val="18"/>
              </w:rPr>
              <w:t>15,7</w:t>
            </w:r>
          </w:p>
        </w:tc>
        <w:tc>
          <w:tcPr>
            <w:tcW w:w="722" w:type="dxa"/>
            <w:shd w:val="clear" w:color="auto" w:fill="DEEAF6"/>
            <w:noWrap/>
            <w:vAlign w:val="bottom"/>
            <w:hideMark/>
          </w:tcPr>
          <w:p w14:paraId="36E2292B" w14:textId="77777777" w:rsidR="000F4627" w:rsidRPr="00010616" w:rsidRDefault="000F4627" w:rsidP="000F4627">
            <w:pPr>
              <w:tabs>
                <w:tab w:val="decimal" w:pos="330"/>
              </w:tabs>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auto"/>
                <w:sz w:val="18"/>
                <w:szCs w:val="18"/>
              </w:rPr>
            </w:pPr>
            <w:r w:rsidRPr="00010616">
              <w:rPr>
                <w:rFonts w:eastAsia="Times New Roman" w:cs="Times New Roman"/>
                <w:b/>
                <w:bCs/>
                <w:color w:val="auto"/>
                <w:sz w:val="18"/>
                <w:szCs w:val="18"/>
              </w:rPr>
              <w:t>15,8</w:t>
            </w:r>
          </w:p>
        </w:tc>
        <w:tc>
          <w:tcPr>
            <w:tcW w:w="696" w:type="dxa"/>
            <w:shd w:val="clear" w:color="auto" w:fill="DEEAF6"/>
            <w:noWrap/>
            <w:vAlign w:val="bottom"/>
            <w:hideMark/>
          </w:tcPr>
          <w:p w14:paraId="1D521796" w14:textId="77777777" w:rsidR="000F4627" w:rsidRPr="00010616" w:rsidRDefault="000F4627" w:rsidP="000F4627">
            <w:pPr>
              <w:tabs>
                <w:tab w:val="decimal" w:pos="330"/>
              </w:tabs>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auto"/>
                <w:sz w:val="18"/>
                <w:szCs w:val="18"/>
              </w:rPr>
            </w:pPr>
            <w:r w:rsidRPr="00010616">
              <w:rPr>
                <w:rFonts w:eastAsia="Times New Roman" w:cs="Times New Roman"/>
                <w:b/>
                <w:bCs/>
                <w:color w:val="auto"/>
                <w:sz w:val="18"/>
                <w:szCs w:val="18"/>
              </w:rPr>
              <w:t>15,2</w:t>
            </w:r>
          </w:p>
        </w:tc>
      </w:tr>
      <w:tr w:rsidR="000F4627" w:rsidRPr="00010616" w14:paraId="4205E398" w14:textId="77777777" w:rsidTr="00991B5E">
        <w:trPr>
          <w:trHeight w:val="218"/>
        </w:trPr>
        <w:tc>
          <w:tcPr>
            <w:cnfStyle w:val="001000000000" w:firstRow="0" w:lastRow="0" w:firstColumn="1" w:lastColumn="0" w:oddVBand="0" w:evenVBand="0" w:oddHBand="0" w:evenHBand="0" w:firstRowFirstColumn="0" w:firstRowLastColumn="0" w:lastRowFirstColumn="0" w:lastRowLastColumn="0"/>
            <w:tcW w:w="5529" w:type="dxa"/>
            <w:vAlign w:val="center"/>
            <w:hideMark/>
          </w:tcPr>
          <w:p w14:paraId="7BDC63D2" w14:textId="77777777" w:rsidR="000F4627" w:rsidRPr="00010616" w:rsidRDefault="000F4627" w:rsidP="000F4627">
            <w:pPr>
              <w:ind w:firstLine="0"/>
              <w:jc w:val="left"/>
              <w:rPr>
                <w:rFonts w:eastAsia="Times New Roman" w:cs="Times New Roman"/>
                <w:b w:val="0"/>
                <w:bCs w:val="0"/>
                <w:color w:val="000000"/>
                <w:sz w:val="18"/>
                <w:szCs w:val="18"/>
                <w:lang w:eastAsia="lv-LV"/>
              </w:rPr>
            </w:pPr>
            <w:r w:rsidRPr="00010616">
              <w:rPr>
                <w:rFonts w:eastAsia="Times New Roman" w:cs="Times New Roman"/>
                <w:b w:val="0"/>
                <w:bCs w:val="0"/>
                <w:color w:val="000000"/>
                <w:sz w:val="18"/>
                <w:szCs w:val="18"/>
                <w:lang w:eastAsia="lv-LV"/>
              </w:rPr>
              <w:t>Pensiju izdevumi (valsts pensijām)</w:t>
            </w:r>
          </w:p>
        </w:tc>
        <w:tc>
          <w:tcPr>
            <w:tcW w:w="593" w:type="dxa"/>
            <w:noWrap/>
            <w:vAlign w:val="center"/>
            <w:hideMark/>
          </w:tcPr>
          <w:p w14:paraId="50EE5AA9" w14:textId="77777777" w:rsidR="000F4627" w:rsidRPr="00010616" w:rsidRDefault="000F4627" w:rsidP="000F4627">
            <w:pPr>
              <w:tabs>
                <w:tab w:val="decimal" w:pos="330"/>
              </w:tabs>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7,1</w:t>
            </w:r>
          </w:p>
        </w:tc>
        <w:tc>
          <w:tcPr>
            <w:tcW w:w="696" w:type="dxa"/>
            <w:noWrap/>
            <w:vAlign w:val="center"/>
            <w:hideMark/>
          </w:tcPr>
          <w:p w14:paraId="6318EA79" w14:textId="77777777" w:rsidR="000F4627" w:rsidRPr="00010616" w:rsidRDefault="000F4627" w:rsidP="000F4627">
            <w:pPr>
              <w:tabs>
                <w:tab w:val="decimal" w:pos="330"/>
              </w:tabs>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6,9</w:t>
            </w:r>
          </w:p>
        </w:tc>
        <w:tc>
          <w:tcPr>
            <w:tcW w:w="696" w:type="dxa"/>
            <w:noWrap/>
            <w:vAlign w:val="center"/>
            <w:hideMark/>
          </w:tcPr>
          <w:p w14:paraId="4DE7FF12" w14:textId="77777777" w:rsidR="000F4627" w:rsidRPr="00010616" w:rsidRDefault="000F4627" w:rsidP="000F4627">
            <w:pPr>
              <w:tabs>
                <w:tab w:val="decimal" w:pos="330"/>
              </w:tabs>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6,6</w:t>
            </w:r>
          </w:p>
        </w:tc>
        <w:tc>
          <w:tcPr>
            <w:tcW w:w="708" w:type="dxa"/>
            <w:noWrap/>
            <w:vAlign w:val="center"/>
            <w:hideMark/>
          </w:tcPr>
          <w:p w14:paraId="58312A95" w14:textId="77777777" w:rsidR="000F4627" w:rsidRPr="00010616" w:rsidRDefault="000F4627" w:rsidP="000F4627">
            <w:pPr>
              <w:tabs>
                <w:tab w:val="decimal" w:pos="330"/>
              </w:tabs>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6,3</w:t>
            </w:r>
          </w:p>
        </w:tc>
        <w:tc>
          <w:tcPr>
            <w:tcW w:w="722" w:type="dxa"/>
            <w:noWrap/>
            <w:vAlign w:val="center"/>
            <w:hideMark/>
          </w:tcPr>
          <w:p w14:paraId="713B762F" w14:textId="77777777" w:rsidR="000F4627" w:rsidRPr="00010616" w:rsidRDefault="000F4627" w:rsidP="000F4627">
            <w:pPr>
              <w:tabs>
                <w:tab w:val="decimal" w:pos="330"/>
              </w:tabs>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6,2</w:t>
            </w:r>
          </w:p>
        </w:tc>
        <w:tc>
          <w:tcPr>
            <w:tcW w:w="696" w:type="dxa"/>
            <w:noWrap/>
            <w:vAlign w:val="center"/>
            <w:hideMark/>
          </w:tcPr>
          <w:p w14:paraId="1131E409" w14:textId="77777777" w:rsidR="000F4627" w:rsidRPr="00010616" w:rsidRDefault="000F4627" w:rsidP="000F4627">
            <w:pPr>
              <w:tabs>
                <w:tab w:val="decimal" w:pos="330"/>
              </w:tabs>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5,9</w:t>
            </w:r>
          </w:p>
        </w:tc>
      </w:tr>
      <w:tr w:rsidR="000F4627" w:rsidRPr="00010616" w14:paraId="12F5A3C6" w14:textId="77777777" w:rsidTr="00991B5E">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5529" w:type="dxa"/>
            <w:shd w:val="clear" w:color="auto" w:fill="DEEAF6"/>
            <w:hideMark/>
          </w:tcPr>
          <w:p w14:paraId="76F90C24" w14:textId="77777777" w:rsidR="000F4627" w:rsidRPr="00010616" w:rsidRDefault="000F4627" w:rsidP="000F4627">
            <w:pPr>
              <w:ind w:firstLine="0"/>
              <w:jc w:val="left"/>
              <w:rPr>
                <w:rFonts w:eastAsia="Times New Roman" w:cs="Times New Roman"/>
                <w:b w:val="0"/>
                <w:bCs w:val="0"/>
                <w:color w:val="000000"/>
                <w:sz w:val="18"/>
                <w:szCs w:val="18"/>
                <w:lang w:eastAsia="lv-LV"/>
              </w:rPr>
            </w:pPr>
            <w:r w:rsidRPr="00010616">
              <w:rPr>
                <w:rFonts w:eastAsia="Times New Roman" w:cs="Times New Roman"/>
                <w:b w:val="0"/>
                <w:bCs w:val="0"/>
                <w:color w:val="000000"/>
                <w:sz w:val="18"/>
                <w:szCs w:val="18"/>
                <w:lang w:eastAsia="lv-LV"/>
              </w:rPr>
              <w:t xml:space="preserve">       Vecuma un priekšlaicīgās pensijas - uz iemaksām balstītās</w:t>
            </w:r>
          </w:p>
        </w:tc>
        <w:tc>
          <w:tcPr>
            <w:tcW w:w="593" w:type="dxa"/>
            <w:shd w:val="clear" w:color="auto" w:fill="DEEAF6"/>
            <w:noWrap/>
            <w:vAlign w:val="bottom"/>
            <w:hideMark/>
          </w:tcPr>
          <w:p w14:paraId="4B53BDAF" w14:textId="77777777" w:rsidR="000F4627" w:rsidRPr="00010616" w:rsidRDefault="000F4627" w:rsidP="000F4627">
            <w:pPr>
              <w:tabs>
                <w:tab w:val="decimal" w:pos="330"/>
              </w:tabs>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6,4</w:t>
            </w:r>
          </w:p>
        </w:tc>
        <w:tc>
          <w:tcPr>
            <w:tcW w:w="696" w:type="dxa"/>
            <w:shd w:val="clear" w:color="auto" w:fill="DEEAF6"/>
            <w:noWrap/>
            <w:vAlign w:val="bottom"/>
            <w:hideMark/>
          </w:tcPr>
          <w:p w14:paraId="66A0BF1C" w14:textId="77777777" w:rsidR="000F4627" w:rsidRPr="00010616" w:rsidRDefault="000F4627" w:rsidP="000F4627">
            <w:pPr>
              <w:tabs>
                <w:tab w:val="decimal" w:pos="330"/>
              </w:tabs>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6,3</w:t>
            </w:r>
          </w:p>
        </w:tc>
        <w:tc>
          <w:tcPr>
            <w:tcW w:w="696" w:type="dxa"/>
            <w:shd w:val="clear" w:color="auto" w:fill="DEEAF6"/>
            <w:noWrap/>
            <w:vAlign w:val="bottom"/>
            <w:hideMark/>
          </w:tcPr>
          <w:p w14:paraId="3FD07B86" w14:textId="77777777" w:rsidR="000F4627" w:rsidRPr="00010616" w:rsidRDefault="000F4627" w:rsidP="000F4627">
            <w:pPr>
              <w:tabs>
                <w:tab w:val="decimal" w:pos="330"/>
              </w:tabs>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6,0</w:t>
            </w:r>
          </w:p>
        </w:tc>
        <w:tc>
          <w:tcPr>
            <w:tcW w:w="708" w:type="dxa"/>
            <w:shd w:val="clear" w:color="auto" w:fill="DEEAF6"/>
            <w:noWrap/>
            <w:vAlign w:val="bottom"/>
            <w:hideMark/>
          </w:tcPr>
          <w:p w14:paraId="3C1FA22A" w14:textId="77777777" w:rsidR="000F4627" w:rsidRPr="00010616" w:rsidRDefault="000F4627" w:rsidP="000F4627">
            <w:pPr>
              <w:tabs>
                <w:tab w:val="decimal" w:pos="330"/>
              </w:tabs>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5,8</w:t>
            </w:r>
          </w:p>
        </w:tc>
        <w:tc>
          <w:tcPr>
            <w:tcW w:w="722" w:type="dxa"/>
            <w:shd w:val="clear" w:color="auto" w:fill="DEEAF6"/>
            <w:noWrap/>
            <w:vAlign w:val="bottom"/>
            <w:hideMark/>
          </w:tcPr>
          <w:p w14:paraId="249D00F9" w14:textId="77777777" w:rsidR="000F4627" w:rsidRPr="00010616" w:rsidRDefault="000F4627" w:rsidP="000F4627">
            <w:pPr>
              <w:tabs>
                <w:tab w:val="decimal" w:pos="330"/>
              </w:tabs>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5,7</w:t>
            </w:r>
          </w:p>
        </w:tc>
        <w:tc>
          <w:tcPr>
            <w:tcW w:w="696" w:type="dxa"/>
            <w:shd w:val="clear" w:color="auto" w:fill="DEEAF6"/>
            <w:noWrap/>
            <w:vAlign w:val="bottom"/>
            <w:hideMark/>
          </w:tcPr>
          <w:p w14:paraId="363B1086" w14:textId="77777777" w:rsidR="000F4627" w:rsidRPr="00010616" w:rsidRDefault="000F4627" w:rsidP="000F4627">
            <w:pPr>
              <w:tabs>
                <w:tab w:val="decimal" w:pos="330"/>
              </w:tabs>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5,3</w:t>
            </w:r>
          </w:p>
        </w:tc>
      </w:tr>
      <w:tr w:rsidR="000F4627" w:rsidRPr="00010616" w14:paraId="1108583F" w14:textId="77777777" w:rsidTr="00991B5E">
        <w:trPr>
          <w:trHeight w:val="397"/>
        </w:trPr>
        <w:tc>
          <w:tcPr>
            <w:cnfStyle w:val="001000000000" w:firstRow="0" w:lastRow="0" w:firstColumn="1" w:lastColumn="0" w:oddVBand="0" w:evenVBand="0" w:oddHBand="0" w:evenHBand="0" w:firstRowFirstColumn="0" w:firstRowLastColumn="0" w:lastRowFirstColumn="0" w:lastRowLastColumn="0"/>
            <w:tcW w:w="5529" w:type="dxa"/>
            <w:hideMark/>
          </w:tcPr>
          <w:p w14:paraId="74989428" w14:textId="77777777" w:rsidR="000F4627" w:rsidRPr="00010616" w:rsidRDefault="000F4627" w:rsidP="000F4627">
            <w:pPr>
              <w:ind w:firstLine="0"/>
              <w:jc w:val="left"/>
              <w:rPr>
                <w:rFonts w:eastAsia="Times New Roman" w:cs="Times New Roman"/>
                <w:b w:val="0"/>
                <w:bCs w:val="0"/>
                <w:color w:val="000000"/>
                <w:sz w:val="18"/>
                <w:szCs w:val="18"/>
                <w:lang w:eastAsia="lv-LV"/>
              </w:rPr>
            </w:pPr>
            <w:r w:rsidRPr="00010616">
              <w:rPr>
                <w:rFonts w:eastAsia="Times New Roman" w:cs="Times New Roman"/>
                <w:b w:val="0"/>
                <w:bCs w:val="0"/>
                <w:color w:val="000000"/>
                <w:sz w:val="18"/>
                <w:szCs w:val="18"/>
                <w:lang w:eastAsia="lv-LV"/>
              </w:rPr>
              <w:t xml:space="preserve">       Citas pensijas</w:t>
            </w:r>
            <w:r w:rsidRPr="00010616">
              <w:rPr>
                <w:rFonts w:eastAsia="Times New Roman" w:cs="Times New Roman"/>
                <w:b w:val="0"/>
                <w:bCs w:val="0"/>
                <w:color w:val="000000"/>
                <w:sz w:val="18"/>
                <w:szCs w:val="18"/>
                <w:lang w:eastAsia="lv-LV"/>
              </w:rPr>
              <w:br/>
              <w:t xml:space="preserve">       (t.sk. invaliditātes, apgādnieka zaudējuma gadījumā)</w:t>
            </w:r>
          </w:p>
        </w:tc>
        <w:tc>
          <w:tcPr>
            <w:tcW w:w="593" w:type="dxa"/>
            <w:noWrap/>
            <w:vAlign w:val="center"/>
            <w:hideMark/>
          </w:tcPr>
          <w:p w14:paraId="1C78A956" w14:textId="77777777" w:rsidR="000F4627" w:rsidRPr="00010616" w:rsidRDefault="000F4627" w:rsidP="000F4627">
            <w:pPr>
              <w:tabs>
                <w:tab w:val="decimal" w:pos="330"/>
              </w:tabs>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0,7</w:t>
            </w:r>
          </w:p>
        </w:tc>
        <w:tc>
          <w:tcPr>
            <w:tcW w:w="696" w:type="dxa"/>
            <w:noWrap/>
            <w:vAlign w:val="center"/>
            <w:hideMark/>
          </w:tcPr>
          <w:p w14:paraId="5C0503CF" w14:textId="77777777" w:rsidR="000F4627" w:rsidRPr="00010616" w:rsidRDefault="000F4627" w:rsidP="000F4627">
            <w:pPr>
              <w:tabs>
                <w:tab w:val="decimal" w:pos="330"/>
              </w:tabs>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0,6</w:t>
            </w:r>
          </w:p>
        </w:tc>
        <w:tc>
          <w:tcPr>
            <w:tcW w:w="696" w:type="dxa"/>
            <w:noWrap/>
            <w:vAlign w:val="center"/>
            <w:hideMark/>
          </w:tcPr>
          <w:p w14:paraId="4770058C" w14:textId="77777777" w:rsidR="000F4627" w:rsidRPr="00010616" w:rsidRDefault="000F4627" w:rsidP="000F4627">
            <w:pPr>
              <w:tabs>
                <w:tab w:val="decimal" w:pos="330"/>
              </w:tabs>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0,6</w:t>
            </w:r>
          </w:p>
        </w:tc>
        <w:tc>
          <w:tcPr>
            <w:tcW w:w="708" w:type="dxa"/>
            <w:noWrap/>
            <w:vAlign w:val="center"/>
            <w:hideMark/>
          </w:tcPr>
          <w:p w14:paraId="2F91B489" w14:textId="77777777" w:rsidR="000F4627" w:rsidRPr="00010616" w:rsidRDefault="000F4627" w:rsidP="000F4627">
            <w:pPr>
              <w:tabs>
                <w:tab w:val="decimal" w:pos="330"/>
              </w:tabs>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0,5</w:t>
            </w:r>
          </w:p>
        </w:tc>
        <w:tc>
          <w:tcPr>
            <w:tcW w:w="722" w:type="dxa"/>
            <w:noWrap/>
            <w:vAlign w:val="center"/>
            <w:hideMark/>
          </w:tcPr>
          <w:p w14:paraId="03C7BC19" w14:textId="77777777" w:rsidR="000F4627" w:rsidRPr="00010616" w:rsidRDefault="000F4627" w:rsidP="000F4627">
            <w:pPr>
              <w:tabs>
                <w:tab w:val="decimal" w:pos="330"/>
              </w:tabs>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0,5</w:t>
            </w:r>
          </w:p>
        </w:tc>
        <w:tc>
          <w:tcPr>
            <w:tcW w:w="696" w:type="dxa"/>
            <w:noWrap/>
            <w:vAlign w:val="center"/>
            <w:hideMark/>
          </w:tcPr>
          <w:p w14:paraId="2087B3C5" w14:textId="77777777" w:rsidR="000F4627" w:rsidRPr="00010616" w:rsidRDefault="000F4627" w:rsidP="000F4627">
            <w:pPr>
              <w:tabs>
                <w:tab w:val="decimal" w:pos="330"/>
              </w:tabs>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0,6</w:t>
            </w:r>
          </w:p>
        </w:tc>
      </w:tr>
      <w:tr w:rsidR="000F4627" w:rsidRPr="00010616" w14:paraId="76EE1B68" w14:textId="77777777" w:rsidTr="00991B5E">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5529" w:type="dxa"/>
            <w:shd w:val="clear" w:color="auto" w:fill="DEEAF6"/>
            <w:hideMark/>
          </w:tcPr>
          <w:p w14:paraId="082E2DE6" w14:textId="77777777" w:rsidR="000F4627" w:rsidRPr="00010616" w:rsidRDefault="000F4627" w:rsidP="000F4627">
            <w:pPr>
              <w:ind w:firstLine="0"/>
              <w:jc w:val="left"/>
              <w:rPr>
                <w:rFonts w:eastAsia="Times New Roman" w:cs="Times New Roman"/>
                <w:b w:val="0"/>
                <w:bCs w:val="0"/>
                <w:color w:val="000000"/>
                <w:sz w:val="18"/>
                <w:szCs w:val="18"/>
                <w:lang w:eastAsia="lv-LV"/>
              </w:rPr>
            </w:pPr>
            <w:r w:rsidRPr="00010616">
              <w:rPr>
                <w:rFonts w:eastAsia="Times New Roman" w:cs="Times New Roman"/>
                <w:b w:val="0"/>
                <w:bCs w:val="0"/>
                <w:color w:val="000000"/>
                <w:sz w:val="18"/>
                <w:szCs w:val="18"/>
                <w:lang w:eastAsia="lv-LV"/>
              </w:rPr>
              <w:t>Ne-sociālās apdrošināšanas pensijas</w:t>
            </w:r>
            <w:r w:rsidRPr="00010616">
              <w:rPr>
                <w:rFonts w:eastAsia="Times New Roman" w:cs="Times New Roman"/>
                <w:b w:val="0"/>
                <w:bCs w:val="0"/>
                <w:color w:val="000000"/>
                <w:sz w:val="18"/>
                <w:szCs w:val="18"/>
                <w:lang w:eastAsia="lv-LV"/>
              </w:rPr>
              <w:br/>
              <w:t>(iesk. minimālās pensijas un minimālā ienākuma nodrošināšanu)</w:t>
            </w:r>
          </w:p>
        </w:tc>
        <w:tc>
          <w:tcPr>
            <w:tcW w:w="593" w:type="dxa"/>
            <w:shd w:val="clear" w:color="auto" w:fill="DEEAF6"/>
            <w:noWrap/>
            <w:vAlign w:val="center"/>
            <w:hideMark/>
          </w:tcPr>
          <w:p w14:paraId="6EA38F31" w14:textId="77777777" w:rsidR="000F4627" w:rsidRPr="00010616" w:rsidRDefault="000F4627" w:rsidP="000F4627">
            <w:pPr>
              <w:tabs>
                <w:tab w:val="decimal" w:pos="330"/>
              </w:tabs>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0,0</w:t>
            </w:r>
          </w:p>
        </w:tc>
        <w:tc>
          <w:tcPr>
            <w:tcW w:w="696" w:type="dxa"/>
            <w:shd w:val="clear" w:color="auto" w:fill="DEEAF6"/>
            <w:noWrap/>
            <w:vAlign w:val="center"/>
            <w:hideMark/>
          </w:tcPr>
          <w:p w14:paraId="13B94550" w14:textId="77777777" w:rsidR="000F4627" w:rsidRPr="00010616" w:rsidRDefault="000F4627" w:rsidP="000F4627">
            <w:pPr>
              <w:tabs>
                <w:tab w:val="decimal" w:pos="330"/>
              </w:tabs>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0,0</w:t>
            </w:r>
          </w:p>
        </w:tc>
        <w:tc>
          <w:tcPr>
            <w:tcW w:w="696" w:type="dxa"/>
            <w:shd w:val="clear" w:color="auto" w:fill="DEEAF6"/>
            <w:noWrap/>
            <w:vAlign w:val="center"/>
            <w:hideMark/>
          </w:tcPr>
          <w:p w14:paraId="45A4C0F0" w14:textId="77777777" w:rsidR="000F4627" w:rsidRPr="00010616" w:rsidRDefault="000F4627" w:rsidP="000F4627">
            <w:pPr>
              <w:tabs>
                <w:tab w:val="decimal" w:pos="330"/>
              </w:tabs>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0,0</w:t>
            </w:r>
          </w:p>
        </w:tc>
        <w:tc>
          <w:tcPr>
            <w:tcW w:w="708" w:type="dxa"/>
            <w:shd w:val="clear" w:color="auto" w:fill="DEEAF6"/>
            <w:noWrap/>
            <w:vAlign w:val="center"/>
            <w:hideMark/>
          </w:tcPr>
          <w:p w14:paraId="5C8A9DD6" w14:textId="77777777" w:rsidR="000F4627" w:rsidRPr="00010616" w:rsidRDefault="000F4627" w:rsidP="000F4627">
            <w:pPr>
              <w:tabs>
                <w:tab w:val="decimal" w:pos="330"/>
              </w:tabs>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0,0</w:t>
            </w:r>
          </w:p>
        </w:tc>
        <w:tc>
          <w:tcPr>
            <w:tcW w:w="722" w:type="dxa"/>
            <w:shd w:val="clear" w:color="auto" w:fill="DEEAF6"/>
            <w:noWrap/>
            <w:vAlign w:val="center"/>
            <w:hideMark/>
          </w:tcPr>
          <w:p w14:paraId="4CD6151A" w14:textId="77777777" w:rsidR="000F4627" w:rsidRPr="00010616" w:rsidRDefault="000F4627" w:rsidP="000F4627">
            <w:pPr>
              <w:tabs>
                <w:tab w:val="decimal" w:pos="330"/>
              </w:tabs>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0,0</w:t>
            </w:r>
          </w:p>
        </w:tc>
        <w:tc>
          <w:tcPr>
            <w:tcW w:w="696" w:type="dxa"/>
            <w:shd w:val="clear" w:color="auto" w:fill="DEEAF6"/>
            <w:noWrap/>
            <w:vAlign w:val="center"/>
            <w:hideMark/>
          </w:tcPr>
          <w:p w14:paraId="4BF451AC" w14:textId="77777777" w:rsidR="000F4627" w:rsidRPr="00010616" w:rsidRDefault="000F4627" w:rsidP="000F4627">
            <w:pPr>
              <w:tabs>
                <w:tab w:val="decimal" w:pos="330"/>
              </w:tabs>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0,0</w:t>
            </w:r>
          </w:p>
        </w:tc>
      </w:tr>
      <w:tr w:rsidR="000F4627" w:rsidRPr="00010616" w14:paraId="12C09E2D" w14:textId="77777777" w:rsidTr="00991B5E">
        <w:trPr>
          <w:trHeight w:val="225"/>
        </w:trPr>
        <w:tc>
          <w:tcPr>
            <w:cnfStyle w:val="001000000000" w:firstRow="0" w:lastRow="0" w:firstColumn="1" w:lastColumn="0" w:oddVBand="0" w:evenVBand="0" w:oddHBand="0" w:evenHBand="0" w:firstRowFirstColumn="0" w:firstRowLastColumn="0" w:lastRowFirstColumn="0" w:lastRowLastColumn="0"/>
            <w:tcW w:w="5529" w:type="dxa"/>
            <w:hideMark/>
          </w:tcPr>
          <w:p w14:paraId="279E6283" w14:textId="77777777" w:rsidR="000F4627" w:rsidRPr="00010616" w:rsidRDefault="000F4627" w:rsidP="000F4627">
            <w:pPr>
              <w:ind w:firstLine="0"/>
              <w:jc w:val="left"/>
              <w:rPr>
                <w:rFonts w:eastAsia="Times New Roman" w:cs="Times New Roman"/>
                <w:b w:val="0"/>
                <w:bCs w:val="0"/>
                <w:color w:val="000000"/>
                <w:sz w:val="18"/>
                <w:szCs w:val="18"/>
                <w:lang w:eastAsia="lv-LV"/>
              </w:rPr>
            </w:pPr>
            <w:r w:rsidRPr="00010616">
              <w:rPr>
                <w:rFonts w:eastAsia="Times New Roman" w:cs="Times New Roman"/>
                <w:b w:val="0"/>
                <w:bCs w:val="0"/>
                <w:color w:val="000000"/>
                <w:sz w:val="18"/>
                <w:szCs w:val="18"/>
                <w:lang w:eastAsia="lv-LV"/>
              </w:rPr>
              <w:t>Veselības aprūpes izdevumi</w:t>
            </w:r>
          </w:p>
        </w:tc>
        <w:tc>
          <w:tcPr>
            <w:tcW w:w="593" w:type="dxa"/>
            <w:noWrap/>
            <w:vAlign w:val="center"/>
            <w:hideMark/>
          </w:tcPr>
          <w:p w14:paraId="02360DA4" w14:textId="77777777" w:rsidR="000F4627" w:rsidRPr="00010616" w:rsidRDefault="000F4627" w:rsidP="000F4627">
            <w:pPr>
              <w:tabs>
                <w:tab w:val="decimal" w:pos="330"/>
              </w:tabs>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4,6</w:t>
            </w:r>
          </w:p>
        </w:tc>
        <w:tc>
          <w:tcPr>
            <w:tcW w:w="696" w:type="dxa"/>
            <w:noWrap/>
            <w:vAlign w:val="center"/>
            <w:hideMark/>
          </w:tcPr>
          <w:p w14:paraId="6EB5FC15" w14:textId="77777777" w:rsidR="000F4627" w:rsidRPr="00010616" w:rsidRDefault="000F4627" w:rsidP="000F4627">
            <w:pPr>
              <w:tabs>
                <w:tab w:val="decimal" w:pos="330"/>
              </w:tabs>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4,2</w:t>
            </w:r>
          </w:p>
        </w:tc>
        <w:tc>
          <w:tcPr>
            <w:tcW w:w="696" w:type="dxa"/>
            <w:noWrap/>
            <w:vAlign w:val="center"/>
            <w:hideMark/>
          </w:tcPr>
          <w:p w14:paraId="5694919D" w14:textId="77777777" w:rsidR="000F4627" w:rsidRPr="00010616" w:rsidRDefault="000F4627" w:rsidP="000F4627">
            <w:pPr>
              <w:tabs>
                <w:tab w:val="decimal" w:pos="330"/>
              </w:tabs>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4,4</w:t>
            </w:r>
          </w:p>
        </w:tc>
        <w:tc>
          <w:tcPr>
            <w:tcW w:w="708" w:type="dxa"/>
            <w:noWrap/>
            <w:vAlign w:val="center"/>
            <w:hideMark/>
          </w:tcPr>
          <w:p w14:paraId="1CA318AB" w14:textId="77777777" w:rsidR="000F4627" w:rsidRPr="00010616" w:rsidRDefault="000F4627" w:rsidP="000F4627">
            <w:pPr>
              <w:tabs>
                <w:tab w:val="decimal" w:pos="330"/>
              </w:tabs>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4,5</w:t>
            </w:r>
          </w:p>
        </w:tc>
        <w:tc>
          <w:tcPr>
            <w:tcW w:w="722" w:type="dxa"/>
            <w:noWrap/>
            <w:vAlign w:val="center"/>
            <w:hideMark/>
          </w:tcPr>
          <w:p w14:paraId="37F6096D" w14:textId="77777777" w:rsidR="000F4627" w:rsidRPr="00010616" w:rsidRDefault="000F4627" w:rsidP="000F4627">
            <w:pPr>
              <w:tabs>
                <w:tab w:val="decimal" w:pos="330"/>
              </w:tabs>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4,4</w:t>
            </w:r>
          </w:p>
        </w:tc>
        <w:tc>
          <w:tcPr>
            <w:tcW w:w="696" w:type="dxa"/>
            <w:noWrap/>
            <w:vAlign w:val="center"/>
            <w:hideMark/>
          </w:tcPr>
          <w:p w14:paraId="74D46200" w14:textId="77777777" w:rsidR="000F4627" w:rsidRPr="00010616" w:rsidRDefault="000F4627" w:rsidP="000F4627">
            <w:pPr>
              <w:tabs>
                <w:tab w:val="decimal" w:pos="330"/>
              </w:tabs>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4,3</w:t>
            </w:r>
          </w:p>
        </w:tc>
      </w:tr>
      <w:tr w:rsidR="000F4627" w:rsidRPr="00010616" w14:paraId="217978B2" w14:textId="77777777" w:rsidTr="00991B5E">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5529" w:type="dxa"/>
            <w:shd w:val="clear" w:color="auto" w:fill="DEEAF6"/>
            <w:hideMark/>
          </w:tcPr>
          <w:p w14:paraId="0280E7B6" w14:textId="77777777" w:rsidR="000F4627" w:rsidRPr="00010616" w:rsidRDefault="000F4627" w:rsidP="000F4627">
            <w:pPr>
              <w:ind w:firstLine="0"/>
              <w:jc w:val="left"/>
              <w:rPr>
                <w:rFonts w:eastAsia="Times New Roman" w:cs="Times New Roman"/>
                <w:b w:val="0"/>
                <w:bCs w:val="0"/>
                <w:color w:val="000000"/>
                <w:sz w:val="18"/>
                <w:szCs w:val="18"/>
                <w:lang w:eastAsia="lv-LV"/>
              </w:rPr>
            </w:pPr>
            <w:r w:rsidRPr="00010616">
              <w:rPr>
                <w:rFonts w:eastAsia="Times New Roman" w:cs="Times New Roman"/>
                <w:b w:val="0"/>
                <w:bCs w:val="0"/>
                <w:color w:val="000000"/>
                <w:sz w:val="18"/>
                <w:szCs w:val="18"/>
                <w:lang w:eastAsia="lv-LV"/>
              </w:rPr>
              <w:t>Ilglaicīgās aprūpes izdevumi</w:t>
            </w:r>
          </w:p>
        </w:tc>
        <w:tc>
          <w:tcPr>
            <w:tcW w:w="593" w:type="dxa"/>
            <w:shd w:val="clear" w:color="auto" w:fill="DEEAF6"/>
            <w:noWrap/>
            <w:vAlign w:val="center"/>
            <w:hideMark/>
          </w:tcPr>
          <w:p w14:paraId="2645EFE9" w14:textId="77777777" w:rsidR="000F4627" w:rsidRPr="00010616" w:rsidRDefault="000F4627" w:rsidP="000F4627">
            <w:pPr>
              <w:tabs>
                <w:tab w:val="decimal" w:pos="330"/>
              </w:tabs>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0,5</w:t>
            </w:r>
          </w:p>
        </w:tc>
        <w:tc>
          <w:tcPr>
            <w:tcW w:w="696" w:type="dxa"/>
            <w:shd w:val="clear" w:color="auto" w:fill="DEEAF6"/>
            <w:noWrap/>
            <w:vAlign w:val="center"/>
            <w:hideMark/>
          </w:tcPr>
          <w:p w14:paraId="6411795D" w14:textId="77777777" w:rsidR="000F4627" w:rsidRPr="00010616" w:rsidRDefault="000F4627" w:rsidP="000F4627">
            <w:pPr>
              <w:tabs>
                <w:tab w:val="decimal" w:pos="330"/>
              </w:tabs>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0,5</w:t>
            </w:r>
          </w:p>
        </w:tc>
        <w:tc>
          <w:tcPr>
            <w:tcW w:w="696" w:type="dxa"/>
            <w:shd w:val="clear" w:color="auto" w:fill="DEEAF6"/>
            <w:noWrap/>
            <w:vAlign w:val="center"/>
            <w:hideMark/>
          </w:tcPr>
          <w:p w14:paraId="0D69CCB7" w14:textId="77777777" w:rsidR="000F4627" w:rsidRPr="00010616" w:rsidRDefault="000F4627" w:rsidP="000F4627">
            <w:pPr>
              <w:tabs>
                <w:tab w:val="decimal" w:pos="330"/>
              </w:tabs>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0,6</w:t>
            </w:r>
          </w:p>
        </w:tc>
        <w:tc>
          <w:tcPr>
            <w:tcW w:w="708" w:type="dxa"/>
            <w:shd w:val="clear" w:color="auto" w:fill="DEEAF6"/>
            <w:noWrap/>
            <w:vAlign w:val="center"/>
            <w:hideMark/>
          </w:tcPr>
          <w:p w14:paraId="2EDF397C" w14:textId="77777777" w:rsidR="000F4627" w:rsidRPr="00010616" w:rsidRDefault="000F4627" w:rsidP="000F4627">
            <w:pPr>
              <w:tabs>
                <w:tab w:val="decimal" w:pos="330"/>
              </w:tabs>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0,6</w:t>
            </w:r>
          </w:p>
        </w:tc>
        <w:tc>
          <w:tcPr>
            <w:tcW w:w="722" w:type="dxa"/>
            <w:shd w:val="clear" w:color="auto" w:fill="DEEAF6"/>
            <w:noWrap/>
            <w:vAlign w:val="center"/>
            <w:hideMark/>
          </w:tcPr>
          <w:p w14:paraId="44AD1BF2" w14:textId="77777777" w:rsidR="000F4627" w:rsidRPr="00010616" w:rsidRDefault="000F4627" w:rsidP="000F4627">
            <w:pPr>
              <w:tabs>
                <w:tab w:val="decimal" w:pos="330"/>
              </w:tabs>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0,7</w:t>
            </w:r>
          </w:p>
        </w:tc>
        <w:tc>
          <w:tcPr>
            <w:tcW w:w="696" w:type="dxa"/>
            <w:shd w:val="clear" w:color="auto" w:fill="DEEAF6"/>
            <w:noWrap/>
            <w:vAlign w:val="center"/>
            <w:hideMark/>
          </w:tcPr>
          <w:p w14:paraId="4015DAD8" w14:textId="77777777" w:rsidR="000F4627" w:rsidRPr="00010616" w:rsidRDefault="000F4627" w:rsidP="000F4627">
            <w:pPr>
              <w:tabs>
                <w:tab w:val="decimal" w:pos="330"/>
              </w:tabs>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0,6</w:t>
            </w:r>
          </w:p>
        </w:tc>
      </w:tr>
      <w:tr w:rsidR="000F4627" w:rsidRPr="00010616" w14:paraId="393CA14B" w14:textId="77777777" w:rsidTr="00991B5E">
        <w:trPr>
          <w:trHeight w:val="175"/>
        </w:trPr>
        <w:tc>
          <w:tcPr>
            <w:cnfStyle w:val="001000000000" w:firstRow="0" w:lastRow="0" w:firstColumn="1" w:lastColumn="0" w:oddVBand="0" w:evenVBand="0" w:oddHBand="0" w:evenHBand="0" w:firstRowFirstColumn="0" w:firstRowLastColumn="0" w:lastRowFirstColumn="0" w:lastRowLastColumn="0"/>
            <w:tcW w:w="5529" w:type="dxa"/>
            <w:hideMark/>
          </w:tcPr>
          <w:p w14:paraId="4C18118A" w14:textId="77777777" w:rsidR="000F4627" w:rsidRPr="00010616" w:rsidRDefault="000F4627" w:rsidP="000F4627">
            <w:pPr>
              <w:ind w:firstLine="0"/>
              <w:jc w:val="left"/>
              <w:rPr>
                <w:rFonts w:eastAsia="Times New Roman" w:cs="Times New Roman"/>
                <w:b w:val="0"/>
                <w:bCs w:val="0"/>
                <w:color w:val="000000"/>
                <w:sz w:val="18"/>
                <w:szCs w:val="18"/>
                <w:lang w:eastAsia="lv-LV"/>
              </w:rPr>
            </w:pPr>
            <w:r w:rsidRPr="00010616">
              <w:rPr>
                <w:rFonts w:eastAsia="Times New Roman" w:cs="Times New Roman"/>
                <w:b w:val="0"/>
                <w:bCs w:val="0"/>
                <w:color w:val="000000"/>
                <w:sz w:val="18"/>
                <w:szCs w:val="18"/>
                <w:lang w:eastAsia="lv-LV"/>
              </w:rPr>
              <w:t>Izglītības izdevumi</w:t>
            </w:r>
          </w:p>
        </w:tc>
        <w:tc>
          <w:tcPr>
            <w:tcW w:w="593" w:type="dxa"/>
            <w:noWrap/>
            <w:vAlign w:val="center"/>
            <w:hideMark/>
          </w:tcPr>
          <w:p w14:paraId="5265C2E8" w14:textId="77777777" w:rsidR="000F4627" w:rsidRPr="00010616" w:rsidRDefault="000F4627" w:rsidP="000F4627">
            <w:pPr>
              <w:tabs>
                <w:tab w:val="decimal" w:pos="330"/>
              </w:tabs>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3,6</w:t>
            </w:r>
          </w:p>
        </w:tc>
        <w:tc>
          <w:tcPr>
            <w:tcW w:w="696" w:type="dxa"/>
            <w:noWrap/>
            <w:vAlign w:val="center"/>
            <w:hideMark/>
          </w:tcPr>
          <w:p w14:paraId="24F32E14" w14:textId="77777777" w:rsidR="000F4627" w:rsidRPr="00010616" w:rsidRDefault="000F4627" w:rsidP="000F4627">
            <w:pPr>
              <w:tabs>
                <w:tab w:val="decimal" w:pos="330"/>
              </w:tabs>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3,8</w:t>
            </w:r>
          </w:p>
        </w:tc>
        <w:tc>
          <w:tcPr>
            <w:tcW w:w="696" w:type="dxa"/>
            <w:noWrap/>
            <w:vAlign w:val="center"/>
            <w:hideMark/>
          </w:tcPr>
          <w:p w14:paraId="203B690B" w14:textId="77777777" w:rsidR="000F4627" w:rsidRPr="00010616" w:rsidRDefault="000F4627" w:rsidP="000F4627">
            <w:pPr>
              <w:tabs>
                <w:tab w:val="decimal" w:pos="330"/>
              </w:tabs>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3,5</w:t>
            </w:r>
          </w:p>
        </w:tc>
        <w:tc>
          <w:tcPr>
            <w:tcW w:w="708" w:type="dxa"/>
            <w:noWrap/>
            <w:vAlign w:val="center"/>
            <w:hideMark/>
          </w:tcPr>
          <w:p w14:paraId="2239922E" w14:textId="77777777" w:rsidR="000F4627" w:rsidRPr="00010616" w:rsidRDefault="000F4627" w:rsidP="000F4627">
            <w:pPr>
              <w:tabs>
                <w:tab w:val="decimal" w:pos="330"/>
              </w:tabs>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3,5</w:t>
            </w:r>
          </w:p>
        </w:tc>
        <w:tc>
          <w:tcPr>
            <w:tcW w:w="722" w:type="dxa"/>
            <w:noWrap/>
            <w:vAlign w:val="center"/>
            <w:hideMark/>
          </w:tcPr>
          <w:p w14:paraId="15A9B79E" w14:textId="77777777" w:rsidR="000F4627" w:rsidRPr="00010616" w:rsidRDefault="000F4627" w:rsidP="000F4627">
            <w:pPr>
              <w:tabs>
                <w:tab w:val="decimal" w:pos="330"/>
              </w:tabs>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3,8</w:t>
            </w:r>
          </w:p>
        </w:tc>
        <w:tc>
          <w:tcPr>
            <w:tcW w:w="696" w:type="dxa"/>
            <w:noWrap/>
            <w:vAlign w:val="center"/>
            <w:hideMark/>
          </w:tcPr>
          <w:p w14:paraId="2AF5F820" w14:textId="77777777" w:rsidR="000F4627" w:rsidRPr="00010616" w:rsidRDefault="000F4627" w:rsidP="000F4627">
            <w:pPr>
              <w:tabs>
                <w:tab w:val="decimal" w:pos="330"/>
              </w:tabs>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3,6</w:t>
            </w:r>
          </w:p>
        </w:tc>
      </w:tr>
      <w:tr w:rsidR="000F4627" w:rsidRPr="00010616" w14:paraId="2C07D048" w14:textId="77777777" w:rsidTr="00991B5E">
        <w:trPr>
          <w:cnfStyle w:val="000000100000" w:firstRow="0" w:lastRow="0" w:firstColumn="0" w:lastColumn="0" w:oddVBand="0" w:evenVBand="0" w:oddHBand="1"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5529" w:type="dxa"/>
            <w:shd w:val="clear" w:color="auto" w:fill="DEEAF6"/>
          </w:tcPr>
          <w:p w14:paraId="66048087" w14:textId="77777777" w:rsidR="000F4627" w:rsidRPr="00010616" w:rsidRDefault="000F4627" w:rsidP="000F4627">
            <w:pPr>
              <w:ind w:firstLine="0"/>
              <w:jc w:val="left"/>
              <w:rPr>
                <w:rFonts w:eastAsia="Times New Roman" w:cs="Times New Roman"/>
                <w:b w:val="0"/>
                <w:bCs w:val="0"/>
                <w:color w:val="000000"/>
                <w:sz w:val="18"/>
                <w:szCs w:val="18"/>
                <w:lang w:eastAsia="lv-LV"/>
              </w:rPr>
            </w:pPr>
            <w:r w:rsidRPr="00010616">
              <w:rPr>
                <w:rFonts w:eastAsia="Times New Roman" w:cs="Times New Roman"/>
                <w:b w:val="0"/>
                <w:bCs w:val="0"/>
                <w:color w:val="000000"/>
                <w:sz w:val="18"/>
                <w:szCs w:val="18"/>
                <w:lang w:eastAsia="lv-LV"/>
              </w:rPr>
              <w:t>Sociālās apdrošināšanas iemaksas valsts pensiju speciālajā budžetā</w:t>
            </w:r>
          </w:p>
        </w:tc>
        <w:tc>
          <w:tcPr>
            <w:tcW w:w="593" w:type="dxa"/>
            <w:shd w:val="clear" w:color="auto" w:fill="DEEAF6"/>
            <w:noWrap/>
            <w:vAlign w:val="center"/>
            <w:hideMark/>
          </w:tcPr>
          <w:p w14:paraId="55C3A36B" w14:textId="77777777" w:rsidR="000F4627" w:rsidRPr="00010616" w:rsidRDefault="000F4627" w:rsidP="000F4627">
            <w:pPr>
              <w:tabs>
                <w:tab w:val="decimal" w:pos="330"/>
              </w:tabs>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8,4</w:t>
            </w:r>
          </w:p>
        </w:tc>
        <w:tc>
          <w:tcPr>
            <w:tcW w:w="696" w:type="dxa"/>
            <w:shd w:val="clear" w:color="auto" w:fill="DEEAF6"/>
            <w:noWrap/>
            <w:vAlign w:val="center"/>
            <w:hideMark/>
          </w:tcPr>
          <w:p w14:paraId="4D611AAF" w14:textId="77777777" w:rsidR="000F4627" w:rsidRPr="00010616" w:rsidRDefault="000F4627" w:rsidP="000F4627">
            <w:pPr>
              <w:tabs>
                <w:tab w:val="decimal" w:pos="330"/>
              </w:tabs>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7,3</w:t>
            </w:r>
          </w:p>
        </w:tc>
        <w:tc>
          <w:tcPr>
            <w:tcW w:w="696" w:type="dxa"/>
            <w:shd w:val="clear" w:color="auto" w:fill="DEEAF6"/>
            <w:noWrap/>
            <w:vAlign w:val="center"/>
            <w:hideMark/>
          </w:tcPr>
          <w:p w14:paraId="21498B1C" w14:textId="77777777" w:rsidR="000F4627" w:rsidRPr="00010616" w:rsidRDefault="000F4627" w:rsidP="000F4627">
            <w:pPr>
              <w:tabs>
                <w:tab w:val="decimal" w:pos="330"/>
              </w:tabs>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7,0</w:t>
            </w:r>
          </w:p>
        </w:tc>
        <w:tc>
          <w:tcPr>
            <w:tcW w:w="708" w:type="dxa"/>
            <w:shd w:val="clear" w:color="auto" w:fill="DEEAF6"/>
            <w:noWrap/>
            <w:vAlign w:val="center"/>
            <w:hideMark/>
          </w:tcPr>
          <w:p w14:paraId="1D6A7B5A" w14:textId="77777777" w:rsidR="000F4627" w:rsidRPr="00010616" w:rsidRDefault="000F4627" w:rsidP="000F4627">
            <w:pPr>
              <w:tabs>
                <w:tab w:val="decimal" w:pos="330"/>
              </w:tabs>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6,7</w:t>
            </w:r>
          </w:p>
        </w:tc>
        <w:tc>
          <w:tcPr>
            <w:tcW w:w="722" w:type="dxa"/>
            <w:shd w:val="clear" w:color="auto" w:fill="DEEAF6"/>
            <w:noWrap/>
            <w:vAlign w:val="center"/>
            <w:hideMark/>
          </w:tcPr>
          <w:p w14:paraId="190AFECB" w14:textId="77777777" w:rsidR="000F4627" w:rsidRPr="00010616" w:rsidRDefault="000F4627" w:rsidP="000F4627">
            <w:pPr>
              <w:tabs>
                <w:tab w:val="decimal" w:pos="330"/>
              </w:tabs>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6,6</w:t>
            </w:r>
          </w:p>
        </w:tc>
        <w:tc>
          <w:tcPr>
            <w:tcW w:w="696" w:type="dxa"/>
            <w:shd w:val="clear" w:color="auto" w:fill="DEEAF6"/>
            <w:noWrap/>
            <w:vAlign w:val="center"/>
            <w:hideMark/>
          </w:tcPr>
          <w:p w14:paraId="55DD7614" w14:textId="77777777" w:rsidR="000F4627" w:rsidRPr="00010616" w:rsidRDefault="000F4627" w:rsidP="000F4627">
            <w:pPr>
              <w:tabs>
                <w:tab w:val="decimal" w:pos="330"/>
              </w:tabs>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6,8</w:t>
            </w:r>
          </w:p>
        </w:tc>
      </w:tr>
      <w:tr w:rsidR="000F4627" w:rsidRPr="00010616" w14:paraId="7AA23B55" w14:textId="77777777" w:rsidTr="007A3AE7">
        <w:trPr>
          <w:gridAfter w:val="6"/>
          <w:wAfter w:w="4111" w:type="dxa"/>
          <w:trHeight w:val="231"/>
        </w:trPr>
        <w:tc>
          <w:tcPr>
            <w:cnfStyle w:val="001000000000" w:firstRow="0" w:lastRow="0" w:firstColumn="1" w:lastColumn="0" w:oddVBand="0" w:evenVBand="0" w:oddHBand="0" w:evenHBand="0" w:firstRowFirstColumn="0" w:firstRowLastColumn="0" w:lastRowFirstColumn="0" w:lastRowLastColumn="0"/>
            <w:tcW w:w="5529" w:type="dxa"/>
            <w:shd w:val="clear" w:color="auto" w:fill="auto"/>
            <w:hideMark/>
          </w:tcPr>
          <w:p w14:paraId="42CE2D07" w14:textId="77777777" w:rsidR="000F4627" w:rsidRPr="00010616" w:rsidRDefault="000F4627" w:rsidP="000F4627">
            <w:pPr>
              <w:ind w:firstLine="0"/>
              <w:jc w:val="left"/>
              <w:rPr>
                <w:rFonts w:eastAsia="Times New Roman" w:cs="Times New Roman"/>
                <w:color w:val="000000"/>
                <w:sz w:val="18"/>
                <w:szCs w:val="18"/>
                <w:lang w:eastAsia="lv-LV"/>
              </w:rPr>
            </w:pPr>
            <w:r w:rsidRPr="00010616">
              <w:rPr>
                <w:rFonts w:eastAsia="Times New Roman" w:cs="Times New Roman"/>
                <w:color w:val="000000"/>
                <w:sz w:val="18"/>
                <w:szCs w:val="18"/>
                <w:lang w:eastAsia="lv-LV"/>
              </w:rPr>
              <w:t>Sistēmiskas pensiju reformas</w:t>
            </w:r>
          </w:p>
        </w:tc>
      </w:tr>
      <w:tr w:rsidR="000F4627" w:rsidRPr="00010616" w14:paraId="3708D7FA" w14:textId="77777777" w:rsidTr="000F4627">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5529" w:type="dxa"/>
            <w:hideMark/>
          </w:tcPr>
          <w:p w14:paraId="3CCB2B42" w14:textId="77777777" w:rsidR="000F4627" w:rsidRPr="00010616" w:rsidRDefault="000F4627" w:rsidP="000F4627">
            <w:pPr>
              <w:ind w:firstLine="0"/>
              <w:jc w:val="left"/>
              <w:rPr>
                <w:rFonts w:eastAsia="Times New Roman" w:cs="Times New Roman"/>
                <w:b w:val="0"/>
                <w:bCs w:val="0"/>
                <w:color w:val="000000"/>
                <w:sz w:val="18"/>
                <w:szCs w:val="18"/>
                <w:lang w:eastAsia="lv-LV"/>
              </w:rPr>
            </w:pPr>
            <w:r w:rsidRPr="00010616">
              <w:rPr>
                <w:rFonts w:eastAsia="Times New Roman" w:cs="Times New Roman"/>
                <w:b w:val="0"/>
                <w:bCs w:val="0"/>
                <w:color w:val="000000"/>
                <w:sz w:val="18"/>
                <w:szCs w:val="18"/>
                <w:lang w:eastAsia="lv-LV"/>
              </w:rPr>
              <w:t xml:space="preserve">Sociālās apdrošināšanas iemaksas valsts </w:t>
            </w:r>
            <w:proofErr w:type="spellStart"/>
            <w:r w:rsidRPr="00010616">
              <w:rPr>
                <w:rFonts w:eastAsia="Times New Roman" w:cs="Times New Roman"/>
                <w:b w:val="0"/>
                <w:bCs w:val="0"/>
                <w:color w:val="000000"/>
                <w:sz w:val="18"/>
                <w:szCs w:val="18"/>
                <w:lang w:eastAsia="lv-LV"/>
              </w:rPr>
              <w:t>fondēto</w:t>
            </w:r>
            <w:proofErr w:type="spellEnd"/>
            <w:r w:rsidRPr="00010616">
              <w:rPr>
                <w:rFonts w:eastAsia="Times New Roman" w:cs="Times New Roman"/>
                <w:b w:val="0"/>
                <w:bCs w:val="0"/>
                <w:color w:val="000000"/>
                <w:sz w:val="18"/>
                <w:szCs w:val="18"/>
                <w:lang w:eastAsia="lv-LV"/>
              </w:rPr>
              <w:t xml:space="preserve"> pensiju shēmā</w:t>
            </w:r>
          </w:p>
        </w:tc>
        <w:tc>
          <w:tcPr>
            <w:tcW w:w="593" w:type="dxa"/>
            <w:noWrap/>
            <w:vAlign w:val="bottom"/>
            <w:hideMark/>
          </w:tcPr>
          <w:p w14:paraId="594754B9" w14:textId="77777777" w:rsidR="000F4627" w:rsidRPr="00010616" w:rsidRDefault="000F4627" w:rsidP="000F4627">
            <w:pPr>
              <w:tabs>
                <w:tab w:val="decimal" w:pos="330"/>
              </w:tabs>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1,9</w:t>
            </w:r>
          </w:p>
        </w:tc>
        <w:tc>
          <w:tcPr>
            <w:tcW w:w="696" w:type="dxa"/>
            <w:noWrap/>
            <w:vAlign w:val="bottom"/>
            <w:hideMark/>
          </w:tcPr>
          <w:p w14:paraId="208A1D91" w14:textId="77777777" w:rsidR="000F4627" w:rsidRPr="00010616" w:rsidRDefault="000F4627" w:rsidP="000F4627">
            <w:pPr>
              <w:tabs>
                <w:tab w:val="decimal" w:pos="330"/>
              </w:tabs>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1,8</w:t>
            </w:r>
          </w:p>
        </w:tc>
        <w:tc>
          <w:tcPr>
            <w:tcW w:w="696" w:type="dxa"/>
            <w:noWrap/>
            <w:hideMark/>
          </w:tcPr>
          <w:p w14:paraId="6D9D0DC7" w14:textId="77777777" w:rsidR="000F4627" w:rsidRPr="00010616" w:rsidRDefault="000F4627" w:rsidP="000F4627">
            <w:pPr>
              <w:tabs>
                <w:tab w:val="decimal" w:pos="330"/>
              </w:tabs>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1,8</w:t>
            </w:r>
          </w:p>
        </w:tc>
        <w:tc>
          <w:tcPr>
            <w:tcW w:w="708" w:type="dxa"/>
            <w:noWrap/>
            <w:hideMark/>
          </w:tcPr>
          <w:p w14:paraId="3D267DC9" w14:textId="77777777" w:rsidR="000F4627" w:rsidRPr="00010616" w:rsidRDefault="000F4627" w:rsidP="000F4627">
            <w:pPr>
              <w:tabs>
                <w:tab w:val="decimal" w:pos="330"/>
              </w:tabs>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1,8</w:t>
            </w:r>
          </w:p>
        </w:tc>
        <w:tc>
          <w:tcPr>
            <w:tcW w:w="722" w:type="dxa"/>
            <w:noWrap/>
            <w:hideMark/>
          </w:tcPr>
          <w:p w14:paraId="08B4507B" w14:textId="77777777" w:rsidR="000F4627" w:rsidRPr="00010616" w:rsidRDefault="000F4627" w:rsidP="000F4627">
            <w:pPr>
              <w:tabs>
                <w:tab w:val="decimal" w:pos="330"/>
              </w:tabs>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1,8</w:t>
            </w:r>
          </w:p>
        </w:tc>
        <w:tc>
          <w:tcPr>
            <w:tcW w:w="696" w:type="dxa"/>
            <w:noWrap/>
            <w:hideMark/>
          </w:tcPr>
          <w:p w14:paraId="0880249A" w14:textId="77777777" w:rsidR="000F4627" w:rsidRPr="00010616" w:rsidRDefault="000F4627" w:rsidP="000F4627">
            <w:pPr>
              <w:tabs>
                <w:tab w:val="decimal" w:pos="330"/>
              </w:tabs>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1,8</w:t>
            </w:r>
          </w:p>
        </w:tc>
      </w:tr>
      <w:tr w:rsidR="000F4627" w:rsidRPr="00010616" w14:paraId="7F9A98A4" w14:textId="77777777" w:rsidTr="00991B5E">
        <w:trPr>
          <w:trHeight w:val="225"/>
        </w:trPr>
        <w:tc>
          <w:tcPr>
            <w:cnfStyle w:val="001000000000" w:firstRow="0" w:lastRow="0" w:firstColumn="1" w:lastColumn="0" w:oddVBand="0" w:evenVBand="0" w:oddHBand="0" w:evenHBand="0" w:firstRowFirstColumn="0" w:firstRowLastColumn="0" w:lastRowFirstColumn="0" w:lastRowLastColumn="0"/>
            <w:tcW w:w="5529" w:type="dxa"/>
            <w:shd w:val="clear" w:color="auto" w:fill="DEEAF6"/>
            <w:hideMark/>
          </w:tcPr>
          <w:p w14:paraId="695255DA" w14:textId="77777777" w:rsidR="000F4627" w:rsidRPr="00010616" w:rsidRDefault="000F4627" w:rsidP="000F4627">
            <w:pPr>
              <w:ind w:firstLine="0"/>
              <w:jc w:val="left"/>
              <w:rPr>
                <w:rFonts w:eastAsia="Times New Roman" w:cs="Times New Roman"/>
                <w:b w:val="0"/>
                <w:bCs w:val="0"/>
                <w:color w:val="000000"/>
                <w:sz w:val="18"/>
                <w:szCs w:val="18"/>
                <w:lang w:eastAsia="lv-LV"/>
              </w:rPr>
            </w:pPr>
            <w:r w:rsidRPr="00010616">
              <w:rPr>
                <w:rFonts w:eastAsia="Times New Roman" w:cs="Times New Roman"/>
                <w:b w:val="0"/>
                <w:bCs w:val="0"/>
                <w:color w:val="000000"/>
                <w:sz w:val="18"/>
                <w:szCs w:val="18"/>
                <w:lang w:eastAsia="lv-LV"/>
              </w:rPr>
              <w:t xml:space="preserve">Pensiju izdevumi no valsts </w:t>
            </w:r>
            <w:proofErr w:type="spellStart"/>
            <w:r w:rsidRPr="00010616">
              <w:rPr>
                <w:rFonts w:eastAsia="Times New Roman" w:cs="Times New Roman"/>
                <w:b w:val="0"/>
                <w:bCs w:val="0"/>
                <w:color w:val="000000"/>
                <w:sz w:val="18"/>
                <w:szCs w:val="18"/>
                <w:lang w:eastAsia="lv-LV"/>
              </w:rPr>
              <w:t>fondēto</w:t>
            </w:r>
            <w:proofErr w:type="spellEnd"/>
            <w:r w:rsidRPr="00010616">
              <w:rPr>
                <w:rFonts w:eastAsia="Times New Roman" w:cs="Times New Roman"/>
                <w:b w:val="0"/>
                <w:bCs w:val="0"/>
                <w:color w:val="000000"/>
                <w:sz w:val="18"/>
                <w:szCs w:val="18"/>
                <w:lang w:eastAsia="lv-LV"/>
              </w:rPr>
              <w:t xml:space="preserve"> pensiju shēmas</w:t>
            </w:r>
          </w:p>
        </w:tc>
        <w:tc>
          <w:tcPr>
            <w:tcW w:w="593" w:type="dxa"/>
            <w:shd w:val="clear" w:color="auto" w:fill="DEEAF6"/>
            <w:noWrap/>
            <w:vAlign w:val="bottom"/>
            <w:hideMark/>
          </w:tcPr>
          <w:p w14:paraId="16B489B4" w14:textId="77777777" w:rsidR="000F4627" w:rsidRPr="00010616" w:rsidRDefault="000F4627" w:rsidP="000F4627">
            <w:pPr>
              <w:tabs>
                <w:tab w:val="decimal" w:pos="330"/>
              </w:tabs>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w:t>
            </w:r>
          </w:p>
        </w:tc>
        <w:tc>
          <w:tcPr>
            <w:tcW w:w="696" w:type="dxa"/>
            <w:shd w:val="clear" w:color="auto" w:fill="DEEAF6"/>
            <w:noWrap/>
            <w:vAlign w:val="bottom"/>
            <w:hideMark/>
          </w:tcPr>
          <w:p w14:paraId="27137B62" w14:textId="77777777" w:rsidR="000F4627" w:rsidRPr="00010616" w:rsidRDefault="000F4627" w:rsidP="000F4627">
            <w:pPr>
              <w:tabs>
                <w:tab w:val="decimal" w:pos="330"/>
              </w:tabs>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0,2</w:t>
            </w:r>
          </w:p>
        </w:tc>
        <w:tc>
          <w:tcPr>
            <w:tcW w:w="696" w:type="dxa"/>
            <w:shd w:val="clear" w:color="auto" w:fill="DEEAF6"/>
            <w:noWrap/>
            <w:vAlign w:val="bottom"/>
            <w:hideMark/>
          </w:tcPr>
          <w:p w14:paraId="317132E6" w14:textId="77777777" w:rsidR="000F4627" w:rsidRPr="00010616" w:rsidRDefault="000F4627" w:rsidP="000F4627">
            <w:pPr>
              <w:tabs>
                <w:tab w:val="decimal" w:pos="330"/>
              </w:tabs>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0,4</w:t>
            </w:r>
          </w:p>
        </w:tc>
        <w:tc>
          <w:tcPr>
            <w:tcW w:w="708" w:type="dxa"/>
            <w:shd w:val="clear" w:color="auto" w:fill="DEEAF6"/>
            <w:noWrap/>
            <w:vAlign w:val="bottom"/>
            <w:hideMark/>
          </w:tcPr>
          <w:p w14:paraId="5EBA624B" w14:textId="77777777" w:rsidR="000F4627" w:rsidRPr="00010616" w:rsidRDefault="000F4627" w:rsidP="000F4627">
            <w:pPr>
              <w:tabs>
                <w:tab w:val="decimal" w:pos="330"/>
              </w:tabs>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1</w:t>
            </w:r>
          </w:p>
        </w:tc>
        <w:tc>
          <w:tcPr>
            <w:tcW w:w="722" w:type="dxa"/>
            <w:shd w:val="clear" w:color="auto" w:fill="DEEAF6"/>
            <w:noWrap/>
            <w:vAlign w:val="bottom"/>
            <w:hideMark/>
          </w:tcPr>
          <w:p w14:paraId="2F59AEB0" w14:textId="77777777" w:rsidR="000F4627" w:rsidRPr="00010616" w:rsidRDefault="000F4627" w:rsidP="000F4627">
            <w:pPr>
              <w:tabs>
                <w:tab w:val="decimal" w:pos="330"/>
              </w:tabs>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1,7</w:t>
            </w:r>
          </w:p>
        </w:tc>
        <w:tc>
          <w:tcPr>
            <w:tcW w:w="696" w:type="dxa"/>
            <w:shd w:val="clear" w:color="auto" w:fill="DEEAF6"/>
            <w:noWrap/>
            <w:vAlign w:val="bottom"/>
            <w:hideMark/>
          </w:tcPr>
          <w:p w14:paraId="1E8F6ECE" w14:textId="77777777" w:rsidR="000F4627" w:rsidRPr="00010616" w:rsidRDefault="000F4627" w:rsidP="000F4627">
            <w:pPr>
              <w:tabs>
                <w:tab w:val="decimal" w:pos="330"/>
              </w:tabs>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2,2</w:t>
            </w:r>
          </w:p>
        </w:tc>
      </w:tr>
      <w:tr w:rsidR="000F4627" w:rsidRPr="00010616" w14:paraId="4872CFDA" w14:textId="77777777" w:rsidTr="007A3AE7">
        <w:trPr>
          <w:gridAfter w:val="6"/>
          <w:cnfStyle w:val="000000100000" w:firstRow="0" w:lastRow="0" w:firstColumn="0" w:lastColumn="0" w:oddVBand="0" w:evenVBand="0" w:oddHBand="1" w:evenHBand="0" w:firstRowFirstColumn="0" w:firstRowLastColumn="0" w:lastRowFirstColumn="0" w:lastRowLastColumn="0"/>
          <w:wAfter w:w="4111" w:type="dxa"/>
          <w:trHeight w:val="129"/>
        </w:trPr>
        <w:tc>
          <w:tcPr>
            <w:cnfStyle w:val="001000000000" w:firstRow="0" w:lastRow="0" w:firstColumn="1" w:lastColumn="0" w:oddVBand="0" w:evenVBand="0" w:oddHBand="0" w:evenHBand="0" w:firstRowFirstColumn="0" w:firstRowLastColumn="0" w:lastRowFirstColumn="0" w:lastRowLastColumn="0"/>
            <w:tcW w:w="5529" w:type="dxa"/>
            <w:shd w:val="clear" w:color="auto" w:fill="auto"/>
            <w:hideMark/>
          </w:tcPr>
          <w:p w14:paraId="68DEDA8A" w14:textId="77777777" w:rsidR="000F4627" w:rsidRPr="00010616" w:rsidRDefault="000F4627" w:rsidP="000F4627">
            <w:pPr>
              <w:ind w:firstLine="0"/>
              <w:jc w:val="left"/>
              <w:rPr>
                <w:rFonts w:eastAsia="Times New Roman" w:cs="Times New Roman"/>
                <w:color w:val="000000"/>
                <w:sz w:val="18"/>
                <w:szCs w:val="18"/>
                <w:lang w:eastAsia="lv-LV"/>
              </w:rPr>
            </w:pPr>
            <w:r w:rsidRPr="00010616">
              <w:rPr>
                <w:rFonts w:eastAsia="Times New Roman" w:cs="Times New Roman"/>
                <w:color w:val="000000"/>
                <w:sz w:val="18"/>
                <w:szCs w:val="18"/>
                <w:lang w:eastAsia="lv-LV"/>
              </w:rPr>
              <w:t>Pieņēmumi</w:t>
            </w:r>
          </w:p>
        </w:tc>
      </w:tr>
      <w:tr w:rsidR="000F4627" w:rsidRPr="00010616" w14:paraId="2C0931E5" w14:textId="77777777" w:rsidTr="00991B5E">
        <w:trPr>
          <w:trHeight w:val="261"/>
        </w:trPr>
        <w:tc>
          <w:tcPr>
            <w:cnfStyle w:val="001000000000" w:firstRow="0" w:lastRow="0" w:firstColumn="1" w:lastColumn="0" w:oddVBand="0" w:evenVBand="0" w:oddHBand="0" w:evenHBand="0" w:firstRowFirstColumn="0" w:firstRowLastColumn="0" w:lastRowFirstColumn="0" w:lastRowLastColumn="0"/>
            <w:tcW w:w="5529" w:type="dxa"/>
            <w:shd w:val="clear" w:color="auto" w:fill="DEEAF6"/>
            <w:hideMark/>
          </w:tcPr>
          <w:p w14:paraId="779CB15D" w14:textId="77777777" w:rsidR="000F4627" w:rsidRPr="00010616" w:rsidRDefault="000F4627" w:rsidP="000F4627">
            <w:pPr>
              <w:ind w:firstLine="0"/>
              <w:jc w:val="left"/>
              <w:rPr>
                <w:rFonts w:eastAsia="Times New Roman" w:cs="Times New Roman"/>
                <w:b w:val="0"/>
                <w:bCs w:val="0"/>
                <w:color w:val="000000"/>
                <w:sz w:val="18"/>
                <w:szCs w:val="18"/>
                <w:lang w:eastAsia="lv-LV"/>
              </w:rPr>
            </w:pPr>
            <w:r w:rsidRPr="00010616">
              <w:rPr>
                <w:rFonts w:eastAsia="Times New Roman" w:cs="Times New Roman"/>
                <w:b w:val="0"/>
                <w:bCs w:val="0"/>
                <w:color w:val="000000"/>
                <w:sz w:val="18"/>
                <w:szCs w:val="18"/>
                <w:lang w:eastAsia="lv-LV"/>
              </w:rPr>
              <w:t>Darba produktivitātes (stundā) pieaugums, %</w:t>
            </w:r>
          </w:p>
        </w:tc>
        <w:tc>
          <w:tcPr>
            <w:tcW w:w="593" w:type="dxa"/>
            <w:shd w:val="clear" w:color="auto" w:fill="DEEAF6"/>
            <w:noWrap/>
            <w:vAlign w:val="center"/>
            <w:hideMark/>
          </w:tcPr>
          <w:p w14:paraId="514D2E73" w14:textId="77777777" w:rsidR="000F4627" w:rsidRPr="00010616" w:rsidRDefault="000F4627" w:rsidP="000F4627">
            <w:pPr>
              <w:tabs>
                <w:tab w:val="decimal" w:pos="330"/>
              </w:tabs>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3,3</w:t>
            </w:r>
          </w:p>
        </w:tc>
        <w:tc>
          <w:tcPr>
            <w:tcW w:w="696" w:type="dxa"/>
            <w:shd w:val="clear" w:color="auto" w:fill="DEEAF6"/>
            <w:noWrap/>
            <w:vAlign w:val="center"/>
            <w:hideMark/>
          </w:tcPr>
          <w:p w14:paraId="18FBE0C0" w14:textId="77777777" w:rsidR="000F4627" w:rsidRPr="00010616" w:rsidRDefault="000F4627" w:rsidP="000F4627">
            <w:pPr>
              <w:tabs>
                <w:tab w:val="decimal" w:pos="330"/>
              </w:tabs>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3,1</w:t>
            </w:r>
          </w:p>
        </w:tc>
        <w:tc>
          <w:tcPr>
            <w:tcW w:w="696" w:type="dxa"/>
            <w:shd w:val="clear" w:color="auto" w:fill="DEEAF6"/>
            <w:noWrap/>
            <w:vAlign w:val="center"/>
            <w:hideMark/>
          </w:tcPr>
          <w:p w14:paraId="11E9D99B" w14:textId="77777777" w:rsidR="000F4627" w:rsidRPr="00010616" w:rsidRDefault="000F4627" w:rsidP="000F4627">
            <w:pPr>
              <w:tabs>
                <w:tab w:val="decimal" w:pos="330"/>
              </w:tabs>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2,2</w:t>
            </w:r>
          </w:p>
        </w:tc>
        <w:tc>
          <w:tcPr>
            <w:tcW w:w="708" w:type="dxa"/>
            <w:shd w:val="clear" w:color="auto" w:fill="DEEAF6"/>
            <w:noWrap/>
            <w:vAlign w:val="center"/>
            <w:hideMark/>
          </w:tcPr>
          <w:p w14:paraId="534DB718" w14:textId="77777777" w:rsidR="000F4627" w:rsidRPr="00010616" w:rsidRDefault="000F4627" w:rsidP="000F4627">
            <w:pPr>
              <w:tabs>
                <w:tab w:val="decimal" w:pos="330"/>
              </w:tabs>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2,0</w:t>
            </w:r>
          </w:p>
        </w:tc>
        <w:tc>
          <w:tcPr>
            <w:tcW w:w="722" w:type="dxa"/>
            <w:shd w:val="clear" w:color="auto" w:fill="DEEAF6"/>
            <w:noWrap/>
            <w:vAlign w:val="center"/>
            <w:hideMark/>
          </w:tcPr>
          <w:p w14:paraId="6775FEDD" w14:textId="77777777" w:rsidR="000F4627" w:rsidRPr="00010616" w:rsidRDefault="000F4627" w:rsidP="000F4627">
            <w:pPr>
              <w:tabs>
                <w:tab w:val="decimal" w:pos="330"/>
              </w:tabs>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1,8</w:t>
            </w:r>
          </w:p>
        </w:tc>
        <w:tc>
          <w:tcPr>
            <w:tcW w:w="696" w:type="dxa"/>
            <w:shd w:val="clear" w:color="auto" w:fill="DEEAF6"/>
            <w:noWrap/>
            <w:vAlign w:val="center"/>
            <w:hideMark/>
          </w:tcPr>
          <w:p w14:paraId="34BF5ABF" w14:textId="77777777" w:rsidR="000F4627" w:rsidRPr="00010616" w:rsidRDefault="000F4627" w:rsidP="000F4627">
            <w:pPr>
              <w:tabs>
                <w:tab w:val="decimal" w:pos="330"/>
              </w:tabs>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1,5</w:t>
            </w:r>
          </w:p>
        </w:tc>
      </w:tr>
      <w:tr w:rsidR="000F4627" w:rsidRPr="00010616" w14:paraId="728A592F" w14:textId="77777777" w:rsidTr="000F4627">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5529" w:type="dxa"/>
            <w:hideMark/>
          </w:tcPr>
          <w:p w14:paraId="77CBF63B" w14:textId="77777777" w:rsidR="000F4627" w:rsidRPr="00010616" w:rsidRDefault="000F4627" w:rsidP="000F4627">
            <w:pPr>
              <w:ind w:firstLine="0"/>
              <w:jc w:val="left"/>
              <w:rPr>
                <w:rFonts w:eastAsia="Times New Roman" w:cs="Times New Roman"/>
                <w:b w:val="0"/>
                <w:bCs w:val="0"/>
                <w:color w:val="000000"/>
                <w:sz w:val="18"/>
                <w:szCs w:val="18"/>
                <w:lang w:eastAsia="lv-LV"/>
              </w:rPr>
            </w:pPr>
            <w:r w:rsidRPr="00010616">
              <w:rPr>
                <w:rFonts w:eastAsia="Times New Roman" w:cs="Times New Roman"/>
                <w:b w:val="0"/>
                <w:bCs w:val="0"/>
                <w:color w:val="000000"/>
                <w:sz w:val="18"/>
                <w:szCs w:val="18"/>
                <w:lang w:eastAsia="lv-LV"/>
              </w:rPr>
              <w:t>Potenciālā IKP pieaugums, % salīdzināmās cenās</w:t>
            </w:r>
          </w:p>
        </w:tc>
        <w:tc>
          <w:tcPr>
            <w:tcW w:w="593" w:type="dxa"/>
            <w:noWrap/>
            <w:vAlign w:val="center"/>
            <w:hideMark/>
          </w:tcPr>
          <w:p w14:paraId="66B21FAE" w14:textId="77777777" w:rsidR="000F4627" w:rsidRPr="00010616" w:rsidRDefault="000F4627" w:rsidP="000F4627">
            <w:pPr>
              <w:tabs>
                <w:tab w:val="decimal" w:pos="330"/>
              </w:tabs>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2,7</w:t>
            </w:r>
          </w:p>
        </w:tc>
        <w:tc>
          <w:tcPr>
            <w:tcW w:w="696" w:type="dxa"/>
            <w:noWrap/>
            <w:vAlign w:val="center"/>
            <w:hideMark/>
          </w:tcPr>
          <w:p w14:paraId="5A7645ED" w14:textId="77777777" w:rsidR="000F4627" w:rsidRPr="00010616" w:rsidRDefault="000F4627" w:rsidP="000F4627">
            <w:pPr>
              <w:tabs>
                <w:tab w:val="decimal" w:pos="330"/>
              </w:tabs>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1,9</w:t>
            </w:r>
          </w:p>
        </w:tc>
        <w:tc>
          <w:tcPr>
            <w:tcW w:w="696" w:type="dxa"/>
            <w:noWrap/>
            <w:vAlign w:val="center"/>
            <w:hideMark/>
          </w:tcPr>
          <w:p w14:paraId="06658EA3" w14:textId="77777777" w:rsidR="000F4627" w:rsidRPr="00010616" w:rsidRDefault="000F4627" w:rsidP="000F4627">
            <w:pPr>
              <w:tabs>
                <w:tab w:val="decimal" w:pos="330"/>
              </w:tabs>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1,0</w:t>
            </w:r>
          </w:p>
        </w:tc>
        <w:tc>
          <w:tcPr>
            <w:tcW w:w="708" w:type="dxa"/>
            <w:noWrap/>
            <w:vAlign w:val="center"/>
            <w:hideMark/>
          </w:tcPr>
          <w:p w14:paraId="011DA829" w14:textId="77777777" w:rsidR="000F4627" w:rsidRPr="00010616" w:rsidRDefault="000F4627" w:rsidP="000F4627">
            <w:pPr>
              <w:tabs>
                <w:tab w:val="decimal" w:pos="330"/>
              </w:tabs>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0,6</w:t>
            </w:r>
          </w:p>
        </w:tc>
        <w:tc>
          <w:tcPr>
            <w:tcW w:w="722" w:type="dxa"/>
            <w:noWrap/>
            <w:vAlign w:val="center"/>
            <w:hideMark/>
          </w:tcPr>
          <w:p w14:paraId="69C8CF0F" w14:textId="77777777" w:rsidR="000F4627" w:rsidRPr="00010616" w:rsidRDefault="000F4627" w:rsidP="000F4627">
            <w:pPr>
              <w:tabs>
                <w:tab w:val="decimal" w:pos="330"/>
              </w:tabs>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1,0</w:t>
            </w:r>
          </w:p>
        </w:tc>
        <w:tc>
          <w:tcPr>
            <w:tcW w:w="696" w:type="dxa"/>
            <w:noWrap/>
            <w:vAlign w:val="center"/>
            <w:hideMark/>
          </w:tcPr>
          <w:p w14:paraId="57BC6C0F" w14:textId="77777777" w:rsidR="000F4627" w:rsidRPr="00010616" w:rsidRDefault="000F4627" w:rsidP="000F4627">
            <w:pPr>
              <w:tabs>
                <w:tab w:val="decimal" w:pos="330"/>
              </w:tabs>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1,1</w:t>
            </w:r>
          </w:p>
        </w:tc>
      </w:tr>
      <w:tr w:rsidR="000F4627" w:rsidRPr="00010616" w14:paraId="34C5E5A2" w14:textId="77777777" w:rsidTr="00991B5E">
        <w:trPr>
          <w:trHeight w:val="213"/>
        </w:trPr>
        <w:tc>
          <w:tcPr>
            <w:cnfStyle w:val="001000000000" w:firstRow="0" w:lastRow="0" w:firstColumn="1" w:lastColumn="0" w:oddVBand="0" w:evenVBand="0" w:oddHBand="0" w:evenHBand="0" w:firstRowFirstColumn="0" w:firstRowLastColumn="0" w:lastRowFirstColumn="0" w:lastRowLastColumn="0"/>
            <w:tcW w:w="5529" w:type="dxa"/>
            <w:shd w:val="clear" w:color="auto" w:fill="DEEAF6"/>
            <w:hideMark/>
          </w:tcPr>
          <w:p w14:paraId="408C42D4" w14:textId="77777777" w:rsidR="000F4627" w:rsidRPr="00010616" w:rsidRDefault="000F4627" w:rsidP="000F4627">
            <w:pPr>
              <w:ind w:firstLine="0"/>
              <w:jc w:val="left"/>
              <w:rPr>
                <w:rFonts w:eastAsia="Times New Roman" w:cs="Times New Roman"/>
                <w:b w:val="0"/>
                <w:bCs w:val="0"/>
                <w:color w:val="000000"/>
                <w:sz w:val="18"/>
                <w:szCs w:val="18"/>
                <w:lang w:eastAsia="lv-LV"/>
              </w:rPr>
            </w:pPr>
            <w:r w:rsidRPr="00010616">
              <w:rPr>
                <w:rFonts w:eastAsia="Times New Roman" w:cs="Times New Roman"/>
                <w:b w:val="0"/>
                <w:bCs w:val="0"/>
                <w:color w:val="000000"/>
                <w:sz w:val="18"/>
                <w:szCs w:val="18"/>
                <w:lang w:eastAsia="lv-LV"/>
              </w:rPr>
              <w:t>Līdzdalības līmenis, vīrieši (vecuma grupa 20-64)</w:t>
            </w:r>
          </w:p>
        </w:tc>
        <w:tc>
          <w:tcPr>
            <w:tcW w:w="593" w:type="dxa"/>
            <w:shd w:val="clear" w:color="auto" w:fill="DEEAF6"/>
            <w:noWrap/>
            <w:vAlign w:val="center"/>
            <w:hideMark/>
          </w:tcPr>
          <w:p w14:paraId="5FECA870" w14:textId="77777777" w:rsidR="000F4627" w:rsidRPr="00010616" w:rsidRDefault="000F4627" w:rsidP="000F4627">
            <w:pPr>
              <w:tabs>
                <w:tab w:val="decimal" w:pos="330"/>
              </w:tabs>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85,6</w:t>
            </w:r>
          </w:p>
        </w:tc>
        <w:tc>
          <w:tcPr>
            <w:tcW w:w="696" w:type="dxa"/>
            <w:shd w:val="clear" w:color="auto" w:fill="DEEAF6"/>
            <w:noWrap/>
            <w:vAlign w:val="center"/>
            <w:hideMark/>
          </w:tcPr>
          <w:p w14:paraId="1506C055" w14:textId="77777777" w:rsidR="000F4627" w:rsidRPr="00010616" w:rsidRDefault="000F4627" w:rsidP="000F4627">
            <w:pPr>
              <w:tabs>
                <w:tab w:val="decimal" w:pos="330"/>
              </w:tabs>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84,3</w:t>
            </w:r>
          </w:p>
        </w:tc>
        <w:tc>
          <w:tcPr>
            <w:tcW w:w="696" w:type="dxa"/>
            <w:shd w:val="clear" w:color="auto" w:fill="DEEAF6"/>
            <w:noWrap/>
            <w:vAlign w:val="center"/>
            <w:hideMark/>
          </w:tcPr>
          <w:p w14:paraId="3F0D4915" w14:textId="77777777" w:rsidR="000F4627" w:rsidRPr="00010616" w:rsidRDefault="000F4627" w:rsidP="000F4627">
            <w:pPr>
              <w:tabs>
                <w:tab w:val="decimal" w:pos="330"/>
              </w:tabs>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84,2</w:t>
            </w:r>
          </w:p>
        </w:tc>
        <w:tc>
          <w:tcPr>
            <w:tcW w:w="708" w:type="dxa"/>
            <w:shd w:val="clear" w:color="auto" w:fill="DEEAF6"/>
            <w:noWrap/>
            <w:vAlign w:val="center"/>
            <w:hideMark/>
          </w:tcPr>
          <w:p w14:paraId="7BB97A0D" w14:textId="77777777" w:rsidR="000F4627" w:rsidRPr="00010616" w:rsidRDefault="000F4627" w:rsidP="000F4627">
            <w:pPr>
              <w:tabs>
                <w:tab w:val="decimal" w:pos="330"/>
              </w:tabs>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84,0</w:t>
            </w:r>
          </w:p>
        </w:tc>
        <w:tc>
          <w:tcPr>
            <w:tcW w:w="722" w:type="dxa"/>
            <w:shd w:val="clear" w:color="auto" w:fill="DEEAF6"/>
            <w:noWrap/>
            <w:vAlign w:val="center"/>
            <w:hideMark/>
          </w:tcPr>
          <w:p w14:paraId="158C333F" w14:textId="77777777" w:rsidR="000F4627" w:rsidRPr="00010616" w:rsidRDefault="000F4627" w:rsidP="000F4627">
            <w:pPr>
              <w:tabs>
                <w:tab w:val="decimal" w:pos="330"/>
              </w:tabs>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85,1</w:t>
            </w:r>
          </w:p>
        </w:tc>
        <w:tc>
          <w:tcPr>
            <w:tcW w:w="696" w:type="dxa"/>
            <w:shd w:val="clear" w:color="auto" w:fill="DEEAF6"/>
            <w:noWrap/>
            <w:vAlign w:val="center"/>
            <w:hideMark/>
          </w:tcPr>
          <w:p w14:paraId="3E96A85E" w14:textId="77777777" w:rsidR="000F4627" w:rsidRPr="00010616" w:rsidRDefault="000F4627" w:rsidP="000F4627">
            <w:pPr>
              <w:tabs>
                <w:tab w:val="decimal" w:pos="330"/>
              </w:tabs>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84,7</w:t>
            </w:r>
          </w:p>
        </w:tc>
      </w:tr>
      <w:tr w:rsidR="000F4627" w:rsidRPr="00010616" w14:paraId="30D64612" w14:textId="77777777" w:rsidTr="000F4627">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5529" w:type="dxa"/>
            <w:hideMark/>
          </w:tcPr>
          <w:p w14:paraId="27073645" w14:textId="77777777" w:rsidR="000F4627" w:rsidRPr="00010616" w:rsidRDefault="000F4627" w:rsidP="000F4627">
            <w:pPr>
              <w:ind w:firstLine="0"/>
              <w:jc w:val="left"/>
              <w:rPr>
                <w:rFonts w:eastAsia="Times New Roman" w:cs="Times New Roman"/>
                <w:b w:val="0"/>
                <w:bCs w:val="0"/>
                <w:color w:val="000000"/>
                <w:sz w:val="18"/>
                <w:szCs w:val="18"/>
                <w:lang w:eastAsia="lv-LV"/>
              </w:rPr>
            </w:pPr>
            <w:r w:rsidRPr="00010616">
              <w:rPr>
                <w:rFonts w:eastAsia="Times New Roman" w:cs="Times New Roman"/>
                <w:b w:val="0"/>
                <w:bCs w:val="0"/>
                <w:color w:val="000000"/>
                <w:sz w:val="18"/>
                <w:szCs w:val="18"/>
                <w:lang w:eastAsia="lv-LV"/>
              </w:rPr>
              <w:t>Līdzdalības līmenis, sievietes (vecuma grupa 20-64)</w:t>
            </w:r>
          </w:p>
        </w:tc>
        <w:tc>
          <w:tcPr>
            <w:tcW w:w="593" w:type="dxa"/>
            <w:noWrap/>
            <w:vAlign w:val="center"/>
            <w:hideMark/>
          </w:tcPr>
          <w:p w14:paraId="5AB9B44E" w14:textId="77777777" w:rsidR="000F4627" w:rsidRPr="00010616" w:rsidRDefault="000F4627" w:rsidP="000F4627">
            <w:pPr>
              <w:tabs>
                <w:tab w:val="decimal" w:pos="330"/>
              </w:tabs>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80,4</w:t>
            </w:r>
          </w:p>
        </w:tc>
        <w:tc>
          <w:tcPr>
            <w:tcW w:w="696" w:type="dxa"/>
            <w:noWrap/>
            <w:vAlign w:val="center"/>
            <w:hideMark/>
          </w:tcPr>
          <w:p w14:paraId="2146F9DE" w14:textId="77777777" w:rsidR="000F4627" w:rsidRPr="00010616" w:rsidRDefault="000F4627" w:rsidP="000F4627">
            <w:pPr>
              <w:tabs>
                <w:tab w:val="decimal" w:pos="330"/>
              </w:tabs>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79,7</w:t>
            </w:r>
          </w:p>
        </w:tc>
        <w:tc>
          <w:tcPr>
            <w:tcW w:w="696" w:type="dxa"/>
            <w:noWrap/>
            <w:vAlign w:val="center"/>
            <w:hideMark/>
          </w:tcPr>
          <w:p w14:paraId="3AEC71D8" w14:textId="77777777" w:rsidR="000F4627" w:rsidRPr="00010616" w:rsidRDefault="000F4627" w:rsidP="000F4627">
            <w:pPr>
              <w:tabs>
                <w:tab w:val="decimal" w:pos="330"/>
              </w:tabs>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79,8</w:t>
            </w:r>
          </w:p>
        </w:tc>
        <w:tc>
          <w:tcPr>
            <w:tcW w:w="708" w:type="dxa"/>
            <w:noWrap/>
            <w:vAlign w:val="center"/>
            <w:hideMark/>
          </w:tcPr>
          <w:p w14:paraId="1BD84E27" w14:textId="77777777" w:rsidR="000F4627" w:rsidRPr="00010616" w:rsidRDefault="000F4627" w:rsidP="000F4627">
            <w:pPr>
              <w:tabs>
                <w:tab w:val="decimal" w:pos="330"/>
              </w:tabs>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80,3</w:t>
            </w:r>
          </w:p>
        </w:tc>
        <w:tc>
          <w:tcPr>
            <w:tcW w:w="722" w:type="dxa"/>
            <w:noWrap/>
            <w:vAlign w:val="center"/>
            <w:hideMark/>
          </w:tcPr>
          <w:p w14:paraId="543AEA1C" w14:textId="77777777" w:rsidR="000F4627" w:rsidRPr="00010616" w:rsidRDefault="000F4627" w:rsidP="000F4627">
            <w:pPr>
              <w:tabs>
                <w:tab w:val="decimal" w:pos="330"/>
              </w:tabs>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81,9</w:t>
            </w:r>
          </w:p>
        </w:tc>
        <w:tc>
          <w:tcPr>
            <w:tcW w:w="696" w:type="dxa"/>
            <w:noWrap/>
            <w:vAlign w:val="center"/>
            <w:hideMark/>
          </w:tcPr>
          <w:p w14:paraId="733419FF" w14:textId="77777777" w:rsidR="000F4627" w:rsidRPr="00010616" w:rsidRDefault="000F4627" w:rsidP="000F4627">
            <w:pPr>
              <w:tabs>
                <w:tab w:val="decimal" w:pos="330"/>
              </w:tabs>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81,2</w:t>
            </w:r>
          </w:p>
        </w:tc>
      </w:tr>
      <w:tr w:rsidR="000F4627" w:rsidRPr="00010616" w14:paraId="0F206620" w14:textId="77777777" w:rsidTr="00991B5E">
        <w:trPr>
          <w:trHeight w:val="293"/>
        </w:trPr>
        <w:tc>
          <w:tcPr>
            <w:cnfStyle w:val="001000000000" w:firstRow="0" w:lastRow="0" w:firstColumn="1" w:lastColumn="0" w:oddVBand="0" w:evenVBand="0" w:oddHBand="0" w:evenHBand="0" w:firstRowFirstColumn="0" w:firstRowLastColumn="0" w:lastRowFirstColumn="0" w:lastRowLastColumn="0"/>
            <w:tcW w:w="5529" w:type="dxa"/>
            <w:shd w:val="clear" w:color="auto" w:fill="DEEAF6"/>
            <w:hideMark/>
          </w:tcPr>
          <w:p w14:paraId="274AF2E3" w14:textId="77777777" w:rsidR="000F4627" w:rsidRPr="00010616" w:rsidRDefault="000F4627" w:rsidP="000F4627">
            <w:pPr>
              <w:ind w:firstLine="0"/>
              <w:jc w:val="left"/>
              <w:rPr>
                <w:rFonts w:eastAsia="Times New Roman" w:cs="Times New Roman"/>
                <w:b w:val="0"/>
                <w:bCs w:val="0"/>
                <w:color w:val="000000"/>
                <w:sz w:val="18"/>
                <w:szCs w:val="18"/>
                <w:lang w:eastAsia="lv-LV"/>
              </w:rPr>
            </w:pPr>
            <w:r w:rsidRPr="00010616">
              <w:rPr>
                <w:rFonts w:eastAsia="Times New Roman" w:cs="Times New Roman"/>
                <w:b w:val="0"/>
                <w:bCs w:val="0"/>
                <w:color w:val="000000"/>
                <w:sz w:val="18"/>
                <w:szCs w:val="18"/>
                <w:lang w:eastAsia="lv-LV"/>
              </w:rPr>
              <w:t>Līdzdalības līmenis, kopā (vecuma grupa 20-64)</w:t>
            </w:r>
          </w:p>
        </w:tc>
        <w:tc>
          <w:tcPr>
            <w:tcW w:w="593" w:type="dxa"/>
            <w:shd w:val="clear" w:color="auto" w:fill="DEEAF6"/>
            <w:noWrap/>
            <w:vAlign w:val="center"/>
            <w:hideMark/>
          </w:tcPr>
          <w:p w14:paraId="0154B9D9" w14:textId="77777777" w:rsidR="000F4627" w:rsidRPr="00010616" w:rsidRDefault="000F4627" w:rsidP="000F4627">
            <w:pPr>
              <w:tabs>
                <w:tab w:val="decimal" w:pos="330"/>
              </w:tabs>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82,9</w:t>
            </w:r>
          </w:p>
        </w:tc>
        <w:tc>
          <w:tcPr>
            <w:tcW w:w="696" w:type="dxa"/>
            <w:shd w:val="clear" w:color="auto" w:fill="DEEAF6"/>
            <w:noWrap/>
            <w:vAlign w:val="center"/>
            <w:hideMark/>
          </w:tcPr>
          <w:p w14:paraId="2A6A62F8" w14:textId="77777777" w:rsidR="000F4627" w:rsidRPr="00010616" w:rsidRDefault="000F4627" w:rsidP="000F4627">
            <w:pPr>
              <w:tabs>
                <w:tab w:val="decimal" w:pos="330"/>
              </w:tabs>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82,0</w:t>
            </w:r>
          </w:p>
        </w:tc>
        <w:tc>
          <w:tcPr>
            <w:tcW w:w="696" w:type="dxa"/>
            <w:shd w:val="clear" w:color="auto" w:fill="DEEAF6"/>
            <w:noWrap/>
            <w:vAlign w:val="center"/>
            <w:hideMark/>
          </w:tcPr>
          <w:p w14:paraId="4E639338" w14:textId="77777777" w:rsidR="000F4627" w:rsidRPr="00010616" w:rsidRDefault="000F4627" w:rsidP="000F4627">
            <w:pPr>
              <w:tabs>
                <w:tab w:val="decimal" w:pos="330"/>
              </w:tabs>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82,0</w:t>
            </w:r>
          </w:p>
        </w:tc>
        <w:tc>
          <w:tcPr>
            <w:tcW w:w="708" w:type="dxa"/>
            <w:shd w:val="clear" w:color="auto" w:fill="DEEAF6"/>
            <w:noWrap/>
            <w:vAlign w:val="center"/>
            <w:hideMark/>
          </w:tcPr>
          <w:p w14:paraId="5D13A97D" w14:textId="77777777" w:rsidR="000F4627" w:rsidRPr="00010616" w:rsidRDefault="000F4627" w:rsidP="000F4627">
            <w:pPr>
              <w:tabs>
                <w:tab w:val="decimal" w:pos="330"/>
              </w:tabs>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82,2</w:t>
            </w:r>
          </w:p>
        </w:tc>
        <w:tc>
          <w:tcPr>
            <w:tcW w:w="722" w:type="dxa"/>
            <w:shd w:val="clear" w:color="auto" w:fill="DEEAF6"/>
            <w:noWrap/>
            <w:vAlign w:val="center"/>
            <w:hideMark/>
          </w:tcPr>
          <w:p w14:paraId="565A1659" w14:textId="77777777" w:rsidR="000F4627" w:rsidRPr="00010616" w:rsidRDefault="000F4627" w:rsidP="000F4627">
            <w:pPr>
              <w:tabs>
                <w:tab w:val="decimal" w:pos="330"/>
              </w:tabs>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83,6</w:t>
            </w:r>
          </w:p>
        </w:tc>
        <w:tc>
          <w:tcPr>
            <w:tcW w:w="696" w:type="dxa"/>
            <w:shd w:val="clear" w:color="auto" w:fill="DEEAF6"/>
            <w:noWrap/>
            <w:vAlign w:val="center"/>
            <w:hideMark/>
          </w:tcPr>
          <w:p w14:paraId="59182A6C" w14:textId="77777777" w:rsidR="000F4627" w:rsidRPr="00010616" w:rsidRDefault="000F4627" w:rsidP="000F4627">
            <w:pPr>
              <w:tabs>
                <w:tab w:val="decimal" w:pos="330"/>
              </w:tabs>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83,0</w:t>
            </w:r>
          </w:p>
        </w:tc>
      </w:tr>
      <w:tr w:rsidR="000F4627" w:rsidRPr="00010616" w14:paraId="78EDE7C1" w14:textId="77777777" w:rsidTr="000F462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529" w:type="dxa"/>
            <w:hideMark/>
          </w:tcPr>
          <w:p w14:paraId="68FA9AE3" w14:textId="77777777" w:rsidR="000F4627" w:rsidRPr="00010616" w:rsidRDefault="000F4627" w:rsidP="000F4627">
            <w:pPr>
              <w:ind w:firstLine="0"/>
              <w:jc w:val="left"/>
              <w:rPr>
                <w:rFonts w:eastAsia="Times New Roman" w:cs="Times New Roman"/>
                <w:b w:val="0"/>
                <w:bCs w:val="0"/>
                <w:color w:val="000000"/>
                <w:sz w:val="18"/>
                <w:szCs w:val="18"/>
                <w:lang w:eastAsia="lv-LV"/>
              </w:rPr>
            </w:pPr>
            <w:r w:rsidRPr="00010616">
              <w:rPr>
                <w:rFonts w:eastAsia="Times New Roman" w:cs="Times New Roman"/>
                <w:b w:val="0"/>
                <w:bCs w:val="0"/>
                <w:color w:val="000000"/>
                <w:sz w:val="18"/>
                <w:szCs w:val="18"/>
                <w:lang w:eastAsia="lv-LV"/>
              </w:rPr>
              <w:t>Bezdarba līmenis (vecuma grupa 20-64)</w:t>
            </w:r>
          </w:p>
        </w:tc>
        <w:tc>
          <w:tcPr>
            <w:tcW w:w="593" w:type="dxa"/>
            <w:noWrap/>
            <w:vAlign w:val="center"/>
            <w:hideMark/>
          </w:tcPr>
          <w:p w14:paraId="7114D852" w14:textId="77777777" w:rsidR="000F4627" w:rsidRPr="00010616" w:rsidRDefault="000F4627" w:rsidP="000F4627">
            <w:pPr>
              <w:tabs>
                <w:tab w:val="decimal" w:pos="330"/>
              </w:tabs>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6,4</w:t>
            </w:r>
          </w:p>
        </w:tc>
        <w:tc>
          <w:tcPr>
            <w:tcW w:w="696" w:type="dxa"/>
            <w:noWrap/>
            <w:vAlign w:val="center"/>
            <w:hideMark/>
          </w:tcPr>
          <w:p w14:paraId="47BBA42B" w14:textId="77777777" w:rsidR="000F4627" w:rsidRPr="00010616" w:rsidRDefault="000F4627" w:rsidP="000F4627">
            <w:pPr>
              <w:tabs>
                <w:tab w:val="decimal" w:pos="330"/>
              </w:tabs>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8,9</w:t>
            </w:r>
          </w:p>
        </w:tc>
        <w:tc>
          <w:tcPr>
            <w:tcW w:w="696" w:type="dxa"/>
            <w:noWrap/>
            <w:vAlign w:val="center"/>
            <w:hideMark/>
          </w:tcPr>
          <w:p w14:paraId="0495F27F" w14:textId="77777777" w:rsidR="000F4627" w:rsidRPr="00010616" w:rsidRDefault="000F4627" w:rsidP="000F4627">
            <w:pPr>
              <w:tabs>
                <w:tab w:val="decimal" w:pos="330"/>
              </w:tabs>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7,9</w:t>
            </w:r>
          </w:p>
        </w:tc>
        <w:tc>
          <w:tcPr>
            <w:tcW w:w="708" w:type="dxa"/>
            <w:noWrap/>
            <w:vAlign w:val="center"/>
            <w:hideMark/>
          </w:tcPr>
          <w:p w14:paraId="0784A2B2" w14:textId="77777777" w:rsidR="000F4627" w:rsidRPr="00010616" w:rsidRDefault="000F4627" w:rsidP="000F4627">
            <w:pPr>
              <w:tabs>
                <w:tab w:val="decimal" w:pos="330"/>
              </w:tabs>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6,9</w:t>
            </w:r>
          </w:p>
        </w:tc>
        <w:tc>
          <w:tcPr>
            <w:tcW w:w="722" w:type="dxa"/>
            <w:noWrap/>
            <w:vAlign w:val="center"/>
            <w:hideMark/>
          </w:tcPr>
          <w:p w14:paraId="06622EC1" w14:textId="77777777" w:rsidR="000F4627" w:rsidRPr="00010616" w:rsidRDefault="000F4627" w:rsidP="000F4627">
            <w:pPr>
              <w:tabs>
                <w:tab w:val="decimal" w:pos="330"/>
              </w:tabs>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6,8</w:t>
            </w:r>
          </w:p>
        </w:tc>
        <w:tc>
          <w:tcPr>
            <w:tcW w:w="696" w:type="dxa"/>
            <w:noWrap/>
            <w:vAlign w:val="center"/>
            <w:hideMark/>
          </w:tcPr>
          <w:p w14:paraId="7FA85C67" w14:textId="77777777" w:rsidR="000F4627" w:rsidRPr="00010616" w:rsidRDefault="000F4627" w:rsidP="000F4627">
            <w:pPr>
              <w:tabs>
                <w:tab w:val="decimal" w:pos="330"/>
              </w:tabs>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6,8</w:t>
            </w:r>
          </w:p>
        </w:tc>
      </w:tr>
      <w:tr w:rsidR="000F4627" w:rsidRPr="00010616" w14:paraId="3795E02E" w14:textId="77777777" w:rsidTr="00991B5E">
        <w:trPr>
          <w:trHeight w:val="245"/>
        </w:trPr>
        <w:tc>
          <w:tcPr>
            <w:cnfStyle w:val="001000000000" w:firstRow="0" w:lastRow="0" w:firstColumn="1" w:lastColumn="0" w:oddVBand="0" w:evenVBand="0" w:oddHBand="0" w:evenHBand="0" w:firstRowFirstColumn="0" w:firstRowLastColumn="0" w:lastRowFirstColumn="0" w:lastRowLastColumn="0"/>
            <w:tcW w:w="5529" w:type="dxa"/>
            <w:shd w:val="clear" w:color="auto" w:fill="DEEAF6"/>
            <w:hideMark/>
          </w:tcPr>
          <w:p w14:paraId="59E0DF8E" w14:textId="77777777" w:rsidR="000F4627" w:rsidRPr="00010616" w:rsidRDefault="000F4627" w:rsidP="000F4627">
            <w:pPr>
              <w:ind w:firstLine="0"/>
              <w:jc w:val="left"/>
              <w:rPr>
                <w:rFonts w:eastAsia="Times New Roman" w:cs="Times New Roman"/>
                <w:b w:val="0"/>
                <w:bCs w:val="0"/>
                <w:color w:val="000000"/>
                <w:sz w:val="18"/>
                <w:szCs w:val="18"/>
                <w:lang w:eastAsia="lv-LV"/>
              </w:rPr>
            </w:pPr>
            <w:r w:rsidRPr="00010616">
              <w:rPr>
                <w:rFonts w:eastAsia="Times New Roman" w:cs="Times New Roman"/>
                <w:b w:val="0"/>
                <w:bCs w:val="0"/>
                <w:color w:val="000000"/>
                <w:sz w:val="18"/>
                <w:szCs w:val="18"/>
                <w:lang w:eastAsia="lv-LV"/>
              </w:rPr>
              <w:t>Iedzīvotāji (vecuma grupa 65+), % no kopējā iedzīvotāju skaita</w:t>
            </w:r>
          </w:p>
        </w:tc>
        <w:tc>
          <w:tcPr>
            <w:tcW w:w="593" w:type="dxa"/>
            <w:shd w:val="clear" w:color="auto" w:fill="DEEAF6"/>
            <w:noWrap/>
            <w:vAlign w:val="center"/>
            <w:hideMark/>
          </w:tcPr>
          <w:p w14:paraId="22ED41F3" w14:textId="77777777" w:rsidR="000F4627" w:rsidRPr="00010616" w:rsidRDefault="000F4627" w:rsidP="000F4627">
            <w:pPr>
              <w:tabs>
                <w:tab w:val="decimal" w:pos="330"/>
              </w:tabs>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20,7</w:t>
            </w:r>
          </w:p>
        </w:tc>
        <w:tc>
          <w:tcPr>
            <w:tcW w:w="696" w:type="dxa"/>
            <w:shd w:val="clear" w:color="auto" w:fill="DEEAF6"/>
            <w:noWrap/>
            <w:vAlign w:val="center"/>
            <w:hideMark/>
          </w:tcPr>
          <w:p w14:paraId="0307C852" w14:textId="77777777" w:rsidR="000F4627" w:rsidRPr="00010616" w:rsidRDefault="000F4627" w:rsidP="000F4627">
            <w:pPr>
              <w:tabs>
                <w:tab w:val="decimal" w:pos="330"/>
              </w:tabs>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13,8</w:t>
            </w:r>
          </w:p>
        </w:tc>
        <w:tc>
          <w:tcPr>
            <w:tcW w:w="696" w:type="dxa"/>
            <w:shd w:val="clear" w:color="auto" w:fill="DEEAF6"/>
            <w:noWrap/>
            <w:vAlign w:val="center"/>
            <w:hideMark/>
          </w:tcPr>
          <w:p w14:paraId="5C9C9860" w14:textId="77777777" w:rsidR="000F4627" w:rsidRPr="00010616" w:rsidRDefault="000F4627" w:rsidP="000F4627">
            <w:pPr>
              <w:tabs>
                <w:tab w:val="decimal" w:pos="330"/>
              </w:tabs>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13,7</w:t>
            </w:r>
          </w:p>
        </w:tc>
        <w:tc>
          <w:tcPr>
            <w:tcW w:w="708" w:type="dxa"/>
            <w:shd w:val="clear" w:color="auto" w:fill="DEEAF6"/>
            <w:noWrap/>
            <w:vAlign w:val="center"/>
            <w:hideMark/>
          </w:tcPr>
          <w:p w14:paraId="7E8E899E" w14:textId="77777777" w:rsidR="000F4627" w:rsidRPr="00010616" w:rsidRDefault="000F4627" w:rsidP="000F4627">
            <w:pPr>
              <w:tabs>
                <w:tab w:val="decimal" w:pos="330"/>
              </w:tabs>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13,7</w:t>
            </w:r>
          </w:p>
        </w:tc>
        <w:tc>
          <w:tcPr>
            <w:tcW w:w="722" w:type="dxa"/>
            <w:shd w:val="clear" w:color="auto" w:fill="DEEAF6"/>
            <w:noWrap/>
            <w:vAlign w:val="center"/>
            <w:hideMark/>
          </w:tcPr>
          <w:p w14:paraId="3D427513" w14:textId="77777777" w:rsidR="000F4627" w:rsidRPr="00010616" w:rsidRDefault="000F4627" w:rsidP="000F4627">
            <w:pPr>
              <w:tabs>
                <w:tab w:val="decimal" w:pos="330"/>
              </w:tabs>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12,5</w:t>
            </w:r>
          </w:p>
        </w:tc>
        <w:tc>
          <w:tcPr>
            <w:tcW w:w="696" w:type="dxa"/>
            <w:shd w:val="clear" w:color="auto" w:fill="DEEAF6"/>
            <w:noWrap/>
            <w:vAlign w:val="center"/>
            <w:hideMark/>
          </w:tcPr>
          <w:p w14:paraId="39922B5A" w14:textId="77777777" w:rsidR="000F4627" w:rsidRPr="00010616" w:rsidRDefault="000F4627" w:rsidP="000F4627">
            <w:pPr>
              <w:tabs>
                <w:tab w:val="decimal" w:pos="330"/>
              </w:tabs>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sidRPr="00010616">
              <w:rPr>
                <w:rFonts w:eastAsia="Times New Roman" w:cs="Times New Roman"/>
                <w:color w:val="auto"/>
                <w:sz w:val="18"/>
                <w:szCs w:val="18"/>
              </w:rPr>
              <w:t>13,6</w:t>
            </w:r>
          </w:p>
        </w:tc>
      </w:tr>
    </w:tbl>
    <w:p w14:paraId="0BC61F4E" w14:textId="36FA0D9F" w:rsidR="000F4627" w:rsidRPr="00010616" w:rsidRDefault="000F4627" w:rsidP="000F4627">
      <w:pPr>
        <w:ind w:firstLine="0"/>
        <w:rPr>
          <w:rFonts w:eastAsia="Times New Roman" w:cs="Times New Roman"/>
          <w:b/>
          <w:bCs/>
          <w:color w:val="000000"/>
          <w:sz w:val="24"/>
          <w:szCs w:val="24"/>
          <w:lang w:eastAsia="lv-LV"/>
        </w:rPr>
      </w:pPr>
    </w:p>
    <w:p w14:paraId="2111FD98" w14:textId="18400E4F" w:rsidR="00B33505" w:rsidRPr="00BA0D91" w:rsidRDefault="00B33505" w:rsidP="005346E4">
      <w:pPr>
        <w:spacing w:after="120"/>
        <w:ind w:firstLine="0"/>
        <w:rPr>
          <w:lang w:eastAsia="lv-LV"/>
        </w:rPr>
      </w:pPr>
      <w:r w:rsidRPr="00BA0D91">
        <w:rPr>
          <w:b/>
          <w:bCs/>
          <w:sz w:val="24"/>
          <w:szCs w:val="20"/>
          <w:lang w:eastAsia="lv-LV"/>
        </w:rPr>
        <w:t>7</w:t>
      </w:r>
      <w:r w:rsidR="00ED46FF" w:rsidRPr="00BA0D91">
        <w:rPr>
          <w:b/>
          <w:bCs/>
          <w:sz w:val="24"/>
          <w:szCs w:val="20"/>
          <w:lang w:eastAsia="lv-LV"/>
        </w:rPr>
        <w:t>.</w:t>
      </w:r>
      <w:r w:rsidRPr="00BA0D91">
        <w:rPr>
          <w:b/>
          <w:bCs/>
          <w:sz w:val="24"/>
          <w:szCs w:val="20"/>
          <w:lang w:eastAsia="lv-LV"/>
        </w:rPr>
        <w:t>a. Netiešās saistības</w:t>
      </w:r>
    </w:p>
    <w:tbl>
      <w:tblPr>
        <w:tblW w:w="0" w:type="auto"/>
        <w:tblInd w:w="-45"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000" w:firstRow="0" w:lastRow="0" w:firstColumn="0" w:lastColumn="0" w:noHBand="0" w:noVBand="0"/>
      </w:tblPr>
      <w:tblGrid>
        <w:gridCol w:w="3583"/>
        <w:gridCol w:w="1123"/>
      </w:tblGrid>
      <w:tr w:rsidR="00B33505" w:rsidRPr="00BA0D91" w14:paraId="490E9875" w14:textId="77777777" w:rsidTr="007C75DF">
        <w:trPr>
          <w:trHeight w:val="295"/>
        </w:trPr>
        <w:tc>
          <w:tcPr>
            <w:tcW w:w="3583" w:type="dxa"/>
            <w:shd w:val="clear" w:color="auto" w:fill="DEEAF6" w:themeFill="accent1" w:themeFillTint="33"/>
          </w:tcPr>
          <w:p w14:paraId="30BE97D6" w14:textId="77777777" w:rsidR="00B33505" w:rsidRPr="00BA0D91" w:rsidRDefault="00B33505" w:rsidP="00B33505">
            <w:pPr>
              <w:autoSpaceDE w:val="0"/>
              <w:autoSpaceDN w:val="0"/>
              <w:adjustRightInd w:val="0"/>
              <w:ind w:firstLine="0"/>
              <w:jc w:val="left"/>
              <w:rPr>
                <w:rFonts w:eastAsiaTheme="minorHAnsi" w:cs="Times New Roman"/>
                <w:color w:val="000000"/>
                <w:sz w:val="18"/>
                <w:szCs w:val="18"/>
              </w:rPr>
            </w:pPr>
            <w:r w:rsidRPr="00BA0D91">
              <w:rPr>
                <w:rFonts w:eastAsiaTheme="minorHAnsi" w:cs="Times New Roman"/>
                <w:color w:val="000000"/>
                <w:sz w:val="18"/>
                <w:szCs w:val="18"/>
              </w:rPr>
              <w:t>% no IKP</w:t>
            </w:r>
          </w:p>
        </w:tc>
        <w:tc>
          <w:tcPr>
            <w:tcW w:w="1123" w:type="dxa"/>
            <w:shd w:val="clear" w:color="auto" w:fill="DEEAF6" w:themeFill="accent1" w:themeFillTint="33"/>
          </w:tcPr>
          <w:p w14:paraId="1AD3C3E3" w14:textId="73DFA33B" w:rsidR="00B33505" w:rsidRPr="00BA0D91" w:rsidRDefault="00B33505" w:rsidP="00B33505">
            <w:pPr>
              <w:autoSpaceDE w:val="0"/>
              <w:autoSpaceDN w:val="0"/>
              <w:adjustRightInd w:val="0"/>
              <w:ind w:firstLine="0"/>
              <w:jc w:val="center"/>
              <w:rPr>
                <w:rFonts w:eastAsiaTheme="minorHAnsi" w:cs="Times New Roman"/>
                <w:b/>
                <w:bCs/>
                <w:color w:val="000000"/>
                <w:sz w:val="18"/>
                <w:szCs w:val="18"/>
              </w:rPr>
            </w:pPr>
            <w:r w:rsidRPr="00BA0D91">
              <w:rPr>
                <w:rFonts w:eastAsiaTheme="minorHAnsi" w:cs="Times New Roman"/>
                <w:b/>
                <w:bCs/>
                <w:color w:val="000000"/>
                <w:sz w:val="18"/>
                <w:szCs w:val="18"/>
              </w:rPr>
              <w:t>202</w:t>
            </w:r>
            <w:r w:rsidR="00BA0D91">
              <w:rPr>
                <w:rFonts w:eastAsiaTheme="minorHAnsi" w:cs="Times New Roman"/>
                <w:b/>
                <w:bCs/>
                <w:color w:val="000000"/>
                <w:sz w:val="18"/>
                <w:szCs w:val="18"/>
              </w:rPr>
              <w:t>2</w:t>
            </w:r>
          </w:p>
        </w:tc>
      </w:tr>
      <w:tr w:rsidR="00B33505" w:rsidRPr="00085AFE" w14:paraId="029AED9D" w14:textId="77777777" w:rsidTr="007C75DF">
        <w:trPr>
          <w:trHeight w:val="314"/>
        </w:trPr>
        <w:tc>
          <w:tcPr>
            <w:tcW w:w="3583" w:type="dxa"/>
          </w:tcPr>
          <w:p w14:paraId="5924D050" w14:textId="77777777" w:rsidR="00B33505" w:rsidRPr="00BA0D91" w:rsidRDefault="00B33505" w:rsidP="00B33505">
            <w:pPr>
              <w:autoSpaceDE w:val="0"/>
              <w:autoSpaceDN w:val="0"/>
              <w:adjustRightInd w:val="0"/>
              <w:ind w:firstLine="0"/>
              <w:jc w:val="left"/>
              <w:rPr>
                <w:rFonts w:eastAsiaTheme="minorHAnsi" w:cs="Times New Roman"/>
                <w:b/>
                <w:bCs/>
                <w:color w:val="000000"/>
                <w:sz w:val="18"/>
                <w:szCs w:val="18"/>
              </w:rPr>
            </w:pPr>
            <w:r w:rsidRPr="00BA0D91">
              <w:rPr>
                <w:rFonts w:eastAsiaTheme="minorHAnsi" w:cs="Times New Roman"/>
                <w:b/>
                <w:bCs/>
                <w:color w:val="000000"/>
                <w:sz w:val="18"/>
                <w:szCs w:val="18"/>
              </w:rPr>
              <w:t>Valsts un pašvaldību garantijas</w:t>
            </w:r>
          </w:p>
        </w:tc>
        <w:tc>
          <w:tcPr>
            <w:tcW w:w="1123" w:type="dxa"/>
          </w:tcPr>
          <w:p w14:paraId="745882B2" w14:textId="6A136BAC" w:rsidR="00B33505" w:rsidRPr="00BA0D91" w:rsidRDefault="00BA0D91" w:rsidP="00B33505">
            <w:pPr>
              <w:autoSpaceDE w:val="0"/>
              <w:autoSpaceDN w:val="0"/>
              <w:adjustRightInd w:val="0"/>
              <w:ind w:firstLine="0"/>
              <w:jc w:val="center"/>
              <w:rPr>
                <w:rFonts w:eastAsiaTheme="minorHAnsi" w:cs="Times New Roman"/>
                <w:b/>
                <w:bCs/>
                <w:color w:val="000000"/>
                <w:sz w:val="18"/>
                <w:szCs w:val="18"/>
              </w:rPr>
            </w:pPr>
            <w:r w:rsidRPr="00BA0D91">
              <w:rPr>
                <w:rFonts w:eastAsiaTheme="minorHAnsi" w:cs="Times New Roman"/>
                <w:b/>
                <w:bCs/>
                <w:color w:val="000000"/>
                <w:sz w:val="18"/>
                <w:szCs w:val="18"/>
              </w:rPr>
              <w:t>1,9</w:t>
            </w:r>
          </w:p>
        </w:tc>
      </w:tr>
    </w:tbl>
    <w:p w14:paraId="10B897D2" w14:textId="77777777" w:rsidR="008C58EA" w:rsidRPr="00085AFE" w:rsidRDefault="008C58EA" w:rsidP="00BF4753">
      <w:pPr>
        <w:rPr>
          <w:highlight w:val="lightGray"/>
          <w:lang w:eastAsia="lv-LV"/>
        </w:rPr>
      </w:pPr>
    </w:p>
    <w:p w14:paraId="7EC73CCC" w14:textId="771BF237" w:rsidR="008A3BF8" w:rsidRDefault="008A3BF8" w:rsidP="008A3BF8">
      <w:pPr>
        <w:pStyle w:val="T"/>
        <w:ind w:left="0" w:firstLine="0"/>
        <w:rPr>
          <w:rFonts w:ascii="Times New Roman" w:eastAsiaTheme="minorHAnsi" w:hAnsi="Times New Roman"/>
          <w:color w:val="000000"/>
        </w:rPr>
      </w:pPr>
      <w:bookmarkStart w:id="78" w:name="_Hlk130807805"/>
      <w:r>
        <w:rPr>
          <w:rFonts w:ascii="Times New Roman" w:hAnsi="Times New Roman"/>
          <w:color w:val="000000"/>
        </w:rPr>
        <w:t>8.tabula. Ārējās vides pamata pieņēmumi</w:t>
      </w:r>
      <w:r w:rsidR="00001558">
        <w:rPr>
          <w:rFonts w:ascii="Times New Roman" w:hAnsi="Times New Roman"/>
          <w:color w:val="000000"/>
          <w:sz w:val="20"/>
          <w:vertAlign w:val="superscript"/>
        </w:rPr>
        <w:t>*</w:t>
      </w:r>
    </w:p>
    <w:tbl>
      <w:tblPr>
        <w:tblW w:w="8355" w:type="dxa"/>
        <w:tblLayout w:type="fixed"/>
        <w:tblCellMar>
          <w:left w:w="0" w:type="dxa"/>
          <w:right w:w="0" w:type="dxa"/>
        </w:tblCellMar>
        <w:tblLook w:val="04A0" w:firstRow="1" w:lastRow="0" w:firstColumn="1" w:lastColumn="0" w:noHBand="0" w:noVBand="1"/>
      </w:tblPr>
      <w:tblGrid>
        <w:gridCol w:w="4668"/>
        <w:gridCol w:w="737"/>
        <w:gridCol w:w="737"/>
        <w:gridCol w:w="738"/>
        <w:gridCol w:w="737"/>
        <w:gridCol w:w="738"/>
      </w:tblGrid>
      <w:tr w:rsidR="008A3BF8" w14:paraId="6B270002" w14:textId="77777777" w:rsidTr="00AE2C3A">
        <w:trPr>
          <w:trHeight w:val="315"/>
          <w:tblHeader/>
        </w:trPr>
        <w:tc>
          <w:tcPr>
            <w:tcW w:w="4668" w:type="dxa"/>
            <w:tcBorders>
              <w:top w:val="single" w:sz="8" w:space="0" w:color="9CC2E5"/>
              <w:left w:val="single" w:sz="8" w:space="0" w:color="9CC2E5"/>
              <w:bottom w:val="single" w:sz="8" w:space="0" w:color="9CC2E5"/>
              <w:right w:val="single" w:sz="8" w:space="0" w:color="9CC2E5"/>
            </w:tcBorders>
            <w:tcMar>
              <w:top w:w="0" w:type="dxa"/>
              <w:left w:w="108" w:type="dxa"/>
              <w:bottom w:w="0" w:type="dxa"/>
              <w:right w:w="108" w:type="dxa"/>
            </w:tcMar>
            <w:vAlign w:val="center"/>
            <w:hideMark/>
          </w:tcPr>
          <w:p w14:paraId="3C745C70" w14:textId="77777777" w:rsidR="008A3BF8" w:rsidRDefault="008A3BF8" w:rsidP="00A974F3">
            <w:pPr>
              <w:rPr>
                <w:rFonts w:cs="Times New Roman"/>
                <w:b/>
                <w:bCs/>
                <w:sz w:val="20"/>
                <w:szCs w:val="20"/>
                <w:lang w:eastAsia="lv-LV"/>
              </w:rPr>
            </w:pPr>
            <w:r>
              <w:rPr>
                <w:rFonts w:cs="Times New Roman"/>
                <w:b/>
                <w:bCs/>
                <w:sz w:val="20"/>
                <w:szCs w:val="20"/>
                <w:lang w:eastAsia="lv-LV"/>
              </w:rPr>
              <w:t> </w:t>
            </w:r>
          </w:p>
        </w:tc>
        <w:tc>
          <w:tcPr>
            <w:tcW w:w="737" w:type="dxa"/>
            <w:tcBorders>
              <w:top w:val="single" w:sz="8" w:space="0" w:color="9CC2E5"/>
              <w:left w:val="nil"/>
              <w:bottom w:val="single" w:sz="12" w:space="0" w:color="9CC2E5"/>
              <w:right w:val="single" w:sz="8" w:space="0" w:color="9CC2E5"/>
            </w:tcBorders>
            <w:tcMar>
              <w:top w:w="0" w:type="dxa"/>
              <w:left w:w="108" w:type="dxa"/>
              <w:bottom w:w="0" w:type="dxa"/>
              <w:right w:w="108" w:type="dxa"/>
            </w:tcMar>
            <w:vAlign w:val="center"/>
            <w:hideMark/>
          </w:tcPr>
          <w:p w14:paraId="570B181E" w14:textId="77777777" w:rsidR="008A3BF8" w:rsidRDefault="008A3BF8" w:rsidP="00A974F3">
            <w:pPr>
              <w:ind w:firstLine="0"/>
              <w:jc w:val="center"/>
              <w:rPr>
                <w:rFonts w:cs="Times New Roman"/>
                <w:b/>
                <w:bCs/>
                <w:sz w:val="20"/>
                <w:szCs w:val="20"/>
                <w:lang w:eastAsia="lv-LV"/>
              </w:rPr>
            </w:pPr>
            <w:r>
              <w:rPr>
                <w:b/>
                <w:bCs/>
                <w:sz w:val="18"/>
                <w:szCs w:val="18"/>
              </w:rPr>
              <w:t>2022</w:t>
            </w:r>
          </w:p>
        </w:tc>
        <w:tc>
          <w:tcPr>
            <w:tcW w:w="737" w:type="dxa"/>
            <w:tcBorders>
              <w:top w:val="single" w:sz="8" w:space="0" w:color="9CC2E5"/>
              <w:left w:val="nil"/>
              <w:bottom w:val="single" w:sz="12" w:space="0" w:color="9CC2E5"/>
              <w:right w:val="single" w:sz="8" w:space="0" w:color="9CC2E5"/>
            </w:tcBorders>
            <w:tcMar>
              <w:top w:w="0" w:type="dxa"/>
              <w:left w:w="108" w:type="dxa"/>
              <w:bottom w:w="0" w:type="dxa"/>
              <w:right w:w="108" w:type="dxa"/>
            </w:tcMar>
            <w:vAlign w:val="center"/>
            <w:hideMark/>
          </w:tcPr>
          <w:p w14:paraId="5FA91229" w14:textId="77777777" w:rsidR="008A3BF8" w:rsidRDefault="008A3BF8" w:rsidP="00A974F3">
            <w:pPr>
              <w:ind w:firstLine="0"/>
              <w:jc w:val="center"/>
              <w:rPr>
                <w:rFonts w:cs="Times New Roman"/>
                <w:b/>
                <w:bCs/>
                <w:sz w:val="20"/>
                <w:szCs w:val="20"/>
                <w:lang w:eastAsia="lv-LV"/>
              </w:rPr>
            </w:pPr>
            <w:r>
              <w:rPr>
                <w:b/>
                <w:bCs/>
                <w:sz w:val="18"/>
                <w:szCs w:val="18"/>
              </w:rPr>
              <w:t>2023</w:t>
            </w:r>
          </w:p>
        </w:tc>
        <w:tc>
          <w:tcPr>
            <w:tcW w:w="738" w:type="dxa"/>
            <w:tcBorders>
              <w:top w:val="single" w:sz="8" w:space="0" w:color="9CC2E5"/>
              <w:left w:val="nil"/>
              <w:bottom w:val="single" w:sz="12" w:space="0" w:color="9CC2E5"/>
              <w:right w:val="single" w:sz="8" w:space="0" w:color="9CC2E5"/>
            </w:tcBorders>
            <w:tcMar>
              <w:top w:w="0" w:type="dxa"/>
              <w:left w:w="108" w:type="dxa"/>
              <w:bottom w:w="0" w:type="dxa"/>
              <w:right w:w="108" w:type="dxa"/>
            </w:tcMar>
            <w:vAlign w:val="center"/>
            <w:hideMark/>
          </w:tcPr>
          <w:p w14:paraId="742A91DF" w14:textId="77777777" w:rsidR="008A3BF8" w:rsidRDefault="008A3BF8" w:rsidP="00A974F3">
            <w:pPr>
              <w:ind w:firstLine="0"/>
              <w:jc w:val="center"/>
              <w:rPr>
                <w:rFonts w:cs="Times New Roman"/>
                <w:b/>
                <w:bCs/>
                <w:sz w:val="20"/>
                <w:szCs w:val="20"/>
                <w:lang w:eastAsia="lv-LV"/>
              </w:rPr>
            </w:pPr>
            <w:r>
              <w:rPr>
                <w:b/>
                <w:bCs/>
                <w:sz w:val="18"/>
                <w:szCs w:val="18"/>
              </w:rPr>
              <w:t>2024</w:t>
            </w:r>
          </w:p>
        </w:tc>
        <w:tc>
          <w:tcPr>
            <w:tcW w:w="737" w:type="dxa"/>
            <w:tcBorders>
              <w:top w:val="single" w:sz="8" w:space="0" w:color="9CC2E5"/>
              <w:left w:val="nil"/>
              <w:bottom w:val="single" w:sz="12" w:space="0" w:color="9CC2E5"/>
              <w:right w:val="single" w:sz="8" w:space="0" w:color="9CC2E5"/>
            </w:tcBorders>
            <w:tcMar>
              <w:top w:w="0" w:type="dxa"/>
              <w:left w:w="108" w:type="dxa"/>
              <w:bottom w:w="0" w:type="dxa"/>
              <w:right w:w="108" w:type="dxa"/>
            </w:tcMar>
            <w:vAlign w:val="center"/>
            <w:hideMark/>
          </w:tcPr>
          <w:p w14:paraId="202B1631" w14:textId="77777777" w:rsidR="008A3BF8" w:rsidRDefault="008A3BF8" w:rsidP="00A974F3">
            <w:pPr>
              <w:ind w:firstLine="0"/>
              <w:jc w:val="center"/>
              <w:rPr>
                <w:rFonts w:cs="Times New Roman"/>
                <w:b/>
                <w:bCs/>
                <w:sz w:val="20"/>
                <w:szCs w:val="20"/>
                <w:lang w:eastAsia="lv-LV"/>
              </w:rPr>
            </w:pPr>
            <w:r>
              <w:rPr>
                <w:b/>
                <w:bCs/>
                <w:sz w:val="18"/>
                <w:szCs w:val="18"/>
              </w:rPr>
              <w:t>2025</w:t>
            </w:r>
          </w:p>
        </w:tc>
        <w:tc>
          <w:tcPr>
            <w:tcW w:w="738" w:type="dxa"/>
            <w:tcBorders>
              <w:top w:val="single" w:sz="8" w:space="0" w:color="9CC2E5"/>
              <w:left w:val="nil"/>
              <w:bottom w:val="single" w:sz="12" w:space="0" w:color="9CC2E5"/>
              <w:right w:val="single" w:sz="8" w:space="0" w:color="9CC2E5"/>
            </w:tcBorders>
            <w:tcMar>
              <w:top w:w="0" w:type="dxa"/>
              <w:left w:w="108" w:type="dxa"/>
              <w:bottom w:w="0" w:type="dxa"/>
              <w:right w:w="108" w:type="dxa"/>
            </w:tcMar>
            <w:vAlign w:val="center"/>
            <w:hideMark/>
          </w:tcPr>
          <w:p w14:paraId="2FFF2B25" w14:textId="77777777" w:rsidR="008A3BF8" w:rsidRDefault="008A3BF8" w:rsidP="00A974F3">
            <w:pPr>
              <w:ind w:firstLine="0"/>
              <w:jc w:val="center"/>
              <w:rPr>
                <w:rFonts w:cs="Times New Roman"/>
                <w:b/>
                <w:bCs/>
                <w:sz w:val="20"/>
                <w:szCs w:val="20"/>
                <w:lang w:eastAsia="lv-LV"/>
              </w:rPr>
            </w:pPr>
            <w:r>
              <w:rPr>
                <w:b/>
                <w:bCs/>
                <w:sz w:val="18"/>
                <w:szCs w:val="18"/>
              </w:rPr>
              <w:t>2026</w:t>
            </w:r>
          </w:p>
        </w:tc>
      </w:tr>
      <w:tr w:rsidR="008A3BF8" w:rsidRPr="001407D8" w14:paraId="6C5E8199" w14:textId="77777777" w:rsidTr="00A974F3">
        <w:trPr>
          <w:trHeight w:val="315"/>
        </w:trPr>
        <w:tc>
          <w:tcPr>
            <w:tcW w:w="4668" w:type="dxa"/>
            <w:tcBorders>
              <w:top w:val="nil"/>
              <w:left w:val="single" w:sz="8" w:space="0" w:color="9CC2E5"/>
              <w:bottom w:val="single" w:sz="8" w:space="0" w:color="9CC2E5"/>
              <w:right w:val="single" w:sz="8" w:space="0" w:color="9CC2E5"/>
            </w:tcBorders>
            <w:shd w:val="clear" w:color="auto" w:fill="DEEAF6"/>
            <w:tcMar>
              <w:top w:w="0" w:type="dxa"/>
              <w:left w:w="108" w:type="dxa"/>
              <w:bottom w:w="0" w:type="dxa"/>
              <w:right w:w="108" w:type="dxa"/>
            </w:tcMar>
            <w:vAlign w:val="center"/>
            <w:hideMark/>
          </w:tcPr>
          <w:p w14:paraId="52383733" w14:textId="77777777" w:rsidR="008A3BF8" w:rsidRPr="001407D8" w:rsidRDefault="008A3BF8" w:rsidP="00A974F3">
            <w:pPr>
              <w:ind w:firstLine="0"/>
              <w:jc w:val="left"/>
              <w:rPr>
                <w:rFonts w:eastAsia="Times New Roman" w:cs="Times New Roman"/>
                <w:sz w:val="18"/>
                <w:szCs w:val="18"/>
                <w:lang w:eastAsia="lv-LV"/>
              </w:rPr>
            </w:pPr>
            <w:r w:rsidRPr="001407D8">
              <w:rPr>
                <w:rFonts w:eastAsia="Times New Roman" w:cs="Times New Roman"/>
                <w:sz w:val="18"/>
                <w:szCs w:val="18"/>
                <w:lang w:eastAsia="lv-LV"/>
              </w:rPr>
              <w:t xml:space="preserve">Īstermiņa procentu likme </w:t>
            </w:r>
            <w:proofErr w:type="spellStart"/>
            <w:r w:rsidRPr="00B77003">
              <w:rPr>
                <w:rFonts w:eastAsia="Times New Roman" w:cs="Times New Roman"/>
                <w:i/>
                <w:iCs/>
                <w:sz w:val="18"/>
                <w:szCs w:val="18"/>
                <w:lang w:eastAsia="lv-LV"/>
              </w:rPr>
              <w:t>euro</w:t>
            </w:r>
            <w:proofErr w:type="spellEnd"/>
            <w:r w:rsidRPr="001407D8">
              <w:rPr>
                <w:rFonts w:eastAsia="Times New Roman" w:cs="Times New Roman"/>
                <w:sz w:val="18"/>
                <w:szCs w:val="18"/>
                <w:lang w:eastAsia="lv-LV"/>
              </w:rPr>
              <w:t xml:space="preserve"> zonā (gada vidējā)</w:t>
            </w:r>
          </w:p>
        </w:tc>
        <w:tc>
          <w:tcPr>
            <w:tcW w:w="737" w:type="dxa"/>
            <w:tcBorders>
              <w:top w:val="nil"/>
              <w:left w:val="nil"/>
              <w:bottom w:val="single" w:sz="8" w:space="0" w:color="9CC2E5"/>
              <w:right w:val="single" w:sz="8" w:space="0" w:color="9CC2E5"/>
            </w:tcBorders>
            <w:shd w:val="clear" w:color="auto" w:fill="DEEAF6"/>
            <w:tcMar>
              <w:top w:w="0" w:type="dxa"/>
              <w:left w:w="108" w:type="dxa"/>
              <w:bottom w:w="0" w:type="dxa"/>
              <w:right w:w="108" w:type="dxa"/>
            </w:tcMar>
            <w:vAlign w:val="center"/>
            <w:hideMark/>
          </w:tcPr>
          <w:p w14:paraId="51AA7DB6" w14:textId="77777777" w:rsidR="008A3BF8" w:rsidRPr="001407D8" w:rsidRDefault="008A3BF8" w:rsidP="00A974F3">
            <w:pPr>
              <w:ind w:firstLine="0"/>
              <w:jc w:val="center"/>
              <w:rPr>
                <w:rFonts w:eastAsia="Times New Roman" w:cs="Times New Roman"/>
                <w:sz w:val="18"/>
                <w:szCs w:val="18"/>
                <w:lang w:eastAsia="lv-LV"/>
              </w:rPr>
            </w:pPr>
            <w:r w:rsidRPr="001407D8">
              <w:rPr>
                <w:rFonts w:eastAsia="Times New Roman" w:cs="Times New Roman"/>
                <w:sz w:val="18"/>
                <w:szCs w:val="18"/>
                <w:lang w:eastAsia="lv-LV"/>
              </w:rPr>
              <w:t>0,</w:t>
            </w:r>
            <w:r>
              <w:rPr>
                <w:rFonts w:eastAsia="Times New Roman" w:cs="Times New Roman"/>
                <w:sz w:val="18"/>
                <w:szCs w:val="18"/>
                <w:lang w:eastAsia="lv-LV"/>
              </w:rPr>
              <w:t>3</w:t>
            </w:r>
          </w:p>
        </w:tc>
        <w:tc>
          <w:tcPr>
            <w:tcW w:w="737" w:type="dxa"/>
            <w:tcBorders>
              <w:top w:val="nil"/>
              <w:left w:val="nil"/>
              <w:bottom w:val="single" w:sz="8" w:space="0" w:color="9CC2E5"/>
              <w:right w:val="single" w:sz="8" w:space="0" w:color="9CC2E5"/>
            </w:tcBorders>
            <w:shd w:val="clear" w:color="auto" w:fill="DEEAF6"/>
            <w:tcMar>
              <w:top w:w="0" w:type="dxa"/>
              <w:left w:w="108" w:type="dxa"/>
              <w:bottom w:w="0" w:type="dxa"/>
              <w:right w:w="108" w:type="dxa"/>
            </w:tcMar>
            <w:vAlign w:val="center"/>
            <w:hideMark/>
          </w:tcPr>
          <w:p w14:paraId="14A59553" w14:textId="77777777" w:rsidR="008A3BF8" w:rsidRPr="001407D8" w:rsidRDefault="008A3BF8" w:rsidP="00A974F3">
            <w:pPr>
              <w:ind w:firstLine="0"/>
              <w:jc w:val="center"/>
              <w:rPr>
                <w:rFonts w:eastAsia="Times New Roman" w:cs="Times New Roman"/>
                <w:sz w:val="18"/>
                <w:szCs w:val="18"/>
                <w:lang w:eastAsia="lv-LV"/>
              </w:rPr>
            </w:pPr>
            <w:r>
              <w:rPr>
                <w:rFonts w:eastAsia="Times New Roman" w:cs="Times New Roman"/>
                <w:sz w:val="18"/>
                <w:szCs w:val="18"/>
                <w:lang w:eastAsia="lv-LV"/>
              </w:rPr>
              <w:t>3,1</w:t>
            </w:r>
          </w:p>
        </w:tc>
        <w:tc>
          <w:tcPr>
            <w:tcW w:w="738" w:type="dxa"/>
            <w:tcBorders>
              <w:top w:val="nil"/>
              <w:left w:val="nil"/>
              <w:bottom w:val="single" w:sz="8" w:space="0" w:color="9CC2E5"/>
              <w:right w:val="single" w:sz="8" w:space="0" w:color="9CC2E5"/>
            </w:tcBorders>
            <w:shd w:val="clear" w:color="auto" w:fill="DEEAF6"/>
            <w:tcMar>
              <w:top w:w="0" w:type="dxa"/>
              <w:left w:w="108" w:type="dxa"/>
              <w:bottom w:w="0" w:type="dxa"/>
              <w:right w:w="108" w:type="dxa"/>
            </w:tcMar>
            <w:vAlign w:val="center"/>
            <w:hideMark/>
          </w:tcPr>
          <w:p w14:paraId="2F5E3B57" w14:textId="77777777" w:rsidR="008A3BF8" w:rsidRPr="001407D8" w:rsidRDefault="008A3BF8" w:rsidP="00A974F3">
            <w:pPr>
              <w:ind w:firstLine="0"/>
              <w:jc w:val="center"/>
              <w:rPr>
                <w:rFonts w:eastAsia="Times New Roman" w:cs="Times New Roman"/>
                <w:sz w:val="18"/>
                <w:szCs w:val="18"/>
                <w:lang w:eastAsia="lv-LV"/>
              </w:rPr>
            </w:pPr>
            <w:r>
              <w:rPr>
                <w:rFonts w:eastAsia="Times New Roman" w:cs="Times New Roman"/>
                <w:sz w:val="18"/>
                <w:szCs w:val="18"/>
                <w:lang w:eastAsia="lv-LV"/>
              </w:rPr>
              <w:t>2,8</w:t>
            </w:r>
          </w:p>
        </w:tc>
        <w:tc>
          <w:tcPr>
            <w:tcW w:w="737" w:type="dxa"/>
            <w:tcBorders>
              <w:top w:val="nil"/>
              <w:left w:val="nil"/>
              <w:bottom w:val="single" w:sz="8" w:space="0" w:color="9CC2E5"/>
              <w:right w:val="single" w:sz="8" w:space="0" w:color="9CC2E5"/>
            </w:tcBorders>
            <w:shd w:val="clear" w:color="auto" w:fill="DEEAF6"/>
            <w:tcMar>
              <w:top w:w="0" w:type="dxa"/>
              <w:left w:w="108" w:type="dxa"/>
              <w:bottom w:w="0" w:type="dxa"/>
              <w:right w:w="108" w:type="dxa"/>
            </w:tcMar>
            <w:vAlign w:val="center"/>
            <w:hideMark/>
          </w:tcPr>
          <w:p w14:paraId="4D173632" w14:textId="77777777" w:rsidR="008A3BF8" w:rsidRPr="001407D8" w:rsidRDefault="008A3BF8" w:rsidP="00A974F3">
            <w:pPr>
              <w:ind w:firstLine="0"/>
              <w:jc w:val="center"/>
              <w:rPr>
                <w:rFonts w:eastAsia="Times New Roman" w:cs="Times New Roman"/>
                <w:sz w:val="18"/>
                <w:szCs w:val="18"/>
                <w:lang w:eastAsia="lv-LV"/>
              </w:rPr>
            </w:pPr>
            <w:r>
              <w:rPr>
                <w:rFonts w:eastAsia="Times New Roman" w:cs="Times New Roman"/>
                <w:sz w:val="18"/>
                <w:szCs w:val="18"/>
                <w:lang w:eastAsia="lv-LV"/>
              </w:rPr>
              <w:t>2,8</w:t>
            </w:r>
          </w:p>
        </w:tc>
        <w:tc>
          <w:tcPr>
            <w:tcW w:w="738" w:type="dxa"/>
            <w:tcBorders>
              <w:top w:val="nil"/>
              <w:left w:val="nil"/>
              <w:bottom w:val="single" w:sz="8" w:space="0" w:color="9CC2E5"/>
              <w:right w:val="single" w:sz="8" w:space="0" w:color="9CC2E5"/>
            </w:tcBorders>
            <w:shd w:val="clear" w:color="auto" w:fill="DEEAF6"/>
            <w:tcMar>
              <w:top w:w="0" w:type="dxa"/>
              <w:left w:w="108" w:type="dxa"/>
              <w:bottom w:w="0" w:type="dxa"/>
              <w:right w:w="108" w:type="dxa"/>
            </w:tcMar>
            <w:vAlign w:val="center"/>
            <w:hideMark/>
          </w:tcPr>
          <w:p w14:paraId="0E8701D8" w14:textId="77777777" w:rsidR="008A3BF8" w:rsidRPr="001407D8" w:rsidRDefault="008A3BF8" w:rsidP="00A974F3">
            <w:pPr>
              <w:ind w:firstLine="0"/>
              <w:jc w:val="center"/>
              <w:rPr>
                <w:rFonts w:eastAsia="Times New Roman" w:cs="Times New Roman"/>
                <w:sz w:val="18"/>
                <w:szCs w:val="18"/>
                <w:lang w:eastAsia="lv-LV"/>
              </w:rPr>
            </w:pPr>
            <w:r>
              <w:rPr>
                <w:rFonts w:eastAsia="Times New Roman" w:cs="Times New Roman"/>
                <w:sz w:val="18"/>
                <w:szCs w:val="18"/>
                <w:lang w:eastAsia="lv-LV"/>
              </w:rPr>
              <w:t>2,8</w:t>
            </w:r>
          </w:p>
        </w:tc>
      </w:tr>
      <w:tr w:rsidR="008A3BF8" w:rsidRPr="001407D8" w14:paraId="602D66AD" w14:textId="77777777" w:rsidTr="00A974F3">
        <w:trPr>
          <w:trHeight w:val="315"/>
        </w:trPr>
        <w:tc>
          <w:tcPr>
            <w:tcW w:w="4668" w:type="dxa"/>
            <w:tcBorders>
              <w:top w:val="nil"/>
              <w:left w:val="single" w:sz="8" w:space="0" w:color="9CC2E5"/>
              <w:bottom w:val="single" w:sz="8" w:space="0" w:color="9CC2E5"/>
              <w:right w:val="single" w:sz="8" w:space="0" w:color="9CC2E5"/>
            </w:tcBorders>
            <w:tcMar>
              <w:top w:w="0" w:type="dxa"/>
              <w:left w:w="108" w:type="dxa"/>
              <w:bottom w:w="0" w:type="dxa"/>
              <w:right w:w="108" w:type="dxa"/>
            </w:tcMar>
            <w:vAlign w:val="center"/>
            <w:hideMark/>
          </w:tcPr>
          <w:p w14:paraId="009ECB63" w14:textId="77777777" w:rsidR="008A3BF8" w:rsidRPr="001407D8" w:rsidRDefault="008A3BF8" w:rsidP="00A974F3">
            <w:pPr>
              <w:ind w:firstLine="0"/>
              <w:jc w:val="left"/>
              <w:rPr>
                <w:rFonts w:eastAsia="Times New Roman" w:cs="Times New Roman"/>
                <w:sz w:val="18"/>
                <w:szCs w:val="18"/>
                <w:lang w:eastAsia="lv-LV"/>
              </w:rPr>
            </w:pPr>
            <w:r w:rsidRPr="001407D8">
              <w:rPr>
                <w:rFonts w:eastAsia="Times New Roman" w:cs="Times New Roman"/>
                <w:sz w:val="18"/>
                <w:szCs w:val="18"/>
                <w:lang w:eastAsia="lv-LV"/>
              </w:rPr>
              <w:t xml:space="preserve">Ilgtermiņa procentu likme </w:t>
            </w:r>
            <w:proofErr w:type="spellStart"/>
            <w:r w:rsidRPr="00B77003">
              <w:rPr>
                <w:rFonts w:eastAsia="Times New Roman" w:cs="Times New Roman"/>
                <w:i/>
                <w:iCs/>
                <w:sz w:val="18"/>
                <w:szCs w:val="18"/>
                <w:lang w:eastAsia="lv-LV"/>
              </w:rPr>
              <w:t>euro</w:t>
            </w:r>
            <w:proofErr w:type="spellEnd"/>
            <w:r w:rsidRPr="001407D8">
              <w:rPr>
                <w:rFonts w:eastAsia="Times New Roman" w:cs="Times New Roman"/>
                <w:sz w:val="18"/>
                <w:szCs w:val="18"/>
                <w:lang w:eastAsia="lv-LV"/>
              </w:rPr>
              <w:t xml:space="preserve"> zonā (gada vidējā)</w:t>
            </w:r>
          </w:p>
        </w:tc>
        <w:tc>
          <w:tcPr>
            <w:tcW w:w="737" w:type="dxa"/>
            <w:tcBorders>
              <w:top w:val="nil"/>
              <w:left w:val="nil"/>
              <w:bottom w:val="single" w:sz="8" w:space="0" w:color="9CC2E5"/>
              <w:right w:val="single" w:sz="8" w:space="0" w:color="9CC2E5"/>
            </w:tcBorders>
            <w:tcMar>
              <w:top w:w="0" w:type="dxa"/>
              <w:left w:w="108" w:type="dxa"/>
              <w:bottom w:w="0" w:type="dxa"/>
              <w:right w:w="108" w:type="dxa"/>
            </w:tcMar>
            <w:vAlign w:val="center"/>
            <w:hideMark/>
          </w:tcPr>
          <w:p w14:paraId="66ED51BB" w14:textId="77777777" w:rsidR="008A3BF8" w:rsidRPr="001407D8" w:rsidRDefault="008A3BF8" w:rsidP="00A974F3">
            <w:pPr>
              <w:ind w:firstLine="0"/>
              <w:jc w:val="center"/>
              <w:rPr>
                <w:rFonts w:eastAsia="Times New Roman" w:cs="Times New Roman"/>
                <w:sz w:val="18"/>
                <w:szCs w:val="18"/>
                <w:lang w:eastAsia="lv-LV"/>
              </w:rPr>
            </w:pPr>
            <w:r>
              <w:rPr>
                <w:rFonts w:eastAsia="Times New Roman" w:cs="Times New Roman"/>
                <w:sz w:val="18"/>
                <w:szCs w:val="18"/>
                <w:lang w:eastAsia="lv-LV"/>
              </w:rPr>
              <w:t>1,1</w:t>
            </w:r>
          </w:p>
        </w:tc>
        <w:tc>
          <w:tcPr>
            <w:tcW w:w="737" w:type="dxa"/>
            <w:tcBorders>
              <w:top w:val="nil"/>
              <w:left w:val="nil"/>
              <w:bottom w:val="single" w:sz="8" w:space="0" w:color="9CC2E5"/>
              <w:right w:val="single" w:sz="8" w:space="0" w:color="9CC2E5"/>
            </w:tcBorders>
            <w:tcMar>
              <w:top w:w="0" w:type="dxa"/>
              <w:left w:w="108" w:type="dxa"/>
              <w:bottom w:w="0" w:type="dxa"/>
              <w:right w:w="108" w:type="dxa"/>
            </w:tcMar>
            <w:vAlign w:val="center"/>
            <w:hideMark/>
          </w:tcPr>
          <w:p w14:paraId="396558B0" w14:textId="77777777" w:rsidR="008A3BF8" w:rsidRPr="001407D8" w:rsidRDefault="008A3BF8" w:rsidP="00A974F3">
            <w:pPr>
              <w:ind w:firstLine="0"/>
              <w:jc w:val="center"/>
              <w:rPr>
                <w:rFonts w:eastAsia="Times New Roman" w:cs="Times New Roman"/>
                <w:sz w:val="18"/>
                <w:szCs w:val="18"/>
                <w:lang w:eastAsia="lv-LV"/>
              </w:rPr>
            </w:pPr>
            <w:r>
              <w:rPr>
                <w:rFonts w:eastAsia="Times New Roman" w:cs="Times New Roman"/>
                <w:sz w:val="18"/>
                <w:szCs w:val="18"/>
                <w:lang w:eastAsia="lv-LV"/>
              </w:rPr>
              <w:t>2,1</w:t>
            </w:r>
          </w:p>
        </w:tc>
        <w:tc>
          <w:tcPr>
            <w:tcW w:w="738" w:type="dxa"/>
            <w:tcBorders>
              <w:top w:val="nil"/>
              <w:left w:val="nil"/>
              <w:bottom w:val="single" w:sz="8" w:space="0" w:color="9CC2E5"/>
              <w:right w:val="single" w:sz="8" w:space="0" w:color="9CC2E5"/>
            </w:tcBorders>
            <w:tcMar>
              <w:top w:w="0" w:type="dxa"/>
              <w:left w:w="108" w:type="dxa"/>
              <w:bottom w:w="0" w:type="dxa"/>
              <w:right w:w="108" w:type="dxa"/>
            </w:tcMar>
            <w:vAlign w:val="center"/>
            <w:hideMark/>
          </w:tcPr>
          <w:p w14:paraId="00083082" w14:textId="77777777" w:rsidR="008A3BF8" w:rsidRPr="001407D8" w:rsidRDefault="008A3BF8" w:rsidP="00A974F3">
            <w:pPr>
              <w:ind w:firstLine="0"/>
              <w:jc w:val="center"/>
              <w:rPr>
                <w:rFonts w:eastAsia="Times New Roman" w:cs="Times New Roman"/>
                <w:sz w:val="18"/>
                <w:szCs w:val="18"/>
                <w:lang w:eastAsia="lv-LV"/>
              </w:rPr>
            </w:pPr>
            <w:r>
              <w:rPr>
                <w:rFonts w:eastAsia="Times New Roman" w:cs="Times New Roman"/>
                <w:sz w:val="18"/>
                <w:szCs w:val="18"/>
                <w:lang w:eastAsia="lv-LV"/>
              </w:rPr>
              <w:t>2</w:t>
            </w:r>
            <w:r w:rsidRPr="001407D8">
              <w:rPr>
                <w:rFonts w:eastAsia="Times New Roman" w:cs="Times New Roman"/>
                <w:sz w:val="18"/>
                <w:szCs w:val="18"/>
                <w:lang w:eastAsia="lv-LV"/>
              </w:rPr>
              <w:t>,1</w:t>
            </w:r>
          </w:p>
        </w:tc>
        <w:tc>
          <w:tcPr>
            <w:tcW w:w="737" w:type="dxa"/>
            <w:tcBorders>
              <w:top w:val="nil"/>
              <w:left w:val="nil"/>
              <w:bottom w:val="single" w:sz="8" w:space="0" w:color="9CC2E5"/>
              <w:right w:val="single" w:sz="8" w:space="0" w:color="9CC2E5"/>
            </w:tcBorders>
            <w:tcMar>
              <w:top w:w="0" w:type="dxa"/>
              <w:left w:w="108" w:type="dxa"/>
              <w:bottom w:w="0" w:type="dxa"/>
              <w:right w:w="108" w:type="dxa"/>
            </w:tcMar>
            <w:vAlign w:val="center"/>
            <w:hideMark/>
          </w:tcPr>
          <w:p w14:paraId="5539932A" w14:textId="77777777" w:rsidR="008A3BF8" w:rsidRPr="001407D8" w:rsidRDefault="008A3BF8" w:rsidP="00A974F3">
            <w:pPr>
              <w:ind w:firstLine="0"/>
              <w:jc w:val="center"/>
              <w:rPr>
                <w:rFonts w:eastAsia="Times New Roman" w:cs="Times New Roman"/>
                <w:sz w:val="18"/>
                <w:szCs w:val="18"/>
                <w:lang w:eastAsia="lv-LV"/>
              </w:rPr>
            </w:pPr>
            <w:r>
              <w:rPr>
                <w:rFonts w:eastAsia="Times New Roman" w:cs="Times New Roman"/>
                <w:sz w:val="18"/>
                <w:szCs w:val="18"/>
                <w:lang w:eastAsia="lv-LV"/>
              </w:rPr>
              <w:t>2</w:t>
            </w:r>
            <w:r w:rsidRPr="001407D8">
              <w:rPr>
                <w:rFonts w:eastAsia="Times New Roman" w:cs="Times New Roman"/>
                <w:sz w:val="18"/>
                <w:szCs w:val="18"/>
                <w:lang w:eastAsia="lv-LV"/>
              </w:rPr>
              <w:t>,1</w:t>
            </w:r>
          </w:p>
        </w:tc>
        <w:tc>
          <w:tcPr>
            <w:tcW w:w="738" w:type="dxa"/>
            <w:tcBorders>
              <w:top w:val="nil"/>
              <w:left w:val="nil"/>
              <w:bottom w:val="single" w:sz="8" w:space="0" w:color="9CC2E5"/>
              <w:right w:val="single" w:sz="8" w:space="0" w:color="9CC2E5"/>
            </w:tcBorders>
            <w:tcMar>
              <w:top w:w="0" w:type="dxa"/>
              <w:left w:w="108" w:type="dxa"/>
              <w:bottom w:w="0" w:type="dxa"/>
              <w:right w:w="108" w:type="dxa"/>
            </w:tcMar>
            <w:vAlign w:val="center"/>
            <w:hideMark/>
          </w:tcPr>
          <w:p w14:paraId="1CCF84FC" w14:textId="77777777" w:rsidR="008A3BF8" w:rsidRPr="001407D8" w:rsidRDefault="008A3BF8" w:rsidP="00A974F3">
            <w:pPr>
              <w:ind w:firstLine="0"/>
              <w:jc w:val="center"/>
              <w:rPr>
                <w:rFonts w:eastAsia="Times New Roman" w:cs="Times New Roman"/>
                <w:sz w:val="18"/>
                <w:szCs w:val="18"/>
                <w:lang w:eastAsia="lv-LV"/>
              </w:rPr>
            </w:pPr>
            <w:r>
              <w:rPr>
                <w:rFonts w:eastAsia="Times New Roman" w:cs="Times New Roman"/>
                <w:sz w:val="18"/>
                <w:szCs w:val="18"/>
                <w:lang w:eastAsia="lv-LV"/>
              </w:rPr>
              <w:t>2</w:t>
            </w:r>
            <w:r w:rsidRPr="001407D8">
              <w:rPr>
                <w:rFonts w:eastAsia="Times New Roman" w:cs="Times New Roman"/>
                <w:sz w:val="18"/>
                <w:szCs w:val="18"/>
                <w:lang w:eastAsia="lv-LV"/>
              </w:rPr>
              <w:t>,1</w:t>
            </w:r>
          </w:p>
        </w:tc>
      </w:tr>
      <w:tr w:rsidR="008A3BF8" w:rsidRPr="001407D8" w14:paraId="276A0B40" w14:textId="77777777" w:rsidTr="00A974F3">
        <w:trPr>
          <w:trHeight w:val="315"/>
        </w:trPr>
        <w:tc>
          <w:tcPr>
            <w:tcW w:w="4668" w:type="dxa"/>
            <w:tcBorders>
              <w:top w:val="nil"/>
              <w:left w:val="single" w:sz="8" w:space="0" w:color="9CC2E5"/>
              <w:bottom w:val="single" w:sz="8" w:space="0" w:color="9CC2E5"/>
              <w:right w:val="single" w:sz="8" w:space="0" w:color="9CC2E5"/>
            </w:tcBorders>
            <w:shd w:val="clear" w:color="auto" w:fill="DEEAF6"/>
            <w:tcMar>
              <w:top w:w="0" w:type="dxa"/>
              <w:left w:w="108" w:type="dxa"/>
              <w:bottom w:w="0" w:type="dxa"/>
              <w:right w:w="108" w:type="dxa"/>
            </w:tcMar>
            <w:vAlign w:val="center"/>
            <w:hideMark/>
          </w:tcPr>
          <w:p w14:paraId="48C8DE5A" w14:textId="77777777" w:rsidR="008A3BF8" w:rsidRPr="001407D8" w:rsidRDefault="008A3BF8" w:rsidP="00A974F3">
            <w:pPr>
              <w:ind w:firstLine="0"/>
              <w:jc w:val="left"/>
              <w:rPr>
                <w:rFonts w:eastAsia="Times New Roman" w:cs="Times New Roman"/>
                <w:sz w:val="18"/>
                <w:szCs w:val="18"/>
                <w:lang w:eastAsia="lv-LV"/>
              </w:rPr>
            </w:pPr>
            <w:r w:rsidRPr="001407D8">
              <w:rPr>
                <w:rFonts w:eastAsia="Times New Roman" w:cs="Times New Roman"/>
                <w:sz w:val="18"/>
                <w:szCs w:val="18"/>
                <w:lang w:eastAsia="lv-LV"/>
              </w:rPr>
              <w:t>EUR/USD kurss (gada vidējais)</w:t>
            </w:r>
          </w:p>
        </w:tc>
        <w:tc>
          <w:tcPr>
            <w:tcW w:w="737" w:type="dxa"/>
            <w:tcBorders>
              <w:top w:val="nil"/>
              <w:left w:val="nil"/>
              <w:bottom w:val="single" w:sz="8" w:space="0" w:color="9CC2E5"/>
              <w:right w:val="single" w:sz="8" w:space="0" w:color="9CC2E5"/>
            </w:tcBorders>
            <w:shd w:val="clear" w:color="auto" w:fill="DEEAF6"/>
            <w:tcMar>
              <w:top w:w="0" w:type="dxa"/>
              <w:left w:w="108" w:type="dxa"/>
              <w:bottom w:w="0" w:type="dxa"/>
              <w:right w:w="108" w:type="dxa"/>
            </w:tcMar>
            <w:vAlign w:val="center"/>
            <w:hideMark/>
          </w:tcPr>
          <w:p w14:paraId="5D0704ED" w14:textId="77777777" w:rsidR="008A3BF8" w:rsidRPr="001407D8" w:rsidRDefault="008A3BF8" w:rsidP="00A974F3">
            <w:pPr>
              <w:ind w:firstLine="0"/>
              <w:jc w:val="center"/>
              <w:rPr>
                <w:rFonts w:eastAsia="Times New Roman" w:cs="Times New Roman"/>
                <w:sz w:val="18"/>
                <w:szCs w:val="18"/>
                <w:lang w:eastAsia="lv-LV"/>
              </w:rPr>
            </w:pPr>
            <w:r w:rsidRPr="001407D8">
              <w:rPr>
                <w:rFonts w:eastAsia="Times New Roman" w:cs="Times New Roman"/>
                <w:sz w:val="18"/>
                <w:szCs w:val="18"/>
                <w:lang w:eastAsia="lv-LV"/>
              </w:rPr>
              <w:t>1,</w:t>
            </w:r>
            <w:r>
              <w:rPr>
                <w:rFonts w:eastAsia="Times New Roman" w:cs="Times New Roman"/>
                <w:sz w:val="18"/>
                <w:szCs w:val="18"/>
                <w:lang w:eastAsia="lv-LV"/>
              </w:rPr>
              <w:t>04</w:t>
            </w:r>
          </w:p>
        </w:tc>
        <w:tc>
          <w:tcPr>
            <w:tcW w:w="737" w:type="dxa"/>
            <w:tcBorders>
              <w:top w:val="nil"/>
              <w:left w:val="nil"/>
              <w:bottom w:val="single" w:sz="8" w:space="0" w:color="9CC2E5"/>
              <w:right w:val="single" w:sz="8" w:space="0" w:color="9CC2E5"/>
            </w:tcBorders>
            <w:shd w:val="clear" w:color="auto" w:fill="DEEAF6"/>
            <w:tcMar>
              <w:top w:w="0" w:type="dxa"/>
              <w:left w:w="108" w:type="dxa"/>
              <w:bottom w:w="0" w:type="dxa"/>
              <w:right w:w="108" w:type="dxa"/>
            </w:tcMar>
            <w:vAlign w:val="center"/>
            <w:hideMark/>
          </w:tcPr>
          <w:p w14:paraId="7154D6F4" w14:textId="77777777" w:rsidR="008A3BF8" w:rsidRPr="001407D8" w:rsidRDefault="008A3BF8" w:rsidP="00A974F3">
            <w:pPr>
              <w:ind w:firstLine="0"/>
              <w:jc w:val="center"/>
              <w:rPr>
                <w:rFonts w:eastAsia="Times New Roman" w:cs="Times New Roman"/>
                <w:sz w:val="18"/>
                <w:szCs w:val="18"/>
                <w:lang w:eastAsia="lv-LV"/>
              </w:rPr>
            </w:pPr>
            <w:r w:rsidRPr="001407D8">
              <w:rPr>
                <w:rFonts w:eastAsia="Times New Roman" w:cs="Times New Roman"/>
                <w:sz w:val="18"/>
                <w:szCs w:val="18"/>
                <w:lang w:eastAsia="lv-LV"/>
              </w:rPr>
              <w:t>1,</w:t>
            </w:r>
            <w:r>
              <w:rPr>
                <w:rFonts w:eastAsia="Times New Roman" w:cs="Times New Roman"/>
                <w:sz w:val="18"/>
                <w:szCs w:val="18"/>
                <w:lang w:eastAsia="lv-LV"/>
              </w:rPr>
              <w:t>08</w:t>
            </w:r>
          </w:p>
        </w:tc>
        <w:tc>
          <w:tcPr>
            <w:tcW w:w="738" w:type="dxa"/>
            <w:tcBorders>
              <w:top w:val="nil"/>
              <w:left w:val="nil"/>
              <w:bottom w:val="single" w:sz="8" w:space="0" w:color="9CC2E5"/>
              <w:right w:val="single" w:sz="8" w:space="0" w:color="9CC2E5"/>
            </w:tcBorders>
            <w:shd w:val="clear" w:color="auto" w:fill="DEEAF6"/>
            <w:tcMar>
              <w:top w:w="0" w:type="dxa"/>
              <w:left w:w="108" w:type="dxa"/>
              <w:bottom w:w="0" w:type="dxa"/>
              <w:right w:w="108" w:type="dxa"/>
            </w:tcMar>
            <w:vAlign w:val="center"/>
            <w:hideMark/>
          </w:tcPr>
          <w:p w14:paraId="5EC74D31" w14:textId="77777777" w:rsidR="008A3BF8" w:rsidRPr="001407D8" w:rsidRDefault="008A3BF8" w:rsidP="00A974F3">
            <w:pPr>
              <w:ind w:firstLine="0"/>
              <w:jc w:val="center"/>
              <w:rPr>
                <w:rFonts w:eastAsia="Times New Roman" w:cs="Times New Roman"/>
                <w:sz w:val="18"/>
                <w:szCs w:val="18"/>
                <w:lang w:eastAsia="lv-LV"/>
              </w:rPr>
            </w:pPr>
            <w:r w:rsidRPr="001407D8">
              <w:rPr>
                <w:rFonts w:eastAsia="Times New Roman" w:cs="Times New Roman"/>
                <w:sz w:val="18"/>
                <w:szCs w:val="18"/>
                <w:lang w:eastAsia="lv-LV"/>
              </w:rPr>
              <w:t>1,</w:t>
            </w:r>
            <w:r>
              <w:rPr>
                <w:rFonts w:eastAsia="Times New Roman" w:cs="Times New Roman"/>
                <w:sz w:val="18"/>
                <w:szCs w:val="18"/>
                <w:lang w:eastAsia="lv-LV"/>
              </w:rPr>
              <w:t>09</w:t>
            </w:r>
          </w:p>
        </w:tc>
        <w:tc>
          <w:tcPr>
            <w:tcW w:w="737" w:type="dxa"/>
            <w:tcBorders>
              <w:top w:val="nil"/>
              <w:left w:val="nil"/>
              <w:bottom w:val="single" w:sz="8" w:space="0" w:color="9CC2E5"/>
              <w:right w:val="single" w:sz="8" w:space="0" w:color="9CC2E5"/>
            </w:tcBorders>
            <w:shd w:val="clear" w:color="auto" w:fill="DEEAF6"/>
            <w:tcMar>
              <w:top w:w="0" w:type="dxa"/>
              <w:left w:w="108" w:type="dxa"/>
              <w:bottom w:w="0" w:type="dxa"/>
              <w:right w:w="108" w:type="dxa"/>
            </w:tcMar>
            <w:vAlign w:val="center"/>
            <w:hideMark/>
          </w:tcPr>
          <w:p w14:paraId="1EE94910" w14:textId="77777777" w:rsidR="008A3BF8" w:rsidRPr="001407D8" w:rsidRDefault="008A3BF8" w:rsidP="00A974F3">
            <w:pPr>
              <w:ind w:firstLine="0"/>
              <w:jc w:val="center"/>
              <w:rPr>
                <w:rFonts w:eastAsia="Times New Roman" w:cs="Times New Roman"/>
                <w:sz w:val="18"/>
                <w:szCs w:val="18"/>
                <w:lang w:eastAsia="lv-LV"/>
              </w:rPr>
            </w:pPr>
            <w:r w:rsidRPr="001407D8">
              <w:rPr>
                <w:rFonts w:eastAsia="Times New Roman" w:cs="Times New Roman"/>
                <w:sz w:val="18"/>
                <w:szCs w:val="18"/>
                <w:lang w:eastAsia="lv-LV"/>
              </w:rPr>
              <w:t>1,</w:t>
            </w:r>
            <w:r>
              <w:rPr>
                <w:rFonts w:eastAsia="Times New Roman" w:cs="Times New Roman"/>
                <w:sz w:val="18"/>
                <w:szCs w:val="18"/>
                <w:lang w:eastAsia="lv-LV"/>
              </w:rPr>
              <w:t>09</w:t>
            </w:r>
          </w:p>
        </w:tc>
        <w:tc>
          <w:tcPr>
            <w:tcW w:w="738" w:type="dxa"/>
            <w:tcBorders>
              <w:top w:val="nil"/>
              <w:left w:val="nil"/>
              <w:bottom w:val="single" w:sz="8" w:space="0" w:color="9CC2E5"/>
              <w:right w:val="single" w:sz="8" w:space="0" w:color="9CC2E5"/>
            </w:tcBorders>
            <w:shd w:val="clear" w:color="auto" w:fill="DEEAF6"/>
            <w:tcMar>
              <w:top w:w="0" w:type="dxa"/>
              <w:left w:w="108" w:type="dxa"/>
              <w:bottom w:w="0" w:type="dxa"/>
              <w:right w:w="108" w:type="dxa"/>
            </w:tcMar>
            <w:vAlign w:val="center"/>
            <w:hideMark/>
          </w:tcPr>
          <w:p w14:paraId="76A4B2BE" w14:textId="77777777" w:rsidR="008A3BF8" w:rsidRPr="001407D8" w:rsidRDefault="008A3BF8" w:rsidP="00A974F3">
            <w:pPr>
              <w:ind w:firstLine="0"/>
              <w:jc w:val="center"/>
              <w:rPr>
                <w:rFonts w:eastAsia="Times New Roman" w:cs="Times New Roman"/>
                <w:sz w:val="18"/>
                <w:szCs w:val="18"/>
                <w:lang w:eastAsia="lv-LV"/>
              </w:rPr>
            </w:pPr>
            <w:r w:rsidRPr="001407D8">
              <w:rPr>
                <w:rFonts w:eastAsia="Times New Roman" w:cs="Times New Roman"/>
                <w:sz w:val="18"/>
                <w:szCs w:val="18"/>
                <w:lang w:eastAsia="lv-LV"/>
              </w:rPr>
              <w:t>1,</w:t>
            </w:r>
            <w:r>
              <w:rPr>
                <w:rFonts w:eastAsia="Times New Roman" w:cs="Times New Roman"/>
                <w:sz w:val="18"/>
                <w:szCs w:val="18"/>
                <w:lang w:eastAsia="lv-LV"/>
              </w:rPr>
              <w:t>09</w:t>
            </w:r>
          </w:p>
        </w:tc>
      </w:tr>
      <w:tr w:rsidR="008A3BF8" w:rsidRPr="001407D8" w14:paraId="65009013" w14:textId="77777777" w:rsidTr="00A974F3">
        <w:trPr>
          <w:trHeight w:val="315"/>
        </w:trPr>
        <w:tc>
          <w:tcPr>
            <w:tcW w:w="4668" w:type="dxa"/>
            <w:tcBorders>
              <w:top w:val="nil"/>
              <w:left w:val="single" w:sz="8" w:space="0" w:color="9CC2E5"/>
              <w:bottom w:val="single" w:sz="8" w:space="0" w:color="9CC2E5"/>
              <w:right w:val="single" w:sz="8" w:space="0" w:color="9CC2E5"/>
            </w:tcBorders>
            <w:tcMar>
              <w:top w:w="0" w:type="dxa"/>
              <w:left w:w="108" w:type="dxa"/>
              <w:bottom w:w="0" w:type="dxa"/>
              <w:right w:w="108" w:type="dxa"/>
            </w:tcMar>
            <w:vAlign w:val="center"/>
            <w:hideMark/>
          </w:tcPr>
          <w:p w14:paraId="2A3E6334" w14:textId="77777777" w:rsidR="008A3BF8" w:rsidRPr="001407D8" w:rsidRDefault="008A3BF8" w:rsidP="00A974F3">
            <w:pPr>
              <w:ind w:firstLine="0"/>
              <w:jc w:val="left"/>
              <w:rPr>
                <w:rFonts w:eastAsia="Times New Roman" w:cs="Times New Roman"/>
                <w:sz w:val="18"/>
                <w:szCs w:val="18"/>
                <w:lang w:eastAsia="lv-LV"/>
              </w:rPr>
            </w:pPr>
            <w:r w:rsidRPr="001407D8">
              <w:rPr>
                <w:rFonts w:eastAsia="Times New Roman" w:cs="Times New Roman"/>
                <w:sz w:val="18"/>
                <w:szCs w:val="18"/>
                <w:lang w:eastAsia="lv-LV"/>
              </w:rPr>
              <w:t>Nominālais efektīvais maiņas kurss ES</w:t>
            </w:r>
          </w:p>
        </w:tc>
        <w:tc>
          <w:tcPr>
            <w:tcW w:w="737" w:type="dxa"/>
            <w:tcBorders>
              <w:top w:val="nil"/>
              <w:left w:val="nil"/>
              <w:bottom w:val="single" w:sz="8" w:space="0" w:color="9CC2E5"/>
              <w:right w:val="single" w:sz="8" w:space="0" w:color="9CC2E5"/>
            </w:tcBorders>
            <w:tcMar>
              <w:top w:w="0" w:type="dxa"/>
              <w:left w:w="108" w:type="dxa"/>
              <w:bottom w:w="0" w:type="dxa"/>
              <w:right w:w="108" w:type="dxa"/>
            </w:tcMar>
            <w:vAlign w:val="center"/>
            <w:hideMark/>
          </w:tcPr>
          <w:p w14:paraId="36708A46" w14:textId="77777777" w:rsidR="008A3BF8" w:rsidRPr="001407D8" w:rsidRDefault="008A3BF8" w:rsidP="00A974F3">
            <w:pPr>
              <w:ind w:firstLine="0"/>
              <w:jc w:val="center"/>
              <w:rPr>
                <w:rFonts w:eastAsia="Times New Roman" w:cs="Times New Roman"/>
                <w:sz w:val="18"/>
                <w:szCs w:val="18"/>
                <w:lang w:eastAsia="lv-LV"/>
              </w:rPr>
            </w:pPr>
            <w:r>
              <w:rPr>
                <w:rFonts w:eastAsia="Times New Roman" w:cs="Times New Roman"/>
                <w:sz w:val="18"/>
                <w:szCs w:val="18"/>
                <w:lang w:eastAsia="lv-LV"/>
              </w:rPr>
              <w:t>-4,0</w:t>
            </w:r>
          </w:p>
        </w:tc>
        <w:tc>
          <w:tcPr>
            <w:tcW w:w="737" w:type="dxa"/>
            <w:tcBorders>
              <w:top w:val="nil"/>
              <w:left w:val="nil"/>
              <w:bottom w:val="single" w:sz="8" w:space="0" w:color="9CC2E5"/>
              <w:right w:val="single" w:sz="8" w:space="0" w:color="9CC2E5"/>
            </w:tcBorders>
            <w:tcMar>
              <w:top w:w="0" w:type="dxa"/>
              <w:left w:w="108" w:type="dxa"/>
              <w:bottom w:w="0" w:type="dxa"/>
              <w:right w:w="108" w:type="dxa"/>
            </w:tcMar>
            <w:vAlign w:val="center"/>
            <w:hideMark/>
          </w:tcPr>
          <w:p w14:paraId="167564BE" w14:textId="77777777" w:rsidR="008A3BF8" w:rsidRPr="001407D8" w:rsidRDefault="008A3BF8" w:rsidP="00A974F3">
            <w:pPr>
              <w:ind w:firstLine="0"/>
              <w:jc w:val="center"/>
              <w:rPr>
                <w:rFonts w:eastAsia="Times New Roman" w:cs="Times New Roman"/>
                <w:sz w:val="18"/>
                <w:szCs w:val="18"/>
                <w:lang w:eastAsia="lv-LV"/>
              </w:rPr>
            </w:pPr>
            <w:r>
              <w:rPr>
                <w:rFonts w:eastAsia="Times New Roman" w:cs="Times New Roman"/>
                <w:sz w:val="18"/>
                <w:szCs w:val="18"/>
                <w:lang w:eastAsia="lv-LV"/>
              </w:rPr>
              <w:t>3,3</w:t>
            </w:r>
          </w:p>
        </w:tc>
        <w:tc>
          <w:tcPr>
            <w:tcW w:w="738" w:type="dxa"/>
            <w:tcBorders>
              <w:top w:val="nil"/>
              <w:left w:val="nil"/>
              <w:bottom w:val="single" w:sz="8" w:space="0" w:color="9CC2E5"/>
              <w:right w:val="single" w:sz="8" w:space="0" w:color="9CC2E5"/>
            </w:tcBorders>
            <w:tcMar>
              <w:top w:w="0" w:type="dxa"/>
              <w:left w:w="108" w:type="dxa"/>
              <w:bottom w:w="0" w:type="dxa"/>
              <w:right w:w="108" w:type="dxa"/>
            </w:tcMar>
            <w:vAlign w:val="center"/>
            <w:hideMark/>
          </w:tcPr>
          <w:p w14:paraId="30A6812D" w14:textId="77777777" w:rsidR="008A3BF8" w:rsidRPr="001407D8" w:rsidRDefault="008A3BF8" w:rsidP="00A974F3">
            <w:pPr>
              <w:ind w:firstLine="0"/>
              <w:jc w:val="center"/>
              <w:rPr>
                <w:rFonts w:eastAsia="Times New Roman" w:cs="Times New Roman"/>
                <w:sz w:val="18"/>
                <w:szCs w:val="18"/>
                <w:lang w:eastAsia="lv-LV"/>
              </w:rPr>
            </w:pPr>
            <w:r w:rsidRPr="001407D8">
              <w:rPr>
                <w:rFonts w:eastAsia="Times New Roman" w:cs="Times New Roman"/>
                <w:sz w:val="18"/>
                <w:szCs w:val="18"/>
                <w:lang w:eastAsia="lv-LV"/>
              </w:rPr>
              <w:t>0,0</w:t>
            </w:r>
          </w:p>
        </w:tc>
        <w:tc>
          <w:tcPr>
            <w:tcW w:w="737" w:type="dxa"/>
            <w:tcBorders>
              <w:top w:val="nil"/>
              <w:left w:val="nil"/>
              <w:bottom w:val="single" w:sz="8" w:space="0" w:color="9CC2E5"/>
              <w:right w:val="single" w:sz="8" w:space="0" w:color="9CC2E5"/>
            </w:tcBorders>
            <w:tcMar>
              <w:top w:w="0" w:type="dxa"/>
              <w:left w:w="108" w:type="dxa"/>
              <w:bottom w:w="0" w:type="dxa"/>
              <w:right w:w="108" w:type="dxa"/>
            </w:tcMar>
            <w:vAlign w:val="center"/>
            <w:hideMark/>
          </w:tcPr>
          <w:p w14:paraId="7EB65F01" w14:textId="77777777" w:rsidR="008A3BF8" w:rsidRPr="001407D8" w:rsidRDefault="008A3BF8" w:rsidP="00A974F3">
            <w:pPr>
              <w:ind w:firstLine="0"/>
              <w:jc w:val="center"/>
              <w:rPr>
                <w:rFonts w:eastAsia="Times New Roman" w:cs="Times New Roman"/>
                <w:sz w:val="18"/>
                <w:szCs w:val="18"/>
                <w:lang w:eastAsia="lv-LV"/>
              </w:rPr>
            </w:pPr>
            <w:r w:rsidRPr="001407D8">
              <w:rPr>
                <w:rFonts w:eastAsia="Times New Roman" w:cs="Times New Roman"/>
                <w:sz w:val="18"/>
                <w:szCs w:val="18"/>
                <w:lang w:eastAsia="lv-LV"/>
              </w:rPr>
              <w:t>0,0</w:t>
            </w:r>
          </w:p>
        </w:tc>
        <w:tc>
          <w:tcPr>
            <w:tcW w:w="738" w:type="dxa"/>
            <w:tcBorders>
              <w:top w:val="nil"/>
              <w:left w:val="nil"/>
              <w:bottom w:val="single" w:sz="8" w:space="0" w:color="9CC2E5"/>
              <w:right w:val="single" w:sz="8" w:space="0" w:color="9CC2E5"/>
            </w:tcBorders>
            <w:tcMar>
              <w:top w:w="0" w:type="dxa"/>
              <w:left w:w="108" w:type="dxa"/>
              <w:bottom w:w="0" w:type="dxa"/>
              <w:right w:w="108" w:type="dxa"/>
            </w:tcMar>
            <w:vAlign w:val="center"/>
            <w:hideMark/>
          </w:tcPr>
          <w:p w14:paraId="3567AA64" w14:textId="77777777" w:rsidR="008A3BF8" w:rsidRPr="001407D8" w:rsidRDefault="008A3BF8" w:rsidP="00A974F3">
            <w:pPr>
              <w:ind w:firstLine="0"/>
              <w:jc w:val="center"/>
              <w:rPr>
                <w:rFonts w:eastAsia="Times New Roman" w:cs="Times New Roman"/>
                <w:sz w:val="18"/>
                <w:szCs w:val="18"/>
                <w:lang w:eastAsia="lv-LV"/>
              </w:rPr>
            </w:pPr>
            <w:r w:rsidRPr="001407D8">
              <w:rPr>
                <w:rFonts w:eastAsia="Times New Roman" w:cs="Times New Roman"/>
                <w:sz w:val="18"/>
                <w:szCs w:val="18"/>
                <w:lang w:eastAsia="lv-LV"/>
              </w:rPr>
              <w:t>0,0</w:t>
            </w:r>
          </w:p>
        </w:tc>
      </w:tr>
      <w:tr w:rsidR="008A3BF8" w:rsidRPr="001407D8" w14:paraId="1FD4FA3E" w14:textId="77777777" w:rsidTr="00A974F3">
        <w:trPr>
          <w:trHeight w:val="315"/>
        </w:trPr>
        <w:tc>
          <w:tcPr>
            <w:tcW w:w="4668" w:type="dxa"/>
            <w:tcBorders>
              <w:top w:val="nil"/>
              <w:left w:val="single" w:sz="8" w:space="0" w:color="9CC2E5"/>
              <w:bottom w:val="single" w:sz="8" w:space="0" w:color="9CC2E5"/>
              <w:right w:val="single" w:sz="8" w:space="0" w:color="9CC2E5"/>
            </w:tcBorders>
            <w:shd w:val="clear" w:color="auto" w:fill="DEEAF6"/>
            <w:tcMar>
              <w:top w:w="0" w:type="dxa"/>
              <w:left w:w="108" w:type="dxa"/>
              <w:bottom w:w="0" w:type="dxa"/>
              <w:right w:w="108" w:type="dxa"/>
            </w:tcMar>
            <w:vAlign w:val="center"/>
            <w:hideMark/>
          </w:tcPr>
          <w:p w14:paraId="61A40942" w14:textId="77777777" w:rsidR="008A3BF8" w:rsidRPr="001407D8" w:rsidRDefault="008A3BF8" w:rsidP="00A974F3">
            <w:pPr>
              <w:ind w:firstLine="0"/>
              <w:jc w:val="left"/>
              <w:rPr>
                <w:rFonts w:eastAsia="Times New Roman" w:cs="Times New Roman"/>
                <w:sz w:val="18"/>
                <w:szCs w:val="18"/>
                <w:lang w:eastAsia="lv-LV"/>
              </w:rPr>
            </w:pPr>
            <w:r w:rsidRPr="001407D8">
              <w:rPr>
                <w:rFonts w:eastAsia="Times New Roman" w:cs="Times New Roman"/>
                <w:sz w:val="18"/>
                <w:szCs w:val="18"/>
                <w:lang w:eastAsia="lv-LV"/>
              </w:rPr>
              <w:t>Pasaules IKP, izņemot ES, pieaugums salīdzināmās cenās, %</w:t>
            </w:r>
          </w:p>
        </w:tc>
        <w:tc>
          <w:tcPr>
            <w:tcW w:w="737" w:type="dxa"/>
            <w:tcBorders>
              <w:top w:val="nil"/>
              <w:left w:val="nil"/>
              <w:bottom w:val="single" w:sz="8" w:space="0" w:color="9CC2E5"/>
              <w:right w:val="single" w:sz="8" w:space="0" w:color="9CC2E5"/>
            </w:tcBorders>
            <w:shd w:val="clear" w:color="auto" w:fill="DEEAF6"/>
            <w:tcMar>
              <w:top w:w="0" w:type="dxa"/>
              <w:left w:w="108" w:type="dxa"/>
              <w:bottom w:w="0" w:type="dxa"/>
              <w:right w:w="108" w:type="dxa"/>
            </w:tcMar>
            <w:vAlign w:val="center"/>
            <w:hideMark/>
          </w:tcPr>
          <w:p w14:paraId="6D041971" w14:textId="77777777" w:rsidR="008A3BF8" w:rsidRPr="001407D8" w:rsidRDefault="008A3BF8" w:rsidP="00A974F3">
            <w:pPr>
              <w:ind w:firstLine="0"/>
              <w:jc w:val="center"/>
              <w:rPr>
                <w:rFonts w:eastAsia="Times New Roman" w:cs="Times New Roman"/>
                <w:sz w:val="18"/>
                <w:szCs w:val="18"/>
                <w:lang w:eastAsia="lv-LV"/>
              </w:rPr>
            </w:pPr>
            <w:r>
              <w:rPr>
                <w:rFonts w:eastAsia="Times New Roman" w:cs="Times New Roman"/>
                <w:sz w:val="18"/>
                <w:szCs w:val="18"/>
                <w:lang w:eastAsia="lv-LV"/>
              </w:rPr>
              <w:t>3,1</w:t>
            </w:r>
          </w:p>
        </w:tc>
        <w:tc>
          <w:tcPr>
            <w:tcW w:w="737" w:type="dxa"/>
            <w:tcBorders>
              <w:top w:val="nil"/>
              <w:left w:val="nil"/>
              <w:bottom w:val="single" w:sz="8" w:space="0" w:color="9CC2E5"/>
              <w:right w:val="single" w:sz="8" w:space="0" w:color="9CC2E5"/>
            </w:tcBorders>
            <w:shd w:val="clear" w:color="auto" w:fill="DEEAF6"/>
            <w:tcMar>
              <w:top w:w="0" w:type="dxa"/>
              <w:left w:w="108" w:type="dxa"/>
              <w:bottom w:w="0" w:type="dxa"/>
              <w:right w:w="108" w:type="dxa"/>
            </w:tcMar>
            <w:vAlign w:val="center"/>
            <w:hideMark/>
          </w:tcPr>
          <w:p w14:paraId="5150F68A" w14:textId="77777777" w:rsidR="008A3BF8" w:rsidRPr="001407D8" w:rsidRDefault="008A3BF8" w:rsidP="00A974F3">
            <w:pPr>
              <w:ind w:firstLine="0"/>
              <w:jc w:val="center"/>
              <w:rPr>
                <w:rFonts w:eastAsia="Times New Roman" w:cs="Times New Roman"/>
                <w:sz w:val="18"/>
                <w:szCs w:val="18"/>
                <w:lang w:eastAsia="lv-LV"/>
              </w:rPr>
            </w:pPr>
            <w:r>
              <w:rPr>
                <w:rFonts w:eastAsia="Times New Roman" w:cs="Times New Roman"/>
                <w:sz w:val="18"/>
                <w:szCs w:val="18"/>
                <w:lang w:eastAsia="lv-LV"/>
              </w:rPr>
              <w:t>3,0</w:t>
            </w:r>
          </w:p>
        </w:tc>
        <w:tc>
          <w:tcPr>
            <w:tcW w:w="738" w:type="dxa"/>
            <w:tcBorders>
              <w:top w:val="nil"/>
              <w:left w:val="nil"/>
              <w:bottom w:val="single" w:sz="8" w:space="0" w:color="9CC2E5"/>
              <w:right w:val="single" w:sz="8" w:space="0" w:color="9CC2E5"/>
            </w:tcBorders>
            <w:shd w:val="clear" w:color="auto" w:fill="DEEAF6"/>
            <w:tcMar>
              <w:top w:w="0" w:type="dxa"/>
              <w:left w:w="108" w:type="dxa"/>
              <w:bottom w:w="0" w:type="dxa"/>
              <w:right w:w="108" w:type="dxa"/>
            </w:tcMar>
            <w:vAlign w:val="center"/>
            <w:hideMark/>
          </w:tcPr>
          <w:p w14:paraId="2A0EFAF4" w14:textId="77777777" w:rsidR="008A3BF8" w:rsidRPr="001407D8" w:rsidRDefault="008A3BF8" w:rsidP="00A974F3">
            <w:pPr>
              <w:ind w:firstLine="0"/>
              <w:jc w:val="center"/>
              <w:rPr>
                <w:rFonts w:eastAsia="Times New Roman" w:cs="Times New Roman"/>
                <w:sz w:val="18"/>
                <w:szCs w:val="18"/>
                <w:lang w:eastAsia="lv-LV"/>
              </w:rPr>
            </w:pPr>
            <w:r w:rsidRPr="001407D8">
              <w:rPr>
                <w:rFonts w:eastAsia="Times New Roman" w:cs="Times New Roman"/>
                <w:sz w:val="18"/>
                <w:szCs w:val="18"/>
                <w:lang w:eastAsia="lv-LV"/>
              </w:rPr>
              <w:t>3,</w:t>
            </w:r>
            <w:r>
              <w:rPr>
                <w:rFonts w:eastAsia="Times New Roman" w:cs="Times New Roman"/>
                <w:sz w:val="18"/>
                <w:szCs w:val="18"/>
                <w:lang w:eastAsia="lv-LV"/>
              </w:rPr>
              <w:t>3</w:t>
            </w:r>
          </w:p>
        </w:tc>
        <w:tc>
          <w:tcPr>
            <w:tcW w:w="737" w:type="dxa"/>
            <w:tcBorders>
              <w:top w:val="nil"/>
              <w:left w:val="nil"/>
              <w:bottom w:val="single" w:sz="8" w:space="0" w:color="9CC2E5"/>
              <w:right w:val="single" w:sz="8" w:space="0" w:color="9CC2E5"/>
            </w:tcBorders>
            <w:shd w:val="clear" w:color="auto" w:fill="DEEAF6"/>
            <w:tcMar>
              <w:top w:w="0" w:type="dxa"/>
              <w:left w:w="108" w:type="dxa"/>
              <w:bottom w:w="0" w:type="dxa"/>
              <w:right w:w="108" w:type="dxa"/>
            </w:tcMar>
            <w:vAlign w:val="center"/>
            <w:hideMark/>
          </w:tcPr>
          <w:p w14:paraId="1BBE2EEC" w14:textId="77777777" w:rsidR="008A3BF8" w:rsidRPr="001407D8" w:rsidRDefault="008A3BF8" w:rsidP="00A974F3">
            <w:pPr>
              <w:ind w:firstLine="0"/>
              <w:jc w:val="center"/>
              <w:rPr>
                <w:rFonts w:eastAsia="Times New Roman" w:cs="Times New Roman"/>
                <w:sz w:val="18"/>
                <w:szCs w:val="18"/>
                <w:lang w:eastAsia="lv-LV"/>
              </w:rPr>
            </w:pPr>
            <w:r w:rsidRPr="001407D8">
              <w:rPr>
                <w:rFonts w:eastAsia="Times New Roman" w:cs="Times New Roman"/>
                <w:sz w:val="18"/>
                <w:szCs w:val="18"/>
                <w:lang w:eastAsia="lv-LV"/>
              </w:rPr>
              <w:t>3,</w:t>
            </w:r>
            <w:r>
              <w:rPr>
                <w:rFonts w:eastAsia="Times New Roman" w:cs="Times New Roman"/>
                <w:sz w:val="18"/>
                <w:szCs w:val="18"/>
                <w:lang w:eastAsia="lv-LV"/>
              </w:rPr>
              <w:t>3</w:t>
            </w:r>
          </w:p>
        </w:tc>
        <w:tc>
          <w:tcPr>
            <w:tcW w:w="738" w:type="dxa"/>
            <w:tcBorders>
              <w:top w:val="nil"/>
              <w:left w:val="nil"/>
              <w:bottom w:val="single" w:sz="8" w:space="0" w:color="9CC2E5"/>
              <w:right w:val="single" w:sz="8" w:space="0" w:color="9CC2E5"/>
            </w:tcBorders>
            <w:shd w:val="clear" w:color="auto" w:fill="DEEAF6"/>
            <w:tcMar>
              <w:top w:w="0" w:type="dxa"/>
              <w:left w:w="108" w:type="dxa"/>
              <w:bottom w:w="0" w:type="dxa"/>
              <w:right w:w="108" w:type="dxa"/>
            </w:tcMar>
            <w:vAlign w:val="center"/>
            <w:hideMark/>
          </w:tcPr>
          <w:p w14:paraId="6A1AC3C3" w14:textId="77777777" w:rsidR="008A3BF8" w:rsidRPr="001407D8" w:rsidRDefault="008A3BF8" w:rsidP="00A974F3">
            <w:pPr>
              <w:ind w:firstLine="0"/>
              <w:jc w:val="center"/>
              <w:rPr>
                <w:rFonts w:eastAsia="Times New Roman" w:cs="Times New Roman"/>
                <w:sz w:val="18"/>
                <w:szCs w:val="18"/>
                <w:lang w:eastAsia="lv-LV"/>
              </w:rPr>
            </w:pPr>
            <w:r w:rsidRPr="001407D8">
              <w:rPr>
                <w:rFonts w:eastAsia="Times New Roman" w:cs="Times New Roman"/>
                <w:sz w:val="18"/>
                <w:szCs w:val="18"/>
                <w:lang w:eastAsia="lv-LV"/>
              </w:rPr>
              <w:t>3,</w:t>
            </w:r>
            <w:r>
              <w:rPr>
                <w:rFonts w:eastAsia="Times New Roman" w:cs="Times New Roman"/>
                <w:sz w:val="18"/>
                <w:szCs w:val="18"/>
                <w:lang w:eastAsia="lv-LV"/>
              </w:rPr>
              <w:t>3</w:t>
            </w:r>
          </w:p>
        </w:tc>
      </w:tr>
      <w:tr w:rsidR="008A3BF8" w:rsidRPr="001407D8" w14:paraId="2F58A2E4" w14:textId="77777777" w:rsidTr="00A974F3">
        <w:trPr>
          <w:trHeight w:val="315"/>
        </w:trPr>
        <w:tc>
          <w:tcPr>
            <w:tcW w:w="4668" w:type="dxa"/>
            <w:tcBorders>
              <w:top w:val="nil"/>
              <w:left w:val="single" w:sz="8" w:space="0" w:color="9CC2E5"/>
              <w:bottom w:val="single" w:sz="8" w:space="0" w:color="9CC2E5"/>
              <w:right w:val="single" w:sz="8" w:space="0" w:color="9CC2E5"/>
            </w:tcBorders>
            <w:tcMar>
              <w:top w:w="0" w:type="dxa"/>
              <w:left w:w="108" w:type="dxa"/>
              <w:bottom w:w="0" w:type="dxa"/>
              <w:right w:w="108" w:type="dxa"/>
            </w:tcMar>
            <w:vAlign w:val="center"/>
            <w:hideMark/>
          </w:tcPr>
          <w:p w14:paraId="4890CD4D" w14:textId="77777777" w:rsidR="008A3BF8" w:rsidRPr="001407D8" w:rsidRDefault="008A3BF8" w:rsidP="00A974F3">
            <w:pPr>
              <w:ind w:firstLine="0"/>
              <w:jc w:val="left"/>
              <w:rPr>
                <w:rFonts w:eastAsia="Times New Roman" w:cs="Times New Roman"/>
                <w:sz w:val="18"/>
                <w:szCs w:val="18"/>
                <w:lang w:eastAsia="lv-LV"/>
              </w:rPr>
            </w:pPr>
            <w:r w:rsidRPr="001407D8">
              <w:rPr>
                <w:rFonts w:eastAsia="Times New Roman" w:cs="Times New Roman"/>
                <w:sz w:val="18"/>
                <w:szCs w:val="18"/>
                <w:lang w:eastAsia="lv-LV"/>
              </w:rPr>
              <w:t>ES IKP pieaugums salīdzināmās cenās, %</w:t>
            </w:r>
          </w:p>
        </w:tc>
        <w:tc>
          <w:tcPr>
            <w:tcW w:w="737" w:type="dxa"/>
            <w:tcBorders>
              <w:top w:val="nil"/>
              <w:left w:val="nil"/>
              <w:bottom w:val="single" w:sz="8" w:space="0" w:color="9CC2E5"/>
              <w:right w:val="single" w:sz="8" w:space="0" w:color="9CC2E5"/>
            </w:tcBorders>
            <w:tcMar>
              <w:top w:w="0" w:type="dxa"/>
              <w:left w:w="108" w:type="dxa"/>
              <w:bottom w:w="0" w:type="dxa"/>
              <w:right w:w="108" w:type="dxa"/>
            </w:tcMar>
            <w:vAlign w:val="center"/>
            <w:hideMark/>
          </w:tcPr>
          <w:p w14:paraId="7620E653" w14:textId="77777777" w:rsidR="008A3BF8" w:rsidRPr="001407D8" w:rsidRDefault="008A3BF8" w:rsidP="00A974F3">
            <w:pPr>
              <w:ind w:firstLine="0"/>
              <w:jc w:val="center"/>
              <w:rPr>
                <w:rFonts w:eastAsia="Times New Roman" w:cs="Times New Roman"/>
                <w:sz w:val="18"/>
                <w:szCs w:val="18"/>
                <w:lang w:eastAsia="lv-LV"/>
              </w:rPr>
            </w:pPr>
            <w:r>
              <w:rPr>
                <w:rFonts w:eastAsia="Times New Roman" w:cs="Times New Roman"/>
                <w:sz w:val="18"/>
                <w:szCs w:val="18"/>
                <w:lang w:eastAsia="lv-LV"/>
              </w:rPr>
              <w:t>3,5</w:t>
            </w:r>
          </w:p>
        </w:tc>
        <w:tc>
          <w:tcPr>
            <w:tcW w:w="737" w:type="dxa"/>
            <w:tcBorders>
              <w:top w:val="nil"/>
              <w:left w:val="nil"/>
              <w:bottom w:val="single" w:sz="8" w:space="0" w:color="9CC2E5"/>
              <w:right w:val="single" w:sz="8" w:space="0" w:color="9CC2E5"/>
            </w:tcBorders>
            <w:tcMar>
              <w:top w:w="0" w:type="dxa"/>
              <w:left w:w="108" w:type="dxa"/>
              <w:bottom w:w="0" w:type="dxa"/>
              <w:right w:w="108" w:type="dxa"/>
            </w:tcMar>
            <w:vAlign w:val="center"/>
            <w:hideMark/>
          </w:tcPr>
          <w:p w14:paraId="6730F8CF" w14:textId="77777777" w:rsidR="008A3BF8" w:rsidRPr="001407D8" w:rsidRDefault="008A3BF8" w:rsidP="00A974F3">
            <w:pPr>
              <w:ind w:firstLine="0"/>
              <w:jc w:val="center"/>
              <w:rPr>
                <w:rFonts w:eastAsia="Times New Roman" w:cs="Times New Roman"/>
                <w:sz w:val="18"/>
                <w:szCs w:val="18"/>
                <w:lang w:eastAsia="lv-LV"/>
              </w:rPr>
            </w:pPr>
            <w:r>
              <w:rPr>
                <w:rFonts w:eastAsia="Times New Roman" w:cs="Times New Roman"/>
                <w:sz w:val="18"/>
                <w:szCs w:val="18"/>
                <w:lang w:eastAsia="lv-LV"/>
              </w:rPr>
              <w:t>0,8</w:t>
            </w:r>
          </w:p>
        </w:tc>
        <w:tc>
          <w:tcPr>
            <w:tcW w:w="738" w:type="dxa"/>
            <w:tcBorders>
              <w:top w:val="nil"/>
              <w:left w:val="nil"/>
              <w:bottom w:val="single" w:sz="8" w:space="0" w:color="9CC2E5"/>
              <w:right w:val="single" w:sz="8" w:space="0" w:color="9CC2E5"/>
            </w:tcBorders>
            <w:tcMar>
              <w:top w:w="0" w:type="dxa"/>
              <w:left w:w="108" w:type="dxa"/>
              <w:bottom w:w="0" w:type="dxa"/>
              <w:right w:w="108" w:type="dxa"/>
            </w:tcMar>
            <w:vAlign w:val="center"/>
            <w:hideMark/>
          </w:tcPr>
          <w:p w14:paraId="5CC60460" w14:textId="77777777" w:rsidR="008A3BF8" w:rsidRPr="001407D8" w:rsidRDefault="008A3BF8" w:rsidP="00A974F3">
            <w:pPr>
              <w:ind w:firstLine="0"/>
              <w:jc w:val="center"/>
              <w:rPr>
                <w:rFonts w:eastAsia="Times New Roman" w:cs="Times New Roman"/>
                <w:sz w:val="18"/>
                <w:szCs w:val="18"/>
                <w:lang w:eastAsia="lv-LV"/>
              </w:rPr>
            </w:pPr>
            <w:r>
              <w:rPr>
                <w:rFonts w:eastAsia="Times New Roman" w:cs="Times New Roman"/>
                <w:sz w:val="18"/>
                <w:szCs w:val="18"/>
                <w:lang w:eastAsia="lv-LV"/>
              </w:rPr>
              <w:t>1,6</w:t>
            </w:r>
          </w:p>
        </w:tc>
        <w:tc>
          <w:tcPr>
            <w:tcW w:w="737" w:type="dxa"/>
            <w:tcBorders>
              <w:top w:val="nil"/>
              <w:left w:val="nil"/>
              <w:bottom w:val="single" w:sz="8" w:space="0" w:color="9CC2E5"/>
              <w:right w:val="single" w:sz="8" w:space="0" w:color="9CC2E5"/>
            </w:tcBorders>
            <w:tcMar>
              <w:top w:w="0" w:type="dxa"/>
              <w:left w:w="108" w:type="dxa"/>
              <w:bottom w:w="0" w:type="dxa"/>
              <w:right w:w="108" w:type="dxa"/>
            </w:tcMar>
            <w:vAlign w:val="center"/>
            <w:hideMark/>
          </w:tcPr>
          <w:p w14:paraId="33A2B549" w14:textId="77777777" w:rsidR="008A3BF8" w:rsidRPr="001407D8" w:rsidRDefault="008A3BF8" w:rsidP="00A974F3">
            <w:pPr>
              <w:ind w:firstLine="0"/>
              <w:jc w:val="center"/>
              <w:rPr>
                <w:rFonts w:eastAsia="Times New Roman" w:cs="Times New Roman"/>
                <w:sz w:val="18"/>
                <w:szCs w:val="18"/>
                <w:lang w:eastAsia="lv-LV"/>
              </w:rPr>
            </w:pPr>
            <w:r w:rsidRPr="001407D8">
              <w:rPr>
                <w:rFonts w:eastAsia="Times New Roman" w:cs="Times New Roman"/>
                <w:sz w:val="18"/>
                <w:szCs w:val="18"/>
                <w:lang w:eastAsia="lv-LV"/>
              </w:rPr>
              <w:t>2,0</w:t>
            </w:r>
          </w:p>
        </w:tc>
        <w:tc>
          <w:tcPr>
            <w:tcW w:w="738" w:type="dxa"/>
            <w:tcBorders>
              <w:top w:val="nil"/>
              <w:left w:val="nil"/>
              <w:bottom w:val="single" w:sz="8" w:space="0" w:color="9CC2E5"/>
              <w:right w:val="single" w:sz="8" w:space="0" w:color="9CC2E5"/>
            </w:tcBorders>
            <w:tcMar>
              <w:top w:w="0" w:type="dxa"/>
              <w:left w:w="108" w:type="dxa"/>
              <w:bottom w:w="0" w:type="dxa"/>
              <w:right w:w="108" w:type="dxa"/>
            </w:tcMar>
            <w:vAlign w:val="center"/>
            <w:hideMark/>
          </w:tcPr>
          <w:p w14:paraId="04118644" w14:textId="77777777" w:rsidR="008A3BF8" w:rsidRPr="001407D8" w:rsidRDefault="008A3BF8" w:rsidP="00A974F3">
            <w:pPr>
              <w:ind w:firstLine="0"/>
              <w:jc w:val="center"/>
              <w:rPr>
                <w:rFonts w:eastAsia="Times New Roman" w:cs="Times New Roman"/>
                <w:sz w:val="18"/>
                <w:szCs w:val="18"/>
                <w:lang w:eastAsia="lv-LV"/>
              </w:rPr>
            </w:pPr>
            <w:r w:rsidRPr="001407D8">
              <w:rPr>
                <w:rFonts w:eastAsia="Times New Roman" w:cs="Times New Roman"/>
                <w:sz w:val="18"/>
                <w:szCs w:val="18"/>
                <w:lang w:eastAsia="lv-LV"/>
              </w:rPr>
              <w:t>2,0</w:t>
            </w:r>
          </w:p>
        </w:tc>
      </w:tr>
      <w:tr w:rsidR="008A3BF8" w:rsidRPr="001407D8" w14:paraId="5A8AB920" w14:textId="77777777" w:rsidTr="00A974F3">
        <w:trPr>
          <w:trHeight w:val="540"/>
        </w:trPr>
        <w:tc>
          <w:tcPr>
            <w:tcW w:w="4668" w:type="dxa"/>
            <w:tcBorders>
              <w:top w:val="nil"/>
              <w:left w:val="single" w:sz="8" w:space="0" w:color="9CC2E5"/>
              <w:bottom w:val="single" w:sz="8" w:space="0" w:color="9CC2E5"/>
              <w:right w:val="single" w:sz="8" w:space="0" w:color="9CC2E5"/>
            </w:tcBorders>
            <w:shd w:val="clear" w:color="auto" w:fill="DEEAF6"/>
            <w:tcMar>
              <w:top w:w="0" w:type="dxa"/>
              <w:left w:w="108" w:type="dxa"/>
              <w:bottom w:w="0" w:type="dxa"/>
              <w:right w:w="108" w:type="dxa"/>
            </w:tcMar>
            <w:vAlign w:val="center"/>
            <w:hideMark/>
          </w:tcPr>
          <w:p w14:paraId="766DC38A" w14:textId="77777777" w:rsidR="008A3BF8" w:rsidRPr="001407D8" w:rsidRDefault="008A3BF8" w:rsidP="00A974F3">
            <w:pPr>
              <w:ind w:firstLine="0"/>
              <w:jc w:val="left"/>
              <w:rPr>
                <w:rFonts w:eastAsia="Times New Roman" w:cs="Times New Roman"/>
                <w:sz w:val="18"/>
                <w:szCs w:val="18"/>
                <w:lang w:eastAsia="lv-LV"/>
              </w:rPr>
            </w:pPr>
            <w:r w:rsidRPr="001407D8">
              <w:rPr>
                <w:rFonts w:eastAsia="Times New Roman" w:cs="Times New Roman"/>
                <w:sz w:val="18"/>
                <w:szCs w:val="18"/>
                <w:lang w:eastAsia="lv-LV"/>
              </w:rPr>
              <w:t>Pasaules preču un pakalpojumu tirdzniecības apjomu izmaiņas ES eksporta tirgos, izslēdzot ES, %</w:t>
            </w:r>
          </w:p>
        </w:tc>
        <w:tc>
          <w:tcPr>
            <w:tcW w:w="737" w:type="dxa"/>
            <w:tcBorders>
              <w:top w:val="nil"/>
              <w:left w:val="nil"/>
              <w:bottom w:val="single" w:sz="8" w:space="0" w:color="9CC2E5"/>
              <w:right w:val="single" w:sz="8" w:space="0" w:color="9CC2E5"/>
            </w:tcBorders>
            <w:shd w:val="clear" w:color="auto" w:fill="DEEAF6"/>
            <w:tcMar>
              <w:top w:w="0" w:type="dxa"/>
              <w:left w:w="108" w:type="dxa"/>
              <w:bottom w:w="0" w:type="dxa"/>
              <w:right w:w="108" w:type="dxa"/>
            </w:tcMar>
            <w:vAlign w:val="center"/>
            <w:hideMark/>
          </w:tcPr>
          <w:p w14:paraId="6BF3869B" w14:textId="77777777" w:rsidR="008A3BF8" w:rsidRPr="001407D8" w:rsidRDefault="008A3BF8" w:rsidP="00A974F3">
            <w:pPr>
              <w:ind w:firstLine="0"/>
              <w:jc w:val="center"/>
              <w:rPr>
                <w:rFonts w:eastAsia="Times New Roman" w:cs="Times New Roman"/>
                <w:sz w:val="18"/>
                <w:szCs w:val="18"/>
                <w:lang w:eastAsia="lv-LV"/>
              </w:rPr>
            </w:pPr>
            <w:r w:rsidRPr="001407D8">
              <w:rPr>
                <w:rFonts w:eastAsia="Times New Roman" w:cs="Times New Roman"/>
                <w:sz w:val="18"/>
                <w:szCs w:val="18"/>
                <w:lang w:eastAsia="lv-LV"/>
              </w:rPr>
              <w:t>4</w:t>
            </w:r>
            <w:r>
              <w:rPr>
                <w:rFonts w:eastAsia="Times New Roman" w:cs="Times New Roman"/>
                <w:sz w:val="18"/>
                <w:szCs w:val="18"/>
                <w:lang w:eastAsia="lv-LV"/>
              </w:rPr>
              <w:t>,2</w:t>
            </w:r>
          </w:p>
        </w:tc>
        <w:tc>
          <w:tcPr>
            <w:tcW w:w="737" w:type="dxa"/>
            <w:tcBorders>
              <w:top w:val="nil"/>
              <w:left w:val="nil"/>
              <w:bottom w:val="single" w:sz="8" w:space="0" w:color="9CC2E5"/>
              <w:right w:val="single" w:sz="8" w:space="0" w:color="9CC2E5"/>
            </w:tcBorders>
            <w:shd w:val="clear" w:color="auto" w:fill="DEEAF6"/>
            <w:tcMar>
              <w:top w:w="0" w:type="dxa"/>
              <w:left w:w="108" w:type="dxa"/>
              <w:bottom w:w="0" w:type="dxa"/>
              <w:right w:w="108" w:type="dxa"/>
            </w:tcMar>
            <w:vAlign w:val="center"/>
            <w:hideMark/>
          </w:tcPr>
          <w:p w14:paraId="787FE3B6" w14:textId="77777777" w:rsidR="008A3BF8" w:rsidRPr="001407D8" w:rsidRDefault="008A3BF8" w:rsidP="00A974F3">
            <w:pPr>
              <w:ind w:firstLine="0"/>
              <w:jc w:val="center"/>
              <w:rPr>
                <w:rFonts w:eastAsia="Times New Roman" w:cs="Times New Roman"/>
                <w:sz w:val="18"/>
                <w:szCs w:val="18"/>
                <w:lang w:eastAsia="lv-LV"/>
              </w:rPr>
            </w:pPr>
            <w:r>
              <w:rPr>
                <w:rFonts w:eastAsia="Times New Roman" w:cs="Times New Roman"/>
                <w:sz w:val="18"/>
                <w:szCs w:val="18"/>
                <w:lang w:eastAsia="lv-LV"/>
              </w:rPr>
              <w:t>2,9</w:t>
            </w:r>
          </w:p>
        </w:tc>
        <w:tc>
          <w:tcPr>
            <w:tcW w:w="738" w:type="dxa"/>
            <w:tcBorders>
              <w:top w:val="nil"/>
              <w:left w:val="nil"/>
              <w:bottom w:val="single" w:sz="8" w:space="0" w:color="9CC2E5"/>
              <w:right w:val="single" w:sz="8" w:space="0" w:color="9CC2E5"/>
            </w:tcBorders>
            <w:shd w:val="clear" w:color="auto" w:fill="DEEAF6"/>
            <w:tcMar>
              <w:top w:w="0" w:type="dxa"/>
              <w:left w:w="108" w:type="dxa"/>
              <w:bottom w:w="0" w:type="dxa"/>
              <w:right w:w="108" w:type="dxa"/>
            </w:tcMar>
            <w:vAlign w:val="center"/>
            <w:hideMark/>
          </w:tcPr>
          <w:p w14:paraId="5D4FC39D" w14:textId="77777777" w:rsidR="008A3BF8" w:rsidRPr="001407D8" w:rsidRDefault="008A3BF8" w:rsidP="00A974F3">
            <w:pPr>
              <w:ind w:firstLine="0"/>
              <w:jc w:val="center"/>
              <w:rPr>
                <w:rFonts w:eastAsia="Times New Roman" w:cs="Times New Roman"/>
                <w:sz w:val="18"/>
                <w:szCs w:val="18"/>
                <w:lang w:eastAsia="lv-LV"/>
              </w:rPr>
            </w:pPr>
            <w:r>
              <w:rPr>
                <w:rFonts w:eastAsia="Times New Roman" w:cs="Times New Roman"/>
                <w:sz w:val="18"/>
                <w:szCs w:val="18"/>
                <w:lang w:eastAsia="lv-LV"/>
              </w:rPr>
              <w:t>3</w:t>
            </w:r>
            <w:r w:rsidRPr="001407D8">
              <w:rPr>
                <w:rFonts w:eastAsia="Times New Roman" w:cs="Times New Roman"/>
                <w:sz w:val="18"/>
                <w:szCs w:val="18"/>
                <w:lang w:eastAsia="lv-LV"/>
              </w:rPr>
              <w:t>,6</w:t>
            </w:r>
          </w:p>
        </w:tc>
        <w:tc>
          <w:tcPr>
            <w:tcW w:w="737" w:type="dxa"/>
            <w:tcBorders>
              <w:top w:val="nil"/>
              <w:left w:val="nil"/>
              <w:bottom w:val="single" w:sz="8" w:space="0" w:color="9CC2E5"/>
              <w:right w:val="single" w:sz="8" w:space="0" w:color="9CC2E5"/>
            </w:tcBorders>
            <w:shd w:val="clear" w:color="auto" w:fill="DEEAF6"/>
            <w:tcMar>
              <w:top w:w="0" w:type="dxa"/>
              <w:left w:w="108" w:type="dxa"/>
              <w:bottom w:w="0" w:type="dxa"/>
              <w:right w:w="108" w:type="dxa"/>
            </w:tcMar>
            <w:vAlign w:val="center"/>
            <w:hideMark/>
          </w:tcPr>
          <w:p w14:paraId="581039AC" w14:textId="77777777" w:rsidR="008A3BF8" w:rsidRPr="001407D8" w:rsidRDefault="008A3BF8" w:rsidP="00A974F3">
            <w:pPr>
              <w:ind w:firstLine="0"/>
              <w:jc w:val="center"/>
              <w:rPr>
                <w:rFonts w:eastAsia="Times New Roman" w:cs="Times New Roman"/>
                <w:sz w:val="18"/>
                <w:szCs w:val="18"/>
                <w:lang w:eastAsia="lv-LV"/>
              </w:rPr>
            </w:pPr>
            <w:r>
              <w:rPr>
                <w:rFonts w:eastAsia="Times New Roman" w:cs="Times New Roman"/>
                <w:sz w:val="18"/>
                <w:szCs w:val="18"/>
                <w:lang w:eastAsia="lv-LV"/>
              </w:rPr>
              <w:t>3</w:t>
            </w:r>
            <w:r w:rsidRPr="001407D8">
              <w:rPr>
                <w:rFonts w:eastAsia="Times New Roman" w:cs="Times New Roman"/>
                <w:sz w:val="18"/>
                <w:szCs w:val="18"/>
                <w:lang w:eastAsia="lv-LV"/>
              </w:rPr>
              <w:t>,6</w:t>
            </w:r>
          </w:p>
        </w:tc>
        <w:tc>
          <w:tcPr>
            <w:tcW w:w="738" w:type="dxa"/>
            <w:tcBorders>
              <w:top w:val="nil"/>
              <w:left w:val="nil"/>
              <w:bottom w:val="single" w:sz="8" w:space="0" w:color="9CC2E5"/>
              <w:right w:val="single" w:sz="8" w:space="0" w:color="9CC2E5"/>
            </w:tcBorders>
            <w:shd w:val="clear" w:color="auto" w:fill="DEEAF6"/>
            <w:tcMar>
              <w:top w:w="0" w:type="dxa"/>
              <w:left w:w="108" w:type="dxa"/>
              <w:bottom w:w="0" w:type="dxa"/>
              <w:right w:w="108" w:type="dxa"/>
            </w:tcMar>
            <w:vAlign w:val="center"/>
            <w:hideMark/>
          </w:tcPr>
          <w:p w14:paraId="01815AF2" w14:textId="77777777" w:rsidR="008A3BF8" w:rsidRPr="001407D8" w:rsidRDefault="008A3BF8" w:rsidP="00A974F3">
            <w:pPr>
              <w:ind w:firstLine="0"/>
              <w:jc w:val="center"/>
              <w:rPr>
                <w:rFonts w:eastAsia="Times New Roman" w:cs="Times New Roman"/>
                <w:sz w:val="18"/>
                <w:szCs w:val="18"/>
                <w:lang w:eastAsia="lv-LV"/>
              </w:rPr>
            </w:pPr>
            <w:r>
              <w:rPr>
                <w:rFonts w:eastAsia="Times New Roman" w:cs="Times New Roman"/>
                <w:sz w:val="18"/>
                <w:szCs w:val="18"/>
                <w:lang w:eastAsia="lv-LV"/>
              </w:rPr>
              <w:t>3</w:t>
            </w:r>
            <w:r w:rsidRPr="001407D8">
              <w:rPr>
                <w:rFonts w:eastAsia="Times New Roman" w:cs="Times New Roman"/>
                <w:sz w:val="18"/>
                <w:szCs w:val="18"/>
                <w:lang w:eastAsia="lv-LV"/>
              </w:rPr>
              <w:t>,6</w:t>
            </w:r>
          </w:p>
        </w:tc>
      </w:tr>
      <w:tr w:rsidR="008A3BF8" w:rsidRPr="001407D8" w14:paraId="7C1F78CB" w14:textId="77777777" w:rsidTr="00A974F3">
        <w:trPr>
          <w:trHeight w:val="525"/>
        </w:trPr>
        <w:tc>
          <w:tcPr>
            <w:tcW w:w="4668" w:type="dxa"/>
            <w:tcBorders>
              <w:top w:val="nil"/>
              <w:left w:val="single" w:sz="8" w:space="0" w:color="9CC2E5"/>
              <w:bottom w:val="single" w:sz="8" w:space="0" w:color="9CC2E5"/>
              <w:right w:val="single" w:sz="8" w:space="0" w:color="9CC2E5"/>
            </w:tcBorders>
            <w:tcMar>
              <w:top w:w="0" w:type="dxa"/>
              <w:left w:w="108" w:type="dxa"/>
              <w:bottom w:w="0" w:type="dxa"/>
              <w:right w:w="108" w:type="dxa"/>
            </w:tcMar>
            <w:vAlign w:val="center"/>
            <w:hideMark/>
          </w:tcPr>
          <w:p w14:paraId="16ECD7D8" w14:textId="77777777" w:rsidR="008A3BF8" w:rsidRPr="001407D8" w:rsidRDefault="008A3BF8" w:rsidP="00A974F3">
            <w:pPr>
              <w:ind w:firstLine="0"/>
              <w:jc w:val="left"/>
              <w:rPr>
                <w:rFonts w:eastAsia="Times New Roman" w:cs="Times New Roman"/>
                <w:sz w:val="18"/>
                <w:szCs w:val="18"/>
                <w:lang w:eastAsia="lv-LV"/>
              </w:rPr>
            </w:pPr>
            <w:r w:rsidRPr="001407D8">
              <w:rPr>
                <w:rFonts w:eastAsia="Times New Roman" w:cs="Times New Roman"/>
                <w:sz w:val="18"/>
                <w:szCs w:val="18"/>
                <w:lang w:eastAsia="lv-LV"/>
              </w:rPr>
              <w:t>Pasaules preču un pakalpojumu importa apjomu izmaiņas, izslēdzot ES, %</w:t>
            </w:r>
          </w:p>
        </w:tc>
        <w:tc>
          <w:tcPr>
            <w:tcW w:w="737" w:type="dxa"/>
            <w:tcBorders>
              <w:top w:val="nil"/>
              <w:left w:val="nil"/>
              <w:bottom w:val="single" w:sz="8" w:space="0" w:color="9CC2E5"/>
              <w:right w:val="single" w:sz="8" w:space="0" w:color="9CC2E5"/>
            </w:tcBorders>
            <w:tcMar>
              <w:top w:w="0" w:type="dxa"/>
              <w:left w:w="108" w:type="dxa"/>
              <w:bottom w:w="0" w:type="dxa"/>
              <w:right w:w="108" w:type="dxa"/>
            </w:tcMar>
            <w:vAlign w:val="center"/>
            <w:hideMark/>
          </w:tcPr>
          <w:p w14:paraId="172148E5" w14:textId="77777777" w:rsidR="008A3BF8" w:rsidRPr="001407D8" w:rsidRDefault="008A3BF8" w:rsidP="00A974F3">
            <w:pPr>
              <w:ind w:firstLine="0"/>
              <w:jc w:val="center"/>
              <w:rPr>
                <w:rFonts w:eastAsia="Times New Roman" w:cs="Times New Roman"/>
                <w:sz w:val="18"/>
                <w:szCs w:val="18"/>
                <w:lang w:eastAsia="lv-LV"/>
              </w:rPr>
            </w:pPr>
            <w:r>
              <w:rPr>
                <w:rFonts w:eastAsia="Times New Roman" w:cs="Times New Roman"/>
                <w:sz w:val="18"/>
                <w:szCs w:val="18"/>
                <w:lang w:eastAsia="lv-LV"/>
              </w:rPr>
              <w:t>4,4</w:t>
            </w:r>
          </w:p>
        </w:tc>
        <w:tc>
          <w:tcPr>
            <w:tcW w:w="737" w:type="dxa"/>
            <w:tcBorders>
              <w:top w:val="nil"/>
              <w:left w:val="nil"/>
              <w:bottom w:val="single" w:sz="8" w:space="0" w:color="9CC2E5"/>
              <w:right w:val="single" w:sz="8" w:space="0" w:color="9CC2E5"/>
            </w:tcBorders>
            <w:tcMar>
              <w:top w:w="0" w:type="dxa"/>
              <w:left w:w="108" w:type="dxa"/>
              <w:bottom w:w="0" w:type="dxa"/>
              <w:right w:w="108" w:type="dxa"/>
            </w:tcMar>
            <w:vAlign w:val="center"/>
            <w:hideMark/>
          </w:tcPr>
          <w:p w14:paraId="72F64158" w14:textId="77777777" w:rsidR="008A3BF8" w:rsidRPr="001407D8" w:rsidRDefault="008A3BF8" w:rsidP="00A974F3">
            <w:pPr>
              <w:ind w:firstLine="0"/>
              <w:jc w:val="center"/>
              <w:rPr>
                <w:rFonts w:eastAsia="Times New Roman" w:cs="Times New Roman"/>
                <w:sz w:val="18"/>
                <w:szCs w:val="18"/>
                <w:lang w:eastAsia="lv-LV"/>
              </w:rPr>
            </w:pPr>
            <w:r>
              <w:rPr>
                <w:rFonts w:eastAsia="Times New Roman" w:cs="Times New Roman"/>
                <w:sz w:val="18"/>
                <w:szCs w:val="18"/>
                <w:lang w:eastAsia="lv-LV"/>
              </w:rPr>
              <w:t>2,4</w:t>
            </w:r>
          </w:p>
        </w:tc>
        <w:tc>
          <w:tcPr>
            <w:tcW w:w="738" w:type="dxa"/>
            <w:tcBorders>
              <w:top w:val="nil"/>
              <w:left w:val="nil"/>
              <w:bottom w:val="single" w:sz="8" w:space="0" w:color="9CC2E5"/>
              <w:right w:val="single" w:sz="8" w:space="0" w:color="9CC2E5"/>
            </w:tcBorders>
            <w:tcMar>
              <w:top w:w="0" w:type="dxa"/>
              <w:left w:w="108" w:type="dxa"/>
              <w:bottom w:w="0" w:type="dxa"/>
              <w:right w:w="108" w:type="dxa"/>
            </w:tcMar>
            <w:vAlign w:val="center"/>
            <w:hideMark/>
          </w:tcPr>
          <w:p w14:paraId="6C35CA19" w14:textId="77777777" w:rsidR="008A3BF8" w:rsidRPr="001407D8" w:rsidRDefault="008A3BF8" w:rsidP="00A974F3">
            <w:pPr>
              <w:ind w:firstLine="0"/>
              <w:jc w:val="center"/>
              <w:rPr>
                <w:rFonts w:eastAsia="Times New Roman" w:cs="Times New Roman"/>
                <w:sz w:val="18"/>
                <w:szCs w:val="18"/>
                <w:lang w:eastAsia="lv-LV"/>
              </w:rPr>
            </w:pPr>
            <w:r>
              <w:rPr>
                <w:rFonts w:eastAsia="Times New Roman" w:cs="Times New Roman"/>
                <w:sz w:val="18"/>
                <w:szCs w:val="18"/>
                <w:lang w:eastAsia="lv-LV"/>
              </w:rPr>
              <w:t>3</w:t>
            </w:r>
            <w:r w:rsidRPr="001407D8">
              <w:rPr>
                <w:rFonts w:eastAsia="Times New Roman" w:cs="Times New Roman"/>
                <w:sz w:val="18"/>
                <w:szCs w:val="18"/>
                <w:lang w:eastAsia="lv-LV"/>
              </w:rPr>
              <w:t>,6</w:t>
            </w:r>
          </w:p>
        </w:tc>
        <w:tc>
          <w:tcPr>
            <w:tcW w:w="737" w:type="dxa"/>
            <w:tcBorders>
              <w:top w:val="nil"/>
              <w:left w:val="nil"/>
              <w:bottom w:val="single" w:sz="8" w:space="0" w:color="9CC2E5"/>
              <w:right w:val="single" w:sz="8" w:space="0" w:color="9CC2E5"/>
            </w:tcBorders>
            <w:tcMar>
              <w:top w:w="0" w:type="dxa"/>
              <w:left w:w="108" w:type="dxa"/>
              <w:bottom w:w="0" w:type="dxa"/>
              <w:right w:w="108" w:type="dxa"/>
            </w:tcMar>
            <w:vAlign w:val="center"/>
            <w:hideMark/>
          </w:tcPr>
          <w:p w14:paraId="6697081B" w14:textId="77777777" w:rsidR="008A3BF8" w:rsidRPr="001407D8" w:rsidRDefault="008A3BF8" w:rsidP="00A974F3">
            <w:pPr>
              <w:ind w:firstLine="0"/>
              <w:jc w:val="center"/>
              <w:rPr>
                <w:rFonts w:eastAsia="Times New Roman" w:cs="Times New Roman"/>
                <w:sz w:val="18"/>
                <w:szCs w:val="18"/>
                <w:lang w:eastAsia="lv-LV"/>
              </w:rPr>
            </w:pPr>
            <w:r>
              <w:rPr>
                <w:rFonts w:eastAsia="Times New Roman" w:cs="Times New Roman"/>
                <w:sz w:val="18"/>
                <w:szCs w:val="18"/>
                <w:lang w:eastAsia="lv-LV"/>
              </w:rPr>
              <w:t>3</w:t>
            </w:r>
            <w:r w:rsidRPr="001407D8">
              <w:rPr>
                <w:rFonts w:eastAsia="Times New Roman" w:cs="Times New Roman"/>
                <w:sz w:val="18"/>
                <w:szCs w:val="18"/>
                <w:lang w:eastAsia="lv-LV"/>
              </w:rPr>
              <w:t>,6</w:t>
            </w:r>
          </w:p>
        </w:tc>
        <w:tc>
          <w:tcPr>
            <w:tcW w:w="738" w:type="dxa"/>
            <w:tcBorders>
              <w:top w:val="nil"/>
              <w:left w:val="nil"/>
              <w:bottom w:val="single" w:sz="8" w:space="0" w:color="9CC2E5"/>
              <w:right w:val="single" w:sz="8" w:space="0" w:color="9CC2E5"/>
            </w:tcBorders>
            <w:tcMar>
              <w:top w:w="0" w:type="dxa"/>
              <w:left w:w="108" w:type="dxa"/>
              <w:bottom w:w="0" w:type="dxa"/>
              <w:right w:w="108" w:type="dxa"/>
            </w:tcMar>
            <w:vAlign w:val="center"/>
            <w:hideMark/>
          </w:tcPr>
          <w:p w14:paraId="4B1EEAB8" w14:textId="77777777" w:rsidR="008A3BF8" w:rsidRPr="001407D8" w:rsidRDefault="008A3BF8" w:rsidP="00A974F3">
            <w:pPr>
              <w:ind w:firstLine="0"/>
              <w:jc w:val="center"/>
              <w:rPr>
                <w:rFonts w:eastAsia="Times New Roman" w:cs="Times New Roman"/>
                <w:sz w:val="18"/>
                <w:szCs w:val="18"/>
                <w:lang w:eastAsia="lv-LV"/>
              </w:rPr>
            </w:pPr>
            <w:r>
              <w:rPr>
                <w:rFonts w:eastAsia="Times New Roman" w:cs="Times New Roman"/>
                <w:sz w:val="18"/>
                <w:szCs w:val="18"/>
                <w:lang w:eastAsia="lv-LV"/>
              </w:rPr>
              <w:t>3</w:t>
            </w:r>
            <w:r w:rsidRPr="001407D8">
              <w:rPr>
                <w:rFonts w:eastAsia="Times New Roman" w:cs="Times New Roman"/>
                <w:sz w:val="18"/>
                <w:szCs w:val="18"/>
                <w:lang w:eastAsia="lv-LV"/>
              </w:rPr>
              <w:t>,6</w:t>
            </w:r>
          </w:p>
        </w:tc>
      </w:tr>
      <w:tr w:rsidR="008A3BF8" w:rsidRPr="001407D8" w14:paraId="661D202D" w14:textId="77777777" w:rsidTr="00A974F3">
        <w:trPr>
          <w:trHeight w:val="315"/>
        </w:trPr>
        <w:tc>
          <w:tcPr>
            <w:tcW w:w="4668" w:type="dxa"/>
            <w:tcBorders>
              <w:top w:val="nil"/>
              <w:left w:val="single" w:sz="8" w:space="0" w:color="9CC2E5"/>
              <w:bottom w:val="single" w:sz="8" w:space="0" w:color="9CC2E5"/>
              <w:right w:val="single" w:sz="8" w:space="0" w:color="9CC2E5"/>
            </w:tcBorders>
            <w:shd w:val="clear" w:color="auto" w:fill="DEEAF6"/>
            <w:tcMar>
              <w:top w:w="0" w:type="dxa"/>
              <w:left w:w="108" w:type="dxa"/>
              <w:bottom w:w="0" w:type="dxa"/>
              <w:right w:w="108" w:type="dxa"/>
            </w:tcMar>
            <w:vAlign w:val="center"/>
            <w:hideMark/>
          </w:tcPr>
          <w:p w14:paraId="5E6A0FC9" w14:textId="77777777" w:rsidR="008A3BF8" w:rsidRPr="001407D8" w:rsidRDefault="008A3BF8" w:rsidP="00A974F3">
            <w:pPr>
              <w:ind w:firstLine="0"/>
              <w:jc w:val="left"/>
              <w:rPr>
                <w:rFonts w:eastAsia="Times New Roman" w:cs="Times New Roman"/>
                <w:sz w:val="18"/>
                <w:szCs w:val="18"/>
                <w:lang w:eastAsia="lv-LV"/>
              </w:rPr>
            </w:pPr>
            <w:r w:rsidRPr="001407D8">
              <w:rPr>
                <w:rFonts w:eastAsia="Times New Roman" w:cs="Times New Roman"/>
                <w:sz w:val="18"/>
                <w:szCs w:val="18"/>
                <w:lang w:eastAsia="lv-LV"/>
              </w:rPr>
              <w:lastRenderedPageBreak/>
              <w:t>Naftas cena (</w:t>
            </w:r>
            <w:proofErr w:type="spellStart"/>
            <w:r w:rsidRPr="001407D8">
              <w:rPr>
                <w:rFonts w:eastAsia="Times New Roman" w:cs="Times New Roman"/>
                <w:sz w:val="18"/>
                <w:szCs w:val="18"/>
                <w:lang w:eastAsia="lv-LV"/>
              </w:rPr>
              <w:t>Brent</w:t>
            </w:r>
            <w:proofErr w:type="spellEnd"/>
            <w:r w:rsidRPr="001407D8">
              <w:rPr>
                <w:rFonts w:eastAsia="Times New Roman" w:cs="Times New Roman"/>
                <w:sz w:val="18"/>
                <w:szCs w:val="18"/>
                <w:lang w:eastAsia="lv-LV"/>
              </w:rPr>
              <w:t>, USD par barelu)</w:t>
            </w:r>
          </w:p>
        </w:tc>
        <w:tc>
          <w:tcPr>
            <w:tcW w:w="737" w:type="dxa"/>
            <w:tcBorders>
              <w:top w:val="nil"/>
              <w:left w:val="nil"/>
              <w:bottom w:val="single" w:sz="8" w:space="0" w:color="9CC2E5"/>
              <w:right w:val="single" w:sz="8" w:space="0" w:color="9CC2E5"/>
            </w:tcBorders>
            <w:shd w:val="clear" w:color="auto" w:fill="DEEAF6"/>
            <w:tcMar>
              <w:top w:w="0" w:type="dxa"/>
              <w:left w:w="108" w:type="dxa"/>
              <w:bottom w:w="0" w:type="dxa"/>
              <w:right w:w="108" w:type="dxa"/>
            </w:tcMar>
            <w:vAlign w:val="center"/>
            <w:hideMark/>
          </w:tcPr>
          <w:p w14:paraId="25EC7E98" w14:textId="77777777" w:rsidR="008A3BF8" w:rsidRPr="001407D8" w:rsidRDefault="008A3BF8" w:rsidP="00A974F3">
            <w:pPr>
              <w:ind w:firstLine="0"/>
              <w:jc w:val="center"/>
              <w:rPr>
                <w:rFonts w:eastAsia="Times New Roman" w:cs="Times New Roman"/>
                <w:sz w:val="18"/>
                <w:szCs w:val="18"/>
                <w:lang w:eastAsia="lv-LV"/>
              </w:rPr>
            </w:pPr>
            <w:r>
              <w:rPr>
                <w:rFonts w:eastAsia="Times New Roman" w:cs="Times New Roman"/>
                <w:sz w:val="18"/>
                <w:szCs w:val="18"/>
                <w:lang w:eastAsia="lv-LV"/>
              </w:rPr>
              <w:t>100,7</w:t>
            </w:r>
          </w:p>
        </w:tc>
        <w:tc>
          <w:tcPr>
            <w:tcW w:w="737" w:type="dxa"/>
            <w:tcBorders>
              <w:top w:val="nil"/>
              <w:left w:val="nil"/>
              <w:bottom w:val="single" w:sz="8" w:space="0" w:color="9CC2E5"/>
              <w:right w:val="single" w:sz="8" w:space="0" w:color="9CC2E5"/>
            </w:tcBorders>
            <w:shd w:val="clear" w:color="auto" w:fill="DEEAF6"/>
            <w:tcMar>
              <w:top w:w="0" w:type="dxa"/>
              <w:left w:w="108" w:type="dxa"/>
              <w:bottom w:w="0" w:type="dxa"/>
              <w:right w:w="108" w:type="dxa"/>
            </w:tcMar>
            <w:vAlign w:val="center"/>
          </w:tcPr>
          <w:p w14:paraId="7CC14842" w14:textId="77777777" w:rsidR="008A3BF8" w:rsidRPr="001407D8" w:rsidRDefault="008A3BF8" w:rsidP="00A974F3">
            <w:pPr>
              <w:ind w:firstLine="0"/>
              <w:jc w:val="center"/>
              <w:rPr>
                <w:rFonts w:eastAsia="Times New Roman" w:cs="Times New Roman"/>
                <w:sz w:val="18"/>
                <w:szCs w:val="18"/>
                <w:lang w:eastAsia="lv-LV"/>
              </w:rPr>
            </w:pPr>
            <w:r>
              <w:rPr>
                <w:rFonts w:eastAsia="Times New Roman" w:cs="Times New Roman"/>
                <w:sz w:val="18"/>
                <w:szCs w:val="18"/>
                <w:lang w:eastAsia="lv-LV"/>
              </w:rPr>
              <w:t>90,0</w:t>
            </w:r>
          </w:p>
        </w:tc>
        <w:tc>
          <w:tcPr>
            <w:tcW w:w="738" w:type="dxa"/>
            <w:tcBorders>
              <w:top w:val="nil"/>
              <w:left w:val="nil"/>
              <w:bottom w:val="single" w:sz="8" w:space="0" w:color="9CC2E5"/>
              <w:right w:val="single" w:sz="8" w:space="0" w:color="9CC2E5"/>
            </w:tcBorders>
            <w:shd w:val="clear" w:color="auto" w:fill="DEEAF6"/>
            <w:tcMar>
              <w:top w:w="0" w:type="dxa"/>
              <w:left w:w="108" w:type="dxa"/>
              <w:bottom w:w="0" w:type="dxa"/>
              <w:right w:w="108" w:type="dxa"/>
            </w:tcMar>
            <w:vAlign w:val="center"/>
          </w:tcPr>
          <w:p w14:paraId="1DFE1147" w14:textId="77777777" w:rsidR="008A3BF8" w:rsidRPr="001407D8" w:rsidRDefault="008A3BF8" w:rsidP="00A974F3">
            <w:pPr>
              <w:ind w:firstLine="0"/>
              <w:jc w:val="center"/>
              <w:rPr>
                <w:rFonts w:eastAsia="Times New Roman" w:cs="Times New Roman"/>
                <w:sz w:val="18"/>
                <w:szCs w:val="18"/>
                <w:lang w:eastAsia="lv-LV"/>
              </w:rPr>
            </w:pPr>
            <w:r>
              <w:rPr>
                <w:rFonts w:eastAsia="Times New Roman" w:cs="Times New Roman"/>
                <w:sz w:val="18"/>
                <w:szCs w:val="18"/>
                <w:lang w:eastAsia="lv-LV"/>
              </w:rPr>
              <w:t>80,0</w:t>
            </w:r>
          </w:p>
        </w:tc>
        <w:tc>
          <w:tcPr>
            <w:tcW w:w="737" w:type="dxa"/>
            <w:tcBorders>
              <w:top w:val="nil"/>
              <w:left w:val="nil"/>
              <w:bottom w:val="single" w:sz="8" w:space="0" w:color="9CC2E5"/>
              <w:right w:val="single" w:sz="8" w:space="0" w:color="9CC2E5"/>
            </w:tcBorders>
            <w:shd w:val="clear" w:color="auto" w:fill="DEEAF6"/>
            <w:tcMar>
              <w:top w:w="0" w:type="dxa"/>
              <w:left w:w="108" w:type="dxa"/>
              <w:bottom w:w="0" w:type="dxa"/>
              <w:right w:w="108" w:type="dxa"/>
            </w:tcMar>
            <w:vAlign w:val="center"/>
          </w:tcPr>
          <w:p w14:paraId="36E989AA" w14:textId="77777777" w:rsidR="008A3BF8" w:rsidRPr="001407D8" w:rsidRDefault="008A3BF8" w:rsidP="00A974F3">
            <w:pPr>
              <w:ind w:firstLine="0"/>
              <w:jc w:val="center"/>
              <w:rPr>
                <w:rFonts w:eastAsia="Times New Roman" w:cs="Times New Roman"/>
                <w:sz w:val="18"/>
                <w:szCs w:val="18"/>
                <w:lang w:eastAsia="lv-LV"/>
              </w:rPr>
            </w:pPr>
            <w:r>
              <w:rPr>
                <w:rFonts w:eastAsia="Times New Roman" w:cs="Times New Roman"/>
                <w:sz w:val="18"/>
                <w:szCs w:val="18"/>
                <w:lang w:eastAsia="lv-LV"/>
              </w:rPr>
              <w:t>75,0</w:t>
            </w:r>
          </w:p>
        </w:tc>
        <w:tc>
          <w:tcPr>
            <w:tcW w:w="738" w:type="dxa"/>
            <w:tcBorders>
              <w:top w:val="nil"/>
              <w:left w:val="nil"/>
              <w:bottom w:val="single" w:sz="8" w:space="0" w:color="9CC2E5"/>
              <w:right w:val="single" w:sz="8" w:space="0" w:color="9CC2E5"/>
            </w:tcBorders>
            <w:shd w:val="clear" w:color="auto" w:fill="DEEAF6"/>
            <w:tcMar>
              <w:top w:w="0" w:type="dxa"/>
              <w:left w:w="108" w:type="dxa"/>
              <w:bottom w:w="0" w:type="dxa"/>
              <w:right w:w="108" w:type="dxa"/>
            </w:tcMar>
            <w:vAlign w:val="center"/>
          </w:tcPr>
          <w:p w14:paraId="3853136D" w14:textId="77777777" w:rsidR="008A3BF8" w:rsidRPr="001407D8" w:rsidRDefault="008A3BF8" w:rsidP="00A974F3">
            <w:pPr>
              <w:ind w:firstLine="0"/>
              <w:jc w:val="center"/>
              <w:rPr>
                <w:rFonts w:eastAsia="Times New Roman" w:cs="Times New Roman"/>
                <w:sz w:val="18"/>
                <w:szCs w:val="18"/>
                <w:lang w:eastAsia="lv-LV"/>
              </w:rPr>
            </w:pPr>
            <w:r>
              <w:rPr>
                <w:rFonts w:eastAsia="Times New Roman" w:cs="Times New Roman"/>
                <w:sz w:val="18"/>
                <w:szCs w:val="18"/>
                <w:lang w:eastAsia="lv-LV"/>
              </w:rPr>
              <w:t>75,0</w:t>
            </w:r>
          </w:p>
        </w:tc>
      </w:tr>
    </w:tbl>
    <w:bookmarkEnd w:id="78"/>
    <w:p w14:paraId="3061574C" w14:textId="3065B88F" w:rsidR="000253B6" w:rsidRDefault="00001558" w:rsidP="008D5244">
      <w:pPr>
        <w:spacing w:after="160" w:line="259" w:lineRule="auto"/>
        <w:ind w:firstLine="0"/>
        <w:jc w:val="left"/>
        <w:rPr>
          <w:rFonts w:eastAsia="Times New Roman" w:cs="Times New Roman"/>
          <w:sz w:val="18"/>
          <w:szCs w:val="18"/>
        </w:rPr>
      </w:pPr>
      <w:r>
        <w:rPr>
          <w:rFonts w:eastAsia="Times New Roman" w:cs="Times New Roman"/>
          <w:color w:val="000000"/>
          <w:sz w:val="18"/>
          <w:szCs w:val="18"/>
          <w:vertAlign w:val="superscript"/>
        </w:rPr>
        <w:t>*</w:t>
      </w:r>
      <w:r w:rsidRPr="00E70C16">
        <w:rPr>
          <w:rFonts w:eastAsia="Times New Roman" w:cs="Times New Roman"/>
          <w:color w:val="000000"/>
          <w:sz w:val="18"/>
          <w:szCs w:val="18"/>
          <w:vertAlign w:val="superscript"/>
        </w:rPr>
        <w:t xml:space="preserve"> </w:t>
      </w:r>
      <w:r w:rsidR="008A3BF8" w:rsidRPr="00E70C16">
        <w:rPr>
          <w:rFonts w:eastAsia="Times New Roman" w:cs="Times New Roman"/>
          <w:color w:val="000000"/>
          <w:sz w:val="18"/>
          <w:szCs w:val="18"/>
        </w:rPr>
        <w:t>Prognozes</w:t>
      </w:r>
      <w:r w:rsidR="005C2A56">
        <w:rPr>
          <w:rFonts w:eastAsia="Times New Roman" w:cs="Times New Roman"/>
          <w:color w:val="000000"/>
          <w:sz w:val="18"/>
          <w:szCs w:val="18"/>
        </w:rPr>
        <w:t>:</w:t>
      </w:r>
      <w:r w:rsidR="008A3BF8" w:rsidRPr="00E70C16">
        <w:rPr>
          <w:rFonts w:eastAsia="Times New Roman" w:cs="Times New Roman"/>
          <w:color w:val="000000"/>
          <w:sz w:val="18"/>
          <w:szCs w:val="18"/>
        </w:rPr>
        <w:t xml:space="preserve"> 2023.</w:t>
      </w:r>
      <w:r w:rsidR="004E3F97">
        <w:rPr>
          <w:rFonts w:eastAsia="Times New Roman" w:cs="Times New Roman"/>
          <w:color w:val="000000"/>
          <w:sz w:val="18"/>
          <w:szCs w:val="18"/>
        </w:rPr>
        <w:t xml:space="preserve"> </w:t>
      </w:r>
      <w:r w:rsidR="008A3BF8" w:rsidRPr="00E70C16">
        <w:rPr>
          <w:rFonts w:eastAsia="Times New Roman" w:cs="Times New Roman"/>
          <w:color w:val="000000"/>
          <w:sz w:val="18"/>
          <w:szCs w:val="18"/>
        </w:rPr>
        <w:t>gada marta scenārijs</w:t>
      </w:r>
    </w:p>
    <w:p w14:paraId="09F2D531" w14:textId="77777777" w:rsidR="008D5244" w:rsidRPr="008D5244" w:rsidRDefault="008D5244" w:rsidP="00AE2C3A">
      <w:pPr>
        <w:spacing w:line="259" w:lineRule="auto"/>
        <w:ind w:firstLine="0"/>
        <w:jc w:val="left"/>
        <w:rPr>
          <w:rFonts w:eastAsia="Times New Roman" w:cs="Times New Roman"/>
          <w:sz w:val="18"/>
          <w:szCs w:val="18"/>
        </w:rPr>
      </w:pPr>
    </w:p>
    <w:p w14:paraId="348F2DDF" w14:textId="700DAD61" w:rsidR="005346E4" w:rsidRPr="00042C12" w:rsidRDefault="008D5244" w:rsidP="00E54B38">
      <w:pPr>
        <w:keepNext/>
        <w:spacing w:after="120"/>
        <w:ind w:firstLine="0"/>
        <w:jc w:val="left"/>
        <w:rPr>
          <w:rFonts w:eastAsia="Times New Roman" w:cs="Times New Roman"/>
          <w:b/>
          <w:color w:val="000000"/>
          <w:sz w:val="24"/>
          <w:szCs w:val="24"/>
        </w:rPr>
      </w:pPr>
      <w:r w:rsidRPr="00042C12">
        <w:rPr>
          <w:rFonts w:eastAsia="Times New Roman" w:cs="Times New Roman"/>
          <w:b/>
          <w:color w:val="000000"/>
          <w:sz w:val="24"/>
          <w:szCs w:val="24"/>
        </w:rPr>
        <w:t>9</w:t>
      </w:r>
      <w:r w:rsidR="005346E4" w:rsidRPr="00042C12">
        <w:rPr>
          <w:rFonts w:eastAsia="Times New Roman" w:cs="Times New Roman"/>
          <w:b/>
          <w:color w:val="000000"/>
          <w:sz w:val="24"/>
          <w:szCs w:val="24"/>
        </w:rPr>
        <w:t>. tabula. ANM ietekme</w:t>
      </w:r>
    </w:p>
    <w:tbl>
      <w:tblPr>
        <w:tblStyle w:val="GridTable6Colorful-Accent1175"/>
        <w:tblW w:w="9776" w:type="dxa"/>
        <w:jc w:val="center"/>
        <w:tblLook w:val="04A0" w:firstRow="1" w:lastRow="0" w:firstColumn="1" w:lastColumn="0" w:noHBand="0" w:noVBand="1"/>
      </w:tblPr>
      <w:tblGrid>
        <w:gridCol w:w="4815"/>
        <w:gridCol w:w="709"/>
        <w:gridCol w:w="708"/>
        <w:gridCol w:w="709"/>
        <w:gridCol w:w="709"/>
        <w:gridCol w:w="709"/>
        <w:gridCol w:w="708"/>
        <w:gridCol w:w="709"/>
      </w:tblGrid>
      <w:tr w:rsidR="005346E4" w:rsidRPr="00042C12" w14:paraId="631C785C" w14:textId="77777777" w:rsidTr="00991B5E">
        <w:trPr>
          <w:cnfStyle w:val="100000000000" w:firstRow="1" w:lastRow="0" w:firstColumn="0" w:lastColumn="0" w:oddVBand="0" w:evenVBand="0" w:oddHBand="0" w:evenHBand="0" w:firstRowFirstColumn="0" w:firstRowLastColumn="0" w:lastRowFirstColumn="0" w:lastRowLastColumn="0"/>
          <w:trHeight w:val="183"/>
          <w:jc w:val="center"/>
        </w:trPr>
        <w:tc>
          <w:tcPr>
            <w:cnfStyle w:val="001000000000" w:firstRow="0" w:lastRow="0" w:firstColumn="1" w:lastColumn="0" w:oddVBand="0" w:evenVBand="0" w:oddHBand="0" w:evenHBand="0" w:firstRowFirstColumn="0" w:firstRowLastColumn="0" w:lastRowFirstColumn="0" w:lastRowLastColumn="0"/>
            <w:tcW w:w="9776" w:type="dxa"/>
            <w:gridSpan w:val="8"/>
            <w:shd w:val="clear" w:color="auto" w:fill="DEEAF6"/>
            <w:noWrap/>
            <w:vAlign w:val="center"/>
          </w:tcPr>
          <w:p w14:paraId="73DF9322" w14:textId="77777777" w:rsidR="005346E4" w:rsidRPr="00042C12" w:rsidRDefault="005346E4" w:rsidP="006E3B77">
            <w:pPr>
              <w:spacing w:line="259" w:lineRule="auto"/>
              <w:ind w:firstLine="0"/>
              <w:jc w:val="center"/>
              <w:rPr>
                <w:rFonts w:eastAsia="Times New Roman" w:cs="Times New Roman"/>
                <w:color w:val="000000"/>
                <w:sz w:val="18"/>
                <w:szCs w:val="18"/>
              </w:rPr>
            </w:pPr>
            <w:r w:rsidRPr="00042C12">
              <w:rPr>
                <w:rFonts w:eastAsia="Times New Roman" w:cs="Times New Roman"/>
                <w:color w:val="000000"/>
                <w:sz w:val="18"/>
                <w:szCs w:val="18"/>
              </w:rPr>
              <w:t>Ieņēmumi no ANM pārvedumiem (% no IKP)</w:t>
            </w:r>
          </w:p>
        </w:tc>
      </w:tr>
      <w:tr w:rsidR="005346E4" w:rsidRPr="00042C12" w14:paraId="684F252B" w14:textId="77777777" w:rsidTr="00991B5E">
        <w:trPr>
          <w:cnfStyle w:val="000000100000" w:firstRow="0" w:lastRow="0" w:firstColumn="0" w:lastColumn="0" w:oddVBand="0" w:evenVBand="0" w:oddHBand="1" w:evenHBand="0" w:firstRowFirstColumn="0" w:firstRowLastColumn="0" w:lastRowFirstColumn="0" w:lastRowLastColumn="0"/>
          <w:trHeight w:val="209"/>
          <w:jc w:val="center"/>
        </w:trPr>
        <w:tc>
          <w:tcPr>
            <w:cnfStyle w:val="001000000000" w:firstRow="0" w:lastRow="0" w:firstColumn="1" w:lastColumn="0" w:oddVBand="0" w:evenVBand="0" w:oddHBand="0" w:evenHBand="0" w:firstRowFirstColumn="0" w:firstRowLastColumn="0" w:lastRowFirstColumn="0" w:lastRowLastColumn="0"/>
            <w:tcW w:w="4815" w:type="dxa"/>
            <w:noWrap/>
            <w:vAlign w:val="center"/>
            <w:hideMark/>
          </w:tcPr>
          <w:p w14:paraId="564248BF" w14:textId="77777777" w:rsidR="005346E4" w:rsidRPr="00042C12" w:rsidRDefault="005346E4" w:rsidP="006E3B77">
            <w:pPr>
              <w:spacing w:line="259" w:lineRule="auto"/>
              <w:ind w:firstLine="0"/>
              <w:jc w:val="left"/>
              <w:rPr>
                <w:rFonts w:eastAsia="Times New Roman" w:cs="Times New Roman"/>
                <w:color w:val="000000"/>
                <w:sz w:val="18"/>
                <w:szCs w:val="18"/>
              </w:rPr>
            </w:pPr>
          </w:p>
        </w:tc>
        <w:tc>
          <w:tcPr>
            <w:tcW w:w="709" w:type="dxa"/>
            <w:vAlign w:val="center"/>
          </w:tcPr>
          <w:p w14:paraId="47EDB3BC" w14:textId="77777777" w:rsidR="005346E4" w:rsidRPr="00042C12" w:rsidRDefault="005346E4" w:rsidP="006E3B77">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18"/>
              </w:rPr>
            </w:pPr>
            <w:r w:rsidRPr="00042C12">
              <w:rPr>
                <w:rFonts w:eastAsia="Times New Roman" w:cs="Times New Roman"/>
                <w:b/>
                <w:bCs/>
                <w:color w:val="000000"/>
                <w:sz w:val="18"/>
                <w:szCs w:val="18"/>
              </w:rPr>
              <w:t>2020</w:t>
            </w:r>
          </w:p>
        </w:tc>
        <w:tc>
          <w:tcPr>
            <w:tcW w:w="708" w:type="dxa"/>
            <w:vAlign w:val="center"/>
            <w:hideMark/>
          </w:tcPr>
          <w:p w14:paraId="0514FFCD" w14:textId="77777777" w:rsidR="005346E4" w:rsidRPr="00042C12" w:rsidRDefault="005346E4" w:rsidP="006E3B77">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18"/>
              </w:rPr>
            </w:pPr>
            <w:r w:rsidRPr="00042C12">
              <w:rPr>
                <w:rFonts w:eastAsia="Times New Roman" w:cs="Times New Roman"/>
                <w:b/>
                <w:bCs/>
                <w:color w:val="000000"/>
                <w:sz w:val="18"/>
                <w:szCs w:val="18"/>
              </w:rPr>
              <w:t>2021</w:t>
            </w:r>
          </w:p>
        </w:tc>
        <w:tc>
          <w:tcPr>
            <w:tcW w:w="709" w:type="dxa"/>
            <w:noWrap/>
            <w:vAlign w:val="center"/>
            <w:hideMark/>
          </w:tcPr>
          <w:p w14:paraId="11A62069" w14:textId="77777777" w:rsidR="005346E4" w:rsidRPr="00042C12" w:rsidRDefault="005346E4" w:rsidP="006E3B77">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18"/>
              </w:rPr>
            </w:pPr>
            <w:r w:rsidRPr="00042C12">
              <w:rPr>
                <w:rFonts w:eastAsia="Times New Roman" w:cs="Times New Roman"/>
                <w:b/>
                <w:bCs/>
                <w:color w:val="000000"/>
                <w:sz w:val="18"/>
                <w:szCs w:val="18"/>
              </w:rPr>
              <w:t>2022</w:t>
            </w:r>
          </w:p>
        </w:tc>
        <w:tc>
          <w:tcPr>
            <w:tcW w:w="709" w:type="dxa"/>
            <w:noWrap/>
            <w:vAlign w:val="center"/>
            <w:hideMark/>
          </w:tcPr>
          <w:p w14:paraId="2D3613D1" w14:textId="77777777" w:rsidR="005346E4" w:rsidRPr="00042C12" w:rsidRDefault="005346E4" w:rsidP="006E3B77">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18"/>
              </w:rPr>
            </w:pPr>
            <w:r w:rsidRPr="00042C12">
              <w:rPr>
                <w:rFonts w:eastAsia="Times New Roman" w:cs="Times New Roman"/>
                <w:b/>
                <w:bCs/>
                <w:color w:val="000000"/>
                <w:sz w:val="18"/>
                <w:szCs w:val="18"/>
              </w:rPr>
              <w:t>2023</w:t>
            </w:r>
          </w:p>
        </w:tc>
        <w:tc>
          <w:tcPr>
            <w:tcW w:w="709" w:type="dxa"/>
            <w:noWrap/>
            <w:vAlign w:val="center"/>
            <w:hideMark/>
          </w:tcPr>
          <w:p w14:paraId="0EA31132" w14:textId="77777777" w:rsidR="005346E4" w:rsidRPr="00042C12" w:rsidRDefault="005346E4" w:rsidP="006E3B77">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18"/>
              </w:rPr>
            </w:pPr>
            <w:r w:rsidRPr="00042C12">
              <w:rPr>
                <w:rFonts w:eastAsia="Times New Roman" w:cs="Times New Roman"/>
                <w:b/>
                <w:bCs/>
                <w:color w:val="000000"/>
                <w:sz w:val="18"/>
                <w:szCs w:val="18"/>
              </w:rPr>
              <w:t>2024</w:t>
            </w:r>
          </w:p>
        </w:tc>
        <w:tc>
          <w:tcPr>
            <w:tcW w:w="708" w:type="dxa"/>
            <w:noWrap/>
            <w:vAlign w:val="center"/>
            <w:hideMark/>
          </w:tcPr>
          <w:p w14:paraId="20D75D98" w14:textId="77777777" w:rsidR="005346E4" w:rsidRPr="00042C12" w:rsidRDefault="005346E4" w:rsidP="006E3B77">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18"/>
              </w:rPr>
            </w:pPr>
            <w:r w:rsidRPr="00042C12">
              <w:rPr>
                <w:rFonts w:eastAsia="Times New Roman" w:cs="Times New Roman"/>
                <w:b/>
                <w:bCs/>
                <w:color w:val="000000"/>
                <w:sz w:val="18"/>
                <w:szCs w:val="18"/>
              </w:rPr>
              <w:t>2025</w:t>
            </w:r>
          </w:p>
        </w:tc>
        <w:tc>
          <w:tcPr>
            <w:tcW w:w="709" w:type="dxa"/>
            <w:noWrap/>
            <w:vAlign w:val="center"/>
            <w:hideMark/>
          </w:tcPr>
          <w:p w14:paraId="012E4D11" w14:textId="77777777" w:rsidR="005346E4" w:rsidRPr="00042C12" w:rsidRDefault="005346E4" w:rsidP="006E3B77">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18"/>
              </w:rPr>
            </w:pPr>
            <w:r w:rsidRPr="00042C12">
              <w:rPr>
                <w:rFonts w:eastAsia="Times New Roman" w:cs="Times New Roman"/>
                <w:b/>
                <w:bCs/>
                <w:color w:val="000000"/>
                <w:sz w:val="18"/>
                <w:szCs w:val="18"/>
              </w:rPr>
              <w:t>2026</w:t>
            </w:r>
          </w:p>
        </w:tc>
      </w:tr>
    </w:tbl>
    <w:tbl>
      <w:tblPr>
        <w:tblStyle w:val="GridTable6Colorful-Accent1185"/>
        <w:tblW w:w="9776" w:type="dxa"/>
        <w:jc w:val="center"/>
        <w:tblLook w:val="04A0" w:firstRow="1" w:lastRow="0" w:firstColumn="1" w:lastColumn="0" w:noHBand="0" w:noVBand="1"/>
      </w:tblPr>
      <w:tblGrid>
        <w:gridCol w:w="4815"/>
        <w:gridCol w:w="709"/>
        <w:gridCol w:w="708"/>
        <w:gridCol w:w="709"/>
        <w:gridCol w:w="709"/>
        <w:gridCol w:w="709"/>
        <w:gridCol w:w="708"/>
        <w:gridCol w:w="709"/>
      </w:tblGrid>
      <w:tr w:rsidR="00042C12" w:rsidRPr="00042C12" w14:paraId="0F8CA7C8" w14:textId="77777777" w:rsidTr="00991B5E">
        <w:trPr>
          <w:cnfStyle w:val="100000000000" w:firstRow="1" w:lastRow="0" w:firstColumn="0" w:lastColumn="0" w:oddVBand="0" w:evenVBand="0" w:oddHBand="0"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4815" w:type="dxa"/>
            <w:noWrap/>
          </w:tcPr>
          <w:p w14:paraId="3F51D1F7" w14:textId="77777777" w:rsidR="00042C12" w:rsidRPr="00042C12" w:rsidRDefault="00042C12" w:rsidP="00042C12">
            <w:pPr>
              <w:spacing w:after="160" w:line="259" w:lineRule="auto"/>
              <w:ind w:firstLine="0"/>
              <w:jc w:val="left"/>
              <w:rPr>
                <w:rFonts w:eastAsia="Times New Roman" w:cs="Times New Roman"/>
                <w:color w:val="000000"/>
                <w:sz w:val="18"/>
                <w:szCs w:val="18"/>
              </w:rPr>
            </w:pPr>
            <w:r w:rsidRPr="00042C12">
              <w:rPr>
                <w:rFonts w:eastAsia="Times New Roman" w:cs="Times New Roman"/>
                <w:color w:val="000000"/>
                <w:sz w:val="18"/>
                <w:szCs w:val="18"/>
              </w:rPr>
              <w:t>ANM ieņēmumi iekļauti vispārējās valdības prognozēs</w:t>
            </w:r>
          </w:p>
        </w:tc>
        <w:tc>
          <w:tcPr>
            <w:tcW w:w="709" w:type="dxa"/>
          </w:tcPr>
          <w:p w14:paraId="40F0D2E3" w14:textId="2184B11F" w:rsidR="00042C12" w:rsidRPr="00042C12" w:rsidRDefault="00042C12" w:rsidP="00042C12">
            <w:pPr>
              <w:spacing w:after="160" w:line="259"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18"/>
                <w:szCs w:val="18"/>
              </w:rPr>
            </w:pPr>
            <w:r w:rsidRPr="00042C12">
              <w:rPr>
                <w:b w:val="0"/>
                <w:bCs w:val="0"/>
                <w:color w:val="auto"/>
                <w:sz w:val="18"/>
                <w:szCs w:val="18"/>
              </w:rPr>
              <w:t>0,0</w:t>
            </w:r>
          </w:p>
        </w:tc>
        <w:tc>
          <w:tcPr>
            <w:tcW w:w="708" w:type="dxa"/>
            <w:noWrap/>
          </w:tcPr>
          <w:p w14:paraId="71D7265A" w14:textId="5DAC4F70" w:rsidR="00042C12" w:rsidRPr="00042C12" w:rsidRDefault="00042C12" w:rsidP="00042C12">
            <w:pPr>
              <w:spacing w:after="160" w:line="259"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18"/>
                <w:szCs w:val="18"/>
              </w:rPr>
            </w:pPr>
            <w:r w:rsidRPr="00042C12">
              <w:rPr>
                <w:b w:val="0"/>
                <w:bCs w:val="0"/>
                <w:color w:val="auto"/>
                <w:sz w:val="18"/>
                <w:szCs w:val="18"/>
              </w:rPr>
              <w:t>0,0</w:t>
            </w:r>
          </w:p>
        </w:tc>
        <w:tc>
          <w:tcPr>
            <w:tcW w:w="709" w:type="dxa"/>
            <w:noWrap/>
          </w:tcPr>
          <w:p w14:paraId="65E74D5E" w14:textId="1184CB93" w:rsidR="00042C12" w:rsidRPr="00042C12" w:rsidRDefault="00042C12" w:rsidP="00042C12">
            <w:pPr>
              <w:spacing w:after="160" w:line="259"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18"/>
                <w:szCs w:val="18"/>
              </w:rPr>
            </w:pPr>
            <w:r w:rsidRPr="00042C12">
              <w:rPr>
                <w:b w:val="0"/>
                <w:bCs w:val="0"/>
                <w:color w:val="auto"/>
                <w:sz w:val="18"/>
                <w:szCs w:val="18"/>
              </w:rPr>
              <w:t>0,0</w:t>
            </w:r>
          </w:p>
        </w:tc>
        <w:tc>
          <w:tcPr>
            <w:tcW w:w="709" w:type="dxa"/>
            <w:noWrap/>
          </w:tcPr>
          <w:p w14:paraId="759006F5" w14:textId="622814C4" w:rsidR="00042C12" w:rsidRPr="00042C12" w:rsidRDefault="00042C12" w:rsidP="00042C12">
            <w:pPr>
              <w:spacing w:after="160" w:line="259"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18"/>
                <w:szCs w:val="18"/>
              </w:rPr>
            </w:pPr>
            <w:r w:rsidRPr="00042C12">
              <w:rPr>
                <w:b w:val="0"/>
                <w:bCs w:val="0"/>
                <w:color w:val="auto"/>
                <w:sz w:val="18"/>
                <w:szCs w:val="18"/>
              </w:rPr>
              <w:t>0,7</w:t>
            </w:r>
          </w:p>
        </w:tc>
        <w:tc>
          <w:tcPr>
            <w:tcW w:w="709" w:type="dxa"/>
            <w:noWrap/>
          </w:tcPr>
          <w:p w14:paraId="3167CFDA" w14:textId="54614649" w:rsidR="00042C12" w:rsidRPr="00042C12" w:rsidRDefault="00042C12" w:rsidP="00042C12">
            <w:pPr>
              <w:spacing w:after="160" w:line="259"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18"/>
                <w:szCs w:val="18"/>
              </w:rPr>
            </w:pPr>
            <w:r w:rsidRPr="00042C12">
              <w:rPr>
                <w:b w:val="0"/>
                <w:bCs w:val="0"/>
                <w:color w:val="auto"/>
                <w:sz w:val="18"/>
                <w:szCs w:val="18"/>
              </w:rPr>
              <w:t>1,2</w:t>
            </w:r>
          </w:p>
        </w:tc>
        <w:tc>
          <w:tcPr>
            <w:tcW w:w="708" w:type="dxa"/>
            <w:noWrap/>
          </w:tcPr>
          <w:p w14:paraId="769DB8EE" w14:textId="46362E2E" w:rsidR="00042C12" w:rsidRPr="00042C12" w:rsidRDefault="00042C12" w:rsidP="00042C12">
            <w:pPr>
              <w:spacing w:after="160" w:line="259"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18"/>
                <w:szCs w:val="18"/>
              </w:rPr>
            </w:pPr>
            <w:r w:rsidRPr="00042C12">
              <w:rPr>
                <w:b w:val="0"/>
                <w:bCs w:val="0"/>
                <w:color w:val="auto"/>
                <w:sz w:val="18"/>
                <w:szCs w:val="18"/>
              </w:rPr>
              <w:t>1,2</w:t>
            </w:r>
          </w:p>
        </w:tc>
        <w:tc>
          <w:tcPr>
            <w:tcW w:w="709" w:type="dxa"/>
            <w:noWrap/>
          </w:tcPr>
          <w:p w14:paraId="1BCC8164" w14:textId="51781D1A" w:rsidR="00042C12" w:rsidRPr="00042C12" w:rsidRDefault="00042C12" w:rsidP="00042C12">
            <w:pPr>
              <w:spacing w:after="160" w:line="259"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18"/>
                <w:szCs w:val="18"/>
              </w:rPr>
            </w:pPr>
            <w:r w:rsidRPr="00042C12">
              <w:rPr>
                <w:b w:val="0"/>
                <w:bCs w:val="0"/>
                <w:color w:val="auto"/>
                <w:sz w:val="18"/>
                <w:szCs w:val="18"/>
              </w:rPr>
              <w:t>0,7</w:t>
            </w:r>
          </w:p>
        </w:tc>
      </w:tr>
      <w:tr w:rsidR="00042C12" w:rsidRPr="00042C12" w14:paraId="13E039AF" w14:textId="77777777" w:rsidTr="00991B5E">
        <w:trPr>
          <w:cnfStyle w:val="000000100000" w:firstRow="0" w:lastRow="0" w:firstColumn="0" w:lastColumn="0" w:oddVBand="0" w:evenVBand="0" w:oddHBand="1"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4815" w:type="dxa"/>
            <w:noWrap/>
          </w:tcPr>
          <w:p w14:paraId="220D5DF4" w14:textId="77777777" w:rsidR="00042C12" w:rsidRPr="00042C12" w:rsidRDefault="00042C12" w:rsidP="00042C12">
            <w:pPr>
              <w:spacing w:after="160" w:line="259" w:lineRule="auto"/>
              <w:ind w:firstLine="0"/>
              <w:jc w:val="left"/>
              <w:rPr>
                <w:rFonts w:eastAsia="Times New Roman" w:cs="Times New Roman"/>
                <w:color w:val="000000"/>
                <w:sz w:val="18"/>
                <w:szCs w:val="18"/>
              </w:rPr>
            </w:pPr>
            <w:r w:rsidRPr="00042C12">
              <w:rPr>
                <w:rFonts w:eastAsia="Times New Roman" w:cs="Times New Roman"/>
                <w:color w:val="000000"/>
                <w:sz w:val="18"/>
                <w:szCs w:val="18"/>
              </w:rPr>
              <w:t>ANM atmaksas (naudas plūsma) no ES</w:t>
            </w:r>
          </w:p>
        </w:tc>
        <w:tc>
          <w:tcPr>
            <w:tcW w:w="709" w:type="dxa"/>
          </w:tcPr>
          <w:p w14:paraId="75DA1940" w14:textId="3513A09F" w:rsidR="00042C12" w:rsidRPr="00042C12" w:rsidRDefault="00042C12" w:rsidP="00042C12">
            <w:pPr>
              <w:spacing w:after="16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42C12">
              <w:rPr>
                <w:color w:val="auto"/>
                <w:sz w:val="18"/>
                <w:szCs w:val="18"/>
              </w:rPr>
              <w:t>0,0</w:t>
            </w:r>
          </w:p>
        </w:tc>
        <w:tc>
          <w:tcPr>
            <w:tcW w:w="708" w:type="dxa"/>
            <w:noWrap/>
          </w:tcPr>
          <w:p w14:paraId="4B07B49E" w14:textId="72E6DC07" w:rsidR="00042C12" w:rsidRPr="00042C12" w:rsidRDefault="00042C12" w:rsidP="00042C12">
            <w:pPr>
              <w:spacing w:after="16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42C12">
              <w:rPr>
                <w:color w:val="auto"/>
                <w:sz w:val="18"/>
                <w:szCs w:val="18"/>
              </w:rPr>
              <w:t>0,7</w:t>
            </w:r>
          </w:p>
        </w:tc>
        <w:tc>
          <w:tcPr>
            <w:tcW w:w="709" w:type="dxa"/>
            <w:noWrap/>
          </w:tcPr>
          <w:p w14:paraId="01A901B8" w14:textId="4FCED3BD" w:rsidR="00042C12" w:rsidRPr="00042C12" w:rsidRDefault="00042C12" w:rsidP="00042C12">
            <w:pPr>
              <w:spacing w:after="16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42C12">
              <w:rPr>
                <w:color w:val="auto"/>
                <w:sz w:val="18"/>
                <w:szCs w:val="18"/>
              </w:rPr>
              <w:t>0,5</w:t>
            </w:r>
          </w:p>
        </w:tc>
        <w:tc>
          <w:tcPr>
            <w:tcW w:w="709" w:type="dxa"/>
            <w:noWrap/>
          </w:tcPr>
          <w:p w14:paraId="4BB3AE09" w14:textId="5DA80898" w:rsidR="00042C12" w:rsidRPr="00042C12" w:rsidRDefault="00042C12" w:rsidP="00042C12">
            <w:pPr>
              <w:spacing w:after="16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42C12">
              <w:rPr>
                <w:color w:val="auto"/>
                <w:sz w:val="18"/>
                <w:szCs w:val="18"/>
              </w:rPr>
              <w:t>0,0</w:t>
            </w:r>
          </w:p>
        </w:tc>
        <w:tc>
          <w:tcPr>
            <w:tcW w:w="709" w:type="dxa"/>
            <w:noWrap/>
          </w:tcPr>
          <w:p w14:paraId="47285FF8" w14:textId="50B6EADE" w:rsidR="00042C12" w:rsidRPr="00042C12" w:rsidRDefault="00042C12" w:rsidP="00042C12">
            <w:pPr>
              <w:spacing w:after="16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42C12">
              <w:rPr>
                <w:color w:val="auto"/>
                <w:sz w:val="18"/>
                <w:szCs w:val="18"/>
              </w:rPr>
              <w:t>1,7</w:t>
            </w:r>
          </w:p>
        </w:tc>
        <w:tc>
          <w:tcPr>
            <w:tcW w:w="708" w:type="dxa"/>
            <w:noWrap/>
          </w:tcPr>
          <w:p w14:paraId="72F68415" w14:textId="5765E288" w:rsidR="00042C12" w:rsidRPr="00042C12" w:rsidRDefault="00042C12" w:rsidP="00042C12">
            <w:pPr>
              <w:spacing w:after="16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42C12">
              <w:rPr>
                <w:color w:val="auto"/>
                <w:sz w:val="18"/>
                <w:szCs w:val="18"/>
              </w:rPr>
              <w:t>0,5</w:t>
            </w:r>
          </w:p>
        </w:tc>
        <w:tc>
          <w:tcPr>
            <w:tcW w:w="709" w:type="dxa"/>
            <w:noWrap/>
          </w:tcPr>
          <w:p w14:paraId="76361568" w14:textId="5D7A98C0" w:rsidR="00042C12" w:rsidRPr="00042C12" w:rsidRDefault="00042C12" w:rsidP="00042C12">
            <w:pPr>
              <w:spacing w:after="16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42C12">
              <w:rPr>
                <w:color w:val="auto"/>
                <w:sz w:val="18"/>
                <w:szCs w:val="18"/>
              </w:rPr>
              <w:t>0,6</w:t>
            </w:r>
          </w:p>
        </w:tc>
      </w:tr>
    </w:tbl>
    <w:tbl>
      <w:tblPr>
        <w:tblStyle w:val="GridTable6Colorful-Accent1175"/>
        <w:tblW w:w="9838" w:type="dxa"/>
        <w:jc w:val="center"/>
        <w:tblLook w:val="04A0" w:firstRow="1" w:lastRow="0" w:firstColumn="1" w:lastColumn="0" w:noHBand="0" w:noVBand="1"/>
      </w:tblPr>
      <w:tblGrid>
        <w:gridCol w:w="4815"/>
        <w:gridCol w:w="709"/>
        <w:gridCol w:w="708"/>
        <w:gridCol w:w="709"/>
        <w:gridCol w:w="709"/>
        <w:gridCol w:w="709"/>
        <w:gridCol w:w="708"/>
        <w:gridCol w:w="771"/>
      </w:tblGrid>
      <w:tr w:rsidR="005346E4" w:rsidRPr="00042C12" w14:paraId="6D6588AA" w14:textId="77777777" w:rsidTr="00991B5E">
        <w:trPr>
          <w:cnfStyle w:val="100000000000" w:firstRow="1" w:lastRow="0" w:firstColumn="0" w:lastColumn="0" w:oddVBand="0" w:evenVBand="0" w:oddHBand="0" w:evenHBand="0" w:firstRowFirstColumn="0" w:firstRowLastColumn="0" w:lastRowFirstColumn="0" w:lastRowLastColumn="0"/>
          <w:trHeight w:val="279"/>
          <w:jc w:val="center"/>
        </w:trPr>
        <w:tc>
          <w:tcPr>
            <w:cnfStyle w:val="001000000000" w:firstRow="0" w:lastRow="0" w:firstColumn="1" w:lastColumn="0" w:oddVBand="0" w:evenVBand="0" w:oddHBand="0" w:evenHBand="0" w:firstRowFirstColumn="0" w:firstRowLastColumn="0" w:lastRowFirstColumn="0" w:lastRowLastColumn="0"/>
            <w:tcW w:w="9838" w:type="dxa"/>
            <w:gridSpan w:val="8"/>
            <w:shd w:val="clear" w:color="auto" w:fill="DEEAF6"/>
            <w:noWrap/>
            <w:vAlign w:val="center"/>
          </w:tcPr>
          <w:p w14:paraId="1C11AEA4" w14:textId="77777777" w:rsidR="005346E4" w:rsidRPr="00042C12" w:rsidRDefault="005346E4" w:rsidP="006E3B77">
            <w:pPr>
              <w:spacing w:line="259" w:lineRule="auto"/>
              <w:ind w:firstLine="0"/>
              <w:jc w:val="center"/>
              <w:rPr>
                <w:rFonts w:eastAsia="Times New Roman" w:cs="Times New Roman"/>
                <w:color w:val="000000"/>
                <w:sz w:val="18"/>
                <w:szCs w:val="18"/>
              </w:rPr>
            </w:pPr>
            <w:r w:rsidRPr="00042C12">
              <w:rPr>
                <w:rFonts w:eastAsia="Times New Roman" w:cs="Times New Roman"/>
                <w:color w:val="000000"/>
                <w:sz w:val="18"/>
                <w:szCs w:val="18"/>
              </w:rPr>
              <w:t>Izdevumi, kas tiek finansēti no ANM pārvedumiem (% no IKP)</w:t>
            </w:r>
          </w:p>
        </w:tc>
      </w:tr>
      <w:tr w:rsidR="005346E4" w:rsidRPr="00042C12" w14:paraId="70049581" w14:textId="77777777" w:rsidTr="00991B5E">
        <w:trPr>
          <w:cnfStyle w:val="000000100000" w:firstRow="0" w:lastRow="0" w:firstColumn="0" w:lastColumn="0" w:oddVBand="0" w:evenVBand="0" w:oddHBand="1" w:evenHBand="0" w:firstRowFirstColumn="0" w:firstRowLastColumn="0" w:lastRowFirstColumn="0" w:lastRowLastColumn="0"/>
          <w:trHeight w:val="262"/>
          <w:jc w:val="center"/>
        </w:trPr>
        <w:tc>
          <w:tcPr>
            <w:cnfStyle w:val="001000000000" w:firstRow="0" w:lastRow="0" w:firstColumn="1" w:lastColumn="0" w:oddVBand="0" w:evenVBand="0" w:oddHBand="0" w:evenHBand="0" w:firstRowFirstColumn="0" w:firstRowLastColumn="0" w:lastRowFirstColumn="0" w:lastRowLastColumn="0"/>
            <w:tcW w:w="4815" w:type="dxa"/>
            <w:noWrap/>
            <w:vAlign w:val="center"/>
            <w:hideMark/>
          </w:tcPr>
          <w:p w14:paraId="6B38DFB6" w14:textId="77777777" w:rsidR="005346E4" w:rsidRPr="00042C12" w:rsidRDefault="005346E4" w:rsidP="006E3B77">
            <w:pPr>
              <w:spacing w:line="259" w:lineRule="auto"/>
              <w:ind w:firstLine="0"/>
              <w:jc w:val="left"/>
              <w:rPr>
                <w:rFonts w:eastAsia="Times New Roman" w:cs="Times New Roman"/>
                <w:color w:val="000000"/>
                <w:sz w:val="18"/>
                <w:szCs w:val="18"/>
              </w:rPr>
            </w:pPr>
          </w:p>
        </w:tc>
        <w:tc>
          <w:tcPr>
            <w:tcW w:w="709" w:type="dxa"/>
            <w:vAlign w:val="center"/>
          </w:tcPr>
          <w:p w14:paraId="7FEB2FFD" w14:textId="77777777" w:rsidR="005346E4" w:rsidRPr="00042C12" w:rsidRDefault="005346E4" w:rsidP="006E3B77">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18"/>
              </w:rPr>
            </w:pPr>
            <w:r w:rsidRPr="00042C12">
              <w:rPr>
                <w:rFonts w:eastAsia="Times New Roman" w:cs="Times New Roman"/>
                <w:b/>
                <w:bCs/>
                <w:color w:val="000000"/>
                <w:sz w:val="18"/>
                <w:szCs w:val="18"/>
              </w:rPr>
              <w:t>2020</w:t>
            </w:r>
          </w:p>
        </w:tc>
        <w:tc>
          <w:tcPr>
            <w:tcW w:w="708" w:type="dxa"/>
            <w:vAlign w:val="center"/>
            <w:hideMark/>
          </w:tcPr>
          <w:p w14:paraId="7C9D0C3F" w14:textId="77777777" w:rsidR="005346E4" w:rsidRPr="00042C12" w:rsidRDefault="005346E4" w:rsidP="006E3B77">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18"/>
              </w:rPr>
            </w:pPr>
            <w:r w:rsidRPr="00042C12">
              <w:rPr>
                <w:rFonts w:eastAsia="Times New Roman" w:cs="Times New Roman"/>
                <w:b/>
                <w:bCs/>
                <w:color w:val="000000"/>
                <w:sz w:val="18"/>
                <w:szCs w:val="18"/>
              </w:rPr>
              <w:t>2021</w:t>
            </w:r>
          </w:p>
        </w:tc>
        <w:tc>
          <w:tcPr>
            <w:tcW w:w="709" w:type="dxa"/>
            <w:noWrap/>
            <w:vAlign w:val="center"/>
            <w:hideMark/>
          </w:tcPr>
          <w:p w14:paraId="2FEBB929" w14:textId="77777777" w:rsidR="005346E4" w:rsidRPr="00042C12" w:rsidRDefault="005346E4" w:rsidP="006E3B77">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18"/>
              </w:rPr>
            </w:pPr>
            <w:r w:rsidRPr="00042C12">
              <w:rPr>
                <w:rFonts w:eastAsia="Times New Roman" w:cs="Times New Roman"/>
                <w:b/>
                <w:bCs/>
                <w:color w:val="000000"/>
                <w:sz w:val="18"/>
                <w:szCs w:val="18"/>
              </w:rPr>
              <w:t>2022</w:t>
            </w:r>
          </w:p>
        </w:tc>
        <w:tc>
          <w:tcPr>
            <w:tcW w:w="709" w:type="dxa"/>
            <w:noWrap/>
            <w:vAlign w:val="center"/>
            <w:hideMark/>
          </w:tcPr>
          <w:p w14:paraId="012B1F82" w14:textId="77777777" w:rsidR="005346E4" w:rsidRPr="00042C12" w:rsidRDefault="005346E4" w:rsidP="006E3B77">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18"/>
              </w:rPr>
            </w:pPr>
            <w:r w:rsidRPr="00042C12">
              <w:rPr>
                <w:rFonts w:eastAsia="Times New Roman" w:cs="Times New Roman"/>
                <w:b/>
                <w:bCs/>
                <w:color w:val="000000"/>
                <w:sz w:val="18"/>
                <w:szCs w:val="18"/>
              </w:rPr>
              <w:t>2023</w:t>
            </w:r>
          </w:p>
        </w:tc>
        <w:tc>
          <w:tcPr>
            <w:tcW w:w="709" w:type="dxa"/>
            <w:noWrap/>
            <w:vAlign w:val="center"/>
            <w:hideMark/>
          </w:tcPr>
          <w:p w14:paraId="6E6467E2" w14:textId="77777777" w:rsidR="005346E4" w:rsidRPr="00042C12" w:rsidRDefault="005346E4" w:rsidP="006E3B77">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18"/>
              </w:rPr>
            </w:pPr>
            <w:r w:rsidRPr="00042C12">
              <w:rPr>
                <w:rFonts w:eastAsia="Times New Roman" w:cs="Times New Roman"/>
                <w:b/>
                <w:bCs/>
                <w:color w:val="000000"/>
                <w:sz w:val="18"/>
                <w:szCs w:val="18"/>
              </w:rPr>
              <w:t>2024</w:t>
            </w:r>
          </w:p>
        </w:tc>
        <w:tc>
          <w:tcPr>
            <w:tcW w:w="708" w:type="dxa"/>
            <w:noWrap/>
            <w:vAlign w:val="center"/>
            <w:hideMark/>
          </w:tcPr>
          <w:p w14:paraId="1CF24902" w14:textId="77777777" w:rsidR="005346E4" w:rsidRPr="00042C12" w:rsidRDefault="005346E4" w:rsidP="006E3B77">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18"/>
              </w:rPr>
            </w:pPr>
            <w:r w:rsidRPr="00042C12">
              <w:rPr>
                <w:rFonts w:eastAsia="Times New Roman" w:cs="Times New Roman"/>
                <w:b/>
                <w:bCs/>
                <w:color w:val="000000"/>
                <w:sz w:val="18"/>
                <w:szCs w:val="18"/>
              </w:rPr>
              <w:t>2025</w:t>
            </w:r>
          </w:p>
        </w:tc>
        <w:tc>
          <w:tcPr>
            <w:tcW w:w="771" w:type="dxa"/>
            <w:noWrap/>
            <w:vAlign w:val="center"/>
            <w:hideMark/>
          </w:tcPr>
          <w:p w14:paraId="15E79324" w14:textId="77777777" w:rsidR="005346E4" w:rsidRPr="00042C12" w:rsidRDefault="005346E4" w:rsidP="006E3B77">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18"/>
              </w:rPr>
            </w:pPr>
            <w:r w:rsidRPr="00042C12">
              <w:rPr>
                <w:rFonts w:eastAsia="Times New Roman" w:cs="Times New Roman"/>
                <w:b/>
                <w:bCs/>
                <w:color w:val="000000"/>
                <w:sz w:val="18"/>
                <w:szCs w:val="18"/>
              </w:rPr>
              <w:t>2026</w:t>
            </w:r>
          </w:p>
        </w:tc>
      </w:tr>
    </w:tbl>
    <w:tbl>
      <w:tblPr>
        <w:tblStyle w:val="GridTable6Colorful-Accent1185"/>
        <w:tblW w:w="9828" w:type="dxa"/>
        <w:jc w:val="center"/>
        <w:tblLook w:val="04A0" w:firstRow="1" w:lastRow="0" w:firstColumn="1" w:lastColumn="0" w:noHBand="0" w:noVBand="1"/>
      </w:tblPr>
      <w:tblGrid>
        <w:gridCol w:w="4815"/>
        <w:gridCol w:w="709"/>
        <w:gridCol w:w="708"/>
        <w:gridCol w:w="709"/>
        <w:gridCol w:w="709"/>
        <w:gridCol w:w="709"/>
        <w:gridCol w:w="708"/>
        <w:gridCol w:w="761"/>
      </w:tblGrid>
      <w:tr w:rsidR="00042C12" w:rsidRPr="00042C12" w14:paraId="11EF1B7B" w14:textId="77777777" w:rsidTr="00991B5E">
        <w:trPr>
          <w:cnfStyle w:val="100000000000" w:firstRow="1" w:lastRow="0" w:firstColumn="0" w:lastColumn="0" w:oddVBand="0" w:evenVBand="0" w:oddHBand="0"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4815" w:type="dxa"/>
            <w:noWrap/>
          </w:tcPr>
          <w:p w14:paraId="7AE8765D" w14:textId="77777777" w:rsidR="00042C12" w:rsidRPr="00042C12" w:rsidRDefault="00042C12" w:rsidP="00042C12">
            <w:pPr>
              <w:spacing w:line="259" w:lineRule="auto"/>
              <w:ind w:firstLine="0"/>
              <w:jc w:val="left"/>
              <w:rPr>
                <w:rFonts w:eastAsia="Times New Roman" w:cs="Times New Roman"/>
                <w:color w:val="000000"/>
                <w:sz w:val="18"/>
                <w:szCs w:val="18"/>
              </w:rPr>
            </w:pPr>
            <w:r w:rsidRPr="00042C12">
              <w:rPr>
                <w:rFonts w:eastAsia="Times New Roman" w:cs="Times New Roman"/>
                <w:color w:val="000000"/>
                <w:sz w:val="18"/>
                <w:szCs w:val="18"/>
              </w:rPr>
              <w:t>KĀRTĒJIE IZDEVUMI</w:t>
            </w:r>
          </w:p>
        </w:tc>
        <w:tc>
          <w:tcPr>
            <w:tcW w:w="709" w:type="dxa"/>
          </w:tcPr>
          <w:p w14:paraId="4311BB68" w14:textId="14295D99" w:rsidR="00042C12" w:rsidRPr="00042C12" w:rsidRDefault="00042C12" w:rsidP="00042C12">
            <w:pPr>
              <w:spacing w:line="259"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18"/>
                <w:szCs w:val="18"/>
              </w:rPr>
            </w:pPr>
            <w:r w:rsidRPr="00042C12">
              <w:rPr>
                <w:b w:val="0"/>
                <w:bCs w:val="0"/>
                <w:color w:val="auto"/>
                <w:sz w:val="18"/>
                <w:szCs w:val="18"/>
              </w:rPr>
              <w:t>0,0</w:t>
            </w:r>
          </w:p>
        </w:tc>
        <w:tc>
          <w:tcPr>
            <w:tcW w:w="708" w:type="dxa"/>
            <w:noWrap/>
          </w:tcPr>
          <w:p w14:paraId="1A4F54BB" w14:textId="03CFBEB1" w:rsidR="00042C12" w:rsidRPr="00042C12" w:rsidRDefault="00042C12" w:rsidP="00042C12">
            <w:pPr>
              <w:spacing w:line="259"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18"/>
                <w:szCs w:val="18"/>
              </w:rPr>
            </w:pPr>
            <w:r w:rsidRPr="00042C12">
              <w:rPr>
                <w:b w:val="0"/>
                <w:bCs w:val="0"/>
                <w:color w:val="auto"/>
                <w:sz w:val="18"/>
                <w:szCs w:val="18"/>
              </w:rPr>
              <w:t>0,0</w:t>
            </w:r>
          </w:p>
        </w:tc>
        <w:tc>
          <w:tcPr>
            <w:tcW w:w="709" w:type="dxa"/>
            <w:noWrap/>
          </w:tcPr>
          <w:p w14:paraId="70725C80" w14:textId="6A5985EE" w:rsidR="00042C12" w:rsidRPr="00042C12" w:rsidRDefault="00042C12" w:rsidP="00042C12">
            <w:pPr>
              <w:spacing w:line="259"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18"/>
                <w:szCs w:val="18"/>
              </w:rPr>
            </w:pPr>
            <w:r w:rsidRPr="00042C12">
              <w:rPr>
                <w:b w:val="0"/>
                <w:bCs w:val="0"/>
                <w:color w:val="auto"/>
                <w:sz w:val="18"/>
                <w:szCs w:val="18"/>
              </w:rPr>
              <w:t>0,003</w:t>
            </w:r>
          </w:p>
        </w:tc>
        <w:tc>
          <w:tcPr>
            <w:tcW w:w="709" w:type="dxa"/>
            <w:noWrap/>
          </w:tcPr>
          <w:p w14:paraId="6E53A125" w14:textId="0288741D" w:rsidR="00042C12" w:rsidRPr="00042C12" w:rsidRDefault="00042C12" w:rsidP="00042C12">
            <w:pPr>
              <w:spacing w:line="259"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18"/>
                <w:szCs w:val="18"/>
              </w:rPr>
            </w:pPr>
            <w:r w:rsidRPr="00042C12">
              <w:rPr>
                <w:b w:val="0"/>
                <w:bCs w:val="0"/>
                <w:color w:val="auto"/>
                <w:sz w:val="18"/>
                <w:szCs w:val="18"/>
              </w:rPr>
              <w:t>0,3</w:t>
            </w:r>
          </w:p>
        </w:tc>
        <w:tc>
          <w:tcPr>
            <w:tcW w:w="709" w:type="dxa"/>
            <w:noWrap/>
          </w:tcPr>
          <w:p w14:paraId="1959F205" w14:textId="3E383B7D" w:rsidR="00042C12" w:rsidRPr="00042C12" w:rsidRDefault="00042C12" w:rsidP="00042C12">
            <w:pPr>
              <w:spacing w:line="259"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18"/>
                <w:szCs w:val="18"/>
              </w:rPr>
            </w:pPr>
            <w:r w:rsidRPr="00042C12">
              <w:rPr>
                <w:b w:val="0"/>
                <w:bCs w:val="0"/>
                <w:color w:val="auto"/>
                <w:sz w:val="18"/>
                <w:szCs w:val="18"/>
              </w:rPr>
              <w:t>0,5</w:t>
            </w:r>
          </w:p>
        </w:tc>
        <w:tc>
          <w:tcPr>
            <w:tcW w:w="708" w:type="dxa"/>
            <w:noWrap/>
          </w:tcPr>
          <w:p w14:paraId="2AA65ABF" w14:textId="0962B16A" w:rsidR="00042C12" w:rsidRPr="00042C12" w:rsidRDefault="00042C12" w:rsidP="00042C12">
            <w:pPr>
              <w:spacing w:line="259"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18"/>
                <w:szCs w:val="18"/>
              </w:rPr>
            </w:pPr>
            <w:r w:rsidRPr="00042C12">
              <w:rPr>
                <w:b w:val="0"/>
                <w:bCs w:val="0"/>
                <w:color w:val="auto"/>
                <w:sz w:val="18"/>
                <w:szCs w:val="18"/>
              </w:rPr>
              <w:t>0,4</w:t>
            </w:r>
          </w:p>
        </w:tc>
        <w:tc>
          <w:tcPr>
            <w:tcW w:w="761" w:type="dxa"/>
            <w:noWrap/>
          </w:tcPr>
          <w:p w14:paraId="4AF41C51" w14:textId="7F5232E5" w:rsidR="00042C12" w:rsidRPr="00042C12" w:rsidRDefault="00042C12" w:rsidP="00042C12">
            <w:pPr>
              <w:spacing w:line="259"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18"/>
                <w:szCs w:val="18"/>
              </w:rPr>
            </w:pPr>
            <w:r w:rsidRPr="00042C12">
              <w:rPr>
                <w:b w:val="0"/>
                <w:bCs w:val="0"/>
                <w:color w:val="auto"/>
                <w:sz w:val="18"/>
                <w:szCs w:val="18"/>
              </w:rPr>
              <w:t>0,3</w:t>
            </w:r>
          </w:p>
        </w:tc>
      </w:tr>
      <w:tr w:rsidR="00042C12" w:rsidRPr="00042C12" w14:paraId="0756E368" w14:textId="77777777" w:rsidTr="00991B5E">
        <w:trPr>
          <w:cnfStyle w:val="000000100000" w:firstRow="0" w:lastRow="0" w:firstColumn="0" w:lastColumn="0" w:oddVBand="0" w:evenVBand="0" w:oddHBand="1"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4815" w:type="dxa"/>
            <w:noWrap/>
          </w:tcPr>
          <w:p w14:paraId="1CFDFF2C" w14:textId="77777777" w:rsidR="00042C12" w:rsidRPr="00042C12" w:rsidRDefault="00042C12" w:rsidP="00042C12">
            <w:pPr>
              <w:spacing w:line="259" w:lineRule="auto"/>
              <w:ind w:firstLine="0"/>
              <w:jc w:val="left"/>
              <w:rPr>
                <w:rFonts w:eastAsia="Times New Roman" w:cs="Times New Roman"/>
                <w:color w:val="000000"/>
                <w:sz w:val="18"/>
                <w:szCs w:val="18"/>
              </w:rPr>
            </w:pPr>
            <w:r w:rsidRPr="00042C12">
              <w:rPr>
                <w:rFonts w:eastAsia="Times New Roman" w:cs="Times New Roman"/>
                <w:color w:val="000000"/>
                <w:sz w:val="18"/>
                <w:szCs w:val="18"/>
              </w:rPr>
              <w:t>Bruto pamatkapitāla veidošana P.51g</w:t>
            </w:r>
          </w:p>
        </w:tc>
        <w:tc>
          <w:tcPr>
            <w:tcW w:w="709" w:type="dxa"/>
          </w:tcPr>
          <w:p w14:paraId="57330B62" w14:textId="72AF26ED" w:rsidR="00042C12" w:rsidRPr="00042C12" w:rsidRDefault="00042C12" w:rsidP="00042C12">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42C12">
              <w:rPr>
                <w:color w:val="auto"/>
                <w:sz w:val="18"/>
                <w:szCs w:val="18"/>
              </w:rPr>
              <w:t>0,0</w:t>
            </w:r>
          </w:p>
        </w:tc>
        <w:tc>
          <w:tcPr>
            <w:tcW w:w="708" w:type="dxa"/>
            <w:noWrap/>
          </w:tcPr>
          <w:p w14:paraId="5C48849E" w14:textId="612E64F6" w:rsidR="00042C12" w:rsidRPr="00042C12" w:rsidRDefault="00042C12" w:rsidP="00042C12">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42C12">
              <w:rPr>
                <w:color w:val="auto"/>
                <w:sz w:val="18"/>
                <w:szCs w:val="18"/>
              </w:rPr>
              <w:t>0,0</w:t>
            </w:r>
          </w:p>
        </w:tc>
        <w:tc>
          <w:tcPr>
            <w:tcW w:w="709" w:type="dxa"/>
            <w:noWrap/>
          </w:tcPr>
          <w:p w14:paraId="65148F51" w14:textId="07F05206" w:rsidR="00042C12" w:rsidRPr="00042C12" w:rsidRDefault="00042C12" w:rsidP="00042C12">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42C12">
              <w:rPr>
                <w:color w:val="auto"/>
                <w:sz w:val="18"/>
                <w:szCs w:val="18"/>
              </w:rPr>
              <w:t>0,01</w:t>
            </w:r>
          </w:p>
        </w:tc>
        <w:tc>
          <w:tcPr>
            <w:tcW w:w="709" w:type="dxa"/>
            <w:noWrap/>
          </w:tcPr>
          <w:p w14:paraId="60CB022C" w14:textId="48BC6493" w:rsidR="00042C12" w:rsidRPr="00042C12" w:rsidRDefault="00042C12" w:rsidP="00042C12">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42C12">
              <w:rPr>
                <w:color w:val="auto"/>
                <w:sz w:val="18"/>
                <w:szCs w:val="18"/>
              </w:rPr>
              <w:t>0,4</w:t>
            </w:r>
          </w:p>
        </w:tc>
        <w:tc>
          <w:tcPr>
            <w:tcW w:w="709" w:type="dxa"/>
            <w:noWrap/>
          </w:tcPr>
          <w:p w14:paraId="671F3377" w14:textId="73DD668F" w:rsidR="00042C12" w:rsidRPr="00042C12" w:rsidRDefault="00042C12" w:rsidP="00042C12">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42C12">
              <w:rPr>
                <w:color w:val="auto"/>
                <w:sz w:val="18"/>
                <w:szCs w:val="18"/>
              </w:rPr>
              <w:t>0,8</w:t>
            </w:r>
          </w:p>
        </w:tc>
        <w:tc>
          <w:tcPr>
            <w:tcW w:w="708" w:type="dxa"/>
            <w:noWrap/>
          </w:tcPr>
          <w:p w14:paraId="33064222" w14:textId="1B25693E" w:rsidR="00042C12" w:rsidRPr="00042C12" w:rsidRDefault="00042C12" w:rsidP="00042C12">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42C12">
              <w:rPr>
                <w:color w:val="auto"/>
                <w:sz w:val="18"/>
                <w:szCs w:val="18"/>
              </w:rPr>
              <w:t>0,7</w:t>
            </w:r>
          </w:p>
        </w:tc>
        <w:tc>
          <w:tcPr>
            <w:tcW w:w="761" w:type="dxa"/>
            <w:noWrap/>
          </w:tcPr>
          <w:p w14:paraId="1223ED64" w14:textId="7F543E1F" w:rsidR="00042C12" w:rsidRPr="00042C12" w:rsidRDefault="00042C12" w:rsidP="00042C12">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42C12">
              <w:rPr>
                <w:color w:val="auto"/>
                <w:sz w:val="18"/>
                <w:szCs w:val="18"/>
              </w:rPr>
              <w:t>0,4</w:t>
            </w:r>
          </w:p>
        </w:tc>
      </w:tr>
      <w:tr w:rsidR="00042C12" w:rsidRPr="00042C12" w14:paraId="664580F0" w14:textId="77777777" w:rsidTr="00991B5E">
        <w:trPr>
          <w:trHeight w:val="63"/>
          <w:jc w:val="center"/>
        </w:trPr>
        <w:tc>
          <w:tcPr>
            <w:cnfStyle w:val="001000000000" w:firstRow="0" w:lastRow="0" w:firstColumn="1" w:lastColumn="0" w:oddVBand="0" w:evenVBand="0" w:oddHBand="0" w:evenHBand="0" w:firstRowFirstColumn="0" w:firstRowLastColumn="0" w:lastRowFirstColumn="0" w:lastRowLastColumn="0"/>
            <w:tcW w:w="4815" w:type="dxa"/>
            <w:noWrap/>
          </w:tcPr>
          <w:p w14:paraId="2B5ECA99" w14:textId="77777777" w:rsidR="00042C12" w:rsidRPr="00042C12" w:rsidRDefault="00042C12" w:rsidP="00042C12">
            <w:pPr>
              <w:spacing w:line="259" w:lineRule="auto"/>
              <w:ind w:firstLine="0"/>
              <w:jc w:val="left"/>
              <w:rPr>
                <w:rFonts w:eastAsia="Times New Roman" w:cs="Times New Roman"/>
                <w:color w:val="000000"/>
                <w:sz w:val="18"/>
                <w:szCs w:val="18"/>
              </w:rPr>
            </w:pPr>
            <w:r w:rsidRPr="00042C12">
              <w:rPr>
                <w:rFonts w:eastAsia="Times New Roman" w:cs="Times New Roman"/>
                <w:color w:val="000000"/>
                <w:sz w:val="18"/>
                <w:szCs w:val="18"/>
              </w:rPr>
              <w:t>Kapitāla pārvedumi D.9</w:t>
            </w:r>
          </w:p>
        </w:tc>
        <w:tc>
          <w:tcPr>
            <w:tcW w:w="709" w:type="dxa"/>
          </w:tcPr>
          <w:p w14:paraId="6E8F23CD" w14:textId="350EEE0F" w:rsidR="00042C12" w:rsidRPr="00042C12" w:rsidRDefault="00C1707D" w:rsidP="00042C12">
            <w:pPr>
              <w:spacing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Pr>
                <w:rFonts w:eastAsia="Times New Roman" w:cs="Times New Roman"/>
                <w:color w:val="auto"/>
                <w:sz w:val="18"/>
                <w:szCs w:val="18"/>
              </w:rPr>
              <w:t>-</w:t>
            </w:r>
          </w:p>
        </w:tc>
        <w:tc>
          <w:tcPr>
            <w:tcW w:w="708" w:type="dxa"/>
            <w:noWrap/>
          </w:tcPr>
          <w:p w14:paraId="045D4F9C" w14:textId="18CF8F5E" w:rsidR="00042C12" w:rsidRPr="00042C12" w:rsidRDefault="00C1707D" w:rsidP="00042C12">
            <w:pPr>
              <w:spacing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Pr>
                <w:rFonts w:eastAsia="Times New Roman" w:cs="Times New Roman"/>
                <w:color w:val="auto"/>
                <w:sz w:val="18"/>
                <w:szCs w:val="18"/>
              </w:rPr>
              <w:t>-</w:t>
            </w:r>
          </w:p>
        </w:tc>
        <w:tc>
          <w:tcPr>
            <w:tcW w:w="709" w:type="dxa"/>
            <w:noWrap/>
          </w:tcPr>
          <w:p w14:paraId="0AC3C8F3" w14:textId="6DBBBB6C" w:rsidR="00042C12" w:rsidRPr="00042C12" w:rsidRDefault="00C1707D" w:rsidP="00042C12">
            <w:pPr>
              <w:spacing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Pr>
                <w:rFonts w:eastAsia="Times New Roman" w:cs="Times New Roman"/>
                <w:color w:val="auto"/>
                <w:sz w:val="18"/>
                <w:szCs w:val="18"/>
              </w:rPr>
              <w:t>-</w:t>
            </w:r>
          </w:p>
        </w:tc>
        <w:tc>
          <w:tcPr>
            <w:tcW w:w="709" w:type="dxa"/>
            <w:noWrap/>
          </w:tcPr>
          <w:p w14:paraId="1400CB60" w14:textId="561219DD" w:rsidR="00042C12" w:rsidRPr="00042C12" w:rsidRDefault="00C1707D" w:rsidP="00042C12">
            <w:pPr>
              <w:spacing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Pr>
                <w:rFonts w:eastAsia="Times New Roman" w:cs="Times New Roman"/>
                <w:color w:val="auto"/>
                <w:sz w:val="18"/>
                <w:szCs w:val="18"/>
              </w:rPr>
              <w:t>-</w:t>
            </w:r>
          </w:p>
        </w:tc>
        <w:tc>
          <w:tcPr>
            <w:tcW w:w="709" w:type="dxa"/>
            <w:noWrap/>
          </w:tcPr>
          <w:p w14:paraId="7D86E515" w14:textId="0F772867" w:rsidR="00042C12" w:rsidRPr="00042C12" w:rsidRDefault="00C1707D" w:rsidP="00042C12">
            <w:pPr>
              <w:spacing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Pr>
                <w:rFonts w:eastAsia="Times New Roman" w:cs="Times New Roman"/>
                <w:color w:val="auto"/>
                <w:sz w:val="18"/>
                <w:szCs w:val="18"/>
              </w:rPr>
              <w:t>-</w:t>
            </w:r>
          </w:p>
        </w:tc>
        <w:tc>
          <w:tcPr>
            <w:tcW w:w="708" w:type="dxa"/>
            <w:noWrap/>
          </w:tcPr>
          <w:p w14:paraId="3B0F5436" w14:textId="6955A738" w:rsidR="00042C12" w:rsidRPr="00042C12" w:rsidRDefault="00C1707D" w:rsidP="00042C12">
            <w:pPr>
              <w:spacing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Pr>
                <w:rFonts w:eastAsia="Times New Roman" w:cs="Times New Roman"/>
                <w:color w:val="auto"/>
                <w:sz w:val="18"/>
                <w:szCs w:val="18"/>
              </w:rPr>
              <w:t>-</w:t>
            </w:r>
          </w:p>
        </w:tc>
        <w:tc>
          <w:tcPr>
            <w:tcW w:w="761" w:type="dxa"/>
            <w:noWrap/>
          </w:tcPr>
          <w:p w14:paraId="561E5F93" w14:textId="15FD0B34" w:rsidR="00042C12" w:rsidRPr="00042C12" w:rsidRDefault="00C1707D" w:rsidP="00042C12">
            <w:pPr>
              <w:spacing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rPr>
            </w:pPr>
            <w:r>
              <w:rPr>
                <w:rFonts w:eastAsia="Times New Roman" w:cs="Times New Roman"/>
                <w:color w:val="auto"/>
                <w:sz w:val="18"/>
                <w:szCs w:val="18"/>
              </w:rPr>
              <w:t>-</w:t>
            </w:r>
          </w:p>
        </w:tc>
      </w:tr>
      <w:tr w:rsidR="00042C12" w:rsidRPr="00042C12" w14:paraId="370A2F48" w14:textId="77777777" w:rsidTr="00991B5E">
        <w:trPr>
          <w:cnfStyle w:val="000000100000" w:firstRow="0" w:lastRow="0" w:firstColumn="0" w:lastColumn="0" w:oddVBand="0" w:evenVBand="0" w:oddHBand="1"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4815" w:type="dxa"/>
            <w:noWrap/>
          </w:tcPr>
          <w:p w14:paraId="13705EAB" w14:textId="77777777" w:rsidR="00042C12" w:rsidRPr="00042C12" w:rsidRDefault="00042C12" w:rsidP="00042C12">
            <w:pPr>
              <w:spacing w:line="259" w:lineRule="auto"/>
              <w:ind w:firstLine="0"/>
              <w:jc w:val="left"/>
              <w:rPr>
                <w:rFonts w:eastAsia="Times New Roman" w:cs="Times New Roman"/>
                <w:color w:val="000000"/>
                <w:sz w:val="18"/>
                <w:szCs w:val="18"/>
              </w:rPr>
            </w:pPr>
            <w:r w:rsidRPr="00042C12">
              <w:rPr>
                <w:rFonts w:eastAsia="Times New Roman" w:cs="Times New Roman"/>
                <w:color w:val="000000"/>
                <w:sz w:val="18"/>
                <w:szCs w:val="18"/>
              </w:rPr>
              <w:t>KAPITĀLIE IZDEVUMI</w:t>
            </w:r>
          </w:p>
        </w:tc>
        <w:tc>
          <w:tcPr>
            <w:tcW w:w="709" w:type="dxa"/>
          </w:tcPr>
          <w:p w14:paraId="58EC73AD" w14:textId="79E7FD75" w:rsidR="00042C12" w:rsidRPr="00042C12" w:rsidRDefault="00042C12" w:rsidP="00042C12">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42C12">
              <w:rPr>
                <w:color w:val="auto"/>
                <w:sz w:val="18"/>
                <w:szCs w:val="18"/>
              </w:rPr>
              <w:t>0,0</w:t>
            </w:r>
          </w:p>
        </w:tc>
        <w:tc>
          <w:tcPr>
            <w:tcW w:w="708" w:type="dxa"/>
            <w:noWrap/>
          </w:tcPr>
          <w:p w14:paraId="021E9E7A" w14:textId="3C302C28" w:rsidR="00042C12" w:rsidRPr="00042C12" w:rsidRDefault="00042C12" w:rsidP="00042C12">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42C12">
              <w:rPr>
                <w:color w:val="auto"/>
                <w:sz w:val="18"/>
                <w:szCs w:val="18"/>
              </w:rPr>
              <w:t>0,0</w:t>
            </w:r>
          </w:p>
        </w:tc>
        <w:tc>
          <w:tcPr>
            <w:tcW w:w="709" w:type="dxa"/>
            <w:noWrap/>
          </w:tcPr>
          <w:p w14:paraId="6BB24DA3" w14:textId="6132CAA0" w:rsidR="00042C12" w:rsidRPr="00042C12" w:rsidRDefault="00042C12" w:rsidP="00042C12">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42C12">
              <w:rPr>
                <w:color w:val="auto"/>
                <w:sz w:val="18"/>
                <w:szCs w:val="18"/>
              </w:rPr>
              <w:t>0,01</w:t>
            </w:r>
          </w:p>
        </w:tc>
        <w:tc>
          <w:tcPr>
            <w:tcW w:w="709" w:type="dxa"/>
            <w:noWrap/>
          </w:tcPr>
          <w:p w14:paraId="32596393" w14:textId="76936321" w:rsidR="00042C12" w:rsidRPr="00042C12" w:rsidRDefault="00042C12" w:rsidP="00042C12">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42C12">
              <w:rPr>
                <w:color w:val="auto"/>
                <w:sz w:val="18"/>
                <w:szCs w:val="18"/>
              </w:rPr>
              <w:t>0,4</w:t>
            </w:r>
          </w:p>
        </w:tc>
        <w:tc>
          <w:tcPr>
            <w:tcW w:w="709" w:type="dxa"/>
            <w:noWrap/>
          </w:tcPr>
          <w:p w14:paraId="2A4DC476" w14:textId="613DCF95" w:rsidR="00042C12" w:rsidRPr="00042C12" w:rsidRDefault="00042C12" w:rsidP="00042C12">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42C12">
              <w:rPr>
                <w:color w:val="auto"/>
                <w:sz w:val="18"/>
                <w:szCs w:val="18"/>
              </w:rPr>
              <w:t>0,8</w:t>
            </w:r>
          </w:p>
        </w:tc>
        <w:tc>
          <w:tcPr>
            <w:tcW w:w="708" w:type="dxa"/>
            <w:noWrap/>
          </w:tcPr>
          <w:p w14:paraId="0476B657" w14:textId="1C2CF9D4" w:rsidR="00042C12" w:rsidRPr="00042C12" w:rsidRDefault="00042C12" w:rsidP="00042C12">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42C12">
              <w:rPr>
                <w:color w:val="auto"/>
                <w:sz w:val="18"/>
                <w:szCs w:val="18"/>
              </w:rPr>
              <w:t>0,7</w:t>
            </w:r>
          </w:p>
        </w:tc>
        <w:tc>
          <w:tcPr>
            <w:tcW w:w="761" w:type="dxa"/>
            <w:noWrap/>
          </w:tcPr>
          <w:p w14:paraId="593DE86B" w14:textId="3066937D" w:rsidR="00042C12" w:rsidRPr="00042C12" w:rsidRDefault="00042C12" w:rsidP="00042C12">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rPr>
            </w:pPr>
            <w:r w:rsidRPr="00042C12">
              <w:rPr>
                <w:color w:val="auto"/>
                <w:sz w:val="18"/>
                <w:szCs w:val="18"/>
              </w:rPr>
              <w:t>0,4</w:t>
            </w:r>
          </w:p>
        </w:tc>
      </w:tr>
      <w:tr w:rsidR="005346E4" w:rsidRPr="00042C12" w14:paraId="7CE3B8CA" w14:textId="705877C2" w:rsidTr="00991B5E">
        <w:trPr>
          <w:trHeight w:val="63"/>
          <w:jc w:val="center"/>
        </w:trPr>
        <w:tc>
          <w:tcPr>
            <w:cnfStyle w:val="001000000000" w:firstRow="0" w:lastRow="0" w:firstColumn="1" w:lastColumn="0" w:oddVBand="0" w:evenVBand="0" w:oddHBand="0" w:evenHBand="0" w:firstRowFirstColumn="0" w:firstRowLastColumn="0" w:lastRowFirstColumn="0" w:lastRowLastColumn="0"/>
            <w:tcW w:w="9828" w:type="dxa"/>
            <w:gridSpan w:val="8"/>
            <w:noWrap/>
          </w:tcPr>
          <w:p w14:paraId="5FEF5D86" w14:textId="394D94F6" w:rsidR="005346E4" w:rsidRPr="00042C12" w:rsidRDefault="005346E4" w:rsidP="006E3B77">
            <w:pPr>
              <w:spacing w:line="259" w:lineRule="auto"/>
              <w:ind w:firstLine="0"/>
              <w:jc w:val="center"/>
              <w:rPr>
                <w:rFonts w:eastAsia="Times New Roman" w:cs="Times New Roman"/>
                <w:color w:val="000000"/>
                <w:sz w:val="18"/>
                <w:szCs w:val="18"/>
              </w:rPr>
            </w:pPr>
            <w:r w:rsidRPr="00042C12">
              <w:rPr>
                <w:rFonts w:eastAsia="Times New Roman" w:cs="Times New Roman"/>
                <w:color w:val="000000"/>
                <w:sz w:val="18"/>
                <w:szCs w:val="18"/>
              </w:rPr>
              <w:t xml:space="preserve">Citas izmaksas finansētas no ANM pārvedumiem (% </w:t>
            </w:r>
            <w:r w:rsidR="00042C12">
              <w:rPr>
                <w:rFonts w:eastAsia="Times New Roman" w:cs="Times New Roman"/>
                <w:color w:val="000000"/>
                <w:sz w:val="18"/>
                <w:szCs w:val="18"/>
              </w:rPr>
              <w:t>no</w:t>
            </w:r>
            <w:r w:rsidRPr="00042C12">
              <w:rPr>
                <w:rFonts w:eastAsia="Times New Roman" w:cs="Times New Roman"/>
                <w:color w:val="000000"/>
                <w:sz w:val="18"/>
                <w:szCs w:val="18"/>
              </w:rPr>
              <w:t xml:space="preserve"> IKP)</w:t>
            </w:r>
          </w:p>
        </w:tc>
      </w:tr>
      <w:tr w:rsidR="005346E4" w:rsidRPr="00042C12" w14:paraId="2E6529A0" w14:textId="76C46252" w:rsidTr="00991B5E">
        <w:trPr>
          <w:cnfStyle w:val="000000100000" w:firstRow="0" w:lastRow="0" w:firstColumn="0" w:lastColumn="0" w:oddVBand="0" w:evenVBand="0" w:oddHBand="1"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4815" w:type="dxa"/>
            <w:noWrap/>
          </w:tcPr>
          <w:p w14:paraId="473518CA" w14:textId="0CF74584" w:rsidR="005346E4" w:rsidRPr="00042C12" w:rsidRDefault="005346E4" w:rsidP="006E3B77">
            <w:pPr>
              <w:spacing w:line="259" w:lineRule="auto"/>
              <w:ind w:firstLine="0"/>
              <w:jc w:val="left"/>
              <w:rPr>
                <w:rFonts w:eastAsia="Times New Roman" w:cs="Times New Roman"/>
                <w:color w:val="000000"/>
                <w:sz w:val="18"/>
                <w:szCs w:val="18"/>
              </w:rPr>
            </w:pPr>
          </w:p>
        </w:tc>
        <w:tc>
          <w:tcPr>
            <w:tcW w:w="709" w:type="dxa"/>
          </w:tcPr>
          <w:p w14:paraId="5B04DD84" w14:textId="7F36AA26" w:rsidR="005346E4" w:rsidRPr="00042C12" w:rsidRDefault="005346E4" w:rsidP="006E3B77">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18"/>
              </w:rPr>
            </w:pPr>
            <w:r w:rsidRPr="00042C12">
              <w:rPr>
                <w:rFonts w:eastAsia="Times New Roman" w:cs="Times New Roman"/>
                <w:b/>
                <w:bCs/>
                <w:color w:val="000000"/>
                <w:sz w:val="18"/>
                <w:szCs w:val="18"/>
              </w:rPr>
              <w:t>2020</w:t>
            </w:r>
          </w:p>
        </w:tc>
        <w:tc>
          <w:tcPr>
            <w:tcW w:w="708" w:type="dxa"/>
            <w:noWrap/>
          </w:tcPr>
          <w:p w14:paraId="64B2EC83" w14:textId="4758A903" w:rsidR="005346E4" w:rsidRPr="00042C12" w:rsidRDefault="005346E4" w:rsidP="006E3B77">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18"/>
              </w:rPr>
            </w:pPr>
            <w:r w:rsidRPr="00042C12">
              <w:rPr>
                <w:rFonts w:eastAsia="Times New Roman" w:cs="Times New Roman"/>
                <w:b/>
                <w:bCs/>
                <w:color w:val="000000"/>
                <w:sz w:val="18"/>
                <w:szCs w:val="18"/>
              </w:rPr>
              <w:t>2021</w:t>
            </w:r>
          </w:p>
        </w:tc>
        <w:tc>
          <w:tcPr>
            <w:tcW w:w="709" w:type="dxa"/>
            <w:noWrap/>
          </w:tcPr>
          <w:p w14:paraId="3F285C72" w14:textId="79BCFCF9" w:rsidR="005346E4" w:rsidRPr="00042C12" w:rsidRDefault="005346E4" w:rsidP="006E3B77">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18"/>
              </w:rPr>
            </w:pPr>
            <w:r w:rsidRPr="00042C12">
              <w:rPr>
                <w:rFonts w:eastAsia="Times New Roman" w:cs="Times New Roman"/>
                <w:b/>
                <w:bCs/>
                <w:color w:val="000000"/>
                <w:sz w:val="18"/>
                <w:szCs w:val="18"/>
              </w:rPr>
              <w:t>2022</w:t>
            </w:r>
          </w:p>
        </w:tc>
        <w:tc>
          <w:tcPr>
            <w:tcW w:w="709" w:type="dxa"/>
            <w:noWrap/>
          </w:tcPr>
          <w:p w14:paraId="0A6F48C0" w14:textId="131A1863" w:rsidR="005346E4" w:rsidRPr="00042C12" w:rsidRDefault="005346E4" w:rsidP="006E3B77">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18"/>
              </w:rPr>
            </w:pPr>
            <w:r w:rsidRPr="00042C12">
              <w:rPr>
                <w:rFonts w:eastAsia="Times New Roman" w:cs="Times New Roman"/>
                <w:b/>
                <w:bCs/>
                <w:color w:val="000000"/>
                <w:sz w:val="18"/>
                <w:szCs w:val="18"/>
              </w:rPr>
              <w:t>2023</w:t>
            </w:r>
          </w:p>
        </w:tc>
        <w:tc>
          <w:tcPr>
            <w:tcW w:w="709" w:type="dxa"/>
            <w:noWrap/>
          </w:tcPr>
          <w:p w14:paraId="6A469E3A" w14:textId="36BA7170" w:rsidR="005346E4" w:rsidRPr="00042C12" w:rsidRDefault="005346E4" w:rsidP="006E3B77">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18"/>
              </w:rPr>
            </w:pPr>
            <w:r w:rsidRPr="00042C12">
              <w:rPr>
                <w:rFonts w:eastAsia="Times New Roman" w:cs="Times New Roman"/>
                <w:b/>
                <w:bCs/>
                <w:color w:val="000000"/>
                <w:sz w:val="18"/>
                <w:szCs w:val="18"/>
              </w:rPr>
              <w:t>2024</w:t>
            </w:r>
          </w:p>
        </w:tc>
        <w:tc>
          <w:tcPr>
            <w:tcW w:w="708" w:type="dxa"/>
            <w:noWrap/>
          </w:tcPr>
          <w:p w14:paraId="323104EB" w14:textId="46846DF1" w:rsidR="005346E4" w:rsidRPr="00042C12" w:rsidRDefault="005346E4" w:rsidP="006E3B77">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18"/>
              </w:rPr>
            </w:pPr>
            <w:r w:rsidRPr="00042C12">
              <w:rPr>
                <w:rFonts w:eastAsia="Times New Roman" w:cs="Times New Roman"/>
                <w:b/>
                <w:bCs/>
                <w:color w:val="000000"/>
                <w:sz w:val="18"/>
                <w:szCs w:val="18"/>
              </w:rPr>
              <w:t>2025</w:t>
            </w:r>
          </w:p>
        </w:tc>
        <w:tc>
          <w:tcPr>
            <w:tcW w:w="761" w:type="dxa"/>
            <w:noWrap/>
          </w:tcPr>
          <w:p w14:paraId="1D9669CA" w14:textId="34E2AAEF" w:rsidR="005346E4" w:rsidRPr="00042C12" w:rsidRDefault="005346E4" w:rsidP="006E3B77">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18"/>
              </w:rPr>
            </w:pPr>
            <w:r w:rsidRPr="00042C12">
              <w:rPr>
                <w:rFonts w:eastAsia="Times New Roman" w:cs="Times New Roman"/>
                <w:b/>
                <w:bCs/>
                <w:color w:val="000000"/>
                <w:sz w:val="18"/>
                <w:szCs w:val="18"/>
              </w:rPr>
              <w:t>2026</w:t>
            </w:r>
          </w:p>
        </w:tc>
      </w:tr>
      <w:tr w:rsidR="005346E4" w:rsidRPr="00042C12" w14:paraId="7CA2700B" w14:textId="4C28137F" w:rsidTr="00991B5E">
        <w:trPr>
          <w:trHeight w:val="63"/>
          <w:jc w:val="center"/>
        </w:trPr>
        <w:tc>
          <w:tcPr>
            <w:cnfStyle w:val="001000000000" w:firstRow="0" w:lastRow="0" w:firstColumn="1" w:lastColumn="0" w:oddVBand="0" w:evenVBand="0" w:oddHBand="0" w:evenHBand="0" w:firstRowFirstColumn="0" w:firstRowLastColumn="0" w:lastRowFirstColumn="0" w:lastRowLastColumn="0"/>
            <w:tcW w:w="4815" w:type="dxa"/>
            <w:noWrap/>
          </w:tcPr>
          <w:p w14:paraId="79FA9E49" w14:textId="0D284B71" w:rsidR="005346E4" w:rsidRPr="00042C12" w:rsidRDefault="005346E4" w:rsidP="006E3B77">
            <w:pPr>
              <w:spacing w:line="259" w:lineRule="auto"/>
              <w:ind w:firstLine="0"/>
              <w:jc w:val="left"/>
              <w:rPr>
                <w:rFonts w:eastAsia="Times New Roman" w:cs="Times New Roman"/>
                <w:color w:val="000000"/>
                <w:sz w:val="18"/>
                <w:szCs w:val="18"/>
              </w:rPr>
            </w:pPr>
            <w:r w:rsidRPr="00042C12">
              <w:rPr>
                <w:rFonts w:eastAsia="Times New Roman" w:cs="Times New Roman"/>
                <w:color w:val="000000"/>
                <w:sz w:val="18"/>
                <w:szCs w:val="18"/>
              </w:rPr>
              <w:t>Nodokļu ieņēmumu samazinājums</w:t>
            </w:r>
          </w:p>
        </w:tc>
        <w:tc>
          <w:tcPr>
            <w:tcW w:w="709" w:type="dxa"/>
          </w:tcPr>
          <w:p w14:paraId="1E975B72" w14:textId="0D9892A4" w:rsidR="005346E4" w:rsidRPr="00042C12" w:rsidRDefault="00C1707D" w:rsidP="006E3B77">
            <w:pPr>
              <w:spacing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w:t>
            </w:r>
          </w:p>
        </w:tc>
        <w:tc>
          <w:tcPr>
            <w:tcW w:w="708" w:type="dxa"/>
            <w:noWrap/>
          </w:tcPr>
          <w:p w14:paraId="2F9BE0E2" w14:textId="3F24A2CD" w:rsidR="005346E4" w:rsidRPr="00042C12" w:rsidRDefault="00C1707D" w:rsidP="006E3B77">
            <w:pPr>
              <w:spacing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w:t>
            </w:r>
          </w:p>
        </w:tc>
        <w:tc>
          <w:tcPr>
            <w:tcW w:w="709" w:type="dxa"/>
            <w:noWrap/>
          </w:tcPr>
          <w:p w14:paraId="0A0F07FC" w14:textId="2EB5DE69" w:rsidR="005346E4" w:rsidRPr="00042C12" w:rsidRDefault="00C1707D" w:rsidP="006E3B77">
            <w:pPr>
              <w:spacing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w:t>
            </w:r>
          </w:p>
        </w:tc>
        <w:tc>
          <w:tcPr>
            <w:tcW w:w="709" w:type="dxa"/>
            <w:noWrap/>
          </w:tcPr>
          <w:p w14:paraId="7DB205C4" w14:textId="5EFFF799" w:rsidR="005346E4" w:rsidRPr="00042C12" w:rsidRDefault="00C1707D" w:rsidP="006E3B77">
            <w:pPr>
              <w:spacing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w:t>
            </w:r>
          </w:p>
        </w:tc>
        <w:tc>
          <w:tcPr>
            <w:tcW w:w="709" w:type="dxa"/>
            <w:noWrap/>
          </w:tcPr>
          <w:p w14:paraId="31942B63" w14:textId="7C7E4803" w:rsidR="005346E4" w:rsidRPr="00042C12" w:rsidRDefault="00C1707D" w:rsidP="006E3B77">
            <w:pPr>
              <w:spacing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w:t>
            </w:r>
          </w:p>
        </w:tc>
        <w:tc>
          <w:tcPr>
            <w:tcW w:w="708" w:type="dxa"/>
            <w:noWrap/>
          </w:tcPr>
          <w:p w14:paraId="1C51401F" w14:textId="0E3A7638" w:rsidR="005346E4" w:rsidRPr="00042C12" w:rsidRDefault="00C1707D" w:rsidP="006E3B77">
            <w:pPr>
              <w:spacing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w:t>
            </w:r>
          </w:p>
        </w:tc>
        <w:tc>
          <w:tcPr>
            <w:tcW w:w="761" w:type="dxa"/>
            <w:noWrap/>
          </w:tcPr>
          <w:p w14:paraId="74159FDA" w14:textId="1BE0C2D7" w:rsidR="005346E4" w:rsidRPr="00042C12" w:rsidRDefault="00C1707D" w:rsidP="00C1707D">
            <w:pPr>
              <w:spacing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w:t>
            </w:r>
          </w:p>
        </w:tc>
      </w:tr>
      <w:tr w:rsidR="005346E4" w:rsidRPr="00042C12" w14:paraId="77A7F4CB" w14:textId="0E2C1EFC" w:rsidTr="00991B5E">
        <w:trPr>
          <w:cnfStyle w:val="000000100000" w:firstRow="0" w:lastRow="0" w:firstColumn="0" w:lastColumn="0" w:oddVBand="0" w:evenVBand="0" w:oddHBand="1"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4815" w:type="dxa"/>
            <w:noWrap/>
          </w:tcPr>
          <w:p w14:paraId="7EB14DF4" w14:textId="40D0234D" w:rsidR="005346E4" w:rsidRPr="00042C12" w:rsidRDefault="005346E4" w:rsidP="006E3B77">
            <w:pPr>
              <w:spacing w:line="259" w:lineRule="auto"/>
              <w:ind w:firstLine="0"/>
              <w:jc w:val="left"/>
              <w:rPr>
                <w:rFonts w:eastAsia="Times New Roman" w:cs="Times New Roman"/>
                <w:color w:val="000000"/>
                <w:sz w:val="18"/>
                <w:szCs w:val="18"/>
              </w:rPr>
            </w:pPr>
            <w:r w:rsidRPr="00042C12">
              <w:rPr>
                <w:rFonts w:eastAsia="Times New Roman" w:cs="Times New Roman"/>
                <w:color w:val="000000"/>
                <w:sz w:val="18"/>
                <w:szCs w:val="18"/>
              </w:rPr>
              <w:t>Citas izmaksas, kas ietekmē ieņēmumus</w:t>
            </w:r>
          </w:p>
        </w:tc>
        <w:tc>
          <w:tcPr>
            <w:tcW w:w="709" w:type="dxa"/>
          </w:tcPr>
          <w:p w14:paraId="7308827F" w14:textId="313E4E5C" w:rsidR="005346E4" w:rsidRPr="00042C12" w:rsidRDefault="00C1707D" w:rsidP="006E3B77">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w:t>
            </w:r>
          </w:p>
        </w:tc>
        <w:tc>
          <w:tcPr>
            <w:tcW w:w="708" w:type="dxa"/>
            <w:noWrap/>
          </w:tcPr>
          <w:p w14:paraId="288341E4" w14:textId="7B867992" w:rsidR="005346E4" w:rsidRPr="00042C12" w:rsidRDefault="00C1707D" w:rsidP="006E3B77">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w:t>
            </w:r>
          </w:p>
        </w:tc>
        <w:tc>
          <w:tcPr>
            <w:tcW w:w="709" w:type="dxa"/>
            <w:noWrap/>
          </w:tcPr>
          <w:p w14:paraId="4E839621" w14:textId="12222D00" w:rsidR="005346E4" w:rsidRPr="00042C12" w:rsidRDefault="00C1707D" w:rsidP="006E3B77">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w:t>
            </w:r>
          </w:p>
        </w:tc>
        <w:tc>
          <w:tcPr>
            <w:tcW w:w="709" w:type="dxa"/>
            <w:noWrap/>
          </w:tcPr>
          <w:p w14:paraId="292342B6" w14:textId="1CCA9EF9" w:rsidR="005346E4" w:rsidRPr="00042C12" w:rsidRDefault="00C1707D" w:rsidP="006E3B77">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w:t>
            </w:r>
          </w:p>
        </w:tc>
        <w:tc>
          <w:tcPr>
            <w:tcW w:w="709" w:type="dxa"/>
            <w:noWrap/>
          </w:tcPr>
          <w:p w14:paraId="48C307F9" w14:textId="139D84F7" w:rsidR="005346E4" w:rsidRPr="00042C12" w:rsidRDefault="00C1707D" w:rsidP="006E3B77">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w:t>
            </w:r>
          </w:p>
        </w:tc>
        <w:tc>
          <w:tcPr>
            <w:tcW w:w="708" w:type="dxa"/>
            <w:noWrap/>
          </w:tcPr>
          <w:p w14:paraId="7D15BCB6" w14:textId="73D5E987" w:rsidR="005346E4" w:rsidRPr="00042C12" w:rsidRDefault="00C1707D" w:rsidP="006E3B77">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w:t>
            </w:r>
          </w:p>
        </w:tc>
        <w:tc>
          <w:tcPr>
            <w:tcW w:w="761" w:type="dxa"/>
            <w:noWrap/>
          </w:tcPr>
          <w:p w14:paraId="45F5897A" w14:textId="189F7744" w:rsidR="005346E4" w:rsidRPr="00042C12" w:rsidRDefault="00C1707D" w:rsidP="006E3B77">
            <w:pPr>
              <w:spacing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w:t>
            </w:r>
          </w:p>
        </w:tc>
      </w:tr>
      <w:tr w:rsidR="005346E4" w:rsidRPr="00085AFE" w14:paraId="7E41C6D9" w14:textId="57F68422" w:rsidTr="00991B5E">
        <w:trPr>
          <w:trHeight w:val="63"/>
          <w:jc w:val="center"/>
        </w:trPr>
        <w:tc>
          <w:tcPr>
            <w:cnfStyle w:val="001000000000" w:firstRow="0" w:lastRow="0" w:firstColumn="1" w:lastColumn="0" w:oddVBand="0" w:evenVBand="0" w:oddHBand="0" w:evenHBand="0" w:firstRowFirstColumn="0" w:firstRowLastColumn="0" w:lastRowFirstColumn="0" w:lastRowLastColumn="0"/>
            <w:tcW w:w="4815" w:type="dxa"/>
            <w:noWrap/>
          </w:tcPr>
          <w:p w14:paraId="01670A09" w14:textId="0D2D13FF" w:rsidR="005346E4" w:rsidRPr="00042C12" w:rsidRDefault="005346E4" w:rsidP="006E3B77">
            <w:pPr>
              <w:spacing w:line="259" w:lineRule="auto"/>
              <w:ind w:firstLine="0"/>
              <w:jc w:val="left"/>
              <w:rPr>
                <w:rFonts w:eastAsia="Times New Roman" w:cs="Times New Roman"/>
                <w:color w:val="000000"/>
                <w:sz w:val="18"/>
                <w:szCs w:val="18"/>
              </w:rPr>
            </w:pPr>
            <w:r w:rsidRPr="00042C12">
              <w:rPr>
                <w:rFonts w:eastAsia="Times New Roman" w:cs="Times New Roman"/>
                <w:color w:val="000000"/>
                <w:sz w:val="18"/>
                <w:szCs w:val="18"/>
              </w:rPr>
              <w:t>Finanšu transakcijas</w:t>
            </w:r>
          </w:p>
        </w:tc>
        <w:tc>
          <w:tcPr>
            <w:tcW w:w="709" w:type="dxa"/>
          </w:tcPr>
          <w:p w14:paraId="68F8992A" w14:textId="3E50DC6A" w:rsidR="005346E4" w:rsidRPr="00042C12" w:rsidRDefault="00C1707D" w:rsidP="006E3B77">
            <w:pPr>
              <w:spacing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w:t>
            </w:r>
          </w:p>
        </w:tc>
        <w:tc>
          <w:tcPr>
            <w:tcW w:w="708" w:type="dxa"/>
            <w:noWrap/>
          </w:tcPr>
          <w:p w14:paraId="2418CC4F" w14:textId="70F2D3D7" w:rsidR="005346E4" w:rsidRPr="00042C12" w:rsidRDefault="00C1707D" w:rsidP="006E3B77">
            <w:pPr>
              <w:spacing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w:t>
            </w:r>
          </w:p>
        </w:tc>
        <w:tc>
          <w:tcPr>
            <w:tcW w:w="709" w:type="dxa"/>
            <w:noWrap/>
          </w:tcPr>
          <w:p w14:paraId="6662AECA" w14:textId="44251E15" w:rsidR="005346E4" w:rsidRPr="00042C12" w:rsidRDefault="00C1707D" w:rsidP="006E3B77">
            <w:pPr>
              <w:spacing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w:t>
            </w:r>
          </w:p>
        </w:tc>
        <w:tc>
          <w:tcPr>
            <w:tcW w:w="709" w:type="dxa"/>
            <w:noWrap/>
          </w:tcPr>
          <w:p w14:paraId="72D86F25" w14:textId="244169A3" w:rsidR="005346E4" w:rsidRPr="00042C12" w:rsidRDefault="00C1707D" w:rsidP="006E3B77">
            <w:pPr>
              <w:spacing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w:t>
            </w:r>
          </w:p>
        </w:tc>
        <w:tc>
          <w:tcPr>
            <w:tcW w:w="709" w:type="dxa"/>
            <w:noWrap/>
          </w:tcPr>
          <w:p w14:paraId="742CD0A1" w14:textId="1D02C489" w:rsidR="005346E4" w:rsidRPr="00042C12" w:rsidRDefault="00C1707D" w:rsidP="006E3B77">
            <w:pPr>
              <w:spacing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w:t>
            </w:r>
          </w:p>
        </w:tc>
        <w:tc>
          <w:tcPr>
            <w:tcW w:w="708" w:type="dxa"/>
            <w:noWrap/>
          </w:tcPr>
          <w:p w14:paraId="764CA9CB" w14:textId="706CE02B" w:rsidR="005346E4" w:rsidRPr="00042C12" w:rsidRDefault="00C1707D" w:rsidP="006E3B77">
            <w:pPr>
              <w:spacing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w:t>
            </w:r>
          </w:p>
        </w:tc>
        <w:tc>
          <w:tcPr>
            <w:tcW w:w="761" w:type="dxa"/>
            <w:noWrap/>
          </w:tcPr>
          <w:p w14:paraId="761AD3F1" w14:textId="38AF3848" w:rsidR="005346E4" w:rsidRPr="00042C12" w:rsidRDefault="00C1707D" w:rsidP="006E3B77">
            <w:pPr>
              <w:spacing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w:t>
            </w:r>
          </w:p>
        </w:tc>
      </w:tr>
    </w:tbl>
    <w:p w14:paraId="3C766E3D" w14:textId="77777777" w:rsidR="005346E4" w:rsidRPr="00085AFE" w:rsidRDefault="005346E4" w:rsidP="005346E4">
      <w:pPr>
        <w:keepNext/>
        <w:ind w:firstLine="0"/>
        <w:jc w:val="left"/>
        <w:rPr>
          <w:rFonts w:eastAsia="Times New Roman" w:cs="Times New Roman"/>
          <w:bCs/>
          <w:color w:val="000000"/>
          <w:sz w:val="20"/>
          <w:szCs w:val="20"/>
          <w:highlight w:val="lightGray"/>
        </w:rPr>
        <w:sectPr w:rsidR="005346E4" w:rsidRPr="00085AFE" w:rsidSect="0087383B">
          <w:footerReference w:type="default" r:id="rId48"/>
          <w:type w:val="continuous"/>
          <w:pgSz w:w="11906" w:h="16838"/>
          <w:pgMar w:top="1418" w:right="1134" w:bottom="709" w:left="1701" w:header="709" w:footer="1134" w:gutter="0"/>
          <w:cols w:space="708"/>
          <w:titlePg/>
          <w:docGrid w:linePitch="360"/>
        </w:sectPr>
      </w:pPr>
    </w:p>
    <w:p w14:paraId="3A865FA3" w14:textId="77777777" w:rsidR="00DF348A" w:rsidRPr="00085AFE" w:rsidRDefault="00DF348A" w:rsidP="00BF4753">
      <w:pPr>
        <w:ind w:firstLine="0"/>
        <w:rPr>
          <w:rFonts w:eastAsia="Times New Roman" w:cs="Times New Roman"/>
          <w:b/>
          <w:bCs/>
          <w:color w:val="000000"/>
          <w:sz w:val="24"/>
          <w:szCs w:val="24"/>
          <w:highlight w:val="lightGray"/>
          <w:lang w:eastAsia="lv-LV"/>
        </w:rPr>
      </w:pPr>
    </w:p>
    <w:p w14:paraId="06B0A4D1" w14:textId="77777777" w:rsidR="00581441" w:rsidRPr="00085AFE" w:rsidRDefault="00581441" w:rsidP="00581441">
      <w:pPr>
        <w:tabs>
          <w:tab w:val="left" w:pos="851"/>
          <w:tab w:val="left" w:pos="6663"/>
        </w:tabs>
        <w:ind w:firstLine="0"/>
        <w:rPr>
          <w:rFonts w:eastAsia="Times New Roman" w:cs="Times New Roman"/>
          <w:b/>
          <w:bCs/>
          <w:color w:val="000000"/>
          <w:sz w:val="24"/>
          <w:szCs w:val="24"/>
          <w:highlight w:val="lightGray"/>
          <w:lang w:eastAsia="lv-LV"/>
        </w:rPr>
      </w:pPr>
    </w:p>
    <w:p w14:paraId="41AF9834" w14:textId="77777777" w:rsidR="00581441" w:rsidRPr="00085AFE" w:rsidRDefault="00581441" w:rsidP="00581441">
      <w:pPr>
        <w:tabs>
          <w:tab w:val="left" w:pos="851"/>
          <w:tab w:val="left" w:pos="6663"/>
        </w:tabs>
        <w:ind w:firstLine="0"/>
        <w:rPr>
          <w:rFonts w:eastAsia="Times New Roman" w:cs="Times New Roman"/>
          <w:b/>
          <w:bCs/>
          <w:color w:val="000000"/>
          <w:sz w:val="24"/>
          <w:szCs w:val="24"/>
          <w:highlight w:val="lightGray"/>
          <w:lang w:eastAsia="lv-LV"/>
        </w:rPr>
      </w:pPr>
    </w:p>
    <w:p w14:paraId="086ED82A" w14:textId="1D472126" w:rsidR="00BF4753" w:rsidRPr="00BA73EA" w:rsidRDefault="00BF4753" w:rsidP="00581441">
      <w:pPr>
        <w:tabs>
          <w:tab w:val="left" w:pos="851"/>
          <w:tab w:val="left" w:pos="6663"/>
        </w:tabs>
        <w:ind w:firstLine="0"/>
        <w:rPr>
          <w:szCs w:val="28"/>
        </w:rPr>
      </w:pPr>
      <w:r w:rsidRPr="00BA73EA">
        <w:rPr>
          <w:sz w:val="24"/>
          <w:szCs w:val="24"/>
        </w:rPr>
        <w:t xml:space="preserve">Finanšu ministrs </w:t>
      </w:r>
      <w:r w:rsidRPr="00BA73EA">
        <w:rPr>
          <w:sz w:val="24"/>
          <w:szCs w:val="24"/>
        </w:rPr>
        <w:tab/>
      </w:r>
      <w:r w:rsidRPr="00BA73EA">
        <w:rPr>
          <w:sz w:val="24"/>
          <w:szCs w:val="24"/>
        </w:rPr>
        <w:tab/>
      </w:r>
      <w:r w:rsidR="00085AFE" w:rsidRPr="00BA73EA">
        <w:rPr>
          <w:sz w:val="24"/>
          <w:szCs w:val="24"/>
        </w:rPr>
        <w:t>A</w:t>
      </w:r>
      <w:r w:rsidRPr="00BA73EA">
        <w:rPr>
          <w:sz w:val="24"/>
          <w:szCs w:val="24"/>
        </w:rPr>
        <w:t xml:space="preserve">. </w:t>
      </w:r>
      <w:r w:rsidR="00085AFE" w:rsidRPr="00BA73EA">
        <w:rPr>
          <w:sz w:val="24"/>
          <w:szCs w:val="24"/>
        </w:rPr>
        <w:t>Ašeradens</w:t>
      </w:r>
    </w:p>
    <w:p w14:paraId="1F676B7F" w14:textId="77777777" w:rsidR="00BF4753" w:rsidRPr="00BA73EA" w:rsidRDefault="00BF4753" w:rsidP="00BF4753">
      <w:pPr>
        <w:tabs>
          <w:tab w:val="left" w:pos="851"/>
          <w:tab w:val="left" w:pos="6663"/>
        </w:tabs>
        <w:rPr>
          <w:sz w:val="24"/>
          <w:szCs w:val="24"/>
        </w:rPr>
      </w:pPr>
      <w:r w:rsidRPr="00BA73EA">
        <w:rPr>
          <w:sz w:val="24"/>
          <w:szCs w:val="24"/>
        </w:rPr>
        <w:tab/>
        <w:t xml:space="preserve"> </w:t>
      </w:r>
      <w:r w:rsidRPr="00BA73EA">
        <w:rPr>
          <w:sz w:val="24"/>
          <w:szCs w:val="24"/>
        </w:rPr>
        <w:tab/>
      </w:r>
      <w:r w:rsidRPr="00BA73EA">
        <w:rPr>
          <w:sz w:val="24"/>
          <w:szCs w:val="24"/>
        </w:rPr>
        <w:tab/>
      </w:r>
      <w:r w:rsidRPr="00BA73EA">
        <w:rPr>
          <w:sz w:val="24"/>
          <w:szCs w:val="24"/>
        </w:rPr>
        <w:tab/>
      </w:r>
      <w:r w:rsidRPr="00BA73EA">
        <w:rPr>
          <w:sz w:val="24"/>
          <w:szCs w:val="24"/>
        </w:rPr>
        <w:tab/>
        <w:t xml:space="preserve">  </w:t>
      </w:r>
    </w:p>
    <w:p w14:paraId="5D93AF5E" w14:textId="77777777" w:rsidR="00BF4753" w:rsidRPr="00BA73EA" w:rsidRDefault="00BF4753" w:rsidP="00BF4753">
      <w:pPr>
        <w:tabs>
          <w:tab w:val="left" w:pos="988"/>
        </w:tabs>
        <w:rPr>
          <w:rFonts w:cs="Times New Roman"/>
          <w:sz w:val="20"/>
        </w:rPr>
      </w:pPr>
    </w:p>
    <w:p w14:paraId="05BB86E3" w14:textId="77777777" w:rsidR="00BF4753" w:rsidRPr="00085AFE" w:rsidRDefault="00BF4753" w:rsidP="00BF4753">
      <w:pPr>
        <w:tabs>
          <w:tab w:val="left" w:pos="988"/>
        </w:tabs>
        <w:rPr>
          <w:rFonts w:cs="Times New Roman"/>
          <w:sz w:val="24"/>
          <w:szCs w:val="16"/>
          <w:highlight w:val="lightGray"/>
        </w:rPr>
      </w:pPr>
    </w:p>
    <w:p w14:paraId="06326EDC" w14:textId="77777777" w:rsidR="00437D0F" w:rsidRPr="00085AFE" w:rsidRDefault="00437D0F" w:rsidP="00BF4753">
      <w:pPr>
        <w:tabs>
          <w:tab w:val="left" w:pos="988"/>
        </w:tabs>
        <w:rPr>
          <w:rFonts w:cs="Times New Roman"/>
          <w:sz w:val="24"/>
          <w:szCs w:val="16"/>
          <w:highlight w:val="lightGray"/>
        </w:rPr>
      </w:pPr>
    </w:p>
    <w:p w14:paraId="57D3B0D5" w14:textId="77777777" w:rsidR="00437D0F" w:rsidRPr="00085AFE" w:rsidRDefault="00437D0F" w:rsidP="00BF4753">
      <w:pPr>
        <w:tabs>
          <w:tab w:val="left" w:pos="988"/>
        </w:tabs>
        <w:rPr>
          <w:rFonts w:cs="Times New Roman"/>
          <w:sz w:val="24"/>
          <w:szCs w:val="16"/>
          <w:highlight w:val="lightGray"/>
        </w:rPr>
      </w:pPr>
    </w:p>
    <w:p w14:paraId="6F33BD15" w14:textId="77777777" w:rsidR="00BF4753" w:rsidRPr="00085AFE" w:rsidRDefault="00BF4753" w:rsidP="00BF4753">
      <w:pPr>
        <w:tabs>
          <w:tab w:val="left" w:pos="988"/>
        </w:tabs>
        <w:rPr>
          <w:rFonts w:cs="Times New Roman"/>
          <w:sz w:val="24"/>
          <w:szCs w:val="16"/>
          <w:highlight w:val="lightGray"/>
        </w:rPr>
      </w:pPr>
    </w:p>
    <w:p w14:paraId="6D26FECA" w14:textId="77777777" w:rsidR="008A3BF8" w:rsidRPr="00EE1CDA" w:rsidRDefault="008A3BF8" w:rsidP="00E54B38">
      <w:pPr>
        <w:tabs>
          <w:tab w:val="left" w:pos="988"/>
        </w:tabs>
        <w:ind w:firstLine="0"/>
        <w:rPr>
          <w:rFonts w:eastAsia="Times New Roman" w:cs="Times New Roman"/>
          <w:color w:val="000000" w:themeColor="text1"/>
          <w:sz w:val="18"/>
          <w:szCs w:val="18"/>
        </w:rPr>
      </w:pPr>
      <w:r>
        <w:rPr>
          <w:rFonts w:eastAsia="Times New Roman" w:cs="Times New Roman"/>
          <w:color w:val="000000" w:themeColor="text1"/>
          <w:sz w:val="18"/>
          <w:szCs w:val="18"/>
        </w:rPr>
        <w:t>Krauze-Tola</w:t>
      </w:r>
      <w:r w:rsidRPr="00EE1CDA">
        <w:rPr>
          <w:rFonts w:eastAsia="Times New Roman" w:cs="Times New Roman"/>
          <w:color w:val="000000" w:themeColor="text1"/>
          <w:sz w:val="18"/>
          <w:szCs w:val="18"/>
        </w:rPr>
        <w:t xml:space="preserve"> 25681938</w:t>
      </w:r>
    </w:p>
    <w:p w14:paraId="60B3890D" w14:textId="736BEBF4" w:rsidR="00C57955" w:rsidRPr="00E54B38" w:rsidRDefault="0040680D" w:rsidP="00E54B38">
      <w:pPr>
        <w:tabs>
          <w:tab w:val="left" w:pos="988"/>
        </w:tabs>
        <w:ind w:firstLine="0"/>
        <w:rPr>
          <w:rFonts w:eastAsia="Times New Roman" w:cs="Times New Roman"/>
          <w:sz w:val="18"/>
          <w:szCs w:val="18"/>
        </w:rPr>
      </w:pPr>
      <w:hyperlink r:id="rId49" w:history="1">
        <w:r w:rsidR="00E54B38" w:rsidRPr="007E42D5">
          <w:rPr>
            <w:rStyle w:val="Hyperlink"/>
            <w:rFonts w:eastAsia="Times New Roman" w:cs="Times New Roman"/>
            <w:sz w:val="18"/>
            <w:szCs w:val="18"/>
          </w:rPr>
          <w:t>klinta.krauze@fm.gov.lv</w:t>
        </w:r>
      </w:hyperlink>
    </w:p>
    <w:sectPr w:rsidR="00C57955" w:rsidRPr="00E54B38" w:rsidSect="00341CDB">
      <w:footerReference w:type="default" r:id="rId50"/>
      <w:type w:val="continuous"/>
      <w:pgSz w:w="11906" w:h="16838" w:code="9"/>
      <w:pgMar w:top="1418" w:right="1134" w:bottom="709" w:left="1701" w:header="0" w:footer="14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66B1C" w14:textId="77777777" w:rsidR="00BF7E9D" w:rsidRDefault="00BF7E9D" w:rsidP="00BF4753">
      <w:r>
        <w:separator/>
      </w:r>
    </w:p>
  </w:endnote>
  <w:endnote w:type="continuationSeparator" w:id="0">
    <w:p w14:paraId="53BCEF66" w14:textId="77777777" w:rsidR="00BF7E9D" w:rsidRDefault="00BF7E9D" w:rsidP="00BF4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Verdana">
    <w:panose1 w:val="020B0604030504040204"/>
    <w:charset w:val="BA"/>
    <w:family w:val="swiss"/>
    <w:pitch w:val="variable"/>
    <w:sig w:usb0="A00006FF" w:usb1="4000205B" w:usb2="00000010"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6753302"/>
      <w:docPartObj>
        <w:docPartGallery w:val="Page Numbers (Bottom of Page)"/>
        <w:docPartUnique/>
      </w:docPartObj>
    </w:sdtPr>
    <w:sdtEndPr>
      <w:rPr>
        <w:noProof/>
      </w:rPr>
    </w:sdtEndPr>
    <w:sdtContent>
      <w:p w14:paraId="32A2AA1A" w14:textId="525AEB3A" w:rsidR="005F4D71" w:rsidRDefault="005F4D71" w:rsidP="005F4D71">
        <w:pPr>
          <w:pStyle w:val="Footer"/>
          <w:jc w:val="right"/>
        </w:pPr>
        <w:r w:rsidRPr="005F4D71">
          <w:rPr>
            <w:sz w:val="24"/>
            <w:szCs w:val="20"/>
          </w:rPr>
          <w:fldChar w:fldCharType="begin"/>
        </w:r>
        <w:r w:rsidRPr="005F4D71">
          <w:rPr>
            <w:sz w:val="24"/>
            <w:szCs w:val="20"/>
          </w:rPr>
          <w:instrText xml:space="preserve"> PAGE   \* MERGEFORMAT </w:instrText>
        </w:r>
        <w:r w:rsidRPr="005F4D71">
          <w:rPr>
            <w:sz w:val="24"/>
            <w:szCs w:val="20"/>
          </w:rPr>
          <w:fldChar w:fldCharType="separate"/>
        </w:r>
        <w:r w:rsidRPr="005F4D71">
          <w:rPr>
            <w:noProof/>
            <w:sz w:val="24"/>
            <w:szCs w:val="20"/>
          </w:rPr>
          <w:t>2</w:t>
        </w:r>
        <w:r w:rsidRPr="005F4D71">
          <w:rPr>
            <w:noProof/>
            <w:sz w:val="24"/>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9189090"/>
      <w:docPartObj>
        <w:docPartGallery w:val="Page Numbers (Bottom of Page)"/>
        <w:docPartUnique/>
      </w:docPartObj>
    </w:sdtPr>
    <w:sdtEndPr>
      <w:rPr>
        <w:noProof/>
        <w:sz w:val="24"/>
        <w:szCs w:val="20"/>
      </w:rPr>
    </w:sdtEndPr>
    <w:sdtContent>
      <w:p w14:paraId="04DEE196" w14:textId="3122A501" w:rsidR="007A167D" w:rsidRPr="00B73E0A" w:rsidRDefault="00B73E0A" w:rsidP="00B73E0A">
        <w:pPr>
          <w:pStyle w:val="Footer"/>
          <w:jc w:val="right"/>
          <w:rPr>
            <w:sz w:val="24"/>
            <w:szCs w:val="20"/>
          </w:rPr>
        </w:pPr>
        <w:r w:rsidRPr="00B73E0A">
          <w:rPr>
            <w:sz w:val="24"/>
            <w:szCs w:val="20"/>
          </w:rPr>
          <w:fldChar w:fldCharType="begin"/>
        </w:r>
        <w:r w:rsidRPr="00B73E0A">
          <w:rPr>
            <w:sz w:val="24"/>
            <w:szCs w:val="20"/>
          </w:rPr>
          <w:instrText xml:space="preserve"> PAGE   \* MERGEFORMAT </w:instrText>
        </w:r>
        <w:r w:rsidRPr="00B73E0A">
          <w:rPr>
            <w:sz w:val="24"/>
            <w:szCs w:val="20"/>
          </w:rPr>
          <w:fldChar w:fldCharType="separate"/>
        </w:r>
        <w:r w:rsidRPr="00B73E0A">
          <w:rPr>
            <w:noProof/>
            <w:sz w:val="24"/>
            <w:szCs w:val="20"/>
          </w:rPr>
          <w:t>2</w:t>
        </w:r>
        <w:r w:rsidRPr="00B73E0A">
          <w:rPr>
            <w:noProof/>
            <w:sz w:val="24"/>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imes New Roman"/>
        <w:sz w:val="24"/>
      </w:rPr>
      <w:id w:val="-1446761671"/>
      <w:docPartObj>
        <w:docPartGallery w:val="Page Numbers (Bottom of Page)"/>
        <w:docPartUnique/>
      </w:docPartObj>
    </w:sdtPr>
    <w:sdtEndPr>
      <w:rPr>
        <w:noProof/>
      </w:rPr>
    </w:sdtEndPr>
    <w:sdtContent>
      <w:p w14:paraId="19509181" w14:textId="333A140A" w:rsidR="00A8405C" w:rsidRPr="00E829CD" w:rsidRDefault="00A8405C" w:rsidP="00492A61">
        <w:pPr>
          <w:pStyle w:val="Footer"/>
          <w:spacing w:before="120"/>
          <w:rPr>
            <w:rFonts w:cs="Times New Roman"/>
            <w:noProof/>
            <w:sz w:val="20"/>
          </w:rPr>
        </w:pPr>
        <w:r w:rsidRPr="00B71182">
          <w:rPr>
            <w:rFonts w:cs="Times New Roman"/>
            <w:sz w:val="20"/>
          </w:rPr>
          <w:t xml:space="preserve"> </w:t>
        </w:r>
      </w:p>
      <w:p w14:paraId="42EAB44A" w14:textId="77777777" w:rsidR="00A8405C" w:rsidRPr="002D4AED" w:rsidRDefault="00A8405C" w:rsidP="00FB1293">
        <w:pPr>
          <w:pStyle w:val="Footer"/>
          <w:tabs>
            <w:tab w:val="right" w:pos="9071"/>
          </w:tabs>
          <w:jc w:val="right"/>
          <w:rPr>
            <w:rFonts w:cs="Times New Roman"/>
            <w:sz w:val="24"/>
          </w:rPr>
        </w:pPr>
        <w:r>
          <w:rPr>
            <w:rFonts w:cs="Times New Roman"/>
            <w:sz w:val="24"/>
          </w:rPr>
          <w:tab/>
        </w:r>
        <w:r>
          <w:rPr>
            <w:rFonts w:cs="Times New Roman"/>
            <w:sz w:val="24"/>
          </w:rPr>
          <w:tab/>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116D7" w14:textId="77777777" w:rsidR="00513CD4" w:rsidRDefault="00513CD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35F9D8" w14:textId="77777777" w:rsidR="00513CD4" w:rsidRDefault="00513CD4">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8312020"/>
      <w:docPartObj>
        <w:docPartGallery w:val="Page Numbers (Bottom of Page)"/>
        <w:docPartUnique/>
      </w:docPartObj>
    </w:sdtPr>
    <w:sdtEndPr>
      <w:rPr>
        <w:noProof/>
        <w:sz w:val="24"/>
        <w:szCs w:val="24"/>
      </w:rPr>
    </w:sdtEndPr>
    <w:sdtContent>
      <w:p w14:paraId="1976B624" w14:textId="6B5A7F58" w:rsidR="00513CD4" w:rsidRPr="00B73E0A" w:rsidRDefault="00B73E0A" w:rsidP="00B73E0A">
        <w:pPr>
          <w:pStyle w:val="Footer"/>
          <w:jc w:val="right"/>
          <w:rPr>
            <w:sz w:val="24"/>
            <w:szCs w:val="24"/>
          </w:rPr>
        </w:pPr>
        <w:r w:rsidRPr="00B73E0A">
          <w:rPr>
            <w:sz w:val="24"/>
            <w:szCs w:val="24"/>
          </w:rPr>
          <w:fldChar w:fldCharType="begin"/>
        </w:r>
        <w:r w:rsidRPr="00B73E0A">
          <w:rPr>
            <w:sz w:val="24"/>
            <w:szCs w:val="24"/>
          </w:rPr>
          <w:instrText xml:space="preserve"> PAGE   \* MERGEFORMAT </w:instrText>
        </w:r>
        <w:r w:rsidRPr="00B73E0A">
          <w:rPr>
            <w:sz w:val="24"/>
            <w:szCs w:val="24"/>
          </w:rPr>
          <w:fldChar w:fldCharType="separate"/>
        </w:r>
        <w:r w:rsidRPr="00B73E0A">
          <w:rPr>
            <w:noProof/>
            <w:sz w:val="24"/>
            <w:szCs w:val="24"/>
          </w:rPr>
          <w:t>2</w:t>
        </w:r>
        <w:r w:rsidRPr="00B73E0A">
          <w:rPr>
            <w:noProof/>
            <w:sz w:val="24"/>
            <w:szCs w:val="24"/>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2091259"/>
      <w:docPartObj>
        <w:docPartGallery w:val="Page Numbers (Bottom of Page)"/>
        <w:docPartUnique/>
      </w:docPartObj>
    </w:sdtPr>
    <w:sdtEndPr>
      <w:rPr>
        <w:noProof/>
        <w:sz w:val="24"/>
        <w:szCs w:val="24"/>
      </w:rPr>
    </w:sdtEndPr>
    <w:sdtContent>
      <w:p w14:paraId="39AD2DB2" w14:textId="00F92F8D" w:rsidR="005346E4" w:rsidRPr="00B73E0A" w:rsidRDefault="00B73E0A" w:rsidP="00B73E0A">
        <w:pPr>
          <w:pStyle w:val="Footer"/>
          <w:jc w:val="right"/>
          <w:rPr>
            <w:sz w:val="24"/>
            <w:szCs w:val="24"/>
          </w:rPr>
        </w:pPr>
        <w:r w:rsidRPr="00B73E0A">
          <w:rPr>
            <w:sz w:val="24"/>
            <w:szCs w:val="24"/>
          </w:rPr>
          <w:fldChar w:fldCharType="begin"/>
        </w:r>
        <w:r w:rsidRPr="00B73E0A">
          <w:rPr>
            <w:sz w:val="24"/>
            <w:szCs w:val="24"/>
          </w:rPr>
          <w:instrText xml:space="preserve"> PAGE   \* MERGEFORMAT </w:instrText>
        </w:r>
        <w:r w:rsidRPr="00B73E0A">
          <w:rPr>
            <w:sz w:val="24"/>
            <w:szCs w:val="24"/>
          </w:rPr>
          <w:fldChar w:fldCharType="separate"/>
        </w:r>
        <w:r w:rsidRPr="00B73E0A">
          <w:rPr>
            <w:noProof/>
            <w:sz w:val="24"/>
            <w:szCs w:val="24"/>
          </w:rPr>
          <w:t>2</w:t>
        </w:r>
        <w:r w:rsidRPr="00B73E0A">
          <w:rPr>
            <w:noProof/>
            <w:sz w:val="24"/>
            <w:szCs w:val="24"/>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imes New Roman"/>
        <w:sz w:val="24"/>
      </w:rPr>
      <w:id w:val="-159006593"/>
      <w:docPartObj>
        <w:docPartGallery w:val="Page Numbers (Bottom of Page)"/>
        <w:docPartUnique/>
      </w:docPartObj>
    </w:sdtPr>
    <w:sdtEndPr>
      <w:rPr>
        <w:noProof/>
      </w:rPr>
    </w:sdtEndPr>
    <w:sdtContent>
      <w:p w14:paraId="034E2A05" w14:textId="30B350D6" w:rsidR="00B84344" w:rsidRPr="00E829CD" w:rsidRDefault="00B84344" w:rsidP="00CF68FC">
        <w:pPr>
          <w:pStyle w:val="Footer"/>
          <w:spacing w:before="120"/>
          <w:ind w:firstLine="0"/>
          <w:rPr>
            <w:rFonts w:cs="Times New Roman"/>
            <w:noProof/>
            <w:sz w:val="20"/>
          </w:rPr>
        </w:pPr>
        <w:r>
          <w:rPr>
            <w:sz w:val="20"/>
          </w:rPr>
          <w:t>FMInf_</w:t>
        </w:r>
        <w:r w:rsidR="00B26796">
          <w:rPr>
            <w:sz w:val="20"/>
          </w:rPr>
          <w:t>0</w:t>
        </w:r>
        <w:r w:rsidR="00BB3BCE">
          <w:rPr>
            <w:sz w:val="20"/>
          </w:rPr>
          <w:t>4</w:t>
        </w:r>
        <w:r w:rsidR="00B26796">
          <w:rPr>
            <w:sz w:val="20"/>
          </w:rPr>
          <w:t>04</w:t>
        </w:r>
        <w:r>
          <w:rPr>
            <w:sz w:val="20"/>
          </w:rPr>
          <w:t>2022</w:t>
        </w:r>
        <w:r w:rsidRPr="006D39DB">
          <w:rPr>
            <w:sz w:val="20"/>
          </w:rPr>
          <w:t>_SP</w:t>
        </w:r>
        <w:r>
          <w:rPr>
            <w:sz w:val="20"/>
          </w:rPr>
          <w:tab/>
        </w:r>
        <w:r>
          <w:rPr>
            <w:sz w:val="20"/>
          </w:rPr>
          <w:tab/>
        </w:r>
        <w:r w:rsidRPr="00DF7465">
          <w:fldChar w:fldCharType="begin"/>
        </w:r>
        <w:r w:rsidRPr="00DF7465">
          <w:instrText xml:space="preserve"> PAGE   \* MERGEFORMAT </w:instrText>
        </w:r>
        <w:r w:rsidRPr="00DF7465">
          <w:fldChar w:fldCharType="separate"/>
        </w:r>
        <w:r w:rsidR="003B23F5">
          <w:rPr>
            <w:noProof/>
          </w:rPr>
          <w:t>21</w:t>
        </w:r>
        <w:r w:rsidRPr="00DF7465">
          <w:rPr>
            <w:noProof/>
          </w:rPr>
          <w:fldChar w:fldCharType="end"/>
        </w:r>
      </w:p>
      <w:p w14:paraId="68AEB152" w14:textId="29EC90CD" w:rsidR="00B84344" w:rsidRPr="002D4AED" w:rsidRDefault="00B84344" w:rsidP="002D7CA8">
        <w:pPr>
          <w:pStyle w:val="Footer"/>
          <w:tabs>
            <w:tab w:val="right" w:pos="9071"/>
          </w:tabs>
          <w:jc w:val="right"/>
          <w:rPr>
            <w:rFonts w:cs="Times New Roman"/>
            <w:sz w:val="24"/>
          </w:rPr>
        </w:pPr>
        <w:r>
          <w:rPr>
            <w:rFonts w:cs="Times New Roman"/>
            <w:sz w:val="24"/>
          </w:rPr>
          <w:tab/>
        </w:r>
        <w:r>
          <w:rPr>
            <w:rFonts w:cs="Times New Roman"/>
            <w:sz w:val="24"/>
          </w:rPr>
          <w:tab/>
        </w:r>
      </w:p>
    </w:sdtContent>
  </w:sdt>
  <w:p w14:paraId="77545A4F" w14:textId="77777777" w:rsidR="008D2915" w:rsidRDefault="008D2915"/>
  <w:p w14:paraId="56B4B081" w14:textId="77777777" w:rsidR="008D2915" w:rsidRDefault="008D291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FC6AA" w14:textId="77777777" w:rsidR="00BF7E9D" w:rsidRDefault="00BF7E9D" w:rsidP="00BF4753">
      <w:r>
        <w:separator/>
      </w:r>
    </w:p>
  </w:footnote>
  <w:footnote w:type="continuationSeparator" w:id="0">
    <w:p w14:paraId="58804561" w14:textId="77777777" w:rsidR="00BF7E9D" w:rsidRDefault="00BF7E9D" w:rsidP="00BF4753">
      <w:r>
        <w:continuationSeparator/>
      </w:r>
    </w:p>
  </w:footnote>
  <w:footnote w:id="1">
    <w:p w14:paraId="1316779C" w14:textId="562DF1B5" w:rsidR="00A120D9" w:rsidRDefault="00A120D9" w:rsidP="00A120D9">
      <w:pPr>
        <w:pStyle w:val="FootnoteText"/>
      </w:pPr>
      <w:r>
        <w:rPr>
          <w:rStyle w:val="FootnoteReference"/>
        </w:rPr>
        <w:footnoteRef/>
      </w:r>
      <w:r>
        <w:t xml:space="preserve"> </w:t>
      </w:r>
      <w:r w:rsidR="0031227F" w:rsidRPr="0031227F">
        <w:t>Aprakstā izmantoti CSP un citu avotu dati, kas bija pieejami līdz 2023. gada 13. martam.</w:t>
      </w:r>
    </w:p>
  </w:footnote>
  <w:footnote w:id="2">
    <w:p w14:paraId="55FCE9A6" w14:textId="77777777" w:rsidR="0031227F" w:rsidRDefault="0031227F" w:rsidP="0031227F">
      <w:pPr>
        <w:pStyle w:val="FootnoteText"/>
      </w:pPr>
      <w:r>
        <w:rPr>
          <w:rStyle w:val="FootnoteReference"/>
          <w:rFonts w:eastAsiaTheme="majorEastAsia"/>
        </w:rPr>
        <w:footnoteRef/>
      </w:r>
      <w:r>
        <w:t xml:space="preserve"> Datu avots: Latvijas Banka, CSP</w:t>
      </w:r>
    </w:p>
  </w:footnote>
  <w:footnote w:id="3">
    <w:p w14:paraId="629C5AA5" w14:textId="77777777" w:rsidR="0031227F" w:rsidRDefault="0031227F" w:rsidP="0031227F">
      <w:pPr>
        <w:pStyle w:val="FootnoteText"/>
      </w:pPr>
      <w:r w:rsidRPr="000E16B1">
        <w:rPr>
          <w:rStyle w:val="FootnoteReference"/>
        </w:rPr>
        <w:footnoteRef/>
      </w:r>
      <w:r>
        <w:t xml:space="preserve"> Datu avots: CSP, FM aprēķini </w:t>
      </w:r>
    </w:p>
  </w:footnote>
  <w:footnote w:id="4">
    <w:p w14:paraId="234E67E0" w14:textId="77777777" w:rsidR="0031227F" w:rsidRDefault="0031227F" w:rsidP="0031227F">
      <w:pPr>
        <w:pStyle w:val="FootnoteText"/>
      </w:pPr>
      <w:r>
        <w:rPr>
          <w:rStyle w:val="FootnoteReference"/>
          <w:rFonts w:eastAsiaTheme="majorEastAsia"/>
        </w:rPr>
        <w:footnoteRef/>
      </w:r>
      <w:r>
        <w:t xml:space="preserve"> Datu avots: Eurostat, FM aprēķini</w:t>
      </w:r>
    </w:p>
  </w:footnote>
  <w:footnote w:id="5">
    <w:p w14:paraId="0A9C098F" w14:textId="69E040A0" w:rsidR="006A1FC0" w:rsidRDefault="006A1FC0" w:rsidP="006A1FC0">
      <w:pPr>
        <w:pStyle w:val="FootnoteText"/>
        <w:ind w:left="0" w:right="-1" w:firstLine="0"/>
        <w:jc w:val="left"/>
      </w:pPr>
      <w:r>
        <w:rPr>
          <w:rStyle w:val="FootnoteReference"/>
        </w:rPr>
        <w:footnoteRef/>
      </w:r>
      <w:r>
        <w:t xml:space="preserve"> </w:t>
      </w:r>
      <w:r w:rsidR="00A629E7">
        <w:t>P</w:t>
      </w:r>
      <w:r w:rsidRPr="007707CD">
        <w:t>recizē</w:t>
      </w:r>
      <w:r>
        <w:t xml:space="preserve">jumi veikti ar </w:t>
      </w:r>
      <w:r w:rsidRPr="007707CD">
        <w:t>Ministru kabineta sēdes protokol</w:t>
      </w:r>
      <w:r w:rsidR="00A629E7">
        <w:t>u</w:t>
      </w:r>
      <w:r w:rsidRPr="007707CD">
        <w:t xml:space="preserve"> Nr.</w:t>
      </w:r>
      <w:r w:rsidR="00A629E7">
        <w:t xml:space="preserve"> </w:t>
      </w:r>
      <w:r w:rsidRPr="007707CD">
        <w:t>52 4.§</w:t>
      </w:r>
      <w:r>
        <w:t xml:space="preserve"> un </w:t>
      </w:r>
      <w:r w:rsidRPr="007707CD">
        <w:t>Ministru kabineta 2022.gada 22.</w:t>
      </w:r>
      <w:r w:rsidR="00A629E7">
        <w:t xml:space="preserve"> </w:t>
      </w:r>
      <w:r w:rsidRPr="007707CD">
        <w:t>decembra sēdes protokol</w:t>
      </w:r>
      <w:r w:rsidR="00A629E7">
        <w:t>u</w:t>
      </w:r>
      <w:r w:rsidRPr="007707CD">
        <w:t xml:space="preserve"> Nr.67, 1.§</w:t>
      </w:r>
    </w:p>
  </w:footnote>
  <w:footnote w:id="6">
    <w:p w14:paraId="065A9313" w14:textId="77777777" w:rsidR="00247690" w:rsidRPr="00F01A06" w:rsidRDefault="00247690" w:rsidP="00247690">
      <w:pPr>
        <w:pStyle w:val="FootnoteText"/>
        <w:rPr>
          <w:sz w:val="18"/>
          <w:szCs w:val="18"/>
        </w:rPr>
      </w:pPr>
      <w:r w:rsidRPr="00F01A06">
        <w:rPr>
          <w:rStyle w:val="FootnoteCharacters"/>
          <w:sz w:val="18"/>
          <w:szCs w:val="18"/>
        </w:rPr>
        <w:footnoteRef/>
      </w:r>
      <w:r w:rsidRPr="00F01A06">
        <w:rPr>
          <w:sz w:val="18"/>
          <w:szCs w:val="18"/>
        </w:rPr>
        <w:tab/>
        <w:t>Nodokļu slogs (D.2 (iesk.ES daļu)+D.5+D.61+D91).</w:t>
      </w:r>
    </w:p>
  </w:footnote>
  <w:footnote w:id="7">
    <w:p w14:paraId="2C6521E4" w14:textId="77777777" w:rsidR="00B6285A" w:rsidRDefault="00B6285A" w:rsidP="00B6285A">
      <w:pPr>
        <w:pStyle w:val="FootnoteText"/>
      </w:pPr>
      <w:r>
        <w:rPr>
          <w:rStyle w:val="FootnoteReference"/>
        </w:rPr>
        <w:footnoteRef/>
      </w:r>
      <w:r>
        <w:t xml:space="preserve"> </w:t>
      </w:r>
      <w:r>
        <w:tab/>
      </w:r>
      <w:r w:rsidRPr="00B6285A">
        <w:rPr>
          <w:sz w:val="18"/>
          <w:szCs w:val="18"/>
        </w:rPr>
        <w:t>Izpildes dati līdz 28.02.2023 (sociālo pabalstu dati līdz 26.02.2023). Datu avots: Būvniecības valsts kontroles birojs, Labklājības ministrija, Valsts kase.</w:t>
      </w:r>
    </w:p>
  </w:footnote>
  <w:footnote w:id="8">
    <w:p w14:paraId="3ED1F6A7" w14:textId="77777777" w:rsidR="00B6285A" w:rsidRPr="000B1DBE" w:rsidRDefault="00B6285A" w:rsidP="00B6285A">
      <w:pPr>
        <w:pStyle w:val="FootnoteText"/>
        <w:rPr>
          <w:sz w:val="18"/>
          <w:szCs w:val="18"/>
        </w:rPr>
      </w:pPr>
      <w:r w:rsidRPr="000B1DBE">
        <w:rPr>
          <w:rStyle w:val="FootnoteReference"/>
          <w:rFonts w:ascii="Times New Roman" w:hAnsi="Times New Roman"/>
          <w:sz w:val="18"/>
          <w:szCs w:val="18"/>
        </w:rPr>
        <w:footnoteRef/>
      </w:r>
      <w:r w:rsidRPr="000B1DBE">
        <w:rPr>
          <w:sz w:val="18"/>
          <w:szCs w:val="18"/>
        </w:rPr>
        <w:t xml:space="preserve"> </w:t>
      </w:r>
      <w:r>
        <w:rPr>
          <w:sz w:val="18"/>
          <w:szCs w:val="18"/>
        </w:rPr>
        <w:tab/>
      </w:r>
      <w:r w:rsidRPr="00B6285A">
        <w:rPr>
          <w:sz w:val="18"/>
          <w:szCs w:val="18"/>
        </w:rPr>
        <w:t>Norādītais finansējums ir ietekme uz vispārējās valdības budžeta deficītu.</w:t>
      </w:r>
      <w:r w:rsidRPr="000B1DBE">
        <w:rPr>
          <w:sz w:val="18"/>
          <w:szCs w:val="18"/>
        </w:rPr>
        <w:t xml:space="preserve"> </w:t>
      </w:r>
      <w:r w:rsidRPr="00B6285A">
        <w:rPr>
          <w:sz w:val="18"/>
          <w:szCs w:val="18"/>
        </w:rPr>
        <w:t>Faktiskās izpildes dati var tikt precizēti, ņemot vērā no EM saņemto informāciju.</w:t>
      </w:r>
    </w:p>
  </w:footnote>
  <w:footnote w:id="9">
    <w:p w14:paraId="17F041CE" w14:textId="77777777" w:rsidR="00B6285A" w:rsidRDefault="00B6285A" w:rsidP="00B6285A">
      <w:pPr>
        <w:pStyle w:val="FootnoteText"/>
      </w:pPr>
      <w:r>
        <w:rPr>
          <w:rStyle w:val="FootnoteReference"/>
        </w:rPr>
        <w:footnoteRef/>
      </w:r>
      <w:r>
        <w:t xml:space="preserve"> </w:t>
      </w:r>
      <w:r w:rsidRPr="00B82F00">
        <w:rPr>
          <w:sz w:val="18"/>
          <w:szCs w:val="18"/>
        </w:rPr>
        <w:t>Dati uz 21.03.2023.</w:t>
      </w:r>
    </w:p>
  </w:footnote>
  <w:footnote w:id="10">
    <w:p w14:paraId="77194D34" w14:textId="150A06FF" w:rsidR="00EC1DDD" w:rsidRPr="000B1DBE" w:rsidRDefault="00EC1DDD" w:rsidP="00B6285A">
      <w:pPr>
        <w:pStyle w:val="FootnoteText"/>
        <w:rPr>
          <w:sz w:val="18"/>
          <w:szCs w:val="18"/>
        </w:rPr>
      </w:pPr>
      <w:r w:rsidRPr="000B1DBE">
        <w:rPr>
          <w:rStyle w:val="FootnoteReference"/>
          <w:sz w:val="18"/>
          <w:szCs w:val="18"/>
        </w:rPr>
        <w:footnoteRef/>
      </w:r>
      <w:r w:rsidRPr="000B1DBE">
        <w:rPr>
          <w:sz w:val="18"/>
          <w:szCs w:val="18"/>
        </w:rPr>
        <w:t xml:space="preserve"> </w:t>
      </w:r>
      <w:r w:rsidRPr="00B6285A">
        <w:rPr>
          <w:sz w:val="18"/>
          <w:szCs w:val="18"/>
        </w:rPr>
        <w:t>Izpildes dati līdz 28.02.2023. Datu avots</w:t>
      </w:r>
      <w:r w:rsidR="009D02BC">
        <w:rPr>
          <w:sz w:val="18"/>
          <w:szCs w:val="18"/>
        </w:rPr>
        <w:t>:</w:t>
      </w:r>
      <w:r w:rsidRPr="00B6285A">
        <w:rPr>
          <w:sz w:val="18"/>
          <w:szCs w:val="18"/>
        </w:rPr>
        <w:t xml:space="preserve"> Valsts kase, </w:t>
      </w:r>
      <w:r>
        <w:rPr>
          <w:sz w:val="18"/>
          <w:szCs w:val="18"/>
        </w:rPr>
        <w:t xml:space="preserve">FM </w:t>
      </w:r>
      <w:r w:rsidRPr="00B6285A">
        <w:rPr>
          <w:sz w:val="18"/>
          <w:szCs w:val="18"/>
        </w:rPr>
        <w:t>aprēķini.</w:t>
      </w:r>
    </w:p>
  </w:footnote>
  <w:footnote w:id="11">
    <w:p w14:paraId="62621A2D" w14:textId="2B0F31EC" w:rsidR="00A8405C" w:rsidRPr="0070018B" w:rsidRDefault="00A8405C" w:rsidP="00A8405C">
      <w:pPr>
        <w:pStyle w:val="FootnoteText"/>
        <w:ind w:left="57" w:hanging="57"/>
        <w:rPr>
          <w:sz w:val="18"/>
          <w:szCs w:val="18"/>
        </w:rPr>
      </w:pPr>
      <w:r w:rsidRPr="0070018B">
        <w:rPr>
          <w:rStyle w:val="FootnoteReference"/>
          <w:sz w:val="18"/>
          <w:szCs w:val="18"/>
        </w:rPr>
        <w:footnoteRef/>
      </w:r>
      <w:r w:rsidRPr="0070018B">
        <w:rPr>
          <w:sz w:val="18"/>
          <w:szCs w:val="18"/>
        </w:rPr>
        <w:t xml:space="preserve"> Valsts un pašvaldību struktūru kontrolētās un finansētās komercsabiedrības (FM izlases aptaujas rezultāts). Pilns </w:t>
      </w:r>
      <w:r w:rsidRPr="005E74E5">
        <w:rPr>
          <w:noProof/>
          <w:sz w:val="18"/>
          <w:szCs w:val="18"/>
        </w:rPr>
        <w:t xml:space="preserve">komersantu saraksts ir pieejams CSP mājas lapā </w:t>
      </w:r>
      <w:r w:rsidRPr="00CA2CB6">
        <w:rPr>
          <w:noProof/>
          <w:sz w:val="18"/>
          <w:szCs w:val="18"/>
        </w:rPr>
        <w:t>https://www.csb.gov.lv/lv/statistika/klasifikacijas/institucionalo-sektoru-klasifikacija/kodi</w:t>
      </w:r>
      <w:r w:rsidRPr="005E74E5">
        <w:rPr>
          <w:rStyle w:val="Hyperlink"/>
          <w:noProof/>
          <w:sz w:val="18"/>
          <w:szCs w:val="18"/>
        </w:rPr>
        <w:t>.</w:t>
      </w:r>
    </w:p>
  </w:footnote>
  <w:footnote w:id="12">
    <w:p w14:paraId="68930C48" w14:textId="77777777" w:rsidR="00A8405C" w:rsidRPr="0070018B" w:rsidRDefault="00A8405C" w:rsidP="00A8405C">
      <w:pPr>
        <w:pStyle w:val="FootnoteText"/>
        <w:ind w:left="57" w:hanging="57"/>
        <w:rPr>
          <w:noProof/>
          <w:sz w:val="18"/>
          <w:szCs w:val="18"/>
          <w:lang w:val="en-US"/>
        </w:rPr>
      </w:pPr>
      <w:r w:rsidRPr="0070018B">
        <w:rPr>
          <w:rStyle w:val="FootnoteReference"/>
          <w:noProof/>
          <w:sz w:val="18"/>
          <w:szCs w:val="18"/>
          <w:lang w:val="en-US"/>
        </w:rPr>
        <w:footnoteRef/>
      </w:r>
      <w:r w:rsidRPr="005E74E5">
        <w:rPr>
          <w:noProof/>
          <w:sz w:val="18"/>
          <w:szCs w:val="18"/>
        </w:rPr>
        <w:t xml:space="preserve"> Budžeta bilances cikliskās komponentes aprēķinā izmantota budžeta pus-elastība 0,378 (Datu avots: G.Mourre ao. </w:t>
      </w:r>
      <w:r w:rsidRPr="0070018B">
        <w:rPr>
          <w:noProof/>
          <w:sz w:val="18"/>
          <w:szCs w:val="18"/>
          <w:lang w:val="en-US"/>
        </w:rPr>
        <w:t>European Commission. The Semi-Elasticities Underlying the Cyclically-Adjusted Budget Balance: An Update &amp; Further Analysis. May 2019).</w:t>
      </w:r>
    </w:p>
  </w:footnote>
  <w:footnote w:id="13">
    <w:p w14:paraId="6C4B217C" w14:textId="37FDECDC" w:rsidR="00A8405C" w:rsidRPr="00FF79C4" w:rsidRDefault="00A8405C" w:rsidP="0067134B">
      <w:pPr>
        <w:pStyle w:val="FootnoteText"/>
        <w:ind w:left="0" w:firstLine="0"/>
        <w:rPr>
          <w:sz w:val="18"/>
          <w:szCs w:val="18"/>
        </w:rPr>
      </w:pPr>
      <w:r w:rsidRPr="00FF79C4">
        <w:rPr>
          <w:rStyle w:val="FootnoteReference"/>
          <w:noProof/>
          <w:sz w:val="18"/>
          <w:szCs w:val="18"/>
          <w:lang w:val="en-US"/>
        </w:rPr>
        <w:footnoteRef/>
      </w:r>
      <w:bookmarkStart w:id="40" w:name="_Hlk131331742"/>
      <w:r w:rsidR="009C2220">
        <w:rPr>
          <w:rStyle w:val="FootnoteReference"/>
          <w:rFonts w:ascii="Times New Roman" w:hAnsi="Times New Roman"/>
          <w:sz w:val="18"/>
          <w:szCs w:val="18"/>
          <w:vertAlign w:val="baseline"/>
        </w:rPr>
        <w:t>S</w:t>
      </w:r>
      <w:r w:rsidR="009C2220">
        <w:rPr>
          <w:sz w:val="18"/>
          <w:szCs w:val="18"/>
        </w:rPr>
        <w:t>kat. 3.1. tabulu.</w:t>
      </w:r>
      <w:bookmarkEnd w:id="40"/>
    </w:p>
  </w:footnote>
  <w:footnote w:id="14">
    <w:p w14:paraId="1A4F3FFC" w14:textId="77777777" w:rsidR="00C13AFE" w:rsidRPr="0070018B" w:rsidRDefault="00C13AFE" w:rsidP="00C13AFE">
      <w:pPr>
        <w:pStyle w:val="FootnoteText"/>
        <w:ind w:left="57" w:hanging="57"/>
        <w:rPr>
          <w:noProof/>
          <w:sz w:val="18"/>
          <w:szCs w:val="18"/>
          <w:lang w:val="en-US"/>
        </w:rPr>
      </w:pPr>
      <w:r w:rsidRPr="0070018B">
        <w:rPr>
          <w:rStyle w:val="FootnoteReference"/>
          <w:noProof/>
          <w:sz w:val="18"/>
          <w:szCs w:val="18"/>
          <w:lang w:val="en-US"/>
        </w:rPr>
        <w:footnoteRef/>
      </w:r>
      <w:r w:rsidRPr="005E74E5">
        <w:rPr>
          <w:noProof/>
          <w:sz w:val="18"/>
          <w:szCs w:val="18"/>
        </w:rPr>
        <w:t xml:space="preserve"> Budžeta bilances cikliskās komponentes aprēķinā izmantota budžeta pus-elastība 0,378 (Datu avots: G.Mourre ao. </w:t>
      </w:r>
      <w:r w:rsidRPr="0070018B">
        <w:rPr>
          <w:noProof/>
          <w:sz w:val="18"/>
          <w:szCs w:val="18"/>
          <w:lang w:val="en-US"/>
        </w:rPr>
        <w:t>European Commission. The Semi-Elasticities Underlying the Cyclically-Adjusted Budget Balance: An Update &amp; Further Analysis. May 2019).</w:t>
      </w:r>
    </w:p>
  </w:footnote>
  <w:footnote w:id="15">
    <w:p w14:paraId="6D566795" w14:textId="043A4483" w:rsidR="00C13AFE" w:rsidRPr="00FF79C4" w:rsidRDefault="00C13AFE" w:rsidP="00FF6B19">
      <w:pPr>
        <w:pStyle w:val="FootnoteText"/>
        <w:ind w:left="0" w:firstLine="0"/>
        <w:rPr>
          <w:sz w:val="18"/>
          <w:szCs w:val="18"/>
        </w:rPr>
      </w:pPr>
      <w:r w:rsidRPr="00FF79C4">
        <w:rPr>
          <w:rStyle w:val="FootnoteReference"/>
          <w:noProof/>
          <w:sz w:val="18"/>
          <w:szCs w:val="18"/>
          <w:lang w:val="en-US"/>
        </w:rPr>
        <w:footnoteRef/>
      </w:r>
      <w:r w:rsidR="0040680D">
        <w:rPr>
          <w:rStyle w:val="FootnoteReference"/>
          <w:rFonts w:ascii="Times New Roman" w:hAnsi="Times New Roman"/>
          <w:sz w:val="18"/>
          <w:szCs w:val="18"/>
          <w:vertAlign w:val="baseline"/>
        </w:rPr>
        <w:t>S</w:t>
      </w:r>
      <w:r w:rsidR="0040680D">
        <w:rPr>
          <w:sz w:val="18"/>
          <w:szCs w:val="18"/>
        </w:rPr>
        <w:t>kat. 3.1. tabulu.</w:t>
      </w:r>
    </w:p>
  </w:footnote>
  <w:footnote w:id="16">
    <w:p w14:paraId="3D8DF81B" w14:textId="006073DF" w:rsidR="008D6303" w:rsidRDefault="008D6303">
      <w:pPr>
        <w:pStyle w:val="FootnoteText"/>
      </w:pPr>
      <w:r w:rsidRPr="008D6303">
        <w:rPr>
          <w:rStyle w:val="FootnoteReference"/>
          <w:sz w:val="18"/>
          <w:szCs w:val="18"/>
        </w:rPr>
        <w:footnoteRef/>
      </w:r>
      <w:r w:rsidRPr="008D6303">
        <w:rPr>
          <w:sz w:val="18"/>
          <w:szCs w:val="18"/>
        </w:rPr>
        <w:t xml:space="preserve"> Atbalsta instruments bezdarba risku mazināšanai ārkārtas situācijā pēc Covid-19 uzliesmojuma</w:t>
      </w:r>
      <w:r>
        <w:rPr>
          <w:sz w:val="18"/>
          <w:szCs w:val="18"/>
        </w:rPr>
        <w:t>.</w:t>
      </w:r>
    </w:p>
  </w:footnote>
  <w:footnote w:id="17">
    <w:p w14:paraId="3C3E3F1C" w14:textId="782D84B4" w:rsidR="00E510C8" w:rsidRPr="00461783" w:rsidRDefault="00E510C8" w:rsidP="00E510C8">
      <w:pPr>
        <w:pStyle w:val="FootnoteText"/>
      </w:pPr>
      <w:r w:rsidRPr="00C549BA">
        <w:rPr>
          <w:rStyle w:val="FootnoteReference"/>
        </w:rPr>
        <w:footnoteRef/>
      </w:r>
      <w:r w:rsidRPr="00C549BA">
        <w:t xml:space="preserve"> Atskaitot iemaksas valsts fondēto pensiju shēmā un iemaksas 3. pensiju līmenī</w:t>
      </w:r>
    </w:p>
  </w:footnote>
  <w:footnote w:id="18">
    <w:p w14:paraId="4B9370A6" w14:textId="77777777" w:rsidR="00E510C8" w:rsidRPr="00461783" w:rsidRDefault="00E510C8" w:rsidP="00E510C8">
      <w:pPr>
        <w:pStyle w:val="FootnoteText"/>
      </w:pPr>
      <w:r w:rsidRPr="00636020">
        <w:rPr>
          <w:rStyle w:val="FootnoteReference"/>
        </w:rPr>
        <w:footnoteRef/>
      </w:r>
      <w:r w:rsidRPr="00636020">
        <w:t xml:space="preserve"> Atskaitot iemaksas valsts fondēto pensiju shēmā un iemaksas 3.pensiju līmenī</w:t>
      </w:r>
    </w:p>
  </w:footnote>
  <w:footnote w:id="19">
    <w:p w14:paraId="13D74F79" w14:textId="1F619E9F" w:rsidR="00586190" w:rsidRPr="00043063" w:rsidRDefault="00586190" w:rsidP="00E54B38">
      <w:pPr>
        <w:pStyle w:val="FootnoteText"/>
      </w:pPr>
      <w:r>
        <w:rPr>
          <w:rStyle w:val="FootnoteReference"/>
        </w:rPr>
        <w:footnoteRef/>
      </w:r>
      <w:r>
        <w:t xml:space="preserve"> </w:t>
      </w:r>
      <w:r>
        <w:t xml:space="preserve">Informācija pieejama: </w:t>
      </w:r>
      <w:r w:rsidRPr="0040680D">
        <w:t>https://www.fm.gov.lv/lv/visparejas-valdibas-budzets</w:t>
      </w:r>
    </w:p>
  </w:footnote>
  <w:footnote w:id="20">
    <w:p w14:paraId="11800D9A" w14:textId="0281EDB9" w:rsidR="00D21E1F" w:rsidRPr="005210BE" w:rsidRDefault="00D21E1F" w:rsidP="00001558">
      <w:pPr>
        <w:pStyle w:val="FootnoteText"/>
        <w:ind w:left="142" w:hanging="142"/>
        <w:rPr>
          <w:sz w:val="16"/>
          <w:szCs w:val="16"/>
        </w:rPr>
      </w:pPr>
      <w:r w:rsidRPr="005210BE">
        <w:rPr>
          <w:sz w:val="16"/>
          <w:szCs w:val="16"/>
          <w:vertAlign w:val="superscript"/>
        </w:rPr>
        <w:footnoteRef/>
      </w:r>
      <w:r w:rsidRPr="005210BE">
        <w:rPr>
          <w:sz w:val="16"/>
          <w:szCs w:val="16"/>
        </w:rPr>
        <w:t xml:space="preserve"> </w:t>
      </w:r>
      <w:r w:rsidR="006D2F22">
        <w:rPr>
          <w:sz w:val="16"/>
          <w:szCs w:val="16"/>
        </w:rPr>
        <w:t xml:space="preserve">Skat. 3.1. tabulu. </w:t>
      </w:r>
    </w:p>
  </w:footnote>
  <w:footnote w:id="21">
    <w:p w14:paraId="78967E3F" w14:textId="77777777" w:rsidR="00D21E1F" w:rsidRPr="00D21908" w:rsidRDefault="00D21E1F" w:rsidP="00D21E1F">
      <w:pPr>
        <w:pStyle w:val="FootnoteText"/>
        <w:rPr>
          <w:sz w:val="18"/>
          <w:szCs w:val="18"/>
        </w:rPr>
      </w:pPr>
      <w:r w:rsidRPr="005210BE">
        <w:rPr>
          <w:rStyle w:val="FootnoteReference"/>
          <w:rFonts w:ascii="Times New Roman" w:hAnsi="Times New Roman"/>
          <w:sz w:val="16"/>
          <w:szCs w:val="16"/>
        </w:rPr>
        <w:footnoteRef/>
      </w:r>
      <w:r w:rsidRPr="005210BE">
        <w:rPr>
          <w:sz w:val="16"/>
          <w:szCs w:val="16"/>
        </w:rPr>
        <w:t xml:space="preserve"> Ieskaitot ES budžetā iekasēto nodokļu daļu.</w:t>
      </w:r>
    </w:p>
  </w:footnote>
  <w:footnote w:id="22">
    <w:p w14:paraId="45065C8B" w14:textId="364AE305" w:rsidR="00FC127E" w:rsidRDefault="00FC127E" w:rsidP="006D2F22">
      <w:pPr>
        <w:pStyle w:val="FootnoteText"/>
        <w:ind w:left="142" w:hanging="142"/>
      </w:pPr>
      <w:r>
        <w:rPr>
          <w:rStyle w:val="FootnoteReference"/>
        </w:rPr>
        <w:footnoteRef/>
      </w:r>
      <w:r>
        <w:t xml:space="preserve"> </w:t>
      </w:r>
      <w:r w:rsidR="009D59E2" w:rsidRPr="009D59E2">
        <w:rPr>
          <w:sz w:val="16"/>
          <w:szCs w:val="16"/>
        </w:rPr>
        <w:t xml:space="preserve"> </w:t>
      </w:r>
      <w:r w:rsidR="006D2F22" w:rsidRPr="006D2F22">
        <w:rPr>
          <w:sz w:val="16"/>
          <w:szCs w:val="16"/>
        </w:rPr>
        <w:t xml:space="preserve">Skat. 3.1. tabulu. </w:t>
      </w:r>
    </w:p>
  </w:footnote>
  <w:footnote w:id="23">
    <w:p w14:paraId="4AAB979A" w14:textId="77777777" w:rsidR="000F4627" w:rsidRPr="000F4627" w:rsidRDefault="000F4627" w:rsidP="005346E4">
      <w:pPr>
        <w:ind w:firstLine="0"/>
        <w:rPr>
          <w:color w:val="000000"/>
          <w:sz w:val="20"/>
        </w:rPr>
      </w:pPr>
      <w:r w:rsidRPr="000F4627">
        <w:rPr>
          <w:rStyle w:val="FootnoteReference"/>
          <w:rFonts w:ascii="Times New Roman" w:hAnsi="Times New Roman" w:cs="Times New Roman"/>
          <w:color w:val="000000"/>
          <w:szCs w:val="20"/>
          <w:lang w:val="en-GB"/>
        </w:rPr>
        <w:footnoteRef/>
      </w:r>
      <w:r w:rsidRPr="000F4627">
        <w:rPr>
          <w:rFonts w:cs="Times New Roman"/>
          <w:color w:val="000000"/>
          <w:sz w:val="20"/>
          <w:szCs w:val="20"/>
          <w:lang w:val="en-GB"/>
        </w:rPr>
        <w:t xml:space="preserve"> </w:t>
      </w:r>
      <w:r w:rsidRPr="000F4627">
        <w:rPr>
          <w:rFonts w:eastAsia="Times New Roman" w:cs="Times New Roman"/>
          <w:color w:val="000000"/>
          <w:sz w:val="16"/>
          <w:szCs w:val="16"/>
          <w:lang w:eastAsia="lv-LV"/>
        </w:rPr>
        <w:t xml:space="preserve">Datu avots: </w:t>
      </w:r>
      <w:r w:rsidRPr="000F4627">
        <w:rPr>
          <w:rFonts w:eastAsia="Times New Roman" w:cs="Times New Roman"/>
          <w:i/>
          <w:color w:val="000000"/>
          <w:sz w:val="16"/>
          <w:szCs w:val="16"/>
          <w:lang w:eastAsia="lv-LV"/>
        </w:rPr>
        <w:t>The 2021 Ageing Report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6B125" w14:textId="77777777" w:rsidR="00371EB6" w:rsidRPr="000800F9" w:rsidRDefault="00371EB6" w:rsidP="000800F9">
    <w:pPr>
      <w:pStyle w:val="Header"/>
      <w:ind w:firstLine="0"/>
      <w:contextualSpacing/>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DAD3B" w14:textId="33CF7A0B" w:rsidR="00513CD4" w:rsidRDefault="00513CD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58</w:t>
    </w:r>
    <w:r>
      <w:rPr>
        <w:rStyle w:val="PageNumber"/>
      </w:rPr>
      <w:fldChar w:fldCharType="end"/>
    </w:r>
  </w:p>
  <w:p w14:paraId="02FB6064" w14:textId="77777777" w:rsidR="00513CD4" w:rsidRDefault="00513C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C949D" w14:textId="77777777" w:rsidR="00513CD4" w:rsidRPr="0040680D" w:rsidRDefault="00513CD4" w:rsidP="007E52EA">
    <w:pPr>
      <w:pStyle w:val="Header"/>
      <w:ind w:firstLine="0"/>
      <w:rPr>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9836B" w14:textId="77777777" w:rsidR="00513CD4" w:rsidRPr="00484732" w:rsidRDefault="00513CD4" w:rsidP="001E6850">
    <w:pPr>
      <w:pStyle w:val="Header"/>
      <w:ind w:left="5760"/>
      <w:rPr>
        <w:i/>
        <w:u w:val="single"/>
      </w:rPr>
    </w:pPr>
  </w:p>
  <w:p w14:paraId="4CC356A5" w14:textId="77777777" w:rsidR="00513CD4" w:rsidRDefault="00513CD4">
    <w:pPr>
      <w:pStyle w:val="Header"/>
    </w:pPr>
  </w:p>
  <w:p w14:paraId="7CDFC94F" w14:textId="77777777" w:rsidR="00513CD4" w:rsidRDefault="00513C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55EB1"/>
    <w:multiLevelType w:val="multilevel"/>
    <w:tmpl w:val="A0266E0C"/>
    <w:lvl w:ilvl="0">
      <w:start w:val="7"/>
      <w:numFmt w:val="decimal"/>
      <w:lvlText w:val="%1."/>
      <w:lvlJc w:val="left"/>
      <w:pPr>
        <w:ind w:left="480" w:hanging="48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09B21A77"/>
    <w:multiLevelType w:val="hybridMultilevel"/>
    <w:tmpl w:val="C6C2941E"/>
    <w:lvl w:ilvl="0" w:tplc="E4DA01A0">
      <w:start w:val="2016"/>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0A813916"/>
    <w:multiLevelType w:val="hybridMultilevel"/>
    <w:tmpl w:val="697E87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305630"/>
    <w:multiLevelType w:val="hybridMultilevel"/>
    <w:tmpl w:val="586A5AFE"/>
    <w:lvl w:ilvl="0" w:tplc="35E61B94">
      <w:start w:val="1"/>
      <w:numFmt w:val="bullet"/>
      <w:lvlText w:val=""/>
      <w:lvlJc w:val="left"/>
      <w:pPr>
        <w:ind w:left="720" w:hanging="360"/>
      </w:pPr>
      <w:rPr>
        <w:rFonts w:ascii="Symbol" w:hAnsi="Symbol" w:hint="default"/>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1064C3E"/>
    <w:multiLevelType w:val="hybridMultilevel"/>
    <w:tmpl w:val="FC98F766"/>
    <w:lvl w:ilvl="0" w:tplc="04260001">
      <w:start w:val="1"/>
      <w:numFmt w:val="bullet"/>
      <w:lvlText w:val=""/>
      <w:lvlJc w:val="left"/>
      <w:pPr>
        <w:ind w:left="786" w:hanging="360"/>
      </w:pPr>
      <w:rPr>
        <w:rFonts w:ascii="Symbol" w:hAnsi="Symbol" w:hint="default"/>
      </w:rPr>
    </w:lvl>
    <w:lvl w:ilvl="1" w:tplc="04260001">
      <w:start w:val="1"/>
      <w:numFmt w:val="bullet"/>
      <w:lvlText w:val=""/>
      <w:lvlJc w:val="left"/>
      <w:pPr>
        <w:ind w:left="1506" w:hanging="360"/>
      </w:pPr>
      <w:rPr>
        <w:rFonts w:ascii="Symbol" w:hAnsi="Symbol"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5" w15:restartNumberingAfterBreak="0">
    <w:nsid w:val="14105CA9"/>
    <w:multiLevelType w:val="hybridMultilevel"/>
    <w:tmpl w:val="D89EE4A2"/>
    <w:lvl w:ilvl="0" w:tplc="BD841C0E">
      <w:start w:val="1"/>
      <w:numFmt w:val="decimal"/>
      <w:pStyle w:val="ParagraphNumbering"/>
      <w:lvlText w:val="%1.     "/>
      <w:lvlJc w:val="left"/>
      <w:pPr>
        <w:tabs>
          <w:tab w:val="num" w:pos="720"/>
        </w:tabs>
        <w:ind w:left="0" w:firstLine="0"/>
      </w:pPr>
      <w:rPr>
        <w:rFonts w:hint="default"/>
        <w:b/>
        <w:strike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482775B"/>
    <w:multiLevelType w:val="multilevel"/>
    <w:tmpl w:val="CB8EAC52"/>
    <w:lvl w:ilvl="0">
      <w:start w:val="1"/>
      <w:numFmt w:val="decimal"/>
      <w:lvlText w:val="%1."/>
      <w:lvlJc w:val="left"/>
      <w:pPr>
        <w:ind w:left="360" w:hanging="360"/>
      </w:pPr>
      <w:rPr>
        <w:rFonts w:ascii="Times New Roman" w:hAnsi="Times New Roman" w:hint="default"/>
        <w:b/>
        <w:i w:val="0"/>
        <w:sz w:val="36"/>
      </w:rPr>
    </w:lvl>
    <w:lvl w:ilvl="1">
      <w:start w:val="1"/>
      <w:numFmt w:val="decimal"/>
      <w:pStyle w:val="Heading2"/>
      <w:lvlText w:val="%1.%2"/>
      <w:lvlJc w:val="left"/>
      <w:pPr>
        <w:ind w:left="576" w:hanging="576"/>
      </w:pPr>
      <w:rPr>
        <w:rFonts w:ascii="Times New Roman" w:hAnsi="Times New Roman" w:hint="default"/>
        <w:b/>
        <w:i w:val="0"/>
        <w:sz w:val="32"/>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15:restartNumberingAfterBreak="0">
    <w:nsid w:val="1CB76165"/>
    <w:multiLevelType w:val="hybridMultilevel"/>
    <w:tmpl w:val="6ED6753A"/>
    <w:lvl w:ilvl="0" w:tplc="0426000F">
      <w:start w:val="1"/>
      <w:numFmt w:val="decimal"/>
      <w:lvlText w:val="%1."/>
      <w:lvlJc w:val="left"/>
      <w:pPr>
        <w:ind w:left="720" w:hanging="360"/>
      </w:pPr>
    </w:lvl>
    <w:lvl w:ilvl="1" w:tplc="E4B4502C">
      <w:start w:val="1"/>
      <w:numFmt w:val="bullet"/>
      <w:lvlText w:val=""/>
      <w:lvlJc w:val="left"/>
      <w:pPr>
        <w:ind w:left="1440" w:hanging="360"/>
      </w:pPr>
      <w:rPr>
        <w:rFonts w:ascii="Symbol" w:hAnsi="Symbol" w:hint="default"/>
      </w:rPr>
    </w:lvl>
    <w:lvl w:ilvl="2" w:tplc="0426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CFB746A"/>
    <w:multiLevelType w:val="hybridMultilevel"/>
    <w:tmpl w:val="38CA00C6"/>
    <w:lvl w:ilvl="0" w:tplc="0FDA667E">
      <w:start w:val="1"/>
      <w:numFmt w:val="lowerLetter"/>
      <w:lvlText w:val="%1)"/>
      <w:lvlJc w:val="left"/>
      <w:pPr>
        <w:ind w:left="1800" w:hanging="360"/>
      </w:pPr>
      <w:rPr>
        <w:rFonts w:ascii="Times New Roman" w:eastAsia="Times New Roman" w:hAnsi="Times New Roman" w:cs="Times New Roman"/>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9" w15:restartNumberingAfterBreak="0">
    <w:nsid w:val="22E156F7"/>
    <w:multiLevelType w:val="multilevel"/>
    <w:tmpl w:val="371C871C"/>
    <w:lvl w:ilvl="0">
      <w:start w:val="5"/>
      <w:numFmt w:val="decimal"/>
      <w:lvlText w:val="%1."/>
      <w:lvlJc w:val="left"/>
      <w:pPr>
        <w:ind w:left="450" w:hanging="450"/>
      </w:pPr>
      <w:rPr>
        <w:rFonts w:hint="default"/>
      </w:rPr>
    </w:lvl>
    <w:lvl w:ilvl="1">
      <w:start w:val="2"/>
      <w:numFmt w:val="decimal"/>
      <w:lvlText w:val="%1.%2."/>
      <w:lvlJc w:val="left"/>
      <w:pPr>
        <w:ind w:left="1152" w:hanging="72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392" w:hanging="180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10" w15:restartNumberingAfterBreak="0">
    <w:nsid w:val="2A472AAA"/>
    <w:multiLevelType w:val="multilevel"/>
    <w:tmpl w:val="0426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1C76C79"/>
    <w:multiLevelType w:val="hybridMultilevel"/>
    <w:tmpl w:val="FA7CF2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3550CB8"/>
    <w:multiLevelType w:val="hybridMultilevel"/>
    <w:tmpl w:val="2F8C974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3CB077AB"/>
    <w:multiLevelType w:val="hybridMultilevel"/>
    <w:tmpl w:val="F6DAA000"/>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EFD441C"/>
    <w:multiLevelType w:val="multilevel"/>
    <w:tmpl w:val="6240C8DE"/>
    <w:lvl w:ilvl="0">
      <w:start w:val="3"/>
      <w:numFmt w:val="decimal"/>
      <w:lvlText w:val="%1."/>
      <w:lvlJc w:val="left"/>
      <w:pPr>
        <w:ind w:left="420" w:hanging="420"/>
      </w:pPr>
      <w:rPr>
        <w:rFonts w:hint="default"/>
      </w:rPr>
    </w:lvl>
    <w:lvl w:ilvl="1">
      <w:start w:val="6"/>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5" w15:restartNumberingAfterBreak="0">
    <w:nsid w:val="484676AB"/>
    <w:multiLevelType w:val="hybridMultilevel"/>
    <w:tmpl w:val="2A8A5126"/>
    <w:lvl w:ilvl="0" w:tplc="04260005">
      <w:start w:val="1"/>
      <w:numFmt w:val="bullet"/>
      <w:lvlText w:val=""/>
      <w:lvlJc w:val="left"/>
      <w:pPr>
        <w:ind w:left="1500" w:hanging="360"/>
      </w:pPr>
      <w:rPr>
        <w:rFonts w:ascii="Wingdings" w:hAnsi="Wingdings" w:hint="default"/>
      </w:rPr>
    </w:lvl>
    <w:lvl w:ilvl="1" w:tplc="04260003">
      <w:start w:val="1"/>
      <w:numFmt w:val="bullet"/>
      <w:lvlText w:val="o"/>
      <w:lvlJc w:val="left"/>
      <w:pPr>
        <w:ind w:left="2220" w:hanging="360"/>
      </w:pPr>
      <w:rPr>
        <w:rFonts w:ascii="Courier New" w:hAnsi="Courier New" w:cs="Courier New" w:hint="default"/>
      </w:rPr>
    </w:lvl>
    <w:lvl w:ilvl="2" w:tplc="04260005">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16" w15:restartNumberingAfterBreak="0">
    <w:nsid w:val="48DE22C6"/>
    <w:multiLevelType w:val="multilevel"/>
    <w:tmpl w:val="E5E4F8EE"/>
    <w:lvl w:ilvl="0">
      <w:start w:val="3"/>
      <w:numFmt w:val="decimal"/>
      <w:lvlText w:val="%1."/>
      <w:lvlJc w:val="left"/>
      <w:pPr>
        <w:ind w:left="504" w:hanging="504"/>
      </w:pPr>
      <w:rPr>
        <w:rFonts w:hint="default"/>
      </w:rPr>
    </w:lvl>
    <w:lvl w:ilvl="1">
      <w:start w:val="4"/>
      <w:numFmt w:val="decimal"/>
      <w:lvlText w:val="%1.%2."/>
      <w:lvlJc w:val="left"/>
      <w:pPr>
        <w:ind w:left="1800" w:hanging="720"/>
      </w:pPr>
      <w:rPr>
        <w:rFonts w:hint="default"/>
      </w:rPr>
    </w:lvl>
    <w:lvl w:ilvl="2">
      <w:start w:val="1"/>
      <w:numFmt w:val="decimal"/>
      <w:lvlText w:val="%1.%2.%3."/>
      <w:lvlJc w:val="left"/>
      <w:pPr>
        <w:ind w:left="2880" w:hanging="720"/>
      </w:pPr>
      <w:rPr>
        <w:rFonts w:hint="default"/>
        <w:sz w:val="24"/>
        <w:szCs w:val="22"/>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17" w15:restartNumberingAfterBreak="0">
    <w:nsid w:val="4E56023C"/>
    <w:multiLevelType w:val="multilevel"/>
    <w:tmpl w:val="5884334C"/>
    <w:lvl w:ilvl="0">
      <w:start w:val="3"/>
      <w:numFmt w:val="decimal"/>
      <w:lvlText w:val="%1."/>
      <w:lvlJc w:val="left"/>
      <w:pPr>
        <w:ind w:left="648" w:hanging="648"/>
      </w:pPr>
      <w:rPr>
        <w:rFonts w:hint="default"/>
      </w:rPr>
    </w:lvl>
    <w:lvl w:ilvl="1">
      <w:start w:val="1"/>
      <w:numFmt w:val="decimal"/>
      <w:lvlText w:val="%1.%2."/>
      <w:lvlJc w:val="left"/>
      <w:pPr>
        <w:ind w:left="1080" w:hanging="720"/>
      </w:pPr>
      <w:rPr>
        <w:rFonts w:hint="default"/>
      </w:rPr>
    </w:lvl>
    <w:lvl w:ilvl="2">
      <w:start w:val="3"/>
      <w:numFmt w:val="decimal"/>
      <w:lvlText w:val="%1.%2.%3."/>
      <w:lvlJc w:val="left"/>
      <w:pPr>
        <w:ind w:left="469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15:restartNumberingAfterBreak="0">
    <w:nsid w:val="53B175FA"/>
    <w:multiLevelType w:val="multilevel"/>
    <w:tmpl w:val="727C7920"/>
    <w:lvl w:ilvl="0">
      <w:start w:val="3"/>
      <w:numFmt w:val="decimal"/>
      <w:lvlText w:val="%1"/>
      <w:lvlJc w:val="left"/>
      <w:pPr>
        <w:ind w:left="576" w:hanging="576"/>
      </w:pPr>
      <w:rPr>
        <w:rFonts w:hint="default"/>
      </w:rPr>
    </w:lvl>
    <w:lvl w:ilvl="1">
      <w:start w:val="1"/>
      <w:numFmt w:val="decimal"/>
      <w:lvlText w:val="%1.%2"/>
      <w:lvlJc w:val="left"/>
      <w:pPr>
        <w:ind w:left="2573" w:hanging="576"/>
      </w:pPr>
      <w:rPr>
        <w:rFonts w:hint="default"/>
      </w:rPr>
    </w:lvl>
    <w:lvl w:ilvl="2">
      <w:start w:val="1"/>
      <w:numFmt w:val="decimal"/>
      <w:lvlText w:val="%1.%2.%3"/>
      <w:lvlJc w:val="left"/>
      <w:pPr>
        <w:ind w:left="4714" w:hanging="720"/>
      </w:pPr>
      <w:rPr>
        <w:rFonts w:hint="default"/>
      </w:rPr>
    </w:lvl>
    <w:lvl w:ilvl="3">
      <w:start w:val="1"/>
      <w:numFmt w:val="decimal"/>
      <w:lvlText w:val="%1.%2.%3.%4"/>
      <w:lvlJc w:val="left"/>
      <w:pPr>
        <w:ind w:left="7071" w:hanging="1080"/>
      </w:pPr>
      <w:rPr>
        <w:rFonts w:hint="default"/>
      </w:rPr>
    </w:lvl>
    <w:lvl w:ilvl="4">
      <w:start w:val="1"/>
      <w:numFmt w:val="decimal"/>
      <w:lvlText w:val="%1.%2.%3.%4.%5"/>
      <w:lvlJc w:val="left"/>
      <w:pPr>
        <w:ind w:left="9068" w:hanging="1080"/>
      </w:pPr>
      <w:rPr>
        <w:rFonts w:hint="default"/>
      </w:rPr>
    </w:lvl>
    <w:lvl w:ilvl="5">
      <w:start w:val="1"/>
      <w:numFmt w:val="decimal"/>
      <w:lvlText w:val="%1.%2.%3.%4.%5.%6"/>
      <w:lvlJc w:val="left"/>
      <w:pPr>
        <w:ind w:left="11425" w:hanging="1440"/>
      </w:pPr>
      <w:rPr>
        <w:rFonts w:hint="default"/>
      </w:rPr>
    </w:lvl>
    <w:lvl w:ilvl="6">
      <w:start w:val="1"/>
      <w:numFmt w:val="decimal"/>
      <w:lvlText w:val="%1.%2.%3.%4.%5.%6.%7"/>
      <w:lvlJc w:val="left"/>
      <w:pPr>
        <w:ind w:left="13422" w:hanging="1440"/>
      </w:pPr>
      <w:rPr>
        <w:rFonts w:hint="default"/>
      </w:rPr>
    </w:lvl>
    <w:lvl w:ilvl="7">
      <w:start w:val="1"/>
      <w:numFmt w:val="decimal"/>
      <w:lvlText w:val="%1.%2.%3.%4.%5.%6.%7.%8"/>
      <w:lvlJc w:val="left"/>
      <w:pPr>
        <w:ind w:left="15779" w:hanging="1800"/>
      </w:pPr>
      <w:rPr>
        <w:rFonts w:hint="default"/>
      </w:rPr>
    </w:lvl>
    <w:lvl w:ilvl="8">
      <w:start w:val="1"/>
      <w:numFmt w:val="decimal"/>
      <w:lvlText w:val="%1.%2.%3.%4.%5.%6.%7.%8.%9"/>
      <w:lvlJc w:val="left"/>
      <w:pPr>
        <w:ind w:left="18136" w:hanging="2160"/>
      </w:pPr>
      <w:rPr>
        <w:rFonts w:hint="default"/>
      </w:rPr>
    </w:lvl>
  </w:abstractNum>
  <w:abstractNum w:abstractNumId="19" w15:restartNumberingAfterBreak="0">
    <w:nsid w:val="55D525A2"/>
    <w:multiLevelType w:val="hybridMultilevel"/>
    <w:tmpl w:val="D21894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A8D2BB9"/>
    <w:multiLevelType w:val="multilevel"/>
    <w:tmpl w:val="45007F1A"/>
    <w:lvl w:ilvl="0">
      <w:start w:val="2"/>
      <w:numFmt w:val="decimal"/>
      <w:lvlText w:val="%1."/>
      <w:lvlJc w:val="left"/>
      <w:pPr>
        <w:ind w:left="504" w:hanging="504"/>
      </w:pPr>
      <w:rPr>
        <w:rFonts w:hint="default"/>
      </w:rPr>
    </w:lvl>
    <w:lvl w:ilvl="1">
      <w:start w:val="3"/>
      <w:numFmt w:val="decimal"/>
      <w:lvlText w:val="%1.%2."/>
      <w:lvlJc w:val="left"/>
      <w:pPr>
        <w:ind w:left="1296" w:hanging="72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808" w:hanging="1080"/>
      </w:pPr>
      <w:rPr>
        <w:rFonts w:hint="default"/>
      </w:rPr>
    </w:lvl>
    <w:lvl w:ilvl="4">
      <w:start w:val="1"/>
      <w:numFmt w:val="decimal"/>
      <w:lvlText w:val="%1.%2.%3.%4.%5."/>
      <w:lvlJc w:val="left"/>
      <w:pPr>
        <w:ind w:left="3744" w:hanging="144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5256" w:hanging="1800"/>
      </w:pPr>
      <w:rPr>
        <w:rFonts w:hint="default"/>
      </w:rPr>
    </w:lvl>
    <w:lvl w:ilvl="7">
      <w:start w:val="1"/>
      <w:numFmt w:val="decimal"/>
      <w:lvlText w:val="%1.%2.%3.%4.%5.%6.%7.%8."/>
      <w:lvlJc w:val="left"/>
      <w:pPr>
        <w:ind w:left="6192" w:hanging="2160"/>
      </w:pPr>
      <w:rPr>
        <w:rFonts w:hint="default"/>
      </w:rPr>
    </w:lvl>
    <w:lvl w:ilvl="8">
      <w:start w:val="1"/>
      <w:numFmt w:val="decimal"/>
      <w:lvlText w:val="%1.%2.%3.%4.%5.%6.%7.%8.%9."/>
      <w:lvlJc w:val="left"/>
      <w:pPr>
        <w:ind w:left="6768" w:hanging="2160"/>
      </w:pPr>
      <w:rPr>
        <w:rFonts w:hint="default"/>
      </w:rPr>
    </w:lvl>
  </w:abstractNum>
  <w:abstractNum w:abstractNumId="21" w15:restartNumberingAfterBreak="0">
    <w:nsid w:val="5E856CF0"/>
    <w:multiLevelType w:val="hybridMultilevel"/>
    <w:tmpl w:val="26A040B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EAE7BC3"/>
    <w:multiLevelType w:val="hybridMultilevel"/>
    <w:tmpl w:val="983CBDFC"/>
    <w:lvl w:ilvl="0" w:tplc="336E947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3" w15:restartNumberingAfterBreak="0">
    <w:nsid w:val="60515788"/>
    <w:multiLevelType w:val="hybridMultilevel"/>
    <w:tmpl w:val="7E505462"/>
    <w:lvl w:ilvl="0" w:tplc="0426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4" w15:restartNumberingAfterBreak="0">
    <w:nsid w:val="60C54192"/>
    <w:multiLevelType w:val="multilevel"/>
    <w:tmpl w:val="9CD895F8"/>
    <w:lvl w:ilvl="0">
      <w:start w:val="5"/>
      <w:numFmt w:val="decimal"/>
      <w:lvlText w:val="%1."/>
      <w:lvlJc w:val="left"/>
      <w:pPr>
        <w:ind w:left="675" w:hanging="675"/>
      </w:pPr>
      <w:rPr>
        <w:rFonts w:ascii="Times New Roman" w:hAnsi="Times New Roman" w:cs="Times New Roman" w:hint="default"/>
      </w:rPr>
    </w:lvl>
    <w:lvl w:ilvl="1">
      <w:start w:val="1"/>
      <w:numFmt w:val="decimal"/>
      <w:lvlText w:val="%1.%2."/>
      <w:lvlJc w:val="left"/>
      <w:pPr>
        <w:ind w:left="1008" w:hanging="720"/>
      </w:pPr>
      <w:rPr>
        <w:rFonts w:ascii="Times New Roman" w:hAnsi="Times New Roman" w:cs="Times New Roman" w:hint="default"/>
      </w:rPr>
    </w:lvl>
    <w:lvl w:ilvl="2">
      <w:start w:val="2"/>
      <w:numFmt w:val="decimal"/>
      <w:lvlText w:val="%1.%2.%3."/>
      <w:lvlJc w:val="left"/>
      <w:pPr>
        <w:ind w:left="1296" w:hanging="720"/>
      </w:pPr>
      <w:rPr>
        <w:rFonts w:ascii="Times New Roman" w:hAnsi="Times New Roman" w:cs="Times New Roman" w:hint="default"/>
      </w:rPr>
    </w:lvl>
    <w:lvl w:ilvl="3">
      <w:start w:val="1"/>
      <w:numFmt w:val="decimal"/>
      <w:lvlText w:val="%1.%2.%3.%4."/>
      <w:lvlJc w:val="left"/>
      <w:pPr>
        <w:ind w:left="1944" w:hanging="1080"/>
      </w:pPr>
      <w:rPr>
        <w:rFonts w:ascii="Times New Roman" w:hAnsi="Times New Roman" w:cs="Times New Roman" w:hint="default"/>
      </w:rPr>
    </w:lvl>
    <w:lvl w:ilvl="4">
      <w:start w:val="1"/>
      <w:numFmt w:val="decimal"/>
      <w:lvlText w:val="%1.%2.%3.%4.%5."/>
      <w:lvlJc w:val="left"/>
      <w:pPr>
        <w:ind w:left="2232" w:hanging="1080"/>
      </w:pPr>
      <w:rPr>
        <w:rFonts w:ascii="Times New Roman" w:hAnsi="Times New Roman" w:cs="Times New Roman" w:hint="default"/>
      </w:rPr>
    </w:lvl>
    <w:lvl w:ilvl="5">
      <w:start w:val="1"/>
      <w:numFmt w:val="decimal"/>
      <w:lvlText w:val="%1.%2.%3.%4.%5.%6."/>
      <w:lvlJc w:val="left"/>
      <w:pPr>
        <w:ind w:left="2880" w:hanging="1440"/>
      </w:pPr>
      <w:rPr>
        <w:rFonts w:ascii="Times New Roman" w:hAnsi="Times New Roman" w:cs="Times New Roman" w:hint="default"/>
      </w:rPr>
    </w:lvl>
    <w:lvl w:ilvl="6">
      <w:start w:val="1"/>
      <w:numFmt w:val="decimal"/>
      <w:lvlText w:val="%1.%2.%3.%4.%5.%6.%7."/>
      <w:lvlJc w:val="left"/>
      <w:pPr>
        <w:ind w:left="3528" w:hanging="1800"/>
      </w:pPr>
      <w:rPr>
        <w:rFonts w:ascii="Times New Roman" w:hAnsi="Times New Roman" w:cs="Times New Roman" w:hint="default"/>
      </w:rPr>
    </w:lvl>
    <w:lvl w:ilvl="7">
      <w:start w:val="1"/>
      <w:numFmt w:val="decimal"/>
      <w:lvlText w:val="%1.%2.%3.%4.%5.%6.%7.%8."/>
      <w:lvlJc w:val="left"/>
      <w:pPr>
        <w:ind w:left="3816" w:hanging="1800"/>
      </w:pPr>
      <w:rPr>
        <w:rFonts w:ascii="Times New Roman" w:hAnsi="Times New Roman" w:cs="Times New Roman" w:hint="default"/>
      </w:rPr>
    </w:lvl>
    <w:lvl w:ilvl="8">
      <w:start w:val="1"/>
      <w:numFmt w:val="decimal"/>
      <w:lvlText w:val="%1.%2.%3.%4.%5.%6.%7.%8.%9."/>
      <w:lvlJc w:val="left"/>
      <w:pPr>
        <w:ind w:left="4464" w:hanging="2160"/>
      </w:pPr>
      <w:rPr>
        <w:rFonts w:ascii="Times New Roman" w:hAnsi="Times New Roman" w:cs="Times New Roman" w:hint="default"/>
      </w:rPr>
    </w:lvl>
  </w:abstractNum>
  <w:abstractNum w:abstractNumId="25" w15:restartNumberingAfterBreak="0">
    <w:nsid w:val="62757D5C"/>
    <w:multiLevelType w:val="hybridMultilevel"/>
    <w:tmpl w:val="BDAE67B2"/>
    <w:lvl w:ilvl="0" w:tplc="C8B07CEA">
      <w:start w:val="1"/>
      <w:numFmt w:val="decimal"/>
      <w:lvlText w:val="(%1)"/>
      <w:lvlJc w:val="left"/>
      <w:pPr>
        <w:ind w:left="1169" w:hanging="4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6" w15:restartNumberingAfterBreak="0">
    <w:nsid w:val="688D3141"/>
    <w:multiLevelType w:val="multilevel"/>
    <w:tmpl w:val="6240C8DE"/>
    <w:lvl w:ilvl="0">
      <w:start w:val="3"/>
      <w:numFmt w:val="decimal"/>
      <w:lvlText w:val="%1."/>
      <w:lvlJc w:val="left"/>
      <w:pPr>
        <w:ind w:left="420" w:hanging="420"/>
      </w:pPr>
      <w:rPr>
        <w:rFonts w:hint="default"/>
      </w:rPr>
    </w:lvl>
    <w:lvl w:ilvl="1">
      <w:start w:val="5"/>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7" w15:restartNumberingAfterBreak="0">
    <w:nsid w:val="6C4851EC"/>
    <w:multiLevelType w:val="hybridMultilevel"/>
    <w:tmpl w:val="B316D952"/>
    <w:lvl w:ilvl="0" w:tplc="3B383F78">
      <w:start w:val="1"/>
      <w:numFmt w:val="bullet"/>
      <w:lvlText w:val=""/>
      <w:lvlJc w:val="right"/>
      <w:pPr>
        <w:ind w:left="1500" w:hanging="360"/>
      </w:pPr>
      <w:rPr>
        <w:rFonts w:ascii="Symbol" w:hAnsi="Symbol" w:hint="default"/>
      </w:rPr>
    </w:lvl>
    <w:lvl w:ilvl="1" w:tplc="FFFFFFFF">
      <w:start w:val="1"/>
      <w:numFmt w:val="bullet"/>
      <w:lvlText w:val="o"/>
      <w:lvlJc w:val="left"/>
      <w:pPr>
        <w:ind w:left="2220" w:hanging="360"/>
      </w:pPr>
      <w:rPr>
        <w:rFonts w:ascii="Courier New" w:hAnsi="Courier New" w:cs="Courier New" w:hint="default"/>
      </w:rPr>
    </w:lvl>
    <w:lvl w:ilvl="2" w:tplc="FFFFFFFF">
      <w:start w:val="1"/>
      <w:numFmt w:val="bullet"/>
      <w:lvlText w:val=""/>
      <w:lvlJc w:val="left"/>
      <w:pPr>
        <w:ind w:left="2940" w:hanging="360"/>
      </w:pPr>
      <w:rPr>
        <w:rFonts w:ascii="Wingdings" w:hAnsi="Wingdings" w:hint="default"/>
      </w:rPr>
    </w:lvl>
    <w:lvl w:ilvl="3" w:tplc="FFFFFFFF" w:tentative="1">
      <w:start w:val="1"/>
      <w:numFmt w:val="bullet"/>
      <w:lvlText w:val=""/>
      <w:lvlJc w:val="left"/>
      <w:pPr>
        <w:ind w:left="3660" w:hanging="360"/>
      </w:pPr>
      <w:rPr>
        <w:rFonts w:ascii="Symbol" w:hAnsi="Symbol" w:hint="default"/>
      </w:rPr>
    </w:lvl>
    <w:lvl w:ilvl="4" w:tplc="FFFFFFFF" w:tentative="1">
      <w:start w:val="1"/>
      <w:numFmt w:val="bullet"/>
      <w:lvlText w:val="o"/>
      <w:lvlJc w:val="left"/>
      <w:pPr>
        <w:ind w:left="4380" w:hanging="360"/>
      </w:pPr>
      <w:rPr>
        <w:rFonts w:ascii="Courier New" w:hAnsi="Courier New" w:cs="Courier New" w:hint="default"/>
      </w:rPr>
    </w:lvl>
    <w:lvl w:ilvl="5" w:tplc="FFFFFFFF" w:tentative="1">
      <w:start w:val="1"/>
      <w:numFmt w:val="bullet"/>
      <w:lvlText w:val=""/>
      <w:lvlJc w:val="left"/>
      <w:pPr>
        <w:ind w:left="5100" w:hanging="360"/>
      </w:pPr>
      <w:rPr>
        <w:rFonts w:ascii="Wingdings" w:hAnsi="Wingdings" w:hint="default"/>
      </w:rPr>
    </w:lvl>
    <w:lvl w:ilvl="6" w:tplc="FFFFFFFF" w:tentative="1">
      <w:start w:val="1"/>
      <w:numFmt w:val="bullet"/>
      <w:lvlText w:val=""/>
      <w:lvlJc w:val="left"/>
      <w:pPr>
        <w:ind w:left="5820" w:hanging="360"/>
      </w:pPr>
      <w:rPr>
        <w:rFonts w:ascii="Symbol" w:hAnsi="Symbol" w:hint="default"/>
      </w:rPr>
    </w:lvl>
    <w:lvl w:ilvl="7" w:tplc="FFFFFFFF" w:tentative="1">
      <w:start w:val="1"/>
      <w:numFmt w:val="bullet"/>
      <w:lvlText w:val="o"/>
      <w:lvlJc w:val="left"/>
      <w:pPr>
        <w:ind w:left="6540" w:hanging="360"/>
      </w:pPr>
      <w:rPr>
        <w:rFonts w:ascii="Courier New" w:hAnsi="Courier New" w:cs="Courier New" w:hint="default"/>
      </w:rPr>
    </w:lvl>
    <w:lvl w:ilvl="8" w:tplc="FFFFFFFF" w:tentative="1">
      <w:start w:val="1"/>
      <w:numFmt w:val="bullet"/>
      <w:lvlText w:val=""/>
      <w:lvlJc w:val="left"/>
      <w:pPr>
        <w:ind w:left="7260" w:hanging="360"/>
      </w:pPr>
      <w:rPr>
        <w:rFonts w:ascii="Wingdings" w:hAnsi="Wingdings" w:hint="default"/>
      </w:rPr>
    </w:lvl>
  </w:abstractNum>
  <w:abstractNum w:abstractNumId="28" w15:restartNumberingAfterBreak="0">
    <w:nsid w:val="6C524320"/>
    <w:multiLevelType w:val="hybridMultilevel"/>
    <w:tmpl w:val="76B6A3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15108D9"/>
    <w:multiLevelType w:val="hybridMultilevel"/>
    <w:tmpl w:val="653AD442"/>
    <w:lvl w:ilvl="0" w:tplc="7E20031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0" w15:restartNumberingAfterBreak="0">
    <w:nsid w:val="747F0218"/>
    <w:multiLevelType w:val="hybridMultilevel"/>
    <w:tmpl w:val="E8E2D0BC"/>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791595E"/>
    <w:multiLevelType w:val="hybridMultilevel"/>
    <w:tmpl w:val="B7A47C52"/>
    <w:lvl w:ilvl="0" w:tplc="3B383F78">
      <w:start w:val="1"/>
      <w:numFmt w:val="bullet"/>
      <w:lvlText w:val=""/>
      <w:lvlJc w:val="right"/>
      <w:pPr>
        <w:ind w:left="720" w:hanging="360"/>
      </w:pPr>
      <w:rPr>
        <w:rFonts w:ascii="Symbol" w:hAnsi="Symbol" w:hint="default"/>
      </w:rPr>
    </w:lvl>
    <w:lvl w:ilvl="1" w:tplc="A948C952">
      <w:start w:val="5"/>
      <w:numFmt w:val="bullet"/>
      <w:lvlText w:val="-"/>
      <w:lvlJc w:val="left"/>
      <w:pPr>
        <w:ind w:left="1800" w:hanging="720"/>
      </w:pPr>
      <w:rPr>
        <w:rFonts w:ascii="Times New Roman" w:eastAsiaTheme="minorEastAsia"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ACC2972"/>
    <w:multiLevelType w:val="hybridMultilevel"/>
    <w:tmpl w:val="8BB05AF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3" w15:restartNumberingAfterBreak="0">
    <w:nsid w:val="7ADC233B"/>
    <w:multiLevelType w:val="hybridMultilevel"/>
    <w:tmpl w:val="A17ECEB6"/>
    <w:lvl w:ilvl="0" w:tplc="04260001">
      <w:start w:val="1"/>
      <w:numFmt w:val="bullet"/>
      <w:lvlText w:val=""/>
      <w:lvlJc w:val="left"/>
      <w:pPr>
        <w:ind w:left="1504" w:hanging="360"/>
      </w:pPr>
      <w:rPr>
        <w:rFonts w:ascii="Symbol" w:hAnsi="Symbol" w:hint="default"/>
      </w:rPr>
    </w:lvl>
    <w:lvl w:ilvl="1" w:tplc="04260003">
      <w:start w:val="1"/>
      <w:numFmt w:val="bullet"/>
      <w:lvlText w:val="o"/>
      <w:lvlJc w:val="left"/>
      <w:pPr>
        <w:ind w:left="2224" w:hanging="360"/>
      </w:pPr>
      <w:rPr>
        <w:rFonts w:ascii="Courier New" w:hAnsi="Courier New" w:cs="Courier New" w:hint="default"/>
      </w:rPr>
    </w:lvl>
    <w:lvl w:ilvl="2" w:tplc="04260005">
      <w:start w:val="1"/>
      <w:numFmt w:val="bullet"/>
      <w:lvlText w:val=""/>
      <w:lvlJc w:val="left"/>
      <w:pPr>
        <w:ind w:left="2944" w:hanging="360"/>
      </w:pPr>
      <w:rPr>
        <w:rFonts w:ascii="Wingdings" w:hAnsi="Wingdings" w:hint="default"/>
      </w:rPr>
    </w:lvl>
    <w:lvl w:ilvl="3" w:tplc="04260001">
      <w:start w:val="1"/>
      <w:numFmt w:val="bullet"/>
      <w:lvlText w:val=""/>
      <w:lvlJc w:val="left"/>
      <w:pPr>
        <w:ind w:left="3664" w:hanging="360"/>
      </w:pPr>
      <w:rPr>
        <w:rFonts w:ascii="Symbol" w:hAnsi="Symbol" w:hint="default"/>
      </w:rPr>
    </w:lvl>
    <w:lvl w:ilvl="4" w:tplc="04260003" w:tentative="1">
      <w:start w:val="1"/>
      <w:numFmt w:val="bullet"/>
      <w:lvlText w:val="o"/>
      <w:lvlJc w:val="left"/>
      <w:pPr>
        <w:ind w:left="4384" w:hanging="360"/>
      </w:pPr>
      <w:rPr>
        <w:rFonts w:ascii="Courier New" w:hAnsi="Courier New" w:cs="Courier New" w:hint="default"/>
      </w:rPr>
    </w:lvl>
    <w:lvl w:ilvl="5" w:tplc="04260005" w:tentative="1">
      <w:start w:val="1"/>
      <w:numFmt w:val="bullet"/>
      <w:lvlText w:val=""/>
      <w:lvlJc w:val="left"/>
      <w:pPr>
        <w:ind w:left="5104" w:hanging="360"/>
      </w:pPr>
      <w:rPr>
        <w:rFonts w:ascii="Wingdings" w:hAnsi="Wingdings" w:hint="default"/>
      </w:rPr>
    </w:lvl>
    <w:lvl w:ilvl="6" w:tplc="04260001" w:tentative="1">
      <w:start w:val="1"/>
      <w:numFmt w:val="bullet"/>
      <w:lvlText w:val=""/>
      <w:lvlJc w:val="left"/>
      <w:pPr>
        <w:ind w:left="5824" w:hanging="360"/>
      </w:pPr>
      <w:rPr>
        <w:rFonts w:ascii="Symbol" w:hAnsi="Symbol" w:hint="default"/>
      </w:rPr>
    </w:lvl>
    <w:lvl w:ilvl="7" w:tplc="04260003" w:tentative="1">
      <w:start w:val="1"/>
      <w:numFmt w:val="bullet"/>
      <w:lvlText w:val="o"/>
      <w:lvlJc w:val="left"/>
      <w:pPr>
        <w:ind w:left="6544" w:hanging="360"/>
      </w:pPr>
      <w:rPr>
        <w:rFonts w:ascii="Courier New" w:hAnsi="Courier New" w:cs="Courier New" w:hint="default"/>
      </w:rPr>
    </w:lvl>
    <w:lvl w:ilvl="8" w:tplc="04260005" w:tentative="1">
      <w:start w:val="1"/>
      <w:numFmt w:val="bullet"/>
      <w:lvlText w:val=""/>
      <w:lvlJc w:val="left"/>
      <w:pPr>
        <w:ind w:left="7264" w:hanging="360"/>
      </w:pPr>
      <w:rPr>
        <w:rFonts w:ascii="Wingdings" w:hAnsi="Wingdings" w:hint="default"/>
      </w:rPr>
    </w:lvl>
  </w:abstractNum>
  <w:abstractNum w:abstractNumId="34" w15:restartNumberingAfterBreak="0">
    <w:nsid w:val="7CD12510"/>
    <w:multiLevelType w:val="hybridMultilevel"/>
    <w:tmpl w:val="D74AC238"/>
    <w:lvl w:ilvl="0" w:tplc="E5AC9BCE">
      <w:start w:val="1"/>
      <w:numFmt w:val="decimal"/>
      <w:lvlText w:val="%1."/>
      <w:lvlJc w:val="left"/>
      <w:pPr>
        <w:ind w:left="391" w:hanging="360"/>
      </w:pPr>
      <w:rPr>
        <w:rFonts w:eastAsia="Times New Roman" w:hint="default"/>
        <w:color w:val="auto"/>
      </w:rPr>
    </w:lvl>
    <w:lvl w:ilvl="1" w:tplc="04260019" w:tentative="1">
      <w:start w:val="1"/>
      <w:numFmt w:val="lowerLetter"/>
      <w:lvlText w:val="%2."/>
      <w:lvlJc w:val="left"/>
      <w:pPr>
        <w:ind w:left="1111" w:hanging="360"/>
      </w:pPr>
    </w:lvl>
    <w:lvl w:ilvl="2" w:tplc="0426001B" w:tentative="1">
      <w:start w:val="1"/>
      <w:numFmt w:val="lowerRoman"/>
      <w:lvlText w:val="%3."/>
      <w:lvlJc w:val="right"/>
      <w:pPr>
        <w:ind w:left="1831" w:hanging="180"/>
      </w:pPr>
    </w:lvl>
    <w:lvl w:ilvl="3" w:tplc="0426000F" w:tentative="1">
      <w:start w:val="1"/>
      <w:numFmt w:val="decimal"/>
      <w:lvlText w:val="%4."/>
      <w:lvlJc w:val="left"/>
      <w:pPr>
        <w:ind w:left="2551" w:hanging="360"/>
      </w:pPr>
    </w:lvl>
    <w:lvl w:ilvl="4" w:tplc="04260019" w:tentative="1">
      <w:start w:val="1"/>
      <w:numFmt w:val="lowerLetter"/>
      <w:lvlText w:val="%5."/>
      <w:lvlJc w:val="left"/>
      <w:pPr>
        <w:ind w:left="3271" w:hanging="360"/>
      </w:pPr>
    </w:lvl>
    <w:lvl w:ilvl="5" w:tplc="0426001B" w:tentative="1">
      <w:start w:val="1"/>
      <w:numFmt w:val="lowerRoman"/>
      <w:lvlText w:val="%6."/>
      <w:lvlJc w:val="right"/>
      <w:pPr>
        <w:ind w:left="3991" w:hanging="180"/>
      </w:pPr>
    </w:lvl>
    <w:lvl w:ilvl="6" w:tplc="0426000F" w:tentative="1">
      <w:start w:val="1"/>
      <w:numFmt w:val="decimal"/>
      <w:lvlText w:val="%7."/>
      <w:lvlJc w:val="left"/>
      <w:pPr>
        <w:ind w:left="4711" w:hanging="360"/>
      </w:pPr>
    </w:lvl>
    <w:lvl w:ilvl="7" w:tplc="04260019" w:tentative="1">
      <w:start w:val="1"/>
      <w:numFmt w:val="lowerLetter"/>
      <w:lvlText w:val="%8."/>
      <w:lvlJc w:val="left"/>
      <w:pPr>
        <w:ind w:left="5431" w:hanging="360"/>
      </w:pPr>
    </w:lvl>
    <w:lvl w:ilvl="8" w:tplc="0426001B" w:tentative="1">
      <w:start w:val="1"/>
      <w:numFmt w:val="lowerRoman"/>
      <w:lvlText w:val="%9."/>
      <w:lvlJc w:val="right"/>
      <w:pPr>
        <w:ind w:left="6151" w:hanging="180"/>
      </w:pPr>
    </w:lvl>
  </w:abstractNum>
  <w:abstractNum w:abstractNumId="35" w15:restartNumberingAfterBreak="0">
    <w:nsid w:val="7DEB6A0E"/>
    <w:multiLevelType w:val="hybridMultilevel"/>
    <w:tmpl w:val="926EECD4"/>
    <w:lvl w:ilvl="0" w:tplc="35E61B94">
      <w:start w:val="1"/>
      <w:numFmt w:val="bullet"/>
      <w:lvlText w:val=""/>
      <w:lvlJc w:val="left"/>
      <w:pPr>
        <w:ind w:left="360" w:hanging="360"/>
      </w:pPr>
      <w:rPr>
        <w:rFonts w:ascii="Symbol" w:hAnsi="Symbol" w:hint="default"/>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FC46675"/>
    <w:multiLevelType w:val="hybridMultilevel"/>
    <w:tmpl w:val="1A44E604"/>
    <w:lvl w:ilvl="0" w:tplc="2B269E8E">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39404045">
    <w:abstractNumId w:val="6"/>
  </w:num>
  <w:num w:numId="2" w16cid:durableId="1370379300">
    <w:abstractNumId w:val="5"/>
  </w:num>
  <w:num w:numId="3" w16cid:durableId="1056708181">
    <w:abstractNumId w:val="35"/>
  </w:num>
  <w:num w:numId="4" w16cid:durableId="477573752">
    <w:abstractNumId w:val="31"/>
  </w:num>
  <w:num w:numId="5" w16cid:durableId="54401277">
    <w:abstractNumId w:val="3"/>
  </w:num>
  <w:num w:numId="6" w16cid:durableId="1109665749">
    <w:abstractNumId w:val="32"/>
  </w:num>
  <w:num w:numId="7" w16cid:durableId="2036466844">
    <w:abstractNumId w:val="2"/>
  </w:num>
  <w:num w:numId="8" w16cid:durableId="1075514822">
    <w:abstractNumId w:val="18"/>
  </w:num>
  <w:num w:numId="9" w16cid:durableId="806892896">
    <w:abstractNumId w:val="10"/>
  </w:num>
  <w:num w:numId="10" w16cid:durableId="2120292734">
    <w:abstractNumId w:val="16"/>
  </w:num>
  <w:num w:numId="11" w16cid:durableId="1784807746">
    <w:abstractNumId w:val="7"/>
  </w:num>
  <w:num w:numId="12" w16cid:durableId="1832334803">
    <w:abstractNumId w:val="21"/>
  </w:num>
  <w:num w:numId="13" w16cid:durableId="157813042">
    <w:abstractNumId w:val="19"/>
  </w:num>
  <w:num w:numId="14" w16cid:durableId="298651106">
    <w:abstractNumId w:val="12"/>
  </w:num>
  <w:num w:numId="15" w16cid:durableId="2125417158">
    <w:abstractNumId w:val="0"/>
  </w:num>
  <w:num w:numId="16" w16cid:durableId="356664671">
    <w:abstractNumId w:val="9"/>
  </w:num>
  <w:num w:numId="17" w16cid:durableId="1305086758">
    <w:abstractNumId w:val="24"/>
  </w:num>
  <w:num w:numId="18" w16cid:durableId="62486209">
    <w:abstractNumId w:val="33"/>
  </w:num>
  <w:num w:numId="19" w16cid:durableId="735475516">
    <w:abstractNumId w:val="25"/>
  </w:num>
  <w:num w:numId="20" w16cid:durableId="1359887422">
    <w:abstractNumId w:val="11"/>
  </w:num>
  <w:num w:numId="21" w16cid:durableId="558517197">
    <w:abstractNumId w:val="17"/>
  </w:num>
  <w:num w:numId="22" w16cid:durableId="464201452">
    <w:abstractNumId w:val="36"/>
  </w:num>
  <w:num w:numId="23" w16cid:durableId="1884050645">
    <w:abstractNumId w:val="14"/>
  </w:num>
  <w:num w:numId="24" w16cid:durableId="682362105">
    <w:abstractNumId w:val="20"/>
  </w:num>
  <w:num w:numId="25" w16cid:durableId="1120689171">
    <w:abstractNumId w:val="23"/>
  </w:num>
  <w:num w:numId="26" w16cid:durableId="1504934934">
    <w:abstractNumId w:val="4"/>
  </w:num>
  <w:num w:numId="27" w16cid:durableId="809440945">
    <w:abstractNumId w:val="28"/>
  </w:num>
  <w:num w:numId="28" w16cid:durableId="240063524">
    <w:abstractNumId w:val="13"/>
  </w:num>
  <w:num w:numId="29" w16cid:durableId="259409738">
    <w:abstractNumId w:val="26"/>
  </w:num>
  <w:num w:numId="30" w16cid:durableId="1288732546">
    <w:abstractNumId w:val="15"/>
  </w:num>
  <w:num w:numId="31" w16cid:durableId="2142072734">
    <w:abstractNumId w:val="34"/>
  </w:num>
  <w:num w:numId="32" w16cid:durableId="1233739413">
    <w:abstractNumId w:val="30"/>
  </w:num>
  <w:num w:numId="33" w16cid:durableId="895896417">
    <w:abstractNumId w:val="6"/>
  </w:num>
  <w:num w:numId="34" w16cid:durableId="1477721848">
    <w:abstractNumId w:val="1"/>
  </w:num>
  <w:num w:numId="35" w16cid:durableId="717778416">
    <w:abstractNumId w:val="8"/>
  </w:num>
  <w:num w:numId="36" w16cid:durableId="1307781029">
    <w:abstractNumId w:val="29"/>
  </w:num>
  <w:num w:numId="37" w16cid:durableId="681902264">
    <w:abstractNumId w:val="22"/>
  </w:num>
  <w:num w:numId="38" w16cid:durableId="601108815">
    <w:abstractNumId w:val="2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753"/>
    <w:rsid w:val="00001558"/>
    <w:rsid w:val="00002184"/>
    <w:rsid w:val="00003803"/>
    <w:rsid w:val="00010616"/>
    <w:rsid w:val="00015891"/>
    <w:rsid w:val="00020C1F"/>
    <w:rsid w:val="000253B6"/>
    <w:rsid w:val="00025929"/>
    <w:rsid w:val="000270F6"/>
    <w:rsid w:val="000342FD"/>
    <w:rsid w:val="00035C31"/>
    <w:rsid w:val="00042609"/>
    <w:rsid w:val="00042C12"/>
    <w:rsid w:val="0004390C"/>
    <w:rsid w:val="00046472"/>
    <w:rsid w:val="0005631E"/>
    <w:rsid w:val="00060450"/>
    <w:rsid w:val="000611BE"/>
    <w:rsid w:val="0006158C"/>
    <w:rsid w:val="00066B44"/>
    <w:rsid w:val="000800F9"/>
    <w:rsid w:val="000823E2"/>
    <w:rsid w:val="00085AFE"/>
    <w:rsid w:val="0008674A"/>
    <w:rsid w:val="00095C52"/>
    <w:rsid w:val="00096780"/>
    <w:rsid w:val="000A696B"/>
    <w:rsid w:val="000A77CD"/>
    <w:rsid w:val="000B267B"/>
    <w:rsid w:val="000C1ABB"/>
    <w:rsid w:val="000C45B5"/>
    <w:rsid w:val="000C472C"/>
    <w:rsid w:val="000D2388"/>
    <w:rsid w:val="000E1368"/>
    <w:rsid w:val="000E5CAF"/>
    <w:rsid w:val="000F4627"/>
    <w:rsid w:val="001138C5"/>
    <w:rsid w:val="00114304"/>
    <w:rsid w:val="001147FB"/>
    <w:rsid w:val="00117AE7"/>
    <w:rsid w:val="00166ED9"/>
    <w:rsid w:val="00167099"/>
    <w:rsid w:val="00175781"/>
    <w:rsid w:val="0017585D"/>
    <w:rsid w:val="00185CAA"/>
    <w:rsid w:val="001867E7"/>
    <w:rsid w:val="00186C20"/>
    <w:rsid w:val="001A5CDB"/>
    <w:rsid w:val="001B1AA2"/>
    <w:rsid w:val="001B7A97"/>
    <w:rsid w:val="001C1BD5"/>
    <w:rsid w:val="001C345E"/>
    <w:rsid w:val="001C45A3"/>
    <w:rsid w:val="001C5C16"/>
    <w:rsid w:val="001C61AB"/>
    <w:rsid w:val="001C7DCF"/>
    <w:rsid w:val="001D1B17"/>
    <w:rsid w:val="001E2F98"/>
    <w:rsid w:val="001E4F0F"/>
    <w:rsid w:val="001E5BEF"/>
    <w:rsid w:val="001F3FBF"/>
    <w:rsid w:val="00202025"/>
    <w:rsid w:val="00203FD8"/>
    <w:rsid w:val="00205B43"/>
    <w:rsid w:val="00206480"/>
    <w:rsid w:val="00207552"/>
    <w:rsid w:val="002429F4"/>
    <w:rsid w:val="00247690"/>
    <w:rsid w:val="00253A73"/>
    <w:rsid w:val="00254296"/>
    <w:rsid w:val="00256364"/>
    <w:rsid w:val="00257CFF"/>
    <w:rsid w:val="00263709"/>
    <w:rsid w:val="00264301"/>
    <w:rsid w:val="002655CD"/>
    <w:rsid w:val="0026647B"/>
    <w:rsid w:val="0027190A"/>
    <w:rsid w:val="00281D96"/>
    <w:rsid w:val="00282B08"/>
    <w:rsid w:val="002834E9"/>
    <w:rsid w:val="00293000"/>
    <w:rsid w:val="00296A12"/>
    <w:rsid w:val="002B6259"/>
    <w:rsid w:val="002C3840"/>
    <w:rsid w:val="002D3D5F"/>
    <w:rsid w:val="002D7CA8"/>
    <w:rsid w:val="00307776"/>
    <w:rsid w:val="0031227F"/>
    <w:rsid w:val="003241A9"/>
    <w:rsid w:val="003249D1"/>
    <w:rsid w:val="00331879"/>
    <w:rsid w:val="003336F1"/>
    <w:rsid w:val="00340EC6"/>
    <w:rsid w:val="00341CDB"/>
    <w:rsid w:val="003435B5"/>
    <w:rsid w:val="00360DA1"/>
    <w:rsid w:val="00371EB6"/>
    <w:rsid w:val="00375884"/>
    <w:rsid w:val="00380A6A"/>
    <w:rsid w:val="00381C62"/>
    <w:rsid w:val="00386343"/>
    <w:rsid w:val="00392FC7"/>
    <w:rsid w:val="003A128E"/>
    <w:rsid w:val="003A29EA"/>
    <w:rsid w:val="003B23F5"/>
    <w:rsid w:val="003C1736"/>
    <w:rsid w:val="003C2262"/>
    <w:rsid w:val="003D5553"/>
    <w:rsid w:val="003E1A40"/>
    <w:rsid w:val="003E7948"/>
    <w:rsid w:val="003F1C79"/>
    <w:rsid w:val="0040680D"/>
    <w:rsid w:val="00407459"/>
    <w:rsid w:val="00412C4D"/>
    <w:rsid w:val="00424332"/>
    <w:rsid w:val="00424BCF"/>
    <w:rsid w:val="00427004"/>
    <w:rsid w:val="004272C3"/>
    <w:rsid w:val="00437D0F"/>
    <w:rsid w:val="00457EA4"/>
    <w:rsid w:val="00467634"/>
    <w:rsid w:val="00471221"/>
    <w:rsid w:val="00472E84"/>
    <w:rsid w:val="004730CA"/>
    <w:rsid w:val="00480003"/>
    <w:rsid w:val="00482B52"/>
    <w:rsid w:val="00485F04"/>
    <w:rsid w:val="004902D1"/>
    <w:rsid w:val="004A2F0B"/>
    <w:rsid w:val="004A3242"/>
    <w:rsid w:val="004A34F0"/>
    <w:rsid w:val="004A37C8"/>
    <w:rsid w:val="004A4EC7"/>
    <w:rsid w:val="004A64EB"/>
    <w:rsid w:val="004A6B6D"/>
    <w:rsid w:val="004A70EB"/>
    <w:rsid w:val="004B0606"/>
    <w:rsid w:val="004B1454"/>
    <w:rsid w:val="004B1E93"/>
    <w:rsid w:val="004C4F89"/>
    <w:rsid w:val="004C73A1"/>
    <w:rsid w:val="004D1DFA"/>
    <w:rsid w:val="004E02FD"/>
    <w:rsid w:val="004E3F97"/>
    <w:rsid w:val="004F5A19"/>
    <w:rsid w:val="005000B7"/>
    <w:rsid w:val="005058FF"/>
    <w:rsid w:val="0050594C"/>
    <w:rsid w:val="00513CD4"/>
    <w:rsid w:val="005158E6"/>
    <w:rsid w:val="00517641"/>
    <w:rsid w:val="0051766D"/>
    <w:rsid w:val="00521052"/>
    <w:rsid w:val="00533314"/>
    <w:rsid w:val="005346E4"/>
    <w:rsid w:val="005439A4"/>
    <w:rsid w:val="00550450"/>
    <w:rsid w:val="005517C6"/>
    <w:rsid w:val="00565072"/>
    <w:rsid w:val="00575E47"/>
    <w:rsid w:val="00577A92"/>
    <w:rsid w:val="00581441"/>
    <w:rsid w:val="00586190"/>
    <w:rsid w:val="00597398"/>
    <w:rsid w:val="005B1B99"/>
    <w:rsid w:val="005C2688"/>
    <w:rsid w:val="005C2A56"/>
    <w:rsid w:val="005C7D58"/>
    <w:rsid w:val="005D34A9"/>
    <w:rsid w:val="005D4014"/>
    <w:rsid w:val="005D5D4D"/>
    <w:rsid w:val="005E515F"/>
    <w:rsid w:val="005E6F19"/>
    <w:rsid w:val="005F4D71"/>
    <w:rsid w:val="005F4EF2"/>
    <w:rsid w:val="00604ED8"/>
    <w:rsid w:val="00605C5D"/>
    <w:rsid w:val="0062512B"/>
    <w:rsid w:val="00625CA7"/>
    <w:rsid w:val="006269A5"/>
    <w:rsid w:val="00626C80"/>
    <w:rsid w:val="00630809"/>
    <w:rsid w:val="0063190D"/>
    <w:rsid w:val="00636020"/>
    <w:rsid w:val="006373AD"/>
    <w:rsid w:val="006414E6"/>
    <w:rsid w:val="006416A8"/>
    <w:rsid w:val="006419B6"/>
    <w:rsid w:val="006424F8"/>
    <w:rsid w:val="00643825"/>
    <w:rsid w:val="00646856"/>
    <w:rsid w:val="00655978"/>
    <w:rsid w:val="00660ED9"/>
    <w:rsid w:val="00667944"/>
    <w:rsid w:val="0067134B"/>
    <w:rsid w:val="00671881"/>
    <w:rsid w:val="006866D8"/>
    <w:rsid w:val="00686E21"/>
    <w:rsid w:val="0069120C"/>
    <w:rsid w:val="006A1FC0"/>
    <w:rsid w:val="006B03B7"/>
    <w:rsid w:val="006B289B"/>
    <w:rsid w:val="006B6CA3"/>
    <w:rsid w:val="006B76CC"/>
    <w:rsid w:val="006D2F22"/>
    <w:rsid w:val="006D5014"/>
    <w:rsid w:val="006D66C1"/>
    <w:rsid w:val="006E3B77"/>
    <w:rsid w:val="006E648A"/>
    <w:rsid w:val="006E6490"/>
    <w:rsid w:val="006F4AFA"/>
    <w:rsid w:val="006F64B0"/>
    <w:rsid w:val="00711925"/>
    <w:rsid w:val="007306F1"/>
    <w:rsid w:val="0073677C"/>
    <w:rsid w:val="007470ED"/>
    <w:rsid w:val="00754039"/>
    <w:rsid w:val="00764E0D"/>
    <w:rsid w:val="0076551C"/>
    <w:rsid w:val="0077428B"/>
    <w:rsid w:val="00776679"/>
    <w:rsid w:val="007800AE"/>
    <w:rsid w:val="0078694D"/>
    <w:rsid w:val="00787972"/>
    <w:rsid w:val="00787EFE"/>
    <w:rsid w:val="0079453A"/>
    <w:rsid w:val="00794987"/>
    <w:rsid w:val="007A12F7"/>
    <w:rsid w:val="007A167D"/>
    <w:rsid w:val="007A3AE7"/>
    <w:rsid w:val="007A5664"/>
    <w:rsid w:val="007C09A4"/>
    <w:rsid w:val="007C62F2"/>
    <w:rsid w:val="007C75DF"/>
    <w:rsid w:val="007D47AF"/>
    <w:rsid w:val="007E52EA"/>
    <w:rsid w:val="007E7F21"/>
    <w:rsid w:val="007F0688"/>
    <w:rsid w:val="00810FC4"/>
    <w:rsid w:val="00821EEE"/>
    <w:rsid w:val="008224E3"/>
    <w:rsid w:val="00825369"/>
    <w:rsid w:val="0082798D"/>
    <w:rsid w:val="00830455"/>
    <w:rsid w:val="008313E0"/>
    <w:rsid w:val="00836A7D"/>
    <w:rsid w:val="00837783"/>
    <w:rsid w:val="00845A08"/>
    <w:rsid w:val="00860938"/>
    <w:rsid w:val="00862FCD"/>
    <w:rsid w:val="008716D3"/>
    <w:rsid w:val="0087383B"/>
    <w:rsid w:val="00881520"/>
    <w:rsid w:val="00882C2C"/>
    <w:rsid w:val="00884CF9"/>
    <w:rsid w:val="008A3BF8"/>
    <w:rsid w:val="008B04C3"/>
    <w:rsid w:val="008C56DF"/>
    <w:rsid w:val="008C58EA"/>
    <w:rsid w:val="008D2915"/>
    <w:rsid w:val="008D5244"/>
    <w:rsid w:val="008D6303"/>
    <w:rsid w:val="008E4C98"/>
    <w:rsid w:val="008E6623"/>
    <w:rsid w:val="008E7920"/>
    <w:rsid w:val="008F087E"/>
    <w:rsid w:val="008F63E5"/>
    <w:rsid w:val="009041A4"/>
    <w:rsid w:val="00910F58"/>
    <w:rsid w:val="0091610B"/>
    <w:rsid w:val="00917FC8"/>
    <w:rsid w:val="00926EED"/>
    <w:rsid w:val="009306C1"/>
    <w:rsid w:val="009367D5"/>
    <w:rsid w:val="00945318"/>
    <w:rsid w:val="00947A37"/>
    <w:rsid w:val="00955124"/>
    <w:rsid w:val="009604C2"/>
    <w:rsid w:val="009618E6"/>
    <w:rsid w:val="00963777"/>
    <w:rsid w:val="00977AE9"/>
    <w:rsid w:val="00982B0C"/>
    <w:rsid w:val="00982D35"/>
    <w:rsid w:val="00996355"/>
    <w:rsid w:val="009B1BDE"/>
    <w:rsid w:val="009B79CF"/>
    <w:rsid w:val="009C041C"/>
    <w:rsid w:val="009C2220"/>
    <w:rsid w:val="009C6E7B"/>
    <w:rsid w:val="009C76A5"/>
    <w:rsid w:val="009D02BC"/>
    <w:rsid w:val="009D59E2"/>
    <w:rsid w:val="009E42B1"/>
    <w:rsid w:val="009E5FDE"/>
    <w:rsid w:val="009F38DE"/>
    <w:rsid w:val="00A01024"/>
    <w:rsid w:val="00A012D2"/>
    <w:rsid w:val="00A107D8"/>
    <w:rsid w:val="00A120D9"/>
    <w:rsid w:val="00A25649"/>
    <w:rsid w:val="00A279AB"/>
    <w:rsid w:val="00A32841"/>
    <w:rsid w:val="00A37D1E"/>
    <w:rsid w:val="00A403F9"/>
    <w:rsid w:val="00A46998"/>
    <w:rsid w:val="00A471A1"/>
    <w:rsid w:val="00A50770"/>
    <w:rsid w:val="00A51A61"/>
    <w:rsid w:val="00A54420"/>
    <w:rsid w:val="00A6148C"/>
    <w:rsid w:val="00A629E7"/>
    <w:rsid w:val="00A644B3"/>
    <w:rsid w:val="00A67B64"/>
    <w:rsid w:val="00A72128"/>
    <w:rsid w:val="00A735D7"/>
    <w:rsid w:val="00A76DC0"/>
    <w:rsid w:val="00A77F9C"/>
    <w:rsid w:val="00A8405C"/>
    <w:rsid w:val="00A85071"/>
    <w:rsid w:val="00A9754E"/>
    <w:rsid w:val="00AA2632"/>
    <w:rsid w:val="00AA433B"/>
    <w:rsid w:val="00AA7B66"/>
    <w:rsid w:val="00AB6D6C"/>
    <w:rsid w:val="00AD2871"/>
    <w:rsid w:val="00AE26E5"/>
    <w:rsid w:val="00AE2C3A"/>
    <w:rsid w:val="00AF151C"/>
    <w:rsid w:val="00AF5559"/>
    <w:rsid w:val="00B02B25"/>
    <w:rsid w:val="00B0799A"/>
    <w:rsid w:val="00B14A71"/>
    <w:rsid w:val="00B2533B"/>
    <w:rsid w:val="00B26796"/>
    <w:rsid w:val="00B33505"/>
    <w:rsid w:val="00B51F1B"/>
    <w:rsid w:val="00B55561"/>
    <w:rsid w:val="00B57418"/>
    <w:rsid w:val="00B6285A"/>
    <w:rsid w:val="00B6438E"/>
    <w:rsid w:val="00B655E3"/>
    <w:rsid w:val="00B6580D"/>
    <w:rsid w:val="00B73D10"/>
    <w:rsid w:val="00B73E0A"/>
    <w:rsid w:val="00B73F8E"/>
    <w:rsid w:val="00B84344"/>
    <w:rsid w:val="00B9441E"/>
    <w:rsid w:val="00B97F4D"/>
    <w:rsid w:val="00BA03D2"/>
    <w:rsid w:val="00BA0D91"/>
    <w:rsid w:val="00BA73EA"/>
    <w:rsid w:val="00BA7AE1"/>
    <w:rsid w:val="00BB3BCE"/>
    <w:rsid w:val="00BB526F"/>
    <w:rsid w:val="00BC40EB"/>
    <w:rsid w:val="00BC417B"/>
    <w:rsid w:val="00BC5C25"/>
    <w:rsid w:val="00BD1B8F"/>
    <w:rsid w:val="00BE054A"/>
    <w:rsid w:val="00BE4AFF"/>
    <w:rsid w:val="00BE78C2"/>
    <w:rsid w:val="00BF3A4C"/>
    <w:rsid w:val="00BF40CF"/>
    <w:rsid w:val="00BF4753"/>
    <w:rsid w:val="00BF7E9D"/>
    <w:rsid w:val="00C0034E"/>
    <w:rsid w:val="00C04DB4"/>
    <w:rsid w:val="00C139CE"/>
    <w:rsid w:val="00C13AFE"/>
    <w:rsid w:val="00C1707D"/>
    <w:rsid w:val="00C32A02"/>
    <w:rsid w:val="00C3414B"/>
    <w:rsid w:val="00C549BA"/>
    <w:rsid w:val="00C57955"/>
    <w:rsid w:val="00C65D42"/>
    <w:rsid w:val="00C73211"/>
    <w:rsid w:val="00C73578"/>
    <w:rsid w:val="00C83800"/>
    <w:rsid w:val="00C859A8"/>
    <w:rsid w:val="00C86FB7"/>
    <w:rsid w:val="00C87B75"/>
    <w:rsid w:val="00C9790F"/>
    <w:rsid w:val="00CA268E"/>
    <w:rsid w:val="00CA2CB6"/>
    <w:rsid w:val="00CB1BC9"/>
    <w:rsid w:val="00CB4DD6"/>
    <w:rsid w:val="00CC2E39"/>
    <w:rsid w:val="00CC4328"/>
    <w:rsid w:val="00CC612D"/>
    <w:rsid w:val="00CC740D"/>
    <w:rsid w:val="00CD4BD5"/>
    <w:rsid w:val="00CE2961"/>
    <w:rsid w:val="00CE7515"/>
    <w:rsid w:val="00CF5CA4"/>
    <w:rsid w:val="00CF68C5"/>
    <w:rsid w:val="00CF68FC"/>
    <w:rsid w:val="00CF6F2B"/>
    <w:rsid w:val="00D10A16"/>
    <w:rsid w:val="00D2033E"/>
    <w:rsid w:val="00D21E1F"/>
    <w:rsid w:val="00D22811"/>
    <w:rsid w:val="00D248D4"/>
    <w:rsid w:val="00D248FA"/>
    <w:rsid w:val="00D25367"/>
    <w:rsid w:val="00D271FA"/>
    <w:rsid w:val="00D54A07"/>
    <w:rsid w:val="00D560FE"/>
    <w:rsid w:val="00D657B6"/>
    <w:rsid w:val="00D66B10"/>
    <w:rsid w:val="00D73538"/>
    <w:rsid w:val="00D73D4E"/>
    <w:rsid w:val="00D766E4"/>
    <w:rsid w:val="00D800D3"/>
    <w:rsid w:val="00D82722"/>
    <w:rsid w:val="00D87722"/>
    <w:rsid w:val="00D92BC0"/>
    <w:rsid w:val="00D93D4E"/>
    <w:rsid w:val="00DA60DF"/>
    <w:rsid w:val="00DB17AD"/>
    <w:rsid w:val="00DB2E69"/>
    <w:rsid w:val="00DB3217"/>
    <w:rsid w:val="00DB55E6"/>
    <w:rsid w:val="00DB568A"/>
    <w:rsid w:val="00DB5E98"/>
    <w:rsid w:val="00DD1368"/>
    <w:rsid w:val="00DD5FFD"/>
    <w:rsid w:val="00DD6632"/>
    <w:rsid w:val="00DE0D28"/>
    <w:rsid w:val="00DE43A9"/>
    <w:rsid w:val="00DF348A"/>
    <w:rsid w:val="00DF7465"/>
    <w:rsid w:val="00DF7903"/>
    <w:rsid w:val="00DF7DFF"/>
    <w:rsid w:val="00E0440C"/>
    <w:rsid w:val="00E3405D"/>
    <w:rsid w:val="00E50C41"/>
    <w:rsid w:val="00E510C8"/>
    <w:rsid w:val="00E53B47"/>
    <w:rsid w:val="00E54B38"/>
    <w:rsid w:val="00E54E7B"/>
    <w:rsid w:val="00E655AB"/>
    <w:rsid w:val="00E70B4D"/>
    <w:rsid w:val="00E70C16"/>
    <w:rsid w:val="00E8505B"/>
    <w:rsid w:val="00E9430A"/>
    <w:rsid w:val="00E9789D"/>
    <w:rsid w:val="00EA1D22"/>
    <w:rsid w:val="00EA45C8"/>
    <w:rsid w:val="00EB02CA"/>
    <w:rsid w:val="00EB59A3"/>
    <w:rsid w:val="00EB7321"/>
    <w:rsid w:val="00EC1DDD"/>
    <w:rsid w:val="00EC27F2"/>
    <w:rsid w:val="00ED1323"/>
    <w:rsid w:val="00ED46FF"/>
    <w:rsid w:val="00ED52DF"/>
    <w:rsid w:val="00ED695F"/>
    <w:rsid w:val="00EE3557"/>
    <w:rsid w:val="00EF6192"/>
    <w:rsid w:val="00F00223"/>
    <w:rsid w:val="00F009B4"/>
    <w:rsid w:val="00F03304"/>
    <w:rsid w:val="00F0535C"/>
    <w:rsid w:val="00F12140"/>
    <w:rsid w:val="00F21E61"/>
    <w:rsid w:val="00F2699C"/>
    <w:rsid w:val="00F27F5F"/>
    <w:rsid w:val="00F30586"/>
    <w:rsid w:val="00F37371"/>
    <w:rsid w:val="00F4488A"/>
    <w:rsid w:val="00F522BB"/>
    <w:rsid w:val="00F57B5A"/>
    <w:rsid w:val="00F65BEE"/>
    <w:rsid w:val="00F74C6B"/>
    <w:rsid w:val="00F75FA1"/>
    <w:rsid w:val="00F76253"/>
    <w:rsid w:val="00F76A9C"/>
    <w:rsid w:val="00F82929"/>
    <w:rsid w:val="00F910A6"/>
    <w:rsid w:val="00F9587B"/>
    <w:rsid w:val="00F979EA"/>
    <w:rsid w:val="00FA4D24"/>
    <w:rsid w:val="00FB0734"/>
    <w:rsid w:val="00FB0DAF"/>
    <w:rsid w:val="00FB606D"/>
    <w:rsid w:val="00FC127E"/>
    <w:rsid w:val="00FC586A"/>
    <w:rsid w:val="00FC7524"/>
    <w:rsid w:val="00FD08DA"/>
    <w:rsid w:val="00FD7E86"/>
    <w:rsid w:val="00FE60EB"/>
    <w:rsid w:val="00FF3BB2"/>
    <w:rsid w:val="00FF6B19"/>
    <w:rsid w:val="00FF6B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5043E1"/>
  <w15:chartTrackingRefBased/>
  <w15:docId w15:val="{03E8C352-D422-4CB1-A8DB-EA328DEFE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398"/>
    <w:pPr>
      <w:spacing w:after="0" w:line="240" w:lineRule="auto"/>
      <w:ind w:firstLine="720"/>
      <w:jc w:val="both"/>
    </w:pPr>
    <w:rPr>
      <w:rFonts w:ascii="Times New Roman" w:eastAsiaTheme="minorEastAsia" w:hAnsi="Times New Roman"/>
      <w:sz w:val="28"/>
    </w:rPr>
  </w:style>
  <w:style w:type="paragraph" w:styleId="Heading1">
    <w:name w:val="heading 1"/>
    <w:basedOn w:val="Normal"/>
    <w:next w:val="Normal"/>
    <w:link w:val="Heading1Char"/>
    <w:uiPriority w:val="9"/>
    <w:qFormat/>
    <w:rsid w:val="00982D35"/>
    <w:pPr>
      <w:keepNext/>
      <w:keepLines/>
      <w:spacing w:before="360"/>
      <w:ind w:firstLine="0"/>
      <w:jc w:val="center"/>
      <w:outlineLvl w:val="0"/>
    </w:pPr>
    <w:rPr>
      <w:rFonts w:eastAsia="Times New Roman" w:cs="Times New Roman"/>
      <w:b/>
      <w:bCs/>
      <w:smallCaps/>
      <w:color w:val="000000"/>
      <w:sz w:val="36"/>
      <w:szCs w:val="36"/>
      <w:lang w:eastAsia="lv-LV"/>
      <w14:textOutline w14:w="9525" w14:cap="rnd" w14:cmpd="sng" w14:algn="ctr">
        <w14:noFill/>
        <w14:prstDash w14:val="solid"/>
        <w14:bevel/>
      </w14:textOutline>
    </w:rPr>
  </w:style>
  <w:style w:type="paragraph" w:styleId="Heading2">
    <w:name w:val="heading 2"/>
    <w:basedOn w:val="Normal"/>
    <w:next w:val="Normal"/>
    <w:link w:val="Heading2Char"/>
    <w:uiPriority w:val="9"/>
    <w:unhideWhenUsed/>
    <w:qFormat/>
    <w:rsid w:val="00BF4753"/>
    <w:pPr>
      <w:keepNext/>
      <w:keepLines/>
      <w:numPr>
        <w:ilvl w:val="1"/>
        <w:numId w:val="1"/>
      </w:numPr>
      <w:spacing w:before="360"/>
      <w:jc w:val="center"/>
      <w:outlineLvl w:val="1"/>
    </w:pPr>
    <w:rPr>
      <w:rFonts w:eastAsiaTheme="majorEastAsia" w:cstheme="majorBidi"/>
      <w:b/>
      <w:bCs/>
      <w:color w:val="000000" w:themeColor="text1"/>
      <w:sz w:val="32"/>
      <w:szCs w:val="28"/>
    </w:rPr>
  </w:style>
  <w:style w:type="paragraph" w:styleId="Heading3">
    <w:name w:val="heading 3"/>
    <w:basedOn w:val="Normal"/>
    <w:next w:val="Normal"/>
    <w:link w:val="Heading3Char"/>
    <w:uiPriority w:val="9"/>
    <w:unhideWhenUsed/>
    <w:qFormat/>
    <w:rsid w:val="00BF4753"/>
    <w:pPr>
      <w:keepNext/>
      <w:keepLines/>
      <w:numPr>
        <w:ilvl w:val="2"/>
        <w:numId w:val="1"/>
      </w:numPr>
      <w:spacing w:before="200"/>
      <w:outlineLvl w:val="2"/>
    </w:pPr>
    <w:rPr>
      <w:rFonts w:eastAsiaTheme="majorEastAsia" w:cstheme="majorBidi"/>
      <w:b/>
      <w:bCs/>
      <w:color w:val="000000" w:themeColor="text1"/>
    </w:rPr>
  </w:style>
  <w:style w:type="paragraph" w:styleId="Heading4">
    <w:name w:val="heading 4"/>
    <w:basedOn w:val="Normal"/>
    <w:next w:val="Normal"/>
    <w:link w:val="Heading4Char"/>
    <w:uiPriority w:val="9"/>
    <w:semiHidden/>
    <w:unhideWhenUsed/>
    <w:qFormat/>
    <w:rsid w:val="00BF4753"/>
    <w:pPr>
      <w:keepNext/>
      <w:keepLines/>
      <w:numPr>
        <w:ilvl w:val="3"/>
        <w:numId w:val="1"/>
      </w:numPr>
      <w:spacing w:before="20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BF4753"/>
    <w:pPr>
      <w:keepNext/>
      <w:keepLines/>
      <w:numPr>
        <w:ilvl w:val="4"/>
        <w:numId w:val="1"/>
      </w:numPr>
      <w:spacing w:before="20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BF4753"/>
    <w:pPr>
      <w:keepNext/>
      <w:keepLines/>
      <w:numPr>
        <w:ilvl w:val="5"/>
        <w:numId w:val="1"/>
      </w:numPr>
      <w:spacing w:before="20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BF4753"/>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F4753"/>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BF4753"/>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2D35"/>
    <w:rPr>
      <w:rFonts w:ascii="Times New Roman" w:eastAsia="Times New Roman" w:hAnsi="Times New Roman" w:cs="Times New Roman"/>
      <w:b/>
      <w:bCs/>
      <w:smallCaps/>
      <w:color w:val="000000"/>
      <w:sz w:val="36"/>
      <w:szCs w:val="36"/>
      <w:lang w:eastAsia="lv-LV"/>
      <w14:textOutline w14:w="9525" w14:cap="rnd" w14:cmpd="sng" w14:algn="ctr">
        <w14:noFill/>
        <w14:prstDash w14:val="solid"/>
        <w14:bevel/>
      </w14:textOutline>
    </w:rPr>
  </w:style>
  <w:style w:type="character" w:customStyle="1" w:styleId="Heading2Char">
    <w:name w:val="Heading 2 Char"/>
    <w:basedOn w:val="DefaultParagraphFont"/>
    <w:link w:val="Heading2"/>
    <w:uiPriority w:val="9"/>
    <w:rsid w:val="00BF4753"/>
    <w:rPr>
      <w:rFonts w:ascii="Times New Roman" w:eastAsiaTheme="majorEastAsia" w:hAnsi="Times New Roman" w:cstheme="majorBidi"/>
      <w:b/>
      <w:bCs/>
      <w:color w:val="000000" w:themeColor="text1"/>
      <w:sz w:val="32"/>
      <w:szCs w:val="28"/>
    </w:rPr>
  </w:style>
  <w:style w:type="character" w:customStyle="1" w:styleId="Heading3Char">
    <w:name w:val="Heading 3 Char"/>
    <w:basedOn w:val="DefaultParagraphFont"/>
    <w:link w:val="Heading3"/>
    <w:uiPriority w:val="9"/>
    <w:rsid w:val="00BF4753"/>
    <w:rPr>
      <w:rFonts w:ascii="Times New Roman" w:eastAsiaTheme="majorEastAsia" w:hAnsi="Times New Roman" w:cstheme="majorBidi"/>
      <w:b/>
      <w:bCs/>
      <w:color w:val="000000" w:themeColor="text1"/>
      <w:sz w:val="28"/>
    </w:rPr>
  </w:style>
  <w:style w:type="character" w:customStyle="1" w:styleId="Heading4Char">
    <w:name w:val="Heading 4 Char"/>
    <w:basedOn w:val="DefaultParagraphFont"/>
    <w:link w:val="Heading4"/>
    <w:uiPriority w:val="9"/>
    <w:semiHidden/>
    <w:rsid w:val="00BF4753"/>
    <w:rPr>
      <w:rFonts w:asciiTheme="majorHAnsi" w:eastAsiaTheme="majorEastAsia" w:hAnsiTheme="majorHAnsi" w:cstheme="majorBidi"/>
      <w:b/>
      <w:bCs/>
      <w:i/>
      <w:iCs/>
      <w:color w:val="000000" w:themeColor="text1"/>
      <w:sz w:val="28"/>
    </w:rPr>
  </w:style>
  <w:style w:type="character" w:customStyle="1" w:styleId="Heading5Char">
    <w:name w:val="Heading 5 Char"/>
    <w:basedOn w:val="DefaultParagraphFont"/>
    <w:link w:val="Heading5"/>
    <w:uiPriority w:val="9"/>
    <w:semiHidden/>
    <w:rsid w:val="00BF4753"/>
    <w:rPr>
      <w:rFonts w:asciiTheme="majorHAnsi" w:eastAsiaTheme="majorEastAsia" w:hAnsiTheme="majorHAnsi" w:cstheme="majorBidi"/>
      <w:color w:val="323E4F" w:themeColor="text2" w:themeShade="BF"/>
      <w:sz w:val="28"/>
    </w:rPr>
  </w:style>
  <w:style w:type="character" w:customStyle="1" w:styleId="Heading6Char">
    <w:name w:val="Heading 6 Char"/>
    <w:basedOn w:val="DefaultParagraphFont"/>
    <w:link w:val="Heading6"/>
    <w:uiPriority w:val="9"/>
    <w:semiHidden/>
    <w:rsid w:val="00BF4753"/>
    <w:rPr>
      <w:rFonts w:asciiTheme="majorHAnsi" w:eastAsiaTheme="majorEastAsia" w:hAnsiTheme="majorHAnsi" w:cstheme="majorBidi"/>
      <w:i/>
      <w:iCs/>
      <w:color w:val="323E4F" w:themeColor="text2" w:themeShade="BF"/>
      <w:sz w:val="28"/>
    </w:rPr>
  </w:style>
  <w:style w:type="character" w:customStyle="1" w:styleId="Heading7Char">
    <w:name w:val="Heading 7 Char"/>
    <w:basedOn w:val="DefaultParagraphFont"/>
    <w:link w:val="Heading7"/>
    <w:uiPriority w:val="9"/>
    <w:semiHidden/>
    <w:rsid w:val="00BF4753"/>
    <w:rPr>
      <w:rFonts w:asciiTheme="majorHAnsi" w:eastAsiaTheme="majorEastAsia" w:hAnsiTheme="majorHAnsi" w:cstheme="majorBidi"/>
      <w:i/>
      <w:iCs/>
      <w:color w:val="404040" w:themeColor="text1" w:themeTint="BF"/>
      <w:sz w:val="28"/>
    </w:rPr>
  </w:style>
  <w:style w:type="character" w:customStyle="1" w:styleId="Heading8Char">
    <w:name w:val="Heading 8 Char"/>
    <w:basedOn w:val="DefaultParagraphFont"/>
    <w:link w:val="Heading8"/>
    <w:uiPriority w:val="9"/>
    <w:semiHidden/>
    <w:rsid w:val="00BF475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F4753"/>
    <w:rPr>
      <w:rFonts w:asciiTheme="majorHAnsi" w:eastAsiaTheme="majorEastAsia" w:hAnsiTheme="majorHAnsi" w:cstheme="majorBidi"/>
      <w:i/>
      <w:iCs/>
      <w:color w:val="404040" w:themeColor="text1" w:themeTint="BF"/>
      <w:sz w:val="20"/>
      <w:szCs w:val="20"/>
    </w:rPr>
  </w:style>
  <w:style w:type="paragraph" w:styleId="IntenseQuote">
    <w:name w:val="Intense Quote"/>
    <w:basedOn w:val="Normal"/>
    <w:next w:val="Normal"/>
    <w:link w:val="IntenseQuoteChar"/>
    <w:uiPriority w:val="30"/>
    <w:qFormat/>
    <w:rsid w:val="00BF4753"/>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BF4753"/>
    <w:rPr>
      <w:rFonts w:ascii="Times New Roman" w:eastAsiaTheme="minorEastAsia" w:hAnsi="Times New Roman"/>
      <w:color w:val="000000" w:themeColor="text1"/>
      <w:sz w:val="28"/>
      <w:shd w:val="clear" w:color="auto" w:fill="F2F2F2" w:themeFill="background1" w:themeFillShade="F2"/>
    </w:rPr>
  </w:style>
  <w:style w:type="paragraph" w:styleId="Caption">
    <w:name w:val="caption"/>
    <w:basedOn w:val="Normal"/>
    <w:next w:val="Normal"/>
    <w:uiPriority w:val="35"/>
    <w:semiHidden/>
    <w:unhideWhenUsed/>
    <w:qFormat/>
    <w:rsid w:val="00BF4753"/>
    <w:pPr>
      <w:spacing w:after="200"/>
    </w:pPr>
    <w:rPr>
      <w:i/>
      <w:iCs/>
      <w:color w:val="44546A" w:themeColor="text2"/>
      <w:sz w:val="18"/>
      <w:szCs w:val="18"/>
    </w:rPr>
  </w:style>
  <w:style w:type="paragraph" w:styleId="Title">
    <w:name w:val="Title"/>
    <w:basedOn w:val="Normal"/>
    <w:next w:val="Normal"/>
    <w:link w:val="TitleChar"/>
    <w:uiPriority w:val="10"/>
    <w:qFormat/>
    <w:rsid w:val="00BF4753"/>
    <w:pPr>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BF4753"/>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BF4753"/>
    <w:pPr>
      <w:numPr>
        <w:ilvl w:val="1"/>
      </w:numPr>
      <w:ind w:firstLine="720"/>
    </w:pPr>
    <w:rPr>
      <w:color w:val="5A5A5A" w:themeColor="text1" w:themeTint="A5"/>
      <w:spacing w:val="10"/>
    </w:rPr>
  </w:style>
  <w:style w:type="character" w:customStyle="1" w:styleId="SubtitleChar">
    <w:name w:val="Subtitle Char"/>
    <w:basedOn w:val="DefaultParagraphFont"/>
    <w:link w:val="Subtitle"/>
    <w:uiPriority w:val="11"/>
    <w:rsid w:val="00BF4753"/>
    <w:rPr>
      <w:rFonts w:ascii="Times New Roman" w:eastAsiaTheme="minorEastAsia" w:hAnsi="Times New Roman"/>
      <w:color w:val="5A5A5A" w:themeColor="text1" w:themeTint="A5"/>
      <w:spacing w:val="10"/>
      <w:sz w:val="28"/>
    </w:rPr>
  </w:style>
  <w:style w:type="character" w:styleId="Strong">
    <w:name w:val="Strong"/>
    <w:basedOn w:val="DefaultParagraphFont"/>
    <w:uiPriority w:val="22"/>
    <w:qFormat/>
    <w:rsid w:val="00BF4753"/>
    <w:rPr>
      <w:b/>
      <w:bCs/>
      <w:color w:val="000000" w:themeColor="text1"/>
    </w:rPr>
  </w:style>
  <w:style w:type="character" w:styleId="Emphasis">
    <w:name w:val="Emphasis"/>
    <w:basedOn w:val="DefaultParagraphFont"/>
    <w:uiPriority w:val="20"/>
    <w:qFormat/>
    <w:rsid w:val="00BF4753"/>
    <w:rPr>
      <w:i/>
      <w:iCs/>
      <w:color w:val="auto"/>
    </w:rPr>
  </w:style>
  <w:style w:type="paragraph" w:styleId="NoSpacing">
    <w:name w:val="No Spacing"/>
    <w:aliases w:val="Normal1,No Spacing1,Parastais"/>
    <w:link w:val="NoSpacingChar"/>
    <w:uiPriority w:val="1"/>
    <w:qFormat/>
    <w:rsid w:val="00BF4753"/>
    <w:pPr>
      <w:spacing w:after="0" w:line="240" w:lineRule="auto"/>
    </w:pPr>
    <w:rPr>
      <w:rFonts w:eastAsiaTheme="minorEastAsia"/>
    </w:rPr>
  </w:style>
  <w:style w:type="paragraph" w:styleId="Quote">
    <w:name w:val="Quote"/>
    <w:basedOn w:val="Normal"/>
    <w:next w:val="Normal"/>
    <w:link w:val="QuoteChar"/>
    <w:uiPriority w:val="29"/>
    <w:qFormat/>
    <w:rsid w:val="00BF4753"/>
    <w:pPr>
      <w:spacing w:before="160"/>
      <w:ind w:left="720" w:right="720"/>
    </w:pPr>
    <w:rPr>
      <w:i/>
      <w:iCs/>
      <w:color w:val="000000" w:themeColor="text1"/>
    </w:rPr>
  </w:style>
  <w:style w:type="character" w:customStyle="1" w:styleId="QuoteChar">
    <w:name w:val="Quote Char"/>
    <w:basedOn w:val="DefaultParagraphFont"/>
    <w:link w:val="Quote"/>
    <w:uiPriority w:val="29"/>
    <w:rsid w:val="00BF4753"/>
    <w:rPr>
      <w:rFonts w:ascii="Times New Roman" w:eastAsiaTheme="minorEastAsia" w:hAnsi="Times New Roman"/>
      <w:i/>
      <w:iCs/>
      <w:color w:val="000000" w:themeColor="text1"/>
      <w:sz w:val="28"/>
    </w:rPr>
  </w:style>
  <w:style w:type="character" w:styleId="SubtleEmphasis">
    <w:name w:val="Subtle Emphasis"/>
    <w:basedOn w:val="DefaultParagraphFont"/>
    <w:uiPriority w:val="19"/>
    <w:qFormat/>
    <w:rsid w:val="00BF4753"/>
    <w:rPr>
      <w:i/>
      <w:iCs/>
      <w:color w:val="404040" w:themeColor="text1" w:themeTint="BF"/>
    </w:rPr>
  </w:style>
  <w:style w:type="character" w:styleId="IntenseEmphasis">
    <w:name w:val="Intense Emphasis"/>
    <w:basedOn w:val="DefaultParagraphFont"/>
    <w:uiPriority w:val="21"/>
    <w:qFormat/>
    <w:rsid w:val="00BF4753"/>
    <w:rPr>
      <w:b/>
      <w:bCs/>
      <w:i/>
      <w:iCs/>
      <w:caps/>
    </w:rPr>
  </w:style>
  <w:style w:type="character" w:styleId="SubtleReference">
    <w:name w:val="Subtle Reference"/>
    <w:basedOn w:val="DefaultParagraphFont"/>
    <w:uiPriority w:val="31"/>
    <w:qFormat/>
    <w:rsid w:val="00BF4753"/>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F4753"/>
    <w:rPr>
      <w:b/>
      <w:bCs/>
      <w:smallCaps/>
      <w:u w:val="single"/>
    </w:rPr>
  </w:style>
  <w:style w:type="character" w:styleId="BookTitle">
    <w:name w:val="Book Title"/>
    <w:basedOn w:val="DefaultParagraphFont"/>
    <w:uiPriority w:val="33"/>
    <w:qFormat/>
    <w:rsid w:val="00BF4753"/>
    <w:rPr>
      <w:b w:val="0"/>
      <w:bCs w:val="0"/>
      <w:smallCaps/>
      <w:spacing w:val="5"/>
    </w:rPr>
  </w:style>
  <w:style w:type="paragraph" w:styleId="TOCHeading">
    <w:name w:val="TOC Heading"/>
    <w:basedOn w:val="Heading1"/>
    <w:next w:val="Normal"/>
    <w:uiPriority w:val="39"/>
    <w:unhideWhenUsed/>
    <w:qFormat/>
    <w:rsid w:val="00BF4753"/>
    <w:pPr>
      <w:outlineLvl w:val="9"/>
    </w:pPr>
  </w:style>
  <w:style w:type="character" w:customStyle="1" w:styleId="NoSpacingChar">
    <w:name w:val="No Spacing Char"/>
    <w:aliases w:val="Normal1 Char,No Spacing1 Char,Parastais Char"/>
    <w:basedOn w:val="DefaultParagraphFont"/>
    <w:link w:val="NoSpacing"/>
    <w:uiPriority w:val="1"/>
    <w:rsid w:val="00BF4753"/>
    <w:rPr>
      <w:rFonts w:eastAsiaTheme="minorEastAsia"/>
    </w:rPr>
  </w:style>
  <w:style w:type="paragraph" w:styleId="Header">
    <w:name w:val="header"/>
    <w:basedOn w:val="Normal"/>
    <w:link w:val="HeaderChar"/>
    <w:uiPriority w:val="99"/>
    <w:unhideWhenUsed/>
    <w:rsid w:val="00BF4753"/>
    <w:pPr>
      <w:tabs>
        <w:tab w:val="center" w:pos="4153"/>
        <w:tab w:val="right" w:pos="8306"/>
      </w:tabs>
    </w:pPr>
  </w:style>
  <w:style w:type="character" w:customStyle="1" w:styleId="HeaderChar">
    <w:name w:val="Header Char"/>
    <w:basedOn w:val="DefaultParagraphFont"/>
    <w:link w:val="Header"/>
    <w:uiPriority w:val="99"/>
    <w:rsid w:val="00BF4753"/>
    <w:rPr>
      <w:rFonts w:ascii="Times New Roman" w:eastAsiaTheme="minorEastAsia" w:hAnsi="Times New Roman"/>
      <w:sz w:val="28"/>
    </w:rPr>
  </w:style>
  <w:style w:type="paragraph" w:styleId="Footer">
    <w:name w:val="footer"/>
    <w:basedOn w:val="Normal"/>
    <w:link w:val="FooterChar"/>
    <w:uiPriority w:val="99"/>
    <w:unhideWhenUsed/>
    <w:rsid w:val="00BF4753"/>
    <w:pPr>
      <w:tabs>
        <w:tab w:val="center" w:pos="4153"/>
        <w:tab w:val="right" w:pos="8306"/>
      </w:tabs>
    </w:pPr>
  </w:style>
  <w:style w:type="character" w:customStyle="1" w:styleId="FooterChar">
    <w:name w:val="Footer Char"/>
    <w:basedOn w:val="DefaultParagraphFont"/>
    <w:link w:val="Footer"/>
    <w:uiPriority w:val="99"/>
    <w:rsid w:val="00BF4753"/>
    <w:rPr>
      <w:rFonts w:ascii="Times New Roman" w:eastAsiaTheme="minorEastAsia" w:hAnsi="Times New Roman"/>
      <w:sz w:val="28"/>
    </w:rPr>
  </w:style>
  <w:style w:type="paragraph" w:styleId="ListParagraph">
    <w:name w:val="List Paragraph"/>
    <w:aliases w:val="2,Akapit z listą BS,Numbered Para 1,Dot pt,List Paragraph Char Char Char,Indicator Text,List Paragraph1,Bullet 1,Bullet Points,MAIN CONTENT,IFCL - List Paragraph,List Paragraph12,OBC Bullet,F5 List Paragraph,Strip,Punkti ar numuriem"/>
    <w:basedOn w:val="Normal"/>
    <w:link w:val="ListParagraphChar"/>
    <w:uiPriority w:val="34"/>
    <w:qFormat/>
    <w:rsid w:val="00BF4753"/>
    <w:pPr>
      <w:ind w:left="720"/>
      <w:contextualSpacing/>
    </w:pPr>
  </w:style>
  <w:style w:type="paragraph" w:customStyle="1" w:styleId="PIRMAIS">
    <w:name w:val="PIRMAIS"/>
    <w:basedOn w:val="Normal"/>
    <w:link w:val="PIRMAISChar"/>
    <w:qFormat/>
    <w:rsid w:val="00BF4753"/>
    <w:pPr>
      <w:keepNext/>
      <w:keepLines/>
      <w:pageBreakBefore/>
      <w:pBdr>
        <w:bottom w:val="thickThinLargeGap" w:sz="24" w:space="1" w:color="17365D"/>
      </w:pBdr>
      <w:tabs>
        <w:tab w:val="left" w:pos="567"/>
      </w:tabs>
      <w:spacing w:after="120"/>
      <w:ind w:left="567" w:hanging="567"/>
      <w:outlineLvl w:val="0"/>
    </w:pPr>
    <w:rPr>
      <w:rFonts w:eastAsia="Times New Roman" w:cs="Times New Roman"/>
      <w:b/>
      <w:sz w:val="36"/>
      <w:szCs w:val="20"/>
    </w:rPr>
  </w:style>
  <w:style w:type="character" w:customStyle="1" w:styleId="PIRMAISChar">
    <w:name w:val="PIRMAIS Char"/>
    <w:basedOn w:val="DefaultParagraphFont"/>
    <w:link w:val="PIRMAIS"/>
    <w:rsid w:val="00BF4753"/>
    <w:rPr>
      <w:rFonts w:ascii="Times New Roman" w:eastAsia="Times New Roman" w:hAnsi="Times New Roman" w:cs="Times New Roman"/>
      <w:b/>
      <w:sz w:val="36"/>
      <w:szCs w:val="20"/>
    </w:rPr>
  </w:style>
  <w:style w:type="character" w:styleId="PageNumber">
    <w:name w:val="page number"/>
    <w:basedOn w:val="DefaultParagraphFont"/>
    <w:rsid w:val="00BF4753"/>
  </w:style>
  <w:style w:type="character" w:customStyle="1" w:styleId="HeaderChar1">
    <w:name w:val="Header Char1"/>
    <w:uiPriority w:val="99"/>
    <w:semiHidden/>
    <w:rsid w:val="00BF4753"/>
    <w:rPr>
      <w:rFonts w:eastAsia="Times New Roman" w:cs="Times New Roman"/>
      <w:sz w:val="24"/>
      <w:szCs w:val="20"/>
    </w:rPr>
  </w:style>
  <w:style w:type="paragraph" w:customStyle="1" w:styleId="H1">
    <w:name w:val="H1"/>
    <w:link w:val="H1Char"/>
    <w:rsid w:val="00BF4753"/>
    <w:pPr>
      <w:keepNext/>
      <w:keepLines/>
      <w:pageBreakBefore/>
      <w:pBdr>
        <w:bottom w:val="thickThinLargeGap" w:sz="24" w:space="1" w:color="17365D"/>
      </w:pBdr>
      <w:tabs>
        <w:tab w:val="left" w:pos="1134"/>
      </w:tabs>
      <w:spacing w:after="120" w:line="240" w:lineRule="auto"/>
      <w:ind w:left="1134" w:hanging="567"/>
      <w:outlineLvl w:val="0"/>
    </w:pPr>
    <w:rPr>
      <w:rFonts w:ascii="Times New Roman" w:eastAsia="Times New Roman" w:hAnsi="Times New Roman" w:cs="Times New Roman"/>
      <w:b/>
      <w:sz w:val="36"/>
      <w:szCs w:val="20"/>
    </w:rPr>
  </w:style>
  <w:style w:type="character" w:customStyle="1" w:styleId="H1Char">
    <w:name w:val="H1 Char"/>
    <w:link w:val="H1"/>
    <w:rsid w:val="00BF4753"/>
    <w:rPr>
      <w:rFonts w:ascii="Times New Roman" w:eastAsia="Times New Roman" w:hAnsi="Times New Roman" w:cs="Times New Roman"/>
      <w:b/>
      <w:sz w:val="36"/>
      <w:szCs w:val="20"/>
    </w:rPr>
  </w:style>
  <w:style w:type="character" w:styleId="CommentReference">
    <w:name w:val="annotation reference"/>
    <w:uiPriority w:val="99"/>
    <w:unhideWhenUsed/>
    <w:rsid w:val="00BF4753"/>
    <w:rPr>
      <w:sz w:val="16"/>
      <w:szCs w:val="16"/>
    </w:rPr>
  </w:style>
  <w:style w:type="paragraph" w:styleId="CommentText">
    <w:name w:val="annotation text"/>
    <w:basedOn w:val="Normal"/>
    <w:link w:val="CommentTextChar"/>
    <w:uiPriority w:val="99"/>
    <w:unhideWhenUsed/>
    <w:rsid w:val="00BF4753"/>
    <w:pPr>
      <w:spacing w:after="120"/>
      <w:ind w:firstLine="567"/>
    </w:pPr>
    <w:rPr>
      <w:rFonts w:eastAsia="Times New Roman" w:cs="Times New Roman"/>
      <w:sz w:val="20"/>
      <w:szCs w:val="20"/>
    </w:rPr>
  </w:style>
  <w:style w:type="character" w:customStyle="1" w:styleId="CommentTextChar">
    <w:name w:val="Comment Text Char"/>
    <w:basedOn w:val="DefaultParagraphFont"/>
    <w:link w:val="CommentText"/>
    <w:uiPriority w:val="99"/>
    <w:rsid w:val="00BF4753"/>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BF4753"/>
    <w:pPr>
      <w:ind w:firstLine="567"/>
    </w:pPr>
    <w:rPr>
      <w:rFonts w:ascii="Tahoma" w:eastAsia="Times New Roman" w:hAnsi="Tahoma" w:cs="Times New Roman"/>
      <w:sz w:val="16"/>
      <w:szCs w:val="16"/>
    </w:rPr>
  </w:style>
  <w:style w:type="character" w:customStyle="1" w:styleId="BalloonTextChar">
    <w:name w:val="Balloon Text Char"/>
    <w:basedOn w:val="DefaultParagraphFont"/>
    <w:link w:val="BalloonText"/>
    <w:uiPriority w:val="99"/>
    <w:semiHidden/>
    <w:rsid w:val="00BF4753"/>
    <w:rPr>
      <w:rFonts w:ascii="Tahoma" w:eastAsia="Times New Roman" w:hAnsi="Tahoma" w:cs="Times New Roman"/>
      <w:sz w:val="16"/>
      <w:szCs w:val="16"/>
    </w:rPr>
  </w:style>
  <w:style w:type="paragraph" w:customStyle="1" w:styleId="H2">
    <w:name w:val="H2"/>
    <w:link w:val="H2Char"/>
    <w:uiPriority w:val="99"/>
    <w:rsid w:val="00BF4753"/>
    <w:pPr>
      <w:keepNext/>
      <w:tabs>
        <w:tab w:val="left" w:pos="1134"/>
      </w:tabs>
      <w:spacing w:before="480" w:after="240" w:line="240" w:lineRule="auto"/>
      <w:ind w:left="1134" w:hanging="567"/>
      <w:outlineLvl w:val="1"/>
    </w:pPr>
    <w:rPr>
      <w:rFonts w:ascii="Calibri" w:eastAsia="Times New Roman" w:hAnsi="Calibri" w:cs="Times New Roman"/>
      <w:b/>
      <w:sz w:val="32"/>
      <w:szCs w:val="20"/>
    </w:rPr>
  </w:style>
  <w:style w:type="character" w:customStyle="1" w:styleId="H2Char">
    <w:name w:val="H2 Char"/>
    <w:link w:val="H2"/>
    <w:uiPriority w:val="99"/>
    <w:rsid w:val="00BF4753"/>
    <w:rPr>
      <w:rFonts w:ascii="Calibri" w:eastAsia="Times New Roman" w:hAnsi="Calibri" w:cs="Times New Roman"/>
      <w:b/>
      <w:sz w:val="32"/>
      <w:szCs w:val="20"/>
    </w:rPr>
  </w:style>
  <w:style w:type="paragraph" w:customStyle="1" w:styleId="H4">
    <w:name w:val="H4"/>
    <w:uiPriority w:val="99"/>
    <w:rsid w:val="00BF4753"/>
    <w:pPr>
      <w:spacing w:before="120" w:after="120" w:line="240" w:lineRule="auto"/>
      <w:ind w:left="567"/>
      <w:outlineLvl w:val="3"/>
    </w:pPr>
    <w:rPr>
      <w:rFonts w:ascii="Calibri" w:eastAsia="Times New Roman" w:hAnsi="Calibri" w:cs="Times New Roman"/>
      <w:b/>
      <w:sz w:val="28"/>
      <w:szCs w:val="20"/>
    </w:rPr>
  </w:style>
  <w:style w:type="paragraph" w:customStyle="1" w:styleId="H3">
    <w:name w:val="H3"/>
    <w:link w:val="H3Char"/>
    <w:rsid w:val="00BF4753"/>
    <w:pPr>
      <w:keepNext/>
      <w:spacing w:before="480" w:after="120" w:line="240" w:lineRule="auto"/>
      <w:ind w:left="1701" w:hanging="1134"/>
      <w:outlineLvl w:val="2"/>
    </w:pPr>
    <w:rPr>
      <w:rFonts w:ascii="Calibri" w:eastAsia="Times New Roman" w:hAnsi="Calibri" w:cs="Times New Roman"/>
      <w:b/>
      <w:sz w:val="28"/>
      <w:szCs w:val="20"/>
    </w:rPr>
  </w:style>
  <w:style w:type="character" w:customStyle="1" w:styleId="H3Char">
    <w:name w:val="H3 Char"/>
    <w:link w:val="H3"/>
    <w:rsid w:val="00BF4753"/>
    <w:rPr>
      <w:rFonts w:ascii="Calibri" w:eastAsia="Times New Roman" w:hAnsi="Calibri" w:cs="Times New Roman"/>
      <w:b/>
      <w:sz w:val="28"/>
      <w:szCs w:val="20"/>
    </w:rPr>
  </w:style>
  <w:style w:type="paragraph" w:customStyle="1" w:styleId="T">
    <w:name w:val="T"/>
    <w:basedOn w:val="Normal"/>
    <w:rsid w:val="00BF4753"/>
    <w:pPr>
      <w:keepNext/>
      <w:spacing w:after="120"/>
      <w:ind w:left="567"/>
    </w:pPr>
    <w:rPr>
      <w:rFonts w:ascii="Calibri" w:eastAsia="Times New Roman" w:hAnsi="Calibri" w:cs="Times New Roman"/>
      <w:b/>
      <w:sz w:val="24"/>
      <w:szCs w:val="20"/>
    </w:rPr>
  </w:style>
  <w:style w:type="paragraph" w:customStyle="1" w:styleId="Z">
    <w:name w:val="Z"/>
    <w:basedOn w:val="T"/>
    <w:uiPriority w:val="99"/>
    <w:qFormat/>
    <w:rsid w:val="00BF4753"/>
    <w:pPr>
      <w:ind w:right="1701"/>
    </w:pPr>
    <w:rPr>
      <w:b w:val="0"/>
      <w:sz w:val="20"/>
    </w:rPr>
  </w:style>
  <w:style w:type="paragraph" w:customStyle="1" w:styleId="tabteksts">
    <w:name w:val="tab_teksts"/>
    <w:basedOn w:val="Normal"/>
    <w:uiPriority w:val="99"/>
    <w:rsid w:val="00BF4753"/>
    <w:rPr>
      <w:rFonts w:eastAsia="Times New Roman" w:cs="Times New Roman"/>
      <w:sz w:val="20"/>
      <w:szCs w:val="20"/>
    </w:rPr>
  </w:style>
  <w:style w:type="paragraph" w:styleId="FootnoteText">
    <w:name w:val="footnote text"/>
    <w:aliases w:val="Footnote,Fußnote,Fußnote Char Char Char,single space,ft Rakstz. Rakstz.,ft Rakstz.,ft,-E Fußnotentext,Fußnotentext Ursprung,Vēres teksts Char Char Char Char Char,Char Char Char Char Char Char Char Char Char Char Char Char,footnote tex,Char"/>
    <w:basedOn w:val="Normal"/>
    <w:link w:val="FootnoteTextChar"/>
    <w:qFormat/>
    <w:rsid w:val="00BF4753"/>
    <w:pPr>
      <w:keepLines/>
      <w:widowControl w:val="0"/>
      <w:ind w:left="340" w:hanging="340"/>
    </w:pPr>
    <w:rPr>
      <w:rFonts w:eastAsia="Times New Roman" w:cs="Times New Roman"/>
      <w:snapToGrid w:val="0"/>
      <w:color w:val="000000"/>
      <w:sz w:val="20"/>
      <w:szCs w:val="20"/>
    </w:rPr>
  </w:style>
  <w:style w:type="character" w:customStyle="1" w:styleId="FootnoteTextChar">
    <w:name w:val="Footnote Text Char"/>
    <w:aliases w:val="Footnote Char,Fußnote Char,Fußnote Char Char Char Char,single space Char,ft Rakstz. Rakstz. Char,ft Rakstz. Char,ft Char,-E Fußnotentext Char,Fußnotentext Ursprung Char,Vēres teksts Char Char Char Char Char Char,footnote tex Char"/>
    <w:basedOn w:val="DefaultParagraphFont"/>
    <w:link w:val="FootnoteText"/>
    <w:rsid w:val="00BF4753"/>
    <w:rPr>
      <w:rFonts w:ascii="Times New Roman" w:eastAsia="Times New Roman" w:hAnsi="Times New Roman" w:cs="Times New Roman"/>
      <w:snapToGrid w:val="0"/>
      <w:color w:val="000000"/>
      <w:sz w:val="20"/>
      <w:szCs w:val="20"/>
    </w:rPr>
  </w:style>
  <w:style w:type="character" w:styleId="FootnoteReference">
    <w:name w:val="footnote reference"/>
    <w:aliases w:val="Footnote Reference Number,Footnote symbol,Footnote Reference Superscript,ftref,Footnote Refernece,Odwołanie przypisu,BVI fnr,Footnotes refss,SUPERS,Ref,de nota al pie,-E Fußnotenzeichen,Footnote reference number,Times 10 Point,E,E FNZ"/>
    <w:link w:val="Char2"/>
    <w:qFormat/>
    <w:rsid w:val="00BF4753"/>
    <w:rPr>
      <w:rFonts w:ascii="Garamond" w:hAnsi="Garamond"/>
      <w:sz w:val="20"/>
      <w:vertAlign w:val="superscript"/>
    </w:rPr>
  </w:style>
  <w:style w:type="paragraph" w:customStyle="1" w:styleId="Zpar">
    <w:name w:val="Z_par"/>
    <w:basedOn w:val="Z"/>
    <w:rsid w:val="00BF4753"/>
    <w:pPr>
      <w:spacing w:after="480"/>
      <w:ind w:left="1418" w:hanging="851"/>
    </w:pPr>
    <w:rPr>
      <w:i/>
    </w:rPr>
  </w:style>
  <w:style w:type="character" w:customStyle="1" w:styleId="ListParagraphChar">
    <w:name w:val="List Paragraph Char"/>
    <w:aliases w:val="2 Char,Akapit z listą BS Char,Numbered Para 1 Char,Dot pt Char,List Paragraph Char Char Char Char,Indicator Text Char,List Paragraph1 Char,Bullet 1 Char,Bullet Points Char,MAIN CONTENT Char,IFCL - List Paragraph Char,OBC Bullet Char"/>
    <w:link w:val="ListParagraph"/>
    <w:uiPriority w:val="34"/>
    <w:qFormat/>
    <w:locked/>
    <w:rsid w:val="00BF4753"/>
    <w:rPr>
      <w:rFonts w:ascii="Times New Roman" w:eastAsiaTheme="minorEastAsia" w:hAnsi="Times New Roman"/>
      <w:sz w:val="28"/>
    </w:rPr>
  </w:style>
  <w:style w:type="paragraph" w:styleId="BodyTextIndent2">
    <w:name w:val="Body Text Indent 2"/>
    <w:basedOn w:val="Normal"/>
    <w:link w:val="BodyTextIndent2Char"/>
    <w:semiHidden/>
    <w:rsid w:val="00BF4753"/>
    <w:pPr>
      <w:spacing w:before="120" w:after="120"/>
      <w:ind w:firstLine="706"/>
    </w:pPr>
    <w:rPr>
      <w:rFonts w:eastAsia="Times New Roman" w:cs="Times New Roman"/>
      <w:sz w:val="24"/>
      <w:szCs w:val="20"/>
    </w:rPr>
  </w:style>
  <w:style w:type="character" w:customStyle="1" w:styleId="BodyTextIndent2Char">
    <w:name w:val="Body Text Indent 2 Char"/>
    <w:basedOn w:val="DefaultParagraphFont"/>
    <w:link w:val="BodyTextIndent2"/>
    <w:semiHidden/>
    <w:rsid w:val="00BF4753"/>
    <w:rPr>
      <w:rFonts w:ascii="Times New Roman" w:eastAsia="Times New Roman" w:hAnsi="Times New Roman" w:cs="Times New Roman"/>
      <w:sz w:val="24"/>
      <w:szCs w:val="20"/>
    </w:rPr>
  </w:style>
  <w:style w:type="paragraph" w:customStyle="1" w:styleId="Default">
    <w:name w:val="Default"/>
    <w:rsid w:val="00BF4753"/>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BodyTextIndent">
    <w:name w:val="Body Text Indent"/>
    <w:basedOn w:val="Normal"/>
    <w:link w:val="BodyTextIndentChar"/>
    <w:unhideWhenUsed/>
    <w:rsid w:val="00BF4753"/>
    <w:pPr>
      <w:spacing w:after="120"/>
      <w:ind w:left="283" w:firstLine="567"/>
    </w:pPr>
    <w:rPr>
      <w:rFonts w:eastAsia="Times New Roman" w:cs="Times New Roman"/>
      <w:sz w:val="24"/>
      <w:szCs w:val="20"/>
    </w:rPr>
  </w:style>
  <w:style w:type="character" w:customStyle="1" w:styleId="BodyTextIndentChar">
    <w:name w:val="Body Text Indent Char"/>
    <w:basedOn w:val="DefaultParagraphFont"/>
    <w:link w:val="BodyTextIndent"/>
    <w:rsid w:val="00BF4753"/>
    <w:rPr>
      <w:rFonts w:ascii="Times New Roman" w:eastAsia="Times New Roman" w:hAnsi="Times New Roman" w:cs="Times New Roman"/>
      <w:sz w:val="24"/>
      <w:szCs w:val="20"/>
    </w:rPr>
  </w:style>
  <w:style w:type="paragraph" w:customStyle="1" w:styleId="ridk">
    <w:name w:val="ridk"/>
    <w:basedOn w:val="Normal"/>
    <w:rsid w:val="00BF4753"/>
    <w:pPr>
      <w:spacing w:before="100" w:beforeAutospacing="1" w:after="100" w:afterAutospacing="1"/>
    </w:pPr>
    <w:rPr>
      <w:rFonts w:ascii="Arial Unicode MS" w:eastAsia="Arial Unicode MS" w:hAnsi="Arial Unicode MS" w:cs="Arial Unicode MS"/>
      <w:sz w:val="24"/>
      <w:szCs w:val="24"/>
      <w:lang w:val="en-US"/>
    </w:rPr>
  </w:style>
  <w:style w:type="table" w:styleId="TableGrid">
    <w:name w:val="Table Grid"/>
    <w:basedOn w:val="TableNormal"/>
    <w:uiPriority w:val="39"/>
    <w:rsid w:val="00BF4753"/>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1">
    <w:name w:val="Virsraksts1"/>
    <w:basedOn w:val="Heading1"/>
    <w:rsid w:val="00BF4753"/>
    <w:pPr>
      <w:keepLines w:val="0"/>
      <w:spacing w:before="240" w:after="60"/>
      <w:ind w:firstLine="709"/>
      <w:jc w:val="both"/>
    </w:pPr>
    <w:rPr>
      <w:rFonts w:eastAsia="Calibri"/>
      <w:smallCaps w:val="0"/>
      <w:color w:val="auto"/>
      <w:kern w:val="32"/>
      <w:sz w:val="40"/>
      <w:szCs w:val="40"/>
    </w:rPr>
  </w:style>
  <w:style w:type="character" w:customStyle="1" w:styleId="spelle">
    <w:name w:val="spelle"/>
    <w:basedOn w:val="DefaultParagraphFont"/>
    <w:rsid w:val="00BF4753"/>
  </w:style>
  <w:style w:type="paragraph" w:customStyle="1" w:styleId="ParagraphNumbering">
    <w:name w:val="Paragraph Numbering"/>
    <w:basedOn w:val="Normal"/>
    <w:uiPriority w:val="1"/>
    <w:qFormat/>
    <w:rsid w:val="00BF4753"/>
    <w:pPr>
      <w:numPr>
        <w:numId w:val="2"/>
      </w:numPr>
      <w:spacing w:after="240" w:line="264" w:lineRule="auto"/>
    </w:pPr>
    <w:rPr>
      <w:rFonts w:eastAsia="Calibri" w:cs="Times New Roman"/>
      <w:sz w:val="24"/>
      <w:szCs w:val="24"/>
      <w:lang w:val="en-US"/>
    </w:rPr>
  </w:style>
  <w:style w:type="paragraph" w:styleId="CommentSubject">
    <w:name w:val="annotation subject"/>
    <w:basedOn w:val="CommentText"/>
    <w:next w:val="CommentText"/>
    <w:link w:val="CommentSubjectChar"/>
    <w:uiPriority w:val="99"/>
    <w:semiHidden/>
    <w:unhideWhenUsed/>
    <w:rsid w:val="00BF4753"/>
    <w:rPr>
      <w:b/>
      <w:bCs/>
    </w:rPr>
  </w:style>
  <w:style w:type="character" w:customStyle="1" w:styleId="CommentSubjectChar">
    <w:name w:val="Comment Subject Char"/>
    <w:basedOn w:val="CommentTextChar"/>
    <w:link w:val="CommentSubject"/>
    <w:uiPriority w:val="99"/>
    <w:semiHidden/>
    <w:rsid w:val="00BF4753"/>
    <w:rPr>
      <w:rFonts w:ascii="Times New Roman" w:eastAsia="Times New Roman" w:hAnsi="Times New Roman" w:cs="Times New Roman"/>
      <w:b/>
      <w:bCs/>
      <w:sz w:val="20"/>
      <w:szCs w:val="20"/>
    </w:rPr>
  </w:style>
  <w:style w:type="paragraph" w:customStyle="1" w:styleId="otrais">
    <w:name w:val="otrais"/>
    <w:basedOn w:val="H2"/>
    <w:link w:val="otraisChar"/>
    <w:qFormat/>
    <w:rsid w:val="00BF4753"/>
    <w:pPr>
      <w:tabs>
        <w:tab w:val="clear" w:pos="1134"/>
        <w:tab w:val="left" w:pos="567"/>
      </w:tabs>
      <w:ind w:left="567"/>
    </w:pPr>
    <w:rPr>
      <w:rFonts w:ascii="Times New Roman" w:hAnsi="Times New Roman"/>
    </w:rPr>
  </w:style>
  <w:style w:type="character" w:customStyle="1" w:styleId="otraisChar">
    <w:name w:val="otrais Char"/>
    <w:basedOn w:val="H2Char"/>
    <w:link w:val="otrais"/>
    <w:rsid w:val="00BF4753"/>
    <w:rPr>
      <w:rFonts w:ascii="Times New Roman" w:eastAsia="Times New Roman" w:hAnsi="Times New Roman" w:cs="Times New Roman"/>
      <w:b/>
      <w:sz w:val="32"/>
      <w:szCs w:val="20"/>
    </w:rPr>
  </w:style>
  <w:style w:type="paragraph" w:customStyle="1" w:styleId="tresais">
    <w:name w:val="tresais"/>
    <w:basedOn w:val="H3"/>
    <w:link w:val="tresaisChar"/>
    <w:qFormat/>
    <w:rsid w:val="00BF4753"/>
    <w:pPr>
      <w:ind w:left="0" w:firstLine="0"/>
    </w:pPr>
    <w:rPr>
      <w:rFonts w:ascii="Times New Roman" w:hAnsi="Times New Roman"/>
    </w:rPr>
  </w:style>
  <w:style w:type="character" w:customStyle="1" w:styleId="tresaisChar">
    <w:name w:val="tresais Char"/>
    <w:basedOn w:val="H3Char"/>
    <w:link w:val="tresais"/>
    <w:rsid w:val="00BF4753"/>
    <w:rPr>
      <w:rFonts w:ascii="Times New Roman" w:eastAsia="Times New Roman" w:hAnsi="Times New Roman" w:cs="Times New Roman"/>
      <w:b/>
      <w:sz w:val="28"/>
      <w:szCs w:val="20"/>
    </w:rPr>
  </w:style>
  <w:style w:type="paragraph" w:styleId="TOC1">
    <w:name w:val="toc 1"/>
    <w:basedOn w:val="Normal"/>
    <w:next w:val="Normal"/>
    <w:autoRedefine/>
    <w:uiPriority w:val="39"/>
    <w:unhideWhenUsed/>
    <w:rsid w:val="00BF4753"/>
    <w:pPr>
      <w:tabs>
        <w:tab w:val="left" w:pos="284"/>
        <w:tab w:val="right" w:leader="dot" w:pos="9072"/>
      </w:tabs>
      <w:ind w:left="284" w:hanging="284"/>
    </w:pPr>
    <w:rPr>
      <w:rFonts w:eastAsia="Times New Roman" w:cs="Times New Roman"/>
      <w:sz w:val="24"/>
      <w:szCs w:val="20"/>
    </w:rPr>
  </w:style>
  <w:style w:type="paragraph" w:styleId="TOC2">
    <w:name w:val="toc 2"/>
    <w:basedOn w:val="Normal"/>
    <w:next w:val="Normal"/>
    <w:autoRedefine/>
    <w:uiPriority w:val="39"/>
    <w:unhideWhenUsed/>
    <w:rsid w:val="009F38DE"/>
    <w:pPr>
      <w:tabs>
        <w:tab w:val="left" w:pos="1418"/>
        <w:tab w:val="right" w:leader="dot" w:pos="9072"/>
      </w:tabs>
      <w:ind w:left="851" w:hanging="425"/>
    </w:pPr>
    <w:rPr>
      <w:rFonts w:eastAsia="Times New Roman" w:cs="Times New Roman"/>
      <w:sz w:val="24"/>
      <w:szCs w:val="20"/>
    </w:rPr>
  </w:style>
  <w:style w:type="paragraph" w:styleId="TOC3">
    <w:name w:val="toc 3"/>
    <w:basedOn w:val="Normal"/>
    <w:next w:val="Normal"/>
    <w:autoRedefine/>
    <w:uiPriority w:val="39"/>
    <w:unhideWhenUsed/>
    <w:rsid w:val="00D93D4E"/>
    <w:pPr>
      <w:tabs>
        <w:tab w:val="left" w:pos="1418"/>
        <w:tab w:val="right" w:leader="dot" w:pos="9061"/>
      </w:tabs>
      <w:ind w:left="1418" w:hanging="709"/>
    </w:pPr>
    <w:rPr>
      <w:rFonts w:eastAsia="Times New Roman" w:cs="Times New Roman"/>
      <w:sz w:val="24"/>
      <w:szCs w:val="20"/>
    </w:rPr>
  </w:style>
  <w:style w:type="character" w:styleId="Hyperlink">
    <w:name w:val="Hyperlink"/>
    <w:uiPriority w:val="99"/>
    <w:unhideWhenUsed/>
    <w:rsid w:val="00BF4753"/>
    <w:rPr>
      <w:color w:val="0000FF"/>
      <w:u w:val="single"/>
    </w:rPr>
  </w:style>
  <w:style w:type="paragraph" w:customStyle="1" w:styleId="naisf">
    <w:name w:val="naisf"/>
    <w:basedOn w:val="Normal"/>
    <w:rsid w:val="00BF4753"/>
    <w:pPr>
      <w:spacing w:before="100" w:beforeAutospacing="1" w:after="100" w:afterAutospacing="1"/>
    </w:pPr>
    <w:rPr>
      <w:rFonts w:eastAsia="Times New Roman" w:cs="Times New Roman"/>
      <w:sz w:val="24"/>
      <w:szCs w:val="24"/>
      <w:lang w:eastAsia="lv-LV"/>
    </w:rPr>
  </w:style>
  <w:style w:type="paragraph" w:customStyle="1" w:styleId="teksts">
    <w:name w:val="teksts"/>
    <w:rsid w:val="00BF4753"/>
    <w:pPr>
      <w:spacing w:after="120" w:line="240" w:lineRule="auto"/>
      <w:jc w:val="both"/>
    </w:pPr>
    <w:rPr>
      <w:rFonts w:ascii="Garamond" w:eastAsia="Times New Roman" w:hAnsi="Garamond" w:cs="Times New Roman"/>
      <w:sz w:val="24"/>
      <w:szCs w:val="20"/>
    </w:rPr>
  </w:style>
  <w:style w:type="paragraph" w:customStyle="1" w:styleId="EE-paragr">
    <w:name w:val="EE-paragr"/>
    <w:basedOn w:val="Normal"/>
    <w:autoRedefine/>
    <w:uiPriority w:val="99"/>
    <w:rsid w:val="00BF4753"/>
    <w:pPr>
      <w:spacing w:before="120" w:after="120"/>
    </w:pPr>
    <w:rPr>
      <w:rFonts w:eastAsia="Times New Roman" w:cs="Times New Roman"/>
      <w:iCs/>
      <w:sz w:val="24"/>
      <w:szCs w:val="24"/>
      <w:lang w:eastAsia="lv-LV" w:bidi="lo-LA"/>
    </w:rPr>
  </w:style>
  <w:style w:type="paragraph" w:customStyle="1" w:styleId="tabtekst">
    <w:name w:val="tab_tekst"/>
    <w:basedOn w:val="Normal"/>
    <w:rsid w:val="00BF4753"/>
    <w:rPr>
      <w:rFonts w:eastAsia="Times New Roman" w:cs="Times New Roman"/>
      <w:color w:val="000000"/>
      <w:sz w:val="20"/>
      <w:szCs w:val="20"/>
    </w:rPr>
  </w:style>
  <w:style w:type="paragraph" w:styleId="NormalWeb">
    <w:name w:val="Normal (Web)"/>
    <w:basedOn w:val="Normal"/>
    <w:uiPriority w:val="99"/>
    <w:unhideWhenUsed/>
    <w:rsid w:val="00BF4753"/>
    <w:pPr>
      <w:spacing w:before="100" w:beforeAutospacing="1" w:after="100" w:afterAutospacing="1"/>
    </w:pPr>
    <w:rPr>
      <w:rFonts w:eastAsia="Times New Roman" w:cs="Times New Roman"/>
      <w:sz w:val="24"/>
      <w:szCs w:val="24"/>
      <w:lang w:eastAsia="lv-LV"/>
    </w:rPr>
  </w:style>
  <w:style w:type="paragraph" w:customStyle="1" w:styleId="Normal11pt">
    <w:name w:val="Normal + 11 pt"/>
    <w:aliases w:val="Bold,Justified,Line spacing:  1.5 lines"/>
    <w:basedOn w:val="Normal"/>
    <w:rsid w:val="00BF4753"/>
    <w:pPr>
      <w:widowControl w:val="0"/>
      <w:adjustRightInd w:val="0"/>
      <w:spacing w:line="360" w:lineRule="auto"/>
      <w:textAlignment w:val="baseline"/>
    </w:pPr>
    <w:rPr>
      <w:rFonts w:eastAsia="Times New Roman" w:cs="Times New Roman"/>
      <w:b/>
      <w:lang w:val="en-GB" w:eastAsia="lv-LV"/>
    </w:rPr>
  </w:style>
  <w:style w:type="paragraph" w:styleId="BodyText">
    <w:name w:val="Body Text"/>
    <w:basedOn w:val="Normal"/>
    <w:link w:val="BodyTextChar"/>
    <w:uiPriority w:val="99"/>
    <w:unhideWhenUsed/>
    <w:rsid w:val="00BF4753"/>
    <w:pPr>
      <w:spacing w:after="120"/>
      <w:ind w:firstLine="567"/>
    </w:pPr>
    <w:rPr>
      <w:rFonts w:eastAsia="Times New Roman" w:cs="Times New Roman"/>
      <w:sz w:val="24"/>
      <w:szCs w:val="20"/>
    </w:rPr>
  </w:style>
  <w:style w:type="character" w:customStyle="1" w:styleId="BodyTextChar">
    <w:name w:val="Body Text Char"/>
    <w:basedOn w:val="DefaultParagraphFont"/>
    <w:link w:val="BodyText"/>
    <w:uiPriority w:val="99"/>
    <w:rsid w:val="00BF4753"/>
    <w:rPr>
      <w:rFonts w:ascii="Times New Roman" w:eastAsia="Times New Roman" w:hAnsi="Times New Roman" w:cs="Times New Roman"/>
      <w:sz w:val="24"/>
      <w:szCs w:val="20"/>
    </w:rPr>
  </w:style>
  <w:style w:type="paragraph" w:styleId="BodyText3">
    <w:name w:val="Body Text 3"/>
    <w:basedOn w:val="Normal"/>
    <w:link w:val="BodyText3Char"/>
    <w:uiPriority w:val="99"/>
    <w:semiHidden/>
    <w:unhideWhenUsed/>
    <w:rsid w:val="00BF4753"/>
    <w:pPr>
      <w:spacing w:after="120"/>
      <w:ind w:firstLine="567"/>
    </w:pPr>
    <w:rPr>
      <w:rFonts w:eastAsia="Times New Roman" w:cs="Times New Roman"/>
      <w:sz w:val="16"/>
      <w:szCs w:val="16"/>
    </w:rPr>
  </w:style>
  <w:style w:type="character" w:customStyle="1" w:styleId="BodyText3Char">
    <w:name w:val="Body Text 3 Char"/>
    <w:basedOn w:val="DefaultParagraphFont"/>
    <w:link w:val="BodyText3"/>
    <w:uiPriority w:val="99"/>
    <w:semiHidden/>
    <w:rsid w:val="00BF4753"/>
    <w:rPr>
      <w:rFonts w:ascii="Times New Roman" w:eastAsia="Times New Roman" w:hAnsi="Times New Roman" w:cs="Times New Roman"/>
      <w:sz w:val="16"/>
      <w:szCs w:val="16"/>
    </w:rPr>
  </w:style>
  <w:style w:type="paragraph" w:styleId="TOC8">
    <w:name w:val="toc 8"/>
    <w:basedOn w:val="Normal"/>
    <w:next w:val="Normal"/>
    <w:autoRedefine/>
    <w:uiPriority w:val="39"/>
    <w:semiHidden/>
    <w:unhideWhenUsed/>
    <w:rsid w:val="00BF4753"/>
    <w:pPr>
      <w:spacing w:after="120"/>
      <w:ind w:left="1680" w:firstLine="567"/>
    </w:pPr>
    <w:rPr>
      <w:rFonts w:eastAsia="Times New Roman" w:cs="Times New Roman"/>
      <w:sz w:val="24"/>
      <w:szCs w:val="20"/>
    </w:rPr>
  </w:style>
  <w:style w:type="paragraph" w:styleId="PlainText">
    <w:name w:val="Plain Text"/>
    <w:basedOn w:val="Normal"/>
    <w:link w:val="PlainTextChar"/>
    <w:uiPriority w:val="99"/>
    <w:unhideWhenUsed/>
    <w:rsid w:val="00BF4753"/>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BF4753"/>
    <w:rPr>
      <w:rFonts w:ascii="Consolas" w:eastAsia="Calibri" w:hAnsi="Consolas" w:cs="Times New Roman"/>
      <w:sz w:val="21"/>
      <w:szCs w:val="21"/>
    </w:rPr>
  </w:style>
  <w:style w:type="paragraph" w:customStyle="1" w:styleId="Text1">
    <w:name w:val="Text 1"/>
    <w:basedOn w:val="Normal"/>
    <w:uiPriority w:val="99"/>
    <w:rsid w:val="00BF4753"/>
    <w:pPr>
      <w:spacing w:before="120" w:after="120"/>
      <w:ind w:left="850"/>
    </w:pPr>
    <w:rPr>
      <w:rFonts w:eastAsia="Times New Roman" w:cs="Times New Roman"/>
      <w:sz w:val="24"/>
      <w:szCs w:val="20"/>
      <w:lang w:val="en-GB" w:eastAsia="de-DE"/>
    </w:rPr>
  </w:style>
  <w:style w:type="character" w:styleId="FollowedHyperlink">
    <w:name w:val="FollowedHyperlink"/>
    <w:uiPriority w:val="99"/>
    <w:semiHidden/>
    <w:unhideWhenUsed/>
    <w:rsid w:val="00BF4753"/>
    <w:rPr>
      <w:color w:val="800080"/>
      <w:u w:val="single"/>
    </w:rPr>
  </w:style>
  <w:style w:type="paragraph" w:styleId="Revision">
    <w:name w:val="Revision"/>
    <w:hidden/>
    <w:uiPriority w:val="99"/>
    <w:semiHidden/>
    <w:rsid w:val="00BF4753"/>
    <w:pPr>
      <w:spacing w:after="0" w:line="240" w:lineRule="auto"/>
    </w:pPr>
    <w:rPr>
      <w:rFonts w:ascii="Times New Roman" w:eastAsia="Times New Roman" w:hAnsi="Times New Roman" w:cs="Times New Roman"/>
      <w:sz w:val="24"/>
      <w:szCs w:val="20"/>
    </w:rPr>
  </w:style>
  <w:style w:type="paragraph" w:customStyle="1" w:styleId="tv2131">
    <w:name w:val="tv2131"/>
    <w:basedOn w:val="Normal"/>
    <w:rsid w:val="00BF4753"/>
    <w:pPr>
      <w:spacing w:before="240" w:line="360" w:lineRule="auto"/>
      <w:ind w:firstLine="300"/>
    </w:pPr>
    <w:rPr>
      <w:rFonts w:ascii="Verdana" w:eastAsia="Times New Roman" w:hAnsi="Verdana" w:cs="Times New Roman"/>
      <w:sz w:val="18"/>
      <w:szCs w:val="18"/>
      <w:lang w:eastAsia="lv-LV"/>
    </w:rPr>
  </w:style>
  <w:style w:type="paragraph" w:customStyle="1" w:styleId="CM1">
    <w:name w:val="CM1"/>
    <w:basedOn w:val="Default"/>
    <w:next w:val="Default"/>
    <w:uiPriority w:val="99"/>
    <w:rsid w:val="00BF4753"/>
    <w:rPr>
      <w:rFonts w:ascii="EUAlbertina" w:eastAsia="Calibri" w:hAnsi="EUAlbertina"/>
      <w:color w:val="auto"/>
      <w:lang w:val="en-GB" w:eastAsia="en-GB"/>
    </w:rPr>
  </w:style>
  <w:style w:type="character" w:customStyle="1" w:styleId="st1">
    <w:name w:val="st1"/>
    <w:basedOn w:val="DefaultParagraphFont"/>
    <w:rsid w:val="00BF4753"/>
  </w:style>
  <w:style w:type="paragraph" w:customStyle="1" w:styleId="mt-translation1">
    <w:name w:val="mt-translation1"/>
    <w:basedOn w:val="Normal"/>
    <w:rsid w:val="00BF4753"/>
    <w:rPr>
      <w:rFonts w:ascii="Segoe UI" w:eastAsia="Times New Roman" w:hAnsi="Segoe UI" w:cs="Segoe UI"/>
      <w:lang w:eastAsia="lv-LV"/>
    </w:rPr>
  </w:style>
  <w:style w:type="table" w:customStyle="1" w:styleId="ListTable3-Accent11">
    <w:name w:val="List Table 3 - Accent 11"/>
    <w:basedOn w:val="TableNormal"/>
    <w:uiPriority w:val="48"/>
    <w:rsid w:val="00BF4753"/>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GridTable2-Accent11">
    <w:name w:val="Grid Table 2 - Accent 11"/>
    <w:basedOn w:val="TableNormal"/>
    <w:uiPriority w:val="47"/>
    <w:rsid w:val="00BF4753"/>
    <w:pPr>
      <w:spacing w:after="0" w:line="240" w:lineRule="auto"/>
    </w:pPr>
    <w:rPr>
      <w:rFonts w:eastAsiaTheme="minorEastAsia"/>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1Light-Accent11">
    <w:name w:val="Grid Table 1 Light - Accent 11"/>
    <w:basedOn w:val="TableNormal"/>
    <w:uiPriority w:val="46"/>
    <w:rsid w:val="00BF4753"/>
    <w:pPr>
      <w:spacing w:after="0" w:line="240" w:lineRule="auto"/>
    </w:pPr>
    <w:rPr>
      <w:rFonts w:eastAsiaTheme="minorEastAsia"/>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BF4753"/>
    <w:pPr>
      <w:spacing w:after="0" w:line="240" w:lineRule="auto"/>
    </w:pPr>
    <w:rPr>
      <w:rFonts w:eastAsiaTheme="minorEastAsia"/>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GridTable1Light1">
    <w:name w:val="Grid Table 1 Light1"/>
    <w:basedOn w:val="TableNormal"/>
    <w:uiPriority w:val="46"/>
    <w:rsid w:val="00BF4753"/>
    <w:pPr>
      <w:spacing w:after="0" w:line="240" w:lineRule="auto"/>
    </w:pPr>
    <w:rPr>
      <w:rFonts w:eastAsiaTheme="minorEastAsia"/>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lainTable11">
    <w:name w:val="Plain Table 11"/>
    <w:basedOn w:val="TableNormal"/>
    <w:uiPriority w:val="41"/>
    <w:rsid w:val="00BF4753"/>
    <w:pPr>
      <w:spacing w:after="0" w:line="240" w:lineRule="auto"/>
    </w:pPr>
    <w:rPr>
      <w:rFonts w:eastAsiaTheme="minorEastAsi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BF4753"/>
    <w:pPr>
      <w:spacing w:after="0" w:line="240" w:lineRule="auto"/>
    </w:pPr>
    <w:rPr>
      <w:rFonts w:eastAsiaTheme="minorEastAsi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Light1">
    <w:name w:val="Table Grid Light1"/>
    <w:basedOn w:val="TableNormal"/>
    <w:uiPriority w:val="40"/>
    <w:rsid w:val="00BF4753"/>
    <w:pPr>
      <w:spacing w:after="0" w:line="240" w:lineRule="auto"/>
    </w:pPr>
    <w:rPr>
      <w:rFonts w:eastAsiaTheme="minorEastAsi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TableNormal"/>
    <w:next w:val="TableGrid"/>
    <w:uiPriority w:val="59"/>
    <w:rsid w:val="00BF4753"/>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BF4753"/>
  </w:style>
  <w:style w:type="table" w:customStyle="1" w:styleId="TableGrid2">
    <w:name w:val="Table Grid2"/>
    <w:basedOn w:val="TableNormal"/>
    <w:next w:val="TableGrid"/>
    <w:uiPriority w:val="39"/>
    <w:rsid w:val="00BF4753"/>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BF4753"/>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11">
    <w:name w:val="Grid Table 6 Colorful - Accent 11"/>
    <w:basedOn w:val="TableNormal"/>
    <w:uiPriority w:val="51"/>
    <w:rsid w:val="00BF4753"/>
    <w:pPr>
      <w:spacing w:after="0" w:line="240" w:lineRule="auto"/>
    </w:pPr>
    <w:rPr>
      <w:rFonts w:eastAsiaTheme="minorEastAsia"/>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6Colorful-Accent51">
    <w:name w:val="Grid Table 6 Colorful - Accent 51"/>
    <w:basedOn w:val="TableNormal"/>
    <w:uiPriority w:val="51"/>
    <w:rsid w:val="00BF4753"/>
    <w:pPr>
      <w:spacing w:after="0" w:line="240" w:lineRule="auto"/>
    </w:pPr>
    <w:rPr>
      <w:rFonts w:eastAsiaTheme="minorEastAsia"/>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11">
    <w:name w:val="Grid Table 4 - Accent 11"/>
    <w:basedOn w:val="TableNormal"/>
    <w:uiPriority w:val="49"/>
    <w:rsid w:val="00BF4753"/>
    <w:pPr>
      <w:spacing w:after="0" w:line="240" w:lineRule="auto"/>
    </w:pPr>
    <w:rPr>
      <w:rFonts w:eastAsiaTheme="minorEastAsia"/>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hps">
    <w:name w:val="hps"/>
    <w:basedOn w:val="DefaultParagraphFont"/>
    <w:rsid w:val="00BF4753"/>
  </w:style>
  <w:style w:type="numbering" w:customStyle="1" w:styleId="NoList2">
    <w:name w:val="No List2"/>
    <w:next w:val="NoList"/>
    <w:uiPriority w:val="99"/>
    <w:semiHidden/>
    <w:unhideWhenUsed/>
    <w:rsid w:val="00BF4753"/>
  </w:style>
  <w:style w:type="character" w:customStyle="1" w:styleId="apple-converted-space">
    <w:name w:val="apple-converted-space"/>
    <w:basedOn w:val="DefaultParagraphFont"/>
    <w:rsid w:val="00BF4753"/>
  </w:style>
  <w:style w:type="numbering" w:customStyle="1" w:styleId="NoList3">
    <w:name w:val="No List3"/>
    <w:next w:val="NoList"/>
    <w:uiPriority w:val="99"/>
    <w:semiHidden/>
    <w:unhideWhenUsed/>
    <w:rsid w:val="00BF4753"/>
  </w:style>
  <w:style w:type="table" w:customStyle="1" w:styleId="TableGrid4">
    <w:name w:val="Table Grid4"/>
    <w:basedOn w:val="TableNormal"/>
    <w:next w:val="TableGrid"/>
    <w:uiPriority w:val="39"/>
    <w:rsid w:val="00BF4753"/>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BF4753"/>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13">
    <w:name w:val="Grid Table 6 Colorful - Accent 13"/>
    <w:basedOn w:val="TableNormal"/>
    <w:next w:val="GridTable6Colorful-Accent11"/>
    <w:uiPriority w:val="51"/>
    <w:rsid w:val="00BF4753"/>
    <w:pPr>
      <w:spacing w:after="0" w:line="240" w:lineRule="auto"/>
    </w:pPr>
    <w:rPr>
      <w:rFonts w:eastAsiaTheme="minorEastAsia"/>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6Colorful-Accent12">
    <w:name w:val="Grid Table 6 Colorful - Accent 12"/>
    <w:basedOn w:val="TableNormal"/>
    <w:next w:val="GridTable6Colorful-Accent11"/>
    <w:uiPriority w:val="51"/>
    <w:rsid w:val="00BF4753"/>
    <w:pPr>
      <w:spacing w:after="0" w:line="240" w:lineRule="auto"/>
    </w:pPr>
    <w:rPr>
      <w:rFonts w:eastAsiaTheme="minorEastAsia"/>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Style3">
    <w:name w:val="Style3"/>
    <w:basedOn w:val="Heading3"/>
    <w:link w:val="Style3Char"/>
    <w:qFormat/>
    <w:rsid w:val="00BF4753"/>
    <w:pPr>
      <w:numPr>
        <w:ilvl w:val="0"/>
        <w:numId w:val="0"/>
      </w:numPr>
      <w:jc w:val="center"/>
    </w:pPr>
    <w:rPr>
      <w:rFonts w:cs="Times New Roman"/>
      <w:szCs w:val="32"/>
    </w:rPr>
  </w:style>
  <w:style w:type="table" w:customStyle="1" w:styleId="GridTable4-Accent51">
    <w:name w:val="Grid Table 4 - Accent 51"/>
    <w:basedOn w:val="TableNormal"/>
    <w:uiPriority w:val="49"/>
    <w:rsid w:val="00BF475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Style3Char">
    <w:name w:val="Style3 Char"/>
    <w:basedOn w:val="Heading3Char"/>
    <w:link w:val="Style3"/>
    <w:rsid w:val="00BF4753"/>
    <w:rPr>
      <w:rFonts w:ascii="Times New Roman" w:eastAsiaTheme="majorEastAsia" w:hAnsi="Times New Roman" w:cs="Times New Roman"/>
      <w:b/>
      <w:bCs/>
      <w:color w:val="000000" w:themeColor="text1"/>
      <w:sz w:val="28"/>
      <w:szCs w:val="32"/>
    </w:rPr>
  </w:style>
  <w:style w:type="table" w:customStyle="1" w:styleId="ListTable3-Accent51">
    <w:name w:val="List Table 3 - Accent 51"/>
    <w:basedOn w:val="TableNormal"/>
    <w:uiPriority w:val="48"/>
    <w:rsid w:val="00BF4753"/>
    <w:pPr>
      <w:spacing w:after="0" w:line="240" w:lineRule="auto"/>
    </w:pPr>
    <w:rPr>
      <w:rFonts w:eastAsiaTheme="minorEastAsia"/>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TableGrid5">
    <w:name w:val="Table Grid5"/>
    <w:basedOn w:val="TableNormal"/>
    <w:next w:val="TableGrid"/>
    <w:uiPriority w:val="39"/>
    <w:rsid w:val="00BF4753"/>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
    <w:name w:val="Plain Table 31"/>
    <w:basedOn w:val="TableNormal"/>
    <w:uiPriority w:val="43"/>
    <w:rsid w:val="00BF4753"/>
    <w:pPr>
      <w:spacing w:after="0" w:line="240" w:lineRule="auto"/>
    </w:pPr>
    <w:rPr>
      <w:rFonts w:eastAsiaTheme="minorEastAsi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Char2">
    <w:name w:val="Char2"/>
    <w:aliases w:val="Char Char Char Char"/>
    <w:basedOn w:val="Normal"/>
    <w:next w:val="Normal"/>
    <w:link w:val="FootnoteReference"/>
    <w:uiPriority w:val="99"/>
    <w:rsid w:val="00BF4753"/>
    <w:pPr>
      <w:spacing w:line="240" w:lineRule="exact"/>
      <w:textAlignment w:val="baseline"/>
    </w:pPr>
    <w:rPr>
      <w:rFonts w:ascii="Garamond" w:eastAsiaTheme="minorHAnsi" w:hAnsi="Garamond"/>
      <w:sz w:val="20"/>
      <w:vertAlign w:val="superscript"/>
    </w:rPr>
  </w:style>
  <w:style w:type="character" w:styleId="HTMLCite">
    <w:name w:val="HTML Cite"/>
    <w:basedOn w:val="DefaultParagraphFont"/>
    <w:uiPriority w:val="99"/>
    <w:semiHidden/>
    <w:unhideWhenUsed/>
    <w:rsid w:val="00BF4753"/>
    <w:rPr>
      <w:i/>
      <w:iCs/>
    </w:rPr>
  </w:style>
  <w:style w:type="table" w:customStyle="1" w:styleId="ListTable1Light-Accent41">
    <w:name w:val="List Table 1 Light - Accent 41"/>
    <w:basedOn w:val="TableNormal"/>
    <w:uiPriority w:val="46"/>
    <w:rsid w:val="00BF4753"/>
    <w:pPr>
      <w:spacing w:after="0" w:line="240" w:lineRule="auto"/>
    </w:pPr>
    <w:rPr>
      <w:rFonts w:eastAsiaTheme="minorEastAsia"/>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6Colorful-Accent21">
    <w:name w:val="Grid Table 6 Colorful - Accent 21"/>
    <w:basedOn w:val="TableNormal"/>
    <w:uiPriority w:val="51"/>
    <w:rsid w:val="00BF4753"/>
    <w:pPr>
      <w:spacing w:after="0" w:line="240" w:lineRule="auto"/>
    </w:pPr>
    <w:rPr>
      <w:rFonts w:eastAsiaTheme="minorEastAsia"/>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6Colorful-Accent15">
    <w:name w:val="Grid Table 6 Colorful - Accent 15"/>
    <w:basedOn w:val="TableNormal"/>
    <w:next w:val="GridTable6Colorful-Accent11"/>
    <w:uiPriority w:val="51"/>
    <w:rsid w:val="00BF4753"/>
    <w:pPr>
      <w:spacing w:after="0" w:line="240" w:lineRule="auto"/>
    </w:pPr>
    <w:rPr>
      <w:rFonts w:eastAsiaTheme="minorEastAsia"/>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6Colorful-Accent14">
    <w:name w:val="Grid Table 6 Colorful - Accent 14"/>
    <w:basedOn w:val="TableNormal"/>
    <w:next w:val="GridTable6Colorful-Accent11"/>
    <w:uiPriority w:val="51"/>
    <w:rsid w:val="00BF4753"/>
    <w:pPr>
      <w:spacing w:after="0" w:line="240" w:lineRule="auto"/>
    </w:pPr>
    <w:rPr>
      <w:rFonts w:eastAsiaTheme="minorEastAsia"/>
      <w:color w:val="365F91"/>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GridTable6Colorful-Accent1">
    <w:name w:val="Grid Table 6 Colorful Accent 1"/>
    <w:basedOn w:val="TableNormal"/>
    <w:uiPriority w:val="51"/>
    <w:rsid w:val="00BF4753"/>
    <w:pPr>
      <w:spacing w:after="0" w:line="240" w:lineRule="auto"/>
    </w:pPr>
    <w:rPr>
      <w:rFonts w:eastAsiaTheme="minorEastAsia"/>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FootnoteCharacters">
    <w:name w:val="Footnote Characters"/>
    <w:rsid w:val="00BF4753"/>
    <w:rPr>
      <w:rFonts w:ascii="Garamond" w:hAnsi="Garamond"/>
      <w:sz w:val="20"/>
      <w:vertAlign w:val="superscript"/>
    </w:rPr>
  </w:style>
  <w:style w:type="table" w:customStyle="1" w:styleId="TableGrid6">
    <w:name w:val="Table Grid6"/>
    <w:basedOn w:val="TableNormal"/>
    <w:next w:val="TableGrid"/>
    <w:uiPriority w:val="39"/>
    <w:rsid w:val="00BF4753"/>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16">
    <w:name w:val="Grid Table 6 Colorful - Accent 16"/>
    <w:basedOn w:val="TableNormal"/>
    <w:next w:val="GridTable6Colorful-Accent1"/>
    <w:uiPriority w:val="51"/>
    <w:rsid w:val="00BF4753"/>
    <w:pPr>
      <w:spacing w:after="0" w:line="240" w:lineRule="auto"/>
    </w:pPr>
    <w:rPr>
      <w:rFonts w:eastAsiaTheme="minorEastAsia"/>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111">
    <w:name w:val="Grid Table 6 Colorful - Accent 111"/>
    <w:basedOn w:val="TableNormal"/>
    <w:uiPriority w:val="51"/>
    <w:rsid w:val="00BF4753"/>
    <w:pPr>
      <w:spacing w:after="0" w:line="240" w:lineRule="auto"/>
    </w:pPr>
    <w:rPr>
      <w:rFonts w:eastAsiaTheme="minorEastAsia"/>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
    <w:name w:val="Table Grid7"/>
    <w:basedOn w:val="TableNormal"/>
    <w:next w:val="TableGrid"/>
    <w:uiPriority w:val="39"/>
    <w:rsid w:val="00BF4753"/>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113">
    <w:name w:val="Grid Table 6 Colorful - Accent 113"/>
    <w:basedOn w:val="TableNormal"/>
    <w:uiPriority w:val="51"/>
    <w:rsid w:val="00BF4753"/>
    <w:pPr>
      <w:spacing w:after="0" w:line="240" w:lineRule="auto"/>
    </w:pPr>
    <w:rPr>
      <w:rFonts w:ascii="Calibri" w:eastAsia="Times New Roman" w:hAnsi="Calibri"/>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114">
    <w:name w:val="Grid Table 6 Colorful - Accent 114"/>
    <w:basedOn w:val="TableNormal"/>
    <w:uiPriority w:val="51"/>
    <w:rsid w:val="00BF4753"/>
    <w:pPr>
      <w:spacing w:after="0" w:line="240" w:lineRule="auto"/>
    </w:pPr>
    <w:rPr>
      <w:rFonts w:ascii="Calibri" w:eastAsia="Times New Roman" w:hAnsi="Calibri"/>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117">
    <w:name w:val="Grid Table 6 Colorful - Accent 117"/>
    <w:basedOn w:val="TableNormal"/>
    <w:uiPriority w:val="51"/>
    <w:rsid w:val="00BF4753"/>
    <w:pPr>
      <w:spacing w:after="0" w:line="240" w:lineRule="auto"/>
    </w:pPr>
    <w:rPr>
      <w:rFonts w:ascii="Calibri" w:eastAsia="Times New Roman" w:hAnsi="Calibri"/>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118">
    <w:name w:val="Grid Table 6 Colorful - Accent 118"/>
    <w:basedOn w:val="TableNormal"/>
    <w:uiPriority w:val="51"/>
    <w:rsid w:val="00BF4753"/>
    <w:pPr>
      <w:spacing w:after="0" w:line="240" w:lineRule="auto"/>
    </w:pPr>
    <w:rPr>
      <w:rFonts w:ascii="Calibri" w:eastAsia="Times New Roman" w:hAnsi="Calibri"/>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4">
    <w:name w:val="No List4"/>
    <w:next w:val="NoList"/>
    <w:uiPriority w:val="99"/>
    <w:semiHidden/>
    <w:unhideWhenUsed/>
    <w:rsid w:val="00BF4753"/>
  </w:style>
  <w:style w:type="table" w:customStyle="1" w:styleId="TableGrid8">
    <w:name w:val="Table Grid8"/>
    <w:basedOn w:val="TableNormal"/>
    <w:next w:val="TableGrid"/>
    <w:uiPriority w:val="39"/>
    <w:rsid w:val="00BF4753"/>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11">
    <w:name w:val="List Table 3 - Accent 111"/>
    <w:basedOn w:val="TableNormal"/>
    <w:uiPriority w:val="48"/>
    <w:rsid w:val="00BF4753"/>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GridTable2-Accent111">
    <w:name w:val="Grid Table 2 - Accent 111"/>
    <w:basedOn w:val="TableNormal"/>
    <w:uiPriority w:val="47"/>
    <w:rsid w:val="00BF4753"/>
    <w:pPr>
      <w:spacing w:after="0" w:line="240" w:lineRule="auto"/>
    </w:pPr>
    <w:rPr>
      <w:rFonts w:eastAsiaTheme="minorEastAsia"/>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1Light-Accent111">
    <w:name w:val="Grid Table 1 Light - Accent 111"/>
    <w:basedOn w:val="TableNormal"/>
    <w:uiPriority w:val="46"/>
    <w:rsid w:val="00BF4753"/>
    <w:pPr>
      <w:spacing w:after="0" w:line="240" w:lineRule="auto"/>
    </w:pPr>
    <w:rPr>
      <w:rFonts w:eastAsiaTheme="minorEastAsia"/>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1Light-Accent511">
    <w:name w:val="Grid Table 1 Light - Accent 511"/>
    <w:basedOn w:val="TableNormal"/>
    <w:uiPriority w:val="46"/>
    <w:rsid w:val="00BF4753"/>
    <w:pPr>
      <w:spacing w:after="0" w:line="240" w:lineRule="auto"/>
    </w:pPr>
    <w:rPr>
      <w:rFonts w:eastAsiaTheme="minorEastAsia"/>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GridTable1Light11">
    <w:name w:val="Grid Table 1 Light11"/>
    <w:basedOn w:val="TableNormal"/>
    <w:uiPriority w:val="46"/>
    <w:rsid w:val="00BF4753"/>
    <w:pPr>
      <w:spacing w:after="0" w:line="240" w:lineRule="auto"/>
    </w:pPr>
    <w:rPr>
      <w:rFonts w:eastAsiaTheme="minorEastAsia"/>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lainTable111">
    <w:name w:val="Plain Table 111"/>
    <w:basedOn w:val="TableNormal"/>
    <w:uiPriority w:val="41"/>
    <w:rsid w:val="00BF4753"/>
    <w:pPr>
      <w:spacing w:after="0" w:line="240" w:lineRule="auto"/>
    </w:pPr>
    <w:rPr>
      <w:rFonts w:eastAsiaTheme="minorEastAsi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1">
    <w:name w:val="Plain Table 211"/>
    <w:basedOn w:val="TableNormal"/>
    <w:uiPriority w:val="42"/>
    <w:rsid w:val="00BF4753"/>
    <w:pPr>
      <w:spacing w:after="0" w:line="240" w:lineRule="auto"/>
    </w:pPr>
    <w:rPr>
      <w:rFonts w:eastAsiaTheme="minorEastAsi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Light11">
    <w:name w:val="Table Grid Light11"/>
    <w:basedOn w:val="TableNormal"/>
    <w:uiPriority w:val="40"/>
    <w:rsid w:val="00BF4753"/>
    <w:pPr>
      <w:spacing w:after="0" w:line="240" w:lineRule="auto"/>
    </w:pPr>
    <w:rPr>
      <w:rFonts w:eastAsiaTheme="minorEastAsi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2">
    <w:name w:val="Table Grid12"/>
    <w:basedOn w:val="TableNormal"/>
    <w:next w:val="TableGrid"/>
    <w:uiPriority w:val="39"/>
    <w:rsid w:val="00BF4753"/>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BF4753"/>
  </w:style>
  <w:style w:type="table" w:customStyle="1" w:styleId="TableGrid21">
    <w:name w:val="Table Grid21"/>
    <w:basedOn w:val="TableNormal"/>
    <w:next w:val="TableGrid"/>
    <w:uiPriority w:val="39"/>
    <w:rsid w:val="00BF4753"/>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BF4753"/>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112">
    <w:name w:val="Grid Table 6 Colorful - Accent 112"/>
    <w:basedOn w:val="TableNormal"/>
    <w:uiPriority w:val="51"/>
    <w:rsid w:val="00BF4753"/>
    <w:pPr>
      <w:spacing w:after="0" w:line="240" w:lineRule="auto"/>
    </w:pPr>
    <w:rPr>
      <w:rFonts w:eastAsiaTheme="minorEastAsia"/>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6Colorful-Accent511">
    <w:name w:val="Grid Table 6 Colorful - Accent 511"/>
    <w:basedOn w:val="TableNormal"/>
    <w:uiPriority w:val="51"/>
    <w:rsid w:val="00BF4753"/>
    <w:pPr>
      <w:spacing w:after="0" w:line="240" w:lineRule="auto"/>
    </w:pPr>
    <w:rPr>
      <w:rFonts w:eastAsiaTheme="minorEastAsia"/>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111">
    <w:name w:val="Grid Table 4 - Accent 111"/>
    <w:basedOn w:val="TableNormal"/>
    <w:uiPriority w:val="49"/>
    <w:rsid w:val="00BF4753"/>
    <w:pPr>
      <w:spacing w:after="0" w:line="240" w:lineRule="auto"/>
    </w:pPr>
    <w:rPr>
      <w:rFonts w:eastAsiaTheme="minorEastAsia"/>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numbering" w:customStyle="1" w:styleId="NoList21">
    <w:name w:val="No List21"/>
    <w:next w:val="NoList"/>
    <w:uiPriority w:val="99"/>
    <w:semiHidden/>
    <w:unhideWhenUsed/>
    <w:rsid w:val="00BF4753"/>
  </w:style>
  <w:style w:type="table" w:customStyle="1" w:styleId="GridTable6Colorful-Accent115">
    <w:name w:val="Grid Table 6 Colorful - Accent 115"/>
    <w:basedOn w:val="TableNormal"/>
    <w:uiPriority w:val="51"/>
    <w:rsid w:val="00BF4753"/>
    <w:pPr>
      <w:spacing w:after="0" w:line="240" w:lineRule="auto"/>
    </w:pPr>
    <w:rPr>
      <w:rFonts w:eastAsiaTheme="minorEastAsia"/>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numbering" w:customStyle="1" w:styleId="NoList31">
    <w:name w:val="No List31"/>
    <w:next w:val="NoList"/>
    <w:uiPriority w:val="99"/>
    <w:semiHidden/>
    <w:unhideWhenUsed/>
    <w:rsid w:val="00BF4753"/>
  </w:style>
  <w:style w:type="table" w:customStyle="1" w:styleId="TableGrid41">
    <w:name w:val="Table Grid41"/>
    <w:basedOn w:val="TableNormal"/>
    <w:next w:val="TableGrid"/>
    <w:uiPriority w:val="39"/>
    <w:rsid w:val="00BF4753"/>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BF4753"/>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131">
    <w:name w:val="Grid Table 6 Colorful - Accent 131"/>
    <w:basedOn w:val="TableNormal"/>
    <w:next w:val="GridTable6Colorful-Accent11"/>
    <w:uiPriority w:val="51"/>
    <w:rsid w:val="00BF4753"/>
    <w:pPr>
      <w:spacing w:after="0" w:line="240" w:lineRule="auto"/>
    </w:pPr>
    <w:rPr>
      <w:rFonts w:eastAsiaTheme="minorEastAsia"/>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6Colorful-Accent121">
    <w:name w:val="Grid Table 6 Colorful - Accent 121"/>
    <w:basedOn w:val="TableNormal"/>
    <w:next w:val="GridTable6Colorful-Accent11"/>
    <w:uiPriority w:val="51"/>
    <w:rsid w:val="00BF4753"/>
    <w:pPr>
      <w:spacing w:after="0" w:line="240" w:lineRule="auto"/>
    </w:pPr>
    <w:rPr>
      <w:rFonts w:eastAsiaTheme="minorEastAsia"/>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511">
    <w:name w:val="Grid Table 4 - Accent 511"/>
    <w:basedOn w:val="TableNormal"/>
    <w:uiPriority w:val="49"/>
    <w:rsid w:val="00BF475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3-Accent511">
    <w:name w:val="List Table 3 - Accent 511"/>
    <w:basedOn w:val="TableNormal"/>
    <w:uiPriority w:val="48"/>
    <w:rsid w:val="00BF4753"/>
    <w:pPr>
      <w:spacing w:after="0" w:line="240" w:lineRule="auto"/>
    </w:pPr>
    <w:rPr>
      <w:rFonts w:eastAsiaTheme="minorEastAsia"/>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TableGrid51">
    <w:name w:val="Table Grid51"/>
    <w:basedOn w:val="TableNormal"/>
    <w:next w:val="TableGrid"/>
    <w:uiPriority w:val="39"/>
    <w:rsid w:val="00BF4753"/>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1">
    <w:name w:val="Plain Table 311"/>
    <w:basedOn w:val="TableNormal"/>
    <w:uiPriority w:val="43"/>
    <w:rsid w:val="00BF4753"/>
    <w:pPr>
      <w:spacing w:after="0" w:line="240" w:lineRule="auto"/>
    </w:pPr>
    <w:rPr>
      <w:rFonts w:eastAsiaTheme="minorEastAsi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ListTable1Light-Accent411">
    <w:name w:val="List Table 1 Light - Accent 411"/>
    <w:basedOn w:val="TableNormal"/>
    <w:uiPriority w:val="46"/>
    <w:rsid w:val="00BF4753"/>
    <w:pPr>
      <w:spacing w:after="0" w:line="240" w:lineRule="auto"/>
    </w:pPr>
    <w:rPr>
      <w:rFonts w:eastAsiaTheme="minorEastAsia"/>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6Colorful-Accent211">
    <w:name w:val="Grid Table 6 Colorful - Accent 211"/>
    <w:basedOn w:val="TableNormal"/>
    <w:uiPriority w:val="51"/>
    <w:rsid w:val="00BF4753"/>
    <w:pPr>
      <w:spacing w:after="0" w:line="240" w:lineRule="auto"/>
    </w:pPr>
    <w:rPr>
      <w:rFonts w:eastAsiaTheme="minorEastAsia"/>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6Colorful-Accent151">
    <w:name w:val="Grid Table 6 Colorful - Accent 151"/>
    <w:basedOn w:val="TableNormal"/>
    <w:next w:val="GridTable6Colorful-Accent11"/>
    <w:uiPriority w:val="51"/>
    <w:rsid w:val="00BF4753"/>
    <w:pPr>
      <w:spacing w:after="0" w:line="240" w:lineRule="auto"/>
    </w:pPr>
    <w:rPr>
      <w:rFonts w:eastAsiaTheme="minorEastAsia"/>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6Colorful-Accent141">
    <w:name w:val="Grid Table 6 Colorful - Accent 141"/>
    <w:basedOn w:val="TableNormal"/>
    <w:next w:val="GridTable6Colorful-Accent11"/>
    <w:uiPriority w:val="51"/>
    <w:rsid w:val="00BF4753"/>
    <w:pPr>
      <w:spacing w:after="0" w:line="240" w:lineRule="auto"/>
    </w:pPr>
    <w:rPr>
      <w:rFonts w:eastAsiaTheme="minorEastAsia"/>
      <w:color w:val="365F91"/>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6Colorful-Accent17">
    <w:name w:val="Grid Table 6 Colorful - Accent 17"/>
    <w:basedOn w:val="TableNormal"/>
    <w:next w:val="GridTable6Colorful-Accent1"/>
    <w:uiPriority w:val="51"/>
    <w:rsid w:val="00BF4753"/>
    <w:pPr>
      <w:spacing w:after="0" w:line="240" w:lineRule="auto"/>
    </w:pPr>
    <w:rPr>
      <w:rFonts w:eastAsiaTheme="minorEastAsia"/>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EndnoteText">
    <w:name w:val="endnote text"/>
    <w:basedOn w:val="Normal"/>
    <w:link w:val="EndnoteTextChar"/>
    <w:uiPriority w:val="99"/>
    <w:semiHidden/>
    <w:unhideWhenUsed/>
    <w:rsid w:val="00BF4753"/>
    <w:rPr>
      <w:sz w:val="20"/>
      <w:szCs w:val="20"/>
    </w:rPr>
  </w:style>
  <w:style w:type="character" w:customStyle="1" w:styleId="EndnoteTextChar">
    <w:name w:val="Endnote Text Char"/>
    <w:basedOn w:val="DefaultParagraphFont"/>
    <w:link w:val="EndnoteText"/>
    <w:uiPriority w:val="99"/>
    <w:semiHidden/>
    <w:rsid w:val="00BF4753"/>
    <w:rPr>
      <w:rFonts w:ascii="Times New Roman" w:eastAsiaTheme="minorEastAsia" w:hAnsi="Times New Roman"/>
      <w:sz w:val="20"/>
      <w:szCs w:val="20"/>
    </w:rPr>
  </w:style>
  <w:style w:type="character" w:styleId="EndnoteReference">
    <w:name w:val="endnote reference"/>
    <w:basedOn w:val="DefaultParagraphFont"/>
    <w:uiPriority w:val="99"/>
    <w:semiHidden/>
    <w:unhideWhenUsed/>
    <w:rsid w:val="00BF4753"/>
    <w:rPr>
      <w:vertAlign w:val="superscript"/>
    </w:rPr>
  </w:style>
  <w:style w:type="numbering" w:customStyle="1" w:styleId="NoList5">
    <w:name w:val="No List5"/>
    <w:next w:val="NoList"/>
    <w:uiPriority w:val="99"/>
    <w:semiHidden/>
    <w:unhideWhenUsed/>
    <w:rsid w:val="00BF4753"/>
  </w:style>
  <w:style w:type="table" w:customStyle="1" w:styleId="GridTable6Colorful1">
    <w:name w:val="Grid Table 6 Colorful1"/>
    <w:basedOn w:val="TableNormal"/>
    <w:next w:val="GridTable6Colorful"/>
    <w:uiPriority w:val="51"/>
    <w:rsid w:val="00BF4753"/>
    <w:pPr>
      <w:spacing w:after="0" w:line="240" w:lineRule="auto"/>
    </w:pPr>
    <w:rPr>
      <w:rFonts w:ascii="Times New Roman" w:eastAsia="Calibri" w:hAnsi="Times New Roman"/>
      <w:color w:val="000000"/>
      <w:sz w:val="24"/>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3-Accent12">
    <w:name w:val="List Table 3 - Accent 12"/>
    <w:basedOn w:val="TableNormal"/>
    <w:next w:val="ListTable3-Accent1"/>
    <w:uiPriority w:val="48"/>
    <w:rsid w:val="00BF4753"/>
    <w:pPr>
      <w:spacing w:after="0" w:line="240" w:lineRule="auto"/>
    </w:pPr>
    <w:rPr>
      <w:rFonts w:eastAsiaTheme="minorEastAsia"/>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GridTable2-Accent12">
    <w:name w:val="Grid Table 2 - Accent 12"/>
    <w:basedOn w:val="TableNormal"/>
    <w:next w:val="GridTable2-Accent1"/>
    <w:uiPriority w:val="47"/>
    <w:rsid w:val="00BF4753"/>
    <w:pPr>
      <w:spacing w:after="0" w:line="240" w:lineRule="auto"/>
    </w:pPr>
    <w:rPr>
      <w:rFonts w:eastAsiaTheme="minorEastAsia"/>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1Light-Accent12">
    <w:name w:val="Grid Table 1 Light - Accent 12"/>
    <w:basedOn w:val="TableNormal"/>
    <w:next w:val="GridTable1Light-Accent1"/>
    <w:uiPriority w:val="46"/>
    <w:rsid w:val="00BF4753"/>
    <w:pPr>
      <w:spacing w:after="0" w:line="240" w:lineRule="auto"/>
    </w:pPr>
    <w:rPr>
      <w:rFonts w:eastAsiaTheme="minorEastAsia"/>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52">
    <w:name w:val="Grid Table 1 Light - Accent 52"/>
    <w:basedOn w:val="TableNormal"/>
    <w:next w:val="GridTable1Light-Accent5"/>
    <w:uiPriority w:val="46"/>
    <w:rsid w:val="00BF4753"/>
    <w:pPr>
      <w:spacing w:after="0" w:line="240" w:lineRule="auto"/>
    </w:pPr>
    <w:rPr>
      <w:rFonts w:eastAsiaTheme="minorEastAsia"/>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2">
    <w:name w:val="Grid Table 1 Light2"/>
    <w:basedOn w:val="TableNormal"/>
    <w:next w:val="GridTable1Light"/>
    <w:uiPriority w:val="46"/>
    <w:rsid w:val="00BF4753"/>
    <w:pPr>
      <w:spacing w:after="0" w:line="240" w:lineRule="auto"/>
    </w:pPr>
    <w:rPr>
      <w:rFonts w:eastAsiaTheme="minorEastAsia"/>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12">
    <w:name w:val="Plain Table 12"/>
    <w:basedOn w:val="TableNormal"/>
    <w:next w:val="PlainTable1"/>
    <w:uiPriority w:val="41"/>
    <w:rsid w:val="00BF4753"/>
    <w:pPr>
      <w:spacing w:after="0" w:line="240" w:lineRule="auto"/>
    </w:pPr>
    <w:rPr>
      <w:rFonts w:eastAsiaTheme="minorEastAsia"/>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2">
    <w:name w:val="Plain Table 22"/>
    <w:basedOn w:val="TableNormal"/>
    <w:next w:val="PlainTable2"/>
    <w:uiPriority w:val="42"/>
    <w:rsid w:val="00BF4753"/>
    <w:pPr>
      <w:spacing w:after="0" w:line="240" w:lineRule="auto"/>
    </w:pPr>
    <w:rPr>
      <w:rFonts w:eastAsiaTheme="minorEastAsia"/>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2">
    <w:name w:val="Table Grid Light2"/>
    <w:basedOn w:val="TableNormal"/>
    <w:next w:val="TableGridLight"/>
    <w:uiPriority w:val="40"/>
    <w:rsid w:val="00BF4753"/>
    <w:pPr>
      <w:spacing w:after="0" w:line="240" w:lineRule="auto"/>
    </w:pPr>
    <w:rPr>
      <w:rFonts w:eastAsiaTheme="minorEastAsi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
    <w:name w:val="No List12"/>
    <w:next w:val="NoList"/>
    <w:uiPriority w:val="99"/>
    <w:semiHidden/>
    <w:unhideWhenUsed/>
    <w:rsid w:val="00BF4753"/>
  </w:style>
  <w:style w:type="table" w:customStyle="1" w:styleId="GridTable6Colorful-Accent52">
    <w:name w:val="Grid Table 6 Colorful - Accent 52"/>
    <w:basedOn w:val="TableNormal"/>
    <w:next w:val="GridTable6Colorful-Accent5"/>
    <w:uiPriority w:val="51"/>
    <w:rsid w:val="00BF4753"/>
    <w:pPr>
      <w:spacing w:after="0" w:line="240" w:lineRule="auto"/>
    </w:pPr>
    <w:rPr>
      <w:rFonts w:eastAsiaTheme="minorEastAsia"/>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2">
    <w:name w:val="Grid Table 4 - Accent 12"/>
    <w:basedOn w:val="TableNormal"/>
    <w:next w:val="GridTable4-Accent1"/>
    <w:uiPriority w:val="49"/>
    <w:rsid w:val="00BF4753"/>
    <w:pPr>
      <w:spacing w:after="0" w:line="240" w:lineRule="auto"/>
    </w:pPr>
    <w:rPr>
      <w:rFonts w:eastAsiaTheme="minorEastAsi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22">
    <w:name w:val="No List22"/>
    <w:next w:val="NoList"/>
    <w:uiPriority w:val="99"/>
    <w:semiHidden/>
    <w:unhideWhenUsed/>
    <w:rsid w:val="00BF4753"/>
  </w:style>
  <w:style w:type="numbering" w:customStyle="1" w:styleId="NoList32">
    <w:name w:val="No List32"/>
    <w:next w:val="NoList"/>
    <w:uiPriority w:val="99"/>
    <w:semiHidden/>
    <w:unhideWhenUsed/>
    <w:rsid w:val="00BF4753"/>
  </w:style>
  <w:style w:type="table" w:customStyle="1" w:styleId="GridTable4-Accent52">
    <w:name w:val="Grid Table 4 - Accent 52"/>
    <w:basedOn w:val="TableNormal"/>
    <w:next w:val="GridTable4-Accent5"/>
    <w:uiPriority w:val="49"/>
    <w:rsid w:val="00BF4753"/>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3-Accent52">
    <w:name w:val="List Table 3 - Accent 52"/>
    <w:basedOn w:val="TableNormal"/>
    <w:next w:val="ListTable3-Accent5"/>
    <w:uiPriority w:val="48"/>
    <w:rsid w:val="00BF4753"/>
    <w:pPr>
      <w:spacing w:after="0" w:line="240" w:lineRule="auto"/>
    </w:pPr>
    <w:rPr>
      <w:rFonts w:eastAsiaTheme="minorEastAsia"/>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PlainTable32">
    <w:name w:val="Plain Table 32"/>
    <w:basedOn w:val="TableNormal"/>
    <w:next w:val="PlainTable3"/>
    <w:uiPriority w:val="43"/>
    <w:rsid w:val="00BF4753"/>
    <w:pPr>
      <w:spacing w:after="0" w:line="240" w:lineRule="auto"/>
    </w:pPr>
    <w:rPr>
      <w:rFonts w:eastAsiaTheme="minorEastAsia"/>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ListTable1Light-Accent42">
    <w:name w:val="List Table 1 Light - Accent 42"/>
    <w:basedOn w:val="TableNormal"/>
    <w:next w:val="ListTable1Light-Accent4"/>
    <w:uiPriority w:val="46"/>
    <w:rsid w:val="00BF4753"/>
    <w:pPr>
      <w:spacing w:after="0" w:line="240" w:lineRule="auto"/>
    </w:pPr>
    <w:rPr>
      <w:rFonts w:eastAsiaTheme="minorEastAsia"/>
    </w:rPr>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6Colorful-Accent22">
    <w:name w:val="Grid Table 6 Colorful - Accent 22"/>
    <w:basedOn w:val="TableNormal"/>
    <w:next w:val="GridTable6Colorful-Accent2"/>
    <w:uiPriority w:val="51"/>
    <w:rsid w:val="00BF4753"/>
    <w:pPr>
      <w:spacing w:after="0" w:line="240" w:lineRule="auto"/>
    </w:pPr>
    <w:rPr>
      <w:rFonts w:eastAsiaTheme="minorEastAsia"/>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eGrid18">
    <w:name w:val="Table Grid18"/>
    <w:basedOn w:val="TableNormal"/>
    <w:next w:val="TableGrid"/>
    <w:uiPriority w:val="59"/>
    <w:rsid w:val="00BF4753"/>
    <w:pPr>
      <w:spacing w:after="0" w:line="240" w:lineRule="auto"/>
    </w:pPr>
    <w:rPr>
      <w:rFonts w:ascii="Times New Roman" w:eastAsia="Calibri" w:hAnsi="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
    <w:name w:val="Grid Table 6 Colorful"/>
    <w:basedOn w:val="TableNormal"/>
    <w:uiPriority w:val="51"/>
    <w:rsid w:val="00BF4753"/>
    <w:pPr>
      <w:spacing w:after="0" w:line="240" w:lineRule="auto"/>
    </w:pPr>
    <w:rPr>
      <w:rFonts w:eastAsiaTheme="minorEastAsia"/>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BF4753"/>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GridTable2-Accent1">
    <w:name w:val="Grid Table 2 Accent 1"/>
    <w:basedOn w:val="TableNormal"/>
    <w:uiPriority w:val="47"/>
    <w:rsid w:val="00BF4753"/>
    <w:pPr>
      <w:spacing w:after="0" w:line="240" w:lineRule="auto"/>
    </w:pPr>
    <w:rPr>
      <w:rFonts w:eastAsiaTheme="minorEastAsia"/>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1Light-Accent1">
    <w:name w:val="Grid Table 1 Light Accent 1"/>
    <w:basedOn w:val="TableNormal"/>
    <w:uiPriority w:val="46"/>
    <w:rsid w:val="00BF4753"/>
    <w:pPr>
      <w:spacing w:after="0" w:line="240" w:lineRule="auto"/>
    </w:pPr>
    <w:rPr>
      <w:rFonts w:eastAsiaTheme="minorEastAsia"/>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F4753"/>
    <w:pPr>
      <w:spacing w:after="0" w:line="240" w:lineRule="auto"/>
    </w:pPr>
    <w:rPr>
      <w:rFonts w:eastAsiaTheme="minorEastAsia"/>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BF4753"/>
    <w:pPr>
      <w:spacing w:after="0" w:line="240" w:lineRule="auto"/>
    </w:pPr>
    <w:rPr>
      <w:rFonts w:eastAsiaTheme="minorEastAsia"/>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1">
    <w:name w:val="Plain Table 1"/>
    <w:basedOn w:val="TableNormal"/>
    <w:uiPriority w:val="41"/>
    <w:rsid w:val="00BF4753"/>
    <w:pPr>
      <w:spacing w:after="0" w:line="240" w:lineRule="auto"/>
    </w:pPr>
    <w:rPr>
      <w:rFonts w:eastAsiaTheme="minorEastAsi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F4753"/>
    <w:pPr>
      <w:spacing w:after="0" w:line="240" w:lineRule="auto"/>
    </w:pPr>
    <w:rPr>
      <w:rFonts w:eastAsiaTheme="minorEastAsi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BF4753"/>
    <w:pPr>
      <w:spacing w:after="0" w:line="240" w:lineRule="auto"/>
    </w:pPr>
    <w:rPr>
      <w:rFonts w:eastAsiaTheme="minorEastAsi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6Colorful-Accent5">
    <w:name w:val="Grid Table 6 Colorful Accent 5"/>
    <w:basedOn w:val="TableNormal"/>
    <w:uiPriority w:val="51"/>
    <w:rsid w:val="00BF4753"/>
    <w:pPr>
      <w:spacing w:after="0" w:line="240" w:lineRule="auto"/>
    </w:pPr>
    <w:rPr>
      <w:rFonts w:eastAsiaTheme="minorEastAsia"/>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1">
    <w:name w:val="Grid Table 4 Accent 1"/>
    <w:basedOn w:val="TableNormal"/>
    <w:uiPriority w:val="49"/>
    <w:rsid w:val="00BF4753"/>
    <w:pPr>
      <w:spacing w:after="0" w:line="240" w:lineRule="auto"/>
    </w:pPr>
    <w:rPr>
      <w:rFonts w:eastAsiaTheme="minorEastAsia"/>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5">
    <w:name w:val="Grid Table 4 Accent 5"/>
    <w:basedOn w:val="TableNormal"/>
    <w:uiPriority w:val="49"/>
    <w:rsid w:val="00BF4753"/>
    <w:pPr>
      <w:spacing w:after="0" w:line="240" w:lineRule="auto"/>
    </w:pPr>
    <w:rPr>
      <w:rFonts w:eastAsiaTheme="minorEastAsia"/>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3-Accent5">
    <w:name w:val="List Table 3 Accent 5"/>
    <w:basedOn w:val="TableNormal"/>
    <w:uiPriority w:val="48"/>
    <w:rsid w:val="00BF4753"/>
    <w:pPr>
      <w:spacing w:after="0" w:line="240" w:lineRule="auto"/>
    </w:pPr>
    <w:rPr>
      <w:rFonts w:eastAsiaTheme="minorEastAsia"/>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PlainTable3">
    <w:name w:val="Plain Table 3"/>
    <w:basedOn w:val="TableNormal"/>
    <w:uiPriority w:val="43"/>
    <w:rsid w:val="00BF4753"/>
    <w:pPr>
      <w:spacing w:after="0" w:line="240" w:lineRule="auto"/>
    </w:pPr>
    <w:rPr>
      <w:rFonts w:eastAsiaTheme="minorEastAsi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ListTable1Light-Accent4">
    <w:name w:val="List Table 1 Light Accent 4"/>
    <w:basedOn w:val="TableNormal"/>
    <w:uiPriority w:val="46"/>
    <w:rsid w:val="00BF4753"/>
    <w:pPr>
      <w:spacing w:after="0" w:line="240" w:lineRule="auto"/>
    </w:pPr>
    <w:rPr>
      <w:rFonts w:eastAsiaTheme="minorEastAsia"/>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2">
    <w:name w:val="Grid Table 6 Colorful Accent 2"/>
    <w:basedOn w:val="TableNormal"/>
    <w:uiPriority w:val="51"/>
    <w:rsid w:val="00BF4753"/>
    <w:pPr>
      <w:spacing w:after="0" w:line="240" w:lineRule="auto"/>
    </w:pPr>
    <w:rPr>
      <w:rFonts w:eastAsiaTheme="minorEastAsia"/>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6Colorful-Accent18">
    <w:name w:val="Grid Table 6 Colorful - Accent 18"/>
    <w:basedOn w:val="TableNormal"/>
    <w:next w:val="GridTable6Colorful-Accent1"/>
    <w:uiPriority w:val="51"/>
    <w:rsid w:val="00BF4753"/>
    <w:pPr>
      <w:spacing w:after="0" w:line="240" w:lineRule="auto"/>
    </w:pPr>
    <w:rPr>
      <w:rFonts w:eastAsiaTheme="minorEastAsia"/>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Virsraksts">
    <w:name w:val="Virsraksts"/>
    <w:basedOn w:val="Heading1"/>
    <w:link w:val="VirsrakstsChar"/>
    <w:qFormat/>
    <w:rsid w:val="00BF4753"/>
    <w:pPr>
      <w:ind w:left="361" w:hanging="360"/>
    </w:pPr>
  </w:style>
  <w:style w:type="character" w:customStyle="1" w:styleId="VirsrakstsChar">
    <w:name w:val="Virsraksts Char"/>
    <w:basedOn w:val="Heading1Char"/>
    <w:link w:val="Virsraksts"/>
    <w:rsid w:val="00BF4753"/>
    <w:rPr>
      <w:rFonts w:ascii="Times New Roman" w:eastAsia="Times New Roman" w:hAnsi="Times New Roman" w:cs="Times New Roman"/>
      <w:b/>
      <w:bCs/>
      <w:smallCaps/>
      <w:color w:val="000000"/>
      <w:sz w:val="36"/>
      <w:szCs w:val="36"/>
      <w:lang w:eastAsia="lv-LV"/>
      <w14:textOutline w14:w="9525" w14:cap="rnd" w14:cmpd="sng" w14:algn="ctr">
        <w14:noFill/>
        <w14:prstDash w14:val="solid"/>
        <w14:bevel/>
      </w14:textOutline>
    </w:rPr>
  </w:style>
  <w:style w:type="numbering" w:styleId="111111">
    <w:name w:val="Outline List 2"/>
    <w:basedOn w:val="NoList"/>
    <w:uiPriority w:val="99"/>
    <w:semiHidden/>
    <w:unhideWhenUsed/>
    <w:rsid w:val="00BF4753"/>
    <w:pPr>
      <w:numPr>
        <w:numId w:val="9"/>
      </w:numPr>
    </w:pPr>
  </w:style>
  <w:style w:type="table" w:customStyle="1" w:styleId="TableGrid13">
    <w:name w:val="Table Grid13"/>
    <w:basedOn w:val="TableNormal"/>
    <w:next w:val="TableGrid"/>
    <w:uiPriority w:val="39"/>
    <w:rsid w:val="00BF4753"/>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BF4753"/>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BF4753"/>
  </w:style>
  <w:style w:type="table" w:customStyle="1" w:styleId="GridTable6Colorful2">
    <w:name w:val="Grid Table 6 Colorful2"/>
    <w:basedOn w:val="TableNormal"/>
    <w:next w:val="GridTable6Colorful"/>
    <w:uiPriority w:val="51"/>
    <w:rsid w:val="00BF4753"/>
    <w:pPr>
      <w:spacing w:after="0" w:line="240" w:lineRule="auto"/>
    </w:pPr>
    <w:rPr>
      <w:rFonts w:ascii="Times New Roman" w:eastAsia="Calibri" w:hAnsi="Times New Roman"/>
      <w:color w:val="000000"/>
      <w:sz w:val="24"/>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NoList13">
    <w:name w:val="No List13"/>
    <w:next w:val="NoList"/>
    <w:uiPriority w:val="99"/>
    <w:semiHidden/>
    <w:unhideWhenUsed/>
    <w:rsid w:val="00BF4753"/>
  </w:style>
  <w:style w:type="numbering" w:customStyle="1" w:styleId="NoList23">
    <w:name w:val="No List23"/>
    <w:next w:val="NoList"/>
    <w:uiPriority w:val="99"/>
    <w:semiHidden/>
    <w:unhideWhenUsed/>
    <w:rsid w:val="00BF4753"/>
  </w:style>
  <w:style w:type="numbering" w:customStyle="1" w:styleId="NoList33">
    <w:name w:val="No List33"/>
    <w:next w:val="NoList"/>
    <w:uiPriority w:val="99"/>
    <w:semiHidden/>
    <w:unhideWhenUsed/>
    <w:rsid w:val="00BF4753"/>
  </w:style>
  <w:style w:type="table" w:customStyle="1" w:styleId="GridTable4-Accent53">
    <w:name w:val="Grid Table 4 - Accent 53"/>
    <w:basedOn w:val="TableNormal"/>
    <w:next w:val="GridTable4-Accent5"/>
    <w:uiPriority w:val="49"/>
    <w:rsid w:val="00BF4753"/>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1131">
    <w:name w:val="Grid Table 6 Colorful - Accent 1131"/>
    <w:basedOn w:val="TableNormal"/>
    <w:uiPriority w:val="51"/>
    <w:rsid w:val="00BF4753"/>
    <w:pPr>
      <w:spacing w:after="0" w:line="240" w:lineRule="auto"/>
    </w:pPr>
    <w:rPr>
      <w:rFonts w:ascii="Calibri" w:eastAsia="Times New Roman" w:hAnsi="Calibri"/>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1141">
    <w:name w:val="Grid Table 6 Colorful - Accent 1141"/>
    <w:basedOn w:val="TableNormal"/>
    <w:uiPriority w:val="51"/>
    <w:rsid w:val="00BF4753"/>
    <w:pPr>
      <w:spacing w:after="0" w:line="240" w:lineRule="auto"/>
    </w:pPr>
    <w:rPr>
      <w:rFonts w:ascii="Calibri" w:eastAsia="Times New Roman" w:hAnsi="Calibri"/>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1171">
    <w:name w:val="Grid Table 6 Colorful - Accent 1171"/>
    <w:basedOn w:val="TableNormal"/>
    <w:uiPriority w:val="51"/>
    <w:rsid w:val="00BF4753"/>
    <w:pPr>
      <w:spacing w:after="0" w:line="240" w:lineRule="auto"/>
    </w:pPr>
    <w:rPr>
      <w:rFonts w:ascii="Calibri" w:eastAsia="Times New Roman" w:hAnsi="Calibri"/>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1181">
    <w:name w:val="Grid Table 6 Colorful - Accent 1181"/>
    <w:basedOn w:val="TableNormal"/>
    <w:uiPriority w:val="51"/>
    <w:rsid w:val="00BF4753"/>
    <w:pPr>
      <w:spacing w:after="0" w:line="240" w:lineRule="auto"/>
    </w:pPr>
    <w:rPr>
      <w:rFonts w:ascii="Calibri" w:eastAsia="Times New Roman" w:hAnsi="Calibri"/>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512">
    <w:name w:val="Grid Table 6 Colorful - Accent 512"/>
    <w:basedOn w:val="TableNormal"/>
    <w:uiPriority w:val="51"/>
    <w:rsid w:val="00BF4753"/>
    <w:pPr>
      <w:spacing w:after="0" w:line="240" w:lineRule="auto"/>
    </w:pPr>
    <w:rPr>
      <w:rFonts w:eastAsiaTheme="minorEastAsia"/>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6Colorful-Accent1172">
    <w:name w:val="Grid Table 6 Colorful - Accent 1172"/>
    <w:basedOn w:val="TableNormal"/>
    <w:uiPriority w:val="51"/>
    <w:rsid w:val="00BF4753"/>
    <w:pPr>
      <w:spacing w:after="0" w:line="240" w:lineRule="auto"/>
    </w:pPr>
    <w:rPr>
      <w:rFonts w:ascii="Calibri" w:eastAsia="Times New Roman" w:hAnsi="Calibri"/>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1182">
    <w:name w:val="Grid Table 6 Colorful - Accent 1182"/>
    <w:basedOn w:val="TableNormal"/>
    <w:uiPriority w:val="51"/>
    <w:rsid w:val="00BF4753"/>
    <w:pPr>
      <w:spacing w:after="0" w:line="240" w:lineRule="auto"/>
    </w:pPr>
    <w:rPr>
      <w:rFonts w:ascii="Calibri" w:eastAsia="Times New Roman" w:hAnsi="Calibri"/>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1173">
    <w:name w:val="Grid Table 6 Colorful - Accent 1173"/>
    <w:basedOn w:val="TableNormal"/>
    <w:uiPriority w:val="51"/>
    <w:rsid w:val="00BF4753"/>
    <w:pPr>
      <w:spacing w:after="0" w:line="240" w:lineRule="auto"/>
    </w:pPr>
    <w:rPr>
      <w:rFonts w:ascii="Calibri" w:eastAsia="Times New Roman" w:hAnsi="Calibri"/>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1183">
    <w:name w:val="Grid Table 6 Colorful - Accent 1183"/>
    <w:basedOn w:val="TableNormal"/>
    <w:uiPriority w:val="51"/>
    <w:rsid w:val="00BF4753"/>
    <w:pPr>
      <w:spacing w:after="0" w:line="240" w:lineRule="auto"/>
    </w:pPr>
    <w:rPr>
      <w:rFonts w:ascii="Calibri" w:eastAsia="Times New Roman" w:hAnsi="Calibri"/>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11831">
    <w:name w:val="Grid Table 6 Colorful - Accent 11831"/>
    <w:basedOn w:val="TableNormal"/>
    <w:uiPriority w:val="51"/>
    <w:rsid w:val="00667944"/>
    <w:pPr>
      <w:spacing w:after="0" w:line="240" w:lineRule="auto"/>
    </w:pPr>
    <w:rPr>
      <w:rFonts w:ascii="Calibri" w:eastAsia="Times New Roman" w:hAnsi="Calibri"/>
      <w:color w:val="2E74B5"/>
    </w:rPr>
    <w:tblPr>
      <w:tblStyleRowBandSize w:val="1"/>
      <w:tblStyleColBandSize w:val="1"/>
      <w:tblInd w:w="0" w:type="nil"/>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7">
    <w:name w:val="No List7"/>
    <w:next w:val="NoList"/>
    <w:uiPriority w:val="99"/>
    <w:semiHidden/>
    <w:unhideWhenUsed/>
    <w:rsid w:val="00B6438E"/>
  </w:style>
  <w:style w:type="table" w:customStyle="1" w:styleId="GridTable6Colorful3">
    <w:name w:val="Grid Table 6 Colorful3"/>
    <w:basedOn w:val="TableNormal"/>
    <w:next w:val="GridTable6Colorful"/>
    <w:uiPriority w:val="51"/>
    <w:rsid w:val="00B6438E"/>
    <w:pPr>
      <w:spacing w:after="0" w:line="240" w:lineRule="auto"/>
    </w:pPr>
    <w:rPr>
      <w:rFonts w:ascii="Times New Roman" w:hAnsi="Times New Roman"/>
      <w:color w:val="000000" w:themeColor="text1"/>
      <w:sz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NoList14">
    <w:name w:val="No List14"/>
    <w:next w:val="NoList"/>
    <w:uiPriority w:val="99"/>
    <w:semiHidden/>
    <w:unhideWhenUsed/>
    <w:rsid w:val="00B6438E"/>
  </w:style>
  <w:style w:type="numbering" w:customStyle="1" w:styleId="NoList24">
    <w:name w:val="No List24"/>
    <w:next w:val="NoList"/>
    <w:uiPriority w:val="99"/>
    <w:semiHidden/>
    <w:unhideWhenUsed/>
    <w:rsid w:val="00B6438E"/>
  </w:style>
  <w:style w:type="numbering" w:customStyle="1" w:styleId="NoList34">
    <w:name w:val="No List34"/>
    <w:next w:val="NoList"/>
    <w:uiPriority w:val="99"/>
    <w:semiHidden/>
    <w:unhideWhenUsed/>
    <w:rsid w:val="00B6438E"/>
  </w:style>
  <w:style w:type="table" w:customStyle="1" w:styleId="GridTable4-Accent54">
    <w:name w:val="Grid Table 4 - Accent 54"/>
    <w:basedOn w:val="TableNormal"/>
    <w:next w:val="GridTable4-Accent5"/>
    <w:uiPriority w:val="49"/>
    <w:rsid w:val="00B6438E"/>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UnresolvedMention1">
    <w:name w:val="Unresolved Mention1"/>
    <w:basedOn w:val="DefaultParagraphFont"/>
    <w:uiPriority w:val="99"/>
    <w:semiHidden/>
    <w:unhideWhenUsed/>
    <w:rsid w:val="00787972"/>
    <w:rPr>
      <w:color w:val="605E5C"/>
      <w:shd w:val="clear" w:color="auto" w:fill="E1DFDD"/>
    </w:rPr>
  </w:style>
  <w:style w:type="table" w:customStyle="1" w:styleId="TableGrid112">
    <w:name w:val="Table Grid112"/>
    <w:basedOn w:val="TableNormal"/>
    <w:next w:val="TableGrid"/>
    <w:uiPriority w:val="39"/>
    <w:rsid w:val="00EB7321"/>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39"/>
    <w:rsid w:val="00EB7321"/>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39"/>
    <w:rsid w:val="00577A92"/>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uiPriority w:val="39"/>
    <w:rsid w:val="00577A92"/>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uiPriority w:val="39"/>
    <w:rsid w:val="00C0034E"/>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A12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1174">
    <w:name w:val="Grid Table 6 Colorful - Accent 1174"/>
    <w:basedOn w:val="TableNormal"/>
    <w:uiPriority w:val="51"/>
    <w:rsid w:val="000F4627"/>
    <w:pPr>
      <w:spacing w:after="0" w:line="240" w:lineRule="auto"/>
    </w:pPr>
    <w:rPr>
      <w:rFonts w:ascii="Calibri" w:eastAsia="Times New Roman" w:hAnsi="Calibri"/>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1184">
    <w:name w:val="Grid Table 6 Colorful - Accent 1184"/>
    <w:basedOn w:val="TableNormal"/>
    <w:uiPriority w:val="51"/>
    <w:rsid w:val="000F4627"/>
    <w:pPr>
      <w:spacing w:after="0" w:line="240" w:lineRule="auto"/>
    </w:pPr>
    <w:rPr>
      <w:rFonts w:ascii="Calibri" w:eastAsia="Times New Roman" w:hAnsi="Calibri"/>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513">
    <w:name w:val="Grid Table 6 Colorful - Accent 513"/>
    <w:basedOn w:val="TableNormal"/>
    <w:uiPriority w:val="51"/>
    <w:rsid w:val="000F4627"/>
    <w:pPr>
      <w:spacing w:after="0" w:line="240" w:lineRule="auto"/>
    </w:pPr>
    <w:rPr>
      <w:rFonts w:eastAsia="Times New Roman"/>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1175">
    <w:name w:val="Grid Table 6 Colorful - Accent 1175"/>
    <w:basedOn w:val="TableNormal"/>
    <w:uiPriority w:val="51"/>
    <w:rsid w:val="005346E4"/>
    <w:pPr>
      <w:spacing w:after="0" w:line="240" w:lineRule="auto"/>
    </w:pPr>
    <w:rPr>
      <w:rFonts w:ascii="Calibri" w:eastAsia="Times New Roman" w:hAnsi="Calibri"/>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1185">
    <w:name w:val="Grid Table 6 Colorful - Accent 1185"/>
    <w:basedOn w:val="TableNormal"/>
    <w:uiPriority w:val="51"/>
    <w:rsid w:val="005346E4"/>
    <w:pPr>
      <w:spacing w:after="0" w:line="240" w:lineRule="auto"/>
    </w:pPr>
    <w:rPr>
      <w:rFonts w:ascii="Calibri" w:eastAsia="Times New Roman" w:hAnsi="Calibri"/>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styleId="UnresolvedMention">
    <w:name w:val="Unresolved Mention"/>
    <w:basedOn w:val="DefaultParagraphFont"/>
    <w:uiPriority w:val="99"/>
    <w:semiHidden/>
    <w:unhideWhenUsed/>
    <w:rsid w:val="0031227F"/>
    <w:rPr>
      <w:color w:val="605E5C"/>
      <w:shd w:val="clear" w:color="auto" w:fill="E1DFDD"/>
    </w:rPr>
  </w:style>
  <w:style w:type="table" w:customStyle="1" w:styleId="TableGrid10">
    <w:name w:val="Table Grid10"/>
    <w:basedOn w:val="TableNormal"/>
    <w:next w:val="TableGrid"/>
    <w:uiPriority w:val="39"/>
    <w:rsid w:val="00312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19">
    <w:name w:val="Grid Table 6 Colorful - Accent 19"/>
    <w:basedOn w:val="TableNormal"/>
    <w:next w:val="GridTable6Colorful-Accent1"/>
    <w:uiPriority w:val="51"/>
    <w:rsid w:val="0031227F"/>
    <w:pPr>
      <w:spacing w:after="0" w:line="240" w:lineRule="auto"/>
    </w:pPr>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004426">
      <w:bodyDiv w:val="1"/>
      <w:marLeft w:val="0"/>
      <w:marRight w:val="0"/>
      <w:marTop w:val="0"/>
      <w:marBottom w:val="0"/>
      <w:divBdr>
        <w:top w:val="none" w:sz="0" w:space="0" w:color="auto"/>
        <w:left w:val="none" w:sz="0" w:space="0" w:color="auto"/>
        <w:bottom w:val="none" w:sz="0" w:space="0" w:color="auto"/>
        <w:right w:val="none" w:sz="0" w:space="0" w:color="auto"/>
      </w:divBdr>
    </w:div>
    <w:div w:id="475728990">
      <w:bodyDiv w:val="1"/>
      <w:marLeft w:val="0"/>
      <w:marRight w:val="0"/>
      <w:marTop w:val="0"/>
      <w:marBottom w:val="0"/>
      <w:divBdr>
        <w:top w:val="none" w:sz="0" w:space="0" w:color="auto"/>
        <w:left w:val="none" w:sz="0" w:space="0" w:color="auto"/>
        <w:bottom w:val="none" w:sz="0" w:space="0" w:color="auto"/>
        <w:right w:val="none" w:sz="0" w:space="0" w:color="auto"/>
      </w:divBdr>
    </w:div>
    <w:div w:id="523709094">
      <w:bodyDiv w:val="1"/>
      <w:marLeft w:val="0"/>
      <w:marRight w:val="0"/>
      <w:marTop w:val="0"/>
      <w:marBottom w:val="0"/>
      <w:divBdr>
        <w:top w:val="none" w:sz="0" w:space="0" w:color="auto"/>
        <w:left w:val="none" w:sz="0" w:space="0" w:color="auto"/>
        <w:bottom w:val="none" w:sz="0" w:space="0" w:color="auto"/>
        <w:right w:val="none" w:sz="0" w:space="0" w:color="auto"/>
      </w:divBdr>
    </w:div>
    <w:div w:id="877936054">
      <w:bodyDiv w:val="1"/>
      <w:marLeft w:val="0"/>
      <w:marRight w:val="0"/>
      <w:marTop w:val="0"/>
      <w:marBottom w:val="0"/>
      <w:divBdr>
        <w:top w:val="none" w:sz="0" w:space="0" w:color="auto"/>
        <w:left w:val="none" w:sz="0" w:space="0" w:color="auto"/>
        <w:bottom w:val="none" w:sz="0" w:space="0" w:color="auto"/>
        <w:right w:val="none" w:sz="0" w:space="0" w:color="auto"/>
      </w:divBdr>
    </w:div>
    <w:div w:id="1055619334">
      <w:bodyDiv w:val="1"/>
      <w:marLeft w:val="0"/>
      <w:marRight w:val="0"/>
      <w:marTop w:val="0"/>
      <w:marBottom w:val="0"/>
      <w:divBdr>
        <w:top w:val="none" w:sz="0" w:space="0" w:color="auto"/>
        <w:left w:val="none" w:sz="0" w:space="0" w:color="auto"/>
        <w:bottom w:val="none" w:sz="0" w:space="0" w:color="auto"/>
        <w:right w:val="none" w:sz="0" w:space="0" w:color="auto"/>
      </w:divBdr>
    </w:div>
    <w:div w:id="1158225318">
      <w:bodyDiv w:val="1"/>
      <w:marLeft w:val="0"/>
      <w:marRight w:val="0"/>
      <w:marTop w:val="0"/>
      <w:marBottom w:val="0"/>
      <w:divBdr>
        <w:top w:val="none" w:sz="0" w:space="0" w:color="auto"/>
        <w:left w:val="none" w:sz="0" w:space="0" w:color="auto"/>
        <w:bottom w:val="none" w:sz="0" w:space="0" w:color="auto"/>
        <w:right w:val="none" w:sz="0" w:space="0" w:color="auto"/>
      </w:divBdr>
    </w:div>
    <w:div w:id="1212882032">
      <w:bodyDiv w:val="1"/>
      <w:marLeft w:val="0"/>
      <w:marRight w:val="0"/>
      <w:marTop w:val="0"/>
      <w:marBottom w:val="0"/>
      <w:divBdr>
        <w:top w:val="none" w:sz="0" w:space="0" w:color="auto"/>
        <w:left w:val="none" w:sz="0" w:space="0" w:color="auto"/>
        <w:bottom w:val="none" w:sz="0" w:space="0" w:color="auto"/>
        <w:right w:val="none" w:sz="0" w:space="0" w:color="auto"/>
      </w:divBdr>
    </w:div>
    <w:div w:id="1397119414">
      <w:bodyDiv w:val="1"/>
      <w:marLeft w:val="0"/>
      <w:marRight w:val="0"/>
      <w:marTop w:val="0"/>
      <w:marBottom w:val="0"/>
      <w:divBdr>
        <w:top w:val="none" w:sz="0" w:space="0" w:color="auto"/>
        <w:left w:val="none" w:sz="0" w:space="0" w:color="auto"/>
        <w:bottom w:val="none" w:sz="0" w:space="0" w:color="auto"/>
        <w:right w:val="none" w:sz="0" w:space="0" w:color="auto"/>
      </w:divBdr>
    </w:div>
    <w:div w:id="1457144541">
      <w:bodyDiv w:val="1"/>
      <w:marLeft w:val="0"/>
      <w:marRight w:val="0"/>
      <w:marTop w:val="0"/>
      <w:marBottom w:val="0"/>
      <w:divBdr>
        <w:top w:val="none" w:sz="0" w:space="0" w:color="auto"/>
        <w:left w:val="none" w:sz="0" w:space="0" w:color="auto"/>
        <w:bottom w:val="none" w:sz="0" w:space="0" w:color="auto"/>
        <w:right w:val="none" w:sz="0" w:space="0" w:color="auto"/>
      </w:divBdr>
    </w:div>
    <w:div w:id="1541089014">
      <w:bodyDiv w:val="1"/>
      <w:marLeft w:val="0"/>
      <w:marRight w:val="0"/>
      <w:marTop w:val="0"/>
      <w:marBottom w:val="0"/>
      <w:divBdr>
        <w:top w:val="none" w:sz="0" w:space="0" w:color="auto"/>
        <w:left w:val="none" w:sz="0" w:space="0" w:color="auto"/>
        <w:bottom w:val="none" w:sz="0" w:space="0" w:color="auto"/>
        <w:right w:val="none" w:sz="0" w:space="0" w:color="auto"/>
      </w:divBdr>
    </w:div>
    <w:div w:id="1575159803">
      <w:bodyDiv w:val="1"/>
      <w:marLeft w:val="0"/>
      <w:marRight w:val="0"/>
      <w:marTop w:val="0"/>
      <w:marBottom w:val="0"/>
      <w:divBdr>
        <w:top w:val="none" w:sz="0" w:space="0" w:color="auto"/>
        <w:left w:val="none" w:sz="0" w:space="0" w:color="auto"/>
        <w:bottom w:val="none" w:sz="0" w:space="0" w:color="auto"/>
        <w:right w:val="none" w:sz="0" w:space="0" w:color="auto"/>
      </w:divBdr>
    </w:div>
    <w:div w:id="1636793480">
      <w:bodyDiv w:val="1"/>
      <w:marLeft w:val="0"/>
      <w:marRight w:val="0"/>
      <w:marTop w:val="0"/>
      <w:marBottom w:val="0"/>
      <w:divBdr>
        <w:top w:val="none" w:sz="0" w:space="0" w:color="auto"/>
        <w:left w:val="none" w:sz="0" w:space="0" w:color="auto"/>
        <w:bottom w:val="none" w:sz="0" w:space="0" w:color="auto"/>
        <w:right w:val="none" w:sz="0" w:space="0" w:color="auto"/>
      </w:divBdr>
    </w:div>
    <w:div w:id="1636985143">
      <w:bodyDiv w:val="1"/>
      <w:marLeft w:val="0"/>
      <w:marRight w:val="0"/>
      <w:marTop w:val="0"/>
      <w:marBottom w:val="0"/>
      <w:divBdr>
        <w:top w:val="none" w:sz="0" w:space="0" w:color="auto"/>
        <w:left w:val="none" w:sz="0" w:space="0" w:color="auto"/>
        <w:bottom w:val="none" w:sz="0" w:space="0" w:color="auto"/>
        <w:right w:val="none" w:sz="0" w:space="0" w:color="auto"/>
      </w:divBdr>
    </w:div>
    <w:div w:id="1815442042">
      <w:bodyDiv w:val="1"/>
      <w:marLeft w:val="0"/>
      <w:marRight w:val="0"/>
      <w:marTop w:val="0"/>
      <w:marBottom w:val="0"/>
      <w:divBdr>
        <w:top w:val="none" w:sz="0" w:space="0" w:color="auto"/>
        <w:left w:val="none" w:sz="0" w:space="0" w:color="auto"/>
        <w:bottom w:val="none" w:sz="0" w:space="0" w:color="auto"/>
        <w:right w:val="none" w:sz="0" w:space="0" w:color="auto"/>
      </w:divBdr>
    </w:div>
    <w:div w:id="1847789909">
      <w:bodyDiv w:val="1"/>
      <w:marLeft w:val="0"/>
      <w:marRight w:val="0"/>
      <w:marTop w:val="0"/>
      <w:marBottom w:val="0"/>
      <w:divBdr>
        <w:top w:val="none" w:sz="0" w:space="0" w:color="auto"/>
        <w:left w:val="none" w:sz="0" w:space="0" w:color="auto"/>
        <w:bottom w:val="none" w:sz="0" w:space="0" w:color="auto"/>
        <w:right w:val="none" w:sz="0" w:space="0" w:color="auto"/>
      </w:divBdr>
    </w:div>
    <w:div w:id="1901287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image" Target="media/image7.emf"/><Relationship Id="rId39" Type="http://schemas.openxmlformats.org/officeDocument/2006/relationships/image" Target="media/image12.emf"/><Relationship Id="rId21" Type="http://schemas.openxmlformats.org/officeDocument/2006/relationships/image" Target="media/image4.png"/><Relationship Id="rId34" Type="http://schemas.openxmlformats.org/officeDocument/2006/relationships/header" Target="header2.xml"/><Relationship Id="rId42" Type="http://schemas.openxmlformats.org/officeDocument/2006/relationships/image" Target="media/image15.emf"/><Relationship Id="rId47" Type="http://schemas.openxmlformats.org/officeDocument/2006/relationships/image" Target="media/image18.emf"/><Relationship Id="rId50" Type="http://schemas.openxmlformats.org/officeDocument/2006/relationships/footer" Target="footer7.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chart" Target="charts/chart6.xml"/><Relationship Id="rId29" Type="http://schemas.openxmlformats.org/officeDocument/2006/relationships/footer" Target="footer3.xml"/><Relationship Id="rId11" Type="http://schemas.openxmlformats.org/officeDocument/2006/relationships/chart" Target="charts/chart1.xml"/><Relationship Id="rId24" Type="http://schemas.openxmlformats.org/officeDocument/2006/relationships/image" Target="media/image5.emf"/><Relationship Id="rId32" Type="http://schemas.openxmlformats.org/officeDocument/2006/relationships/image" Target="media/image11.png"/><Relationship Id="rId37" Type="http://schemas.openxmlformats.org/officeDocument/2006/relationships/footer" Target="footer5.xml"/><Relationship Id="rId40" Type="http://schemas.openxmlformats.org/officeDocument/2006/relationships/image" Target="media/image13.emf"/><Relationship Id="rId45" Type="http://schemas.openxmlformats.org/officeDocument/2006/relationships/hyperlink" Target="https://likumi.lv/ta/id/87480-lauksaimniecibas-un-lauku-attistibas-likums" TargetMode="Externa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footer" Target="footer1.xml"/><Relationship Id="rId28" Type="http://schemas.openxmlformats.org/officeDocument/2006/relationships/footer" Target="footer2.xml"/><Relationship Id="rId36" Type="http://schemas.openxmlformats.org/officeDocument/2006/relationships/footer" Target="footer4.xml"/><Relationship Id="rId49" Type="http://schemas.openxmlformats.org/officeDocument/2006/relationships/hyperlink" Target="mailto:klinta.krauze@fm.gov.lv" TargetMode="External"/><Relationship Id="rId10" Type="http://schemas.openxmlformats.org/officeDocument/2006/relationships/image" Target="media/image2.jpeg"/><Relationship Id="rId19" Type="http://schemas.openxmlformats.org/officeDocument/2006/relationships/chart" Target="charts/chart9.xml"/><Relationship Id="rId31" Type="http://schemas.openxmlformats.org/officeDocument/2006/relationships/image" Target="media/image10.png"/><Relationship Id="rId44" Type="http://schemas.openxmlformats.org/officeDocument/2006/relationships/image" Target="media/image17.emf"/><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chart" Target="charts/chart4.xml"/><Relationship Id="rId22" Type="http://schemas.openxmlformats.org/officeDocument/2006/relationships/header" Target="header1.xml"/><Relationship Id="rId27" Type="http://schemas.openxmlformats.org/officeDocument/2006/relationships/image" Target="media/image8.emf"/><Relationship Id="rId30" Type="http://schemas.openxmlformats.org/officeDocument/2006/relationships/image" Target="media/image9.png"/><Relationship Id="rId35" Type="http://schemas.openxmlformats.org/officeDocument/2006/relationships/header" Target="header3.xml"/><Relationship Id="rId43" Type="http://schemas.openxmlformats.org/officeDocument/2006/relationships/image" Target="media/image16.emf"/><Relationship Id="rId48" Type="http://schemas.openxmlformats.org/officeDocument/2006/relationships/footer" Target="footer6.xml"/><Relationship Id="rId8" Type="http://schemas.openxmlformats.org/officeDocument/2006/relationships/endnotes" Target="endnotes.xml"/><Relationship Id="rId51"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image" Target="media/image6.emf"/><Relationship Id="rId33" Type="http://schemas.openxmlformats.org/officeDocument/2006/relationships/chart" Target="charts/chart10.xml"/><Relationship Id="rId38" Type="http://schemas.openxmlformats.org/officeDocument/2006/relationships/header" Target="header4.xml"/><Relationship Id="rId46" Type="http://schemas.openxmlformats.org/officeDocument/2006/relationships/hyperlink" Target="https://likumi.lv/ta/id/270323-attistibas-finansu-institucijas-likums" TargetMode="External"/><Relationship Id="rId20" Type="http://schemas.openxmlformats.org/officeDocument/2006/relationships/image" Target="media/image3.png"/><Relationship Id="rId41" Type="http://schemas.openxmlformats.org/officeDocument/2006/relationships/image" Target="media/image14.emf"/><Relationship Id="rId1" Type="http://schemas.openxmlformats.org/officeDocument/2006/relationships/customXml" Target="../customXml/item1.xml"/><Relationship Id="rId6"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2.xml.rels><?xml version="1.0" encoding="UTF-8" standalone="yes"?>
<Relationships xmlns="http://schemas.openxmlformats.org/package/2006/relationships"><Relationship Id="rId2" Type="http://schemas.openxmlformats.org/officeDocument/2006/relationships/oleObject" Target="file:///S:\TAND\_Prezentacija\2022.gads%20izlietojums.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fk\tand\TAND\_Prezentacija\Prezentacijas-DATA.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2.xml"/><Relationship Id="rId1" Type="http://schemas.microsoft.com/office/2011/relationships/chartStyle" Target="style2.xml"/><Relationship Id="rId5" Type="http://schemas.openxmlformats.org/officeDocument/2006/relationships/chartUserShapes" Target="../drawings/drawing1.xml"/><Relationship Id="rId4" Type="http://schemas.openxmlformats.org/officeDocument/2006/relationships/oleObject" Target="file:///\\fk\tand\TAND\Aleksejs%20Jur&#353;a\MAKRO\Infl&#257;cija\Preses%20rel&#299;zes\Grafiks_infl&#257;cija.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fk\tand\TAND\Aleksejs%20Jur&#353;a\MAKRO\Infl&#257;cija\Preses%20rel&#299;zes\Grafiks_infl&#257;cija.xlsx" TargetMode="Externa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2.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5.xml"/><Relationship Id="rId1" Type="http://schemas.microsoft.com/office/2011/relationships/chartStyle" Target="style5.xml"/><Relationship Id="rId5" Type="http://schemas.openxmlformats.org/officeDocument/2006/relationships/chartUserShapes" Target="../drawings/drawing2.xml"/><Relationship Id="rId4" Type="http://schemas.openxmlformats.org/officeDocument/2006/relationships/package" Target="../embeddings/Microsoft_Excel_Worksheet3.xlsx"/></Relationships>
</file>

<file path=word/charts/_rels/chart9.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Microsoft_Excel_Worksheet4.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8055746580005899E-2"/>
          <c:y val="1.934024920919937E-2"/>
          <c:w val="0.92399694203404281"/>
          <c:h val="0.80136830412666504"/>
        </c:manualLayout>
      </c:layout>
      <c:barChart>
        <c:barDir val="col"/>
        <c:grouping val="clustered"/>
        <c:varyColors val="0"/>
        <c:ser>
          <c:idx val="0"/>
          <c:order val="0"/>
          <c:spPr>
            <a:solidFill>
              <a:schemeClr val="accent1">
                <a:lumMod val="50000"/>
              </a:schemeClr>
            </a:solidFill>
            <a:ln>
              <a:noFill/>
            </a:ln>
            <a:effectLst/>
          </c:spPr>
          <c:invertIfNegative val="0"/>
          <c:dPt>
            <c:idx val="0"/>
            <c:invertIfNegative val="0"/>
            <c:bubble3D val="0"/>
            <c:spPr>
              <a:solidFill>
                <a:schemeClr val="accent1">
                  <a:lumMod val="50000"/>
                </a:schemeClr>
              </a:solidFill>
              <a:ln>
                <a:noFill/>
              </a:ln>
              <a:effectLst/>
            </c:spPr>
            <c:extLst>
              <c:ext xmlns:c16="http://schemas.microsoft.com/office/drawing/2014/chart" uri="{C3380CC4-5D6E-409C-BE32-E72D297353CC}">
                <c16:uniqueId val="{00000001-C890-4932-80C2-230828B04989}"/>
              </c:ext>
            </c:extLst>
          </c:dPt>
          <c:dPt>
            <c:idx val="1"/>
            <c:invertIfNegative val="0"/>
            <c:bubble3D val="0"/>
            <c:spPr>
              <a:solidFill>
                <a:schemeClr val="accent1">
                  <a:lumMod val="50000"/>
                </a:schemeClr>
              </a:solidFill>
              <a:ln>
                <a:noFill/>
              </a:ln>
              <a:effectLst/>
            </c:spPr>
            <c:extLst>
              <c:ext xmlns:c16="http://schemas.microsoft.com/office/drawing/2014/chart" uri="{C3380CC4-5D6E-409C-BE32-E72D297353CC}">
                <c16:uniqueId val="{00000003-C890-4932-80C2-230828B04989}"/>
              </c:ext>
            </c:extLst>
          </c:dPt>
          <c:dPt>
            <c:idx val="6"/>
            <c:invertIfNegative val="0"/>
            <c:bubble3D val="0"/>
            <c:spPr>
              <a:solidFill>
                <a:schemeClr val="accent1">
                  <a:lumMod val="50000"/>
                </a:schemeClr>
              </a:solidFill>
              <a:ln>
                <a:noFill/>
              </a:ln>
              <a:effectLst/>
            </c:spPr>
            <c:extLst>
              <c:ext xmlns:c16="http://schemas.microsoft.com/office/drawing/2014/chart" uri="{C3380CC4-5D6E-409C-BE32-E72D297353CC}">
                <c16:uniqueId val="{00000005-C890-4932-80C2-230828B04989}"/>
              </c:ext>
            </c:extLst>
          </c:dPt>
          <c:dPt>
            <c:idx val="8"/>
            <c:invertIfNegative val="0"/>
            <c:bubble3D val="0"/>
            <c:spPr>
              <a:solidFill>
                <a:schemeClr val="accent1">
                  <a:lumMod val="50000"/>
                </a:schemeClr>
              </a:solidFill>
              <a:ln>
                <a:noFill/>
              </a:ln>
              <a:effectLst/>
            </c:spPr>
            <c:extLst>
              <c:ext xmlns:c16="http://schemas.microsoft.com/office/drawing/2014/chart" uri="{C3380CC4-5D6E-409C-BE32-E72D297353CC}">
                <c16:uniqueId val="{00000007-C890-4932-80C2-230828B04989}"/>
              </c:ext>
            </c:extLst>
          </c:dPt>
          <c:dPt>
            <c:idx val="9"/>
            <c:invertIfNegative val="0"/>
            <c:bubble3D val="0"/>
            <c:spPr>
              <a:solidFill>
                <a:schemeClr val="accent1">
                  <a:lumMod val="50000"/>
                </a:schemeClr>
              </a:solidFill>
              <a:ln>
                <a:noFill/>
              </a:ln>
              <a:effectLst/>
            </c:spPr>
            <c:extLst>
              <c:ext xmlns:c16="http://schemas.microsoft.com/office/drawing/2014/chart" uri="{C3380CC4-5D6E-409C-BE32-E72D297353CC}">
                <c16:uniqueId val="{00000009-C890-4932-80C2-230828B04989}"/>
              </c:ext>
            </c:extLst>
          </c:dPt>
          <c:dPt>
            <c:idx val="10"/>
            <c:invertIfNegative val="0"/>
            <c:bubble3D val="0"/>
            <c:spPr>
              <a:solidFill>
                <a:schemeClr val="accent1">
                  <a:lumMod val="50000"/>
                </a:schemeClr>
              </a:solidFill>
              <a:ln>
                <a:noFill/>
              </a:ln>
              <a:effectLst/>
            </c:spPr>
            <c:extLst>
              <c:ext xmlns:c16="http://schemas.microsoft.com/office/drawing/2014/chart" uri="{C3380CC4-5D6E-409C-BE32-E72D297353CC}">
                <c16:uniqueId val="{0000000B-C890-4932-80C2-230828B04989}"/>
              </c:ext>
            </c:extLst>
          </c:dPt>
          <c:dPt>
            <c:idx val="11"/>
            <c:invertIfNegative val="0"/>
            <c:bubble3D val="0"/>
            <c:spPr>
              <a:solidFill>
                <a:schemeClr val="accent1">
                  <a:lumMod val="50000"/>
                </a:schemeClr>
              </a:solidFill>
              <a:ln>
                <a:noFill/>
              </a:ln>
              <a:effectLst/>
            </c:spPr>
            <c:extLst>
              <c:ext xmlns:c16="http://schemas.microsoft.com/office/drawing/2014/chart" uri="{C3380CC4-5D6E-409C-BE32-E72D297353CC}">
                <c16:uniqueId val="{0000000D-C890-4932-80C2-230828B04989}"/>
              </c:ext>
            </c:extLst>
          </c:dPt>
          <c:dPt>
            <c:idx val="12"/>
            <c:invertIfNegative val="0"/>
            <c:bubble3D val="0"/>
            <c:spPr>
              <a:solidFill>
                <a:schemeClr val="accent1">
                  <a:lumMod val="50000"/>
                </a:schemeClr>
              </a:solidFill>
              <a:ln>
                <a:noFill/>
              </a:ln>
              <a:effectLst/>
            </c:spPr>
            <c:extLst>
              <c:ext xmlns:c16="http://schemas.microsoft.com/office/drawing/2014/chart" uri="{C3380CC4-5D6E-409C-BE32-E72D297353CC}">
                <c16:uniqueId val="{0000000F-C890-4932-80C2-230828B04989}"/>
              </c:ext>
            </c:extLst>
          </c:dPt>
          <c:dPt>
            <c:idx val="13"/>
            <c:invertIfNegative val="0"/>
            <c:bubble3D val="0"/>
            <c:spPr>
              <a:solidFill>
                <a:schemeClr val="accent1">
                  <a:lumMod val="50000"/>
                </a:schemeClr>
              </a:solidFill>
              <a:ln>
                <a:noFill/>
              </a:ln>
              <a:effectLst/>
            </c:spPr>
            <c:extLst>
              <c:ext xmlns:c16="http://schemas.microsoft.com/office/drawing/2014/chart" uri="{C3380CC4-5D6E-409C-BE32-E72D297353CC}">
                <c16:uniqueId val="{00000011-C890-4932-80C2-230828B04989}"/>
              </c:ext>
            </c:extLst>
          </c:dPt>
          <c:dPt>
            <c:idx val="14"/>
            <c:invertIfNegative val="0"/>
            <c:bubble3D val="0"/>
            <c:spPr>
              <a:solidFill>
                <a:schemeClr val="accent1">
                  <a:lumMod val="50000"/>
                </a:schemeClr>
              </a:solidFill>
              <a:ln>
                <a:noFill/>
              </a:ln>
              <a:effectLst/>
            </c:spPr>
            <c:extLst>
              <c:ext xmlns:c16="http://schemas.microsoft.com/office/drawing/2014/chart" uri="{C3380CC4-5D6E-409C-BE32-E72D297353CC}">
                <c16:uniqueId val="{00000013-C890-4932-80C2-230828B04989}"/>
              </c:ext>
            </c:extLst>
          </c:dPt>
          <c:dPt>
            <c:idx val="15"/>
            <c:invertIfNegative val="0"/>
            <c:bubble3D val="0"/>
            <c:spPr>
              <a:solidFill>
                <a:schemeClr val="bg2">
                  <a:lumMod val="50000"/>
                </a:schemeClr>
              </a:solidFill>
              <a:ln>
                <a:noFill/>
              </a:ln>
              <a:effectLst/>
            </c:spPr>
            <c:extLst>
              <c:ext xmlns:c16="http://schemas.microsoft.com/office/drawing/2014/chart" uri="{C3380CC4-5D6E-409C-BE32-E72D297353CC}">
                <c16:uniqueId val="{00000015-C890-4932-80C2-230828B04989}"/>
              </c:ext>
            </c:extLst>
          </c:dPt>
          <c:dPt>
            <c:idx val="16"/>
            <c:invertIfNegative val="0"/>
            <c:bubble3D val="0"/>
            <c:spPr>
              <a:solidFill>
                <a:schemeClr val="bg2">
                  <a:lumMod val="50000"/>
                </a:schemeClr>
              </a:solidFill>
              <a:ln>
                <a:noFill/>
              </a:ln>
              <a:effectLst/>
            </c:spPr>
            <c:extLst>
              <c:ext xmlns:c16="http://schemas.microsoft.com/office/drawing/2014/chart" uri="{C3380CC4-5D6E-409C-BE32-E72D297353CC}">
                <c16:uniqueId val="{00000017-C890-4932-80C2-230828B04989}"/>
              </c:ext>
            </c:extLst>
          </c:dPt>
          <c:dPt>
            <c:idx val="20"/>
            <c:invertIfNegative val="0"/>
            <c:bubble3D val="0"/>
            <c:spPr>
              <a:solidFill>
                <a:schemeClr val="accent1">
                  <a:lumMod val="50000"/>
                </a:schemeClr>
              </a:solidFill>
              <a:ln>
                <a:noFill/>
              </a:ln>
              <a:effectLst/>
            </c:spPr>
            <c:extLst>
              <c:ext xmlns:c16="http://schemas.microsoft.com/office/drawing/2014/chart" uri="{C3380CC4-5D6E-409C-BE32-E72D297353CC}">
                <c16:uniqueId val="{00000019-C890-4932-80C2-230828B04989}"/>
              </c:ext>
            </c:extLst>
          </c:dPt>
          <c:dPt>
            <c:idx val="21"/>
            <c:invertIfNegative val="0"/>
            <c:bubble3D val="0"/>
            <c:spPr>
              <a:solidFill>
                <a:schemeClr val="accent1">
                  <a:lumMod val="50000"/>
                </a:schemeClr>
              </a:solidFill>
              <a:ln>
                <a:noFill/>
              </a:ln>
              <a:effectLst/>
            </c:spPr>
            <c:extLst>
              <c:ext xmlns:c16="http://schemas.microsoft.com/office/drawing/2014/chart" uri="{C3380CC4-5D6E-409C-BE32-E72D297353CC}">
                <c16:uniqueId val="{0000001B-C890-4932-80C2-230828B04989}"/>
              </c:ext>
            </c:extLst>
          </c:dPt>
          <c:dPt>
            <c:idx val="22"/>
            <c:invertIfNegative val="0"/>
            <c:bubble3D val="0"/>
            <c:spPr>
              <a:solidFill>
                <a:schemeClr val="accent1">
                  <a:lumMod val="50000"/>
                </a:schemeClr>
              </a:solidFill>
              <a:ln>
                <a:noFill/>
              </a:ln>
              <a:effectLst/>
            </c:spPr>
            <c:extLst>
              <c:ext xmlns:c16="http://schemas.microsoft.com/office/drawing/2014/chart" uri="{C3380CC4-5D6E-409C-BE32-E72D297353CC}">
                <c16:uniqueId val="{0000001D-C890-4932-80C2-230828B04989}"/>
              </c:ext>
            </c:extLst>
          </c:dPt>
          <c:dPt>
            <c:idx val="23"/>
            <c:invertIfNegative val="0"/>
            <c:bubble3D val="0"/>
            <c:spPr>
              <a:solidFill>
                <a:srgbClr val="FF4343"/>
              </a:solidFill>
              <a:ln>
                <a:noFill/>
              </a:ln>
              <a:effectLst/>
            </c:spPr>
            <c:extLst>
              <c:ext xmlns:c16="http://schemas.microsoft.com/office/drawing/2014/chart" uri="{C3380CC4-5D6E-409C-BE32-E72D297353CC}">
                <c16:uniqueId val="{0000001F-C890-4932-80C2-230828B04989}"/>
              </c:ext>
            </c:extLst>
          </c:dPt>
          <c:dPt>
            <c:idx val="24"/>
            <c:invertIfNegative val="0"/>
            <c:bubble3D val="0"/>
            <c:spPr>
              <a:solidFill>
                <a:schemeClr val="accent6">
                  <a:lumMod val="75000"/>
                </a:schemeClr>
              </a:solidFill>
              <a:ln>
                <a:noFill/>
              </a:ln>
              <a:effectLst/>
            </c:spPr>
            <c:extLst>
              <c:ext xmlns:c16="http://schemas.microsoft.com/office/drawing/2014/chart" uri="{C3380CC4-5D6E-409C-BE32-E72D297353CC}">
                <c16:uniqueId val="{00000021-C890-4932-80C2-230828B04989}"/>
              </c:ext>
            </c:extLst>
          </c:dPt>
          <c:dPt>
            <c:idx val="25"/>
            <c:invertIfNegative val="0"/>
            <c:bubble3D val="0"/>
            <c:spPr>
              <a:solidFill>
                <a:schemeClr val="accent1">
                  <a:lumMod val="50000"/>
                </a:schemeClr>
              </a:solidFill>
              <a:ln>
                <a:noFill/>
              </a:ln>
              <a:effectLst/>
            </c:spPr>
            <c:extLst>
              <c:ext xmlns:c16="http://schemas.microsoft.com/office/drawing/2014/chart" uri="{C3380CC4-5D6E-409C-BE32-E72D297353CC}">
                <c16:uniqueId val="{00000023-C890-4932-80C2-230828B04989}"/>
              </c:ext>
            </c:extLst>
          </c:dPt>
          <c:dPt>
            <c:idx val="27"/>
            <c:invertIfNegative val="0"/>
            <c:bubble3D val="0"/>
            <c:spPr>
              <a:solidFill>
                <a:srgbClr val="007FDE"/>
              </a:solidFill>
              <a:ln>
                <a:noFill/>
              </a:ln>
              <a:effectLst/>
            </c:spPr>
            <c:extLst>
              <c:ext xmlns:c16="http://schemas.microsoft.com/office/drawing/2014/chart" uri="{C3380CC4-5D6E-409C-BE32-E72D297353CC}">
                <c16:uniqueId val="{00000025-C890-4932-80C2-230828B04989}"/>
              </c:ext>
            </c:extLst>
          </c:dPt>
          <c:dLbls>
            <c:spPr>
              <a:noFill/>
              <a:ln>
                <a:noFill/>
              </a:ln>
              <a:effectLst/>
            </c:spPr>
            <c:txPr>
              <a:bodyPr rot="-54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'2022'!$N$13:$N$40</c:f>
              <c:strCache>
                <c:ptCount val="28"/>
                <c:pt idx="0">
                  <c:v>Īrija</c:v>
                </c:pt>
                <c:pt idx="1">
                  <c:v>Malta</c:v>
                </c:pt>
                <c:pt idx="2">
                  <c:v>Portugāle</c:v>
                </c:pt>
                <c:pt idx="3">
                  <c:v>Horvātija</c:v>
                </c:pt>
                <c:pt idx="4">
                  <c:v>Grieķija</c:v>
                </c:pt>
                <c:pt idx="5">
                  <c:v>Kipra</c:v>
                </c:pt>
                <c:pt idx="6">
                  <c:v>Spānija</c:v>
                </c:pt>
                <c:pt idx="7">
                  <c:v>Slovēnija</c:v>
                </c:pt>
                <c:pt idx="8">
                  <c:v>Austrija</c:v>
                </c:pt>
                <c:pt idx="9">
                  <c:v>Polija</c:v>
                </c:pt>
                <c:pt idx="10">
                  <c:v>Rumānija</c:v>
                </c:pt>
                <c:pt idx="11">
                  <c:v>Ungārija</c:v>
                </c:pt>
                <c:pt idx="12">
                  <c:v>Nīderlande</c:v>
                </c:pt>
                <c:pt idx="13">
                  <c:v>Itālija</c:v>
                </c:pt>
                <c:pt idx="14">
                  <c:v>Dānija</c:v>
                </c:pt>
                <c:pt idx="15">
                  <c:v>EU27</c:v>
                </c:pt>
                <c:pt idx="16">
                  <c:v>Eirozona</c:v>
                </c:pt>
                <c:pt idx="17">
                  <c:v>Bulgārija</c:v>
                </c:pt>
                <c:pt idx="18">
                  <c:v>Beļģija</c:v>
                </c:pt>
                <c:pt idx="19">
                  <c:v>Zviedrija</c:v>
                </c:pt>
                <c:pt idx="20">
                  <c:v>Francija</c:v>
                </c:pt>
                <c:pt idx="21">
                  <c:v>Čehija</c:v>
                </c:pt>
                <c:pt idx="22">
                  <c:v>Somija</c:v>
                </c:pt>
                <c:pt idx="23">
                  <c:v>Latvija</c:v>
                </c:pt>
                <c:pt idx="24">
                  <c:v>Lietuva</c:v>
                </c:pt>
                <c:pt idx="25">
                  <c:v>Vācija</c:v>
                </c:pt>
                <c:pt idx="26">
                  <c:v>Slovākija</c:v>
                </c:pt>
                <c:pt idx="27">
                  <c:v>Igaunija</c:v>
                </c:pt>
              </c:strCache>
            </c:strRef>
          </c:cat>
          <c:val>
            <c:numRef>
              <c:f>'2022'!$O$13:$O$40</c:f>
              <c:numCache>
                <c:formatCode>0.0</c:formatCode>
                <c:ptCount val="28"/>
                <c:pt idx="0">
                  <c:v>12</c:v>
                </c:pt>
                <c:pt idx="1">
                  <c:v>6.9</c:v>
                </c:pt>
                <c:pt idx="2">
                  <c:v>6.7</c:v>
                </c:pt>
                <c:pt idx="3">
                  <c:v>6.3</c:v>
                </c:pt>
                <c:pt idx="4">
                  <c:v>5.9</c:v>
                </c:pt>
                <c:pt idx="5">
                  <c:v>5.6</c:v>
                </c:pt>
                <c:pt idx="6">
                  <c:v>5.5</c:v>
                </c:pt>
                <c:pt idx="7">
                  <c:v>5.4</c:v>
                </c:pt>
                <c:pt idx="8">
                  <c:v>5</c:v>
                </c:pt>
                <c:pt idx="9">
                  <c:v>4.9000000000000004</c:v>
                </c:pt>
                <c:pt idx="10">
                  <c:v>4.8</c:v>
                </c:pt>
                <c:pt idx="11">
                  <c:v>4.5999999999999996</c:v>
                </c:pt>
                <c:pt idx="12">
                  <c:v>4.5</c:v>
                </c:pt>
                <c:pt idx="13">
                  <c:v>3.7</c:v>
                </c:pt>
                <c:pt idx="14">
                  <c:v>3.6</c:v>
                </c:pt>
                <c:pt idx="15">
                  <c:v>3.5</c:v>
                </c:pt>
                <c:pt idx="16">
                  <c:v>3.5</c:v>
                </c:pt>
                <c:pt idx="17">
                  <c:v>3.4</c:v>
                </c:pt>
                <c:pt idx="18">
                  <c:v>3.1</c:v>
                </c:pt>
                <c:pt idx="19">
                  <c:v>2.6</c:v>
                </c:pt>
                <c:pt idx="20">
                  <c:v>2.6</c:v>
                </c:pt>
                <c:pt idx="21">
                  <c:v>2.4</c:v>
                </c:pt>
                <c:pt idx="22">
                  <c:v>2</c:v>
                </c:pt>
                <c:pt idx="23">
                  <c:v>2</c:v>
                </c:pt>
                <c:pt idx="24">
                  <c:v>1.9</c:v>
                </c:pt>
                <c:pt idx="25">
                  <c:v>1.8</c:v>
                </c:pt>
                <c:pt idx="26">
                  <c:v>1.7</c:v>
                </c:pt>
                <c:pt idx="27">
                  <c:v>-1.3</c:v>
                </c:pt>
              </c:numCache>
            </c:numRef>
          </c:val>
          <c:extLst>
            <c:ext xmlns:c16="http://schemas.microsoft.com/office/drawing/2014/chart" uri="{C3380CC4-5D6E-409C-BE32-E72D297353CC}">
              <c16:uniqueId val="{00000026-C890-4932-80C2-230828B04989}"/>
            </c:ext>
          </c:extLst>
        </c:ser>
        <c:dLbls>
          <c:showLegendKey val="0"/>
          <c:showVal val="0"/>
          <c:showCatName val="0"/>
          <c:showSerName val="0"/>
          <c:showPercent val="0"/>
          <c:showBubbleSize val="0"/>
        </c:dLbls>
        <c:gapWidth val="42"/>
        <c:overlap val="100"/>
        <c:axId val="1112171224"/>
        <c:axId val="1112172208"/>
      </c:barChart>
      <c:catAx>
        <c:axId val="111217122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crossAx val="1112172208"/>
        <c:crosses val="autoZero"/>
        <c:auto val="1"/>
        <c:lblAlgn val="ctr"/>
        <c:lblOffset val="100"/>
        <c:noMultiLvlLbl val="0"/>
      </c:catAx>
      <c:valAx>
        <c:axId val="1112172208"/>
        <c:scaling>
          <c:orientation val="minMax"/>
          <c:max val="15"/>
          <c:min val="-4"/>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crossAx val="1112171224"/>
        <c:crosses val="autoZero"/>
        <c:crossBetween val="between"/>
        <c:majorUnit val="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0530135208050968E-2"/>
          <c:y val="6.4883560110084879E-2"/>
          <c:w val="0.66849251221032635"/>
          <c:h val="0.83706576183019776"/>
        </c:manualLayout>
      </c:layout>
      <c:barChart>
        <c:barDir val="col"/>
        <c:grouping val="clustered"/>
        <c:varyColors val="0"/>
        <c:ser>
          <c:idx val="0"/>
          <c:order val="0"/>
          <c:tx>
            <c:strRef>
              <c:f>Dati!$A$13</c:f>
              <c:strCache>
                <c:ptCount val="1"/>
                <c:pt idx="0">
                  <c:v>Patēriņa nodokļi</c:v>
                </c:pt>
              </c:strCache>
            </c:strRef>
          </c:tx>
          <c:spPr>
            <a:solidFill>
              <a:schemeClr val="accent1">
                <a:tint val="65000"/>
              </a:schemeClr>
            </a:solidFill>
            <a:ln>
              <a:noFill/>
            </a:ln>
            <a:effectLst/>
          </c:spPr>
          <c:invertIfNegative val="0"/>
          <c:cat>
            <c:numRef>
              <c:f>Dati!$C$1:$F$1</c:f>
              <c:numCache>
                <c:formatCode>General</c:formatCode>
                <c:ptCount val="4"/>
                <c:pt idx="0">
                  <c:v>2023</c:v>
                </c:pt>
                <c:pt idx="1">
                  <c:v>2024</c:v>
                </c:pt>
                <c:pt idx="2">
                  <c:v>2025</c:v>
                </c:pt>
                <c:pt idx="3">
                  <c:v>2026</c:v>
                </c:pt>
              </c:numCache>
              <c:extLst/>
            </c:numRef>
          </c:cat>
          <c:val>
            <c:numRef>
              <c:f>Dati!$C$13:$F$13</c:f>
              <c:numCache>
                <c:formatCode>0.0%</c:formatCode>
                <c:ptCount val="4"/>
                <c:pt idx="0">
                  <c:v>0.12178523114963802</c:v>
                </c:pt>
                <c:pt idx="1">
                  <c:v>0.12272283136150562</c:v>
                </c:pt>
                <c:pt idx="2">
                  <c:v>0.12235917225884253</c:v>
                </c:pt>
                <c:pt idx="3">
                  <c:v>0.12181012390169395</c:v>
                </c:pt>
              </c:numCache>
              <c:extLst/>
            </c:numRef>
          </c:val>
          <c:extLst>
            <c:ext xmlns:c16="http://schemas.microsoft.com/office/drawing/2014/chart" uri="{C3380CC4-5D6E-409C-BE32-E72D297353CC}">
              <c16:uniqueId val="{00000000-FC3F-4280-9CA2-E620D0A6B9AF}"/>
            </c:ext>
          </c:extLst>
        </c:ser>
        <c:ser>
          <c:idx val="1"/>
          <c:order val="1"/>
          <c:tx>
            <c:strRef>
              <c:f>Dati!$A$14</c:f>
              <c:strCache>
                <c:ptCount val="1"/>
                <c:pt idx="0">
                  <c:v>Darba nodokļi</c:v>
                </c:pt>
              </c:strCache>
            </c:strRef>
          </c:tx>
          <c:spPr>
            <a:solidFill>
              <a:schemeClr val="accent2">
                <a:lumMod val="60000"/>
                <a:lumOff val="40000"/>
              </a:schemeClr>
            </a:solidFill>
            <a:ln>
              <a:noFill/>
            </a:ln>
            <a:effectLst/>
          </c:spPr>
          <c:invertIfNegative val="0"/>
          <c:cat>
            <c:numRef>
              <c:f>Dati!$C$1:$F$1</c:f>
              <c:numCache>
                <c:formatCode>General</c:formatCode>
                <c:ptCount val="4"/>
                <c:pt idx="0">
                  <c:v>2023</c:v>
                </c:pt>
                <c:pt idx="1">
                  <c:v>2024</c:v>
                </c:pt>
                <c:pt idx="2">
                  <c:v>2025</c:v>
                </c:pt>
                <c:pt idx="3">
                  <c:v>2026</c:v>
                </c:pt>
              </c:numCache>
              <c:extLst/>
            </c:numRef>
          </c:cat>
          <c:val>
            <c:numRef>
              <c:f>Dati!$C$14:$F$14</c:f>
              <c:numCache>
                <c:formatCode>0.0%</c:formatCode>
                <c:ptCount val="4"/>
                <c:pt idx="0">
                  <c:v>0.14294377133192207</c:v>
                </c:pt>
                <c:pt idx="1">
                  <c:v>0.14632234730851626</c:v>
                </c:pt>
                <c:pt idx="2">
                  <c:v>0.14606654768793007</c:v>
                </c:pt>
                <c:pt idx="3">
                  <c:v>0.1448638458807131</c:v>
                </c:pt>
              </c:numCache>
              <c:extLst/>
            </c:numRef>
          </c:val>
          <c:extLst>
            <c:ext xmlns:c16="http://schemas.microsoft.com/office/drawing/2014/chart" uri="{C3380CC4-5D6E-409C-BE32-E72D297353CC}">
              <c16:uniqueId val="{00000001-FC3F-4280-9CA2-E620D0A6B9AF}"/>
            </c:ext>
          </c:extLst>
        </c:ser>
        <c:ser>
          <c:idx val="2"/>
          <c:order val="2"/>
          <c:tx>
            <c:strRef>
              <c:f>Dati!$A$15</c:f>
              <c:strCache>
                <c:ptCount val="1"/>
                <c:pt idx="0">
                  <c:v>Kapitāla nodokļi</c:v>
                </c:pt>
              </c:strCache>
            </c:strRef>
          </c:tx>
          <c:spPr>
            <a:solidFill>
              <a:schemeClr val="accent1">
                <a:shade val="65000"/>
              </a:schemeClr>
            </a:solidFill>
            <a:ln>
              <a:noFill/>
            </a:ln>
            <a:effectLst/>
          </c:spPr>
          <c:invertIfNegative val="0"/>
          <c:cat>
            <c:numRef>
              <c:f>Dati!$C$1:$F$1</c:f>
              <c:numCache>
                <c:formatCode>General</c:formatCode>
                <c:ptCount val="4"/>
                <c:pt idx="0">
                  <c:v>2023</c:v>
                </c:pt>
                <c:pt idx="1">
                  <c:v>2024</c:v>
                </c:pt>
                <c:pt idx="2">
                  <c:v>2025</c:v>
                </c:pt>
                <c:pt idx="3">
                  <c:v>2026</c:v>
                </c:pt>
              </c:numCache>
              <c:extLst/>
            </c:numRef>
          </c:cat>
          <c:val>
            <c:numRef>
              <c:f>Dati!$C$15:$F$15</c:f>
              <c:numCache>
                <c:formatCode>0.0%</c:formatCode>
                <c:ptCount val="4"/>
                <c:pt idx="0">
                  <c:v>2.4360947305525103E-2</c:v>
                </c:pt>
                <c:pt idx="1">
                  <c:v>2.3866979928822175E-2</c:v>
                </c:pt>
                <c:pt idx="2">
                  <c:v>2.3453903319501455E-2</c:v>
                </c:pt>
                <c:pt idx="3">
                  <c:v>2.354767782918701E-2</c:v>
                </c:pt>
              </c:numCache>
              <c:extLst/>
            </c:numRef>
          </c:val>
          <c:extLst>
            <c:ext xmlns:c16="http://schemas.microsoft.com/office/drawing/2014/chart" uri="{C3380CC4-5D6E-409C-BE32-E72D297353CC}">
              <c16:uniqueId val="{00000002-FC3F-4280-9CA2-E620D0A6B9AF}"/>
            </c:ext>
          </c:extLst>
        </c:ser>
        <c:dLbls>
          <c:showLegendKey val="0"/>
          <c:showVal val="0"/>
          <c:showCatName val="0"/>
          <c:showSerName val="0"/>
          <c:showPercent val="0"/>
          <c:showBubbleSize val="0"/>
        </c:dLbls>
        <c:gapWidth val="150"/>
        <c:axId val="269516320"/>
        <c:axId val="269516704"/>
      </c:barChart>
      <c:catAx>
        <c:axId val="269516320"/>
        <c:scaling>
          <c:orientation val="minMax"/>
        </c:scaling>
        <c:delete val="0"/>
        <c:axPos val="b"/>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itchFamily="18" charset="0"/>
                <a:ea typeface="+mn-ea"/>
                <a:cs typeface="Times New Roman" pitchFamily="18" charset="0"/>
              </a:defRPr>
            </a:pPr>
            <a:endParaRPr lang="lv-LV"/>
          </a:p>
        </c:txPr>
        <c:crossAx val="269516704"/>
        <c:crosses val="autoZero"/>
        <c:auto val="1"/>
        <c:lblAlgn val="ctr"/>
        <c:lblOffset val="100"/>
        <c:noMultiLvlLbl val="0"/>
      </c:catAx>
      <c:valAx>
        <c:axId val="269516704"/>
        <c:scaling>
          <c:orientation val="minMax"/>
          <c:max val="0.16"/>
          <c:min val="0"/>
        </c:scaling>
        <c:delete val="0"/>
        <c:axPos val="l"/>
        <c:majorGridlines>
          <c:spPr>
            <a:ln w="9525" cap="flat" cmpd="sng" algn="ctr">
              <a:solidFill>
                <a:schemeClr val="tx1">
                  <a:tint val="75000"/>
                  <a:shade val="95000"/>
                  <a:satMod val="105000"/>
                </a:schemeClr>
              </a:solidFill>
              <a:prstDash val="solid"/>
              <a:round/>
            </a:ln>
            <a:effectLst/>
          </c:spPr>
        </c:majorGridlines>
        <c:numFmt formatCode="0%"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itchFamily="18" charset="0"/>
                <a:ea typeface="+mn-ea"/>
                <a:cs typeface="Times New Roman" pitchFamily="18" charset="0"/>
              </a:defRPr>
            </a:pPr>
            <a:endParaRPr lang="lv-LV"/>
          </a:p>
        </c:txPr>
        <c:crossAx val="269516320"/>
        <c:crosses val="autoZero"/>
        <c:crossBetween val="between"/>
        <c:majorUnit val="2.0000000000000011E-2"/>
      </c:valAx>
      <c:spPr>
        <a:solidFill>
          <a:schemeClr val="bg1"/>
        </a:solidFill>
        <a:ln>
          <a:noFill/>
        </a:ln>
        <a:effectLst/>
      </c:spPr>
    </c:plotArea>
    <c:legend>
      <c:legendPos val="r"/>
      <c:layout>
        <c:manualLayout>
          <c:xMode val="edge"/>
          <c:yMode val="edge"/>
          <c:x val="0.75490967137879694"/>
          <c:y val="0.50757949504099587"/>
          <c:w val="0.22166966299403001"/>
          <c:h val="0.2297330607507732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itchFamily="18" charset="0"/>
              <a:ea typeface="+mn-ea"/>
              <a:cs typeface="Times New Roman" pitchFamily="18" charset="0"/>
            </a:defRPr>
          </a:pPr>
          <a:endParaRPr lang="lv-LV"/>
        </a:p>
      </c:txPr>
    </c:legend>
    <c:plotVisOnly val="1"/>
    <c:dispBlanksAs val="gap"/>
    <c:showDLblsOverMax val="0"/>
  </c:chart>
  <c:spPr>
    <a:solidFill>
      <a:schemeClr val="bg1"/>
    </a:solidFill>
    <a:ln w="9525" cap="flat" cmpd="sng" algn="ctr">
      <a:noFill/>
      <a:prstDash val="solid"/>
      <a:round/>
    </a:ln>
    <a:effectLst/>
  </c:spPr>
  <c:txPr>
    <a:bodyPr/>
    <a:lstStyle/>
    <a:p>
      <a:pPr>
        <a:defRPr sz="1000">
          <a:latin typeface="Times New Roman" pitchFamily="18" charset="0"/>
          <a:cs typeface="Times New Roman" pitchFamily="18" charset="0"/>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0661401650952424E-2"/>
          <c:y val="3.353218882903132E-2"/>
          <c:w val="0.95651528174135458"/>
          <c:h val="0.70033982594280975"/>
        </c:manualLayout>
      </c:layout>
      <c:barChart>
        <c:barDir val="col"/>
        <c:grouping val="stacked"/>
        <c:varyColors val="0"/>
        <c:ser>
          <c:idx val="1"/>
          <c:order val="1"/>
          <c:tx>
            <c:strRef>
              <c:f>Latvija!$D$5</c:f>
              <c:strCache>
                <c:ptCount val="1"/>
                <c:pt idx="0">
                  <c:v>Privātais patēriņš</c:v>
                </c:pt>
              </c:strCache>
            </c:strRef>
          </c:tx>
          <c:spPr>
            <a:solidFill>
              <a:srgbClr val="CE7674"/>
            </a:solidFill>
            <a:effectLst/>
          </c:spPr>
          <c:invertIfNegative val="0"/>
          <c:cat>
            <c:numRef>
              <c:f>Latvija!$E$3:$L$3</c:f>
              <c:numCache>
                <c:formatCode>General</c:formatCode>
                <c:ptCount val="8"/>
                <c:pt idx="0">
                  <c:v>2015</c:v>
                </c:pt>
                <c:pt idx="1">
                  <c:v>2016</c:v>
                </c:pt>
                <c:pt idx="2">
                  <c:v>2017</c:v>
                </c:pt>
                <c:pt idx="3">
                  <c:v>2018</c:v>
                </c:pt>
                <c:pt idx="4">
                  <c:v>2019</c:v>
                </c:pt>
                <c:pt idx="5">
                  <c:v>2020</c:v>
                </c:pt>
                <c:pt idx="6">
                  <c:v>2021</c:v>
                </c:pt>
                <c:pt idx="7">
                  <c:v>2022</c:v>
                </c:pt>
              </c:numCache>
            </c:numRef>
          </c:cat>
          <c:val>
            <c:numRef>
              <c:f>Latvija!$E$5:$L$5</c:f>
              <c:numCache>
                <c:formatCode>0.0</c:formatCode>
                <c:ptCount val="8"/>
                <c:pt idx="0">
                  <c:v>1.2568775223923772</c:v>
                </c:pt>
                <c:pt idx="1">
                  <c:v>2.014131784933868</c:v>
                </c:pt>
                <c:pt idx="2">
                  <c:v>1.7843381279705657</c:v>
                </c:pt>
                <c:pt idx="3">
                  <c:v>1.8280533967077015</c:v>
                </c:pt>
                <c:pt idx="4">
                  <c:v>0.1230464757710252</c:v>
                </c:pt>
                <c:pt idx="5">
                  <c:v>-2.6503755302641414</c:v>
                </c:pt>
                <c:pt idx="6">
                  <c:v>4.6066824515981182</c:v>
                </c:pt>
                <c:pt idx="7">
                  <c:v>4.755930911636729</c:v>
                </c:pt>
              </c:numCache>
            </c:numRef>
          </c:val>
          <c:extLst>
            <c:ext xmlns:c16="http://schemas.microsoft.com/office/drawing/2014/chart" uri="{C3380CC4-5D6E-409C-BE32-E72D297353CC}">
              <c16:uniqueId val="{00000000-CF20-43BF-AE6B-1EC07D961E9B}"/>
            </c:ext>
          </c:extLst>
        </c:ser>
        <c:ser>
          <c:idx val="2"/>
          <c:order val="2"/>
          <c:tx>
            <c:strRef>
              <c:f>Latvija!$D$6</c:f>
              <c:strCache>
                <c:ptCount val="1"/>
                <c:pt idx="0">
                  <c:v>Sabiedriskais patēriņš</c:v>
                </c:pt>
              </c:strCache>
            </c:strRef>
          </c:tx>
          <c:spPr>
            <a:solidFill>
              <a:srgbClr val="92D050"/>
            </a:solidFill>
            <a:effectLst/>
          </c:spPr>
          <c:invertIfNegative val="0"/>
          <c:cat>
            <c:numRef>
              <c:f>Latvija!$E$3:$L$3</c:f>
              <c:numCache>
                <c:formatCode>General</c:formatCode>
                <c:ptCount val="8"/>
                <c:pt idx="0">
                  <c:v>2015</c:v>
                </c:pt>
                <c:pt idx="1">
                  <c:v>2016</c:v>
                </c:pt>
                <c:pt idx="2">
                  <c:v>2017</c:v>
                </c:pt>
                <c:pt idx="3">
                  <c:v>2018</c:v>
                </c:pt>
                <c:pt idx="4">
                  <c:v>2019</c:v>
                </c:pt>
                <c:pt idx="5">
                  <c:v>2020</c:v>
                </c:pt>
                <c:pt idx="6">
                  <c:v>2021</c:v>
                </c:pt>
                <c:pt idx="7">
                  <c:v>2022</c:v>
                </c:pt>
              </c:numCache>
            </c:numRef>
          </c:cat>
          <c:val>
            <c:numRef>
              <c:f>Latvija!$E$6:$L$6</c:f>
              <c:numCache>
                <c:formatCode>0.0</c:formatCode>
                <c:ptCount val="8"/>
                <c:pt idx="0">
                  <c:v>0.50699399741429485</c:v>
                </c:pt>
                <c:pt idx="1">
                  <c:v>0.4234025171448324</c:v>
                </c:pt>
                <c:pt idx="2">
                  <c:v>0.60898511954987655</c:v>
                </c:pt>
                <c:pt idx="3">
                  <c:v>0.31313672757189231</c:v>
                </c:pt>
                <c:pt idx="4">
                  <c:v>0.70379564686412732</c:v>
                </c:pt>
                <c:pt idx="5">
                  <c:v>0.43632566072243539</c:v>
                </c:pt>
                <c:pt idx="6">
                  <c:v>0.84444194256912541</c:v>
                </c:pt>
                <c:pt idx="7">
                  <c:v>0.54331670226247641</c:v>
                </c:pt>
              </c:numCache>
            </c:numRef>
          </c:val>
          <c:extLst>
            <c:ext xmlns:c16="http://schemas.microsoft.com/office/drawing/2014/chart" uri="{C3380CC4-5D6E-409C-BE32-E72D297353CC}">
              <c16:uniqueId val="{00000001-CF20-43BF-AE6B-1EC07D961E9B}"/>
            </c:ext>
          </c:extLst>
        </c:ser>
        <c:ser>
          <c:idx val="3"/>
          <c:order val="3"/>
          <c:tx>
            <c:strRef>
              <c:f>Latvija!$D$7</c:f>
              <c:strCache>
                <c:ptCount val="1"/>
                <c:pt idx="0">
                  <c:v>Investīcijas</c:v>
                </c:pt>
              </c:strCache>
            </c:strRef>
          </c:tx>
          <c:spPr>
            <a:solidFill>
              <a:schemeClr val="accent4">
                <a:lumMod val="60000"/>
                <a:lumOff val="40000"/>
              </a:schemeClr>
            </a:solidFill>
            <a:effectLst/>
          </c:spPr>
          <c:invertIfNegative val="0"/>
          <c:cat>
            <c:numRef>
              <c:f>Latvija!$E$3:$L$3</c:f>
              <c:numCache>
                <c:formatCode>General</c:formatCode>
                <c:ptCount val="8"/>
                <c:pt idx="0">
                  <c:v>2015</c:v>
                </c:pt>
                <c:pt idx="1">
                  <c:v>2016</c:v>
                </c:pt>
                <c:pt idx="2">
                  <c:v>2017</c:v>
                </c:pt>
                <c:pt idx="3">
                  <c:v>2018</c:v>
                </c:pt>
                <c:pt idx="4">
                  <c:v>2019</c:v>
                </c:pt>
                <c:pt idx="5">
                  <c:v>2020</c:v>
                </c:pt>
                <c:pt idx="6">
                  <c:v>2021</c:v>
                </c:pt>
                <c:pt idx="7">
                  <c:v>2022</c:v>
                </c:pt>
              </c:numCache>
            </c:numRef>
          </c:cat>
          <c:val>
            <c:numRef>
              <c:f>Latvija!$E$7:$L$7</c:f>
              <c:numCache>
                <c:formatCode>0.0</c:formatCode>
                <c:ptCount val="8"/>
                <c:pt idx="0">
                  <c:v>-0.46341838757983134</c:v>
                </c:pt>
                <c:pt idx="1">
                  <c:v>-1.8018709492210818</c:v>
                </c:pt>
                <c:pt idx="2">
                  <c:v>2.2362318417103797</c:v>
                </c:pt>
                <c:pt idx="3">
                  <c:v>2.4820749464066574</c:v>
                </c:pt>
                <c:pt idx="4">
                  <c:v>1.5749231038158054</c:v>
                </c:pt>
                <c:pt idx="5">
                  <c:v>-0.6058326927425477</c:v>
                </c:pt>
                <c:pt idx="6">
                  <c:v>0.68788619267556528</c:v>
                </c:pt>
                <c:pt idx="7">
                  <c:v>0.17272799780221704</c:v>
                </c:pt>
              </c:numCache>
            </c:numRef>
          </c:val>
          <c:extLst>
            <c:ext xmlns:c16="http://schemas.microsoft.com/office/drawing/2014/chart" uri="{C3380CC4-5D6E-409C-BE32-E72D297353CC}">
              <c16:uniqueId val="{00000002-CF20-43BF-AE6B-1EC07D961E9B}"/>
            </c:ext>
          </c:extLst>
        </c:ser>
        <c:ser>
          <c:idx val="4"/>
          <c:order val="4"/>
          <c:tx>
            <c:strRef>
              <c:f>Latvija!$D$8</c:f>
              <c:strCache>
                <c:ptCount val="1"/>
                <c:pt idx="0">
                  <c:v>Krājumu izmaiņas</c:v>
                </c:pt>
              </c:strCache>
            </c:strRef>
          </c:tx>
          <c:spPr>
            <a:solidFill>
              <a:schemeClr val="bg1">
                <a:lumMod val="50000"/>
              </a:schemeClr>
            </a:solidFill>
            <a:effectLst/>
          </c:spPr>
          <c:invertIfNegative val="0"/>
          <c:cat>
            <c:numRef>
              <c:f>Latvija!$E$3:$L$3</c:f>
              <c:numCache>
                <c:formatCode>General</c:formatCode>
                <c:ptCount val="8"/>
                <c:pt idx="0">
                  <c:v>2015</c:v>
                </c:pt>
                <c:pt idx="1">
                  <c:v>2016</c:v>
                </c:pt>
                <c:pt idx="2">
                  <c:v>2017</c:v>
                </c:pt>
                <c:pt idx="3">
                  <c:v>2018</c:v>
                </c:pt>
                <c:pt idx="4">
                  <c:v>2019</c:v>
                </c:pt>
                <c:pt idx="5">
                  <c:v>2020</c:v>
                </c:pt>
                <c:pt idx="6">
                  <c:v>2021</c:v>
                </c:pt>
                <c:pt idx="7">
                  <c:v>2022</c:v>
                </c:pt>
              </c:numCache>
            </c:numRef>
          </c:cat>
          <c:val>
            <c:numRef>
              <c:f>Latvija!$E$8:$L$8</c:f>
              <c:numCache>
                <c:formatCode>0.0</c:formatCode>
                <c:ptCount val="8"/>
                <c:pt idx="0">
                  <c:v>1.8229968621502264</c:v>
                </c:pt>
                <c:pt idx="1">
                  <c:v>1.5574150970900933</c:v>
                </c:pt>
                <c:pt idx="2">
                  <c:v>0.1569681656840258</c:v>
                </c:pt>
                <c:pt idx="3">
                  <c:v>0.77051660094884511</c:v>
                </c:pt>
                <c:pt idx="4">
                  <c:v>0.89480575360036685</c:v>
                </c:pt>
                <c:pt idx="5">
                  <c:v>0.61166619358910901</c:v>
                </c:pt>
                <c:pt idx="6">
                  <c:v>4.6503181246775451</c:v>
                </c:pt>
                <c:pt idx="7">
                  <c:v>-0.54985687826233309</c:v>
                </c:pt>
              </c:numCache>
            </c:numRef>
          </c:val>
          <c:extLst>
            <c:ext xmlns:c16="http://schemas.microsoft.com/office/drawing/2014/chart" uri="{C3380CC4-5D6E-409C-BE32-E72D297353CC}">
              <c16:uniqueId val="{00000003-CF20-43BF-AE6B-1EC07D961E9B}"/>
            </c:ext>
          </c:extLst>
        </c:ser>
        <c:ser>
          <c:idx val="5"/>
          <c:order val="5"/>
          <c:tx>
            <c:strRef>
              <c:f>Latvija!$D$9</c:f>
              <c:strCache>
                <c:ptCount val="1"/>
                <c:pt idx="0">
                  <c:v>Eksports</c:v>
                </c:pt>
              </c:strCache>
            </c:strRef>
          </c:tx>
          <c:spPr>
            <a:solidFill>
              <a:schemeClr val="accent6">
                <a:lumMod val="60000"/>
                <a:lumOff val="40000"/>
              </a:schemeClr>
            </a:solidFill>
            <a:effectLst/>
          </c:spPr>
          <c:invertIfNegative val="0"/>
          <c:cat>
            <c:numRef>
              <c:f>Latvija!$E$3:$L$3</c:f>
              <c:numCache>
                <c:formatCode>General</c:formatCode>
                <c:ptCount val="8"/>
                <c:pt idx="0">
                  <c:v>2015</c:v>
                </c:pt>
                <c:pt idx="1">
                  <c:v>2016</c:v>
                </c:pt>
                <c:pt idx="2">
                  <c:v>2017</c:v>
                </c:pt>
                <c:pt idx="3">
                  <c:v>2018</c:v>
                </c:pt>
                <c:pt idx="4">
                  <c:v>2019</c:v>
                </c:pt>
                <c:pt idx="5">
                  <c:v>2020</c:v>
                </c:pt>
                <c:pt idx="6">
                  <c:v>2021</c:v>
                </c:pt>
                <c:pt idx="7">
                  <c:v>2022</c:v>
                </c:pt>
              </c:numCache>
            </c:numRef>
          </c:cat>
          <c:val>
            <c:numRef>
              <c:f>Latvija!$E$9:$L$9</c:f>
              <c:numCache>
                <c:formatCode>0.0</c:formatCode>
                <c:ptCount val="8"/>
                <c:pt idx="0">
                  <c:v>1.8082504056543858</c:v>
                </c:pt>
                <c:pt idx="1">
                  <c:v>2.3842300010996182</c:v>
                </c:pt>
                <c:pt idx="2">
                  <c:v>3.8880431038303991</c:v>
                </c:pt>
                <c:pt idx="3">
                  <c:v>2.7756714126900963</c:v>
                </c:pt>
                <c:pt idx="4">
                  <c:v>1.3575778763968462</c:v>
                </c:pt>
                <c:pt idx="5">
                  <c:v>-0.21727535898938571</c:v>
                </c:pt>
                <c:pt idx="6">
                  <c:v>3.7988857686765671</c:v>
                </c:pt>
                <c:pt idx="7">
                  <c:v>5.9228826401751151</c:v>
                </c:pt>
              </c:numCache>
            </c:numRef>
          </c:val>
          <c:extLst>
            <c:ext xmlns:c16="http://schemas.microsoft.com/office/drawing/2014/chart" uri="{C3380CC4-5D6E-409C-BE32-E72D297353CC}">
              <c16:uniqueId val="{00000004-CF20-43BF-AE6B-1EC07D961E9B}"/>
            </c:ext>
          </c:extLst>
        </c:ser>
        <c:ser>
          <c:idx val="6"/>
          <c:order val="6"/>
          <c:tx>
            <c:strRef>
              <c:f>Latvija!$D$10</c:f>
              <c:strCache>
                <c:ptCount val="1"/>
                <c:pt idx="0">
                  <c:v>Imports</c:v>
                </c:pt>
              </c:strCache>
            </c:strRef>
          </c:tx>
          <c:spPr>
            <a:solidFill>
              <a:schemeClr val="accent1">
                <a:lumMod val="60000"/>
                <a:lumOff val="40000"/>
              </a:schemeClr>
            </a:solidFill>
            <a:effectLst/>
          </c:spPr>
          <c:invertIfNegative val="0"/>
          <c:cat>
            <c:numRef>
              <c:f>Latvija!$E$3:$L$3</c:f>
              <c:numCache>
                <c:formatCode>General</c:formatCode>
                <c:ptCount val="8"/>
                <c:pt idx="0">
                  <c:v>2015</c:v>
                </c:pt>
                <c:pt idx="1">
                  <c:v>2016</c:v>
                </c:pt>
                <c:pt idx="2">
                  <c:v>2017</c:v>
                </c:pt>
                <c:pt idx="3">
                  <c:v>2018</c:v>
                </c:pt>
                <c:pt idx="4">
                  <c:v>2019</c:v>
                </c:pt>
                <c:pt idx="5">
                  <c:v>2020</c:v>
                </c:pt>
                <c:pt idx="6">
                  <c:v>2021</c:v>
                </c:pt>
                <c:pt idx="7">
                  <c:v>2022</c:v>
                </c:pt>
              </c:numCache>
            </c:numRef>
          </c:cat>
          <c:val>
            <c:numRef>
              <c:f>Latvija!$E$10:$L$10</c:f>
              <c:numCache>
                <c:formatCode>0.0</c:formatCode>
                <c:ptCount val="8"/>
                <c:pt idx="0">
                  <c:v>-1.0464403457638194</c:v>
                </c:pt>
                <c:pt idx="1">
                  <c:v>-2.2086937044031036</c:v>
                </c:pt>
                <c:pt idx="2">
                  <c:v>-5.3620904228706676</c:v>
                </c:pt>
                <c:pt idx="3">
                  <c:v>-4.1775985796177162</c:v>
                </c:pt>
                <c:pt idx="4">
                  <c:v>-2.0844449687375439</c:v>
                </c:pt>
                <c:pt idx="5">
                  <c:v>0.22250638943310941</c:v>
                </c:pt>
                <c:pt idx="6">
                  <c:v>-10.524198376645256</c:v>
                </c:pt>
                <c:pt idx="7">
                  <c:v>-8.8688154128375256</c:v>
                </c:pt>
              </c:numCache>
            </c:numRef>
          </c:val>
          <c:extLst>
            <c:ext xmlns:c16="http://schemas.microsoft.com/office/drawing/2014/chart" uri="{C3380CC4-5D6E-409C-BE32-E72D297353CC}">
              <c16:uniqueId val="{00000005-CF20-43BF-AE6B-1EC07D961E9B}"/>
            </c:ext>
          </c:extLst>
        </c:ser>
        <c:dLbls>
          <c:showLegendKey val="0"/>
          <c:showVal val="0"/>
          <c:showCatName val="0"/>
          <c:showSerName val="0"/>
          <c:showPercent val="0"/>
          <c:showBubbleSize val="0"/>
        </c:dLbls>
        <c:gapWidth val="50"/>
        <c:overlap val="100"/>
        <c:axId val="505767696"/>
        <c:axId val="1"/>
      </c:barChart>
      <c:lineChart>
        <c:grouping val="standard"/>
        <c:varyColors val="0"/>
        <c:ser>
          <c:idx val="0"/>
          <c:order val="0"/>
          <c:tx>
            <c:strRef>
              <c:f>Latvija!$D$4</c:f>
              <c:strCache>
                <c:ptCount val="1"/>
                <c:pt idx="0">
                  <c:v>IKP</c:v>
                </c:pt>
              </c:strCache>
            </c:strRef>
          </c:tx>
          <c:spPr>
            <a:ln>
              <a:solidFill>
                <a:schemeClr val="tx1"/>
              </a:solidFill>
            </a:ln>
            <a:effectLst/>
          </c:spPr>
          <c:marker>
            <c:symbol val="circle"/>
            <c:size val="8"/>
            <c:spPr>
              <a:solidFill>
                <a:schemeClr val="tx1"/>
              </a:solidFill>
              <a:ln>
                <a:solidFill>
                  <a:schemeClr val="bg1"/>
                </a:solidFill>
              </a:ln>
              <a:effectLst/>
            </c:spPr>
          </c:marker>
          <c:dPt>
            <c:idx val="6"/>
            <c:bubble3D val="0"/>
            <c:extLst>
              <c:ext xmlns:c16="http://schemas.microsoft.com/office/drawing/2014/chart" uri="{C3380CC4-5D6E-409C-BE32-E72D297353CC}">
                <c16:uniqueId val="{00000006-CF20-43BF-AE6B-1EC07D961E9B}"/>
              </c:ext>
            </c:extLst>
          </c:dPt>
          <c:dLbls>
            <c:dLbl>
              <c:idx val="10"/>
              <c:layout>
                <c:manualLayout>
                  <c:x val="-1.715686178709901E-2"/>
                  <c:y val="-3.85787483799047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F20-43BF-AE6B-1EC07D961E9B}"/>
                </c:ext>
              </c:extLst>
            </c:dLbl>
            <c:numFmt formatCode="#,##0.0" sourceLinked="0"/>
            <c:spPr>
              <a:solidFill>
                <a:schemeClr val="bg1">
                  <a:alpha val="67000"/>
                </a:schemeClr>
              </a:solid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numRef>
              <c:f>Latvija!$E$3:$L$3</c:f>
              <c:numCache>
                <c:formatCode>General</c:formatCode>
                <c:ptCount val="8"/>
                <c:pt idx="0">
                  <c:v>2015</c:v>
                </c:pt>
                <c:pt idx="1">
                  <c:v>2016</c:v>
                </c:pt>
                <c:pt idx="2">
                  <c:v>2017</c:v>
                </c:pt>
                <c:pt idx="3">
                  <c:v>2018</c:v>
                </c:pt>
                <c:pt idx="4">
                  <c:v>2019</c:v>
                </c:pt>
                <c:pt idx="5">
                  <c:v>2020</c:v>
                </c:pt>
                <c:pt idx="6">
                  <c:v>2021</c:v>
                </c:pt>
                <c:pt idx="7">
                  <c:v>2022</c:v>
                </c:pt>
              </c:numCache>
            </c:numRef>
          </c:cat>
          <c:val>
            <c:numRef>
              <c:f>Latvija!$E$4:$L$4</c:f>
              <c:numCache>
                <c:formatCode>0.0</c:formatCode>
                <c:ptCount val="8"/>
                <c:pt idx="0">
                  <c:v>3.8852600542676328</c:v>
                </c:pt>
                <c:pt idx="1">
                  <c:v>2.3686147466442264</c:v>
                </c:pt>
                <c:pt idx="2">
                  <c:v>3.3124759358745877</c:v>
                </c:pt>
                <c:pt idx="3">
                  <c:v>3.9918545047074758</c:v>
                </c:pt>
                <c:pt idx="4">
                  <c:v>2.5697038877106304</c:v>
                </c:pt>
                <c:pt idx="5">
                  <c:v>-2.2029853382514233</c:v>
                </c:pt>
                <c:pt idx="6">
                  <c:v>4.0640161035516655</c:v>
                </c:pt>
                <c:pt idx="7">
                  <c:v>1.976185960776661</c:v>
                </c:pt>
              </c:numCache>
            </c:numRef>
          </c:val>
          <c:smooth val="0"/>
          <c:extLst>
            <c:ext xmlns:c16="http://schemas.microsoft.com/office/drawing/2014/chart" uri="{C3380CC4-5D6E-409C-BE32-E72D297353CC}">
              <c16:uniqueId val="{00000008-CF20-43BF-AE6B-1EC07D961E9B}"/>
            </c:ext>
          </c:extLst>
        </c:ser>
        <c:dLbls>
          <c:showLegendKey val="0"/>
          <c:showVal val="0"/>
          <c:showCatName val="0"/>
          <c:showSerName val="0"/>
          <c:showPercent val="0"/>
          <c:showBubbleSize val="0"/>
        </c:dLbls>
        <c:marker val="1"/>
        <c:smooth val="0"/>
        <c:axId val="505767696"/>
        <c:axId val="1"/>
      </c:lineChart>
      <c:catAx>
        <c:axId val="505767696"/>
        <c:scaling>
          <c:orientation val="minMax"/>
        </c:scaling>
        <c:delete val="0"/>
        <c:axPos val="b"/>
        <c:numFmt formatCode="General" sourceLinked="1"/>
        <c:majorTickMark val="none"/>
        <c:minorTickMark val="none"/>
        <c:tickLblPos val="low"/>
        <c:spPr>
          <a:noFill/>
          <a:ln w="19050" cap="flat" cmpd="sng" algn="ctr">
            <a:solidFill>
              <a:schemeClr val="tx1"/>
            </a:solidFill>
            <a:round/>
          </a:ln>
          <a:effectLst/>
        </c:spPr>
        <c:txPr>
          <a:bodyPr rot="0" vert="horz"/>
          <a:lstStyle/>
          <a:p>
            <a:pPr>
              <a:defRPr/>
            </a:pPr>
            <a:endParaRPr lang="lv-LV"/>
          </a:p>
        </c:txPr>
        <c:crossAx val="1"/>
        <c:crosses val="autoZero"/>
        <c:auto val="1"/>
        <c:lblAlgn val="ctr"/>
        <c:lblOffset val="100"/>
        <c:noMultiLvlLbl val="0"/>
      </c:catAx>
      <c:valAx>
        <c:axId val="1"/>
        <c:scaling>
          <c:orientation val="minMax"/>
          <c:max val="15"/>
          <c:min val="-15"/>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0" vert="horz"/>
          <a:lstStyle/>
          <a:p>
            <a:pPr>
              <a:defRPr/>
            </a:pPr>
            <a:endParaRPr lang="lv-LV"/>
          </a:p>
        </c:txPr>
        <c:crossAx val="505767696"/>
        <c:crosses val="autoZero"/>
        <c:crossBetween val="between"/>
        <c:majorUnit val="5"/>
      </c:valAx>
      <c:spPr>
        <a:noFill/>
        <a:ln w="25400">
          <a:noFill/>
        </a:ln>
      </c:spPr>
    </c:plotArea>
    <c:legend>
      <c:legendPos val="b"/>
      <c:layout>
        <c:manualLayout>
          <c:xMode val="edge"/>
          <c:yMode val="edge"/>
          <c:x val="0"/>
          <c:y val="0.83067927513845474"/>
          <c:w val="1"/>
          <c:h val="0.16925969182081904"/>
        </c:manualLayout>
      </c:layout>
      <c:overlay val="0"/>
      <c:spPr>
        <a:noFill/>
        <a:ln>
          <a:noFill/>
        </a:ln>
        <a:effectLst/>
      </c:spPr>
    </c:legend>
    <c:plotVisOnly val="1"/>
    <c:dispBlanksAs val="gap"/>
    <c:showDLblsOverMax val="0"/>
  </c:chart>
  <c:spPr>
    <a:solidFill>
      <a:schemeClr val="bg1"/>
    </a:solidFill>
    <a:ln w="9525" cap="flat" cmpd="sng" algn="ctr">
      <a:noFill/>
      <a:round/>
    </a:ln>
    <a:effectLst/>
  </c:spPr>
  <c:txPr>
    <a:bodyPr/>
    <a:lstStyle/>
    <a:p>
      <a:pPr>
        <a:defRPr sz="1000" b="0" i="0" u="none" strike="noStrike" baseline="0">
          <a:solidFill>
            <a:srgbClr val="000000"/>
          </a:solidFill>
          <a:latin typeface="Times New Roman" panose="02020603050405020304" pitchFamily="18" charset="0"/>
          <a:ea typeface="Verdana"/>
          <a:cs typeface="Times New Roman" panose="02020603050405020304" pitchFamily="18" charset="0"/>
        </a:defRPr>
      </a:pPr>
      <a:endParaRPr lang="lv-LV"/>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3517170319535219E-2"/>
          <c:y val="4.6897546897546896E-2"/>
          <c:w val="0.84337245023293927"/>
          <c:h val="0.67776471122927817"/>
        </c:manualLayout>
      </c:layout>
      <c:barChart>
        <c:barDir val="col"/>
        <c:grouping val="stacked"/>
        <c:varyColors val="0"/>
        <c:ser>
          <c:idx val="1"/>
          <c:order val="0"/>
          <c:tx>
            <c:strRef>
              <c:f>'Tekošais konts_Y'!$B$4</c:f>
              <c:strCache>
                <c:ptCount val="1"/>
                <c:pt idx="0">
                  <c:v>Preces</c:v>
                </c:pt>
              </c:strCache>
            </c:strRef>
          </c:tx>
          <c:spPr>
            <a:solidFill>
              <a:schemeClr val="accent2">
                <a:lumMod val="60000"/>
                <a:lumOff val="40000"/>
              </a:schemeClr>
            </a:solidFill>
            <a:ln w="25400">
              <a:noFill/>
            </a:ln>
          </c:spPr>
          <c:invertIfNegative val="0"/>
          <c:cat>
            <c:numRef>
              <c:f>'Tekošais konts_Y'!$F$2:$T$2</c:f>
              <c:numCache>
                <c:formatCode>General</c:formatCode>
                <c:ptCount val="15"/>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numCache>
            </c:numRef>
          </c:cat>
          <c:val>
            <c:numRef>
              <c:f>'Tekošais konts_Y'!$F$4:$T$4</c:f>
              <c:numCache>
                <c:formatCode>#,##0</c:formatCode>
                <c:ptCount val="15"/>
                <c:pt idx="0">
                  <c:v>-4281</c:v>
                </c:pt>
                <c:pt idx="1">
                  <c:v>-1651</c:v>
                </c:pt>
                <c:pt idx="2">
                  <c:v>-1649</c:v>
                </c:pt>
                <c:pt idx="3">
                  <c:v>-2653</c:v>
                </c:pt>
                <c:pt idx="4">
                  <c:v>-2803</c:v>
                </c:pt>
                <c:pt idx="5">
                  <c:v>-2766</c:v>
                </c:pt>
                <c:pt idx="6">
                  <c:v>-2684</c:v>
                </c:pt>
                <c:pt idx="7">
                  <c:v>-2443</c:v>
                </c:pt>
                <c:pt idx="8">
                  <c:v>-2062</c:v>
                </c:pt>
                <c:pt idx="9">
                  <c:v>-2450</c:v>
                </c:pt>
                <c:pt idx="10" formatCode="General">
                  <c:v>-2501</c:v>
                </c:pt>
                <c:pt idx="11" formatCode="General">
                  <c:v>-2639</c:v>
                </c:pt>
                <c:pt idx="12" formatCode="General">
                  <c:v>-1551</c:v>
                </c:pt>
                <c:pt idx="13" formatCode="General">
                  <c:v>-2774</c:v>
                </c:pt>
                <c:pt idx="14" formatCode="General">
                  <c:v>-4476</c:v>
                </c:pt>
              </c:numCache>
            </c:numRef>
          </c:val>
          <c:extLst>
            <c:ext xmlns:c16="http://schemas.microsoft.com/office/drawing/2014/chart" uri="{C3380CC4-5D6E-409C-BE32-E72D297353CC}">
              <c16:uniqueId val="{00000000-2A37-40C4-B2A3-F6DCF8F6B093}"/>
            </c:ext>
          </c:extLst>
        </c:ser>
        <c:ser>
          <c:idx val="2"/>
          <c:order val="1"/>
          <c:tx>
            <c:strRef>
              <c:f>'Tekošais konts_Y'!$B$5</c:f>
              <c:strCache>
                <c:ptCount val="1"/>
                <c:pt idx="0">
                  <c:v>Pakalpojumi</c:v>
                </c:pt>
              </c:strCache>
            </c:strRef>
          </c:tx>
          <c:spPr>
            <a:solidFill>
              <a:schemeClr val="bg1">
                <a:lumMod val="65000"/>
              </a:schemeClr>
            </a:solidFill>
            <a:ln w="25400">
              <a:noFill/>
            </a:ln>
          </c:spPr>
          <c:invertIfNegative val="0"/>
          <c:cat>
            <c:numRef>
              <c:f>'Tekošais konts_Y'!$F$2:$T$2</c:f>
              <c:numCache>
                <c:formatCode>General</c:formatCode>
                <c:ptCount val="15"/>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numCache>
            </c:numRef>
          </c:cat>
          <c:val>
            <c:numRef>
              <c:f>'Tekošais konts_Y'!$F$5:$T$5</c:f>
              <c:numCache>
                <c:formatCode>#,##0</c:formatCode>
                <c:ptCount val="15"/>
                <c:pt idx="0">
                  <c:v>1395</c:v>
                </c:pt>
                <c:pt idx="1">
                  <c:v>1430</c:v>
                </c:pt>
                <c:pt idx="2">
                  <c:v>1295</c:v>
                </c:pt>
                <c:pt idx="3">
                  <c:v>1461</c:v>
                </c:pt>
                <c:pt idx="4">
                  <c:v>1591</c:v>
                </c:pt>
                <c:pt idx="5">
                  <c:v>1734</c:v>
                </c:pt>
                <c:pt idx="6">
                  <c:v>1994</c:v>
                </c:pt>
                <c:pt idx="7">
                  <c:v>2025</c:v>
                </c:pt>
                <c:pt idx="8">
                  <c:v>2151</c:v>
                </c:pt>
                <c:pt idx="9">
                  <c:v>2280</c:v>
                </c:pt>
                <c:pt idx="10" formatCode="General">
                  <c:v>2308</c:v>
                </c:pt>
                <c:pt idx="11" formatCode="General">
                  <c:v>2437</c:v>
                </c:pt>
                <c:pt idx="12" formatCode="General">
                  <c:v>1844</c:v>
                </c:pt>
                <c:pt idx="13" formatCode="General">
                  <c:v>1620</c:v>
                </c:pt>
                <c:pt idx="14" formatCode="General">
                  <c:v>2203</c:v>
                </c:pt>
              </c:numCache>
            </c:numRef>
          </c:val>
          <c:extLst>
            <c:ext xmlns:c16="http://schemas.microsoft.com/office/drawing/2014/chart" uri="{C3380CC4-5D6E-409C-BE32-E72D297353CC}">
              <c16:uniqueId val="{00000001-2A37-40C4-B2A3-F6DCF8F6B093}"/>
            </c:ext>
          </c:extLst>
        </c:ser>
        <c:ser>
          <c:idx val="3"/>
          <c:order val="2"/>
          <c:tx>
            <c:strRef>
              <c:f>'Tekošais konts_Y'!$B$6</c:f>
              <c:strCache>
                <c:ptCount val="1"/>
                <c:pt idx="0">
                  <c:v>Sākotnējie ienākumi</c:v>
                </c:pt>
              </c:strCache>
            </c:strRef>
          </c:tx>
          <c:spPr>
            <a:solidFill>
              <a:schemeClr val="accent5">
                <a:lumMod val="60000"/>
                <a:lumOff val="40000"/>
              </a:schemeClr>
            </a:solidFill>
            <a:ln w="25400">
              <a:noFill/>
            </a:ln>
          </c:spPr>
          <c:invertIfNegative val="0"/>
          <c:cat>
            <c:numRef>
              <c:f>'Tekošais konts_Y'!$F$2:$T$2</c:f>
              <c:numCache>
                <c:formatCode>General</c:formatCode>
                <c:ptCount val="15"/>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numCache>
            </c:numRef>
          </c:cat>
          <c:val>
            <c:numRef>
              <c:f>'Tekošais konts_Y'!$F$6:$T$6</c:f>
              <c:numCache>
                <c:formatCode>#,##0</c:formatCode>
                <c:ptCount val="15"/>
                <c:pt idx="0">
                  <c:v>-566</c:v>
                </c:pt>
                <c:pt idx="1">
                  <c:v>1144</c:v>
                </c:pt>
                <c:pt idx="2">
                  <c:v>144</c:v>
                </c:pt>
                <c:pt idx="3">
                  <c:v>-18</c:v>
                </c:pt>
                <c:pt idx="4">
                  <c:v>-134</c:v>
                </c:pt>
                <c:pt idx="5">
                  <c:v>-78</c:v>
                </c:pt>
                <c:pt idx="6">
                  <c:v>30</c:v>
                </c:pt>
                <c:pt idx="7">
                  <c:v>-115</c:v>
                </c:pt>
                <c:pt idx="8">
                  <c:v>-36</c:v>
                </c:pt>
                <c:pt idx="9">
                  <c:v>-68</c:v>
                </c:pt>
                <c:pt idx="10" formatCode="General">
                  <c:v>-462</c:v>
                </c:pt>
                <c:pt idx="11" formatCode="General">
                  <c:v>-445</c:v>
                </c:pt>
                <c:pt idx="12" formatCode="General">
                  <c:v>-8</c:v>
                </c:pt>
                <c:pt idx="13" formatCode="General">
                  <c:v>-621</c:v>
                </c:pt>
                <c:pt idx="14" formatCode="General">
                  <c:v>-665</c:v>
                </c:pt>
              </c:numCache>
            </c:numRef>
          </c:val>
          <c:extLst>
            <c:ext xmlns:c16="http://schemas.microsoft.com/office/drawing/2014/chart" uri="{C3380CC4-5D6E-409C-BE32-E72D297353CC}">
              <c16:uniqueId val="{00000002-2A37-40C4-B2A3-F6DCF8F6B093}"/>
            </c:ext>
          </c:extLst>
        </c:ser>
        <c:ser>
          <c:idx val="4"/>
          <c:order val="3"/>
          <c:tx>
            <c:strRef>
              <c:f>'Tekošais konts_Y'!$B$7</c:f>
              <c:strCache>
                <c:ptCount val="1"/>
                <c:pt idx="0">
                  <c:v>Otrreizējie ienākumi</c:v>
                </c:pt>
              </c:strCache>
            </c:strRef>
          </c:tx>
          <c:spPr>
            <a:solidFill>
              <a:schemeClr val="accent6">
                <a:lumMod val="60000"/>
                <a:lumOff val="40000"/>
              </a:schemeClr>
            </a:solidFill>
            <a:ln w="25400">
              <a:noFill/>
            </a:ln>
          </c:spPr>
          <c:invertIfNegative val="0"/>
          <c:cat>
            <c:numRef>
              <c:f>'Tekošais konts_Y'!$F$2:$T$2</c:f>
              <c:numCache>
                <c:formatCode>General</c:formatCode>
                <c:ptCount val="15"/>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numCache>
            </c:numRef>
          </c:cat>
          <c:val>
            <c:numRef>
              <c:f>'Tekošais konts_Y'!$F$7:$T$7</c:f>
              <c:numCache>
                <c:formatCode>#,##0</c:formatCode>
                <c:ptCount val="15"/>
                <c:pt idx="0">
                  <c:v>445</c:v>
                </c:pt>
                <c:pt idx="1">
                  <c:v>532</c:v>
                </c:pt>
                <c:pt idx="2">
                  <c:v>518</c:v>
                </c:pt>
                <c:pt idx="3">
                  <c:v>538</c:v>
                </c:pt>
                <c:pt idx="4">
                  <c:v>530</c:v>
                </c:pt>
                <c:pt idx="5">
                  <c:v>474</c:v>
                </c:pt>
                <c:pt idx="6">
                  <c:v>283</c:v>
                </c:pt>
                <c:pt idx="7">
                  <c:v>395</c:v>
                </c:pt>
                <c:pt idx="8">
                  <c:v>358</c:v>
                </c:pt>
                <c:pt idx="9">
                  <c:v>580</c:v>
                </c:pt>
                <c:pt idx="10" formatCode="General">
                  <c:v>617</c:v>
                </c:pt>
                <c:pt idx="11" formatCode="General">
                  <c:v>471</c:v>
                </c:pt>
                <c:pt idx="12" formatCode="General">
                  <c:v>503</c:v>
                </c:pt>
                <c:pt idx="13" formatCode="General">
                  <c:v>361</c:v>
                </c:pt>
                <c:pt idx="14" formatCode="General">
                  <c:v>442</c:v>
                </c:pt>
              </c:numCache>
            </c:numRef>
          </c:val>
          <c:extLst>
            <c:ext xmlns:c16="http://schemas.microsoft.com/office/drawing/2014/chart" uri="{C3380CC4-5D6E-409C-BE32-E72D297353CC}">
              <c16:uniqueId val="{00000003-2A37-40C4-B2A3-F6DCF8F6B093}"/>
            </c:ext>
          </c:extLst>
        </c:ser>
        <c:dLbls>
          <c:showLegendKey val="0"/>
          <c:showVal val="0"/>
          <c:showCatName val="0"/>
          <c:showSerName val="0"/>
          <c:showPercent val="0"/>
          <c:showBubbleSize val="0"/>
        </c:dLbls>
        <c:gapWidth val="50"/>
        <c:overlap val="100"/>
        <c:axId val="351089240"/>
        <c:axId val="351089632"/>
      </c:barChart>
      <c:lineChart>
        <c:grouping val="standard"/>
        <c:varyColors val="0"/>
        <c:ser>
          <c:idx val="5"/>
          <c:order val="4"/>
          <c:tx>
            <c:strRef>
              <c:f>'Tekošais konts_Y'!$B$8</c:f>
              <c:strCache>
                <c:ptCount val="1"/>
                <c:pt idx="0">
                  <c:v>Tekošais konts (% no IKP, l.a.)</c:v>
                </c:pt>
              </c:strCache>
            </c:strRef>
          </c:tx>
          <c:spPr>
            <a:ln w="28575" cap="rnd">
              <a:solidFill>
                <a:schemeClr val="tx1">
                  <a:lumMod val="75000"/>
                  <a:lumOff val="25000"/>
                </a:schemeClr>
              </a:solidFill>
              <a:prstDash val="dash"/>
              <a:round/>
            </a:ln>
            <a:effectLst/>
          </c:spPr>
          <c:marker>
            <c:symbol val="none"/>
          </c:marker>
          <c:cat>
            <c:numRef>
              <c:f>'Tekošais konts_Y'!$F$2:$R$2</c:f>
              <c:numCache>
                <c:formatCode>General</c:formatCod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numCache>
            </c:numRef>
          </c:cat>
          <c:val>
            <c:numRef>
              <c:f>'Tekošais konts_Y'!$F$8:$T$8</c:f>
              <c:numCache>
                <c:formatCode>0.0%</c:formatCode>
                <c:ptCount val="15"/>
                <c:pt idx="0">
                  <c:v>-0.12300000000000001</c:v>
                </c:pt>
                <c:pt idx="1">
                  <c:v>7.6999999999999999E-2</c:v>
                </c:pt>
                <c:pt idx="2">
                  <c:v>1.7000000000000001E-2</c:v>
                </c:pt>
                <c:pt idx="3">
                  <c:v>-3.4000000000000002E-2</c:v>
                </c:pt>
                <c:pt idx="4">
                  <c:v>-3.7000000000000005E-2</c:v>
                </c:pt>
                <c:pt idx="5">
                  <c:v>-2.7999999999999997E-2</c:v>
                </c:pt>
                <c:pt idx="6">
                  <c:v>-1.6E-2</c:v>
                </c:pt>
                <c:pt idx="7">
                  <c:v>-6.0000000000000001E-3</c:v>
                </c:pt>
                <c:pt idx="8">
                  <c:v>1.6E-2</c:v>
                </c:pt>
                <c:pt idx="9">
                  <c:v>1.3000000000000001E-2</c:v>
                </c:pt>
                <c:pt idx="10">
                  <c:v>-1E-3</c:v>
                </c:pt>
                <c:pt idx="11">
                  <c:v>-6.0000000000000001E-3</c:v>
                </c:pt>
                <c:pt idx="12">
                  <c:v>2.5999999999999999E-2</c:v>
                </c:pt>
                <c:pt idx="13">
                  <c:v>-4.2000000000000003E-2</c:v>
                </c:pt>
                <c:pt idx="14">
                  <c:v>-6.4000000000000001E-2</c:v>
                </c:pt>
              </c:numCache>
            </c:numRef>
          </c:val>
          <c:smooth val="1"/>
          <c:extLst>
            <c:ext xmlns:c16="http://schemas.microsoft.com/office/drawing/2014/chart" uri="{C3380CC4-5D6E-409C-BE32-E72D297353CC}">
              <c16:uniqueId val="{00000004-2A37-40C4-B2A3-F6DCF8F6B093}"/>
            </c:ext>
          </c:extLst>
        </c:ser>
        <c:ser>
          <c:idx val="6"/>
          <c:order val="5"/>
          <c:tx>
            <c:strRef>
              <c:f>'Tekošais konts_Y'!$B$9</c:f>
              <c:strCache>
                <c:ptCount val="1"/>
                <c:pt idx="0">
                  <c:v>Tekošais un kapitāla konts, % no IKP (labā ass)</c:v>
                </c:pt>
              </c:strCache>
            </c:strRef>
          </c:tx>
          <c:spPr>
            <a:ln w="28575" cap="rnd">
              <a:solidFill>
                <a:schemeClr val="accent1">
                  <a:lumMod val="60000"/>
                </a:schemeClr>
              </a:solidFill>
              <a:round/>
            </a:ln>
            <a:effectLst/>
          </c:spPr>
          <c:marker>
            <c:symbol val="none"/>
          </c:marker>
          <c:cat>
            <c:numRef>
              <c:f>'Tekošais konts_Y'!$F$2:$R$2</c:f>
              <c:numCache>
                <c:formatCode>General</c:formatCod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numCache>
            </c:numRef>
          </c:cat>
          <c:val>
            <c:numRef>
              <c:f>'Tekošais konts_Y'!$F$9:$T$9</c:f>
              <c:numCache>
                <c:formatCode>0.0%</c:formatCode>
                <c:ptCount val="15"/>
                <c:pt idx="0">
                  <c:v>-0.10869251023395431</c:v>
                </c:pt>
                <c:pt idx="1">
                  <c:v>0.10042101034904827</c:v>
                </c:pt>
                <c:pt idx="2">
                  <c:v>3.6488319867669025E-2</c:v>
                </c:pt>
                <c:pt idx="3">
                  <c:v>-1.23457789579353E-2</c:v>
                </c:pt>
                <c:pt idx="4">
                  <c:v>-7.4802315496553954E-3</c:v>
                </c:pt>
                <c:pt idx="5">
                  <c:v>-2.7253933248084206E-3</c:v>
                </c:pt>
                <c:pt idx="6">
                  <c:v>1.3798473380924804E-2</c:v>
                </c:pt>
                <c:pt idx="7">
                  <c:v>2.2505175172876778E-2</c:v>
                </c:pt>
                <c:pt idx="8">
                  <c:v>2.7905520421401736E-2</c:v>
                </c:pt>
                <c:pt idx="9">
                  <c:v>2.2494450782049043E-2</c:v>
                </c:pt>
                <c:pt idx="10">
                  <c:v>1.6155833614259613E-2</c:v>
                </c:pt>
                <c:pt idx="11">
                  <c:v>8.9638900283894544E-3</c:v>
                </c:pt>
                <c:pt idx="12">
                  <c:v>4.3044763418024899E-2</c:v>
                </c:pt>
                <c:pt idx="13">
                  <c:v>-2.8522448730228519E-2</c:v>
                </c:pt>
                <c:pt idx="14">
                  <c:v>-5.2532279780934506E-2</c:v>
                </c:pt>
              </c:numCache>
            </c:numRef>
          </c:val>
          <c:smooth val="1"/>
          <c:extLst>
            <c:ext xmlns:c16="http://schemas.microsoft.com/office/drawing/2014/chart" uri="{C3380CC4-5D6E-409C-BE32-E72D297353CC}">
              <c16:uniqueId val="{00000005-2A37-40C4-B2A3-F6DCF8F6B093}"/>
            </c:ext>
          </c:extLst>
        </c:ser>
        <c:dLbls>
          <c:showLegendKey val="0"/>
          <c:showVal val="0"/>
          <c:showCatName val="0"/>
          <c:showSerName val="0"/>
          <c:showPercent val="0"/>
          <c:showBubbleSize val="0"/>
        </c:dLbls>
        <c:marker val="1"/>
        <c:smooth val="0"/>
        <c:axId val="351090024"/>
        <c:axId val="351090416"/>
      </c:lineChart>
      <c:catAx>
        <c:axId val="351089240"/>
        <c:scaling>
          <c:orientation val="minMax"/>
        </c:scaling>
        <c:delete val="0"/>
        <c:axPos val="b"/>
        <c:numFmt formatCode="General" sourceLinked="1"/>
        <c:majorTickMark val="none"/>
        <c:minorTickMark val="none"/>
        <c:tickLblPos val="low"/>
        <c:spPr>
          <a:noFill/>
          <a:ln w="9525" cap="flat" cmpd="sng" algn="ctr">
            <a:solidFill>
              <a:schemeClr val="tx1"/>
            </a:solidFill>
            <a:round/>
          </a:ln>
          <a:effectLst/>
        </c:spPr>
        <c:txPr>
          <a:bodyPr rot="-60000000" vert="horz"/>
          <a:lstStyle/>
          <a:p>
            <a:pPr>
              <a:defRPr/>
            </a:pPr>
            <a:endParaRPr lang="lv-LV"/>
          </a:p>
        </c:txPr>
        <c:crossAx val="351089632"/>
        <c:crosses val="autoZero"/>
        <c:auto val="1"/>
        <c:lblAlgn val="ctr"/>
        <c:lblOffset val="100"/>
        <c:noMultiLvlLbl val="0"/>
      </c:catAx>
      <c:valAx>
        <c:axId val="351089632"/>
        <c:scaling>
          <c:orientation val="minMax"/>
          <c:max val="5000"/>
          <c:min val="-5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ln w="6350">
            <a:noFill/>
          </a:ln>
        </c:spPr>
        <c:txPr>
          <a:bodyPr rot="-60000000" vert="horz"/>
          <a:lstStyle/>
          <a:p>
            <a:pPr>
              <a:defRPr/>
            </a:pPr>
            <a:endParaRPr lang="lv-LV"/>
          </a:p>
        </c:txPr>
        <c:crossAx val="351089240"/>
        <c:crosses val="autoZero"/>
        <c:crossBetween val="between"/>
      </c:valAx>
      <c:catAx>
        <c:axId val="351090024"/>
        <c:scaling>
          <c:orientation val="minMax"/>
        </c:scaling>
        <c:delete val="1"/>
        <c:axPos val="b"/>
        <c:numFmt formatCode="General" sourceLinked="1"/>
        <c:majorTickMark val="out"/>
        <c:minorTickMark val="none"/>
        <c:tickLblPos val="nextTo"/>
        <c:crossAx val="351090416"/>
        <c:crosses val="autoZero"/>
        <c:auto val="1"/>
        <c:lblAlgn val="ctr"/>
        <c:lblOffset val="100"/>
        <c:noMultiLvlLbl val="0"/>
      </c:catAx>
      <c:valAx>
        <c:axId val="351090416"/>
        <c:scaling>
          <c:orientation val="minMax"/>
          <c:max val="0.14000000000000001"/>
          <c:min val="-0.14000000000000001"/>
        </c:scaling>
        <c:delete val="0"/>
        <c:axPos val="r"/>
        <c:numFmt formatCode="0%" sourceLinked="0"/>
        <c:majorTickMark val="none"/>
        <c:minorTickMark val="none"/>
        <c:tickLblPos val="nextTo"/>
        <c:spPr>
          <a:ln w="6350">
            <a:noFill/>
          </a:ln>
        </c:spPr>
        <c:txPr>
          <a:bodyPr rot="-60000000" vert="horz"/>
          <a:lstStyle/>
          <a:p>
            <a:pPr>
              <a:defRPr/>
            </a:pPr>
            <a:endParaRPr lang="lv-LV"/>
          </a:p>
        </c:txPr>
        <c:crossAx val="351090024"/>
        <c:crosses val="max"/>
        <c:crossBetween val="between"/>
        <c:majorUnit val="2.0000000000000004E-2"/>
      </c:valAx>
      <c:spPr>
        <a:noFill/>
        <a:ln w="25400">
          <a:noFill/>
        </a:ln>
      </c:spPr>
    </c:plotArea>
    <c:legend>
      <c:legendPos val="b"/>
      <c:layout>
        <c:manualLayout>
          <c:xMode val="edge"/>
          <c:yMode val="edge"/>
          <c:x val="1.1784721926846566E-2"/>
          <c:y val="0.82348733551424336"/>
          <c:w val="0.96320141109028778"/>
          <c:h val="0.1545788315484509"/>
        </c:manualLayout>
      </c:layout>
      <c:overlay val="0"/>
      <c:spPr>
        <a:noFill/>
        <a:ln w="25400">
          <a:noFill/>
        </a:ln>
      </c:spPr>
      <c:txPr>
        <a:bodyPr rot="0" vert="horz"/>
        <a:lstStyle/>
        <a:p>
          <a:pPr>
            <a:defRPr sz="950"/>
          </a:pPr>
          <a:endParaRPr lang="lv-LV"/>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5762321376494602E-2"/>
          <c:y val="3.7735849056603772E-2"/>
          <c:w val="0.87349693788276461"/>
          <c:h val="0.62785726827028265"/>
        </c:manualLayout>
      </c:layout>
      <c:barChart>
        <c:barDir val="col"/>
        <c:grouping val="stacked"/>
        <c:varyColors val="0"/>
        <c:ser>
          <c:idx val="0"/>
          <c:order val="0"/>
          <c:tx>
            <c:strRef>
              <c:f>PCI020m6!$CD$318</c:f>
              <c:strCache>
                <c:ptCount val="1"/>
                <c:pt idx="0">
                  <c:v>Pārējās preces un pakalpojumi</c:v>
                </c:pt>
              </c:strCache>
            </c:strRef>
          </c:tx>
          <c:spPr>
            <a:solidFill>
              <a:schemeClr val="accent5">
                <a:lumMod val="60000"/>
                <a:lumOff val="40000"/>
              </a:schemeClr>
            </a:solidFill>
            <a:ln>
              <a:noFill/>
            </a:ln>
            <a:effectLst/>
          </c:spPr>
          <c:invertIfNegative val="0"/>
          <c:cat>
            <c:multiLvlStrRef>
              <c:f>PCI020m6!$CE$2:$DD$3</c:f>
              <c:multiLvlStrCache>
                <c:ptCount val="26"/>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lvl>
                <c:lvl>
                  <c:pt idx="0">
                    <c:v>2021</c:v>
                  </c:pt>
                  <c:pt idx="12">
                    <c:v>2022</c:v>
                  </c:pt>
                  <c:pt idx="24">
                    <c:v>2023</c:v>
                  </c:pt>
                </c:lvl>
              </c:multiLvlStrCache>
            </c:multiLvlStrRef>
          </c:cat>
          <c:val>
            <c:numRef>
              <c:f>PCI020m6!$CE$318:$DD$318</c:f>
              <c:numCache>
                <c:formatCode>0.0</c:formatCode>
                <c:ptCount val="26"/>
                <c:pt idx="0">
                  <c:v>0.66599999999999993</c:v>
                </c:pt>
                <c:pt idx="1">
                  <c:v>0.56810000000000005</c:v>
                </c:pt>
                <c:pt idx="2">
                  <c:v>0.51770000000000005</c:v>
                </c:pt>
                <c:pt idx="3">
                  <c:v>0.4957999999999998</c:v>
                </c:pt>
                <c:pt idx="4">
                  <c:v>0.98289999999999988</c:v>
                </c:pt>
                <c:pt idx="5">
                  <c:v>1.2559</c:v>
                </c:pt>
                <c:pt idx="6">
                  <c:v>1.048</c:v>
                </c:pt>
                <c:pt idx="7">
                  <c:v>1.2099000000000002</c:v>
                </c:pt>
                <c:pt idx="8">
                  <c:v>1.3740999999999999</c:v>
                </c:pt>
                <c:pt idx="9">
                  <c:v>1.4060000000000004</c:v>
                </c:pt>
                <c:pt idx="10">
                  <c:v>1.8247</c:v>
                </c:pt>
                <c:pt idx="11">
                  <c:v>2.1870999999999996</c:v>
                </c:pt>
                <c:pt idx="12">
                  <c:v>2.4205999999999994</c:v>
                </c:pt>
                <c:pt idx="13">
                  <c:v>2.8167999999999984</c:v>
                </c:pt>
                <c:pt idx="14">
                  <c:v>3.4206000000000008</c:v>
                </c:pt>
                <c:pt idx="15">
                  <c:v>3.8330000000000002</c:v>
                </c:pt>
                <c:pt idx="16">
                  <c:v>4.1821999999999981</c:v>
                </c:pt>
                <c:pt idx="17">
                  <c:v>4.3510000000000009</c:v>
                </c:pt>
                <c:pt idx="18">
                  <c:v>4.7885999999999989</c:v>
                </c:pt>
                <c:pt idx="19">
                  <c:v>4.8180000000000014</c:v>
                </c:pt>
                <c:pt idx="20">
                  <c:v>5.4032</c:v>
                </c:pt>
                <c:pt idx="21">
                  <c:v>5.7157999999999998</c:v>
                </c:pt>
                <c:pt idx="22">
                  <c:v>6.4676000000000009</c:v>
                </c:pt>
                <c:pt idx="23">
                  <c:v>6.5306000000000015</c:v>
                </c:pt>
                <c:pt idx="24">
                  <c:v>5.4808000000000021</c:v>
                </c:pt>
                <c:pt idx="25">
                  <c:v>5.6917000000000018</c:v>
                </c:pt>
              </c:numCache>
            </c:numRef>
          </c:val>
          <c:extLst>
            <c:ext xmlns:c16="http://schemas.microsoft.com/office/drawing/2014/chart" uri="{C3380CC4-5D6E-409C-BE32-E72D297353CC}">
              <c16:uniqueId val="{00000000-11E7-47D9-A96E-ECCE2ED105E0}"/>
            </c:ext>
          </c:extLst>
        </c:ser>
        <c:ser>
          <c:idx val="1"/>
          <c:order val="1"/>
          <c:tx>
            <c:strRef>
              <c:f>PCI020m6!$CD$319</c:f>
              <c:strCache>
                <c:ptCount val="1"/>
                <c:pt idx="0">
                  <c:v>Degviela</c:v>
                </c:pt>
              </c:strCache>
            </c:strRef>
          </c:tx>
          <c:spPr>
            <a:solidFill>
              <a:schemeClr val="accent2">
                <a:lumMod val="60000"/>
                <a:lumOff val="40000"/>
              </a:schemeClr>
            </a:solidFill>
            <a:ln>
              <a:noFill/>
            </a:ln>
            <a:effectLst/>
          </c:spPr>
          <c:invertIfNegative val="0"/>
          <c:cat>
            <c:multiLvlStrRef>
              <c:f>PCI020m6!$CE$2:$DD$3</c:f>
              <c:multiLvlStrCache>
                <c:ptCount val="26"/>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lvl>
                <c:lvl>
                  <c:pt idx="0">
                    <c:v>2021</c:v>
                  </c:pt>
                  <c:pt idx="12">
                    <c:v>2022</c:v>
                  </c:pt>
                  <c:pt idx="24">
                    <c:v>2023</c:v>
                  </c:pt>
                </c:lvl>
              </c:multiLvlStrCache>
            </c:multiLvlStrRef>
          </c:cat>
          <c:val>
            <c:numRef>
              <c:f>PCI020m6!$CE$319:$DD$319</c:f>
              <c:numCache>
                <c:formatCode>0.0</c:formatCode>
                <c:ptCount val="26"/>
                <c:pt idx="0">
                  <c:v>-0.69299999999999995</c:v>
                </c:pt>
                <c:pt idx="1">
                  <c:v>-0.25850000000000001</c:v>
                </c:pt>
                <c:pt idx="2">
                  <c:v>0.33549999999999996</c:v>
                </c:pt>
                <c:pt idx="3">
                  <c:v>1.3640000000000001</c:v>
                </c:pt>
                <c:pt idx="4">
                  <c:v>1.6225000000000001</c:v>
                </c:pt>
                <c:pt idx="5">
                  <c:v>1.0945</c:v>
                </c:pt>
                <c:pt idx="6">
                  <c:v>0.97900000000000009</c:v>
                </c:pt>
                <c:pt idx="7">
                  <c:v>1.0505</c:v>
                </c:pt>
                <c:pt idx="8">
                  <c:v>1.0615000000000001</c:v>
                </c:pt>
                <c:pt idx="9">
                  <c:v>1.837</c:v>
                </c:pt>
                <c:pt idx="10">
                  <c:v>2.1505000000000001</c:v>
                </c:pt>
                <c:pt idx="11">
                  <c:v>1.6665000000000001</c:v>
                </c:pt>
                <c:pt idx="12">
                  <c:v>1.4202000000000001</c:v>
                </c:pt>
                <c:pt idx="13">
                  <c:v>1.4364000000000003</c:v>
                </c:pt>
                <c:pt idx="14">
                  <c:v>2.3382000000000001</c:v>
                </c:pt>
                <c:pt idx="15">
                  <c:v>2.4678000000000004</c:v>
                </c:pt>
                <c:pt idx="16">
                  <c:v>2.7594000000000003</c:v>
                </c:pt>
                <c:pt idx="17">
                  <c:v>3.2562000000000002</c:v>
                </c:pt>
                <c:pt idx="18">
                  <c:v>2.7810000000000001</c:v>
                </c:pt>
                <c:pt idx="19">
                  <c:v>2.1816</c:v>
                </c:pt>
                <c:pt idx="20">
                  <c:v>2.0196000000000001</c:v>
                </c:pt>
                <c:pt idx="21">
                  <c:v>1.7334000000000003</c:v>
                </c:pt>
                <c:pt idx="22">
                  <c:v>1.5335999999999999</c:v>
                </c:pt>
                <c:pt idx="23">
                  <c:v>0.9665999999999999</c:v>
                </c:pt>
                <c:pt idx="24">
                  <c:v>1.1926000000000001</c:v>
                </c:pt>
                <c:pt idx="25">
                  <c:v>0.80400000000000005</c:v>
                </c:pt>
              </c:numCache>
            </c:numRef>
          </c:val>
          <c:extLst>
            <c:ext xmlns:c16="http://schemas.microsoft.com/office/drawing/2014/chart" uri="{C3380CC4-5D6E-409C-BE32-E72D297353CC}">
              <c16:uniqueId val="{00000001-11E7-47D9-A96E-ECCE2ED105E0}"/>
            </c:ext>
          </c:extLst>
        </c:ser>
        <c:ser>
          <c:idx val="2"/>
          <c:order val="2"/>
          <c:tx>
            <c:strRef>
              <c:f>PCI020m6!$CD$320</c:f>
              <c:strCache>
                <c:ptCount val="1"/>
                <c:pt idx="0">
                  <c:v>Enerģija*</c:v>
                </c:pt>
              </c:strCache>
            </c:strRef>
          </c:tx>
          <c:spPr>
            <a:solidFill>
              <a:schemeClr val="bg1">
                <a:lumMod val="75000"/>
              </a:schemeClr>
            </a:solidFill>
            <a:ln>
              <a:noFill/>
            </a:ln>
            <a:effectLst/>
          </c:spPr>
          <c:invertIfNegative val="0"/>
          <c:cat>
            <c:multiLvlStrRef>
              <c:f>PCI020m6!$CE$2:$DD$3</c:f>
              <c:multiLvlStrCache>
                <c:ptCount val="26"/>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lvl>
                <c:lvl>
                  <c:pt idx="0">
                    <c:v>2021</c:v>
                  </c:pt>
                  <c:pt idx="12">
                    <c:v>2022</c:v>
                  </c:pt>
                  <c:pt idx="24">
                    <c:v>2023</c:v>
                  </c:pt>
                </c:lvl>
              </c:multiLvlStrCache>
            </c:multiLvlStrRef>
          </c:cat>
          <c:val>
            <c:numRef>
              <c:f>PCI020m6!$CE$320:$DD$320</c:f>
              <c:numCache>
                <c:formatCode>0.0</c:formatCode>
                <c:ptCount val="26"/>
                <c:pt idx="0">
                  <c:v>-0.45120000000000005</c:v>
                </c:pt>
                <c:pt idx="1">
                  <c:v>-0.42240000000000005</c:v>
                </c:pt>
                <c:pt idx="2">
                  <c:v>-0.42240000000000005</c:v>
                </c:pt>
                <c:pt idx="3">
                  <c:v>-0.26879999999999998</c:v>
                </c:pt>
                <c:pt idx="4">
                  <c:v>-0.2016</c:v>
                </c:pt>
                <c:pt idx="5">
                  <c:v>-8.6400000000000005E-2</c:v>
                </c:pt>
                <c:pt idx="6">
                  <c:v>0.48959999999999998</c:v>
                </c:pt>
                <c:pt idx="7">
                  <c:v>0.96</c:v>
                </c:pt>
                <c:pt idx="8">
                  <c:v>1.536</c:v>
                </c:pt>
                <c:pt idx="9">
                  <c:v>1.776</c:v>
                </c:pt>
                <c:pt idx="10">
                  <c:v>2.3040000000000003</c:v>
                </c:pt>
                <c:pt idx="11">
                  <c:v>2.4768000000000003</c:v>
                </c:pt>
                <c:pt idx="12">
                  <c:v>1.3064</c:v>
                </c:pt>
                <c:pt idx="13">
                  <c:v>1.4259999999999999</c:v>
                </c:pt>
                <c:pt idx="14">
                  <c:v>1.978</c:v>
                </c:pt>
                <c:pt idx="15">
                  <c:v>2.2447999999999997</c:v>
                </c:pt>
                <c:pt idx="16">
                  <c:v>5.2991999999999999</c:v>
                </c:pt>
                <c:pt idx="17">
                  <c:v>6.0351999999999997</c:v>
                </c:pt>
                <c:pt idx="18">
                  <c:v>7.7096</c:v>
                </c:pt>
                <c:pt idx="19">
                  <c:v>7.9211999999999989</c:v>
                </c:pt>
                <c:pt idx="20">
                  <c:v>7.7371999999999996</c:v>
                </c:pt>
                <c:pt idx="21">
                  <c:v>6.7988000000000008</c:v>
                </c:pt>
                <c:pt idx="22">
                  <c:v>6.2468000000000004</c:v>
                </c:pt>
                <c:pt idx="23">
                  <c:v>5.8788</c:v>
                </c:pt>
                <c:pt idx="24">
                  <c:v>7.6355999999999993</c:v>
                </c:pt>
                <c:pt idx="25">
                  <c:v>7.3527999999999993</c:v>
                </c:pt>
              </c:numCache>
            </c:numRef>
          </c:val>
          <c:extLst>
            <c:ext xmlns:c16="http://schemas.microsoft.com/office/drawing/2014/chart" uri="{C3380CC4-5D6E-409C-BE32-E72D297353CC}">
              <c16:uniqueId val="{00000002-11E7-47D9-A96E-ECCE2ED105E0}"/>
            </c:ext>
          </c:extLst>
        </c:ser>
        <c:ser>
          <c:idx val="3"/>
          <c:order val="3"/>
          <c:tx>
            <c:strRef>
              <c:f>PCI020m6!$CD$321</c:f>
              <c:strCache>
                <c:ptCount val="1"/>
                <c:pt idx="0">
                  <c:v>Pārtika</c:v>
                </c:pt>
              </c:strCache>
            </c:strRef>
          </c:tx>
          <c:spPr>
            <a:solidFill>
              <a:schemeClr val="accent6">
                <a:lumMod val="60000"/>
                <a:lumOff val="40000"/>
              </a:schemeClr>
            </a:solidFill>
            <a:ln>
              <a:noFill/>
            </a:ln>
            <a:effectLst/>
          </c:spPr>
          <c:invertIfNegative val="0"/>
          <c:cat>
            <c:multiLvlStrRef>
              <c:f>PCI020m6!$CE$2:$DD$3</c:f>
              <c:multiLvlStrCache>
                <c:ptCount val="26"/>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lvl>
                <c:lvl>
                  <c:pt idx="0">
                    <c:v>2021</c:v>
                  </c:pt>
                  <c:pt idx="12">
                    <c:v>2022</c:v>
                  </c:pt>
                  <c:pt idx="24">
                    <c:v>2023</c:v>
                  </c:pt>
                </c:lvl>
              </c:multiLvlStrCache>
            </c:multiLvlStrRef>
          </c:cat>
          <c:val>
            <c:numRef>
              <c:f>PCI020m6!$CE$321:$DD$321</c:f>
              <c:numCache>
                <c:formatCode>0.0</c:formatCode>
                <c:ptCount val="26"/>
                <c:pt idx="0">
                  <c:v>-2.18E-2</c:v>
                </c:pt>
                <c:pt idx="1">
                  <c:v>-8.72E-2</c:v>
                </c:pt>
                <c:pt idx="2">
                  <c:v>-0.1308</c:v>
                </c:pt>
                <c:pt idx="3">
                  <c:v>0.109</c:v>
                </c:pt>
                <c:pt idx="4">
                  <c:v>0.19620000000000001</c:v>
                </c:pt>
                <c:pt idx="5">
                  <c:v>0.436</c:v>
                </c:pt>
                <c:pt idx="6">
                  <c:v>0.28339999999999999</c:v>
                </c:pt>
                <c:pt idx="7">
                  <c:v>0.47960000000000003</c:v>
                </c:pt>
                <c:pt idx="8">
                  <c:v>0.82839999999999991</c:v>
                </c:pt>
                <c:pt idx="9">
                  <c:v>0.98099999999999998</c:v>
                </c:pt>
                <c:pt idx="10">
                  <c:v>1.2207999999999999</c:v>
                </c:pt>
                <c:pt idx="11">
                  <c:v>1.5696000000000001</c:v>
                </c:pt>
                <c:pt idx="12">
                  <c:v>2.2528000000000001</c:v>
                </c:pt>
                <c:pt idx="13">
                  <c:v>3.0208000000000004</c:v>
                </c:pt>
                <c:pt idx="14">
                  <c:v>3.7631999999999999</c:v>
                </c:pt>
                <c:pt idx="15">
                  <c:v>4.4543999999999997</c:v>
                </c:pt>
                <c:pt idx="16">
                  <c:v>4.6592000000000002</c:v>
                </c:pt>
                <c:pt idx="17">
                  <c:v>5.6576000000000004</c:v>
                </c:pt>
                <c:pt idx="18">
                  <c:v>6.2208000000000006</c:v>
                </c:pt>
                <c:pt idx="19">
                  <c:v>6.5792000000000002</c:v>
                </c:pt>
                <c:pt idx="20">
                  <c:v>7.04</c:v>
                </c:pt>
                <c:pt idx="21">
                  <c:v>7.5520000000000005</c:v>
                </c:pt>
                <c:pt idx="22">
                  <c:v>7.5520000000000005</c:v>
                </c:pt>
                <c:pt idx="23">
                  <c:v>7.4240000000000004</c:v>
                </c:pt>
                <c:pt idx="24">
                  <c:v>7.1909999999999998</c:v>
                </c:pt>
                <c:pt idx="25">
                  <c:v>6.4515000000000002</c:v>
                </c:pt>
              </c:numCache>
            </c:numRef>
          </c:val>
          <c:extLst>
            <c:ext xmlns:c16="http://schemas.microsoft.com/office/drawing/2014/chart" uri="{C3380CC4-5D6E-409C-BE32-E72D297353CC}">
              <c16:uniqueId val="{00000003-11E7-47D9-A96E-ECCE2ED105E0}"/>
            </c:ext>
          </c:extLst>
        </c:ser>
        <c:dLbls>
          <c:showLegendKey val="0"/>
          <c:showVal val="0"/>
          <c:showCatName val="0"/>
          <c:showSerName val="0"/>
          <c:showPercent val="0"/>
          <c:showBubbleSize val="0"/>
        </c:dLbls>
        <c:gapWidth val="50"/>
        <c:overlap val="100"/>
        <c:axId val="1258391151"/>
        <c:axId val="1258380335"/>
      </c:barChart>
      <c:lineChart>
        <c:grouping val="standard"/>
        <c:varyColors val="0"/>
        <c:ser>
          <c:idx val="4"/>
          <c:order val="4"/>
          <c:tx>
            <c:strRef>
              <c:f>PCI020m6!$CD$322</c:f>
              <c:strCache>
                <c:ptCount val="1"/>
                <c:pt idx="0">
                  <c:v>PCI, %</c:v>
                </c:pt>
              </c:strCache>
            </c:strRef>
          </c:tx>
          <c:spPr>
            <a:ln w="19050" cap="rnd">
              <a:solidFill>
                <a:schemeClr val="tx1"/>
              </a:solidFill>
              <a:round/>
            </a:ln>
            <a:effectLst/>
          </c:spPr>
          <c:marker>
            <c:symbol val="none"/>
          </c:marker>
          <c:cat>
            <c:multiLvlStrRef>
              <c:f>PCI020m6!$CE$2:$DD$3</c:f>
              <c:multiLvlStrCache>
                <c:ptCount val="26"/>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lvl>
                <c:lvl>
                  <c:pt idx="0">
                    <c:v>2021</c:v>
                  </c:pt>
                  <c:pt idx="12">
                    <c:v>2022</c:v>
                  </c:pt>
                  <c:pt idx="24">
                    <c:v>2023</c:v>
                  </c:pt>
                </c:lvl>
              </c:multiLvlStrCache>
            </c:multiLvlStrRef>
          </c:cat>
          <c:val>
            <c:numRef>
              <c:f>PCI020m6!$CE$322:$DD$322</c:f>
              <c:numCache>
                <c:formatCode>0.0</c:formatCode>
                <c:ptCount val="26"/>
                <c:pt idx="0">
                  <c:v>-0.5</c:v>
                </c:pt>
                <c:pt idx="1">
                  <c:v>-0.2</c:v>
                </c:pt>
                <c:pt idx="2">
                  <c:v>0.3</c:v>
                </c:pt>
                <c:pt idx="3">
                  <c:v>1.7</c:v>
                </c:pt>
                <c:pt idx="4">
                  <c:v>2.6</c:v>
                </c:pt>
                <c:pt idx="5">
                  <c:v>2.7</c:v>
                </c:pt>
                <c:pt idx="6">
                  <c:v>2.8</c:v>
                </c:pt>
                <c:pt idx="7">
                  <c:v>3.7</c:v>
                </c:pt>
                <c:pt idx="8">
                  <c:v>4.8</c:v>
                </c:pt>
                <c:pt idx="9">
                  <c:v>6</c:v>
                </c:pt>
                <c:pt idx="10">
                  <c:v>7.5</c:v>
                </c:pt>
                <c:pt idx="11">
                  <c:v>7.9</c:v>
                </c:pt>
                <c:pt idx="12">
                  <c:v>7.4</c:v>
                </c:pt>
                <c:pt idx="13">
                  <c:v>8.6999999999999993</c:v>
                </c:pt>
                <c:pt idx="14">
                  <c:v>11.5</c:v>
                </c:pt>
                <c:pt idx="15">
                  <c:v>13</c:v>
                </c:pt>
                <c:pt idx="16">
                  <c:v>16.899999999999999</c:v>
                </c:pt>
                <c:pt idx="17">
                  <c:v>19.3</c:v>
                </c:pt>
                <c:pt idx="18">
                  <c:v>21.5</c:v>
                </c:pt>
                <c:pt idx="19">
                  <c:v>21.5</c:v>
                </c:pt>
                <c:pt idx="20">
                  <c:v>22.2</c:v>
                </c:pt>
                <c:pt idx="21">
                  <c:v>21.8</c:v>
                </c:pt>
                <c:pt idx="22">
                  <c:v>21.8</c:v>
                </c:pt>
                <c:pt idx="23">
                  <c:v>20.8</c:v>
                </c:pt>
                <c:pt idx="24">
                  <c:v>21.5</c:v>
                </c:pt>
                <c:pt idx="25">
                  <c:v>20.3</c:v>
                </c:pt>
              </c:numCache>
            </c:numRef>
          </c:val>
          <c:smooth val="0"/>
          <c:extLst>
            <c:ext xmlns:c16="http://schemas.microsoft.com/office/drawing/2014/chart" uri="{C3380CC4-5D6E-409C-BE32-E72D297353CC}">
              <c16:uniqueId val="{00000004-11E7-47D9-A96E-ECCE2ED105E0}"/>
            </c:ext>
          </c:extLst>
        </c:ser>
        <c:dLbls>
          <c:showLegendKey val="0"/>
          <c:showVal val="0"/>
          <c:showCatName val="0"/>
          <c:showSerName val="0"/>
          <c:showPercent val="0"/>
          <c:showBubbleSize val="0"/>
        </c:dLbls>
        <c:marker val="1"/>
        <c:smooth val="0"/>
        <c:axId val="1258391151"/>
        <c:axId val="1258380335"/>
      </c:lineChart>
      <c:catAx>
        <c:axId val="1258391151"/>
        <c:scaling>
          <c:orientation val="minMax"/>
        </c:scaling>
        <c:delete val="0"/>
        <c:axPos val="b"/>
        <c:numFmt formatCode="General"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258380335"/>
        <c:crosses val="autoZero"/>
        <c:auto val="1"/>
        <c:lblAlgn val="ctr"/>
        <c:lblOffset val="100"/>
        <c:noMultiLvlLbl val="0"/>
      </c:catAx>
      <c:valAx>
        <c:axId val="1258380335"/>
        <c:scaling>
          <c:orientation val="minMax"/>
          <c:min val="-2"/>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258391151"/>
        <c:crosses val="autoZero"/>
        <c:crossBetween val="between"/>
        <c:majorUnit val="2"/>
      </c:valAx>
      <c:spPr>
        <a:noFill/>
        <a:ln>
          <a:noFill/>
        </a:ln>
        <a:effectLst/>
      </c:spPr>
    </c:plotArea>
    <c:legend>
      <c:legendPos val="b"/>
      <c:layout>
        <c:manualLayout>
          <c:xMode val="edge"/>
          <c:yMode val="edge"/>
          <c:x val="1.1656459609215514E-2"/>
          <c:y val="0.80848448832403663"/>
          <c:w val="0.9581682706328376"/>
          <c:h val="0.14005753568968543"/>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4">
    <c:autoUpdate val="0"/>
  </c:externalData>
  <c:userShapes r:id="rId5"/>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ES_inflācija!$D$3</c:f>
              <c:strCache>
                <c:ptCount val="1"/>
                <c:pt idx="0">
                  <c:v>2022.gads</c:v>
                </c:pt>
              </c:strCache>
            </c:strRef>
          </c:tx>
          <c:spPr>
            <a:solidFill>
              <a:schemeClr val="bg1">
                <a:lumMod val="65000"/>
              </a:schemeClr>
            </a:solidFill>
            <a:ln>
              <a:noFill/>
            </a:ln>
            <a:effectLst/>
          </c:spPr>
          <c:invertIfNegative val="0"/>
          <c:dPt>
            <c:idx val="2"/>
            <c:invertIfNegative val="0"/>
            <c:bubble3D val="0"/>
            <c:spPr>
              <a:solidFill>
                <a:schemeClr val="accent2">
                  <a:lumMod val="60000"/>
                  <a:lumOff val="40000"/>
                </a:schemeClr>
              </a:solidFill>
              <a:ln>
                <a:solidFill>
                  <a:srgbClr val="FF0000"/>
                </a:solidFill>
              </a:ln>
              <a:effectLst/>
            </c:spPr>
            <c:extLst>
              <c:ext xmlns:c16="http://schemas.microsoft.com/office/drawing/2014/chart" uri="{C3380CC4-5D6E-409C-BE32-E72D297353CC}">
                <c16:uniqueId val="{00000001-132E-421C-9098-A8F3D970A0D0}"/>
              </c:ext>
            </c:extLst>
          </c:dPt>
          <c:dPt>
            <c:idx val="14"/>
            <c:invertIfNegative val="0"/>
            <c:bubble3D val="0"/>
            <c:spPr>
              <a:solidFill>
                <a:schemeClr val="accent6">
                  <a:lumMod val="60000"/>
                  <a:lumOff val="40000"/>
                </a:schemeClr>
              </a:solidFill>
              <a:ln>
                <a:solidFill>
                  <a:srgbClr val="FF0000"/>
                </a:solidFill>
              </a:ln>
              <a:effectLst/>
            </c:spPr>
            <c:extLst>
              <c:ext xmlns:c16="http://schemas.microsoft.com/office/drawing/2014/chart" uri="{C3380CC4-5D6E-409C-BE32-E72D297353CC}">
                <c16:uniqueId val="{00000003-132E-421C-9098-A8F3D970A0D0}"/>
              </c:ext>
            </c:extLst>
          </c:dPt>
          <c:dPt>
            <c:idx val="19"/>
            <c:invertIfNegative val="0"/>
            <c:bubble3D val="0"/>
            <c:spPr>
              <a:solidFill>
                <a:schemeClr val="accent1">
                  <a:lumMod val="60000"/>
                  <a:lumOff val="40000"/>
                </a:schemeClr>
              </a:solidFill>
              <a:ln>
                <a:solidFill>
                  <a:srgbClr val="FF0000"/>
                </a:solidFill>
              </a:ln>
              <a:effectLst/>
            </c:spPr>
            <c:extLst>
              <c:ext xmlns:c16="http://schemas.microsoft.com/office/drawing/2014/chart" uri="{C3380CC4-5D6E-409C-BE32-E72D297353CC}">
                <c16:uniqueId val="{00000005-132E-421C-9098-A8F3D970A0D0}"/>
              </c:ext>
            </c:extLst>
          </c:dPt>
          <c:cat>
            <c:strRef>
              <c:f>ES_inflācija!$C$4:$C$32</c:f>
              <c:strCache>
                <c:ptCount val="29"/>
                <c:pt idx="0">
                  <c:v>Igaunija</c:v>
                </c:pt>
                <c:pt idx="1">
                  <c:v>Lietuva</c:v>
                </c:pt>
                <c:pt idx="2">
                  <c:v>Latvija</c:v>
                </c:pt>
                <c:pt idx="3">
                  <c:v>Ungārija</c:v>
                </c:pt>
                <c:pt idx="4">
                  <c:v>Čehija</c:v>
                </c:pt>
                <c:pt idx="5">
                  <c:v>Polija</c:v>
                </c:pt>
                <c:pt idx="6">
                  <c:v>Bulgārija</c:v>
                </c:pt>
                <c:pt idx="7">
                  <c:v>Slovākija</c:v>
                </c:pt>
                <c:pt idx="8">
                  <c:v>Rumānija</c:v>
                </c:pt>
                <c:pt idx="9">
                  <c:v>Nīderlande</c:v>
                </c:pt>
                <c:pt idx="10">
                  <c:v>Horvātija</c:v>
                </c:pt>
                <c:pt idx="11">
                  <c:v>Beļģija</c:v>
                </c:pt>
                <c:pt idx="12">
                  <c:v>Grieķija</c:v>
                </c:pt>
                <c:pt idx="13">
                  <c:v>Slovēnija</c:v>
                </c:pt>
                <c:pt idx="14">
                  <c:v>ES(27)</c:v>
                </c:pt>
                <c:pt idx="15">
                  <c:v>Vācija</c:v>
                </c:pt>
                <c:pt idx="16">
                  <c:v>Itālija</c:v>
                </c:pt>
                <c:pt idx="17">
                  <c:v>Austrija</c:v>
                </c:pt>
                <c:pt idx="18">
                  <c:v>Dānija</c:v>
                </c:pt>
                <c:pt idx="19">
                  <c:v>Eirozona</c:v>
                </c:pt>
                <c:pt idx="20">
                  <c:v>Spānija</c:v>
                </c:pt>
                <c:pt idx="21">
                  <c:v>Luksemburga</c:v>
                </c:pt>
                <c:pt idx="22">
                  <c:v>Īrija</c:v>
                </c:pt>
                <c:pt idx="23">
                  <c:v>Kipra</c:v>
                </c:pt>
                <c:pt idx="24">
                  <c:v>Portugāle</c:v>
                </c:pt>
                <c:pt idx="25">
                  <c:v>Zviedrija</c:v>
                </c:pt>
                <c:pt idx="26">
                  <c:v>Somija</c:v>
                </c:pt>
                <c:pt idx="27">
                  <c:v>Malta</c:v>
                </c:pt>
                <c:pt idx="28">
                  <c:v>Frāncija</c:v>
                </c:pt>
              </c:strCache>
            </c:strRef>
          </c:cat>
          <c:val>
            <c:numRef>
              <c:f>ES_inflācija!$D$4:$D$32</c:f>
              <c:numCache>
                <c:formatCode>General</c:formatCode>
                <c:ptCount val="29"/>
                <c:pt idx="0">
                  <c:v>19.399999999999999</c:v>
                </c:pt>
                <c:pt idx="1">
                  <c:v>18.899999999999999</c:v>
                </c:pt>
                <c:pt idx="2">
                  <c:v>17.2</c:v>
                </c:pt>
                <c:pt idx="3">
                  <c:v>15.3</c:v>
                </c:pt>
                <c:pt idx="4">
                  <c:v>14.8</c:v>
                </c:pt>
                <c:pt idx="5">
                  <c:v>13.2</c:v>
                </c:pt>
                <c:pt idx="6">
                  <c:v>13</c:v>
                </c:pt>
                <c:pt idx="7">
                  <c:v>12.1</c:v>
                </c:pt>
                <c:pt idx="8">
                  <c:v>12</c:v>
                </c:pt>
                <c:pt idx="9">
                  <c:v>11.6</c:v>
                </c:pt>
                <c:pt idx="10">
                  <c:v>10.7</c:v>
                </c:pt>
                <c:pt idx="11">
                  <c:v>10.3</c:v>
                </c:pt>
                <c:pt idx="12">
                  <c:v>9.3000000000000007</c:v>
                </c:pt>
                <c:pt idx="13">
                  <c:v>9.3000000000000007</c:v>
                </c:pt>
                <c:pt idx="14">
                  <c:v>9.1999999999999993</c:v>
                </c:pt>
                <c:pt idx="15">
                  <c:v>8.6999999999999993</c:v>
                </c:pt>
                <c:pt idx="16">
                  <c:v>8.6999999999999993</c:v>
                </c:pt>
                <c:pt idx="17">
                  <c:v>8.6</c:v>
                </c:pt>
                <c:pt idx="18">
                  <c:v>8.5</c:v>
                </c:pt>
                <c:pt idx="19">
                  <c:v>8.4</c:v>
                </c:pt>
                <c:pt idx="20">
                  <c:v>8.3000000000000007</c:v>
                </c:pt>
                <c:pt idx="21">
                  <c:v>8.1999999999999993</c:v>
                </c:pt>
                <c:pt idx="22">
                  <c:v>8.1</c:v>
                </c:pt>
                <c:pt idx="23">
                  <c:v>8.1</c:v>
                </c:pt>
                <c:pt idx="24">
                  <c:v>8.1</c:v>
                </c:pt>
                <c:pt idx="25">
                  <c:v>8.1</c:v>
                </c:pt>
                <c:pt idx="26">
                  <c:v>7.2</c:v>
                </c:pt>
                <c:pt idx="27">
                  <c:v>6.1</c:v>
                </c:pt>
                <c:pt idx="28">
                  <c:v>5.9</c:v>
                </c:pt>
              </c:numCache>
            </c:numRef>
          </c:val>
          <c:extLst>
            <c:ext xmlns:c16="http://schemas.microsoft.com/office/drawing/2014/chart" uri="{C3380CC4-5D6E-409C-BE32-E72D297353CC}">
              <c16:uniqueId val="{00000006-132E-421C-9098-A8F3D970A0D0}"/>
            </c:ext>
          </c:extLst>
        </c:ser>
        <c:dLbls>
          <c:showLegendKey val="0"/>
          <c:showVal val="0"/>
          <c:showCatName val="0"/>
          <c:showSerName val="0"/>
          <c:showPercent val="0"/>
          <c:showBubbleSize val="0"/>
        </c:dLbls>
        <c:gapWidth val="50"/>
        <c:axId val="1290418431"/>
        <c:axId val="1290420095"/>
      </c:barChart>
      <c:lineChart>
        <c:grouping val="standard"/>
        <c:varyColors val="0"/>
        <c:ser>
          <c:idx val="1"/>
          <c:order val="1"/>
          <c:tx>
            <c:strRef>
              <c:f>ES_inflācija!$E$3</c:f>
              <c:strCache>
                <c:ptCount val="1"/>
                <c:pt idx="0">
                  <c:v>2018.-2022.gada vidēji</c:v>
                </c:pt>
              </c:strCache>
            </c:strRef>
          </c:tx>
          <c:spPr>
            <a:ln w="28575" cap="rnd">
              <a:solidFill>
                <a:schemeClr val="accent2">
                  <a:alpha val="0"/>
                </a:schemeClr>
              </a:solidFill>
              <a:round/>
            </a:ln>
            <a:effectLst/>
          </c:spPr>
          <c:marker>
            <c:symbol val="diamond"/>
            <c:size val="8"/>
            <c:spPr>
              <a:solidFill>
                <a:schemeClr val="accent2">
                  <a:lumMod val="60000"/>
                  <a:lumOff val="40000"/>
                </a:schemeClr>
              </a:solidFill>
              <a:ln w="9525">
                <a:solidFill>
                  <a:schemeClr val="accent2"/>
                </a:solidFill>
              </a:ln>
              <a:effectLst/>
            </c:spPr>
          </c:marker>
          <c:dPt>
            <c:idx val="9"/>
            <c:marker>
              <c:symbol val="diamond"/>
              <c:size val="8"/>
              <c:spPr>
                <a:solidFill>
                  <a:schemeClr val="accent2">
                    <a:lumMod val="60000"/>
                    <a:lumOff val="40000"/>
                  </a:schemeClr>
                </a:solidFill>
                <a:ln w="9525">
                  <a:noFill/>
                </a:ln>
                <a:effectLst/>
              </c:spPr>
            </c:marker>
            <c:bubble3D val="0"/>
            <c:spPr>
              <a:ln w="28575" cap="rnd">
                <a:noFill/>
                <a:round/>
              </a:ln>
              <a:effectLst/>
            </c:spPr>
            <c:extLst>
              <c:ext xmlns:c16="http://schemas.microsoft.com/office/drawing/2014/chart" uri="{C3380CC4-5D6E-409C-BE32-E72D297353CC}">
                <c16:uniqueId val="{00000008-132E-421C-9098-A8F3D970A0D0}"/>
              </c:ext>
            </c:extLst>
          </c:dPt>
          <c:cat>
            <c:strRef>
              <c:f>ES_inflācija!$C$4:$C$32</c:f>
              <c:strCache>
                <c:ptCount val="29"/>
                <c:pt idx="0">
                  <c:v>Igaunija</c:v>
                </c:pt>
                <c:pt idx="1">
                  <c:v>Lietuva</c:v>
                </c:pt>
                <c:pt idx="2">
                  <c:v>Latvija</c:v>
                </c:pt>
                <c:pt idx="3">
                  <c:v>Ungārija</c:v>
                </c:pt>
                <c:pt idx="4">
                  <c:v>Čehija</c:v>
                </c:pt>
                <c:pt idx="5">
                  <c:v>Polija</c:v>
                </c:pt>
                <c:pt idx="6">
                  <c:v>Bulgārija</c:v>
                </c:pt>
                <c:pt idx="7">
                  <c:v>Slovākija</c:v>
                </c:pt>
                <c:pt idx="8">
                  <c:v>Rumānija</c:v>
                </c:pt>
                <c:pt idx="9">
                  <c:v>Nīderlande</c:v>
                </c:pt>
                <c:pt idx="10">
                  <c:v>Horvātija</c:v>
                </c:pt>
                <c:pt idx="11">
                  <c:v>Beļģija</c:v>
                </c:pt>
                <c:pt idx="12">
                  <c:v>Grieķija</c:v>
                </c:pt>
                <c:pt idx="13">
                  <c:v>Slovēnija</c:v>
                </c:pt>
                <c:pt idx="14">
                  <c:v>ES(27)</c:v>
                </c:pt>
                <c:pt idx="15">
                  <c:v>Vācija</c:v>
                </c:pt>
                <c:pt idx="16">
                  <c:v>Itālija</c:v>
                </c:pt>
                <c:pt idx="17">
                  <c:v>Austrija</c:v>
                </c:pt>
                <c:pt idx="18">
                  <c:v>Dānija</c:v>
                </c:pt>
                <c:pt idx="19">
                  <c:v>Eirozona</c:v>
                </c:pt>
                <c:pt idx="20">
                  <c:v>Spānija</c:v>
                </c:pt>
                <c:pt idx="21">
                  <c:v>Luksemburga</c:v>
                </c:pt>
                <c:pt idx="22">
                  <c:v>Īrija</c:v>
                </c:pt>
                <c:pt idx="23">
                  <c:v>Kipra</c:v>
                </c:pt>
                <c:pt idx="24">
                  <c:v>Portugāle</c:v>
                </c:pt>
                <c:pt idx="25">
                  <c:v>Zviedrija</c:v>
                </c:pt>
                <c:pt idx="26">
                  <c:v>Somija</c:v>
                </c:pt>
                <c:pt idx="27">
                  <c:v>Malta</c:v>
                </c:pt>
                <c:pt idx="28">
                  <c:v>Frāncija</c:v>
                </c:pt>
              </c:strCache>
            </c:strRef>
          </c:cat>
          <c:val>
            <c:numRef>
              <c:f>ES_inflācija!$E$4:$E$32</c:f>
              <c:numCache>
                <c:formatCode>General</c:formatCode>
                <c:ptCount val="29"/>
                <c:pt idx="0">
                  <c:v>5.8</c:v>
                </c:pt>
                <c:pt idx="1">
                  <c:v>5.8599999999999994</c:v>
                </c:pt>
                <c:pt idx="2">
                  <c:v>5.16</c:v>
                </c:pt>
                <c:pt idx="3">
                  <c:v>6.04</c:v>
                </c:pt>
                <c:pt idx="4">
                  <c:v>5.2</c:v>
                </c:pt>
                <c:pt idx="5">
                  <c:v>5.08</c:v>
                </c:pt>
                <c:pt idx="6">
                  <c:v>4.42</c:v>
                </c:pt>
                <c:pt idx="7">
                  <c:v>4.4399999999999995</c:v>
                </c:pt>
                <c:pt idx="8">
                  <c:v>5.2799999999999994</c:v>
                </c:pt>
                <c:pt idx="9">
                  <c:v>3.9599999999999995</c:v>
                </c:pt>
                <c:pt idx="10">
                  <c:v>3.16</c:v>
                </c:pt>
                <c:pt idx="11">
                  <c:v>3.4799999999999995</c:v>
                </c:pt>
                <c:pt idx="12">
                  <c:v>1.98</c:v>
                </c:pt>
                <c:pt idx="13">
                  <c:v>2.9200000000000004</c:v>
                </c:pt>
                <c:pt idx="14">
                  <c:v>3.2</c:v>
                </c:pt>
                <c:pt idx="15">
                  <c:v>3.12</c:v>
                </c:pt>
                <c:pt idx="16">
                  <c:v>2.46</c:v>
                </c:pt>
                <c:pt idx="17">
                  <c:v>3.28</c:v>
                </c:pt>
                <c:pt idx="18">
                  <c:v>2.42</c:v>
                </c:pt>
                <c:pt idx="19">
                  <c:v>2.8600000000000003</c:v>
                </c:pt>
                <c:pt idx="20">
                  <c:v>2.7</c:v>
                </c:pt>
                <c:pt idx="21">
                  <c:v>3.0599999999999996</c:v>
                </c:pt>
                <c:pt idx="22">
                  <c:v>2.3199999999999998</c:v>
                </c:pt>
                <c:pt idx="23">
                  <c:v>2.12</c:v>
                </c:pt>
                <c:pt idx="24">
                  <c:v>2.0799999999999996</c:v>
                </c:pt>
                <c:pt idx="25">
                  <c:v>3.04</c:v>
                </c:pt>
                <c:pt idx="26">
                  <c:v>2.4</c:v>
                </c:pt>
                <c:pt idx="27">
                  <c:v>2.16</c:v>
                </c:pt>
                <c:pt idx="28">
                  <c:v>2.38</c:v>
                </c:pt>
              </c:numCache>
            </c:numRef>
          </c:val>
          <c:smooth val="0"/>
          <c:extLst>
            <c:ext xmlns:c16="http://schemas.microsoft.com/office/drawing/2014/chart" uri="{C3380CC4-5D6E-409C-BE32-E72D297353CC}">
              <c16:uniqueId val="{00000009-132E-421C-9098-A8F3D970A0D0}"/>
            </c:ext>
          </c:extLst>
        </c:ser>
        <c:dLbls>
          <c:showLegendKey val="0"/>
          <c:showVal val="0"/>
          <c:showCatName val="0"/>
          <c:showSerName val="0"/>
          <c:showPercent val="0"/>
          <c:showBubbleSize val="0"/>
        </c:dLbls>
        <c:marker val="1"/>
        <c:smooth val="0"/>
        <c:axId val="1290418431"/>
        <c:axId val="1290420095"/>
      </c:lineChart>
      <c:catAx>
        <c:axId val="12904184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000" b="0" i="0" u="none" strike="noStrike" kern="1200" baseline="0">
                <a:solidFill>
                  <a:schemeClr val="tx1">
                    <a:lumMod val="85000"/>
                    <a:lumOff val="15000"/>
                  </a:schemeClr>
                </a:solidFill>
                <a:latin typeface="Times New Roman" panose="02020603050405020304" pitchFamily="18" charset="0"/>
                <a:ea typeface="+mn-ea"/>
                <a:cs typeface="Times New Roman" panose="02020603050405020304" pitchFamily="18" charset="0"/>
              </a:defRPr>
            </a:pPr>
            <a:endParaRPr lang="lv-LV"/>
          </a:p>
        </c:txPr>
        <c:crossAx val="1290420095"/>
        <c:crosses val="autoZero"/>
        <c:auto val="1"/>
        <c:lblAlgn val="ctr"/>
        <c:lblOffset val="100"/>
        <c:noMultiLvlLbl val="0"/>
      </c:catAx>
      <c:valAx>
        <c:axId val="1290420095"/>
        <c:scaling>
          <c:orientation val="minMax"/>
          <c:max val="2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2904184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lumMod val="85000"/>
              <a:lumOff val="15000"/>
            </a:schemeClr>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4.8175969937299862E-2"/>
          <c:y val="4.2742611718989673E-2"/>
          <c:w val="0.91690723525920925"/>
          <c:h val="0.69198690369889326"/>
        </c:manualLayout>
      </c:layout>
      <c:barChart>
        <c:barDir val="col"/>
        <c:grouping val="clustered"/>
        <c:varyColors val="0"/>
        <c:ser>
          <c:idx val="0"/>
          <c:order val="0"/>
          <c:tx>
            <c:strRef>
              <c:f>'2 graf'!$J$3</c:f>
              <c:strCache>
                <c:ptCount val="1"/>
                <c:pt idx="0">
                  <c:v>Nodarbināto skaits, tūkstoši (labā ass)</c:v>
                </c:pt>
              </c:strCache>
            </c:strRef>
          </c:tx>
          <c:spPr>
            <a:solidFill>
              <a:srgbClr val="4472C4">
                <a:lumMod val="60000"/>
                <a:lumOff val="40000"/>
              </a:srgbClr>
            </a:solidFill>
          </c:spPr>
          <c:invertIfNegative val="0"/>
          <c:cat>
            <c:numRef>
              <c:f>'2 graf'!$K$2:$Y$2</c:f>
              <c:numCache>
                <c:formatCode>General</c:formatCode>
                <c:ptCount val="15"/>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numCache>
            </c:numRef>
          </c:cat>
          <c:val>
            <c:numRef>
              <c:f>'2 graf'!$K$3:$Y$3</c:f>
              <c:numCache>
                <c:formatCode>0.0</c:formatCode>
                <c:ptCount val="15"/>
                <c:pt idx="0">
                  <c:v>1054.9000000000001</c:v>
                </c:pt>
                <c:pt idx="1">
                  <c:v>908.5</c:v>
                </c:pt>
                <c:pt idx="2">
                  <c:v>851</c:v>
                </c:pt>
                <c:pt idx="3">
                  <c:v>862</c:v>
                </c:pt>
                <c:pt idx="4">
                  <c:v>876</c:v>
                </c:pt>
                <c:pt idx="5">
                  <c:v>894</c:v>
                </c:pt>
                <c:pt idx="6">
                  <c:v>885</c:v>
                </c:pt>
                <c:pt idx="7">
                  <c:v>896</c:v>
                </c:pt>
                <c:pt idx="8">
                  <c:v>893</c:v>
                </c:pt>
                <c:pt idx="9">
                  <c:v>895</c:v>
                </c:pt>
                <c:pt idx="10">
                  <c:v>909</c:v>
                </c:pt>
                <c:pt idx="11" formatCode="0">
                  <c:v>910</c:v>
                </c:pt>
                <c:pt idx="12" formatCode="0">
                  <c:v>893</c:v>
                </c:pt>
                <c:pt idx="13" formatCode="0">
                  <c:v>864</c:v>
                </c:pt>
                <c:pt idx="14" formatCode="0">
                  <c:v>886</c:v>
                </c:pt>
              </c:numCache>
            </c:numRef>
          </c:val>
          <c:extLst>
            <c:ext xmlns:c16="http://schemas.microsoft.com/office/drawing/2014/chart" uri="{C3380CC4-5D6E-409C-BE32-E72D297353CC}">
              <c16:uniqueId val="{00000000-9DE5-4EDE-83D0-A09AE2EADB22}"/>
            </c:ext>
          </c:extLst>
        </c:ser>
        <c:dLbls>
          <c:showLegendKey val="0"/>
          <c:showVal val="0"/>
          <c:showCatName val="0"/>
          <c:showSerName val="0"/>
          <c:showPercent val="0"/>
          <c:showBubbleSize val="0"/>
        </c:dLbls>
        <c:gapWidth val="50"/>
        <c:axId val="396118440"/>
        <c:axId val="393060176"/>
      </c:barChart>
      <c:lineChart>
        <c:grouping val="standard"/>
        <c:varyColors val="0"/>
        <c:ser>
          <c:idx val="1"/>
          <c:order val="1"/>
          <c:tx>
            <c:strRef>
              <c:f>'2 graf'!$J$4</c:f>
              <c:strCache>
                <c:ptCount val="1"/>
                <c:pt idx="0">
                  <c:v>Darba meklētāji, % no ekonomiski aktīvajiem iedzīvotājiem (kreisā ass)</c:v>
                </c:pt>
              </c:strCache>
            </c:strRef>
          </c:tx>
          <c:spPr>
            <a:ln>
              <a:solidFill>
                <a:srgbClr val="FF0000"/>
              </a:solidFill>
              <a:prstDash val="solid"/>
            </a:ln>
          </c:spPr>
          <c:marker>
            <c:symbol val="none"/>
          </c:marker>
          <c:dPt>
            <c:idx val="0"/>
            <c:bubble3D val="0"/>
            <c:spPr>
              <a:ln>
                <a:solidFill>
                  <a:srgbClr val="FF0000"/>
                </a:solidFill>
                <a:prstDash val="solid"/>
              </a:ln>
            </c:spPr>
            <c:extLst>
              <c:ext xmlns:c16="http://schemas.microsoft.com/office/drawing/2014/chart" uri="{C3380CC4-5D6E-409C-BE32-E72D297353CC}">
                <c16:uniqueId val="{00000002-9DE5-4EDE-83D0-A09AE2EADB22}"/>
              </c:ext>
            </c:extLst>
          </c:dPt>
          <c:dPt>
            <c:idx val="1"/>
            <c:bubble3D val="0"/>
            <c:extLst>
              <c:ext xmlns:c16="http://schemas.microsoft.com/office/drawing/2014/chart" uri="{C3380CC4-5D6E-409C-BE32-E72D297353CC}">
                <c16:uniqueId val="{00000003-9DE5-4EDE-83D0-A09AE2EADB22}"/>
              </c:ext>
            </c:extLst>
          </c:dPt>
          <c:dPt>
            <c:idx val="2"/>
            <c:bubble3D val="0"/>
            <c:extLst>
              <c:ext xmlns:c16="http://schemas.microsoft.com/office/drawing/2014/chart" uri="{C3380CC4-5D6E-409C-BE32-E72D297353CC}">
                <c16:uniqueId val="{00000004-9DE5-4EDE-83D0-A09AE2EADB22}"/>
              </c:ext>
            </c:extLst>
          </c:dPt>
          <c:dPt>
            <c:idx val="3"/>
            <c:bubble3D val="0"/>
            <c:extLst>
              <c:ext xmlns:c16="http://schemas.microsoft.com/office/drawing/2014/chart" uri="{C3380CC4-5D6E-409C-BE32-E72D297353CC}">
                <c16:uniqueId val="{00000005-9DE5-4EDE-83D0-A09AE2EADB22}"/>
              </c:ext>
            </c:extLst>
          </c:dPt>
          <c:dPt>
            <c:idx val="4"/>
            <c:bubble3D val="0"/>
            <c:extLst>
              <c:ext xmlns:c16="http://schemas.microsoft.com/office/drawing/2014/chart" uri="{C3380CC4-5D6E-409C-BE32-E72D297353CC}">
                <c16:uniqueId val="{00000006-9DE5-4EDE-83D0-A09AE2EADB22}"/>
              </c:ext>
            </c:extLst>
          </c:dPt>
          <c:dPt>
            <c:idx val="5"/>
            <c:bubble3D val="0"/>
            <c:extLst>
              <c:ext xmlns:c16="http://schemas.microsoft.com/office/drawing/2014/chart" uri="{C3380CC4-5D6E-409C-BE32-E72D297353CC}">
                <c16:uniqueId val="{00000007-9DE5-4EDE-83D0-A09AE2EADB22}"/>
              </c:ext>
            </c:extLst>
          </c:dPt>
          <c:dPt>
            <c:idx val="6"/>
            <c:bubble3D val="0"/>
            <c:extLst>
              <c:ext xmlns:c16="http://schemas.microsoft.com/office/drawing/2014/chart" uri="{C3380CC4-5D6E-409C-BE32-E72D297353CC}">
                <c16:uniqueId val="{00000008-9DE5-4EDE-83D0-A09AE2EADB22}"/>
              </c:ext>
            </c:extLst>
          </c:dPt>
          <c:dPt>
            <c:idx val="7"/>
            <c:bubble3D val="0"/>
            <c:extLst>
              <c:ext xmlns:c16="http://schemas.microsoft.com/office/drawing/2014/chart" uri="{C3380CC4-5D6E-409C-BE32-E72D297353CC}">
                <c16:uniqueId val="{00000009-9DE5-4EDE-83D0-A09AE2EADB22}"/>
              </c:ext>
            </c:extLst>
          </c:dPt>
          <c:dPt>
            <c:idx val="8"/>
            <c:bubble3D val="0"/>
            <c:extLst>
              <c:ext xmlns:c16="http://schemas.microsoft.com/office/drawing/2014/chart" uri="{C3380CC4-5D6E-409C-BE32-E72D297353CC}">
                <c16:uniqueId val="{0000000A-9DE5-4EDE-83D0-A09AE2EADB22}"/>
              </c:ext>
            </c:extLst>
          </c:dPt>
          <c:dPt>
            <c:idx val="9"/>
            <c:bubble3D val="0"/>
            <c:extLst>
              <c:ext xmlns:c16="http://schemas.microsoft.com/office/drawing/2014/chart" uri="{C3380CC4-5D6E-409C-BE32-E72D297353CC}">
                <c16:uniqueId val="{0000000B-9DE5-4EDE-83D0-A09AE2EADB22}"/>
              </c:ext>
            </c:extLst>
          </c:dPt>
          <c:dPt>
            <c:idx val="10"/>
            <c:bubble3D val="0"/>
            <c:extLst>
              <c:ext xmlns:c16="http://schemas.microsoft.com/office/drawing/2014/chart" uri="{C3380CC4-5D6E-409C-BE32-E72D297353CC}">
                <c16:uniqueId val="{0000000C-9DE5-4EDE-83D0-A09AE2EADB22}"/>
              </c:ext>
            </c:extLst>
          </c:dPt>
          <c:cat>
            <c:numRef>
              <c:f>'2 graf'!$K$2:$Y$2</c:f>
              <c:numCache>
                <c:formatCode>General</c:formatCode>
                <c:ptCount val="15"/>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numCache>
            </c:numRef>
          </c:cat>
          <c:val>
            <c:numRef>
              <c:f>'2 graf'!$K$4:$Y$4</c:f>
              <c:numCache>
                <c:formatCode>0.0</c:formatCode>
                <c:ptCount val="15"/>
                <c:pt idx="0">
                  <c:v>7.7</c:v>
                </c:pt>
                <c:pt idx="1">
                  <c:v>17.5</c:v>
                </c:pt>
                <c:pt idx="2">
                  <c:v>19.5</c:v>
                </c:pt>
                <c:pt idx="3">
                  <c:v>16.2</c:v>
                </c:pt>
                <c:pt idx="4">
                  <c:v>15</c:v>
                </c:pt>
                <c:pt idx="5">
                  <c:v>11.9</c:v>
                </c:pt>
                <c:pt idx="6">
                  <c:v>10.8</c:v>
                </c:pt>
                <c:pt idx="7">
                  <c:v>9.9</c:v>
                </c:pt>
                <c:pt idx="8">
                  <c:v>9.6</c:v>
                </c:pt>
                <c:pt idx="9">
                  <c:v>8.6999999999999993</c:v>
                </c:pt>
                <c:pt idx="10">
                  <c:v>7.4</c:v>
                </c:pt>
                <c:pt idx="11">
                  <c:v>6.3</c:v>
                </c:pt>
                <c:pt idx="12">
                  <c:v>8.1</c:v>
                </c:pt>
                <c:pt idx="13">
                  <c:v>7.6</c:v>
                </c:pt>
                <c:pt idx="14">
                  <c:v>6.9</c:v>
                </c:pt>
              </c:numCache>
            </c:numRef>
          </c:val>
          <c:smooth val="1"/>
          <c:extLst>
            <c:ext xmlns:c16="http://schemas.microsoft.com/office/drawing/2014/chart" uri="{C3380CC4-5D6E-409C-BE32-E72D297353CC}">
              <c16:uniqueId val="{0000000D-9DE5-4EDE-83D0-A09AE2EADB22}"/>
            </c:ext>
          </c:extLst>
        </c:ser>
        <c:dLbls>
          <c:showLegendKey val="0"/>
          <c:showVal val="0"/>
          <c:showCatName val="0"/>
          <c:showSerName val="0"/>
          <c:showPercent val="0"/>
          <c:showBubbleSize val="0"/>
        </c:dLbls>
        <c:marker val="1"/>
        <c:smooth val="0"/>
        <c:axId val="387439344"/>
        <c:axId val="278229968"/>
      </c:lineChart>
      <c:catAx>
        <c:axId val="387439344"/>
        <c:scaling>
          <c:orientation val="minMax"/>
        </c:scaling>
        <c:delete val="0"/>
        <c:axPos val="b"/>
        <c:numFmt formatCode="General" sourceLinked="1"/>
        <c:majorTickMark val="out"/>
        <c:minorTickMark val="none"/>
        <c:tickLblPos val="low"/>
        <c:txPr>
          <a:bodyPr/>
          <a:lstStyle/>
          <a:p>
            <a:pPr>
              <a:defRPr sz="800"/>
            </a:pPr>
            <a:endParaRPr lang="lv-LV"/>
          </a:p>
        </c:txPr>
        <c:crossAx val="278229968"/>
        <c:crosses val="autoZero"/>
        <c:auto val="1"/>
        <c:lblAlgn val="ctr"/>
        <c:lblOffset val="100"/>
        <c:noMultiLvlLbl val="0"/>
      </c:catAx>
      <c:valAx>
        <c:axId val="278229968"/>
        <c:scaling>
          <c:orientation val="minMax"/>
          <c:min val="4"/>
        </c:scaling>
        <c:delete val="0"/>
        <c:axPos val="l"/>
        <c:majorGridlines/>
        <c:numFmt formatCode="0" sourceLinked="0"/>
        <c:majorTickMark val="out"/>
        <c:minorTickMark val="none"/>
        <c:tickLblPos val="nextTo"/>
        <c:txPr>
          <a:bodyPr/>
          <a:lstStyle/>
          <a:p>
            <a:pPr>
              <a:defRPr sz="1000"/>
            </a:pPr>
            <a:endParaRPr lang="lv-LV"/>
          </a:p>
        </c:txPr>
        <c:crossAx val="387439344"/>
        <c:crosses val="autoZero"/>
        <c:crossBetween val="between"/>
      </c:valAx>
      <c:valAx>
        <c:axId val="393060176"/>
        <c:scaling>
          <c:orientation val="minMax"/>
          <c:min val="700"/>
        </c:scaling>
        <c:delete val="0"/>
        <c:axPos val="r"/>
        <c:numFmt formatCode="0" sourceLinked="0"/>
        <c:majorTickMark val="out"/>
        <c:minorTickMark val="none"/>
        <c:tickLblPos val="nextTo"/>
        <c:crossAx val="396118440"/>
        <c:crosses val="max"/>
        <c:crossBetween val="between"/>
      </c:valAx>
      <c:catAx>
        <c:axId val="396118440"/>
        <c:scaling>
          <c:orientation val="minMax"/>
        </c:scaling>
        <c:delete val="1"/>
        <c:axPos val="b"/>
        <c:numFmt formatCode="General" sourceLinked="1"/>
        <c:majorTickMark val="out"/>
        <c:minorTickMark val="none"/>
        <c:tickLblPos val="nextTo"/>
        <c:crossAx val="393060176"/>
        <c:crosses val="autoZero"/>
        <c:auto val="1"/>
        <c:lblAlgn val="ctr"/>
        <c:lblOffset val="100"/>
        <c:noMultiLvlLbl val="0"/>
      </c:catAx>
    </c:plotArea>
    <c:legend>
      <c:legendPos val="b"/>
      <c:layout>
        <c:manualLayout>
          <c:xMode val="edge"/>
          <c:yMode val="edge"/>
          <c:x val="5.6231895883480883E-2"/>
          <c:y val="0.83719913144561664"/>
          <c:w val="0.9"/>
          <c:h val="0.16280086855438336"/>
        </c:manualLayout>
      </c:layout>
      <c:overlay val="0"/>
      <c:txPr>
        <a:bodyPr/>
        <a:lstStyle/>
        <a:p>
          <a:pPr>
            <a:defRPr sz="800"/>
          </a:pPr>
          <a:endParaRPr lang="lv-LV"/>
        </a:p>
      </c:txPr>
    </c:legend>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lv-LV"/>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2267795051670783"/>
          <c:y val="2.068997081651839E-2"/>
          <c:w val="0.62917037243192986"/>
          <c:h val="0.8876895398631971"/>
        </c:manualLayout>
      </c:layout>
      <c:barChart>
        <c:barDir val="bar"/>
        <c:grouping val="stacked"/>
        <c:varyColors val="0"/>
        <c:ser>
          <c:idx val="1"/>
          <c:order val="0"/>
          <c:tx>
            <c:strRef>
              <c:f>'2020'!$D$1</c:f>
              <c:strCache>
                <c:ptCount val="1"/>
                <c:pt idx="0">
                  <c:v>2021</c:v>
                </c:pt>
              </c:strCache>
            </c:strRef>
          </c:tx>
          <c:spPr>
            <a:solidFill>
              <a:sysClr val="window" lastClr="FFFFFF">
                <a:lumMod val="50000"/>
                <a:alpha val="73000"/>
              </a:sysClr>
            </a:solidFill>
            <a:ln>
              <a:solidFill>
                <a:sysClr val="window" lastClr="FFFFFF">
                  <a:lumMod val="50000"/>
                </a:sysClr>
              </a:solidFill>
            </a:ln>
            <a:effectLst/>
          </c:spPr>
          <c:invertIfNegative val="0"/>
          <c:dPt>
            <c:idx val="7"/>
            <c:invertIfNegative val="0"/>
            <c:bubble3D val="0"/>
            <c:spPr>
              <a:solidFill>
                <a:srgbClr val="1F497D">
                  <a:lumMod val="50000"/>
                  <a:alpha val="73000"/>
                </a:srgbClr>
              </a:solidFill>
              <a:ln>
                <a:solidFill>
                  <a:sysClr val="window" lastClr="FFFFFF">
                    <a:lumMod val="50000"/>
                  </a:sysClr>
                </a:solidFill>
              </a:ln>
              <a:effectLst/>
            </c:spPr>
            <c:extLst>
              <c:ext xmlns:c16="http://schemas.microsoft.com/office/drawing/2014/chart" uri="{C3380CC4-5D6E-409C-BE32-E72D297353CC}">
                <c16:uniqueId val="{00000001-4A5E-45F4-9731-3E0A02A6398C}"/>
              </c:ext>
            </c:extLst>
          </c:dPt>
          <c:cat>
            <c:strRef>
              <c:f>'2020'!$C$5:$C$24</c:f>
              <c:strCache>
                <c:ptCount val="20"/>
                <c:pt idx="0">
                  <c:v>Finanšu pakalpojumi</c:v>
                </c:pt>
                <c:pt idx="1">
                  <c:v>Informācijas, komunik. pak.</c:v>
                </c:pt>
                <c:pt idx="2">
                  <c:v>Prof. pakalpojumi</c:v>
                </c:pt>
                <c:pt idx="3">
                  <c:v>Enerģētika</c:v>
                </c:pt>
                <c:pt idx="4">
                  <c:v>Veselība, sociālā aprūpe</c:v>
                </c:pt>
                <c:pt idx="5">
                  <c:v>Valsts pārvalde</c:v>
                </c:pt>
                <c:pt idx="6">
                  <c:v>Ieguves rūpniecība</c:v>
                </c:pt>
                <c:pt idx="7">
                  <c:v>Vidēji</c:v>
                </c:pt>
                <c:pt idx="8">
                  <c:v>Ūdens apgāde</c:v>
                </c:pt>
                <c:pt idx="9">
                  <c:v>Būvniecība</c:v>
                </c:pt>
                <c:pt idx="10">
                  <c:v>Apstrādes rūpniecība</c:v>
                </c:pt>
                <c:pt idx="11">
                  <c:v>Lauksaimniecība</c:v>
                </c:pt>
                <c:pt idx="12">
                  <c:v>Transports</c:v>
                </c:pt>
                <c:pt idx="13">
                  <c:v>Admin. pakalpojumi</c:v>
                </c:pt>
                <c:pt idx="14">
                  <c:v>Tirdzniecība</c:v>
                </c:pt>
                <c:pt idx="15">
                  <c:v>Māksla, izklaide</c:v>
                </c:pt>
                <c:pt idx="16">
                  <c:v>Nekustamā īpašuma operācijas</c:v>
                </c:pt>
                <c:pt idx="17">
                  <c:v>Citi pakalpojumi</c:v>
                </c:pt>
                <c:pt idx="18">
                  <c:v>Izglītība</c:v>
                </c:pt>
                <c:pt idx="19">
                  <c:v>Izmitināšana,ēdināšana</c:v>
                </c:pt>
              </c:strCache>
            </c:strRef>
          </c:cat>
          <c:val>
            <c:numRef>
              <c:f>'2020'!$D$5:$D$24</c:f>
              <c:numCache>
                <c:formatCode>0</c:formatCode>
                <c:ptCount val="20"/>
                <c:pt idx="0">
                  <c:v>2282</c:v>
                </c:pt>
                <c:pt idx="1">
                  <c:v>2088</c:v>
                </c:pt>
                <c:pt idx="2">
                  <c:v>1598</c:v>
                </c:pt>
                <c:pt idx="3">
                  <c:v>1526</c:v>
                </c:pt>
                <c:pt idx="4">
                  <c:v>1553</c:v>
                </c:pt>
                <c:pt idx="5">
                  <c:v>1467</c:v>
                </c:pt>
                <c:pt idx="6">
                  <c:v>1350</c:v>
                </c:pt>
                <c:pt idx="7">
                  <c:v>1277</c:v>
                </c:pt>
                <c:pt idx="8">
                  <c:v>1180</c:v>
                </c:pt>
                <c:pt idx="9">
                  <c:v>1249</c:v>
                </c:pt>
                <c:pt idx="10">
                  <c:v>1201</c:v>
                </c:pt>
                <c:pt idx="11">
                  <c:v>1177</c:v>
                </c:pt>
                <c:pt idx="12">
                  <c:v>1152</c:v>
                </c:pt>
                <c:pt idx="13">
                  <c:v>1126</c:v>
                </c:pt>
                <c:pt idx="14">
                  <c:v>1126</c:v>
                </c:pt>
                <c:pt idx="15">
                  <c:v>1060</c:v>
                </c:pt>
                <c:pt idx="16">
                  <c:v>1046</c:v>
                </c:pt>
                <c:pt idx="17">
                  <c:v>1060</c:v>
                </c:pt>
                <c:pt idx="18">
                  <c:v>1012</c:v>
                </c:pt>
                <c:pt idx="19">
                  <c:v>795</c:v>
                </c:pt>
              </c:numCache>
            </c:numRef>
          </c:val>
          <c:extLst>
            <c:ext xmlns:c16="http://schemas.microsoft.com/office/drawing/2014/chart" uri="{C3380CC4-5D6E-409C-BE32-E72D297353CC}">
              <c16:uniqueId val="{00000002-4A5E-45F4-9731-3E0A02A6398C}"/>
            </c:ext>
          </c:extLst>
        </c:ser>
        <c:ser>
          <c:idx val="0"/>
          <c:order val="1"/>
          <c:tx>
            <c:strRef>
              <c:f>'2020'!$E$1</c:f>
              <c:strCache>
                <c:ptCount val="1"/>
                <c:pt idx="0">
                  <c:v>2022</c:v>
                </c:pt>
              </c:strCache>
            </c:strRef>
          </c:tx>
          <c:spPr>
            <a:solidFill>
              <a:schemeClr val="accent1"/>
            </a:solidFill>
            <a:ln>
              <a:solidFill>
                <a:srgbClr val="4F81BD"/>
              </a:solidFill>
            </a:ln>
            <a:effectLst/>
          </c:spPr>
          <c:invertIfNegative val="0"/>
          <c:cat>
            <c:strRef>
              <c:f>'2020'!$C$5:$C$24</c:f>
              <c:strCache>
                <c:ptCount val="20"/>
                <c:pt idx="0">
                  <c:v>Finanšu pakalpojumi</c:v>
                </c:pt>
                <c:pt idx="1">
                  <c:v>Informācijas, komunik. pak.</c:v>
                </c:pt>
                <c:pt idx="2">
                  <c:v>Prof. pakalpojumi</c:v>
                </c:pt>
                <c:pt idx="3">
                  <c:v>Enerģētika</c:v>
                </c:pt>
                <c:pt idx="4">
                  <c:v>Veselība, sociālā aprūpe</c:v>
                </c:pt>
                <c:pt idx="5">
                  <c:v>Valsts pārvalde</c:v>
                </c:pt>
                <c:pt idx="6">
                  <c:v>Ieguves rūpniecība</c:v>
                </c:pt>
                <c:pt idx="7">
                  <c:v>Vidēji</c:v>
                </c:pt>
                <c:pt idx="8">
                  <c:v>Ūdens apgāde</c:v>
                </c:pt>
                <c:pt idx="9">
                  <c:v>Būvniecība</c:v>
                </c:pt>
                <c:pt idx="10">
                  <c:v>Apstrādes rūpniecība</c:v>
                </c:pt>
                <c:pt idx="11">
                  <c:v>Lauksaimniecība</c:v>
                </c:pt>
                <c:pt idx="12">
                  <c:v>Transports</c:v>
                </c:pt>
                <c:pt idx="13">
                  <c:v>Admin. pakalpojumi</c:v>
                </c:pt>
                <c:pt idx="14">
                  <c:v>Tirdzniecība</c:v>
                </c:pt>
                <c:pt idx="15">
                  <c:v>Māksla, izklaide</c:v>
                </c:pt>
                <c:pt idx="16">
                  <c:v>Nekustamā īpašuma operācijas</c:v>
                </c:pt>
                <c:pt idx="17">
                  <c:v>Citi pakalpojumi</c:v>
                </c:pt>
                <c:pt idx="18">
                  <c:v>Izglītība</c:v>
                </c:pt>
                <c:pt idx="19">
                  <c:v>Izmitināšana,ēdināšana</c:v>
                </c:pt>
              </c:strCache>
            </c:strRef>
          </c:cat>
          <c:val>
            <c:numRef>
              <c:f>'2020'!$E$5:$E$24</c:f>
              <c:numCache>
                <c:formatCode>0</c:formatCode>
                <c:ptCount val="20"/>
                <c:pt idx="0">
                  <c:v>155</c:v>
                </c:pt>
                <c:pt idx="1">
                  <c:v>199</c:v>
                </c:pt>
                <c:pt idx="2">
                  <c:v>168</c:v>
                </c:pt>
                <c:pt idx="3">
                  <c:v>152</c:v>
                </c:pt>
                <c:pt idx="4">
                  <c:v>39</c:v>
                </c:pt>
                <c:pt idx="5">
                  <c:v>107</c:v>
                </c:pt>
                <c:pt idx="6">
                  <c:v>140</c:v>
                </c:pt>
                <c:pt idx="7">
                  <c:v>96</c:v>
                </c:pt>
                <c:pt idx="8">
                  <c:v>155</c:v>
                </c:pt>
                <c:pt idx="9">
                  <c:v>64</c:v>
                </c:pt>
                <c:pt idx="10">
                  <c:v>108</c:v>
                </c:pt>
                <c:pt idx="11">
                  <c:v>130</c:v>
                </c:pt>
                <c:pt idx="12">
                  <c:v>126</c:v>
                </c:pt>
                <c:pt idx="13">
                  <c:v>102</c:v>
                </c:pt>
                <c:pt idx="14">
                  <c:v>83</c:v>
                </c:pt>
                <c:pt idx="15">
                  <c:v>107</c:v>
                </c:pt>
                <c:pt idx="16">
                  <c:v>66</c:v>
                </c:pt>
                <c:pt idx="17">
                  <c:v>52</c:v>
                </c:pt>
                <c:pt idx="18">
                  <c:v>74</c:v>
                </c:pt>
                <c:pt idx="19">
                  <c:v>94</c:v>
                </c:pt>
              </c:numCache>
            </c:numRef>
          </c:val>
          <c:extLst>
            <c:ext xmlns:c16="http://schemas.microsoft.com/office/drawing/2014/chart" uri="{C3380CC4-5D6E-409C-BE32-E72D297353CC}">
              <c16:uniqueId val="{00000003-4A5E-45F4-9731-3E0A02A6398C}"/>
            </c:ext>
          </c:extLst>
        </c:ser>
        <c:ser>
          <c:idx val="2"/>
          <c:order val="2"/>
          <c:tx>
            <c:strRef>
              <c:f>'2020'!$F$1</c:f>
              <c:strCache>
                <c:ptCount val="1"/>
                <c:pt idx="0">
                  <c:v>Izmaiņas pret 2021.gadu, %, labā ass</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'2020'!$C$5:$C$24</c:f>
              <c:strCache>
                <c:ptCount val="20"/>
                <c:pt idx="0">
                  <c:v>Finanšu pakalpojumi</c:v>
                </c:pt>
                <c:pt idx="1">
                  <c:v>Informācijas, komunik. pak.</c:v>
                </c:pt>
                <c:pt idx="2">
                  <c:v>Prof. pakalpojumi</c:v>
                </c:pt>
                <c:pt idx="3">
                  <c:v>Enerģētika</c:v>
                </c:pt>
                <c:pt idx="4">
                  <c:v>Veselība, sociālā aprūpe</c:v>
                </c:pt>
                <c:pt idx="5">
                  <c:v>Valsts pārvalde</c:v>
                </c:pt>
                <c:pt idx="6">
                  <c:v>Ieguves rūpniecība</c:v>
                </c:pt>
                <c:pt idx="7">
                  <c:v>Vidēji</c:v>
                </c:pt>
                <c:pt idx="8">
                  <c:v>Ūdens apgāde</c:v>
                </c:pt>
                <c:pt idx="9">
                  <c:v>Būvniecība</c:v>
                </c:pt>
                <c:pt idx="10">
                  <c:v>Apstrādes rūpniecība</c:v>
                </c:pt>
                <c:pt idx="11">
                  <c:v>Lauksaimniecība</c:v>
                </c:pt>
                <c:pt idx="12">
                  <c:v>Transports</c:v>
                </c:pt>
                <c:pt idx="13">
                  <c:v>Admin. pakalpojumi</c:v>
                </c:pt>
                <c:pt idx="14">
                  <c:v>Tirdzniecība</c:v>
                </c:pt>
                <c:pt idx="15">
                  <c:v>Māksla, izklaide</c:v>
                </c:pt>
                <c:pt idx="16">
                  <c:v>Nekustamā īpašuma operācijas</c:v>
                </c:pt>
                <c:pt idx="17">
                  <c:v>Citi pakalpojumi</c:v>
                </c:pt>
                <c:pt idx="18">
                  <c:v>Izglītība</c:v>
                </c:pt>
                <c:pt idx="19">
                  <c:v>Izmitināšana,ēdināšana</c:v>
                </c:pt>
              </c:strCache>
            </c:strRef>
          </c:cat>
          <c:val>
            <c:numRef>
              <c:f>'2020'!$F$5:$F$24</c:f>
              <c:numCache>
                <c:formatCode>0.0%</c:formatCode>
                <c:ptCount val="20"/>
                <c:pt idx="0">
                  <c:v>6.7922999999999997E-2</c:v>
                </c:pt>
                <c:pt idx="1">
                  <c:v>9.5307000000000003E-2</c:v>
                </c:pt>
                <c:pt idx="2">
                  <c:v>0.105131</c:v>
                </c:pt>
                <c:pt idx="3">
                  <c:v>9.9607000000000001E-2</c:v>
                </c:pt>
                <c:pt idx="4">
                  <c:v>2.5113E-2</c:v>
                </c:pt>
                <c:pt idx="5">
                  <c:v>7.2938000000000003E-2</c:v>
                </c:pt>
                <c:pt idx="6">
                  <c:v>0.103704</c:v>
                </c:pt>
                <c:pt idx="7">
                  <c:v>7.5176000000000007E-2</c:v>
                </c:pt>
                <c:pt idx="8">
                  <c:v>0.131356</c:v>
                </c:pt>
                <c:pt idx="9">
                  <c:v>5.1241000000000002E-2</c:v>
                </c:pt>
                <c:pt idx="10">
                  <c:v>8.9925000000000005E-2</c:v>
                </c:pt>
                <c:pt idx="11">
                  <c:v>0.11045000000000001</c:v>
                </c:pt>
                <c:pt idx="12">
                  <c:v>0.109375</c:v>
                </c:pt>
                <c:pt idx="13">
                  <c:v>9.0586E-2</c:v>
                </c:pt>
                <c:pt idx="14">
                  <c:v>7.3712E-2</c:v>
                </c:pt>
                <c:pt idx="15">
                  <c:v>0.100943</c:v>
                </c:pt>
                <c:pt idx="16">
                  <c:v>6.3098000000000001E-2</c:v>
                </c:pt>
                <c:pt idx="17">
                  <c:v>4.9057000000000003E-2</c:v>
                </c:pt>
                <c:pt idx="18">
                  <c:v>7.3122999999999994E-2</c:v>
                </c:pt>
                <c:pt idx="19">
                  <c:v>0.118239</c:v>
                </c:pt>
              </c:numCache>
            </c:numRef>
          </c:val>
          <c:extLst>
            <c:ext xmlns:c16="http://schemas.microsoft.com/office/drawing/2014/chart" uri="{C3380CC4-5D6E-409C-BE32-E72D297353CC}">
              <c16:uniqueId val="{00000004-4A5E-45F4-9731-3E0A02A6398C}"/>
            </c:ext>
          </c:extLst>
        </c:ser>
        <c:dLbls>
          <c:showLegendKey val="0"/>
          <c:showVal val="0"/>
          <c:showCatName val="0"/>
          <c:showSerName val="0"/>
          <c:showPercent val="0"/>
          <c:showBubbleSize val="0"/>
        </c:dLbls>
        <c:gapWidth val="50"/>
        <c:overlap val="100"/>
        <c:axId val="395291424"/>
        <c:axId val="395291816"/>
      </c:barChart>
      <c:catAx>
        <c:axId val="395291424"/>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395291816"/>
        <c:crossesAt val="0"/>
        <c:auto val="1"/>
        <c:lblAlgn val="ctr"/>
        <c:lblOffset val="100"/>
        <c:noMultiLvlLbl val="0"/>
      </c:catAx>
      <c:valAx>
        <c:axId val="395291816"/>
        <c:scaling>
          <c:orientation val="minMax"/>
          <c:max val="2700"/>
          <c:min val="0"/>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395291424"/>
        <c:crosses val="autoZero"/>
        <c:crossBetween val="between"/>
        <c:majorUnit val="400"/>
      </c:valAx>
      <c:spPr>
        <a:noFill/>
        <a:ln>
          <a:noFill/>
        </a:ln>
        <a:effectLst/>
      </c:spPr>
    </c:plotArea>
    <c:legend>
      <c:legendPos val="b"/>
      <c:legendEntry>
        <c:idx val="2"/>
        <c:delete val="1"/>
      </c:legendEntry>
      <c:layout>
        <c:manualLayout>
          <c:xMode val="edge"/>
          <c:yMode val="edge"/>
          <c:x val="0.5615862548079068"/>
          <c:y val="0.95807330365451215"/>
          <c:w val="0.37110636288837001"/>
          <c:h val="4.192669634548783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Sheet1!$A$2</c:f>
              <c:strCache>
                <c:ptCount val="1"/>
                <c:pt idx="0">
                  <c:v>Finanšu ministrija</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Sheet1!$B$1:$R$1</c:f>
              <c:strCache>
                <c:ptCount val="17"/>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pt idx="16">
                  <c:v>2026</c:v>
                </c:pt>
              </c:strCache>
            </c:strRef>
          </c:cat>
          <c:val>
            <c:numRef>
              <c:f>Sheet1!$B$2:$R$2</c:f>
              <c:numCache>
                <c:formatCode>0.0</c:formatCode>
                <c:ptCount val="17"/>
                <c:pt idx="0">
                  <c:v>-10.540542787826425</c:v>
                </c:pt>
                <c:pt idx="1">
                  <c:v>-8.2331245368432491</c:v>
                </c:pt>
                <c:pt idx="2">
                  <c:v>-2.7535203157568162</c:v>
                </c:pt>
                <c:pt idx="3">
                  <c:v>-2.4360607186659564</c:v>
                </c:pt>
                <c:pt idx="4">
                  <c:v>-1.6810043807184769</c:v>
                </c:pt>
                <c:pt idx="5">
                  <c:v>0.16012730027597399</c:v>
                </c:pt>
                <c:pt idx="6">
                  <c:v>0.67972277489845112</c:v>
                </c:pt>
                <c:pt idx="7">
                  <c:v>2.1545769064865254</c:v>
                </c:pt>
                <c:pt idx="8">
                  <c:v>3.5625894923848165</c:v>
                </c:pt>
                <c:pt idx="9">
                  <c:v>3.6064318560433435</c:v>
                </c:pt>
                <c:pt idx="10">
                  <c:v>-1.1392456408033667</c:v>
                </c:pt>
                <c:pt idx="11">
                  <c:v>0.81742322189290917</c:v>
                </c:pt>
                <c:pt idx="12">
                  <c:v>0.49444126297673563</c:v>
                </c:pt>
                <c:pt idx="13">
                  <c:v>-1.4507009771923123</c:v>
                </c:pt>
                <c:pt idx="14">
                  <c:v>-1.4166702167076011</c:v>
                </c:pt>
                <c:pt idx="15">
                  <c:v>-0.58371375673598891</c:v>
                </c:pt>
                <c:pt idx="16">
                  <c:v>3.3275919823026356E-2</c:v>
                </c:pt>
              </c:numCache>
            </c:numRef>
          </c:val>
          <c:smooth val="0"/>
          <c:extLst>
            <c:ext xmlns:c16="http://schemas.microsoft.com/office/drawing/2014/chart" uri="{C3380CC4-5D6E-409C-BE32-E72D297353CC}">
              <c16:uniqueId val="{00000000-8CE6-4B11-B2D9-CCC4783C52DE}"/>
            </c:ext>
          </c:extLst>
        </c:ser>
        <c:ser>
          <c:idx val="1"/>
          <c:order val="1"/>
          <c:tx>
            <c:strRef>
              <c:f>Sheet1!$A$3</c:f>
              <c:strCache>
                <c:ptCount val="1"/>
                <c:pt idx="0">
                  <c:v>Eiropas Komisija (2022.g. rudens prognozes)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Sheet1!$B$1:$R$1</c:f>
              <c:strCache>
                <c:ptCount val="17"/>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pt idx="16">
                  <c:v>2026</c:v>
                </c:pt>
              </c:strCache>
            </c:strRef>
          </c:cat>
          <c:val>
            <c:numRef>
              <c:f>Sheet1!$B$3:$R$3</c:f>
              <c:numCache>
                <c:formatCode>General</c:formatCode>
                <c:ptCount val="17"/>
                <c:pt idx="0">
                  <c:v>-11.2</c:v>
                </c:pt>
                <c:pt idx="1">
                  <c:v>-7.9</c:v>
                </c:pt>
                <c:pt idx="2">
                  <c:v>-1.5</c:v>
                </c:pt>
                <c:pt idx="3">
                  <c:v>-0.6</c:v>
                </c:pt>
                <c:pt idx="4">
                  <c:v>-0.3</c:v>
                </c:pt>
                <c:pt idx="5">
                  <c:v>1.1000000000000001</c:v>
                </c:pt>
                <c:pt idx="6">
                  <c:v>1.4</c:v>
                </c:pt>
                <c:pt idx="7">
                  <c:v>2.1</c:v>
                </c:pt>
                <c:pt idx="8">
                  <c:v>3.1</c:v>
                </c:pt>
                <c:pt idx="9">
                  <c:v>2.2000000000000002</c:v>
                </c:pt>
                <c:pt idx="10">
                  <c:v>-2.2999999999999998</c:v>
                </c:pt>
                <c:pt idx="11">
                  <c:v>-0.8</c:v>
                </c:pt>
                <c:pt idx="12">
                  <c:v>-0.4</c:v>
                </c:pt>
                <c:pt idx="13">
                  <c:v>-2.2999999999999998</c:v>
                </c:pt>
                <c:pt idx="14">
                  <c:v>-1.5</c:v>
                </c:pt>
                <c:pt idx="15">
                  <c:v>-1</c:v>
                </c:pt>
                <c:pt idx="16">
                  <c:v>-0.5</c:v>
                </c:pt>
              </c:numCache>
            </c:numRef>
          </c:val>
          <c:smooth val="0"/>
          <c:extLst>
            <c:ext xmlns:c16="http://schemas.microsoft.com/office/drawing/2014/chart" uri="{C3380CC4-5D6E-409C-BE32-E72D297353CC}">
              <c16:uniqueId val="{00000001-8CE6-4B11-B2D9-CCC4783C52DE}"/>
            </c:ext>
          </c:extLst>
        </c:ser>
        <c:dLbls>
          <c:showLegendKey val="0"/>
          <c:showVal val="0"/>
          <c:showCatName val="0"/>
          <c:showSerName val="0"/>
          <c:showPercent val="0"/>
          <c:showBubbleSize val="0"/>
        </c:dLbls>
        <c:marker val="1"/>
        <c:smooth val="0"/>
        <c:axId val="48694320"/>
        <c:axId val="1773084480"/>
      </c:lineChart>
      <c:catAx>
        <c:axId val="48694320"/>
        <c:scaling>
          <c:orientation val="minMax"/>
        </c:scaling>
        <c:delete val="0"/>
        <c:axPos val="b"/>
        <c:numFmt formatCode="General" sourceLinked="1"/>
        <c:majorTickMark val="out"/>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773084480"/>
        <c:crosses val="autoZero"/>
        <c:auto val="1"/>
        <c:lblAlgn val="ctr"/>
        <c:lblOffset val="100"/>
        <c:noMultiLvlLbl val="0"/>
      </c:catAx>
      <c:valAx>
        <c:axId val="1773084480"/>
        <c:scaling>
          <c:orientation val="minMax"/>
          <c:max val="4"/>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8694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6336759988334789E-2"/>
          <c:y val="5.0925925925925923E-2"/>
          <c:w val="0.92099318314377365"/>
          <c:h val="0.75055920093321671"/>
        </c:manualLayout>
      </c:layout>
      <c:barChart>
        <c:barDir val="col"/>
        <c:grouping val="stacked"/>
        <c:varyColors val="0"/>
        <c:ser>
          <c:idx val="0"/>
          <c:order val="0"/>
          <c:tx>
            <c:strRef>
              <c:f>Sheet1!$A$3</c:f>
              <c:strCache>
                <c:ptCount val="1"/>
                <c:pt idx="0">
                  <c:v>Kopējā produktivitāte</c:v>
                </c:pt>
              </c:strCache>
            </c:strRef>
          </c:tx>
          <c:spPr>
            <a:solidFill>
              <a:srgbClr val="70AD47">
                <a:lumMod val="60000"/>
                <a:lumOff val="40000"/>
              </a:srgbClr>
            </a:solidFill>
            <a:ln>
              <a:noFill/>
            </a:ln>
            <a:effectLst/>
          </c:spPr>
          <c:invertIfNegative val="0"/>
          <c:cat>
            <c:numRef>
              <c:f>Sheet1!$B$2:$R$2</c:f>
              <c:numCache>
                <c:formatCode>General</c:formatCode>
                <c:ptCount val="17"/>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pt idx="16">
                  <c:v>2026</c:v>
                </c:pt>
              </c:numCache>
            </c:numRef>
          </c:cat>
          <c:val>
            <c:numRef>
              <c:f>Sheet1!$B$3:$R$3</c:f>
              <c:numCache>
                <c:formatCode>0.0</c:formatCode>
                <c:ptCount val="17"/>
                <c:pt idx="0">
                  <c:v>0.50140258862235365</c:v>
                </c:pt>
                <c:pt idx="1">
                  <c:v>0.36254282585117037</c:v>
                </c:pt>
                <c:pt idx="2">
                  <c:v>0.41421356231056738</c:v>
                </c:pt>
                <c:pt idx="3">
                  <c:v>0.59007853279581135</c:v>
                </c:pt>
                <c:pt idx="4">
                  <c:v>0.79659295586381584</c:v>
                </c:pt>
                <c:pt idx="5">
                  <c:v>1.0228491492845899</c:v>
                </c:pt>
                <c:pt idx="6">
                  <c:v>1.1792119632359765</c:v>
                </c:pt>
                <c:pt idx="7">
                  <c:v>1.2674594198162412</c:v>
                </c:pt>
                <c:pt idx="8">
                  <c:v>1.3205198872041592</c:v>
                </c:pt>
                <c:pt idx="9">
                  <c:v>1.3240616267183669</c:v>
                </c:pt>
                <c:pt idx="10">
                  <c:v>1.3140107814008681</c:v>
                </c:pt>
                <c:pt idx="11">
                  <c:v>1.2884006294438266</c:v>
                </c:pt>
                <c:pt idx="12">
                  <c:v>1.2701913746023821</c:v>
                </c:pt>
                <c:pt idx="13">
                  <c:v>1.290481483282216</c:v>
                </c:pt>
                <c:pt idx="14">
                  <c:v>1.3618013490367593</c:v>
                </c:pt>
                <c:pt idx="15">
                  <c:v>1.9454062293278234</c:v>
                </c:pt>
                <c:pt idx="16">
                  <c:v>1.9836728744006022</c:v>
                </c:pt>
              </c:numCache>
            </c:numRef>
          </c:val>
          <c:extLst>
            <c:ext xmlns:c16="http://schemas.microsoft.com/office/drawing/2014/chart" uri="{C3380CC4-5D6E-409C-BE32-E72D297353CC}">
              <c16:uniqueId val="{00000000-913C-466D-A6E9-F4BB63A51FF4}"/>
            </c:ext>
          </c:extLst>
        </c:ser>
        <c:ser>
          <c:idx val="1"/>
          <c:order val="1"/>
          <c:tx>
            <c:strRef>
              <c:f>Sheet1!$A$4</c:f>
              <c:strCache>
                <c:ptCount val="1"/>
                <c:pt idx="0">
                  <c:v>Darbaspēks</c:v>
                </c:pt>
              </c:strCache>
            </c:strRef>
          </c:tx>
          <c:spPr>
            <a:solidFill>
              <a:srgbClr val="ED7D31">
                <a:lumMod val="60000"/>
                <a:lumOff val="40000"/>
              </a:srgbClr>
            </a:solidFill>
            <a:ln>
              <a:noFill/>
            </a:ln>
            <a:effectLst/>
          </c:spPr>
          <c:invertIfNegative val="0"/>
          <c:cat>
            <c:numRef>
              <c:f>Sheet1!$B$2:$R$2</c:f>
              <c:numCache>
                <c:formatCode>General</c:formatCode>
                <c:ptCount val="17"/>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pt idx="16">
                  <c:v>2026</c:v>
                </c:pt>
              </c:numCache>
            </c:numRef>
          </c:cat>
          <c:val>
            <c:numRef>
              <c:f>Sheet1!$B$4:$R$4</c:f>
              <c:numCache>
                <c:formatCode>0.0</c:formatCode>
                <c:ptCount val="17"/>
                <c:pt idx="0">
                  <c:v>-1.3944966500006417</c:v>
                </c:pt>
                <c:pt idx="1">
                  <c:v>-1.2418482758447318</c:v>
                </c:pt>
                <c:pt idx="2">
                  <c:v>-0.84104232328799</c:v>
                </c:pt>
                <c:pt idx="3">
                  <c:v>-0.18749790615581505</c:v>
                </c:pt>
                <c:pt idx="4">
                  <c:v>-0.77939274179703377</c:v>
                </c:pt>
                <c:pt idx="5">
                  <c:v>-2.2087952927027744E-2</c:v>
                </c:pt>
                <c:pt idx="6">
                  <c:v>-2.0104284781047001E-2</c:v>
                </c:pt>
                <c:pt idx="7">
                  <c:v>-0.32332755099025051</c:v>
                </c:pt>
                <c:pt idx="8">
                  <c:v>0.18848695885456124</c:v>
                </c:pt>
                <c:pt idx="9">
                  <c:v>8.2998360735851415E-2</c:v>
                </c:pt>
                <c:pt idx="10">
                  <c:v>0.28048561273253159</c:v>
                </c:pt>
                <c:pt idx="11">
                  <c:v>-0.118913395497718</c:v>
                </c:pt>
                <c:pt idx="12">
                  <c:v>3.5120763234518647E-2</c:v>
                </c:pt>
                <c:pt idx="13">
                  <c:v>-7.9656266609965345E-2</c:v>
                </c:pt>
                <c:pt idx="14">
                  <c:v>-0.21683404606523168</c:v>
                </c:pt>
                <c:pt idx="15">
                  <c:v>-0.77407379770372275</c:v>
                </c:pt>
                <c:pt idx="16">
                  <c:v>-0.87618886566621801</c:v>
                </c:pt>
              </c:numCache>
            </c:numRef>
          </c:val>
          <c:extLst>
            <c:ext xmlns:c16="http://schemas.microsoft.com/office/drawing/2014/chart" uri="{C3380CC4-5D6E-409C-BE32-E72D297353CC}">
              <c16:uniqueId val="{00000001-913C-466D-A6E9-F4BB63A51FF4}"/>
            </c:ext>
          </c:extLst>
        </c:ser>
        <c:ser>
          <c:idx val="2"/>
          <c:order val="2"/>
          <c:tx>
            <c:strRef>
              <c:f>Sheet1!$A$5</c:f>
              <c:strCache>
                <c:ptCount val="1"/>
                <c:pt idx="0">
                  <c:v>Kapitāls</c:v>
                </c:pt>
              </c:strCache>
            </c:strRef>
          </c:tx>
          <c:spPr>
            <a:solidFill>
              <a:srgbClr val="4472C4">
                <a:lumMod val="60000"/>
                <a:lumOff val="40000"/>
              </a:srgbClr>
            </a:solidFill>
            <a:ln>
              <a:noFill/>
            </a:ln>
            <a:effectLst/>
          </c:spPr>
          <c:invertIfNegative val="0"/>
          <c:cat>
            <c:numRef>
              <c:f>Sheet1!$B$2:$R$2</c:f>
              <c:numCache>
                <c:formatCode>General</c:formatCode>
                <c:ptCount val="17"/>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pt idx="16">
                  <c:v>2026</c:v>
                </c:pt>
              </c:numCache>
            </c:numRef>
          </c:cat>
          <c:val>
            <c:numRef>
              <c:f>Sheet1!$B$5:$R$5</c:f>
              <c:numCache>
                <c:formatCode>0.0</c:formatCode>
                <c:ptCount val="17"/>
                <c:pt idx="0">
                  <c:v>0.11889157675274048</c:v>
                </c:pt>
                <c:pt idx="1">
                  <c:v>0.87386869460987737</c:v>
                </c:pt>
                <c:pt idx="2">
                  <c:v>1.4375038658551851</c:v>
                </c:pt>
                <c:pt idx="3">
                  <c:v>1.2734664023957185</c:v>
                </c:pt>
                <c:pt idx="4">
                  <c:v>1.1023985545869628</c:v>
                </c:pt>
                <c:pt idx="5">
                  <c:v>0.97489222471510206</c:v>
                </c:pt>
                <c:pt idx="6">
                  <c:v>0.68119543303856811</c:v>
                </c:pt>
                <c:pt idx="7">
                  <c:v>0.87677279738241576</c:v>
                </c:pt>
                <c:pt idx="8">
                  <c:v>1.0689988867010711</c:v>
                </c:pt>
                <c:pt idx="9">
                  <c:v>1.1192402410662083</c:v>
                </c:pt>
                <c:pt idx="10">
                  <c:v>0.89713237153712688</c:v>
                </c:pt>
                <c:pt idx="11">
                  <c:v>0.87882899997851494</c:v>
                </c:pt>
                <c:pt idx="12">
                  <c:v>0.82186879247286193</c:v>
                </c:pt>
                <c:pt idx="13">
                  <c:v>0.76294957657968321</c:v>
                </c:pt>
                <c:pt idx="14">
                  <c:v>0.81982250908866161</c:v>
                </c:pt>
                <c:pt idx="15">
                  <c:v>0.88321164366126292</c:v>
                </c:pt>
                <c:pt idx="16">
                  <c:v>0.94706006655097918</c:v>
                </c:pt>
              </c:numCache>
            </c:numRef>
          </c:val>
          <c:extLst>
            <c:ext xmlns:c16="http://schemas.microsoft.com/office/drawing/2014/chart" uri="{C3380CC4-5D6E-409C-BE32-E72D297353CC}">
              <c16:uniqueId val="{00000002-913C-466D-A6E9-F4BB63A51FF4}"/>
            </c:ext>
          </c:extLst>
        </c:ser>
        <c:dLbls>
          <c:showLegendKey val="0"/>
          <c:showVal val="0"/>
          <c:showCatName val="0"/>
          <c:showSerName val="0"/>
          <c:showPercent val="0"/>
          <c:showBubbleSize val="0"/>
        </c:dLbls>
        <c:gapWidth val="50"/>
        <c:overlap val="100"/>
        <c:axId val="184817536"/>
        <c:axId val="186519552"/>
      </c:barChart>
      <c:lineChart>
        <c:grouping val="stacked"/>
        <c:varyColors val="0"/>
        <c:ser>
          <c:idx val="3"/>
          <c:order val="3"/>
          <c:tx>
            <c:strRef>
              <c:f>Sheet1!$A$6</c:f>
              <c:strCache>
                <c:ptCount val="1"/>
                <c:pt idx="0">
                  <c:v>Potenciālais IKP</c:v>
                </c:pt>
              </c:strCache>
            </c:strRef>
          </c:tx>
          <c:spPr>
            <a:ln w="28575" cap="rnd">
              <a:solidFill>
                <a:schemeClr val="tx1">
                  <a:lumMod val="75000"/>
                  <a:lumOff val="25000"/>
                </a:schemeClr>
              </a:solidFill>
              <a:round/>
            </a:ln>
            <a:effectLst/>
          </c:spPr>
          <c:marker>
            <c:symbol val="circle"/>
            <c:size val="5"/>
            <c:spPr>
              <a:solidFill>
                <a:schemeClr val="tx1">
                  <a:lumMod val="75000"/>
                  <a:lumOff val="25000"/>
                </a:schemeClr>
              </a:solidFill>
              <a:ln w="9525">
                <a:noFill/>
              </a:ln>
              <a:effectLst/>
            </c:spPr>
          </c:marker>
          <c:cat>
            <c:numRef>
              <c:f>Sheet1!$B$2:$R$2</c:f>
              <c:numCache>
                <c:formatCode>General</c:formatCode>
                <c:ptCount val="17"/>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pt idx="16">
                  <c:v>2026</c:v>
                </c:pt>
              </c:numCache>
            </c:numRef>
          </c:cat>
          <c:val>
            <c:numRef>
              <c:f>Sheet1!$B$6:$R$6</c:f>
              <c:numCache>
                <c:formatCode>0.0</c:formatCode>
                <c:ptCount val="17"/>
                <c:pt idx="0">
                  <c:v>-0.77420248462554753</c:v>
                </c:pt>
                <c:pt idx="1">
                  <c:v>-5.4367553836840443E-3</c:v>
                </c:pt>
                <c:pt idx="2">
                  <c:v>1.0106751048777625</c:v>
                </c:pt>
                <c:pt idx="3">
                  <c:v>1.6760470290357148</c:v>
                </c:pt>
                <c:pt idx="4">
                  <c:v>1.119598768653745</c:v>
                </c:pt>
                <c:pt idx="5">
                  <c:v>1.9756534210726642</c:v>
                </c:pt>
                <c:pt idx="6">
                  <c:v>1.8403031114934976</c:v>
                </c:pt>
                <c:pt idx="7">
                  <c:v>1.8209046662084063</c:v>
                </c:pt>
                <c:pt idx="8">
                  <c:v>2.5780057327597916</c:v>
                </c:pt>
                <c:pt idx="9">
                  <c:v>2.5263002285204266</c:v>
                </c:pt>
                <c:pt idx="10">
                  <c:v>2.4916287656705265</c:v>
                </c:pt>
                <c:pt idx="11">
                  <c:v>2.0483162339246235</c:v>
                </c:pt>
                <c:pt idx="12">
                  <c:v>2.1271809303097626</c:v>
                </c:pt>
                <c:pt idx="13">
                  <c:v>1.9737747932519341</c:v>
                </c:pt>
                <c:pt idx="14">
                  <c:v>1.9647898120601894</c:v>
                </c:pt>
                <c:pt idx="15">
                  <c:v>2.0545440752853636</c:v>
                </c:pt>
                <c:pt idx="16">
                  <c:v>2.0545440752853636</c:v>
                </c:pt>
              </c:numCache>
            </c:numRef>
          </c:val>
          <c:smooth val="0"/>
          <c:extLst>
            <c:ext xmlns:c16="http://schemas.microsoft.com/office/drawing/2014/chart" uri="{C3380CC4-5D6E-409C-BE32-E72D297353CC}">
              <c16:uniqueId val="{00000003-913C-466D-A6E9-F4BB63A51FF4}"/>
            </c:ext>
          </c:extLst>
        </c:ser>
        <c:dLbls>
          <c:showLegendKey val="0"/>
          <c:showVal val="0"/>
          <c:showCatName val="0"/>
          <c:showSerName val="0"/>
          <c:showPercent val="0"/>
          <c:showBubbleSize val="0"/>
        </c:dLbls>
        <c:marker val="1"/>
        <c:smooth val="0"/>
        <c:axId val="184817536"/>
        <c:axId val="186519552"/>
      </c:lineChart>
      <c:catAx>
        <c:axId val="184817536"/>
        <c:scaling>
          <c:orientation val="minMax"/>
        </c:scaling>
        <c:delete val="0"/>
        <c:axPos val="b"/>
        <c:numFmt formatCode="General" sourceLinked="1"/>
        <c:majorTickMark val="out"/>
        <c:minorTickMark val="none"/>
        <c:tickLblPos val="low"/>
        <c:spPr>
          <a:noFill/>
          <a:ln w="9525" cap="flat" cmpd="sng" algn="ctr">
            <a:solidFill>
              <a:sysClr val="windowText" lastClr="000000">
                <a:lumMod val="75000"/>
                <a:lumOff val="25000"/>
              </a:sysClr>
            </a:solidFill>
            <a:round/>
          </a:ln>
          <a:effectLst/>
        </c:spPr>
        <c:txPr>
          <a:bodyPr rot="-60000000" vert="horz"/>
          <a:lstStyle/>
          <a:p>
            <a:pPr>
              <a:defRPr sz="1000"/>
            </a:pPr>
            <a:endParaRPr lang="lv-LV"/>
          </a:p>
        </c:txPr>
        <c:crossAx val="186519552"/>
        <c:crosses val="autoZero"/>
        <c:auto val="1"/>
        <c:lblAlgn val="ctr"/>
        <c:lblOffset val="100"/>
        <c:tickLblSkip val="1"/>
        <c:noMultiLvlLbl val="0"/>
      </c:catAx>
      <c:valAx>
        <c:axId val="186519552"/>
        <c:scaling>
          <c:orientation val="minMax"/>
          <c:max val="3"/>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vert="horz"/>
          <a:lstStyle/>
          <a:p>
            <a:pPr>
              <a:defRPr sz="1000"/>
            </a:pPr>
            <a:endParaRPr lang="lv-LV"/>
          </a:p>
        </c:txPr>
        <c:crossAx val="184817536"/>
        <c:crosses val="autoZero"/>
        <c:crossBetween val="between"/>
        <c:majorUnit val="1"/>
      </c:valAx>
      <c:spPr>
        <a:noFill/>
        <a:ln w="25400">
          <a:noFill/>
        </a:ln>
        <a:effectLst/>
      </c:spPr>
    </c:plotArea>
    <c:legend>
      <c:legendPos val="b"/>
      <c:layout>
        <c:manualLayout>
          <c:xMode val="edge"/>
          <c:yMode val="edge"/>
          <c:x val="0"/>
          <c:y val="0.91257655293088369"/>
          <c:w val="1"/>
          <c:h val="8.7423447069116367E-2"/>
        </c:manualLayout>
      </c:layout>
      <c:overlay val="0"/>
      <c:spPr>
        <a:noFill/>
        <a:ln>
          <a:noFill/>
        </a:ln>
        <a:effectLst/>
      </c:spPr>
      <c:txPr>
        <a:bodyPr rot="0" vert="horz"/>
        <a:lstStyle/>
        <a:p>
          <a:pPr>
            <a:defRPr sz="1000"/>
          </a:pPr>
          <a:endParaRPr lang="lv-LV"/>
        </a:p>
      </c:txPr>
    </c:legend>
    <c:plotVisOnly val="1"/>
    <c:dispBlanksAs val="gap"/>
    <c:showDLblsOverMax val="0"/>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lv-LV"/>
    </a:p>
  </c:txPr>
  <c:externalData r:id="rId2">
    <c:autoUpdate val="0"/>
  </c:externalData>
  <c:userShapes r:id="rId3"/>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withinLinearReversed" id="21">
  <a:schemeClr val="accent1"/>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cdr:x>
      <cdr:y>0.94123</cdr:y>
    </cdr:from>
    <cdr:to>
      <cdr:x>1</cdr:x>
      <cdr:y>1</cdr:y>
    </cdr:to>
    <cdr:sp macro="" textlink="">
      <cdr:nvSpPr>
        <cdr:cNvPr id="2" name="Text Box 1"/>
        <cdr:cNvSpPr txBox="1"/>
      </cdr:nvSpPr>
      <cdr:spPr>
        <a:xfrm xmlns:a="http://schemas.openxmlformats.org/drawingml/2006/main">
          <a:off x="-1149350" y="3484490"/>
          <a:ext cx="3429000" cy="217560"/>
        </a:xfrm>
        <a:prstGeom xmlns:a="http://schemas.openxmlformats.org/drawingml/2006/main" prst="rect">
          <a:avLst/>
        </a:prstGeom>
      </cdr:spPr>
      <cdr:txBody>
        <a:bodyPr xmlns:a="http://schemas.openxmlformats.org/drawingml/2006/main" wrap="none" rtlCol="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lv-LV" sz="800">
              <a:effectLst/>
              <a:latin typeface="+mn-lt"/>
              <a:ea typeface="+mn-ea"/>
              <a:cs typeface="+mn-cs"/>
            </a:rPr>
            <a:t>*Enerģijas grupā ietilpst elektroenerģija, gāze, siltumenerģija, cietais kurināmais</a:t>
          </a:r>
        </a:p>
      </cdr:txBody>
    </cdr:sp>
  </cdr:relSizeAnchor>
</c:userShapes>
</file>

<file path=word/drawings/drawing2.xml><?xml version="1.0" encoding="utf-8"?>
<c:userShapes xmlns:c="http://schemas.openxmlformats.org/drawingml/2006/chart">
  <cdr:relSizeAnchor xmlns:cdr="http://schemas.openxmlformats.org/drawingml/2006/chartDrawing">
    <cdr:from>
      <cdr:x>0.75811</cdr:x>
      <cdr:y>0.06231</cdr:y>
    </cdr:from>
    <cdr:to>
      <cdr:x>0.75811</cdr:x>
      <cdr:y>0.75594</cdr:y>
    </cdr:to>
    <cdr:cxnSp macro="">
      <cdr:nvCxnSpPr>
        <cdr:cNvPr id="2" name="Straight Connector 1"/>
        <cdr:cNvCxnSpPr/>
      </cdr:nvCxnSpPr>
      <cdr:spPr>
        <a:xfrm xmlns:a="http://schemas.openxmlformats.org/drawingml/2006/main" flipV="1">
          <a:off x="4159310" y="152400"/>
          <a:ext cx="0" cy="1696654"/>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3.xml><?xml version="1.0" encoding="utf-8"?>
<c:userShapes xmlns:c="http://schemas.openxmlformats.org/drawingml/2006/chart">
  <cdr:relSizeAnchor xmlns:cdr="http://schemas.openxmlformats.org/drawingml/2006/chartDrawing">
    <cdr:from>
      <cdr:x>0.75934</cdr:x>
      <cdr:y>0.04732</cdr:y>
    </cdr:from>
    <cdr:to>
      <cdr:x>0.75934</cdr:x>
      <cdr:y>0.79861</cdr:y>
    </cdr:to>
    <cdr:cxnSp macro="">
      <cdr:nvCxnSpPr>
        <cdr:cNvPr id="4" name="Straight Connector 3"/>
        <cdr:cNvCxnSpPr/>
      </cdr:nvCxnSpPr>
      <cdr:spPr>
        <a:xfrm xmlns:a="http://schemas.openxmlformats.org/drawingml/2006/main" flipV="1">
          <a:off x="4166031" y="115836"/>
          <a:ext cx="0" cy="1839101"/>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tullapa_kontaktinformacija">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638B3E7-0B63-4A44-B5C9-D45240A86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72</Pages>
  <Words>127460</Words>
  <Characters>72653</Characters>
  <Application>Microsoft Office Word</Application>
  <DocSecurity>0</DocSecurity>
  <Lines>605</Lines>
  <Paragraphs>399</Paragraphs>
  <ScaleCrop>false</ScaleCrop>
  <HeadingPairs>
    <vt:vector size="2" baseType="variant">
      <vt:variant>
        <vt:lpstr>Title</vt:lpstr>
      </vt:variant>
      <vt:variant>
        <vt:i4>1</vt:i4>
      </vt:variant>
    </vt:vector>
  </HeadingPairs>
  <TitlesOfParts>
    <vt:vector size="1" baseType="lpstr">
      <vt:lpstr>Latvijas Stabilitātes programma 2023.-2026. gadam</vt:lpstr>
    </vt:vector>
  </TitlesOfParts>
  <Company>Finanšu ministrija</Company>
  <LinksUpToDate>false</LinksUpToDate>
  <CharactersWithSpaces>199714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Stabilitātes programma 2023.-2026. gadam</dc:title>
  <dc:subject>Rīga</dc:subject>
  <dc:creator>klinta.krauze@fm.gov.lv</dc:creator>
  <cp:keywords/>
  <dc:description>25681938
klinta.krauze@fm.gov.lv</dc:description>
  <cp:lastModifiedBy>Finanšu ministrija</cp:lastModifiedBy>
  <cp:revision>8</cp:revision>
  <cp:lastPrinted>2022-04-11T13:43:00Z</cp:lastPrinted>
  <dcterms:created xsi:type="dcterms:W3CDTF">2023-04-02T09:01:00Z</dcterms:created>
  <dcterms:modified xsi:type="dcterms:W3CDTF">2023-04-02T09:43:00Z</dcterms:modified>
</cp:coreProperties>
</file>