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B7C9F" w:rsidR="00C77ED8" w:rsidP="00C77ED8" w:rsidRDefault="00C77ED8" w14:paraId="33cae4cd" w14:textId="33cae4cd">
      <w:pPr>
        <w:spacing w:before="120" w:line="240" w:lineRule="auto"/>
        <w:ind w:left="0"/>
        <w:jc w:val="center"/>
        <w15:collapsed w:val="false"/>
        <w:rPr>
          <w:rFonts w:ascii="Calibri" w:hAnsi="Calibri" w:eastAsia="Calibri" w:cs="Calibri"/>
          <w:b/>
          <w:i/>
          <w:color w:val="000000"/>
          <w:sz w:val="32"/>
          <w:szCs w:val="32"/>
          <w:lang w:val="en-US"/>
        </w:rPr>
      </w:pPr>
      <w:r w:rsidRPr="00CB7C9F">
        <w:rPr>
          <w:rFonts w:ascii="Calibri" w:hAnsi="Calibri" w:eastAsia="Calibri" w:cs="Calibri"/>
          <w:b/>
          <w:i/>
          <w:color w:val="000000"/>
          <w:sz w:val="32"/>
          <w:szCs w:val="32"/>
          <w:lang w:val="en-US"/>
        </w:rPr>
        <w:t xml:space="preserve">Situation of young artists and cultural and creative professionals starting their careers on </w:t>
      </w:r>
      <w:r w:rsidRPr="009D0253" w:rsidR="009D0253">
        <w:rPr>
          <w:rFonts w:ascii="Calibri" w:hAnsi="Calibri" w:eastAsia="Calibri" w:cs="Calibri"/>
          <w:b/>
          <w:i/>
          <w:color w:val="000000"/>
          <w:sz w:val="32"/>
          <w:szCs w:val="32"/>
          <w:lang w:val="en-GB"/>
        </w:rPr>
        <w:t>labour</w:t>
      </w:r>
      <w:r w:rsidRPr="00CB7C9F">
        <w:rPr>
          <w:rFonts w:ascii="Calibri" w:hAnsi="Calibri" w:eastAsia="Calibri" w:cs="Calibri"/>
          <w:b/>
          <w:i/>
          <w:color w:val="000000"/>
          <w:sz w:val="32"/>
          <w:szCs w:val="32"/>
          <w:lang w:val="en-US"/>
        </w:rPr>
        <w:t xml:space="preserve"> </w:t>
      </w:r>
      <w:bookmarkStart w:id="0" w:name="_GoBack"/>
      <w:bookmarkEnd w:id="0"/>
      <w:r w:rsidRPr="00CB7C9F">
        <w:rPr>
          <w:rFonts w:ascii="Calibri" w:hAnsi="Calibri" w:eastAsia="Calibri" w:cs="Calibri"/>
          <w:b/>
          <w:i/>
          <w:color w:val="000000"/>
          <w:sz w:val="32"/>
          <w:szCs w:val="32"/>
          <w:lang w:val="en-US"/>
        </w:rPr>
        <w:t>market</w:t>
      </w:r>
    </w:p>
    <w:p w:rsidRPr="00C77ED8" w:rsidR="00C77ED8" w:rsidP="00C77ED8" w:rsidRDefault="00C77ED8">
      <w:pPr>
        <w:spacing w:before="120" w:line="240" w:lineRule="auto"/>
        <w:ind w:left="0"/>
        <w:jc w:val="center"/>
        <w:rPr>
          <w:rFonts w:ascii="Calibri" w:hAnsi="Calibri" w:eastAsia="Calibri" w:cs="Calibri"/>
          <w:b/>
          <w:sz w:val="22"/>
          <w:szCs w:val="22"/>
          <w:lang w:val="en-US"/>
        </w:rPr>
      </w:pPr>
      <w:r w:rsidRPr="00C77ED8">
        <w:rPr>
          <w:rFonts w:ascii="Calibri" w:hAnsi="Calibri" w:eastAsia="Calibri" w:cs="Calibri"/>
          <w:b/>
          <w:sz w:val="22"/>
          <w:szCs w:val="22"/>
          <w:lang w:val="en-US"/>
        </w:rPr>
        <w:t>Discussion paper</w:t>
      </w:r>
    </w:p>
    <w:p w:rsidR="00CB7C9F" w:rsidP="00CB7C9F" w:rsidRDefault="00CB7C9F">
      <w:pPr>
        <w:spacing w:before="120" w:line="240" w:lineRule="auto"/>
        <w:ind w:left="0"/>
        <w:jc w:val="center"/>
        <w:rPr>
          <w:rFonts w:ascii="Calibri" w:hAnsi="Calibri" w:eastAsia="Calibri" w:cs="Calibri"/>
          <w:b/>
          <w:lang w:val="en-GB"/>
        </w:rPr>
      </w:pPr>
      <w:r w:rsidRPr="00A95CB6">
        <w:rPr>
          <w:rFonts w:ascii="Calibri" w:hAnsi="Calibri" w:eastAsia="Calibri" w:cs="Calibri"/>
          <w:b/>
          <w:lang w:val="en-GB"/>
        </w:rPr>
        <w:t>In</w:t>
      </w:r>
      <w:r>
        <w:rPr>
          <w:rFonts w:ascii="Calibri" w:hAnsi="Calibri" w:eastAsia="Calibri" w:cs="Calibri"/>
          <w:b/>
          <w:lang w:val="en-GB"/>
        </w:rPr>
        <w:t xml:space="preserve">formal Meeting of Ministers </w:t>
      </w:r>
      <w:r w:rsidRPr="00A95CB6">
        <w:rPr>
          <w:rFonts w:ascii="Calibri" w:hAnsi="Calibri" w:eastAsia="Calibri" w:cs="Calibri"/>
          <w:b/>
          <w:lang w:val="en-GB"/>
        </w:rPr>
        <w:t>for Culture</w:t>
      </w:r>
      <w:r>
        <w:rPr>
          <w:rFonts w:ascii="Calibri" w:hAnsi="Calibri" w:eastAsia="Calibri" w:cs="Calibri"/>
          <w:b/>
          <w:lang w:val="en-GB"/>
        </w:rPr>
        <w:t xml:space="preserve"> </w:t>
      </w:r>
    </w:p>
    <w:p w:rsidRPr="00A95CB6" w:rsidR="00CB7C9F" w:rsidP="00CB7C9F" w:rsidRDefault="00CB7C9F">
      <w:pPr>
        <w:spacing w:before="120" w:line="240" w:lineRule="auto"/>
        <w:ind w:left="0"/>
        <w:jc w:val="center"/>
        <w:rPr>
          <w:rFonts w:ascii="Calibri" w:hAnsi="Calibri" w:eastAsia="Calibri" w:cs="Calibri"/>
          <w:b/>
          <w:lang w:val="en-GB"/>
        </w:rPr>
      </w:pPr>
      <w:r w:rsidRPr="00A95CB6">
        <w:rPr>
          <w:rFonts w:ascii="Calibri" w:hAnsi="Calibri" w:eastAsia="Calibri" w:cs="Calibri"/>
          <w:b/>
          <w:lang w:val="en-GB"/>
        </w:rPr>
        <w:t>in Warsaw</w:t>
      </w:r>
      <w:r>
        <w:rPr>
          <w:rFonts w:ascii="Calibri" w:hAnsi="Calibri" w:eastAsia="Calibri" w:cs="Calibri"/>
          <w:b/>
          <w:lang w:val="en-GB"/>
        </w:rPr>
        <w:t xml:space="preserve">, </w:t>
      </w:r>
      <w:r w:rsidRPr="00A95CB6">
        <w:rPr>
          <w:rFonts w:ascii="Calibri" w:hAnsi="Calibri" w:eastAsia="Calibri" w:cs="Calibri"/>
          <w:b/>
          <w:lang w:val="en-GB"/>
        </w:rPr>
        <w:t xml:space="preserve">April </w:t>
      </w:r>
      <w:r w:rsidR="00F9373E">
        <w:rPr>
          <w:rFonts w:ascii="Calibri" w:hAnsi="Calibri" w:eastAsia="Calibri" w:cs="Calibri"/>
          <w:b/>
          <w:lang w:val="en-GB"/>
        </w:rPr>
        <w:t>8</w:t>
      </w:r>
      <w:r w:rsidRPr="00A95CB6">
        <w:rPr>
          <w:rFonts w:ascii="Calibri" w:hAnsi="Calibri" w:eastAsia="Calibri" w:cs="Calibri"/>
          <w:b/>
          <w:lang w:val="en-GB"/>
        </w:rPr>
        <w:t>, 2025</w:t>
      </w:r>
    </w:p>
    <w:p w:rsidRPr="00C77ED8" w:rsidR="00C77ED8" w:rsidP="00C77ED8" w:rsidRDefault="00C77ED8">
      <w:pPr>
        <w:spacing w:before="120" w:line="240" w:lineRule="auto"/>
        <w:ind w:left="0"/>
        <w:jc w:val="center"/>
        <w:rPr>
          <w:rFonts w:ascii="Calibri" w:hAnsi="Calibri" w:eastAsia="Calibri" w:cs="Calibri"/>
          <w:b/>
          <w:sz w:val="22"/>
          <w:szCs w:val="22"/>
          <w:lang w:val="en-US"/>
        </w:rPr>
      </w:pPr>
    </w:p>
    <w:p w:rsidRPr="00F9373E" w:rsidR="00F9373E" w:rsidP="00F9373E" w:rsidRDefault="00F9373E">
      <w:pPr>
        <w:spacing w:before="120" w:line="240" w:lineRule="auto"/>
        <w:ind w:left="0"/>
        <w:rPr>
          <w:rFonts w:ascii="Calibri" w:hAnsi="Calibri" w:eastAsia="Times New Roman" w:cs="Calibri"/>
          <w:b/>
          <w:sz w:val="22"/>
          <w:szCs w:val="22"/>
          <w:lang w:val="en-GB" w:eastAsia="pl-PL"/>
        </w:rPr>
      </w:pPr>
      <w:r w:rsidRPr="00F9373E">
        <w:rPr>
          <w:rFonts w:ascii="Calibri" w:hAnsi="Calibri" w:eastAsia="Times New Roman" w:cs="Calibri"/>
          <w:b/>
          <w:sz w:val="22"/>
          <w:szCs w:val="22"/>
          <w:lang w:val="en-GB" w:eastAsia="pl-PL"/>
        </w:rPr>
        <w:t>Context of discussion</w:t>
      </w:r>
    </w:p>
    <w:p w:rsidRPr="00F9373E" w:rsidR="00F9373E" w:rsidP="00F9373E" w:rsidRDefault="00F9373E">
      <w:pPr>
        <w:autoSpaceDE w:val="false"/>
        <w:autoSpaceDN w:val="false"/>
        <w:adjustRightInd w:val="false"/>
        <w:spacing w:after="0" w:line="240" w:lineRule="auto"/>
        <w:ind w:left="7788"/>
        <w:rPr>
          <w:rFonts w:ascii="Calibri" w:hAnsi="Calibri" w:eastAsia="Calibri" w:cs="Calibri"/>
          <w:b/>
          <w:bCs/>
          <w:color w:val="000000"/>
          <w:sz w:val="22"/>
          <w:szCs w:val="22"/>
          <w:lang w:val="en-GB"/>
        </w:rPr>
      </w:pPr>
    </w:p>
    <w:p w:rsidRPr="00F9373E" w:rsidR="00F9373E" w:rsidP="00F9373E" w:rsidRDefault="00F9373E">
      <w:pPr>
        <w:spacing w:after="160" w:line="259" w:lineRule="auto"/>
        <w:ind w:left="0"/>
        <w:jc w:val="both"/>
        <w:rPr>
          <w:rFonts w:ascii="Calibri" w:hAnsi="Calibri" w:eastAsia="Calibri" w:cs="Calibri"/>
          <w:sz w:val="22"/>
          <w:szCs w:val="22"/>
          <w:lang w:val="en-GB"/>
        </w:rPr>
      </w:pPr>
      <w:r w:rsidRPr="00F9373E">
        <w:rPr>
          <w:rFonts w:ascii="Calibri" w:hAnsi="Calibri" w:eastAsia="Calibri" w:cs="Calibri"/>
          <w:sz w:val="22"/>
          <w:szCs w:val="22"/>
          <w:lang w:val="en-GB"/>
        </w:rPr>
        <w:t>Culture and cultural diversity play a crucial role in the socio-economic development of Europe and the strengthening of European identity, sense of community and the principles of democracy. Artists as well as cultural and creative professionals are an engine of creativity and innovation, their creative contribution to the functioning of European societies is particularly important in the era of technological progress, which, on the one hand, opens up new possibilities, but on the other – inhibits creative thinking by often suggesting ready-made solutions.</w:t>
      </w:r>
    </w:p>
    <w:p w:rsidRPr="00F9373E" w:rsidR="00F9373E" w:rsidP="00F9373E" w:rsidRDefault="00F9373E">
      <w:pPr>
        <w:spacing w:after="160" w:line="259" w:lineRule="auto"/>
        <w:ind w:left="0"/>
        <w:jc w:val="both"/>
        <w:rPr>
          <w:rFonts w:ascii="Calibri" w:hAnsi="Calibri" w:eastAsia="Calibri" w:cs="Calibri"/>
          <w:sz w:val="22"/>
          <w:szCs w:val="22"/>
          <w:lang w:val="en-GB"/>
        </w:rPr>
      </w:pPr>
      <w:r w:rsidRPr="00F9373E">
        <w:rPr>
          <w:rFonts w:ascii="Calibri" w:hAnsi="Calibri" w:eastAsia="Calibri" w:cs="Calibri"/>
          <w:sz w:val="22"/>
          <w:szCs w:val="22"/>
          <w:lang w:val="en-GB"/>
        </w:rPr>
        <w:t>The socio-economic situation of artists and professionals from the cultural and creative sector is special: they often do not have regular employment or a stable income, social security systems usually do not take into account the specificity of their work, it is also difficult to enter the labour market and build a permanent, strong position. The awareness of an uncertain future may make it difficult for young people to decide to take up a creative profession, although it should be remembered that we are talking about a significant group: according to Eurostat, the number of young people employed in the CCS shows constant growth since 2015, (interrupted only during the COVID-19 pandemic): 1.405 million young people worked in the CCS in 2023, which represented 18.1% of total cultural employment.</w:t>
      </w:r>
    </w:p>
    <w:p w:rsidRPr="00F9373E" w:rsidR="00F9373E" w:rsidP="00F9373E" w:rsidRDefault="00F9373E">
      <w:pPr>
        <w:spacing w:after="160" w:line="259" w:lineRule="auto"/>
        <w:ind w:left="0"/>
        <w:jc w:val="both"/>
        <w:rPr>
          <w:rFonts w:ascii="Calibri" w:hAnsi="Calibri" w:eastAsia="Calibri" w:cs="Calibri"/>
          <w:sz w:val="22"/>
          <w:szCs w:val="22"/>
          <w:lang w:val="en-GB"/>
        </w:rPr>
      </w:pPr>
      <w:r w:rsidRPr="00F9373E">
        <w:rPr>
          <w:rFonts w:ascii="Calibri" w:hAnsi="Calibri" w:eastAsia="Calibri" w:cs="Calibri"/>
          <w:b/>
          <w:sz w:val="22"/>
          <w:szCs w:val="22"/>
          <w:lang w:val="en-GB"/>
        </w:rPr>
        <w:t>The situation of young artists and cultural and creative professionals starting their careers is complex, mainly due to the following aspects:</w:t>
      </w:r>
    </w:p>
    <w:p w:rsidRPr="00F9373E" w:rsidR="00F9373E" w:rsidP="00F9373E" w:rsidRDefault="00F9373E">
      <w:pPr>
        <w:numPr>
          <w:ilvl w:val="0"/>
          <w:numId w:val="7"/>
        </w:numPr>
        <w:spacing w:after="160" w:line="259" w:lineRule="auto"/>
        <w:contextualSpacing/>
        <w:jc w:val="both"/>
        <w:rPr>
          <w:rFonts w:ascii="Calibri" w:hAnsi="Calibri" w:eastAsia="Calibri" w:cs="Calibri"/>
          <w:sz w:val="22"/>
          <w:szCs w:val="22"/>
          <w:lang w:val="en-GB"/>
        </w:rPr>
      </w:pPr>
      <w:r w:rsidRPr="00F9373E">
        <w:rPr>
          <w:rFonts w:ascii="Calibri" w:hAnsi="Calibri" w:eastAsia="Calibri" w:cs="Calibri"/>
          <w:sz w:val="22"/>
          <w:szCs w:val="22"/>
          <w:lang w:val="en-GB"/>
        </w:rPr>
        <w:t xml:space="preserve">they are usually unable to make a living from art only; </w:t>
      </w:r>
    </w:p>
    <w:p w:rsidRPr="00F9373E" w:rsidR="00F9373E" w:rsidP="00F9373E" w:rsidRDefault="00F9373E">
      <w:pPr>
        <w:numPr>
          <w:ilvl w:val="0"/>
          <w:numId w:val="7"/>
        </w:numPr>
        <w:spacing w:after="160" w:line="259" w:lineRule="auto"/>
        <w:contextualSpacing/>
        <w:jc w:val="both"/>
        <w:rPr>
          <w:rFonts w:ascii="Calibri" w:hAnsi="Calibri" w:eastAsia="Calibri" w:cs="Calibri"/>
          <w:sz w:val="22"/>
          <w:szCs w:val="22"/>
          <w:lang w:val="en-GB"/>
        </w:rPr>
      </w:pPr>
      <w:r w:rsidRPr="00F9373E">
        <w:rPr>
          <w:rFonts w:ascii="Calibri" w:hAnsi="Calibri" w:eastAsia="Calibri" w:cs="Calibri"/>
          <w:sz w:val="22"/>
          <w:szCs w:val="22"/>
          <w:lang w:val="en-GB"/>
        </w:rPr>
        <w:t>they cannot take advantage of the assistance, insurance, or reliefs that professional artists are entitled to – where such reliefs/assistance exist at all;</w:t>
      </w:r>
    </w:p>
    <w:p w:rsidRPr="00F9373E" w:rsidR="00F9373E" w:rsidP="00F9373E" w:rsidRDefault="00F9373E">
      <w:pPr>
        <w:numPr>
          <w:ilvl w:val="0"/>
          <w:numId w:val="7"/>
        </w:numPr>
        <w:spacing w:after="160" w:line="259" w:lineRule="auto"/>
        <w:contextualSpacing/>
        <w:jc w:val="both"/>
        <w:rPr>
          <w:rFonts w:ascii="Calibri" w:hAnsi="Calibri" w:eastAsia="Calibri" w:cs="Calibri"/>
          <w:sz w:val="22"/>
          <w:szCs w:val="22"/>
          <w:lang w:val="en-GB"/>
        </w:rPr>
      </w:pPr>
      <w:r w:rsidRPr="00F9373E">
        <w:rPr>
          <w:rFonts w:ascii="Calibri" w:hAnsi="Calibri" w:eastAsia="Calibri" w:cs="Calibri"/>
          <w:sz w:val="22"/>
          <w:szCs w:val="22"/>
          <w:lang w:val="en-GB"/>
        </w:rPr>
        <w:t>they are affected by: work without contracts, so-called "false self-employment" (i.e. self-employment forced by the actual employer/client), limited access to social benefits resulting from the unsystematic nature of work, multi-occupation and multiple sources of income resulting from the difficulty of living off of just one source, limited space in which you can work;</w:t>
      </w:r>
    </w:p>
    <w:p w:rsidRPr="00F9373E" w:rsidR="00F9373E" w:rsidP="00F9373E" w:rsidRDefault="00F9373E">
      <w:pPr>
        <w:numPr>
          <w:ilvl w:val="0"/>
          <w:numId w:val="7"/>
        </w:numPr>
        <w:spacing w:after="160" w:line="259" w:lineRule="auto"/>
        <w:contextualSpacing/>
        <w:jc w:val="both"/>
        <w:rPr>
          <w:rFonts w:ascii="Calibri" w:hAnsi="Calibri" w:eastAsia="Calibri" w:cs="Calibri"/>
          <w:sz w:val="22"/>
          <w:szCs w:val="22"/>
          <w:lang w:val="en-GB"/>
        </w:rPr>
      </w:pPr>
      <w:r w:rsidRPr="00F9373E">
        <w:rPr>
          <w:rFonts w:ascii="Calibri" w:hAnsi="Calibri" w:eastAsia="Calibri" w:cs="Calibri"/>
          <w:sz w:val="22"/>
          <w:szCs w:val="22"/>
          <w:lang w:val="en-GB"/>
        </w:rPr>
        <w:t>artistic curricula often do not provide sufficient education in issues related to economics, concluding contracts, settling taxes, etc.</w:t>
      </w:r>
    </w:p>
    <w:p w:rsidRPr="00F9373E" w:rsidR="00F9373E" w:rsidP="00F9373E" w:rsidRDefault="00F9373E">
      <w:pPr>
        <w:spacing w:after="160" w:line="259" w:lineRule="auto"/>
        <w:ind w:left="0"/>
        <w:jc w:val="both"/>
        <w:rPr>
          <w:rFonts w:ascii="Calibri" w:hAnsi="Calibri" w:eastAsia="Calibri" w:cs="Calibri"/>
          <w:sz w:val="22"/>
          <w:szCs w:val="22"/>
          <w:lang w:val="en-GB"/>
        </w:rPr>
      </w:pPr>
      <w:r w:rsidRPr="00F9373E">
        <w:rPr>
          <w:rFonts w:ascii="Calibri" w:hAnsi="Calibri" w:eastAsia="Calibri" w:cs="Calibri"/>
          <w:sz w:val="22"/>
          <w:szCs w:val="22"/>
          <w:lang w:val="en-GB"/>
        </w:rPr>
        <w:t xml:space="preserve">There are different approaches in EU Member States to the status of a professional artist and support for young artists and cultural and creative professionals, which was diagnosed in the </w:t>
      </w:r>
      <w:r w:rsidRPr="00F9373E">
        <w:rPr>
          <w:rFonts w:ascii="Calibri" w:hAnsi="Calibri" w:eastAsia="Calibri" w:cs="Calibri"/>
          <w:i/>
          <w:sz w:val="22"/>
          <w:szCs w:val="22"/>
          <w:lang w:val="en-GB"/>
        </w:rPr>
        <w:t>Analysis of the situation of young artists on the labour market in the EU Member States</w:t>
      </w:r>
      <w:r w:rsidRPr="00F9373E">
        <w:rPr>
          <w:rFonts w:ascii="Calibri" w:hAnsi="Calibri" w:eastAsia="Calibri" w:cs="Calibri"/>
          <w:sz w:val="22"/>
          <w:szCs w:val="22"/>
          <w:lang w:val="en-GB"/>
        </w:rPr>
        <w:t xml:space="preserve">, commissioned by the Polish Ministry of Culture and National Heritage in 2024. This analysis, prepared by an external expert, Professor Marek Krajewski,  will </w:t>
      </w:r>
      <w:r w:rsidRPr="00F9373E">
        <w:rPr>
          <w:rFonts w:ascii="Calibri" w:hAnsi="Calibri" w:eastAsia="Calibri" w:cs="Calibri"/>
          <w:sz w:val="22"/>
          <w:szCs w:val="22"/>
          <w:lang w:val="en-GB"/>
        </w:rPr>
        <w:lastRenderedPageBreak/>
        <w:t>be presented to the Ministers of Culture of the EU MS at an informal meeting on April 8 this year and will start a discussion.</w:t>
      </w:r>
    </w:p>
    <w:p w:rsidRPr="00F9373E" w:rsidR="00F9373E" w:rsidP="00F9373E" w:rsidRDefault="00F9373E">
      <w:pPr>
        <w:spacing w:before="120" w:line="240" w:lineRule="auto"/>
        <w:ind w:left="0"/>
        <w:jc w:val="both"/>
        <w:rPr>
          <w:rFonts w:ascii="Calibri" w:hAnsi="Calibri" w:eastAsia="Calibri" w:cs="Calibri"/>
          <w:sz w:val="22"/>
          <w:szCs w:val="22"/>
          <w:lang w:val="en-GB"/>
        </w:rPr>
      </w:pPr>
      <w:r w:rsidRPr="00F9373E">
        <w:rPr>
          <w:rFonts w:ascii="Calibri" w:hAnsi="Calibri" w:eastAsia="Calibri" w:cs="Times New Roman"/>
          <w:sz w:val="22"/>
          <w:szCs w:val="22"/>
          <w:lang w:val="en-GB"/>
        </w:rPr>
        <w:t xml:space="preserve">The basis for reflection on the topic proposed by the Polish Presidency was „European Parliament resolution of 21 November 2023 with recommendations to the Commission on an EU framework for the social and professional situation of artists and workers in the cultural and creative sectors”. </w:t>
      </w:r>
      <w:r w:rsidRPr="00F9373E">
        <w:rPr>
          <w:rFonts w:ascii="Calibri" w:hAnsi="Calibri" w:eastAsia="Calibri" w:cs="Calibri"/>
          <w:sz w:val="22"/>
          <w:szCs w:val="22"/>
          <w:lang w:val="en-GB"/>
        </w:rPr>
        <w:t>The document highlighted the difficult economic and social situation of artists working or taking jobs after graduating. The resolution emphasizes that young artists and CCS professionals are of key importance for the process of European integration. their work contributes to contacts between communities, building the identity of European nations, promoting European cultural diversity and universal dialogue. the analysis of topics addressed by various European institutions in the context of the current needs and challenges of the cultural sector shows that the issue of supporting young artists and creators entering the labour market occupies a limited place in the public debate -  many documents focus mainly on children, adolescents and cultural education, rather than on young people just starting out. That is why the above-mentioned EP Resolution is so important – its content indicates that it is also time for an in-depth debate on the situation of young artists and cultural and creative professionals.</w:t>
      </w:r>
    </w:p>
    <w:p w:rsidRPr="00F9373E" w:rsidR="00F9373E" w:rsidP="00F9373E" w:rsidRDefault="00F9373E">
      <w:pPr>
        <w:spacing w:after="160" w:line="259" w:lineRule="auto"/>
        <w:ind w:left="0"/>
        <w:jc w:val="both"/>
        <w:rPr>
          <w:rFonts w:ascii="Calibri" w:hAnsi="Calibri" w:eastAsia="Times New Roman" w:cs="Calibri"/>
          <w:sz w:val="22"/>
          <w:szCs w:val="22"/>
          <w:lang w:val="en-GB" w:eastAsia="pl-PL"/>
        </w:rPr>
      </w:pPr>
      <w:r w:rsidRPr="00F9373E">
        <w:rPr>
          <w:rFonts w:ascii="Calibri" w:hAnsi="Calibri" w:eastAsia="Times New Roman" w:cs="Calibri"/>
          <w:sz w:val="22"/>
          <w:szCs w:val="22"/>
          <w:lang w:val="en-GB" w:eastAsia="pl-PL"/>
        </w:rPr>
        <w:t>The topic of debate of the informal meeting of Culture Ministers also results from the Council Resolution on the EU Work Plan for Culture 2023-2026 (2022/C 466/01). The plan lists as the first of four priority areas: Artists and cultural professionals: empowering the cultural and creative sector. The justification stated that: „The cultural and creative ecosystem is inconceivable without the people who create cultural content in countless forms: artists and other cultural and creative professionals, institutions and organisations. Strong cultural and creative sectors (CCS) are therefore indispensable. However, they are characterised by self-employment, small and micro-enterprises, high competitiveness and fragmented markets. Artists and cultural and creative professionals tend to have project-based careers and experience a high degree of mobility. They often have an irregular and unpredictable income and combine several jobs to earn a living. (...) Now more than ever, there is an urgent need to further strengthen the resilience of the CCS, to support their recovery and diversity, to encourage their engagement with the sustainability objectives, to capitalise on new trends accelerated by the pandemic, including in the digital environment, and to ensure fair working conditions for all cultural and creative professionals (...)”. We would like to point out that while the aforementioned Work Plan addressed the issue of supporting artists and professionals in the cultural and creative sector, it did not address young artists, who are the ones who support our sector on an ongoing basis and will be its most important pillar in the future.</w:t>
      </w:r>
    </w:p>
    <w:p w:rsidRPr="00F9373E" w:rsidR="00F9373E" w:rsidP="00F9373E" w:rsidRDefault="00F9373E">
      <w:pPr>
        <w:spacing w:after="160" w:line="259" w:lineRule="auto"/>
        <w:ind w:left="0"/>
        <w:jc w:val="both"/>
        <w:rPr>
          <w:rFonts w:ascii="Calibri" w:hAnsi="Calibri" w:eastAsia="Calibri" w:cs="Calibri"/>
          <w:sz w:val="22"/>
          <w:szCs w:val="22"/>
          <w:lang w:val="en-GB"/>
        </w:rPr>
      </w:pPr>
      <w:r w:rsidRPr="00F9373E">
        <w:rPr>
          <w:rFonts w:ascii="Calibri" w:hAnsi="Calibri" w:eastAsia="Calibri" w:cs="Calibri"/>
          <w:sz w:val="22"/>
          <w:szCs w:val="22"/>
          <w:lang w:val="en-GB"/>
        </w:rPr>
        <w:t>As part of the work of the Cultural Affairs Committee during the Polish Presidency, experts worked on the text of conclusions on young artists and professionals entering the labour market.</w:t>
      </w:r>
      <w:r w:rsidRPr="00F9373E">
        <w:rPr>
          <w:rFonts w:ascii="Calibri" w:hAnsi="Calibri" w:eastAsia="Calibri" w:cs="Calibri"/>
          <w:b/>
          <w:sz w:val="22"/>
          <w:szCs w:val="22"/>
          <w:lang w:val="en-GB"/>
        </w:rPr>
        <w:t xml:space="preserve"> </w:t>
      </w:r>
      <w:r w:rsidRPr="00F9373E">
        <w:rPr>
          <w:rFonts w:ascii="Calibri" w:hAnsi="Calibri" w:eastAsia="Calibri" w:cs="Calibri"/>
          <w:sz w:val="22"/>
          <w:szCs w:val="22"/>
          <w:lang w:val="en-GB"/>
        </w:rPr>
        <w:t>These discussions were very lively and</w:t>
      </w:r>
      <w:r w:rsidRPr="00F9373E">
        <w:rPr>
          <w:rFonts w:ascii="Calibri" w:hAnsi="Calibri" w:eastAsia="Calibri" w:cs="Times New Roman"/>
          <w:sz w:val="22"/>
          <w:szCs w:val="22"/>
          <w:lang w:val="en-GB"/>
        </w:rPr>
        <w:t xml:space="preserve"> </w:t>
      </w:r>
      <w:r w:rsidRPr="00F9373E">
        <w:rPr>
          <w:rFonts w:ascii="Calibri" w:hAnsi="Calibri" w:eastAsia="Calibri" w:cs="Calibri"/>
          <w:sz w:val="22"/>
          <w:szCs w:val="22"/>
          <w:lang w:val="en-GB"/>
        </w:rPr>
        <w:t xml:space="preserve">clearly showed how important the topic was taken up. </w:t>
      </w:r>
    </w:p>
    <w:p w:rsidRPr="00F9373E" w:rsidR="00F9373E" w:rsidP="00F9373E" w:rsidRDefault="00F9373E">
      <w:pPr>
        <w:spacing w:after="160" w:line="259" w:lineRule="auto"/>
        <w:ind w:left="0"/>
        <w:jc w:val="both"/>
        <w:rPr>
          <w:rFonts w:ascii="Calibri" w:hAnsi="Calibri" w:eastAsia="Calibri" w:cs="Calibri"/>
          <w:b/>
          <w:sz w:val="22"/>
          <w:szCs w:val="22"/>
          <w:lang w:val="en-GB"/>
        </w:rPr>
      </w:pPr>
      <w:r w:rsidRPr="00F9373E">
        <w:rPr>
          <w:rFonts w:ascii="Calibri" w:hAnsi="Calibri" w:eastAsia="Calibri" w:cs="Calibri"/>
          <w:b/>
          <w:sz w:val="22"/>
          <w:szCs w:val="22"/>
          <w:lang w:val="en-GB"/>
        </w:rPr>
        <w:t xml:space="preserve">Taking the above mentioned into consideration, we believe that we should make every effort to make it easier for young artists and cultural and creative professionals to enter the labour market. They are the future – future of Europe. The development conditions that we create for them will contribute to enhancing the strength of our sector. Let us remember that in times of various threats and an uncertain geopolitical situation, the voice of people of culture must be heard, and culture should be one of the pillars of democracy and common European values. </w:t>
      </w:r>
    </w:p>
    <w:p w:rsidR="00F9373E" w:rsidP="00F9373E" w:rsidRDefault="00F9373E">
      <w:pPr>
        <w:spacing w:after="160" w:line="259" w:lineRule="auto"/>
        <w:ind w:left="0"/>
        <w:jc w:val="both"/>
        <w:rPr>
          <w:rFonts w:ascii="Calibri" w:hAnsi="Calibri" w:eastAsia="Calibri" w:cs="Calibri"/>
          <w:b/>
          <w:sz w:val="22"/>
          <w:szCs w:val="22"/>
        </w:rPr>
      </w:pPr>
    </w:p>
    <w:p w:rsidRPr="00F9373E" w:rsidR="00F9373E" w:rsidP="00F9373E" w:rsidRDefault="00F9373E">
      <w:pPr>
        <w:spacing w:after="160" w:line="259" w:lineRule="auto"/>
        <w:ind w:left="0"/>
        <w:jc w:val="both"/>
        <w:rPr>
          <w:rFonts w:ascii="Calibri" w:hAnsi="Calibri" w:eastAsia="Calibri" w:cs="Calibri"/>
          <w:b/>
          <w:sz w:val="22"/>
          <w:szCs w:val="22"/>
        </w:rPr>
      </w:pPr>
      <w:r w:rsidRPr="00F9373E">
        <w:rPr>
          <w:rFonts w:ascii="Calibri" w:hAnsi="Calibri" w:eastAsia="Calibri" w:cs="Calibri"/>
          <w:b/>
          <w:sz w:val="22"/>
          <w:szCs w:val="22"/>
        </w:rPr>
        <w:lastRenderedPageBreak/>
        <w:t xml:space="preserve">Questions for discussion: </w:t>
      </w:r>
    </w:p>
    <w:p w:rsidRPr="00F9373E" w:rsidR="00F9373E" w:rsidP="00F9373E" w:rsidRDefault="00F9373E">
      <w:pPr>
        <w:numPr>
          <w:ilvl w:val="0"/>
          <w:numId w:val="8"/>
        </w:numPr>
        <w:spacing w:after="160" w:line="259" w:lineRule="auto"/>
        <w:contextualSpacing/>
        <w:jc w:val="both"/>
        <w:rPr>
          <w:rFonts w:ascii="Calibri" w:hAnsi="Calibri" w:eastAsia="Calibri" w:cs="Calibri"/>
          <w:sz w:val="22"/>
          <w:szCs w:val="22"/>
        </w:rPr>
      </w:pPr>
      <w:r w:rsidRPr="00F9373E">
        <w:rPr>
          <w:rFonts w:ascii="Calibri" w:hAnsi="Calibri" w:eastAsia="Calibri" w:cs="Calibri"/>
          <w:sz w:val="22"/>
          <w:szCs w:val="22"/>
          <w:lang w:val="en-GB"/>
        </w:rPr>
        <w:t xml:space="preserve">What mechanisms and tools are in place in your countries to support young artists and cultural and creative professionals in entering labour market? </w:t>
      </w:r>
      <w:r w:rsidRPr="00F9373E">
        <w:rPr>
          <w:rFonts w:ascii="Calibri" w:hAnsi="Calibri" w:eastAsia="Calibri" w:cs="Calibri"/>
          <w:sz w:val="22"/>
          <w:szCs w:val="22"/>
        </w:rPr>
        <w:t>(e.g. scholarships/grant programmes/start-up subsidies)</w:t>
      </w:r>
    </w:p>
    <w:p w:rsidRPr="00F9373E" w:rsidR="00F9373E" w:rsidP="00F9373E" w:rsidRDefault="00F9373E">
      <w:pPr>
        <w:numPr>
          <w:ilvl w:val="0"/>
          <w:numId w:val="8"/>
        </w:numPr>
        <w:spacing w:after="160" w:line="259" w:lineRule="auto"/>
        <w:contextualSpacing/>
        <w:rPr>
          <w:rFonts w:ascii="Calibri" w:hAnsi="Calibri" w:eastAsia="Calibri" w:cs="Calibri"/>
          <w:sz w:val="22"/>
          <w:szCs w:val="22"/>
        </w:rPr>
      </w:pPr>
      <w:r w:rsidRPr="00F9373E">
        <w:rPr>
          <w:rFonts w:ascii="Calibri" w:hAnsi="Calibri" w:eastAsia="Calibri" w:cs="Calibri"/>
          <w:sz w:val="22"/>
          <w:szCs w:val="22"/>
          <w:lang w:val="en-GB"/>
        </w:rPr>
        <w:t xml:space="preserve">Are there any facilities in your country – if so, which ones – aimed at improving the living and working conditions of young artists and professionals in the cultural and creative sector? </w:t>
      </w:r>
      <w:r w:rsidRPr="00F9373E">
        <w:rPr>
          <w:rFonts w:ascii="Calibri" w:hAnsi="Calibri" w:eastAsia="Calibri" w:cs="Calibri"/>
          <w:sz w:val="22"/>
          <w:szCs w:val="22"/>
        </w:rPr>
        <w:t>(e.g. tax breaks / social security)</w:t>
      </w:r>
    </w:p>
    <w:p w:rsidRPr="00F9373E" w:rsidR="00F9373E" w:rsidP="00F9373E" w:rsidRDefault="00F9373E">
      <w:pPr>
        <w:spacing w:after="160" w:line="259" w:lineRule="auto"/>
        <w:ind w:left="720"/>
        <w:contextualSpacing/>
        <w:jc w:val="both"/>
        <w:rPr>
          <w:rFonts w:ascii="Calibri" w:hAnsi="Calibri" w:eastAsia="Calibri" w:cs="Calibri"/>
          <w:sz w:val="22"/>
          <w:szCs w:val="22"/>
        </w:rPr>
      </w:pPr>
    </w:p>
    <w:p w:rsidRPr="00F9373E" w:rsidR="00F9373E" w:rsidP="00F9373E" w:rsidRDefault="00F9373E">
      <w:pPr>
        <w:spacing w:before="160" w:after="0" w:line="240" w:lineRule="auto"/>
        <w:ind w:left="0"/>
        <w:jc w:val="both"/>
        <w:rPr>
          <w:rFonts w:ascii="Calibri" w:hAnsi="Calibri" w:eastAsia="Calibri" w:cs="Calibri"/>
          <w:sz w:val="22"/>
          <w:szCs w:val="22"/>
          <w:lang w:val="en-GB"/>
        </w:rPr>
      </w:pPr>
      <w:r w:rsidRPr="00F9373E">
        <w:rPr>
          <w:rFonts w:ascii="Calibri" w:hAnsi="Calibri" w:eastAsia="Calibri" w:cs="Calibri"/>
          <w:sz w:val="22"/>
          <w:szCs w:val="22"/>
          <w:lang w:val="en-GB"/>
        </w:rPr>
        <w:t xml:space="preserve">We ask that interventions do not exceed 3 minutes. </w:t>
      </w:r>
    </w:p>
    <w:p w:rsidRPr="00F9373E" w:rsidR="00F9373E" w:rsidP="00F9373E" w:rsidRDefault="00F9373E">
      <w:pPr>
        <w:spacing w:before="160" w:after="0" w:line="240" w:lineRule="auto"/>
        <w:ind w:left="0"/>
        <w:jc w:val="both"/>
        <w:rPr>
          <w:rFonts w:ascii="Calibri" w:hAnsi="Calibri" w:eastAsia="Calibri" w:cs="Calibri"/>
          <w:sz w:val="22"/>
          <w:szCs w:val="22"/>
          <w:lang w:val="en-GB"/>
        </w:rPr>
      </w:pPr>
      <w:r w:rsidRPr="00F9373E">
        <w:rPr>
          <w:rFonts w:ascii="Calibri" w:hAnsi="Calibri" w:eastAsia="Calibri" w:cs="Calibri"/>
          <w:sz w:val="22"/>
          <w:szCs w:val="22"/>
          <w:lang w:val="en-GB"/>
        </w:rPr>
        <w:t>For the purposes of this debate, we propose the following definitions:</w:t>
      </w:r>
    </w:p>
    <w:p w:rsidRPr="00F9373E" w:rsidR="00F9373E" w:rsidP="00F9373E" w:rsidRDefault="00F9373E">
      <w:pPr>
        <w:numPr>
          <w:ilvl w:val="0"/>
          <w:numId w:val="9"/>
        </w:numPr>
        <w:spacing w:before="160" w:after="0" w:line="240" w:lineRule="auto"/>
        <w:contextualSpacing/>
        <w:jc w:val="both"/>
        <w:rPr>
          <w:rFonts w:ascii="Calibri" w:hAnsi="Calibri" w:eastAsia="Calibri" w:cs="Calibri"/>
          <w:sz w:val="22"/>
          <w:szCs w:val="22"/>
          <w:lang w:val="en-GB"/>
        </w:rPr>
      </w:pPr>
      <w:r w:rsidRPr="00F9373E">
        <w:rPr>
          <w:rFonts w:ascii="Calibri" w:hAnsi="Calibri" w:eastAsia="Calibri" w:cs="Calibri"/>
          <w:sz w:val="22"/>
          <w:szCs w:val="22"/>
          <w:lang w:val="en-GB"/>
        </w:rPr>
        <w:t>Young artists and cultural and creative professionals – a person aged between 18 and 30 and an emerging artists and cultural and creative professionals of any age, starting their career;</w:t>
      </w:r>
    </w:p>
    <w:p w:rsidRPr="00F9373E" w:rsidR="00F9373E" w:rsidP="00F9373E" w:rsidRDefault="00F9373E">
      <w:pPr>
        <w:numPr>
          <w:ilvl w:val="0"/>
          <w:numId w:val="9"/>
        </w:numPr>
        <w:spacing w:before="160" w:after="0" w:line="240" w:lineRule="auto"/>
        <w:contextualSpacing/>
        <w:jc w:val="both"/>
        <w:rPr>
          <w:rFonts w:ascii="Calibri" w:hAnsi="Calibri" w:eastAsia="Calibri" w:cs="Calibri"/>
          <w:sz w:val="22"/>
          <w:szCs w:val="22"/>
          <w:lang w:val="en-GB"/>
        </w:rPr>
      </w:pPr>
      <w:r w:rsidRPr="00F9373E">
        <w:rPr>
          <w:rFonts w:ascii="Calibri" w:hAnsi="Calibri" w:eastAsia="Calibri" w:cs="Calibri"/>
          <w:sz w:val="22"/>
          <w:szCs w:val="22"/>
          <w:lang w:val="en-GB"/>
        </w:rPr>
        <w:t>Cultural and creative sectors – means all sectors with particular emphasis on those mentioned in Article 2 (1) of Regulation (EU) 2021/818 of the European Parliament and of the Council of 20 May 2021 establishing the Creative Europe Programme (2021 to 2027) and repealing Regulation (EU) No 1295/2013.</w:t>
      </w:r>
    </w:p>
    <w:p w:rsidRPr="00F9373E" w:rsidR="00F9373E" w:rsidP="00F9373E" w:rsidRDefault="00F9373E">
      <w:pPr>
        <w:spacing w:before="160" w:after="0" w:line="240" w:lineRule="auto"/>
        <w:ind w:left="0"/>
        <w:jc w:val="both"/>
        <w:rPr>
          <w:rFonts w:ascii="Calibri" w:hAnsi="Calibri" w:eastAsia="Calibri" w:cs="Calibri"/>
          <w:sz w:val="22"/>
          <w:szCs w:val="22"/>
          <w:lang w:val="en-GB"/>
        </w:rPr>
      </w:pPr>
      <w:r w:rsidRPr="00F9373E">
        <w:rPr>
          <w:rFonts w:ascii="Calibri" w:hAnsi="Calibri" w:eastAsia="Calibri" w:cs="Calibri"/>
          <w:b/>
          <w:sz w:val="22"/>
          <w:szCs w:val="22"/>
          <w:lang w:val="en-GB"/>
        </w:rPr>
        <w:t>The intention of the Polish Presidency is to collect your statements in writing after the informal meeting of Ministers</w:t>
      </w:r>
      <w:r w:rsidRPr="00F9373E">
        <w:rPr>
          <w:rFonts w:ascii="Calibri" w:hAnsi="Calibri" w:eastAsia="Calibri" w:cs="Calibri"/>
          <w:sz w:val="22"/>
          <w:szCs w:val="22"/>
          <w:lang w:val="en-GB"/>
        </w:rPr>
        <w:t xml:space="preserve">. We would like to prepare a catalogue of good practices, which we will share with you and which will allow for mutual drawing on solutions adopted in other countries. After the meeting, we will also provide you with the </w:t>
      </w:r>
      <w:r w:rsidRPr="00F9373E">
        <w:rPr>
          <w:rFonts w:ascii="Calibri" w:hAnsi="Calibri" w:eastAsia="Calibri" w:cs="Calibri"/>
          <w:i/>
          <w:sz w:val="22"/>
          <w:szCs w:val="22"/>
          <w:lang w:val="en-GB"/>
        </w:rPr>
        <w:t>Analysis of the situation of young artists on the labour market in the EU Member States</w:t>
      </w:r>
      <w:r w:rsidRPr="00F9373E">
        <w:rPr>
          <w:rFonts w:ascii="Calibri" w:hAnsi="Calibri" w:eastAsia="Calibri" w:cs="Calibri"/>
          <w:sz w:val="22"/>
          <w:szCs w:val="22"/>
          <w:lang w:val="en-GB"/>
        </w:rPr>
        <w:t>.</w:t>
      </w:r>
    </w:p>
    <w:p w:rsidRPr="00C77ED8" w:rsidR="003F6333" w:rsidP="00A95CB6" w:rsidRDefault="003F6333">
      <w:pPr>
        <w:pStyle w:val="Punktory"/>
        <w:numPr>
          <w:ilvl w:val="0"/>
          <w:numId w:val="0"/>
        </w:numPr>
        <w:ind w:left="3969"/>
        <w:rPr>
          <w:lang w:val="en-US"/>
        </w:rPr>
      </w:pPr>
    </w:p>
    <w:sectPr w:rsidRPr="00C77ED8" w:rsidR="003F6333" w:rsidSect="004367F3">
      <w:headerReference r:id="rId7" w:type="default"/>
      <w:pgSz w:w="11906" w:h="16838"/>
      <w:pgMar w:top="2835" w:right="1418" w:bottom="1418" w:left="907" w:header="70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248" w:rsidRDefault="00014248" w:rsidP="004367F3">
      <w:r>
        <w:separator/>
      </w:r>
    </w:p>
  </w:endnote>
  <w:endnote w:type="continuationSeparator" w:id="0">
    <w:p w:rsidR="00014248" w:rsidRDefault="00014248" w:rsidP="0043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Light">
    <w:altName w:val="Calibri"/>
    <w:charset w:val="EE"/>
    <w:family w:val="swiss"/>
    <w:pitch w:val="variable"/>
    <w:sig w:usb0="E10002FF" w:usb1="5000ECFF" w:usb2="00000021" w:usb3="00000000" w:csb0="0000019F" w:csb1="00000000"/>
  </w:font>
  <w:font w:name="Lato Black">
    <w:altName w:val="Calibri"/>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248" w:rsidRDefault="00014248" w:rsidP="004367F3">
      <w:r>
        <w:separator/>
      </w:r>
    </w:p>
  </w:footnote>
  <w:footnote w:type="continuationSeparator" w:id="0">
    <w:p w:rsidR="00014248" w:rsidRDefault="00014248" w:rsidP="004367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E98" w:rsidRPr="008E7A5B" w:rsidRDefault="004367F3" w:rsidP="004367F3">
    <w:pPr>
      <w:pStyle w:val="Nagwek"/>
    </w:pPr>
    <w:r w:rsidRPr="008E7A5B">
      <w:rPr>
        <w:noProof/>
        <w:lang w:eastAsia="pl-PL"/>
      </w:rPr>
      <w:drawing>
        <wp:anchor distT="0" distB="0" distL="114300" distR="114300" simplePos="0" relativeHeight="251660288" behindDoc="1" locked="1" layoutInCell="1" allowOverlap="1" wp14:anchorId="4C211A3C" wp14:editId="2CF83D46">
          <wp:simplePos x="0" y="0"/>
          <wp:positionH relativeFrom="margin">
            <wp:align>left</wp:align>
          </wp:positionH>
          <wp:positionV relativeFrom="page">
            <wp:posOffset>575945</wp:posOffset>
          </wp:positionV>
          <wp:extent cx="4582800" cy="622800"/>
          <wp:effectExtent l="0" t="0" r="0" b="635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wakowski Adam\AppData\Local\Microsoft\Windows\INetCache\Content.Word\znak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2800" cy="62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17AF"/>
    <w:multiLevelType w:val="hybridMultilevel"/>
    <w:tmpl w:val="9AC89502"/>
    <w:lvl w:ilvl="0" w:tplc="04150001">
      <w:start w:val="1"/>
      <w:numFmt w:val="bullet"/>
      <w:lvlText w:val=""/>
      <w:lvlJc w:val="left"/>
      <w:pPr>
        <w:ind w:left="3782" w:hanging="360"/>
      </w:pPr>
      <w:rPr>
        <w:rFonts w:ascii="Symbol" w:hAnsi="Symbol" w:hint="default"/>
      </w:rPr>
    </w:lvl>
    <w:lvl w:ilvl="1" w:tplc="04150003" w:tentative="1">
      <w:start w:val="1"/>
      <w:numFmt w:val="bullet"/>
      <w:lvlText w:val="o"/>
      <w:lvlJc w:val="left"/>
      <w:pPr>
        <w:ind w:left="4502" w:hanging="360"/>
      </w:pPr>
      <w:rPr>
        <w:rFonts w:ascii="Courier New" w:hAnsi="Courier New" w:cs="Courier New" w:hint="default"/>
      </w:rPr>
    </w:lvl>
    <w:lvl w:ilvl="2" w:tplc="04150005" w:tentative="1">
      <w:start w:val="1"/>
      <w:numFmt w:val="bullet"/>
      <w:lvlText w:val=""/>
      <w:lvlJc w:val="left"/>
      <w:pPr>
        <w:ind w:left="5222" w:hanging="360"/>
      </w:pPr>
      <w:rPr>
        <w:rFonts w:ascii="Wingdings" w:hAnsi="Wingdings" w:hint="default"/>
      </w:rPr>
    </w:lvl>
    <w:lvl w:ilvl="3" w:tplc="04150001" w:tentative="1">
      <w:start w:val="1"/>
      <w:numFmt w:val="bullet"/>
      <w:lvlText w:val=""/>
      <w:lvlJc w:val="left"/>
      <w:pPr>
        <w:ind w:left="5942" w:hanging="360"/>
      </w:pPr>
      <w:rPr>
        <w:rFonts w:ascii="Symbol" w:hAnsi="Symbol" w:hint="default"/>
      </w:rPr>
    </w:lvl>
    <w:lvl w:ilvl="4" w:tplc="04150003" w:tentative="1">
      <w:start w:val="1"/>
      <w:numFmt w:val="bullet"/>
      <w:lvlText w:val="o"/>
      <w:lvlJc w:val="left"/>
      <w:pPr>
        <w:ind w:left="6662" w:hanging="360"/>
      </w:pPr>
      <w:rPr>
        <w:rFonts w:ascii="Courier New" w:hAnsi="Courier New" w:cs="Courier New" w:hint="default"/>
      </w:rPr>
    </w:lvl>
    <w:lvl w:ilvl="5" w:tplc="04150005" w:tentative="1">
      <w:start w:val="1"/>
      <w:numFmt w:val="bullet"/>
      <w:lvlText w:val=""/>
      <w:lvlJc w:val="left"/>
      <w:pPr>
        <w:ind w:left="7382" w:hanging="360"/>
      </w:pPr>
      <w:rPr>
        <w:rFonts w:ascii="Wingdings" w:hAnsi="Wingdings" w:hint="default"/>
      </w:rPr>
    </w:lvl>
    <w:lvl w:ilvl="6" w:tplc="04150001" w:tentative="1">
      <w:start w:val="1"/>
      <w:numFmt w:val="bullet"/>
      <w:lvlText w:val=""/>
      <w:lvlJc w:val="left"/>
      <w:pPr>
        <w:ind w:left="8102" w:hanging="360"/>
      </w:pPr>
      <w:rPr>
        <w:rFonts w:ascii="Symbol" w:hAnsi="Symbol" w:hint="default"/>
      </w:rPr>
    </w:lvl>
    <w:lvl w:ilvl="7" w:tplc="04150003" w:tentative="1">
      <w:start w:val="1"/>
      <w:numFmt w:val="bullet"/>
      <w:lvlText w:val="o"/>
      <w:lvlJc w:val="left"/>
      <w:pPr>
        <w:ind w:left="8822" w:hanging="360"/>
      </w:pPr>
      <w:rPr>
        <w:rFonts w:ascii="Courier New" w:hAnsi="Courier New" w:cs="Courier New" w:hint="default"/>
      </w:rPr>
    </w:lvl>
    <w:lvl w:ilvl="8" w:tplc="04150005" w:tentative="1">
      <w:start w:val="1"/>
      <w:numFmt w:val="bullet"/>
      <w:lvlText w:val=""/>
      <w:lvlJc w:val="left"/>
      <w:pPr>
        <w:ind w:left="9542" w:hanging="360"/>
      </w:pPr>
      <w:rPr>
        <w:rFonts w:ascii="Wingdings" w:hAnsi="Wingdings" w:hint="default"/>
      </w:rPr>
    </w:lvl>
  </w:abstractNum>
  <w:abstractNum w:abstractNumId="1" w15:restartNumberingAfterBreak="0">
    <w:nsid w:val="0CCD372C"/>
    <w:multiLevelType w:val="hybridMultilevel"/>
    <w:tmpl w:val="0F4A06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CE0299"/>
    <w:multiLevelType w:val="hybridMultilevel"/>
    <w:tmpl w:val="C81EA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C21D53"/>
    <w:multiLevelType w:val="hybridMultilevel"/>
    <w:tmpl w:val="5ADE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3462F2"/>
    <w:multiLevelType w:val="hybridMultilevel"/>
    <w:tmpl w:val="0BB0B9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76071C"/>
    <w:multiLevelType w:val="hybridMultilevel"/>
    <w:tmpl w:val="0BF2AD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7E915B2"/>
    <w:multiLevelType w:val="hybridMultilevel"/>
    <w:tmpl w:val="4A286A68"/>
    <w:lvl w:ilvl="0" w:tplc="9DA0708E">
      <w:start w:val="1"/>
      <w:numFmt w:val="decimal"/>
      <w:pStyle w:val="Wyliczenie"/>
      <w:lvlText w:val="%1."/>
      <w:lvlJc w:val="left"/>
      <w:pPr>
        <w:ind w:left="4122" w:hanging="360"/>
      </w:pPr>
    </w:lvl>
    <w:lvl w:ilvl="1" w:tplc="04150019" w:tentative="1">
      <w:start w:val="1"/>
      <w:numFmt w:val="lowerLetter"/>
      <w:lvlText w:val="%2."/>
      <w:lvlJc w:val="left"/>
      <w:pPr>
        <w:ind w:left="4842" w:hanging="360"/>
      </w:pPr>
    </w:lvl>
    <w:lvl w:ilvl="2" w:tplc="0415001B" w:tentative="1">
      <w:start w:val="1"/>
      <w:numFmt w:val="lowerRoman"/>
      <w:lvlText w:val="%3."/>
      <w:lvlJc w:val="right"/>
      <w:pPr>
        <w:ind w:left="5562" w:hanging="180"/>
      </w:pPr>
    </w:lvl>
    <w:lvl w:ilvl="3" w:tplc="0415000F" w:tentative="1">
      <w:start w:val="1"/>
      <w:numFmt w:val="decimal"/>
      <w:lvlText w:val="%4."/>
      <w:lvlJc w:val="left"/>
      <w:pPr>
        <w:ind w:left="6282" w:hanging="360"/>
      </w:pPr>
    </w:lvl>
    <w:lvl w:ilvl="4" w:tplc="04150019" w:tentative="1">
      <w:start w:val="1"/>
      <w:numFmt w:val="lowerLetter"/>
      <w:lvlText w:val="%5."/>
      <w:lvlJc w:val="left"/>
      <w:pPr>
        <w:ind w:left="7002" w:hanging="360"/>
      </w:pPr>
    </w:lvl>
    <w:lvl w:ilvl="5" w:tplc="0415001B" w:tentative="1">
      <w:start w:val="1"/>
      <w:numFmt w:val="lowerRoman"/>
      <w:lvlText w:val="%6."/>
      <w:lvlJc w:val="right"/>
      <w:pPr>
        <w:ind w:left="7722" w:hanging="180"/>
      </w:pPr>
    </w:lvl>
    <w:lvl w:ilvl="6" w:tplc="0415000F" w:tentative="1">
      <w:start w:val="1"/>
      <w:numFmt w:val="decimal"/>
      <w:lvlText w:val="%7."/>
      <w:lvlJc w:val="left"/>
      <w:pPr>
        <w:ind w:left="8442" w:hanging="360"/>
      </w:pPr>
    </w:lvl>
    <w:lvl w:ilvl="7" w:tplc="04150019" w:tentative="1">
      <w:start w:val="1"/>
      <w:numFmt w:val="lowerLetter"/>
      <w:lvlText w:val="%8."/>
      <w:lvlJc w:val="left"/>
      <w:pPr>
        <w:ind w:left="9162" w:hanging="360"/>
      </w:pPr>
    </w:lvl>
    <w:lvl w:ilvl="8" w:tplc="0415001B" w:tentative="1">
      <w:start w:val="1"/>
      <w:numFmt w:val="lowerRoman"/>
      <w:lvlText w:val="%9."/>
      <w:lvlJc w:val="right"/>
      <w:pPr>
        <w:ind w:left="9882" w:hanging="180"/>
      </w:pPr>
    </w:lvl>
  </w:abstractNum>
  <w:abstractNum w:abstractNumId="7" w15:restartNumberingAfterBreak="0">
    <w:nsid w:val="71F80F38"/>
    <w:multiLevelType w:val="hybridMultilevel"/>
    <w:tmpl w:val="4D54FEA8"/>
    <w:lvl w:ilvl="0" w:tplc="0B1EFA54">
      <w:start w:val="1"/>
      <w:numFmt w:val="bullet"/>
      <w:pStyle w:val="Punktory"/>
      <w:lvlText w:val=""/>
      <w:lvlJc w:val="left"/>
      <w:pPr>
        <w:ind w:left="3782" w:hanging="360"/>
      </w:pPr>
      <w:rPr>
        <w:rFonts w:ascii="Symbol" w:hAnsi="Symbol" w:hint="default"/>
      </w:rPr>
    </w:lvl>
    <w:lvl w:ilvl="1" w:tplc="04150003" w:tentative="1">
      <w:start w:val="1"/>
      <w:numFmt w:val="bullet"/>
      <w:lvlText w:val="o"/>
      <w:lvlJc w:val="left"/>
      <w:pPr>
        <w:ind w:left="4502" w:hanging="360"/>
      </w:pPr>
      <w:rPr>
        <w:rFonts w:ascii="Courier New" w:hAnsi="Courier New" w:cs="Courier New" w:hint="default"/>
      </w:rPr>
    </w:lvl>
    <w:lvl w:ilvl="2" w:tplc="04150005" w:tentative="1">
      <w:start w:val="1"/>
      <w:numFmt w:val="bullet"/>
      <w:lvlText w:val=""/>
      <w:lvlJc w:val="left"/>
      <w:pPr>
        <w:ind w:left="5222" w:hanging="360"/>
      </w:pPr>
      <w:rPr>
        <w:rFonts w:ascii="Wingdings" w:hAnsi="Wingdings" w:hint="default"/>
      </w:rPr>
    </w:lvl>
    <w:lvl w:ilvl="3" w:tplc="04150001" w:tentative="1">
      <w:start w:val="1"/>
      <w:numFmt w:val="bullet"/>
      <w:lvlText w:val=""/>
      <w:lvlJc w:val="left"/>
      <w:pPr>
        <w:ind w:left="5942" w:hanging="360"/>
      </w:pPr>
      <w:rPr>
        <w:rFonts w:ascii="Symbol" w:hAnsi="Symbol" w:hint="default"/>
      </w:rPr>
    </w:lvl>
    <w:lvl w:ilvl="4" w:tplc="04150003" w:tentative="1">
      <w:start w:val="1"/>
      <w:numFmt w:val="bullet"/>
      <w:lvlText w:val="o"/>
      <w:lvlJc w:val="left"/>
      <w:pPr>
        <w:ind w:left="6662" w:hanging="360"/>
      </w:pPr>
      <w:rPr>
        <w:rFonts w:ascii="Courier New" w:hAnsi="Courier New" w:cs="Courier New" w:hint="default"/>
      </w:rPr>
    </w:lvl>
    <w:lvl w:ilvl="5" w:tplc="04150005" w:tentative="1">
      <w:start w:val="1"/>
      <w:numFmt w:val="bullet"/>
      <w:lvlText w:val=""/>
      <w:lvlJc w:val="left"/>
      <w:pPr>
        <w:ind w:left="7382" w:hanging="360"/>
      </w:pPr>
      <w:rPr>
        <w:rFonts w:ascii="Wingdings" w:hAnsi="Wingdings" w:hint="default"/>
      </w:rPr>
    </w:lvl>
    <w:lvl w:ilvl="6" w:tplc="04150001" w:tentative="1">
      <w:start w:val="1"/>
      <w:numFmt w:val="bullet"/>
      <w:lvlText w:val=""/>
      <w:lvlJc w:val="left"/>
      <w:pPr>
        <w:ind w:left="8102" w:hanging="360"/>
      </w:pPr>
      <w:rPr>
        <w:rFonts w:ascii="Symbol" w:hAnsi="Symbol" w:hint="default"/>
      </w:rPr>
    </w:lvl>
    <w:lvl w:ilvl="7" w:tplc="04150003" w:tentative="1">
      <w:start w:val="1"/>
      <w:numFmt w:val="bullet"/>
      <w:lvlText w:val="o"/>
      <w:lvlJc w:val="left"/>
      <w:pPr>
        <w:ind w:left="8822" w:hanging="360"/>
      </w:pPr>
      <w:rPr>
        <w:rFonts w:ascii="Courier New" w:hAnsi="Courier New" w:cs="Courier New" w:hint="default"/>
      </w:rPr>
    </w:lvl>
    <w:lvl w:ilvl="8" w:tplc="04150005" w:tentative="1">
      <w:start w:val="1"/>
      <w:numFmt w:val="bullet"/>
      <w:lvlText w:val=""/>
      <w:lvlJc w:val="left"/>
      <w:pPr>
        <w:ind w:left="9542" w:hanging="360"/>
      </w:pPr>
      <w:rPr>
        <w:rFonts w:ascii="Wingdings" w:hAnsi="Wingdings" w:hint="default"/>
      </w:rPr>
    </w:lvl>
  </w:abstractNum>
  <w:abstractNum w:abstractNumId="8" w15:restartNumberingAfterBreak="0">
    <w:nsid w:val="7C494DF9"/>
    <w:multiLevelType w:val="hybridMultilevel"/>
    <w:tmpl w:val="13CE3E9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8"/>
  </w:num>
  <w:num w:numId="6">
    <w:abstractNumId w:val="1"/>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6BB"/>
    <w:rsid w:val="00014248"/>
    <w:rsid w:val="000B44EC"/>
    <w:rsid w:val="003B4E81"/>
    <w:rsid w:val="003F6333"/>
    <w:rsid w:val="00402C40"/>
    <w:rsid w:val="004367F3"/>
    <w:rsid w:val="004A067D"/>
    <w:rsid w:val="004C1E8E"/>
    <w:rsid w:val="0066739C"/>
    <w:rsid w:val="0071728D"/>
    <w:rsid w:val="008E7A5B"/>
    <w:rsid w:val="00962632"/>
    <w:rsid w:val="009D0253"/>
    <w:rsid w:val="00A27E98"/>
    <w:rsid w:val="00A95CB6"/>
    <w:rsid w:val="00B041B3"/>
    <w:rsid w:val="00C77ED8"/>
    <w:rsid w:val="00CB7C9F"/>
    <w:rsid w:val="00DC7779"/>
    <w:rsid w:val="00EA7ED0"/>
    <w:rsid w:val="00F906BB"/>
    <w:rsid w:val="00F937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E32BA23E-C799-499A-BB61-4F922350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67F3"/>
    <w:pPr>
      <w:spacing w:after="120" w:line="324" w:lineRule="auto"/>
      <w:ind w:left="3402"/>
    </w:pPr>
    <w:rPr>
      <w:rFonts w:ascii="Lato Light" w:hAnsi="Lato Light"/>
      <w:sz w:val="24"/>
      <w:szCs w:val="24"/>
    </w:rPr>
  </w:style>
  <w:style w:type="paragraph" w:styleId="Nagwek1">
    <w:name w:val="heading 1"/>
    <w:basedOn w:val="Normalny"/>
    <w:next w:val="Normalny"/>
    <w:link w:val="Nagwek1Znak"/>
    <w:uiPriority w:val="9"/>
    <w:qFormat/>
    <w:rsid w:val="004367F3"/>
    <w:pPr>
      <w:spacing w:before="360" w:line="240" w:lineRule="auto"/>
      <w:outlineLvl w:val="0"/>
    </w:pPr>
    <w:rPr>
      <w:rFonts w:ascii="Lato Black" w:hAnsi="Lato Black"/>
      <w:sz w:val="36"/>
      <w:szCs w:val="36"/>
    </w:rPr>
  </w:style>
  <w:style w:type="paragraph" w:styleId="Nagwek2">
    <w:name w:val="heading 2"/>
    <w:basedOn w:val="Nagwek1"/>
    <w:next w:val="Normalny"/>
    <w:link w:val="Nagwek2Znak"/>
    <w:uiPriority w:val="9"/>
    <w:unhideWhenUsed/>
    <w:qFormat/>
    <w:rsid w:val="004367F3"/>
    <w:pPr>
      <w:outlineLvl w:val="1"/>
    </w:pPr>
    <w:rPr>
      <w:sz w:val="28"/>
      <w:szCs w:val="28"/>
    </w:rPr>
  </w:style>
  <w:style w:type="paragraph" w:styleId="Nagwek3">
    <w:name w:val="heading 3"/>
    <w:basedOn w:val="Nagwek2"/>
    <w:next w:val="Normalny"/>
    <w:link w:val="Nagwek3Znak"/>
    <w:uiPriority w:val="9"/>
    <w:unhideWhenUsed/>
    <w:qFormat/>
    <w:rsid w:val="004367F3"/>
    <w:pPr>
      <w:outlineLvl w:val="2"/>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7E9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7E98"/>
  </w:style>
  <w:style w:type="paragraph" w:styleId="Stopka">
    <w:name w:val="footer"/>
    <w:basedOn w:val="Normalny"/>
    <w:link w:val="StopkaZnak"/>
    <w:uiPriority w:val="99"/>
    <w:unhideWhenUsed/>
    <w:rsid w:val="00A27E9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7E98"/>
  </w:style>
  <w:style w:type="character" w:customStyle="1" w:styleId="Nagwek1Znak">
    <w:name w:val="Nagłówek 1 Znak"/>
    <w:basedOn w:val="Domylnaczcionkaakapitu"/>
    <w:link w:val="Nagwek1"/>
    <w:uiPriority w:val="9"/>
    <w:rsid w:val="004367F3"/>
    <w:rPr>
      <w:rFonts w:ascii="Lato Black" w:hAnsi="Lato Black"/>
      <w:sz w:val="36"/>
      <w:szCs w:val="36"/>
    </w:rPr>
  </w:style>
  <w:style w:type="character" w:customStyle="1" w:styleId="Nagwek2Znak">
    <w:name w:val="Nagłówek 2 Znak"/>
    <w:basedOn w:val="Domylnaczcionkaakapitu"/>
    <w:link w:val="Nagwek2"/>
    <w:uiPriority w:val="9"/>
    <w:rsid w:val="004367F3"/>
    <w:rPr>
      <w:rFonts w:ascii="Lato Black" w:hAnsi="Lato Black"/>
      <w:sz w:val="28"/>
      <w:szCs w:val="28"/>
    </w:rPr>
  </w:style>
  <w:style w:type="character" w:customStyle="1" w:styleId="Nagwek3Znak">
    <w:name w:val="Nagłówek 3 Znak"/>
    <w:basedOn w:val="Domylnaczcionkaakapitu"/>
    <w:link w:val="Nagwek3"/>
    <w:uiPriority w:val="9"/>
    <w:rsid w:val="004367F3"/>
    <w:rPr>
      <w:rFonts w:ascii="Lato Black" w:hAnsi="Lato Black"/>
      <w:sz w:val="24"/>
      <w:szCs w:val="24"/>
    </w:rPr>
  </w:style>
  <w:style w:type="paragraph" w:styleId="Akapitzlist">
    <w:name w:val="List Paragraph"/>
    <w:basedOn w:val="Normalny"/>
    <w:link w:val="AkapitzlistZnak"/>
    <w:uiPriority w:val="34"/>
    <w:qFormat/>
    <w:rsid w:val="008E7A5B"/>
    <w:pPr>
      <w:ind w:left="720"/>
      <w:contextualSpacing/>
    </w:pPr>
  </w:style>
  <w:style w:type="paragraph" w:customStyle="1" w:styleId="Punktory">
    <w:name w:val="Punktory"/>
    <w:basedOn w:val="Akapitzlist"/>
    <w:link w:val="PunktoryZnak"/>
    <w:qFormat/>
    <w:rsid w:val="004367F3"/>
    <w:pPr>
      <w:numPr>
        <w:numId w:val="2"/>
      </w:numPr>
      <w:ind w:left="7768" w:hanging="284"/>
    </w:pPr>
  </w:style>
  <w:style w:type="character" w:customStyle="1" w:styleId="AkapitzlistZnak">
    <w:name w:val="Akapit z listą Znak"/>
    <w:basedOn w:val="Domylnaczcionkaakapitu"/>
    <w:link w:val="Akapitzlist"/>
    <w:uiPriority w:val="34"/>
    <w:rsid w:val="008E7A5B"/>
    <w:rPr>
      <w:rFonts w:ascii="Lato Light" w:hAnsi="Lato Light"/>
      <w:color w:val="707372"/>
      <w:sz w:val="24"/>
      <w:szCs w:val="24"/>
    </w:rPr>
  </w:style>
  <w:style w:type="character" w:customStyle="1" w:styleId="PunktoryZnak">
    <w:name w:val="Punktory Znak"/>
    <w:basedOn w:val="AkapitzlistZnak"/>
    <w:link w:val="Punktory"/>
    <w:rsid w:val="004367F3"/>
    <w:rPr>
      <w:rFonts w:ascii="Lato Light" w:hAnsi="Lato Light"/>
      <w:color w:val="707372"/>
      <w:sz w:val="24"/>
      <w:szCs w:val="24"/>
    </w:rPr>
  </w:style>
  <w:style w:type="paragraph" w:customStyle="1" w:styleId="Wyliczenie">
    <w:name w:val="Wyliczenie"/>
    <w:basedOn w:val="Akapitzlist"/>
    <w:link w:val="WyliczenieZnak"/>
    <w:qFormat/>
    <w:rsid w:val="004367F3"/>
    <w:pPr>
      <w:numPr>
        <w:numId w:val="3"/>
      </w:numPr>
      <w:ind w:left="3970" w:hanging="284"/>
    </w:pPr>
  </w:style>
  <w:style w:type="character" w:customStyle="1" w:styleId="WyliczenieZnak">
    <w:name w:val="Wyliczenie Znak"/>
    <w:basedOn w:val="AkapitzlistZnak"/>
    <w:link w:val="Wyliczenie"/>
    <w:rsid w:val="004367F3"/>
    <w:rPr>
      <w:rFonts w:ascii="Lato Light" w:hAnsi="Lato Light"/>
      <w:color w:val="707372"/>
      <w:sz w:val="24"/>
      <w:szCs w:val="24"/>
    </w:rPr>
  </w:style>
  <w:style w:type="character" w:styleId="Odwoaniedokomentarza">
    <w:name w:val="annotation reference"/>
    <w:basedOn w:val="Domylnaczcionkaakapitu"/>
    <w:uiPriority w:val="99"/>
    <w:semiHidden/>
    <w:unhideWhenUsed/>
    <w:rsid w:val="00A95CB6"/>
    <w:rPr>
      <w:sz w:val="16"/>
      <w:szCs w:val="16"/>
    </w:rPr>
  </w:style>
  <w:style w:type="paragraph" w:customStyle="1" w:styleId="Tekstkomentarza1">
    <w:name w:val="Tekst komentarza1"/>
    <w:basedOn w:val="Normalny"/>
    <w:next w:val="Tekstkomentarza"/>
    <w:link w:val="TekstkomentarzaZnak"/>
    <w:uiPriority w:val="99"/>
    <w:semiHidden/>
    <w:unhideWhenUsed/>
    <w:rsid w:val="00A95CB6"/>
    <w:pPr>
      <w:spacing w:after="160" w:line="240" w:lineRule="auto"/>
      <w:ind w:left="0"/>
    </w:pPr>
    <w:rPr>
      <w:rFonts w:asciiTheme="minorHAnsi" w:hAnsiTheme="minorHAnsi"/>
      <w:sz w:val="20"/>
      <w:szCs w:val="20"/>
    </w:rPr>
  </w:style>
  <w:style w:type="character" w:customStyle="1" w:styleId="TekstkomentarzaZnak">
    <w:name w:val="Tekst komentarza Znak"/>
    <w:basedOn w:val="Domylnaczcionkaakapitu"/>
    <w:link w:val="Tekstkomentarza1"/>
    <w:uiPriority w:val="99"/>
    <w:semiHidden/>
    <w:rsid w:val="00A95CB6"/>
    <w:rPr>
      <w:sz w:val="20"/>
      <w:szCs w:val="20"/>
    </w:rPr>
  </w:style>
  <w:style w:type="paragraph" w:styleId="Tekstkomentarza">
    <w:name w:val="annotation text"/>
    <w:basedOn w:val="Normalny"/>
    <w:link w:val="TekstkomentarzaZnak1"/>
    <w:uiPriority w:val="99"/>
    <w:semiHidden/>
    <w:unhideWhenUsed/>
    <w:rsid w:val="00A95CB6"/>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A95CB6"/>
    <w:rPr>
      <w:rFonts w:ascii="Lato Light" w:hAnsi="Lato Light"/>
      <w:sz w:val="20"/>
      <w:szCs w:val="20"/>
    </w:rPr>
  </w:style>
  <w:style w:type="paragraph" w:styleId="Tekstdymka">
    <w:name w:val="Balloon Text"/>
    <w:basedOn w:val="Normalny"/>
    <w:link w:val="TekstdymkaZnak"/>
    <w:uiPriority w:val="99"/>
    <w:semiHidden/>
    <w:unhideWhenUsed/>
    <w:rsid w:val="00A95C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5C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header1.xml" Type="http://schemas.openxmlformats.org/officeDocument/2006/relationships/header" Id="rId7"/>
   <Relationship Target="../customXml/item3.xml" Type="http://schemas.openxmlformats.org/officeDocument/2006/relationships/customXml"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customXml/item2.xml" Type="http://schemas.openxmlformats.org/officeDocument/2006/relationships/customXml" Id="rId11"/>
   <Relationship Target="footnotes.xml" Type="http://schemas.openxmlformats.org/officeDocument/2006/relationships/footnotes" Id="rId5"/>
   <Relationship Target="../customXml/item1.xml" Type="http://schemas.openxmlformats.org/officeDocument/2006/relationships/customXml" Id="rId10"/>
   <Relationship Target="webSettings.xml" Type="http://schemas.openxmlformats.org/officeDocument/2006/relationships/webSettings" Id="rId4"/>
   <Relationship Target="theme/theme1.xml" Type="http://schemas.openxmlformats.org/officeDocument/2006/relationships/theme"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7B98BB4B34F2884EBFE5D98E9C8C082A" ma:contentTypeName="Dokuments" ma:contentTypeScope="" ma:contentTypeVersion="18" ma:versionID="d63f27938dfaab79786904fe3f699a14">
  <xsd:schema xmlns:xsd="http://www.w3.org/2001/XMLSchema" xmlns:ns2="b46cec30-3c96-49ba-8e80-c1db7ce5db41" xmlns:ns3="bf9c787b-86fa-46b7-82b5-b5a01fd7d54d" xmlns:p="http://schemas.microsoft.com/office/2006/metadata/properties" xmlns:xs="http://www.w3.org/2001/XMLSchema" ma:fieldsID="89943475ffa202f7de87fda01a1a2217" ma:root="true" ns2:_="" ns3:_="" targetNamespace="http://schemas.microsoft.com/office/2006/metadata/properties">
    <xsd:import namespace="b46cec30-3c96-49ba-8e80-c1db7ce5db41"/>
    <xsd:import namespace="bf9c787b-86fa-46b7-82b5-b5a01fd7d54d"/>
    <xsd:element name="properties">
      <xsd:complexType>
        <xsd:sequence>
          <xsd:element name="documentManagement">
            <xsd:complexType>
              <xsd:all>
                <xsd:element minOccurs="0" ref="ns2:SharedWithUsers"/>
                <xsd:element minOccurs="0" ref="ns2:SharedWithDetails"/>
                <xsd:element minOccurs="0" ref="ns3:MediaServiceMetadata"/>
                <xsd:element minOccurs="0" ref="ns3:MediaServiceFastMetadata"/>
                <xsd:element minOccurs="0" ref="ns3:MediaServiceAutoKeyPoints"/>
                <xsd:element minOccurs="0" ref="ns3:MediaServiceKeyPoints"/>
                <xsd:element minOccurs="0" ref="ns3:MediaServiceAutoTags"/>
                <xsd:element minOccurs="0" ref="ns3:MediaServiceGenerationTime"/>
                <xsd:element minOccurs="0" ref="ns3:MediaServiceEventHashCode"/>
                <xsd:element minOccurs="0" ref="ns3:MediaServiceDateTaken"/>
                <xsd:element minOccurs="0" ref="ns3:MediaServiceOCR"/>
                <xsd:element minOccurs="0" ref="ns3:MediaServiceLocation"/>
                <xsd:element minOccurs="0" ref="ns3:MediaLengthInSeconds"/>
                <xsd:element minOccurs="0" ref="ns3:lcf76f155ced4ddcb4097134ff3c332f"/>
                <xsd:element minOccurs="0" ref="ns2:TaxCatchAll"/>
                <xsd:element minOccurs="0" ref="ns3:MediaServiceObjectDetectorVersions"/>
                <xsd:element minOccurs="0" ref="ns3: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46cec30-3c96-49ba-8e80-c1db7ce5db41">
    <xsd:import namespace="http://schemas.microsoft.com/office/2006/documentManagement/types"/>
    <xsd:import namespace="http://schemas.microsoft.com/office/infopath/2007/PartnerControls"/>
    <xsd:element ma:displayName="Koplietots ar"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9" ma:internalName="SharedWithDetails" ma:readOnly="true" name="SharedWithDetails" nillable="true">
      <xsd:simpleType>
        <xsd:restriction base="dms:Note">
          <xsd:maxLength value="255"/>
        </xsd:restriction>
      </xsd:simpleType>
    </xsd:element>
    <xsd:element ma:displayName="Taxonomy Catch All Column" ma:hidden="true" ma:index="23" ma:internalName="TaxCatchAll" ma:list="{4f5df50f-fd52-48f7-a593-cd827f66359d}" ma:showField="CatchAllData" ma:web="b46cec30-3c96-49ba-8e80-c1db7ce5db41"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f9c787b-86fa-46b7-82b5-b5a01fd7d54d">
    <xsd:import namespace="http://schemas.microsoft.com/office/2006/documentManagement/types"/>
    <xsd:import namespace="http://schemas.microsoft.com/office/infopath/2007/PartnerControls"/>
    <xsd:element ma:displayName="MediaServiceMetadata" ma:hidden="true" ma:index="10" ma:internalName="MediaServiceMetadata" ma:readOnly="true" name="MediaServiceMetadata" nillable="true">
      <xsd:simpleType>
        <xsd:restriction base="dms:Note"/>
      </xsd:simpleType>
    </xsd:element>
    <xsd:element ma:displayName="MediaServiceFastMetadata" ma:hidden="true" ma:index="11"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MediaServiceDateTaken" ma:hidden="true" ma:index="17" ma:internalName="MediaServiceDateTaken" ma:readOnly="true" name="MediaServiceDateTaken"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anchorId="fba54fb3-c3e1-fe81-a776-ca4b69148c4d" ma:displayName="Attēlu atzīmes" ma:fieldId="{5cf76f15-5ced-4ddc-b409-7134ff3c332f}" ma:index="22" ma:internalName="lcf76f155ced4ddcb4097134ff3c332f" ma:isKeyword="false" ma:open="true" ma:readOnly="false" ma:sspId="cbc571fe-a37c-43d1-b765-14afe1eb773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escription="" ma:displayName="MediaServiceObjectDetectorVersions" ma:hidden="true" ma:index="24" ma:indexed="true" ma:internalName="MediaServiceObjectDetectorVersions" ma:readOnly="true" name="MediaServiceObjectDetectorVersions" nillable="true">
      <xsd:simpleType>
        <xsd:restriction base="dms:Text"/>
      </xsd:simple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D0FFE512-F372-4000-AAF7-ADF70998231A}"/>
</file>

<file path=customXml/itemProps2.xml><?xml version="1.0" encoding="utf-8"?>
<ds:datastoreItem xmlns:ds="http://schemas.openxmlformats.org/officeDocument/2006/customXml" ds:itemID="{109A19E2-6691-4F47-84F4-5C3ACE3F64D2}"/>
</file>

<file path=customXml/itemProps3.xml><?xml version="1.0" encoding="utf-8"?>
<ds:datastoreItem xmlns:ds="http://schemas.openxmlformats.org/officeDocument/2006/customXml" ds:itemID="{BF6B3BAD-8780-40DC-BA7A-EEFB1AC89A1F}"/>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7135</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Ministrów</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Bartosz Baran</cp:lastModifiedBy>
  <cp:revision>3</cp:revision>
  <dcterms:created xsi:type="dcterms:W3CDTF">2025-03-05T09:20:00Z</dcterms:created>
  <dcterms:modified xsi:type="dcterms:W3CDTF">2025-03-05T09:24:00Z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18" name="DISCesvisAdditionalMakers">
    <vt:lpwstr> Armands Ļitvinovs</vt:lpwstr>
  </property>
  <property fmtid="{D5CDD505-2E9C-101B-9397-08002B2CF9AE}" pid="19" name="DIScgiUrl">
    <vt:lpwstr>https://lim.esvis.gov.lv/cs/idcplg</vt:lpwstr>
  </property>
  <property fmtid="{D5CDD505-2E9C-101B-9397-08002B2CF9AE}" pid="20" name="DISdDocName">
    <vt:lpwstr>L535814</vt:lpwstr>
  </property>
  <property fmtid="{D5CDD505-2E9C-101B-9397-08002B2CF9AE}" pid="21" name="DISCesvisSigner">
    <vt:lpwstr> </vt:lpwstr>
  </property>
  <property fmtid="{D5CDD505-2E9C-101B-9397-08002B2CF9AE}" pid="22" name="DISCesvisSafetyLevel">
    <vt:lpwstr>Vispārpieejams</vt:lpwstr>
  </property>
  <property fmtid="{D5CDD505-2E9C-101B-9397-08002B2CF9AE}" pid="23" name="DISTaskPaneUrl">
    <vt:lpwstr>https://lim.esvis.gov.lv/cs/idcplg?ClientControlled=DocMan&amp;coreContentOnly=1&amp;WebdavRequest=1&amp;IdcService=DOC_INFO&amp;dID=614650</vt:lpwstr>
  </property>
  <property fmtid="{D5CDD505-2E9C-101B-9397-08002B2CF9AE}" pid="24" name="DISCesvisTitle">
    <vt:lpwstr>Discussion paper (Young artists)</vt:lpwstr>
  </property>
  <property fmtid="{D5CDD505-2E9C-101B-9397-08002B2CF9AE}" pid="25" name="DISCesvisMinistryOfMinister">
    <vt:lpwstr>wwTemplateNP_MinistryOfMinister(Kultūras,)</vt:lpwstr>
  </property>
  <property fmtid="{D5CDD505-2E9C-101B-9397-08002B2CF9AE}" pid="26" name="DISCesvisAuthor">
    <vt:lpwstr>Kultūras ministrija</vt:lpwstr>
  </property>
  <property fmtid="{D5CDD505-2E9C-101B-9397-08002B2CF9AE}" pid="27" name="DISCesvisMainMaker">
    <vt:lpwstr> Armands Ļitvinovs</vt:lpwstr>
  </property>
  <property fmtid="{D5CDD505-2E9C-101B-9397-08002B2CF9AE}" pid="28" name="DISidcName">
    <vt:lpwstr>1020404016200</vt:lpwstr>
  </property>
  <property fmtid="{D5CDD505-2E9C-101B-9397-08002B2CF9AE}" pid="29" name="DISProperties">
    <vt:lpwstr>DISidcName,DISdID,DISCesvisTitle,DISCesvisAdditionalMakersMail,DISCesvisAdditionalMakers,DIScgiUrl,DISCesvisMinistryOfMinister,DISCesvisSafetyLevel,DISCesvisSigner,DISTaskPaneUrl,DISCesvisAuthor,DISdUser,DISdDocName,DISCesvisMainMaker</vt:lpwstr>
  </property>
  <property fmtid="{D5CDD505-2E9C-101B-9397-08002B2CF9AE}" pid="30" name="DISCesvisAdditionalMakersMail">
    <vt:lpwstr>armands.litvinovs@km.gov.lv</vt:lpwstr>
  </property>
  <property fmtid="{D5CDD505-2E9C-101B-9397-08002B2CF9AE}" pid="31" name="DISdUser">
    <vt:lpwstr>weblogic</vt:lpwstr>
  </property>
  <property fmtid="{D5CDD505-2E9C-101B-9397-08002B2CF9AE}" pid="32" name="DISdID">
    <vt:lpwstr>614650</vt:lpwstr>
  </property>
</Properties>
</file>