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F36FFC" w14:textId="77777777" w:rsidR="00496F2C" w:rsidRDefault="00496F2C" w:rsidP="008A09AC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hAnsi="Times New Roman" w:cs="Times New Roman"/>
          <w:sz w:val="28"/>
          <w:szCs w:val="28"/>
        </w:rPr>
      </w:pPr>
    </w:p>
    <w:p w14:paraId="0A824DDE" w14:textId="77777777" w:rsidR="00496F2C" w:rsidRDefault="00496F2C" w:rsidP="008A09AC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hAnsi="Times New Roman" w:cs="Times New Roman"/>
          <w:sz w:val="28"/>
          <w:szCs w:val="28"/>
        </w:rPr>
      </w:pPr>
    </w:p>
    <w:p w14:paraId="07D5210A" w14:textId="6C1C0896" w:rsidR="00496F2C" w:rsidRPr="008A09AC" w:rsidRDefault="00496F2C" w:rsidP="008A09AC">
      <w:pPr>
        <w:overflowPunct w:val="0"/>
        <w:autoSpaceDE w:val="0"/>
        <w:autoSpaceDN w:val="0"/>
        <w:adjustRightInd w:val="0"/>
        <w:spacing w:before="20"/>
        <w:jc w:val="right"/>
        <w:textAlignment w:val="baseline"/>
        <w:rPr>
          <w:rFonts w:ascii="Times New Roman" w:hAnsi="Times New Roman" w:cs="Times New Roman"/>
          <w:sz w:val="28"/>
          <w:szCs w:val="28"/>
        </w:rPr>
      </w:pPr>
      <w:r w:rsidRPr="008A09AC">
        <w:rPr>
          <w:rFonts w:ascii="Times New Roman" w:hAnsi="Times New Roman" w:cs="Times New Roman"/>
          <w:sz w:val="28"/>
          <w:szCs w:val="28"/>
        </w:rPr>
        <w:t xml:space="preserve">Ministru kabineta noteikumi Nr. </w:t>
      </w:r>
      <w:r w:rsidRPr="008A09AC">
        <w:rPr>
          <w:rFonts w:ascii="Times New Roman" w:hAnsi="Times New Roman" w:cs="Times New Roman"/>
          <w:sz w:val="28"/>
          <w:szCs w:val="28"/>
        </w:rPr>
        <w:t>796</w:t>
      </w:r>
      <w:r w:rsidRPr="008A09A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70EA212" w14:textId="28E43AD4" w:rsidR="00E2571D" w:rsidRPr="008A09AC" w:rsidRDefault="00496F2C" w:rsidP="008A09AC">
      <w:pPr>
        <w:spacing w:after="0" w:line="240" w:lineRule="auto"/>
        <w:jc w:val="right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r w:rsidRPr="008A09AC">
        <w:rPr>
          <w:rFonts w:ascii="Times New Roman" w:hAnsi="Times New Roman" w:cs="Times New Roman"/>
          <w:sz w:val="28"/>
          <w:szCs w:val="28"/>
        </w:rPr>
        <w:t>Rīgā</w:t>
      </w:r>
      <w:r w:rsidRPr="008A09AC">
        <w:rPr>
          <w:rFonts w:ascii="Times New Roman" w:hAnsi="Times New Roman" w:cs="Times New Roman"/>
          <w:sz w:val="28"/>
          <w:szCs w:val="28"/>
        </w:rPr>
        <w:t xml:space="preserve"> </w:t>
      </w:r>
      <w:r w:rsidRPr="008A09AC">
        <w:rPr>
          <w:rFonts w:ascii="Times New Roman" w:hAnsi="Times New Roman" w:cs="Times New Roman"/>
          <w:sz w:val="28"/>
          <w:szCs w:val="28"/>
        </w:rPr>
        <w:t>2021. gada 7. decembrī</w:t>
      </w:r>
      <w:r w:rsidRPr="008A09AC">
        <w:rPr>
          <w:rFonts w:ascii="Times New Roman" w:hAnsi="Times New Roman" w:cs="Times New Roman"/>
          <w:sz w:val="28"/>
          <w:szCs w:val="28"/>
        </w:rPr>
        <w:t xml:space="preserve"> (prot. Nr. </w:t>
      </w:r>
      <w:r w:rsidRPr="008A09AC">
        <w:rPr>
          <w:rFonts w:ascii="Times New Roman" w:hAnsi="Times New Roman" w:cs="Times New Roman"/>
          <w:sz w:val="28"/>
          <w:szCs w:val="28"/>
        </w:rPr>
        <w:t>79</w:t>
      </w:r>
      <w:r w:rsidRPr="008A09AC">
        <w:rPr>
          <w:rFonts w:ascii="Times New Roman" w:hAnsi="Times New Roman" w:cs="Times New Roman"/>
          <w:sz w:val="28"/>
          <w:szCs w:val="28"/>
        </w:rPr>
        <w:t xml:space="preserve">  </w:t>
      </w:r>
      <w:r w:rsidRPr="008A09AC">
        <w:rPr>
          <w:rFonts w:ascii="Times New Roman" w:hAnsi="Times New Roman" w:cs="Times New Roman"/>
          <w:sz w:val="28"/>
          <w:szCs w:val="28"/>
        </w:rPr>
        <w:t>20. §</w:t>
      </w:r>
      <w:r w:rsidRPr="008A09AC">
        <w:rPr>
          <w:rFonts w:ascii="Times New Roman" w:hAnsi="Times New Roman" w:cs="Times New Roman"/>
          <w:sz w:val="28"/>
          <w:szCs w:val="28"/>
        </w:rPr>
        <w:t>)</w:t>
      </w:r>
    </w:p>
    <w:p w14:paraId="61845C0A" w14:textId="77777777" w:rsidR="00496F2C" w:rsidRPr="008A09AC" w:rsidRDefault="00496F2C" w:rsidP="00E2571D">
      <w:pPr>
        <w:spacing w:after="0" w:line="240" w:lineRule="auto"/>
        <w:jc w:val="both"/>
        <w:rPr>
          <w:rStyle w:val="Strong"/>
          <w:rFonts w:ascii="Times New Roman" w:hAnsi="Times New Roman" w:cs="Times New Roman"/>
          <w:b w:val="0"/>
          <w:sz w:val="28"/>
          <w:szCs w:val="28"/>
        </w:rPr>
      </w:pPr>
    </w:p>
    <w:p w14:paraId="476C5106" w14:textId="02194FF6" w:rsidR="00E2571D" w:rsidRDefault="00E2571D" w:rsidP="00E2571D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  <w:sz w:val="28"/>
          <w:szCs w:val="28"/>
        </w:rPr>
        <w:t xml:space="preserve">Grozījumi Ministru kabineta 2013. gada 5. februāra noteikumos Nr. 84 </w:t>
      </w:r>
      <w:r w:rsidR="006D0FBB">
        <w:rPr>
          <w:rFonts w:ascii="Times New Roman" w:hAnsi="Times New Roman"/>
          <w:b/>
          <w:sz w:val="28"/>
          <w:szCs w:val="28"/>
        </w:rPr>
        <w:t>"</w:t>
      </w:r>
      <w:r>
        <w:rPr>
          <w:rFonts w:ascii="Times New Roman" w:hAnsi="Times New Roman"/>
          <w:b/>
          <w:sz w:val="28"/>
          <w:szCs w:val="28"/>
        </w:rPr>
        <w:t>Noteikumi par atsevišķu bīstamu ķīmisku vielu lietošanas ierobežojumiem elektriskajās un elektroniskajās iekārtās</w:t>
      </w:r>
      <w:r w:rsidR="006D0FBB">
        <w:rPr>
          <w:rFonts w:ascii="Times New Roman" w:hAnsi="Times New Roman"/>
          <w:b/>
          <w:sz w:val="28"/>
          <w:szCs w:val="28"/>
        </w:rPr>
        <w:t>"</w:t>
      </w:r>
    </w:p>
    <w:p w14:paraId="216D2DC5" w14:textId="77777777" w:rsidR="00E2571D" w:rsidRDefault="00E2571D" w:rsidP="00E2571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011AF9D4" w14:textId="77777777" w:rsidR="00496F2C" w:rsidRDefault="00E2571D" w:rsidP="00E2571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Izdoti saskaņā ar </w:t>
      </w:r>
    </w:p>
    <w:p w14:paraId="701E6DB6" w14:textId="77777777" w:rsidR="00496F2C" w:rsidRDefault="00E2571D" w:rsidP="00E2571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Ķīmisko vielu likuma </w:t>
      </w:r>
    </w:p>
    <w:p w14:paraId="7481A931" w14:textId="3DD00361" w:rsidR="00E2571D" w:rsidRDefault="00E2571D" w:rsidP="00E2571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16. panta otro daļu </w:t>
      </w:r>
      <w:r w:rsidR="00496F2C">
        <w:rPr>
          <w:rFonts w:ascii="Times New Roman" w:hAnsi="Times New Roman"/>
          <w:sz w:val="28"/>
          <w:szCs w:val="28"/>
        </w:rPr>
        <w:t>un likuma</w:t>
      </w:r>
    </w:p>
    <w:p w14:paraId="2D44B9B5" w14:textId="5350685A" w:rsidR="00E2571D" w:rsidRDefault="006D0FBB" w:rsidP="00E2571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"</w:t>
      </w:r>
      <w:r w:rsidR="00E2571D">
        <w:rPr>
          <w:rFonts w:ascii="Times New Roman" w:hAnsi="Times New Roman"/>
          <w:sz w:val="28"/>
          <w:szCs w:val="28"/>
        </w:rPr>
        <w:t>Par atbilstības novērtēšanu</w:t>
      </w:r>
      <w:r>
        <w:rPr>
          <w:rFonts w:ascii="Times New Roman" w:hAnsi="Times New Roman"/>
          <w:sz w:val="28"/>
          <w:szCs w:val="28"/>
        </w:rPr>
        <w:t>"</w:t>
      </w:r>
    </w:p>
    <w:p w14:paraId="409526CD" w14:textId="77777777" w:rsidR="00E2571D" w:rsidRDefault="00E2571D" w:rsidP="00E2571D">
      <w:pPr>
        <w:spacing w:after="0" w:line="240" w:lineRule="auto"/>
        <w:jc w:val="right"/>
        <w:rPr>
          <w:rStyle w:val="Strong"/>
          <w:b w:val="0"/>
          <w:bCs w:val="0"/>
        </w:rPr>
      </w:pPr>
      <w:r>
        <w:rPr>
          <w:rFonts w:ascii="Times New Roman" w:hAnsi="Times New Roman"/>
          <w:sz w:val="28"/>
          <w:szCs w:val="28"/>
        </w:rPr>
        <w:t>7. panta pirmo daļu</w:t>
      </w:r>
    </w:p>
    <w:p w14:paraId="34FE5C57" w14:textId="77777777" w:rsidR="00E2571D" w:rsidRDefault="00E2571D" w:rsidP="00E2571D"/>
    <w:p w14:paraId="1D295597" w14:textId="4CD27F58" w:rsidR="00E2571D" w:rsidRDefault="00496F2C" w:rsidP="00E2571D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 </w:t>
      </w:r>
      <w:r w:rsidR="00E2571D">
        <w:rPr>
          <w:rFonts w:ascii="Times New Roman" w:hAnsi="Times New Roman"/>
          <w:sz w:val="28"/>
          <w:szCs w:val="28"/>
        </w:rPr>
        <w:t xml:space="preserve">Izdarīt Ministru kabineta 2013. gada 5. februāra noteikumos Nr. 84 </w:t>
      </w:r>
      <w:r w:rsidR="006D0FBB">
        <w:rPr>
          <w:rFonts w:ascii="Times New Roman" w:hAnsi="Times New Roman"/>
          <w:sz w:val="28"/>
          <w:szCs w:val="28"/>
        </w:rPr>
        <w:t>"</w:t>
      </w:r>
      <w:r w:rsidR="00E2571D">
        <w:rPr>
          <w:rFonts w:ascii="Times New Roman" w:hAnsi="Times New Roman"/>
          <w:sz w:val="28"/>
          <w:szCs w:val="28"/>
        </w:rPr>
        <w:t>Noteikumi par atsevišķu bīstamu ķīmisku vielu lietošanas ierobežojumiem elektriskajās un elektroniskajās iekārtās</w:t>
      </w:r>
      <w:r w:rsidR="006D0FBB">
        <w:rPr>
          <w:rFonts w:ascii="Times New Roman" w:hAnsi="Times New Roman"/>
          <w:sz w:val="28"/>
          <w:szCs w:val="28"/>
        </w:rPr>
        <w:t>"</w:t>
      </w:r>
      <w:r w:rsidR="00E2571D">
        <w:rPr>
          <w:rFonts w:ascii="Times New Roman" w:hAnsi="Times New Roman"/>
          <w:sz w:val="28"/>
          <w:szCs w:val="28"/>
        </w:rPr>
        <w:t xml:space="preserve"> (Latvijas Vēstnesis, 2013, 47</w:t>
      </w:r>
      <w:r>
        <w:rPr>
          <w:rFonts w:ascii="Times New Roman" w:hAnsi="Times New Roman"/>
          <w:sz w:val="28"/>
          <w:szCs w:val="28"/>
        </w:rPr>
        <w:t>. </w:t>
      </w:r>
      <w:r w:rsidR="00E2571D">
        <w:rPr>
          <w:rFonts w:ascii="Times New Roman" w:hAnsi="Times New Roman"/>
          <w:sz w:val="28"/>
          <w:szCs w:val="28"/>
        </w:rPr>
        <w:t>nr.; 2014, 109., 210</w:t>
      </w:r>
      <w:r>
        <w:rPr>
          <w:rFonts w:ascii="Times New Roman" w:hAnsi="Times New Roman"/>
          <w:sz w:val="28"/>
          <w:szCs w:val="28"/>
        </w:rPr>
        <w:t>. </w:t>
      </w:r>
      <w:r w:rsidR="00E2571D">
        <w:rPr>
          <w:rFonts w:ascii="Times New Roman" w:hAnsi="Times New Roman"/>
          <w:sz w:val="28"/>
          <w:szCs w:val="28"/>
        </w:rPr>
        <w:t>nr.; 2016, 14</w:t>
      </w:r>
      <w:r>
        <w:rPr>
          <w:rFonts w:ascii="Times New Roman" w:hAnsi="Times New Roman"/>
          <w:sz w:val="28"/>
          <w:szCs w:val="28"/>
        </w:rPr>
        <w:t>. </w:t>
      </w:r>
      <w:r w:rsidR="00E2571D">
        <w:rPr>
          <w:rFonts w:ascii="Times New Roman" w:hAnsi="Times New Roman"/>
          <w:sz w:val="28"/>
          <w:szCs w:val="28"/>
        </w:rPr>
        <w:t>nr.; 2017, 56.</w:t>
      </w:r>
      <w:r w:rsidR="006D0FBB">
        <w:rPr>
          <w:rFonts w:ascii="Times New Roman" w:hAnsi="Times New Roman"/>
          <w:sz w:val="28"/>
          <w:szCs w:val="28"/>
        </w:rPr>
        <w:t>,</w:t>
      </w:r>
      <w:r w:rsidR="00E2571D">
        <w:rPr>
          <w:rFonts w:ascii="Times New Roman" w:hAnsi="Times New Roman"/>
          <w:sz w:val="28"/>
          <w:szCs w:val="28"/>
        </w:rPr>
        <w:t xml:space="preserve"> 249</w:t>
      </w:r>
      <w:r>
        <w:rPr>
          <w:rFonts w:ascii="Times New Roman" w:hAnsi="Times New Roman"/>
          <w:sz w:val="28"/>
          <w:szCs w:val="28"/>
        </w:rPr>
        <w:t>. </w:t>
      </w:r>
      <w:r w:rsidR="00E2571D">
        <w:rPr>
          <w:rFonts w:ascii="Times New Roman" w:hAnsi="Times New Roman"/>
          <w:sz w:val="28"/>
          <w:szCs w:val="28"/>
        </w:rPr>
        <w:t>nr.; 2018, 157</w:t>
      </w:r>
      <w:r>
        <w:rPr>
          <w:rFonts w:ascii="Times New Roman" w:hAnsi="Times New Roman"/>
          <w:sz w:val="28"/>
          <w:szCs w:val="28"/>
        </w:rPr>
        <w:t>. </w:t>
      </w:r>
      <w:r w:rsidR="00E2571D">
        <w:rPr>
          <w:rFonts w:ascii="Times New Roman" w:hAnsi="Times New Roman"/>
          <w:sz w:val="28"/>
          <w:szCs w:val="28"/>
        </w:rPr>
        <w:t>nr.; 2019, 7., 139.</w:t>
      </w:r>
      <w:r>
        <w:rPr>
          <w:rFonts w:ascii="Times New Roman" w:hAnsi="Times New Roman"/>
          <w:sz w:val="28"/>
          <w:szCs w:val="28"/>
        </w:rPr>
        <w:t> </w:t>
      </w:r>
      <w:r w:rsidR="00E2571D">
        <w:rPr>
          <w:rFonts w:ascii="Times New Roman" w:hAnsi="Times New Roman"/>
          <w:sz w:val="28"/>
          <w:szCs w:val="28"/>
        </w:rPr>
        <w:t>nr.; 2020, 84B., 173</w:t>
      </w:r>
      <w:r>
        <w:rPr>
          <w:rFonts w:ascii="Times New Roman" w:hAnsi="Times New Roman"/>
          <w:sz w:val="28"/>
          <w:szCs w:val="28"/>
        </w:rPr>
        <w:t>. </w:t>
      </w:r>
      <w:r w:rsidR="00E2571D">
        <w:rPr>
          <w:rFonts w:ascii="Times New Roman" w:hAnsi="Times New Roman"/>
          <w:sz w:val="28"/>
          <w:szCs w:val="28"/>
        </w:rPr>
        <w:t>nr.) šādus grozījumus:</w:t>
      </w:r>
    </w:p>
    <w:p w14:paraId="352E59D8" w14:textId="77777777" w:rsidR="004F7448" w:rsidRDefault="004F7448" w:rsidP="004B075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lv-LV"/>
        </w:rPr>
      </w:pPr>
    </w:p>
    <w:p w14:paraId="1E59B154" w14:textId="0E681E79" w:rsidR="00E2571D" w:rsidRDefault="004B0754" w:rsidP="004B075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lv-LV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lv-LV"/>
        </w:rPr>
        <w:t>1</w:t>
      </w:r>
      <w:r w:rsidR="00496F2C">
        <w:rPr>
          <w:rFonts w:ascii="Times New Roman" w:eastAsia="Times New Roman" w:hAnsi="Times New Roman" w:cs="Times New Roman"/>
          <w:bCs/>
          <w:sz w:val="28"/>
          <w:szCs w:val="28"/>
          <w:lang w:eastAsia="lv-LV"/>
        </w:rPr>
        <w:t>. </w:t>
      </w:r>
      <w:r w:rsidR="004F7448">
        <w:rPr>
          <w:rFonts w:ascii="Times New Roman" w:eastAsia="Times New Roman" w:hAnsi="Times New Roman" w:cs="Times New Roman"/>
          <w:bCs/>
          <w:sz w:val="28"/>
          <w:szCs w:val="28"/>
          <w:lang w:eastAsia="lv-LV"/>
        </w:rPr>
        <w:t>P</w:t>
      </w:r>
      <w:r w:rsidR="00E2571D" w:rsidRPr="004B0754">
        <w:rPr>
          <w:rFonts w:ascii="Times New Roman" w:eastAsia="Times New Roman" w:hAnsi="Times New Roman" w:cs="Times New Roman"/>
          <w:bCs/>
          <w:sz w:val="28"/>
          <w:szCs w:val="28"/>
          <w:lang w:eastAsia="lv-LV"/>
        </w:rPr>
        <w:t xml:space="preserve">apildināt </w:t>
      </w:r>
      <w:r w:rsidR="006D0FBB">
        <w:rPr>
          <w:rFonts w:ascii="Times New Roman" w:eastAsia="Times New Roman" w:hAnsi="Times New Roman" w:cs="Times New Roman"/>
          <w:bCs/>
          <w:sz w:val="28"/>
          <w:szCs w:val="28"/>
          <w:lang w:eastAsia="lv-LV"/>
        </w:rPr>
        <w:t>i</w:t>
      </w:r>
      <w:r w:rsidR="00E2571D" w:rsidRPr="004B0754">
        <w:rPr>
          <w:rFonts w:ascii="Times New Roman" w:eastAsia="Times New Roman" w:hAnsi="Times New Roman" w:cs="Times New Roman"/>
          <w:bCs/>
          <w:sz w:val="28"/>
          <w:szCs w:val="28"/>
          <w:lang w:eastAsia="lv-LV"/>
        </w:rPr>
        <w:t>nformatīvo atsauci uz Eiropas Savienības direktīvām ar 63</w:t>
      </w:r>
      <w:r w:rsidR="00496F2C" w:rsidRPr="004B0754">
        <w:rPr>
          <w:rFonts w:ascii="Times New Roman" w:eastAsia="Times New Roman" w:hAnsi="Times New Roman" w:cs="Times New Roman"/>
          <w:bCs/>
          <w:sz w:val="28"/>
          <w:szCs w:val="28"/>
          <w:lang w:eastAsia="lv-LV"/>
        </w:rPr>
        <w:t>.</w:t>
      </w:r>
      <w:r w:rsidR="00496F2C">
        <w:rPr>
          <w:rFonts w:ascii="Times New Roman" w:eastAsia="Times New Roman" w:hAnsi="Times New Roman" w:cs="Times New Roman"/>
          <w:bCs/>
          <w:sz w:val="28"/>
          <w:szCs w:val="28"/>
          <w:lang w:eastAsia="lv-LV"/>
        </w:rPr>
        <w:t> </w:t>
      </w:r>
      <w:r w:rsidR="00E2571D" w:rsidRPr="004B0754">
        <w:rPr>
          <w:rFonts w:ascii="Times New Roman" w:eastAsia="Times New Roman" w:hAnsi="Times New Roman" w:cs="Times New Roman"/>
          <w:bCs/>
          <w:sz w:val="28"/>
          <w:szCs w:val="28"/>
          <w:lang w:eastAsia="lv-LV"/>
        </w:rPr>
        <w:t>punktu šādā redakcijā:</w:t>
      </w:r>
    </w:p>
    <w:p w14:paraId="0C72128B" w14:textId="77777777" w:rsidR="00496F2C" w:rsidRPr="004B0754" w:rsidRDefault="00496F2C" w:rsidP="004B0754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14:paraId="5EBA51E7" w14:textId="405141BC" w:rsidR="00E2571D" w:rsidRDefault="006D0FBB" w:rsidP="008A09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</w:t>
      </w:r>
      <w:r w:rsidR="001856C3" w:rsidRPr="00ED4C84">
        <w:rPr>
          <w:rFonts w:ascii="Times New Roman" w:hAnsi="Times New Roman" w:cs="Times New Roman"/>
          <w:sz w:val="28"/>
          <w:szCs w:val="28"/>
        </w:rPr>
        <w:t>63</w:t>
      </w:r>
      <w:r w:rsidR="00496F2C" w:rsidRPr="00ED4C84">
        <w:rPr>
          <w:rFonts w:ascii="Times New Roman" w:hAnsi="Times New Roman" w:cs="Times New Roman"/>
          <w:sz w:val="28"/>
          <w:szCs w:val="28"/>
        </w:rPr>
        <w:t>)</w:t>
      </w:r>
      <w:r w:rsidR="00496F2C">
        <w:rPr>
          <w:rFonts w:ascii="Times New Roman" w:hAnsi="Times New Roman" w:cs="Times New Roman"/>
          <w:sz w:val="28"/>
          <w:szCs w:val="28"/>
        </w:rPr>
        <w:t> </w:t>
      </w:r>
      <w:r w:rsidR="001856C3" w:rsidRPr="00ED4C84">
        <w:rPr>
          <w:rFonts w:ascii="Times New Roman" w:hAnsi="Times New Roman" w:cs="Times New Roman"/>
          <w:sz w:val="28"/>
          <w:szCs w:val="28"/>
        </w:rPr>
        <w:t>Komisijas 2021. gada 15. janvāra Deleģētās direktīvas (ES) 2021/647, ar ko, pielāgojot zinātnes un tehnikas attīstībai, Eiropas Parlamenta un Padomes Direktīvas 2011/65/ES III pielikumu groza attiecībā uz atbrīvojumu dažu svina un sešvērtīgā hroma savienojumu izmantošanai civilām (profesionālām) vajadzībām paredzētu sprāgstvielu elektriskajos un elektroniskajos iniciatoros</w:t>
      </w:r>
      <w:r w:rsidR="001856C3" w:rsidRPr="00736E0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8"/>
          <w:szCs w:val="28"/>
        </w:rPr>
        <w:t>"</w:t>
      </w:r>
      <w:r w:rsidR="00496F2C">
        <w:rPr>
          <w:rFonts w:ascii="Times New Roman" w:hAnsi="Times New Roman" w:cs="Times New Roman"/>
          <w:sz w:val="28"/>
          <w:szCs w:val="28"/>
        </w:rPr>
        <w:t>;</w:t>
      </w:r>
    </w:p>
    <w:p w14:paraId="770AE5E9" w14:textId="78231E64" w:rsidR="00E2571D" w:rsidRDefault="00E2571D" w:rsidP="00E257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651E12E" w14:textId="761A1896" w:rsidR="00E2571D" w:rsidRDefault="004B0754" w:rsidP="004B0754">
      <w:pPr>
        <w:pStyle w:val="ListParagraph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4F7448">
        <w:rPr>
          <w:rFonts w:ascii="Times New Roman" w:hAnsi="Times New Roman" w:cs="Times New Roman"/>
          <w:sz w:val="28"/>
          <w:szCs w:val="28"/>
        </w:rPr>
        <w:t>P</w:t>
      </w:r>
      <w:r w:rsidR="00496F2C">
        <w:rPr>
          <w:rFonts w:ascii="Times New Roman" w:hAnsi="Times New Roman" w:cs="Times New Roman"/>
          <w:sz w:val="28"/>
          <w:szCs w:val="28"/>
        </w:rPr>
        <w:t xml:space="preserve">apildināt </w:t>
      </w:r>
      <w:r w:rsidR="00E2571D">
        <w:rPr>
          <w:rFonts w:ascii="Times New Roman" w:hAnsi="Times New Roman" w:cs="Times New Roman"/>
          <w:sz w:val="28"/>
          <w:szCs w:val="28"/>
        </w:rPr>
        <w:t>3.</w:t>
      </w:r>
      <w:r w:rsidR="0056376D">
        <w:rPr>
          <w:rFonts w:ascii="Times New Roman" w:hAnsi="Times New Roman" w:cs="Times New Roman"/>
          <w:sz w:val="28"/>
          <w:szCs w:val="28"/>
        </w:rPr>
        <w:t> </w:t>
      </w:r>
      <w:r w:rsidR="00E2571D">
        <w:rPr>
          <w:rFonts w:ascii="Times New Roman" w:hAnsi="Times New Roman" w:cs="Times New Roman"/>
          <w:sz w:val="28"/>
          <w:szCs w:val="28"/>
        </w:rPr>
        <w:t>pielikumu ar 54.</w:t>
      </w:r>
      <w:r w:rsidR="0056376D">
        <w:rPr>
          <w:rFonts w:ascii="Times New Roman" w:hAnsi="Times New Roman" w:cs="Times New Roman"/>
          <w:sz w:val="28"/>
          <w:szCs w:val="28"/>
        </w:rPr>
        <w:t> </w:t>
      </w:r>
      <w:r w:rsidR="00E2571D">
        <w:rPr>
          <w:rFonts w:ascii="Times New Roman" w:hAnsi="Times New Roman" w:cs="Times New Roman"/>
          <w:sz w:val="28"/>
          <w:szCs w:val="28"/>
        </w:rPr>
        <w:t>punktu šādā redakcijā:</w:t>
      </w:r>
    </w:p>
    <w:p w14:paraId="6AC0CE0C" w14:textId="12B14023" w:rsidR="00496F2C" w:rsidRDefault="00496F2C" w:rsidP="004B0754">
      <w:pPr>
        <w:pStyle w:val="ListParagraph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4"/>
        <w:gridCol w:w="5387"/>
        <w:gridCol w:w="2872"/>
      </w:tblGrid>
      <w:tr w:rsidR="00F33EA0" w14:paraId="4D2EF0EA" w14:textId="77777777" w:rsidTr="004F7448">
        <w:trPr>
          <w:trHeight w:val="416"/>
        </w:trPr>
        <w:tc>
          <w:tcPr>
            <w:tcW w:w="704" w:type="dxa"/>
          </w:tcPr>
          <w:p w14:paraId="16EE1648" w14:textId="68D0C766" w:rsidR="00F33EA0" w:rsidRDefault="003D5108" w:rsidP="004B0754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="00F33EA0" w:rsidRPr="00127CE3">
              <w:rPr>
                <w:rFonts w:ascii="Times New Roman" w:hAnsi="Times New Roman" w:cs="Times New Roman"/>
                <w:sz w:val="24"/>
                <w:szCs w:val="24"/>
              </w:rPr>
              <w:t>54.</w:t>
            </w:r>
          </w:p>
        </w:tc>
        <w:tc>
          <w:tcPr>
            <w:tcW w:w="5387" w:type="dxa"/>
          </w:tcPr>
          <w:p w14:paraId="46D97E7B" w14:textId="44CCFDB0" w:rsidR="00F33EA0" w:rsidRDefault="00F33EA0" w:rsidP="004B0754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4CFA">
              <w:rPr>
                <w:rFonts w:ascii="Times New Roman" w:hAnsi="Times New Roman" w:cs="Times New Roman"/>
                <w:sz w:val="24"/>
                <w:szCs w:val="24"/>
              </w:rPr>
              <w:t xml:space="preserve">Svina </w:t>
            </w:r>
            <w:proofErr w:type="spellStart"/>
            <w:r w:rsidRPr="00BB4CFA">
              <w:rPr>
                <w:rFonts w:ascii="Times New Roman" w:hAnsi="Times New Roman" w:cs="Times New Roman"/>
                <w:sz w:val="24"/>
                <w:szCs w:val="24"/>
              </w:rPr>
              <w:t>diazīds</w:t>
            </w:r>
            <w:proofErr w:type="spellEnd"/>
            <w:r w:rsidRPr="00BB4CFA">
              <w:rPr>
                <w:rFonts w:ascii="Times New Roman" w:hAnsi="Times New Roman" w:cs="Times New Roman"/>
                <w:sz w:val="24"/>
                <w:szCs w:val="24"/>
              </w:rPr>
              <w:t xml:space="preserve">, svina </w:t>
            </w:r>
            <w:proofErr w:type="spellStart"/>
            <w:r w:rsidRPr="00BB4CFA">
              <w:rPr>
                <w:rFonts w:ascii="Times New Roman" w:hAnsi="Times New Roman" w:cs="Times New Roman"/>
                <w:sz w:val="24"/>
                <w:szCs w:val="24"/>
              </w:rPr>
              <w:t>stifnāts</w:t>
            </w:r>
            <w:proofErr w:type="spellEnd"/>
            <w:r w:rsidRPr="00BB4CFA">
              <w:rPr>
                <w:rFonts w:ascii="Times New Roman" w:hAnsi="Times New Roman" w:cs="Times New Roman"/>
                <w:sz w:val="24"/>
                <w:szCs w:val="24"/>
              </w:rPr>
              <w:t xml:space="preserve">, svina </w:t>
            </w:r>
            <w:proofErr w:type="spellStart"/>
            <w:r w:rsidRPr="00BB4CFA">
              <w:rPr>
                <w:rFonts w:ascii="Times New Roman" w:hAnsi="Times New Roman" w:cs="Times New Roman"/>
                <w:sz w:val="24"/>
                <w:szCs w:val="24"/>
              </w:rPr>
              <w:t>dipikramāts</w:t>
            </w:r>
            <w:proofErr w:type="spellEnd"/>
            <w:r w:rsidRPr="00BB4CFA">
              <w:rPr>
                <w:rFonts w:ascii="Times New Roman" w:hAnsi="Times New Roman" w:cs="Times New Roman"/>
                <w:sz w:val="24"/>
                <w:szCs w:val="24"/>
              </w:rPr>
              <w:t xml:space="preserve">, svina mīnijs (svina </w:t>
            </w:r>
            <w:proofErr w:type="spellStart"/>
            <w:r w:rsidRPr="00BB4CFA">
              <w:rPr>
                <w:rFonts w:ascii="Times New Roman" w:hAnsi="Times New Roman" w:cs="Times New Roman"/>
                <w:sz w:val="24"/>
                <w:szCs w:val="24"/>
              </w:rPr>
              <w:t>tetroksīds</w:t>
            </w:r>
            <w:proofErr w:type="spellEnd"/>
            <w:r w:rsidRPr="00BB4CFA">
              <w:rPr>
                <w:rFonts w:ascii="Times New Roman" w:hAnsi="Times New Roman" w:cs="Times New Roman"/>
                <w:sz w:val="24"/>
                <w:szCs w:val="24"/>
              </w:rPr>
              <w:t xml:space="preserve">), svina dioksīds, kas ir civilām (profesionālām) vajadzībām paredzētu sprāgstvielu elektriskajos un elektroniskajos iniciatoros, un bārija </w:t>
            </w:r>
            <w:proofErr w:type="spellStart"/>
            <w:r w:rsidRPr="00BB4CFA">
              <w:rPr>
                <w:rFonts w:ascii="Times New Roman" w:hAnsi="Times New Roman" w:cs="Times New Roman"/>
                <w:sz w:val="24"/>
                <w:szCs w:val="24"/>
              </w:rPr>
              <w:t>hromāts</w:t>
            </w:r>
            <w:proofErr w:type="spellEnd"/>
            <w:r w:rsidRPr="00BB4CFA">
              <w:rPr>
                <w:rFonts w:ascii="Times New Roman" w:hAnsi="Times New Roman" w:cs="Times New Roman"/>
                <w:sz w:val="24"/>
                <w:szCs w:val="24"/>
              </w:rPr>
              <w:t xml:space="preserve">, kas ir civilām (profesionālām) vajadzībām </w:t>
            </w:r>
            <w:r w:rsidRPr="00BB4CF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paredzētu sprāgstvielu elektrisko iniciatoru ilglaicīgas pirotehniskās aiztures lādiņos</w:t>
            </w:r>
          </w:p>
        </w:tc>
        <w:tc>
          <w:tcPr>
            <w:tcW w:w="2872" w:type="dxa"/>
          </w:tcPr>
          <w:p w14:paraId="20D6029C" w14:textId="2C7E7098" w:rsidR="00F33EA0" w:rsidRDefault="00F33EA0" w:rsidP="004F7448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2E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Līdz 2026. gada 20. aprīlim piemēro iekārtām, kuras atbilst šo noteikumu</w:t>
            </w:r>
            <w:r w:rsidR="004F03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F0C70">
              <w:rPr>
                <w:rFonts w:ascii="Times New Roman" w:hAnsi="Times New Roman" w:cs="Times New Roman"/>
                <w:sz w:val="24"/>
                <w:szCs w:val="24"/>
              </w:rPr>
              <w:t>2. pielikumā minētajai 11. iekārtu kategorijai</w:t>
            </w:r>
            <w:r w:rsidR="003D5108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</w:tr>
    </w:tbl>
    <w:p w14:paraId="47F9C7E7" w14:textId="73F16683" w:rsidR="00496F2C" w:rsidRDefault="00496F2C" w:rsidP="00E12EBC">
      <w:pPr>
        <w:tabs>
          <w:tab w:val="left" w:pos="552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EF6A5AE" w14:textId="77777777" w:rsidR="004F7448" w:rsidRDefault="004F7448" w:rsidP="00E12EBC">
      <w:pPr>
        <w:tabs>
          <w:tab w:val="left" w:pos="552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9072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72"/>
      </w:tblGrid>
      <w:tr w:rsidR="00496F2C" w:rsidRPr="00496F2C" w14:paraId="1D91A4CC" w14:textId="77777777" w:rsidTr="003E54F9">
        <w:trPr>
          <w:cantSplit/>
        </w:trPr>
        <w:tc>
          <w:tcPr>
            <w:tcW w:w="9072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948"/>
              <w:gridCol w:w="2037"/>
              <w:gridCol w:w="3861"/>
            </w:tblGrid>
            <w:tr w:rsidR="00496F2C" w:rsidRPr="00496F2C" w14:paraId="1CDCCA3E" w14:textId="77777777" w:rsidTr="003E54F9">
              <w:tc>
                <w:tcPr>
                  <w:tcW w:w="2948" w:type="dxa"/>
                </w:tcPr>
                <w:bookmarkStart w:id="1" w:name="_Hlk82172428"/>
                <w:p w14:paraId="0F788C6A" w14:textId="77777777" w:rsidR="00496F2C" w:rsidRPr="008A09AC" w:rsidRDefault="00496F2C" w:rsidP="003E54F9">
                  <w:pPr>
                    <w:overflowPunct w:val="0"/>
                    <w:autoSpaceDE w:val="0"/>
                    <w:autoSpaceDN w:val="0"/>
                    <w:adjustRightInd w:val="0"/>
                    <w:spacing w:before="20"/>
                    <w:textAlignment w:val="baseline"/>
                    <w:rPr>
                      <w:rFonts w:ascii="Times New Roman" w:hAnsi="Times New Roman" w:cs="Times New Roman"/>
                      <w:color w:val="242424"/>
                      <w:sz w:val="28"/>
                      <w:szCs w:val="28"/>
                      <w:lang w:eastAsia="zh-CN"/>
                    </w:rPr>
                  </w:pPr>
                  <w:r w:rsidRPr="008A09AC">
                    <w:rPr>
                      <w:rFonts w:ascii="Times New Roman" w:hAnsi="Times New Roman" w:cs="Times New Roman"/>
                      <w:color w:val="242424"/>
                      <w:sz w:val="28"/>
                      <w:szCs w:val="28"/>
                      <w:lang w:eastAsia="zh-CN"/>
                    </w:rPr>
                    <w:t>Ministru prezidents</w:t>
                  </w:r>
                  <w:r w:rsidRPr="008A09AC">
                    <w:rPr>
                      <w:rFonts w:ascii="Times New Roman" w:hAnsi="Times New Roman" w:cs="Times New Roman"/>
                      <w:color w:val="242424"/>
                      <w:sz w:val="28"/>
                      <w:szCs w:val="28"/>
                      <w:lang w:eastAsia="zh-CN"/>
                    </w:rPr>
                    <w:t xml:space="preserve"> </w:t>
                  </w:r>
                </w:p>
              </w:tc>
              <w:tc>
                <w:tcPr>
                  <w:tcW w:w="2037" w:type="dxa"/>
                </w:tcPr>
                <w:p w14:paraId="1EAF8578" w14:textId="77777777" w:rsidR="00496F2C" w:rsidRPr="008A09AC" w:rsidRDefault="00496F2C" w:rsidP="003E54F9">
                  <w:pPr>
                    <w:overflowPunct w:val="0"/>
                    <w:autoSpaceDE w:val="0"/>
                    <w:autoSpaceDN w:val="0"/>
                    <w:adjustRightInd w:val="0"/>
                    <w:spacing w:before="20"/>
                    <w:textAlignment w:val="baseline"/>
                    <w:rPr>
                      <w:rFonts w:ascii="Times New Roman" w:hAnsi="Times New Roman" w:cs="Times New Roman"/>
                      <w:color w:val="242424"/>
                      <w:sz w:val="24"/>
                      <w:szCs w:val="24"/>
                      <w:lang w:eastAsia="zh-CN"/>
                    </w:rPr>
                  </w:pPr>
                  <w:r w:rsidRPr="008A09AC">
                    <w:rPr>
                      <w:rFonts w:ascii="Times New Roman" w:hAnsi="Times New Roman" w:cs="Times New Roman"/>
                      <w:color w:val="242424"/>
                      <w:sz w:val="24"/>
                      <w:szCs w:val="24"/>
                      <w:lang w:eastAsia="zh-CN"/>
                    </w:rPr>
                    <w:t>(paraksts*)</w:t>
                  </w:r>
                </w:p>
                <w:p w14:paraId="4EA00098" w14:textId="77777777" w:rsidR="00496F2C" w:rsidRPr="008A09AC" w:rsidRDefault="00496F2C" w:rsidP="003E54F9">
                  <w:pPr>
                    <w:overflowPunct w:val="0"/>
                    <w:autoSpaceDE w:val="0"/>
                    <w:autoSpaceDN w:val="0"/>
                    <w:adjustRightInd w:val="0"/>
                    <w:spacing w:before="20"/>
                    <w:textAlignment w:val="baseline"/>
                    <w:rPr>
                      <w:rFonts w:ascii="Times New Roman" w:hAnsi="Times New Roman" w:cs="Times New Roman"/>
                      <w:color w:val="242424"/>
                      <w:sz w:val="24"/>
                      <w:szCs w:val="24"/>
                      <w:lang w:eastAsia="zh-CN"/>
                    </w:rPr>
                  </w:pPr>
                  <w:r w:rsidRPr="008A09AC">
                    <w:rPr>
                      <w:rFonts w:ascii="Times New Roman" w:hAnsi="Times New Roman" w:cs="Times New Roman"/>
                      <w:color w:val="242424"/>
                      <w:sz w:val="24"/>
                      <w:szCs w:val="24"/>
                      <w:lang w:eastAsia="zh-CN"/>
                    </w:rPr>
                    <w:t xml:space="preserve">  </w:t>
                  </w:r>
                </w:p>
              </w:tc>
              <w:tc>
                <w:tcPr>
                  <w:tcW w:w="3861" w:type="dxa"/>
                </w:tcPr>
                <w:p w14:paraId="6B43A34E" w14:textId="77777777" w:rsidR="00496F2C" w:rsidRPr="008A09AC" w:rsidRDefault="00496F2C" w:rsidP="003E54F9">
                  <w:pPr>
                    <w:overflowPunct w:val="0"/>
                    <w:autoSpaceDE w:val="0"/>
                    <w:autoSpaceDN w:val="0"/>
                    <w:adjustRightInd w:val="0"/>
                    <w:spacing w:before="20"/>
                    <w:textAlignment w:val="baseline"/>
                    <w:rPr>
                      <w:rFonts w:ascii="Times New Roman" w:hAnsi="Times New Roman" w:cs="Times New Roman"/>
                      <w:color w:val="242424"/>
                      <w:sz w:val="28"/>
                      <w:szCs w:val="28"/>
                      <w:lang w:eastAsia="zh-CN"/>
                    </w:rPr>
                  </w:pPr>
                  <w:r w:rsidRPr="008A09AC">
                    <w:rPr>
                      <w:rFonts w:ascii="Times New Roman" w:hAnsi="Times New Roman" w:cs="Times New Roman"/>
                      <w:color w:val="242424"/>
                      <w:sz w:val="28"/>
                      <w:szCs w:val="28"/>
                      <w:lang w:eastAsia="zh-CN"/>
                    </w:rPr>
                    <w:t>A. K. Kariņš</w:t>
                  </w:r>
                </w:p>
              </w:tc>
            </w:tr>
            <w:tr w:rsidR="00496F2C" w:rsidRPr="00496F2C" w14:paraId="186CEB16" w14:textId="77777777" w:rsidTr="003E54F9">
              <w:tc>
                <w:tcPr>
                  <w:tcW w:w="2948" w:type="dxa"/>
                </w:tcPr>
                <w:p w14:paraId="5D477D5F" w14:textId="77777777" w:rsidR="00496F2C" w:rsidRPr="008A09AC" w:rsidRDefault="00496F2C" w:rsidP="003E54F9">
                  <w:pPr>
                    <w:spacing w:before="100" w:beforeAutospacing="1"/>
                    <w:rPr>
                      <w:rFonts w:ascii="Times New Roman" w:hAnsi="Times New Roman" w:cs="Times New Roman"/>
                      <w:color w:val="242424"/>
                      <w:sz w:val="28"/>
                      <w:szCs w:val="28"/>
                      <w:lang w:eastAsia="zh-CN"/>
                    </w:rPr>
                  </w:pPr>
                  <w:r w:rsidRPr="008A09AC">
                    <w:rPr>
                      <w:rFonts w:ascii="Times New Roman" w:hAnsi="Times New Roman" w:cs="Times New Roman"/>
                      <w:color w:val="242424"/>
                      <w:sz w:val="28"/>
                      <w:szCs w:val="28"/>
                      <w:lang w:eastAsia="zh-CN"/>
                    </w:rPr>
                    <w:t>Vides aizsardzības un reģionālās attīstības ministrs</w:t>
                  </w:r>
                  <w:r w:rsidRPr="008A09AC">
                    <w:rPr>
                      <w:rFonts w:ascii="Times New Roman" w:hAnsi="Times New Roman" w:cs="Times New Roman"/>
                      <w:color w:val="242424"/>
                      <w:sz w:val="28"/>
                      <w:szCs w:val="28"/>
                      <w:lang w:eastAsia="zh-CN"/>
                    </w:rPr>
                    <w:t xml:space="preserve"> </w:t>
                  </w:r>
                </w:p>
              </w:tc>
              <w:tc>
                <w:tcPr>
                  <w:tcW w:w="2037" w:type="dxa"/>
                </w:tcPr>
                <w:p w14:paraId="1AA17EFB" w14:textId="77777777" w:rsidR="00496F2C" w:rsidRPr="008A09AC" w:rsidRDefault="00496F2C" w:rsidP="003E54F9">
                  <w:pPr>
                    <w:overflowPunct w:val="0"/>
                    <w:autoSpaceDE w:val="0"/>
                    <w:autoSpaceDN w:val="0"/>
                    <w:adjustRightInd w:val="0"/>
                    <w:spacing w:before="20"/>
                    <w:textAlignment w:val="baseline"/>
                    <w:rPr>
                      <w:rFonts w:ascii="Times New Roman" w:hAnsi="Times New Roman" w:cs="Times New Roman"/>
                      <w:color w:val="242424"/>
                      <w:sz w:val="24"/>
                      <w:szCs w:val="24"/>
                      <w:lang w:eastAsia="zh-CN"/>
                    </w:rPr>
                  </w:pPr>
                  <w:r w:rsidRPr="008A09AC">
                    <w:rPr>
                      <w:rFonts w:ascii="Times New Roman" w:hAnsi="Times New Roman" w:cs="Times New Roman"/>
                      <w:color w:val="242424"/>
                      <w:sz w:val="24"/>
                      <w:szCs w:val="24"/>
                      <w:lang w:eastAsia="zh-CN"/>
                    </w:rPr>
                    <w:t>(paraksts*)</w:t>
                  </w:r>
                </w:p>
              </w:tc>
              <w:tc>
                <w:tcPr>
                  <w:tcW w:w="3861" w:type="dxa"/>
                </w:tcPr>
                <w:p w14:paraId="40911204" w14:textId="77777777" w:rsidR="00496F2C" w:rsidRPr="008A09AC" w:rsidRDefault="00496F2C" w:rsidP="003E54F9">
                  <w:pPr>
                    <w:overflowPunct w:val="0"/>
                    <w:autoSpaceDE w:val="0"/>
                    <w:autoSpaceDN w:val="0"/>
                    <w:adjustRightInd w:val="0"/>
                    <w:spacing w:before="20"/>
                    <w:textAlignment w:val="baseline"/>
                    <w:rPr>
                      <w:rFonts w:ascii="Times New Roman" w:hAnsi="Times New Roman" w:cs="Times New Roman"/>
                      <w:color w:val="242424"/>
                      <w:sz w:val="28"/>
                      <w:szCs w:val="28"/>
                      <w:lang w:eastAsia="zh-CN"/>
                    </w:rPr>
                  </w:pPr>
                  <w:r w:rsidRPr="008A09AC">
                    <w:rPr>
                      <w:rFonts w:ascii="Times New Roman" w:hAnsi="Times New Roman" w:cs="Times New Roman"/>
                      <w:color w:val="242424"/>
                      <w:sz w:val="28"/>
                      <w:szCs w:val="28"/>
                      <w:lang w:eastAsia="zh-CN"/>
                    </w:rPr>
                    <w:t>A. T. Plešs</w:t>
                  </w:r>
                </w:p>
              </w:tc>
            </w:tr>
          </w:tbl>
          <w:p w14:paraId="25837759" w14:textId="77777777" w:rsidR="00496F2C" w:rsidRPr="008A09AC" w:rsidRDefault="00496F2C" w:rsidP="003E54F9">
            <w:pPr>
              <w:rPr>
                <w:rFonts w:ascii="Times New Roman" w:hAnsi="Times New Roman" w:cs="Times New Roman"/>
                <w:color w:val="242424"/>
                <w:sz w:val="24"/>
                <w:szCs w:val="24"/>
                <w:lang w:eastAsia="zh-CN"/>
              </w:rPr>
            </w:pPr>
          </w:p>
          <w:p w14:paraId="3F864854" w14:textId="77777777" w:rsidR="00496F2C" w:rsidRPr="008A09AC" w:rsidRDefault="00496F2C" w:rsidP="003E54F9">
            <w:pPr>
              <w:overflowPunct w:val="0"/>
              <w:autoSpaceDE w:val="0"/>
              <w:autoSpaceDN w:val="0"/>
              <w:adjustRightInd w:val="0"/>
              <w:spacing w:before="20"/>
              <w:textAlignment w:val="baseline"/>
              <w:rPr>
                <w:rFonts w:ascii="Times New Roman" w:hAnsi="Times New Roman" w:cs="Times New Roman"/>
                <w:color w:val="242424"/>
                <w:sz w:val="24"/>
                <w:szCs w:val="24"/>
                <w:lang w:eastAsia="zh-CN"/>
              </w:rPr>
            </w:pPr>
            <w:r w:rsidRPr="008A09AC">
              <w:rPr>
                <w:rFonts w:ascii="Times New Roman" w:hAnsi="Times New Roman" w:cs="Times New Roman"/>
                <w:color w:val="242424"/>
                <w:sz w:val="24"/>
                <w:szCs w:val="24"/>
                <w:lang w:eastAsia="zh-CN"/>
              </w:rPr>
              <w:t>* Dokuments ir parakstīts ar drošu elektronisko parakstu</w:t>
            </w:r>
          </w:p>
        </w:tc>
      </w:tr>
      <w:bookmarkEnd w:id="1"/>
    </w:tbl>
    <w:p w14:paraId="6A62666C" w14:textId="77777777" w:rsidR="00496F2C" w:rsidRDefault="00496F2C" w:rsidP="00E12EBC">
      <w:pPr>
        <w:tabs>
          <w:tab w:val="left" w:pos="552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0620EB0" w14:textId="77777777" w:rsidR="00E12EBC" w:rsidRDefault="00E12EBC">
      <w:pPr>
        <w:pStyle w:val="ListParagraph"/>
        <w:ind w:left="1080"/>
      </w:pPr>
    </w:p>
    <w:sectPr w:rsidR="00E12EBC" w:rsidSect="008A09AC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40" w:right="1133" w:bottom="1440" w:left="180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AAD2323" w14:textId="77777777" w:rsidR="00275F56" w:rsidRDefault="00275F56" w:rsidP="00563431">
      <w:pPr>
        <w:spacing w:after="0" w:line="240" w:lineRule="auto"/>
      </w:pPr>
      <w:r>
        <w:separator/>
      </w:r>
    </w:p>
  </w:endnote>
  <w:endnote w:type="continuationSeparator" w:id="0">
    <w:p w14:paraId="1EB3B2CD" w14:textId="77777777" w:rsidR="00275F56" w:rsidRDefault="00275F56" w:rsidP="005634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BA9326" w14:textId="77777777" w:rsidR="00F87F85" w:rsidRPr="003E54F9" w:rsidRDefault="00F87F85" w:rsidP="00F87F85">
    <w:pPr>
      <w:pStyle w:val="Footer"/>
      <w:rPr>
        <w:rFonts w:ascii="Times New Roman" w:hAnsi="Times New Roman" w:cs="Times New Roman"/>
        <w:sz w:val="20"/>
        <w:szCs w:val="20"/>
      </w:rPr>
    </w:pPr>
    <w:r w:rsidRPr="003E54F9">
      <w:rPr>
        <w:rFonts w:ascii="Times New Roman" w:hAnsi="Times New Roman" w:cs="Times New Roman"/>
        <w:sz w:val="20"/>
        <w:szCs w:val="20"/>
      </w:rPr>
      <w:t>N642_1</w:t>
    </w:r>
  </w:p>
  <w:p w14:paraId="4CDC91C5" w14:textId="77777777" w:rsidR="00000966" w:rsidRDefault="0000096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B5A259" w14:textId="41D39D3D" w:rsidR="00000966" w:rsidRPr="008A09AC" w:rsidRDefault="00000966">
    <w:pPr>
      <w:pStyle w:val="Footer"/>
      <w:rPr>
        <w:rFonts w:ascii="Times New Roman" w:hAnsi="Times New Roman" w:cs="Times New Roman"/>
        <w:sz w:val="20"/>
        <w:szCs w:val="20"/>
      </w:rPr>
    </w:pPr>
    <w:r w:rsidRPr="008A09AC">
      <w:rPr>
        <w:rFonts w:ascii="Times New Roman" w:hAnsi="Times New Roman" w:cs="Times New Roman"/>
        <w:sz w:val="20"/>
        <w:szCs w:val="20"/>
      </w:rPr>
      <w:t>N642_1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CEDE05" w14:textId="77777777" w:rsidR="00275F56" w:rsidRDefault="00275F56" w:rsidP="00563431">
      <w:pPr>
        <w:spacing w:after="0" w:line="240" w:lineRule="auto"/>
      </w:pPr>
      <w:r>
        <w:separator/>
      </w:r>
    </w:p>
  </w:footnote>
  <w:footnote w:type="continuationSeparator" w:id="0">
    <w:p w14:paraId="0D16C4A0" w14:textId="77777777" w:rsidR="00275F56" w:rsidRDefault="00275F56" w:rsidP="005634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2CF473" w14:textId="6E43FAEF" w:rsidR="00496F2C" w:rsidRPr="008A09AC" w:rsidRDefault="00000966" w:rsidP="008A09AC">
    <w:pPr>
      <w:pStyle w:val="Header"/>
      <w:jc w:val="center"/>
      <w:rPr>
        <w:rFonts w:ascii="Times New Roman" w:hAnsi="Times New Roman" w:cs="Times New Roman"/>
        <w:sz w:val="24"/>
        <w:szCs w:val="24"/>
      </w:rPr>
    </w:pPr>
    <w:r w:rsidRPr="008A09AC">
      <w:rPr>
        <w:rFonts w:ascii="Times New Roman" w:hAnsi="Times New Roman" w:cs="Times New Roman"/>
        <w:sz w:val="24"/>
        <w:szCs w:val="24"/>
      </w:rPr>
      <w:t>2</w:t>
    </w:r>
  </w:p>
  <w:p w14:paraId="2257CCBF" w14:textId="77777777" w:rsidR="00496F2C" w:rsidRDefault="00496F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E11549" w14:textId="4B3101A6" w:rsidR="00496F2C" w:rsidRDefault="00000966">
    <w:pPr>
      <w:pStyle w:val="Header"/>
    </w:pPr>
    <w:r>
      <w:rPr>
        <w:noProof/>
      </w:rPr>
      <w:drawing>
        <wp:inline distT="0" distB="0" distL="0" distR="0" wp14:anchorId="32192588" wp14:editId="44DD7884">
          <wp:extent cx="5697855" cy="961216"/>
          <wp:effectExtent l="0" t="0" r="0" b="0"/>
          <wp:docPr id="2" name="Picture 2" descr="vienkrasu_header_veidlapa_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vienkrasu_header_veidlapa_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97855" cy="96121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31275E8"/>
    <w:multiLevelType w:val="hybridMultilevel"/>
    <w:tmpl w:val="C2223552"/>
    <w:lvl w:ilvl="0" w:tplc="A9326D0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DA6478C"/>
    <w:multiLevelType w:val="hybridMultilevel"/>
    <w:tmpl w:val="C324F2B8"/>
    <w:lvl w:ilvl="0" w:tplc="26C24EB4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71D"/>
    <w:rsid w:val="00000966"/>
    <w:rsid w:val="00130193"/>
    <w:rsid w:val="001856C3"/>
    <w:rsid w:val="00275F56"/>
    <w:rsid w:val="002D40F1"/>
    <w:rsid w:val="002D5AD5"/>
    <w:rsid w:val="003D5108"/>
    <w:rsid w:val="00496F2C"/>
    <w:rsid w:val="004B0754"/>
    <w:rsid w:val="004F03C4"/>
    <w:rsid w:val="004F7448"/>
    <w:rsid w:val="00563431"/>
    <w:rsid w:val="0056376D"/>
    <w:rsid w:val="00563B7F"/>
    <w:rsid w:val="006D0FBB"/>
    <w:rsid w:val="008A09AC"/>
    <w:rsid w:val="009B5FE4"/>
    <w:rsid w:val="009C6B2F"/>
    <w:rsid w:val="00A24220"/>
    <w:rsid w:val="00D44BAC"/>
    <w:rsid w:val="00E12EBC"/>
    <w:rsid w:val="00E2571D"/>
    <w:rsid w:val="00ED4C84"/>
    <w:rsid w:val="00F33EA0"/>
    <w:rsid w:val="00F87F85"/>
    <w:rsid w:val="00FE2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0D569B5"/>
  <w15:chartTrackingRefBased/>
  <w15:docId w15:val="{1EB838EE-7C32-45AF-A4AC-50C312ED23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E2571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E2571D"/>
    <w:rPr>
      <w:b/>
      <w:bCs/>
    </w:rPr>
  </w:style>
  <w:style w:type="paragraph" w:customStyle="1" w:styleId="naislab">
    <w:name w:val="naislab"/>
    <w:basedOn w:val="Normal"/>
    <w:rsid w:val="00E2571D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basedOn w:val="Normal"/>
    <w:uiPriority w:val="34"/>
    <w:qFormat/>
    <w:rsid w:val="00E2571D"/>
    <w:pPr>
      <w:ind w:left="720"/>
      <w:contextualSpacing/>
    </w:pPr>
  </w:style>
  <w:style w:type="table" w:styleId="TableGrid">
    <w:name w:val="Table Grid"/>
    <w:basedOn w:val="TableNormal"/>
    <w:uiPriority w:val="59"/>
    <w:qFormat/>
    <w:rsid w:val="00E257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E12EBC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5634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3431"/>
  </w:style>
  <w:style w:type="paragraph" w:styleId="Footer">
    <w:name w:val="footer"/>
    <w:basedOn w:val="Normal"/>
    <w:link w:val="FooterChar"/>
    <w:uiPriority w:val="99"/>
    <w:unhideWhenUsed/>
    <w:rsid w:val="005634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3431"/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48D1DA-F8F0-4AA0-8231-2CE177FBA6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1528</Words>
  <Characters>871</Characters>
  <Application>Microsoft Office Word</Application>
  <DocSecurity>0</DocSecurity>
  <Lines>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Grozījumi Ministru kabineta 2013. gada 5. februāra noteikumos Nr. 84 “Noteikumi par atsevišķu bīstamu ķīmisku vielu lietošanas ierobežojumiem elektriskajās un elektroniskajās iekārtās”</vt:lpstr>
    </vt:vector>
  </TitlesOfParts>
  <Company>VARAM</Company>
  <LinksUpToDate>false</LinksUpToDate>
  <CharactersWithSpaces>2395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Grozījumi Ministru kabineta 2013. gada 5. februāra noteikumos Nr. 84 “Noteikumi par atsevišķu bīstamu ķīmisku vielu lietošanas ierobežojumiem elektriskajās un elektroniskajās iekārtās”</dc:title>
  <dc:subject>MK noteikumu projekts</dc:subject>
  <dc:creator>Ilze Doniņa</dc:creator>
  <cp:keywords/>
  <dc:description>67026515_x000d_
ilze.donina@varam.gov.lv</dc:description>
  <cp:lastModifiedBy>Aldis Stals</cp:lastModifiedBy>
  <cp:revision>5</cp:revision>
  <cp:lastPrinted>2021-10-18T10:01:00Z</cp:lastPrinted>
  <dcterms:created xsi:type="dcterms:W3CDTF">2021-10-18T10:08:00Z</dcterms:created>
  <dcterms:modified xsi:type="dcterms:W3CDTF">2021-11-30T10:42:00Z</dcterms:modified>
</cp:coreProperties>
</file>