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26221" w14:textId="77777777" w:rsidR="00043218" w:rsidRPr="001C0357" w:rsidRDefault="00043218" w:rsidP="00043218">
      <w:pPr>
        <w:ind w:firstLine="360"/>
        <w:jc w:val="center"/>
        <w:rPr>
          <w:b/>
          <w:noProof/>
        </w:rPr>
      </w:pPr>
    </w:p>
    <w:p w14:paraId="232B6EAC" w14:textId="77777777" w:rsidR="00043218" w:rsidRPr="001C0357" w:rsidRDefault="00043218" w:rsidP="00043218">
      <w:pPr>
        <w:ind w:firstLine="360"/>
        <w:jc w:val="center"/>
        <w:rPr>
          <w:b/>
          <w:noProof/>
          <w:sz w:val="32"/>
          <w:szCs w:val="32"/>
        </w:rPr>
      </w:pPr>
    </w:p>
    <w:p w14:paraId="5441786D" w14:textId="77777777" w:rsidR="00043218" w:rsidRPr="001C0357" w:rsidRDefault="00043218" w:rsidP="00043218">
      <w:pPr>
        <w:rPr>
          <w:noProof/>
          <w:sz w:val="32"/>
          <w:szCs w:val="32"/>
        </w:rPr>
      </w:pPr>
    </w:p>
    <w:p w14:paraId="6EB5D36C" w14:textId="77777777" w:rsidR="00043218" w:rsidRPr="001C0357" w:rsidRDefault="00043218" w:rsidP="00043218">
      <w:pPr>
        <w:rPr>
          <w:noProof/>
          <w:sz w:val="32"/>
          <w:szCs w:val="32"/>
        </w:rPr>
      </w:pPr>
    </w:p>
    <w:p w14:paraId="507CD0AB" w14:textId="77777777" w:rsidR="00043218" w:rsidRPr="001C0357" w:rsidRDefault="00043218" w:rsidP="00043218">
      <w:pPr>
        <w:rPr>
          <w:noProof/>
          <w:sz w:val="32"/>
          <w:szCs w:val="32"/>
        </w:rPr>
      </w:pPr>
    </w:p>
    <w:p w14:paraId="5F5E0277" w14:textId="77777777" w:rsidR="00043218" w:rsidRPr="001C0357" w:rsidRDefault="00043218" w:rsidP="00043218">
      <w:pPr>
        <w:ind w:firstLine="360"/>
        <w:jc w:val="center"/>
        <w:rPr>
          <w:noProof/>
          <w:sz w:val="32"/>
          <w:szCs w:val="32"/>
        </w:rPr>
      </w:pPr>
    </w:p>
    <w:p w14:paraId="349180F9" w14:textId="77777777" w:rsidR="00043218" w:rsidRPr="001C0357" w:rsidRDefault="00043218" w:rsidP="00043218">
      <w:pPr>
        <w:jc w:val="center"/>
        <w:rPr>
          <w:b/>
          <w:noProof/>
          <w:sz w:val="44"/>
          <w:szCs w:val="32"/>
        </w:rPr>
      </w:pPr>
    </w:p>
    <w:p w14:paraId="4D0D9FF5" w14:textId="77777777" w:rsidR="00043218" w:rsidRPr="001C0357" w:rsidRDefault="00043218" w:rsidP="00043218">
      <w:pPr>
        <w:jc w:val="center"/>
        <w:rPr>
          <w:b/>
          <w:noProof/>
          <w:sz w:val="44"/>
          <w:szCs w:val="32"/>
        </w:rPr>
      </w:pPr>
    </w:p>
    <w:p w14:paraId="1EBE4921" w14:textId="77777777" w:rsidR="00043218" w:rsidRPr="001C0357" w:rsidRDefault="00043218" w:rsidP="00043218">
      <w:pPr>
        <w:jc w:val="center"/>
        <w:rPr>
          <w:b/>
          <w:noProof/>
          <w:sz w:val="44"/>
          <w:szCs w:val="32"/>
        </w:rPr>
      </w:pPr>
    </w:p>
    <w:p w14:paraId="050849A3" w14:textId="77777777" w:rsidR="00043218" w:rsidRPr="001C0357" w:rsidRDefault="00043218" w:rsidP="00043218">
      <w:pPr>
        <w:jc w:val="center"/>
        <w:rPr>
          <w:b/>
          <w:noProof/>
          <w:sz w:val="44"/>
          <w:szCs w:val="32"/>
        </w:rPr>
      </w:pPr>
    </w:p>
    <w:p w14:paraId="29FDB31B" w14:textId="77777777" w:rsidR="00043218" w:rsidRPr="001C0357" w:rsidRDefault="00043218" w:rsidP="00043218">
      <w:pPr>
        <w:ind w:firstLine="0"/>
        <w:jc w:val="center"/>
        <w:rPr>
          <w:b/>
          <w:noProof/>
          <w:sz w:val="44"/>
          <w:szCs w:val="32"/>
        </w:rPr>
      </w:pPr>
      <w:r w:rsidRPr="001C0357">
        <w:rPr>
          <w:b/>
          <w:noProof/>
          <w:sz w:val="44"/>
          <w:szCs w:val="32"/>
        </w:rPr>
        <w:t>Informatīvais ziņojums</w:t>
      </w:r>
    </w:p>
    <w:p w14:paraId="04CCD1D4" w14:textId="77777777" w:rsidR="00043218" w:rsidRPr="001C0357" w:rsidRDefault="00043218" w:rsidP="00043218">
      <w:pPr>
        <w:rPr>
          <w:b/>
          <w:noProof/>
          <w:sz w:val="44"/>
          <w:szCs w:val="32"/>
        </w:rPr>
      </w:pPr>
    </w:p>
    <w:p w14:paraId="409A5C47" w14:textId="2A4AAA52" w:rsidR="00043218" w:rsidRPr="001C0357" w:rsidRDefault="00043218" w:rsidP="00043218">
      <w:pPr>
        <w:ind w:firstLine="0"/>
        <w:jc w:val="center"/>
        <w:rPr>
          <w:b/>
          <w:noProof/>
          <w:sz w:val="44"/>
          <w:szCs w:val="32"/>
        </w:rPr>
      </w:pPr>
      <w:r w:rsidRPr="001C0357">
        <w:rPr>
          <w:b/>
          <w:noProof/>
          <w:sz w:val="44"/>
          <w:szCs w:val="32"/>
        </w:rPr>
        <w:t>„</w:t>
      </w:r>
      <w:r w:rsidR="00622ED8" w:rsidRPr="001C0357">
        <w:rPr>
          <w:noProof/>
        </w:rPr>
        <w:t xml:space="preserve"> </w:t>
      </w:r>
      <w:r w:rsidR="007C169A" w:rsidRPr="001C0357">
        <w:rPr>
          <w:b/>
          <w:noProof/>
          <w:sz w:val="44"/>
          <w:szCs w:val="32"/>
        </w:rPr>
        <w:t>Par makroekonomisko rādītāju, ieņēmumu un vispārējās valdības budžeta bilances prognozēm 2026., 2027., 2028. un 2029. gadā</w:t>
      </w:r>
      <w:r w:rsidRPr="001C0357">
        <w:rPr>
          <w:b/>
          <w:noProof/>
          <w:sz w:val="44"/>
          <w:szCs w:val="32"/>
        </w:rPr>
        <w:t>”</w:t>
      </w:r>
    </w:p>
    <w:p w14:paraId="7CD2D459" w14:textId="77777777" w:rsidR="00043218" w:rsidRPr="001C0357" w:rsidRDefault="00043218" w:rsidP="00043218">
      <w:pPr>
        <w:rPr>
          <w:b/>
          <w:noProof/>
          <w:sz w:val="48"/>
          <w:szCs w:val="32"/>
        </w:rPr>
      </w:pPr>
    </w:p>
    <w:p w14:paraId="3F296241" w14:textId="77777777" w:rsidR="00043218" w:rsidRPr="001C0357" w:rsidRDefault="00043218" w:rsidP="00043218">
      <w:pPr>
        <w:tabs>
          <w:tab w:val="left" w:pos="2763"/>
        </w:tabs>
        <w:ind w:firstLine="360"/>
        <w:rPr>
          <w:noProof/>
          <w:sz w:val="32"/>
          <w:szCs w:val="32"/>
        </w:rPr>
      </w:pPr>
    </w:p>
    <w:p w14:paraId="31AB1E46" w14:textId="77777777" w:rsidR="00043218" w:rsidRPr="001C0357" w:rsidRDefault="00043218" w:rsidP="00043218">
      <w:pPr>
        <w:rPr>
          <w:noProof/>
          <w:sz w:val="32"/>
          <w:szCs w:val="32"/>
        </w:rPr>
      </w:pPr>
    </w:p>
    <w:p w14:paraId="0CB521EC" w14:textId="77777777" w:rsidR="00043218" w:rsidRPr="001C0357" w:rsidRDefault="00043218" w:rsidP="00043218">
      <w:pPr>
        <w:rPr>
          <w:noProof/>
          <w:sz w:val="32"/>
          <w:szCs w:val="32"/>
        </w:rPr>
      </w:pPr>
    </w:p>
    <w:p w14:paraId="1BE320F2" w14:textId="77777777" w:rsidR="00043218" w:rsidRPr="001C0357" w:rsidRDefault="00043218" w:rsidP="00043218">
      <w:pPr>
        <w:rPr>
          <w:noProof/>
          <w:sz w:val="32"/>
          <w:szCs w:val="32"/>
        </w:rPr>
      </w:pPr>
    </w:p>
    <w:p w14:paraId="73739EF4" w14:textId="77777777" w:rsidR="00043218" w:rsidRPr="001C0357" w:rsidRDefault="00043218" w:rsidP="00043218">
      <w:pPr>
        <w:rPr>
          <w:noProof/>
          <w:sz w:val="32"/>
          <w:szCs w:val="32"/>
        </w:rPr>
      </w:pPr>
    </w:p>
    <w:p w14:paraId="35A5FBF0" w14:textId="77777777" w:rsidR="00043218" w:rsidRPr="001C0357" w:rsidRDefault="00043218" w:rsidP="00043218">
      <w:pPr>
        <w:rPr>
          <w:noProof/>
          <w:sz w:val="32"/>
          <w:szCs w:val="32"/>
        </w:rPr>
      </w:pPr>
    </w:p>
    <w:p w14:paraId="3BBF056C" w14:textId="77777777" w:rsidR="00043218" w:rsidRPr="001C0357" w:rsidRDefault="00043218" w:rsidP="00043218">
      <w:pPr>
        <w:rPr>
          <w:noProof/>
          <w:sz w:val="32"/>
          <w:szCs w:val="32"/>
        </w:rPr>
      </w:pPr>
    </w:p>
    <w:p w14:paraId="2A3FD4E8" w14:textId="77777777" w:rsidR="00043218" w:rsidRPr="001C0357" w:rsidRDefault="00043218" w:rsidP="00043218">
      <w:pPr>
        <w:rPr>
          <w:noProof/>
          <w:sz w:val="32"/>
          <w:szCs w:val="32"/>
        </w:rPr>
      </w:pPr>
    </w:p>
    <w:p w14:paraId="6DD7857F" w14:textId="77777777" w:rsidR="00043218" w:rsidRPr="001C0357" w:rsidRDefault="00043218" w:rsidP="00043218">
      <w:pPr>
        <w:ind w:firstLine="360"/>
        <w:jc w:val="center"/>
        <w:rPr>
          <w:noProof/>
          <w:sz w:val="32"/>
          <w:szCs w:val="32"/>
        </w:rPr>
      </w:pPr>
    </w:p>
    <w:p w14:paraId="00294257" w14:textId="579A4EAB" w:rsidR="00043218" w:rsidRPr="001C0357" w:rsidRDefault="00AC55E4" w:rsidP="00043218">
      <w:pPr>
        <w:ind w:firstLine="360"/>
        <w:jc w:val="center"/>
        <w:rPr>
          <w:noProof/>
          <w:sz w:val="28"/>
          <w:szCs w:val="28"/>
        </w:rPr>
      </w:pPr>
      <w:r w:rsidRPr="001C0357">
        <w:rPr>
          <w:noProof/>
          <w:sz w:val="28"/>
          <w:szCs w:val="28"/>
        </w:rPr>
        <w:t>Rīga, 202</w:t>
      </w:r>
      <w:r w:rsidR="007C169A" w:rsidRPr="001C0357">
        <w:rPr>
          <w:noProof/>
          <w:sz w:val="28"/>
          <w:szCs w:val="28"/>
        </w:rPr>
        <w:t>5</w:t>
      </w:r>
    </w:p>
    <w:p w14:paraId="49E2B7FB" w14:textId="77777777" w:rsidR="00043218" w:rsidRPr="001C0357" w:rsidRDefault="0096417C" w:rsidP="0096417C">
      <w:pPr>
        <w:tabs>
          <w:tab w:val="left" w:pos="3143"/>
        </w:tabs>
        <w:ind w:firstLine="0"/>
        <w:rPr>
          <w:noProof/>
          <w:sz w:val="32"/>
          <w:szCs w:val="32"/>
        </w:rPr>
      </w:pPr>
      <w:r w:rsidRPr="001C0357">
        <w:rPr>
          <w:noProof/>
          <w:sz w:val="32"/>
          <w:szCs w:val="32"/>
        </w:rPr>
        <w:tab/>
      </w:r>
    </w:p>
    <w:p w14:paraId="19B8F0C1" w14:textId="77777777" w:rsidR="0096417C" w:rsidRPr="001C0357" w:rsidRDefault="0096417C" w:rsidP="00043218">
      <w:pPr>
        <w:ind w:firstLine="360"/>
        <w:jc w:val="center"/>
        <w:rPr>
          <w:noProof/>
          <w:sz w:val="32"/>
          <w:szCs w:val="32"/>
        </w:rPr>
      </w:pPr>
    </w:p>
    <w:p w14:paraId="66F8D26F" w14:textId="77777777" w:rsidR="00043218" w:rsidRPr="001C0357" w:rsidRDefault="00043218" w:rsidP="00043218">
      <w:pPr>
        <w:ind w:firstLine="360"/>
        <w:jc w:val="center"/>
        <w:rPr>
          <w:b/>
          <w:noProof/>
          <w:sz w:val="28"/>
          <w:szCs w:val="28"/>
        </w:rPr>
      </w:pPr>
      <w:r w:rsidRPr="001C0357">
        <w:rPr>
          <w:b/>
          <w:noProof/>
          <w:sz w:val="28"/>
          <w:szCs w:val="28"/>
        </w:rPr>
        <w:lastRenderedPageBreak/>
        <w:t xml:space="preserve"> Saturs</w:t>
      </w:r>
    </w:p>
    <w:p w14:paraId="72ADE09C" w14:textId="77777777" w:rsidR="00043218" w:rsidRPr="001C0357" w:rsidRDefault="00043218" w:rsidP="00043218">
      <w:pPr>
        <w:rPr>
          <w:b/>
          <w:noProof/>
          <w:szCs w:val="28"/>
        </w:rPr>
      </w:pPr>
    </w:p>
    <w:p w14:paraId="36042249" w14:textId="7C92647B" w:rsidR="00A60F16" w:rsidRDefault="00043218">
      <w:pPr>
        <w:pStyle w:val="TOC1"/>
        <w:rPr>
          <w:rFonts w:asciiTheme="minorHAnsi" w:eastAsiaTheme="minorEastAsia" w:hAnsiTheme="minorHAnsi"/>
          <w:noProof/>
          <w:kern w:val="2"/>
          <w:szCs w:val="24"/>
          <w:lang w:eastAsia="lv-LV"/>
          <w14:ligatures w14:val="standardContextual"/>
        </w:rPr>
      </w:pPr>
      <w:r w:rsidRPr="001C0357">
        <w:rPr>
          <w:b/>
          <w:noProof/>
          <w:szCs w:val="24"/>
          <w:highlight w:val="yellow"/>
        </w:rPr>
        <w:fldChar w:fldCharType="begin"/>
      </w:r>
      <w:r w:rsidRPr="001C0357">
        <w:rPr>
          <w:b/>
          <w:noProof/>
          <w:szCs w:val="24"/>
          <w:highlight w:val="yellow"/>
        </w:rPr>
        <w:instrText xml:space="preserve"> TOC \o "1-3" \u </w:instrText>
      </w:r>
      <w:r w:rsidRPr="001C0357">
        <w:rPr>
          <w:b/>
          <w:noProof/>
          <w:szCs w:val="24"/>
          <w:highlight w:val="yellow"/>
        </w:rPr>
        <w:fldChar w:fldCharType="separate"/>
      </w:r>
      <w:r w:rsidR="00A60F16">
        <w:rPr>
          <w:noProof/>
        </w:rPr>
        <w:t>1.</w:t>
      </w:r>
      <w:r w:rsidR="00A60F16">
        <w:rPr>
          <w:rFonts w:asciiTheme="minorHAnsi" w:eastAsiaTheme="minorEastAsia" w:hAnsiTheme="minorHAnsi"/>
          <w:noProof/>
          <w:kern w:val="2"/>
          <w:szCs w:val="24"/>
          <w:lang w:eastAsia="lv-LV"/>
          <w14:ligatures w14:val="standardContextual"/>
        </w:rPr>
        <w:tab/>
      </w:r>
      <w:r w:rsidR="00A60F16">
        <w:rPr>
          <w:noProof/>
        </w:rPr>
        <w:t>Galveno makroekonomisko rādītāju prognozes 2025.-2029. gadam</w:t>
      </w:r>
      <w:r w:rsidR="00A60F16">
        <w:rPr>
          <w:noProof/>
        </w:rPr>
        <w:tab/>
      </w:r>
      <w:r w:rsidR="00A60F16">
        <w:rPr>
          <w:noProof/>
        </w:rPr>
        <w:fldChar w:fldCharType="begin"/>
      </w:r>
      <w:r w:rsidR="00A60F16">
        <w:rPr>
          <w:noProof/>
        </w:rPr>
        <w:instrText xml:space="preserve"> PAGEREF _Toc205905371 \h </w:instrText>
      </w:r>
      <w:r w:rsidR="00A60F16">
        <w:rPr>
          <w:noProof/>
        </w:rPr>
      </w:r>
      <w:r w:rsidR="00A60F16">
        <w:rPr>
          <w:noProof/>
        </w:rPr>
        <w:fldChar w:fldCharType="separate"/>
      </w:r>
      <w:r w:rsidR="006532F4">
        <w:rPr>
          <w:noProof/>
        </w:rPr>
        <w:t>3</w:t>
      </w:r>
      <w:r w:rsidR="00A60F16">
        <w:rPr>
          <w:noProof/>
        </w:rPr>
        <w:fldChar w:fldCharType="end"/>
      </w:r>
    </w:p>
    <w:p w14:paraId="57A409FC" w14:textId="2058DD47" w:rsidR="00A60F16" w:rsidRDefault="00A60F16">
      <w:pPr>
        <w:pStyle w:val="TOC1"/>
        <w:rPr>
          <w:rFonts w:asciiTheme="minorHAnsi" w:eastAsiaTheme="minorEastAsia" w:hAnsiTheme="minorHAnsi"/>
          <w:noProof/>
          <w:kern w:val="2"/>
          <w:szCs w:val="24"/>
          <w:lang w:eastAsia="lv-LV"/>
          <w14:ligatures w14:val="standardContextual"/>
        </w:rPr>
      </w:pPr>
      <w:r>
        <w:rPr>
          <w:noProof/>
        </w:rPr>
        <w:t>2.</w:t>
      </w:r>
      <w:r>
        <w:rPr>
          <w:rFonts w:asciiTheme="minorHAnsi" w:eastAsiaTheme="minorEastAsia" w:hAnsiTheme="minorHAnsi"/>
          <w:noProof/>
          <w:kern w:val="2"/>
          <w:szCs w:val="24"/>
          <w:lang w:eastAsia="lv-LV"/>
          <w14:ligatures w14:val="standardContextual"/>
        </w:rPr>
        <w:tab/>
      </w:r>
      <w:r>
        <w:rPr>
          <w:noProof/>
        </w:rPr>
        <w:t>Kopbudžeta nodokļu un valsts pamatbudžeta nenodokļu ieņēmumu prognozes pie nemainīgas politikas 2026.-2029. gadam</w:t>
      </w:r>
      <w:r>
        <w:rPr>
          <w:noProof/>
        </w:rPr>
        <w:tab/>
      </w:r>
      <w:r>
        <w:rPr>
          <w:noProof/>
        </w:rPr>
        <w:fldChar w:fldCharType="begin"/>
      </w:r>
      <w:r>
        <w:rPr>
          <w:noProof/>
        </w:rPr>
        <w:instrText xml:space="preserve"> PAGEREF _Toc205905372 \h </w:instrText>
      </w:r>
      <w:r>
        <w:rPr>
          <w:noProof/>
        </w:rPr>
      </w:r>
      <w:r>
        <w:rPr>
          <w:noProof/>
        </w:rPr>
        <w:fldChar w:fldCharType="separate"/>
      </w:r>
      <w:r w:rsidR="006532F4">
        <w:rPr>
          <w:noProof/>
        </w:rPr>
        <w:t>19</w:t>
      </w:r>
      <w:r>
        <w:rPr>
          <w:noProof/>
        </w:rPr>
        <w:fldChar w:fldCharType="end"/>
      </w:r>
    </w:p>
    <w:p w14:paraId="4B1FDC9E" w14:textId="50A3439F" w:rsidR="00A60F16" w:rsidRDefault="00A60F16">
      <w:pPr>
        <w:pStyle w:val="TOC1"/>
        <w:rPr>
          <w:rFonts w:asciiTheme="minorHAnsi" w:eastAsiaTheme="minorEastAsia" w:hAnsiTheme="minorHAnsi"/>
          <w:noProof/>
          <w:kern w:val="2"/>
          <w:szCs w:val="24"/>
          <w:lang w:eastAsia="lv-LV"/>
          <w14:ligatures w14:val="standardContextual"/>
        </w:rPr>
      </w:pPr>
      <w:r>
        <w:rPr>
          <w:noProof/>
        </w:rPr>
        <w:t>3.</w:t>
      </w:r>
      <w:r>
        <w:rPr>
          <w:rFonts w:asciiTheme="minorHAnsi" w:eastAsiaTheme="minorEastAsia" w:hAnsiTheme="minorHAnsi"/>
          <w:noProof/>
          <w:kern w:val="2"/>
          <w:szCs w:val="24"/>
          <w:lang w:eastAsia="lv-LV"/>
          <w14:ligatures w14:val="standardContextual"/>
        </w:rPr>
        <w:tab/>
      </w:r>
      <w:r>
        <w:rPr>
          <w:noProof/>
        </w:rPr>
        <w:t>Vispārējās valdības budžeta bilances pie nemainīgas politikas 2026.-2029. gadam</w:t>
      </w:r>
      <w:r>
        <w:rPr>
          <w:noProof/>
        </w:rPr>
        <w:tab/>
      </w:r>
      <w:r>
        <w:rPr>
          <w:noProof/>
        </w:rPr>
        <w:fldChar w:fldCharType="begin"/>
      </w:r>
      <w:r>
        <w:rPr>
          <w:noProof/>
        </w:rPr>
        <w:instrText xml:space="preserve"> PAGEREF _Toc205905373 \h </w:instrText>
      </w:r>
      <w:r>
        <w:rPr>
          <w:noProof/>
        </w:rPr>
      </w:r>
      <w:r>
        <w:rPr>
          <w:noProof/>
        </w:rPr>
        <w:fldChar w:fldCharType="separate"/>
      </w:r>
      <w:r w:rsidR="006532F4">
        <w:rPr>
          <w:noProof/>
        </w:rPr>
        <w:t>21</w:t>
      </w:r>
      <w:r>
        <w:rPr>
          <w:noProof/>
        </w:rPr>
        <w:fldChar w:fldCharType="end"/>
      </w:r>
    </w:p>
    <w:p w14:paraId="205F6B99" w14:textId="3FB42F24" w:rsidR="00A60F16" w:rsidRDefault="00A60F16">
      <w:pPr>
        <w:pStyle w:val="TOC1"/>
        <w:rPr>
          <w:rFonts w:asciiTheme="minorHAnsi" w:eastAsiaTheme="minorEastAsia" w:hAnsiTheme="minorHAnsi"/>
          <w:noProof/>
          <w:kern w:val="2"/>
          <w:szCs w:val="24"/>
          <w:lang w:eastAsia="lv-LV"/>
          <w14:ligatures w14:val="standardContextual"/>
        </w:rPr>
      </w:pPr>
      <w:r>
        <w:rPr>
          <w:noProof/>
        </w:rPr>
        <w:t>4.</w:t>
      </w:r>
      <w:r>
        <w:rPr>
          <w:rFonts w:asciiTheme="minorHAnsi" w:eastAsiaTheme="minorEastAsia" w:hAnsiTheme="minorHAnsi"/>
          <w:noProof/>
          <w:kern w:val="2"/>
          <w:szCs w:val="24"/>
          <w:lang w:eastAsia="lv-LV"/>
          <w14:ligatures w14:val="standardContextual"/>
        </w:rPr>
        <w:tab/>
      </w:r>
      <w:r>
        <w:rPr>
          <w:noProof/>
        </w:rPr>
        <w:t>Vispārējās valdības parāda prognoze 2025.-2029. gadam</w:t>
      </w:r>
      <w:r>
        <w:rPr>
          <w:noProof/>
        </w:rPr>
        <w:tab/>
      </w:r>
      <w:r>
        <w:rPr>
          <w:noProof/>
        </w:rPr>
        <w:fldChar w:fldCharType="begin"/>
      </w:r>
      <w:r>
        <w:rPr>
          <w:noProof/>
        </w:rPr>
        <w:instrText xml:space="preserve"> PAGEREF _Toc205905374 \h </w:instrText>
      </w:r>
      <w:r>
        <w:rPr>
          <w:noProof/>
        </w:rPr>
      </w:r>
      <w:r>
        <w:rPr>
          <w:noProof/>
        </w:rPr>
        <w:fldChar w:fldCharType="separate"/>
      </w:r>
      <w:r w:rsidR="006532F4">
        <w:rPr>
          <w:noProof/>
        </w:rPr>
        <w:t>26</w:t>
      </w:r>
      <w:r>
        <w:rPr>
          <w:noProof/>
        </w:rPr>
        <w:fldChar w:fldCharType="end"/>
      </w:r>
    </w:p>
    <w:p w14:paraId="07AF8A07" w14:textId="43D70308" w:rsidR="00A60F16" w:rsidRDefault="00A60F16">
      <w:pPr>
        <w:pStyle w:val="TOC1"/>
        <w:rPr>
          <w:rFonts w:asciiTheme="minorHAnsi" w:eastAsiaTheme="minorEastAsia" w:hAnsiTheme="minorHAnsi"/>
          <w:noProof/>
          <w:kern w:val="2"/>
          <w:szCs w:val="24"/>
          <w:lang w:eastAsia="lv-LV"/>
          <w14:ligatures w14:val="standardContextual"/>
        </w:rPr>
      </w:pPr>
      <w:r>
        <w:rPr>
          <w:noProof/>
        </w:rPr>
        <w:t>5.</w:t>
      </w:r>
      <w:r>
        <w:rPr>
          <w:rFonts w:asciiTheme="minorHAnsi" w:eastAsiaTheme="minorEastAsia" w:hAnsiTheme="minorHAnsi"/>
          <w:noProof/>
          <w:kern w:val="2"/>
          <w:szCs w:val="24"/>
          <w:lang w:eastAsia="lv-LV"/>
          <w14:ligatures w14:val="standardContextual"/>
        </w:rPr>
        <w:tab/>
      </w:r>
      <w:r>
        <w:rPr>
          <w:noProof/>
        </w:rPr>
        <w:t>Fiskālās politikas nosacījumi un fiskālā telpa 2026.-2029. gadam</w:t>
      </w:r>
      <w:r>
        <w:rPr>
          <w:noProof/>
        </w:rPr>
        <w:tab/>
      </w:r>
      <w:r>
        <w:rPr>
          <w:noProof/>
        </w:rPr>
        <w:fldChar w:fldCharType="begin"/>
      </w:r>
      <w:r>
        <w:rPr>
          <w:noProof/>
        </w:rPr>
        <w:instrText xml:space="preserve"> PAGEREF _Toc205905375 \h </w:instrText>
      </w:r>
      <w:r>
        <w:rPr>
          <w:noProof/>
        </w:rPr>
      </w:r>
      <w:r>
        <w:rPr>
          <w:noProof/>
        </w:rPr>
        <w:fldChar w:fldCharType="separate"/>
      </w:r>
      <w:r w:rsidR="006532F4">
        <w:rPr>
          <w:noProof/>
        </w:rPr>
        <w:t>27</w:t>
      </w:r>
      <w:r>
        <w:rPr>
          <w:noProof/>
        </w:rPr>
        <w:fldChar w:fldCharType="end"/>
      </w:r>
    </w:p>
    <w:p w14:paraId="744EDFEB" w14:textId="44395ADE" w:rsidR="00A60F16" w:rsidRDefault="00A60F16">
      <w:pPr>
        <w:pStyle w:val="TOC1"/>
        <w:rPr>
          <w:rFonts w:asciiTheme="minorHAnsi" w:eastAsiaTheme="minorEastAsia" w:hAnsiTheme="minorHAnsi"/>
          <w:noProof/>
          <w:kern w:val="2"/>
          <w:szCs w:val="24"/>
          <w:lang w:eastAsia="lv-LV"/>
          <w14:ligatures w14:val="standardContextual"/>
        </w:rPr>
      </w:pPr>
      <w:r>
        <w:rPr>
          <w:noProof/>
        </w:rPr>
        <w:t>6.</w:t>
      </w:r>
      <w:r>
        <w:rPr>
          <w:rFonts w:asciiTheme="minorHAnsi" w:eastAsiaTheme="minorEastAsia" w:hAnsiTheme="minorHAnsi"/>
          <w:noProof/>
          <w:kern w:val="2"/>
          <w:szCs w:val="24"/>
          <w:lang w:eastAsia="lv-LV"/>
          <w14:ligatures w14:val="standardContextual"/>
        </w:rPr>
        <w:tab/>
      </w:r>
      <w:r>
        <w:rPr>
          <w:noProof/>
        </w:rPr>
        <w:t>Makroekonomiskās un fiskālās attīstības optimistiskais un pesimistiskais scenārijs</w:t>
      </w:r>
      <w:r>
        <w:rPr>
          <w:noProof/>
        </w:rPr>
        <w:tab/>
      </w:r>
      <w:r>
        <w:rPr>
          <w:noProof/>
        </w:rPr>
        <w:fldChar w:fldCharType="begin"/>
      </w:r>
      <w:r>
        <w:rPr>
          <w:noProof/>
        </w:rPr>
        <w:instrText xml:space="preserve"> PAGEREF _Toc205905376 \h </w:instrText>
      </w:r>
      <w:r>
        <w:rPr>
          <w:noProof/>
        </w:rPr>
      </w:r>
      <w:r>
        <w:rPr>
          <w:noProof/>
        </w:rPr>
        <w:fldChar w:fldCharType="separate"/>
      </w:r>
      <w:r w:rsidR="006532F4">
        <w:rPr>
          <w:noProof/>
        </w:rPr>
        <w:t>36</w:t>
      </w:r>
      <w:r>
        <w:rPr>
          <w:noProof/>
        </w:rPr>
        <w:fldChar w:fldCharType="end"/>
      </w:r>
    </w:p>
    <w:p w14:paraId="10F12F1D" w14:textId="61FC1B03" w:rsidR="00A60F16" w:rsidRDefault="00A60F16">
      <w:pPr>
        <w:pStyle w:val="TOC1"/>
        <w:rPr>
          <w:rFonts w:asciiTheme="minorHAnsi" w:eastAsiaTheme="minorEastAsia" w:hAnsiTheme="minorHAnsi"/>
          <w:noProof/>
          <w:kern w:val="2"/>
          <w:szCs w:val="24"/>
          <w:lang w:eastAsia="lv-LV"/>
          <w14:ligatures w14:val="standardContextual"/>
        </w:rPr>
      </w:pPr>
      <w:r>
        <w:rPr>
          <w:noProof/>
        </w:rPr>
        <w:t>7.</w:t>
      </w:r>
      <w:r>
        <w:rPr>
          <w:rFonts w:asciiTheme="minorHAnsi" w:eastAsiaTheme="minorEastAsia" w:hAnsiTheme="minorHAnsi"/>
          <w:noProof/>
          <w:kern w:val="2"/>
          <w:szCs w:val="24"/>
          <w:lang w:eastAsia="lv-LV"/>
          <w14:ligatures w14:val="standardContextual"/>
        </w:rPr>
        <w:tab/>
      </w:r>
      <w:r>
        <w:rPr>
          <w:noProof/>
        </w:rPr>
        <w:t>Turpmākā rīcība</w:t>
      </w:r>
      <w:r>
        <w:rPr>
          <w:noProof/>
        </w:rPr>
        <w:tab/>
      </w:r>
      <w:r>
        <w:rPr>
          <w:noProof/>
        </w:rPr>
        <w:fldChar w:fldCharType="begin"/>
      </w:r>
      <w:r>
        <w:rPr>
          <w:noProof/>
        </w:rPr>
        <w:instrText xml:space="preserve"> PAGEREF _Toc205905377 \h </w:instrText>
      </w:r>
      <w:r>
        <w:rPr>
          <w:noProof/>
        </w:rPr>
      </w:r>
      <w:r>
        <w:rPr>
          <w:noProof/>
        </w:rPr>
        <w:fldChar w:fldCharType="separate"/>
      </w:r>
      <w:r w:rsidR="006532F4">
        <w:rPr>
          <w:noProof/>
        </w:rPr>
        <w:t>39</w:t>
      </w:r>
      <w:r>
        <w:rPr>
          <w:noProof/>
        </w:rPr>
        <w:fldChar w:fldCharType="end"/>
      </w:r>
    </w:p>
    <w:p w14:paraId="7A5C199C" w14:textId="0FA91F04" w:rsidR="00043218" w:rsidRPr="001C0357" w:rsidRDefault="00043218" w:rsidP="003714E5">
      <w:pPr>
        <w:spacing w:after="240"/>
        <w:rPr>
          <w:b/>
          <w:noProof/>
          <w:sz w:val="32"/>
          <w:szCs w:val="32"/>
        </w:rPr>
      </w:pPr>
      <w:r w:rsidRPr="001C0357">
        <w:rPr>
          <w:b/>
          <w:noProof/>
          <w:szCs w:val="24"/>
          <w:highlight w:val="yellow"/>
        </w:rPr>
        <w:fldChar w:fldCharType="end"/>
      </w:r>
      <w:r w:rsidRPr="001C0357">
        <w:rPr>
          <w:b/>
          <w:noProof/>
          <w:sz w:val="32"/>
          <w:szCs w:val="32"/>
        </w:rPr>
        <w:br w:type="page"/>
      </w:r>
    </w:p>
    <w:p w14:paraId="6EED4FCD" w14:textId="2CF0DFA1" w:rsidR="0012227C" w:rsidRPr="001C0357" w:rsidRDefault="00043218" w:rsidP="00F1215C">
      <w:pPr>
        <w:pStyle w:val="Heading1"/>
        <w:spacing w:after="120"/>
        <w:ind w:left="357" w:hanging="357"/>
        <w:rPr>
          <w:noProof/>
          <w:sz w:val="28"/>
          <w:szCs w:val="28"/>
        </w:rPr>
      </w:pPr>
      <w:bookmarkStart w:id="0" w:name="_Toc205905371"/>
      <w:r w:rsidRPr="001C0357">
        <w:rPr>
          <w:noProof/>
          <w:sz w:val="28"/>
          <w:szCs w:val="28"/>
        </w:rPr>
        <w:lastRenderedPageBreak/>
        <w:t>Galveno makroekonomisko rādītāju</w:t>
      </w:r>
      <w:r w:rsidR="008B59AC" w:rsidRPr="001C0357">
        <w:rPr>
          <w:noProof/>
          <w:sz w:val="28"/>
          <w:szCs w:val="28"/>
        </w:rPr>
        <w:t xml:space="preserve"> </w:t>
      </w:r>
      <w:r w:rsidRPr="001C0357">
        <w:rPr>
          <w:noProof/>
          <w:sz w:val="28"/>
          <w:szCs w:val="28"/>
        </w:rPr>
        <w:t>prognozes</w:t>
      </w:r>
      <w:r w:rsidR="000550FF" w:rsidRPr="001C0357">
        <w:rPr>
          <w:noProof/>
          <w:sz w:val="28"/>
          <w:szCs w:val="28"/>
        </w:rPr>
        <w:t xml:space="preserve"> </w:t>
      </w:r>
      <w:r w:rsidRPr="001C0357">
        <w:rPr>
          <w:noProof/>
          <w:sz w:val="28"/>
          <w:szCs w:val="28"/>
        </w:rPr>
        <w:t>20</w:t>
      </w:r>
      <w:r w:rsidR="00964CAC" w:rsidRPr="001C0357">
        <w:rPr>
          <w:noProof/>
          <w:sz w:val="28"/>
          <w:szCs w:val="28"/>
        </w:rPr>
        <w:t>2</w:t>
      </w:r>
      <w:r w:rsidR="007C169A" w:rsidRPr="001C0357">
        <w:rPr>
          <w:noProof/>
          <w:sz w:val="28"/>
          <w:szCs w:val="28"/>
        </w:rPr>
        <w:t>5</w:t>
      </w:r>
      <w:r w:rsidRPr="001C0357">
        <w:rPr>
          <w:noProof/>
          <w:sz w:val="28"/>
          <w:szCs w:val="28"/>
        </w:rPr>
        <w:t>.-20</w:t>
      </w:r>
      <w:r w:rsidR="00964CAC" w:rsidRPr="001C0357">
        <w:rPr>
          <w:noProof/>
          <w:sz w:val="28"/>
          <w:szCs w:val="28"/>
        </w:rPr>
        <w:t>2</w:t>
      </w:r>
      <w:r w:rsidR="007C169A" w:rsidRPr="001C0357">
        <w:rPr>
          <w:noProof/>
          <w:sz w:val="28"/>
          <w:szCs w:val="28"/>
        </w:rPr>
        <w:t>9</w:t>
      </w:r>
      <w:r w:rsidRPr="001C0357">
        <w:rPr>
          <w:noProof/>
          <w:sz w:val="28"/>
          <w:szCs w:val="28"/>
        </w:rPr>
        <w:t>.</w:t>
      </w:r>
      <w:r w:rsidR="000D731F" w:rsidRPr="001C0357">
        <w:rPr>
          <w:noProof/>
          <w:sz w:val="28"/>
          <w:szCs w:val="28"/>
        </w:rPr>
        <w:t xml:space="preserve"> </w:t>
      </w:r>
      <w:r w:rsidRPr="001C0357">
        <w:rPr>
          <w:noProof/>
          <w:sz w:val="28"/>
          <w:szCs w:val="28"/>
        </w:rPr>
        <w:t>gadam</w:t>
      </w:r>
      <w:bookmarkEnd w:id="0"/>
    </w:p>
    <w:p w14:paraId="2775F125" w14:textId="2A21D4CC" w:rsidR="007C169A" w:rsidRPr="001C0357" w:rsidRDefault="007C169A" w:rsidP="00F1215C">
      <w:pPr>
        <w:spacing w:before="240"/>
        <w:rPr>
          <w:rFonts w:eastAsia="Aptos" w:cs="Times New Roman"/>
          <w:noProof/>
          <w:szCs w:val="20"/>
          <w14:ligatures w14:val="standardContextual"/>
        </w:rPr>
      </w:pPr>
      <w:r w:rsidRPr="001C0357">
        <w:rPr>
          <w:rFonts w:eastAsia="Aptos" w:cs="Times New Roman"/>
          <w:noProof/>
          <w:szCs w:val="20"/>
          <w14:ligatures w14:val="standardContextual"/>
        </w:rPr>
        <w:t>Līdz 2023. gadam Latvijas ekonomika gan Covid-19 pandēmijas, gan Krievijas uzsāktā kara radītās problēmas bija pārvarējusi labāk nekā prognozēts, tajā skaitā 2023. gadā sasniedzot spēcīgu 2,9% izaugsmi, taču 2024. gadā ārējās vides negatīvā ietekme kļuva jūtamāka un Latvijas iekšzemes kopprodukts (IKP), salīdzinot ar iepriekšējo gadu, samazinājās par 0,4%.</w:t>
      </w:r>
    </w:p>
    <w:p w14:paraId="72B0E0AB"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Ekonomikas lejupslīdi 2024. gadā noteica galvenokārt zemā ekonomikas izaugsme ārējos tirgos, kur attīstības tempus joprojām bremzēja gan Krievijas uzsāktais karš Ukrainā un tam sekojušais cenu kāpums, gan joprojām augstās procentu likmes. Saspringtā ģeopolitiskā situācija, augstā nenoteiktība un nedrošība par nākotni savukārt kavēja iekšzemes pieprasījuma pieaugumu. Privātais patēriņš, kam, ņemot vērā strādājošo iedzīvotāju ļoti spēcīgo ienākumu kāpumu, bija visas iespējas strauji palielināties, 2024. gadā auga tikai par 0,5%, bet investīcijas kritās par 6,7%. Tādējādi ekonomikas izaugsmi pērn visbūtiskāk veicināja sabiedriskā patēriņa pieaugums par 7,6%, un neliels pozitīvs devums ekonomikas izaugsmē bija ārējai tirdzniecībai, kur eksporta kritums (-1,6%) bija nedaudz zemāks par importa samazinājumu (-2,3%).</w:t>
      </w:r>
    </w:p>
    <w:p w14:paraId="06A80439"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Nozaru griezumā būtiskākā pozitīvā ietekme uz ekonomikas izaugsmi pērn bija tirdzniecības nozares pieaugumam par 3,4%, kā arī kāpumam valsts pārvaldes un veselības un sociālās aprūpes nozarēs, kamēr kopējo ekonomikas lejupslīdi noteikuši spēcīgie kritumi apstrādes rūpniecības, būvniecības un transporta nozarēs – attiecīgi par 4,6%, 6,9% un 7,9%.</w:t>
      </w:r>
    </w:p>
    <w:p w14:paraId="76B6BB2C"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Arī šā gada pirmajā ceturksnī</w:t>
      </w:r>
      <w:r w:rsidRPr="001C0357">
        <w:rPr>
          <w:rFonts w:eastAsia="Aptos" w:cs="Times New Roman"/>
          <w:noProof/>
          <w14:ligatures w14:val="standardContextual"/>
        </w:rPr>
        <w:t xml:space="preserve"> </w:t>
      </w:r>
      <w:r w:rsidRPr="001C0357">
        <w:rPr>
          <w:rFonts w:eastAsia="Aptos" w:cs="Times New Roman"/>
          <w:noProof/>
          <w:szCs w:val="20"/>
          <w14:ligatures w14:val="standardContextual"/>
        </w:rPr>
        <w:t>IKP pret 2024. gada pirmo ceturksni ir samazinājies par 0,3%, bet pret iepriekšējo ceturksni pēc sezonāli un kalendāri koriģētiem datiem IKP apjoms nav mainījies. Vienlaikus atšķirībā no pagājušā gada, kad auga ar sabiedrisko sektoru vairāk saistītās nozares, šogad pirmajā ceturksnī kāpums fiksēts lielākajā daļā ražošanas un pakalpojumu nozaru, bet kopējo ekonomikas samazinājumu noteicis ar laika apstākļiem saistītais spēcīgais kritums enerģētikā, kā arī lejupslīde veselības un izglītības nozarēs.</w:t>
      </w:r>
    </w:p>
    <w:p w14:paraId="5B37773A" w14:textId="0DA9B87E"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Būtiskākā pozitīvā ietekme uz ekonomikas izaugsmi pirmajā ceturksnī bijusi būvniecības nozarei, kas augusi par 9,6%, īpaši palielinoties inženierbūvniecības apjomiem un Eiropas Savienības </w:t>
      </w:r>
      <w:r w:rsidR="00342ECA">
        <w:rPr>
          <w:rFonts w:eastAsia="Aptos" w:cs="Times New Roman"/>
          <w:noProof/>
          <w:szCs w:val="20"/>
          <w14:ligatures w14:val="standardContextual"/>
        </w:rPr>
        <w:t xml:space="preserve">(ES) </w:t>
      </w:r>
      <w:r w:rsidRPr="001C0357">
        <w:rPr>
          <w:rFonts w:eastAsia="Aptos" w:cs="Times New Roman"/>
          <w:noProof/>
          <w:szCs w:val="20"/>
          <w14:ligatures w14:val="standardContextual"/>
        </w:rPr>
        <w:t xml:space="preserve">fondu projektu realizācijai. Tāpat spēcīgs 3,2% pieaugums bijis tirdzniecības nozarē, visai strauji, pārsniedzot 4% atzīmi, augušas arī izmitināšanas un ēdināšanas, kā arī informācijas un komunikācijas pakalpojumu nozares. </w:t>
      </w:r>
    </w:p>
    <w:p w14:paraId="79E5C9CD"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Pēc smaga krituma divos iepriekšējos gados izaugsme atjaunojusies arī transporta un uzglabāšanas nozarē. Neliels 0,9% kritums vēl fiksēts apstrādes rūpniecībā, bet tas ir jau būtiski mazāks nekā pērn un operatīvie dati rāda, ka līdz ar ārējā pieprasījuma uzlabošanos mēnesi no mēneša ražošanas apjomi nozarē palielinās, tajā skaitā divās lielākajās apstrādes rūpniecības apakšnozarēs – pārtikas produktu ražošanā un kokapstrādē.</w:t>
      </w:r>
    </w:p>
    <w:p w14:paraId="7F7BC697" w14:textId="0DF2E91B" w:rsidR="007C169A" w:rsidRPr="001C0357" w:rsidRDefault="007C169A" w:rsidP="007C169A">
      <w:pPr>
        <w:rPr>
          <w:rFonts w:eastAsia="Aptos" w:cs="Times New Roman"/>
          <w:noProof/>
          <w14:ligatures w14:val="standardContextual"/>
        </w:rPr>
      </w:pPr>
      <w:r w:rsidRPr="001C0357">
        <w:rPr>
          <w:rFonts w:eastAsia="Aptos" w:cs="Times New Roman"/>
          <w:noProof/>
          <w14:ligatures w14:val="standardContextual"/>
        </w:rPr>
        <w:t xml:space="preserve">Nākamajos ceturkšņos izaugsmi vēl būtiskāk veicinās ārējā pieprasījuma atjaunošanās un eksports, kā arī investīciju pieaugums, tajā skaitā straujāka </w:t>
      </w:r>
      <w:r w:rsidR="00342ECA">
        <w:rPr>
          <w:rFonts w:eastAsia="Aptos" w:cs="Times New Roman"/>
          <w:noProof/>
          <w14:ligatures w14:val="standardContextual"/>
        </w:rPr>
        <w:t>ES</w:t>
      </w:r>
      <w:r w:rsidRPr="001C0357">
        <w:rPr>
          <w:rFonts w:eastAsia="Aptos" w:cs="Times New Roman"/>
          <w:noProof/>
          <w14:ligatures w14:val="standardContextual"/>
        </w:rPr>
        <w:t xml:space="preserve"> fondu investīciju izmantošana, vienlaikus negatīvos riskus palielinājusi ASV tarifu diskusija, tās izraisītā nestabilitāte un finanšu tirgu svārstīgums.  </w:t>
      </w:r>
    </w:p>
    <w:p w14:paraId="4A7E7847" w14:textId="1634C872" w:rsidR="007C169A" w:rsidRPr="001C0357" w:rsidRDefault="007C169A" w:rsidP="007C169A">
      <w:pPr>
        <w:rPr>
          <w:rFonts w:eastAsia="Aptos" w:cs="Times New Roman"/>
          <w:noProof/>
          <w14:ligatures w14:val="standardContextual"/>
        </w:rPr>
      </w:pPr>
      <w:r w:rsidRPr="0029191D">
        <w:rPr>
          <w:rFonts w:eastAsia="Aptos" w:cs="Times New Roman"/>
          <w:noProof/>
          <w14:ligatures w14:val="standardContextual"/>
        </w:rPr>
        <w:t>Pēc Finanšu ministrijas šā gada jūnija sākumā aktualizētajām makroekonomisko rādītāju prognozēm, ekonomikas izaugsme šogad kopumā  atjaunosies un sasniegs 1,1%, bet 202</w:t>
      </w:r>
      <w:r w:rsidR="0029191D">
        <w:rPr>
          <w:rFonts w:eastAsia="Aptos" w:cs="Times New Roman"/>
          <w:noProof/>
          <w14:ligatures w14:val="standardContextual"/>
        </w:rPr>
        <w:t>6</w:t>
      </w:r>
      <w:r w:rsidRPr="0029191D">
        <w:rPr>
          <w:rFonts w:eastAsia="Aptos" w:cs="Times New Roman"/>
          <w:noProof/>
          <w14:ligatures w14:val="standardContextual"/>
        </w:rPr>
        <w:t>. gadā paātrināsies līdz 2,1%.</w:t>
      </w:r>
      <w:r w:rsidRPr="001C0357">
        <w:rPr>
          <w:rFonts w:eastAsia="Aptos" w:cs="Times New Roman"/>
          <w:noProof/>
          <w14:ligatures w14:val="standardContextual"/>
        </w:rPr>
        <w:t xml:space="preserve"> Nākamajos trīs gados ekonomikas izaugsme stabilizēsies 2,2% līmenī.</w:t>
      </w:r>
    </w:p>
    <w:p w14:paraId="70D92B82" w14:textId="77777777" w:rsidR="007C169A" w:rsidRPr="001C0357" w:rsidRDefault="007C169A" w:rsidP="007C169A">
      <w:pPr>
        <w:pStyle w:val="NoSpacing"/>
        <w:rPr>
          <w:b/>
          <w:bCs/>
          <w:noProof/>
        </w:rPr>
      </w:pPr>
      <w:r w:rsidRPr="001C0357">
        <w:rPr>
          <w:b/>
          <w:bCs/>
          <w:noProof/>
        </w:rPr>
        <w:t>Ārējā vide</w:t>
      </w:r>
    </w:p>
    <w:p w14:paraId="566713C2" w14:textId="23371AD6"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Pasaules ekonomikas izaugsme 2024. gadā saglabājās vēsturiski zemā 3,3% līmenī, kas bija vēl nedaudz mazāk nekā ekonomika bija augusi pirms gada</w:t>
      </w:r>
      <w:r w:rsidR="00751876" w:rsidRPr="001C0357">
        <w:rPr>
          <w:rFonts w:eastAsia="Aptos" w:cs="Times New Roman"/>
          <w:noProof/>
          <w:szCs w:val="20"/>
          <w14:ligatures w14:val="standardContextual"/>
        </w:rPr>
        <w:t xml:space="preserve"> </w:t>
      </w:r>
      <w:r w:rsidR="00751876" w:rsidRPr="001C0357">
        <w:rPr>
          <w:noProof/>
        </w:rPr>
        <w:t>(skat. 1. tabulu).</w:t>
      </w:r>
      <w:r w:rsidRPr="001C0357">
        <w:rPr>
          <w:rFonts w:eastAsia="Aptos" w:cs="Times New Roman"/>
          <w:noProof/>
          <w:szCs w:val="20"/>
          <w14:ligatures w14:val="standardContextual"/>
        </w:rPr>
        <w:t xml:space="preserve"> Lēno attīstību lielā mērā noteica zemie izaugsmes tempi attīstītajās valstīs, pirmām kārtām </w:t>
      </w:r>
      <w:r w:rsidRPr="001C0357">
        <w:rPr>
          <w:rFonts w:eastAsia="Aptos" w:cs="Times New Roman"/>
          <w:i/>
          <w:iCs/>
          <w:noProof/>
          <w:szCs w:val="20"/>
          <w14:ligatures w14:val="standardContextual"/>
        </w:rPr>
        <w:t xml:space="preserve">euro </w:t>
      </w:r>
      <w:r w:rsidRPr="001C0357">
        <w:rPr>
          <w:rFonts w:eastAsia="Aptos" w:cs="Times New Roman"/>
          <w:noProof/>
          <w:szCs w:val="20"/>
          <w14:ligatures w14:val="standardContextual"/>
        </w:rPr>
        <w:t xml:space="preserve">zonā, kur ekonomika pērn palielinājās tikai par 0,9%, vēl nedaudz atpaliekot arī no iepriekš prognozētā.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zonā situāciju būtiski ietekmēja izaugsmes kritums tās lielākajā ekonomikā Vācijā, kas </w:t>
      </w:r>
      <w:r w:rsidRPr="001C0357">
        <w:rPr>
          <w:rFonts w:eastAsia="Aptos" w:cs="Times New Roman"/>
          <w:noProof/>
          <w:szCs w:val="20"/>
          <w14:ligatures w14:val="standardContextual"/>
        </w:rPr>
        <w:lastRenderedPageBreak/>
        <w:t>sask</w:t>
      </w:r>
      <w:r w:rsidR="0012227C" w:rsidRPr="001C0357">
        <w:rPr>
          <w:rFonts w:eastAsia="Aptos" w:cs="Times New Roman"/>
          <w:noProof/>
          <w:szCs w:val="20"/>
          <w14:ligatures w14:val="standardContextual"/>
        </w:rPr>
        <w:t>ār</w:t>
      </w:r>
      <w:r w:rsidRPr="001C0357">
        <w:rPr>
          <w:rFonts w:eastAsia="Aptos" w:cs="Times New Roman"/>
          <w:noProof/>
          <w:szCs w:val="20"/>
          <w14:ligatures w14:val="standardContextual"/>
        </w:rPr>
        <w:t>ās ar ražošanas apjomu kritumu rūpniecībā un vājo eksporta pieprasījumu. Iekšzemes pieprasījums līdz ar reālo ienākumu pieaugumu ir sācis atjaunoties, tomēr kāpuma tempi joprojām ir vāji.</w:t>
      </w:r>
    </w:p>
    <w:p w14:paraId="4B6DEB4B" w14:textId="18836F55"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2024. gada nogalē un 2025. gada sākumā situācija gan pasaules ekonomikā, gan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zonā </w:t>
      </w:r>
      <w:r w:rsidR="005612B6" w:rsidRPr="001C0357">
        <w:rPr>
          <w:rFonts w:eastAsia="Aptos" w:cs="Times New Roman"/>
          <w:noProof/>
          <w:szCs w:val="20"/>
          <w14:ligatures w14:val="standardContextual"/>
        </w:rPr>
        <w:t xml:space="preserve">ir </w:t>
      </w:r>
      <w:r w:rsidRPr="001C0357">
        <w:rPr>
          <w:rFonts w:eastAsia="Aptos" w:cs="Times New Roman"/>
          <w:noProof/>
          <w:szCs w:val="20"/>
          <w14:ligatures w14:val="standardContextual"/>
        </w:rPr>
        <w:t xml:space="preserve">sākusi uzlaboties, vienlaikus turpmākās izaugsmes prognozes nelabvēlīgi ietekmē ASV paziņojumi par muitas tarifu ieviešanu </w:t>
      </w:r>
      <w:r w:rsidR="00E17D18" w:rsidRPr="001C0357">
        <w:rPr>
          <w:rFonts w:eastAsia="Aptos" w:cs="Times New Roman"/>
          <w:noProof/>
          <w:szCs w:val="20"/>
          <w14:ligatures w14:val="standardContextual"/>
        </w:rPr>
        <w:t>attiecībā uz citām pasaules valstīm</w:t>
      </w:r>
      <w:r w:rsidRPr="001C0357">
        <w:rPr>
          <w:rFonts w:eastAsia="Aptos" w:cs="Times New Roman"/>
          <w:noProof/>
          <w:szCs w:val="20"/>
          <w14:ligatures w14:val="standardContextual"/>
        </w:rPr>
        <w:t>, krasi pieaugusī nenoteiktība un finanšu tirgu svārstības. Tā rezultātā Starptautiskais Valūtas fonds (SVF) saglabājis pasaules izaugsmes prognozi zem ilgtermiņa vidējā 3,7%, 2025. gadā paredzot ekonomikas izaugsmi par 3,0%, bet 2026. gadā tai paātrinoties tikai līdz 3,1% (2025. gada jūlija prognoze). 2025. gadam prognozētā ekonomikas izaugsme pasaulē ir par 0,2 procentpunktiem zemāka, nekā SVF bija lēsis pagājušā gada novembrī, vēl pirms ASV tarifu diskusijas radītās spriedzes.</w:t>
      </w:r>
    </w:p>
    <w:p w14:paraId="52E872B6" w14:textId="2A2AB0E9"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Būtiskākais izaugsmes tempu samazinājums tarifu ietekmē gaidāms tieši attīstītajās valstīs, īpaši ASV, kur ekonomikas izaugsme, pēc SVF prognozēm, šogad samazināsies līdz 1,9%, salīdzinot ar 2,8% pērn. Tomēr, neskatoties uz sabremzēšanos, tā joprojām būs straujāka nekā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zonā, kur </w:t>
      </w:r>
      <w:r w:rsidR="00342ECA">
        <w:rPr>
          <w:rFonts w:eastAsia="Aptos" w:cs="Times New Roman"/>
          <w:noProof/>
          <w:szCs w:val="20"/>
          <w14:ligatures w14:val="standardContextual"/>
        </w:rPr>
        <w:t>IKP</w:t>
      </w:r>
      <w:r w:rsidRPr="001C0357">
        <w:rPr>
          <w:rFonts w:eastAsia="Aptos" w:cs="Times New Roman"/>
          <w:noProof/>
          <w:szCs w:val="20"/>
          <w14:ligatures w14:val="standardContextual"/>
        </w:rPr>
        <w:t xml:space="preserve"> pieaugums pēc Eiropas Komisijas </w:t>
      </w:r>
      <w:r w:rsidR="00342ECA">
        <w:rPr>
          <w:rFonts w:eastAsia="Aptos" w:cs="Times New Roman"/>
          <w:noProof/>
          <w:szCs w:val="20"/>
          <w14:ligatures w14:val="standardContextual"/>
        </w:rPr>
        <w:t xml:space="preserve">(EK) </w:t>
      </w:r>
      <w:r w:rsidRPr="001C0357">
        <w:rPr>
          <w:rFonts w:eastAsia="Aptos" w:cs="Times New Roman"/>
          <w:noProof/>
          <w:szCs w:val="20"/>
          <w14:ligatures w14:val="standardContextual"/>
        </w:rPr>
        <w:t xml:space="preserve">prognozēm būs pagājušā gada līmenī  0,9% apmērā (1,0% pēc SVF prognozēm). Attīstības valstu izaugsme kopumā samazināsies no 4,3% pērn līdz 4,1% šogad un samazinājums par 0,2 procentpunktiem līdz 4,8% prognozēts arī Ķīnas ekonomikai. </w:t>
      </w:r>
    </w:p>
    <w:p w14:paraId="3A85A17C" w14:textId="5312A533"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Latvijas desmit galveno ārējās tirdzniecības partnervalstu – Lietuvas, Igaunijas, Vācijas, Zviedrijas, Krievijas, Apvienotās Karalistes, Polijas, Dānijas, Nīderlandes un Somijas – kopējās vidējās svērtās izaugsmes prognozes 2025. gadam ir augstākas nekā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zonai un ES kopumā, veidojot 1,7%, taču, salīdzinot ar 2024. gada rudenī prognozēto, tās ir pazeminājušās par 0,2</w:t>
      </w:r>
      <w:r w:rsidR="002F42DD">
        <w:rPr>
          <w:rFonts w:eastAsia="Aptos" w:cs="Times New Roman"/>
          <w:noProof/>
          <w:szCs w:val="20"/>
          <w14:ligatures w14:val="standardContextual"/>
        </w:rPr>
        <w:t> </w:t>
      </w:r>
      <w:r w:rsidRPr="001C0357">
        <w:rPr>
          <w:rFonts w:eastAsia="Aptos" w:cs="Times New Roman"/>
          <w:noProof/>
          <w:szCs w:val="20"/>
          <w14:ligatures w14:val="standardContextual"/>
        </w:rPr>
        <w:t xml:space="preserve">procentpunktiem. Vienlaikus Latvijas galvenajām tirdzniecības partnervalstīm tas ir samērā būtisks uzlabojums salīdzinājumā ar 2024. gadu, kad šo valstu ekonomika bija augusi par 1,1%. Arī šā gada pirmais un otrais ceturksnis Latvijas partnervalstīm un </w:t>
      </w:r>
      <w:r w:rsidR="00342ECA">
        <w:rPr>
          <w:rFonts w:eastAsia="Aptos" w:cs="Times New Roman"/>
          <w:noProof/>
          <w:szCs w:val="20"/>
          <w14:ligatures w14:val="standardContextual"/>
        </w:rPr>
        <w:t>ES</w:t>
      </w:r>
      <w:r w:rsidRPr="001C0357">
        <w:rPr>
          <w:rFonts w:eastAsia="Aptos" w:cs="Times New Roman"/>
          <w:noProof/>
          <w:szCs w:val="20"/>
          <w14:ligatures w14:val="standardContextual"/>
        </w:rPr>
        <w:t xml:space="preserve"> kopumā bijis nedaudz spēcīgāks par prognozēto, tajā skaitā arī ņemot vērā pirms tarifu ieviešanas pieaugušo tirdzniecības aktivitāti ar ASV.</w:t>
      </w:r>
    </w:p>
    <w:p w14:paraId="3390E512"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Apsteidzošie uzņēmēju un patērētāju konfidences rādītāji Eiropā pēc krituma 2022. gadā Krievijas uzsāktā kara un energokrīzes ietekmē, kopš 2023. gada vidus ir stabilizējušies ar nelielu kāpumu tendenci. Lai gan uzlabojumu dinamika bijusi neizteikta un uzņēmēju un patērētāju noskaņojums joprojām ir negatīvāks par ilgtermiņa vidējo, tas arī nav piedzīvojis kritumu pēc ASV izraidītā tirdzniecības tarifu kara un pēdējos mēnešos uzrāda pieaugumu. Iepirkumu menedžeru indekss (PMI), kas apsteidzoši parāda ekonomikas izlaides apjomus,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zonā jau vairākus mēnešus pārsniedz 50 punktu atzīmi, kas atdala ekonomikas izaugsmi no krituma, un jūlijā sasniedzis 51 punktu, augstāko līmeni pēdējo 11 mēnešu laikā. </w:t>
      </w:r>
    </w:p>
    <w:p w14:paraId="653E4975" w14:textId="4272C154" w:rsidR="002F673F" w:rsidRPr="001C0357" w:rsidRDefault="007C169A" w:rsidP="00751876">
      <w:pPr>
        <w:rPr>
          <w:rFonts w:eastAsia="Aptos" w:cs="Times New Roman"/>
          <w:noProof/>
          <w:szCs w:val="20"/>
          <w14:ligatures w14:val="standardContextual"/>
        </w:rPr>
      </w:pPr>
      <w:r w:rsidRPr="001C0357">
        <w:rPr>
          <w:rFonts w:eastAsia="Aptos" w:cs="Times New Roman"/>
          <w:noProof/>
          <w:szCs w:val="20"/>
          <w14:ligatures w14:val="standardContextual"/>
        </w:rPr>
        <w:t xml:space="preserve">Inflācija pasaulē kopumā turpinās pazemināties, pēc SVF prognozēm, šogad noslīdot līdz 4,2% un 2026. gadā līdz 3,6%. ASV tarifu paaugstināšanai, bremzējot ekonomikas izaugsmi, no vienas puses, ir tarifus pazeminoša ietekme, savukārt atsevišķās valstīs, tostarp ASV, sadārdzinoties importam, gaidāms straujāks cenu pieaugums. Sagaidāms, ka ASV līdz pat 2026. gadam inflācija pārsniegs 2% mērķa līmeni, kamēr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zonā inflācija jau ir pietuvojusies vēlamajam līmenim un 2025. gadā pēc </w:t>
      </w:r>
      <w:r w:rsidR="00342ECA">
        <w:rPr>
          <w:rFonts w:eastAsia="Aptos" w:cs="Times New Roman"/>
          <w:noProof/>
          <w:szCs w:val="20"/>
          <w14:ligatures w14:val="standardContextual"/>
        </w:rPr>
        <w:t>EK</w:t>
      </w:r>
      <w:r w:rsidRPr="001C0357">
        <w:rPr>
          <w:rFonts w:eastAsia="Aptos" w:cs="Times New Roman"/>
          <w:noProof/>
          <w:szCs w:val="20"/>
          <w14:ligatures w14:val="standardContextual"/>
        </w:rPr>
        <w:t xml:space="preserve"> prognozēm veidos 2,1%, bet 2026. gadā samazināsies līdz 1,7%.</w:t>
      </w:r>
    </w:p>
    <w:p w14:paraId="17A182C1" w14:textId="77777777" w:rsidR="0012227C" w:rsidRPr="001C0357" w:rsidRDefault="0012227C">
      <w:pPr>
        <w:spacing w:before="0" w:after="0"/>
        <w:ind w:firstLine="0"/>
        <w:jc w:val="left"/>
        <w:rPr>
          <w:b/>
          <w:bCs/>
          <w:noProof/>
          <w:highlight w:val="yellow"/>
        </w:rPr>
      </w:pPr>
      <w:r w:rsidRPr="001C0357">
        <w:rPr>
          <w:b/>
          <w:bCs/>
          <w:noProof/>
          <w:highlight w:val="yellow"/>
        </w:rPr>
        <w:br w:type="page"/>
      </w:r>
    </w:p>
    <w:p w14:paraId="7443AC94" w14:textId="3E3F25FF" w:rsidR="007C169A" w:rsidRPr="001C0357" w:rsidRDefault="007C169A" w:rsidP="007C169A">
      <w:pPr>
        <w:ind w:firstLine="0"/>
        <w:jc w:val="center"/>
        <w:rPr>
          <w:b/>
          <w:bCs/>
          <w:noProof/>
        </w:rPr>
      </w:pPr>
      <w:r w:rsidRPr="001C0357">
        <w:rPr>
          <w:b/>
          <w:bCs/>
          <w:noProof/>
        </w:rPr>
        <w:lastRenderedPageBreak/>
        <w:t>1. tabula. IKP pieaugums 2024. gadā, prognozes 2025. un 2026. gadam</w:t>
      </w:r>
    </w:p>
    <w:tbl>
      <w:tblPr>
        <w:tblW w:w="0" w:type="auto"/>
        <w:jc w:val="center"/>
        <w:tblLayout w:type="fixed"/>
        <w:tblLook w:val="04A0" w:firstRow="1" w:lastRow="0" w:firstColumn="1" w:lastColumn="0" w:noHBand="0" w:noVBand="1"/>
      </w:tblPr>
      <w:tblGrid>
        <w:gridCol w:w="1115"/>
        <w:gridCol w:w="1401"/>
        <w:gridCol w:w="1139"/>
        <w:gridCol w:w="1302"/>
        <w:gridCol w:w="1221"/>
        <w:gridCol w:w="1330"/>
        <w:gridCol w:w="1553"/>
      </w:tblGrid>
      <w:tr w:rsidR="002F673F" w:rsidRPr="001C0357" w14:paraId="7783E074" w14:textId="77777777" w:rsidTr="00E7284B">
        <w:trPr>
          <w:trHeight w:val="1100"/>
          <w:tblHeader/>
          <w:jc w:val="center"/>
        </w:trPr>
        <w:tc>
          <w:tcPr>
            <w:tcW w:w="1115" w:type="dxa"/>
            <w:vMerge w:val="restart"/>
            <w:tcBorders>
              <w:top w:val="single" w:sz="4" w:space="0" w:color="auto"/>
              <w:left w:val="single" w:sz="4" w:space="0" w:color="auto"/>
              <w:bottom w:val="single" w:sz="4" w:space="0" w:color="auto"/>
              <w:right w:val="single" w:sz="4" w:space="0" w:color="auto"/>
            </w:tcBorders>
            <w:shd w:val="clear" w:color="auto" w:fill="F0E7DA"/>
            <w:tcMar>
              <w:top w:w="57" w:type="dxa"/>
              <w:left w:w="85" w:type="dxa"/>
              <w:bottom w:w="57" w:type="dxa"/>
              <w:right w:w="85" w:type="dxa"/>
            </w:tcMar>
            <w:vAlign w:val="center"/>
            <w:hideMark/>
          </w:tcPr>
          <w:p w14:paraId="6340A971" w14:textId="77777777" w:rsidR="007C169A" w:rsidRPr="001C0357" w:rsidRDefault="007C169A" w:rsidP="00B72C43">
            <w:pPr>
              <w:spacing w:before="0" w:after="0"/>
              <w:ind w:firstLine="0"/>
              <w:jc w:val="left"/>
              <w:rPr>
                <w:rFonts w:eastAsia="Calibri" w:cs="Times New Roman"/>
                <w:b/>
                <w:noProof/>
                <w:sz w:val="20"/>
                <w:szCs w:val="20"/>
                <w:lang w:eastAsia="lv-LV"/>
              </w:rPr>
            </w:pPr>
            <w:r w:rsidRPr="001C0357">
              <w:rPr>
                <w:rFonts w:eastAsia="Calibri" w:cs="Times New Roman"/>
                <w:b/>
                <w:noProof/>
                <w:sz w:val="20"/>
                <w:szCs w:val="20"/>
                <w:lang w:eastAsia="lv-LV"/>
              </w:rPr>
              <w:t>Valsts</w:t>
            </w:r>
          </w:p>
        </w:tc>
        <w:tc>
          <w:tcPr>
            <w:tcW w:w="1401" w:type="dxa"/>
            <w:vMerge w:val="restart"/>
            <w:tcBorders>
              <w:top w:val="single" w:sz="4" w:space="0" w:color="auto"/>
              <w:left w:val="single" w:sz="4" w:space="0" w:color="auto"/>
              <w:bottom w:val="single" w:sz="4" w:space="0" w:color="auto"/>
              <w:right w:val="single" w:sz="4" w:space="0" w:color="auto"/>
            </w:tcBorders>
            <w:shd w:val="clear" w:color="auto" w:fill="F0E7DA"/>
            <w:tcMar>
              <w:top w:w="57" w:type="dxa"/>
              <w:left w:w="85" w:type="dxa"/>
              <w:bottom w:w="57" w:type="dxa"/>
              <w:right w:w="85" w:type="dxa"/>
            </w:tcMar>
            <w:hideMark/>
          </w:tcPr>
          <w:p w14:paraId="42B141AC" w14:textId="77777777" w:rsidR="007C169A" w:rsidRPr="001C0357" w:rsidRDefault="007C169A" w:rsidP="00B72C43">
            <w:pPr>
              <w:spacing w:before="0" w:after="0"/>
              <w:ind w:firstLine="0"/>
              <w:jc w:val="center"/>
              <w:rPr>
                <w:rFonts w:eastAsia="Calibri" w:cs="Times New Roman"/>
                <w:b/>
                <w:noProof/>
                <w:sz w:val="20"/>
                <w:szCs w:val="20"/>
                <w:lang w:eastAsia="lv-LV"/>
              </w:rPr>
            </w:pPr>
            <w:r w:rsidRPr="001C0357">
              <w:rPr>
                <w:rFonts w:eastAsia="Calibri" w:cs="Times New Roman"/>
                <w:b/>
                <w:noProof/>
                <w:sz w:val="20"/>
                <w:szCs w:val="20"/>
                <w:lang w:eastAsia="lv-LV"/>
              </w:rPr>
              <w:t>Īpatsvars kopējā Latvijas preču eksportā 2024.g.</w:t>
            </w:r>
          </w:p>
        </w:tc>
        <w:tc>
          <w:tcPr>
            <w:tcW w:w="1139" w:type="dxa"/>
            <w:vMerge w:val="restart"/>
            <w:tcBorders>
              <w:top w:val="single" w:sz="4" w:space="0" w:color="auto"/>
              <w:left w:val="single" w:sz="4" w:space="0" w:color="auto"/>
              <w:bottom w:val="single" w:sz="4" w:space="0" w:color="auto"/>
              <w:right w:val="single" w:sz="4" w:space="0" w:color="auto"/>
            </w:tcBorders>
            <w:shd w:val="clear" w:color="auto" w:fill="F0E7DA"/>
          </w:tcPr>
          <w:p w14:paraId="2531335C" w14:textId="0FC4167C" w:rsidR="007C169A" w:rsidRPr="001C0357" w:rsidRDefault="007C169A" w:rsidP="00B72C43">
            <w:pPr>
              <w:spacing w:before="0" w:after="0"/>
              <w:ind w:firstLine="0"/>
              <w:jc w:val="center"/>
              <w:rPr>
                <w:rFonts w:eastAsia="Calibri" w:cs="Times New Roman"/>
                <w:b/>
                <w:noProof/>
                <w:sz w:val="20"/>
                <w:szCs w:val="20"/>
                <w:lang w:eastAsia="lv-LV"/>
              </w:rPr>
            </w:pPr>
            <w:r w:rsidRPr="001C0357">
              <w:rPr>
                <w:rFonts w:eastAsia="Calibri" w:cs="Times New Roman"/>
                <w:b/>
                <w:noProof/>
                <w:sz w:val="20"/>
                <w:szCs w:val="20"/>
                <w:lang w:eastAsia="lv-LV"/>
              </w:rPr>
              <w:t>IKP pieaugums 2024.g</w:t>
            </w:r>
            <w:r w:rsidR="002F673F" w:rsidRPr="001C0357">
              <w:rPr>
                <w:rFonts w:eastAsia="Calibri" w:cs="Times New Roman"/>
                <w:b/>
                <w:noProof/>
                <w:sz w:val="20"/>
                <w:szCs w:val="20"/>
                <w:lang w:eastAsia="lv-LV"/>
              </w:rPr>
              <w:t>.</w:t>
            </w:r>
            <w:r w:rsidRPr="001C0357">
              <w:rPr>
                <w:rFonts w:eastAsia="Calibri" w:cs="Times New Roman"/>
                <w:b/>
                <w:noProof/>
                <w:sz w:val="20"/>
                <w:szCs w:val="20"/>
                <w:lang w:eastAsia="lv-LV"/>
              </w:rPr>
              <w:t>, %</w:t>
            </w:r>
          </w:p>
        </w:tc>
        <w:tc>
          <w:tcPr>
            <w:tcW w:w="2523" w:type="dxa"/>
            <w:gridSpan w:val="2"/>
            <w:tcBorders>
              <w:top w:val="single" w:sz="4" w:space="0" w:color="auto"/>
              <w:left w:val="single" w:sz="4" w:space="0" w:color="auto"/>
              <w:bottom w:val="single" w:sz="4" w:space="0" w:color="auto"/>
              <w:right w:val="single" w:sz="4" w:space="0" w:color="auto"/>
            </w:tcBorders>
            <w:shd w:val="clear" w:color="auto" w:fill="F0E7DA"/>
            <w:tcMar>
              <w:top w:w="57" w:type="dxa"/>
              <w:left w:w="85" w:type="dxa"/>
              <w:bottom w:w="57" w:type="dxa"/>
              <w:right w:w="85" w:type="dxa"/>
            </w:tcMar>
            <w:hideMark/>
          </w:tcPr>
          <w:p w14:paraId="791BF695" w14:textId="61A19AFF" w:rsidR="007C169A" w:rsidRPr="001C0357" w:rsidRDefault="007C169A" w:rsidP="00B72C43">
            <w:pPr>
              <w:spacing w:before="0" w:after="0"/>
              <w:ind w:firstLine="0"/>
              <w:jc w:val="center"/>
              <w:rPr>
                <w:rFonts w:eastAsia="Calibri" w:cs="Times New Roman"/>
                <w:b/>
                <w:noProof/>
                <w:sz w:val="20"/>
                <w:szCs w:val="20"/>
                <w:lang w:eastAsia="lv-LV"/>
              </w:rPr>
            </w:pPr>
            <w:r w:rsidRPr="001C0357">
              <w:rPr>
                <w:rFonts w:eastAsia="Calibri" w:cs="Times New Roman"/>
                <w:b/>
                <w:noProof/>
                <w:sz w:val="20"/>
                <w:szCs w:val="20"/>
                <w:lang w:eastAsia="lv-LV"/>
              </w:rPr>
              <w:t>IKP pieauguma prognoze salīdzināmās cenās, g/g, %, EK, 2025.</w:t>
            </w:r>
            <w:r w:rsidR="002F673F" w:rsidRPr="001C0357">
              <w:rPr>
                <w:rFonts w:eastAsia="Calibri" w:cs="Times New Roman"/>
                <w:b/>
                <w:noProof/>
                <w:sz w:val="20"/>
                <w:szCs w:val="20"/>
                <w:lang w:eastAsia="lv-LV"/>
              </w:rPr>
              <w:t xml:space="preserve"> gada</w:t>
            </w:r>
            <w:r w:rsidRPr="001C0357">
              <w:rPr>
                <w:rFonts w:eastAsia="Calibri" w:cs="Times New Roman"/>
                <w:b/>
                <w:noProof/>
                <w:sz w:val="20"/>
                <w:szCs w:val="20"/>
                <w:lang w:eastAsia="lv-LV"/>
              </w:rPr>
              <w:t xml:space="preserve"> maijs</w:t>
            </w:r>
            <w:r w:rsidRPr="001C0357">
              <w:rPr>
                <w:rFonts w:eastAsia="Calibri" w:cs="Times New Roman"/>
                <w:b/>
                <w:noProof/>
                <w:sz w:val="20"/>
                <w:szCs w:val="20"/>
                <w:lang w:eastAsia="lv-LV"/>
              </w:rPr>
              <w:br/>
              <w:t>*SVF, 2025.</w:t>
            </w:r>
            <w:r w:rsidR="002F673F" w:rsidRPr="001C0357">
              <w:rPr>
                <w:rFonts w:eastAsia="Calibri" w:cs="Times New Roman"/>
                <w:b/>
                <w:noProof/>
                <w:sz w:val="20"/>
                <w:szCs w:val="20"/>
                <w:lang w:eastAsia="lv-LV"/>
              </w:rPr>
              <w:t xml:space="preserve"> gada</w:t>
            </w:r>
            <w:r w:rsidRPr="001C0357">
              <w:rPr>
                <w:rFonts w:eastAsia="Calibri" w:cs="Times New Roman"/>
                <w:b/>
                <w:noProof/>
                <w:sz w:val="20"/>
                <w:szCs w:val="20"/>
                <w:lang w:eastAsia="lv-LV"/>
              </w:rPr>
              <w:t xml:space="preserve"> jūlijs</w:t>
            </w:r>
          </w:p>
        </w:tc>
        <w:tc>
          <w:tcPr>
            <w:tcW w:w="2883" w:type="dxa"/>
            <w:gridSpan w:val="2"/>
            <w:tcBorders>
              <w:top w:val="single" w:sz="4" w:space="0" w:color="auto"/>
              <w:left w:val="single" w:sz="4" w:space="0" w:color="auto"/>
              <w:bottom w:val="single" w:sz="4" w:space="0" w:color="auto"/>
              <w:right w:val="single" w:sz="4" w:space="0" w:color="auto"/>
            </w:tcBorders>
            <w:shd w:val="clear" w:color="auto" w:fill="F0E7DA"/>
            <w:tcMar>
              <w:top w:w="57" w:type="dxa"/>
              <w:left w:w="85" w:type="dxa"/>
              <w:bottom w:w="57" w:type="dxa"/>
              <w:right w:w="85" w:type="dxa"/>
            </w:tcMar>
          </w:tcPr>
          <w:p w14:paraId="1915C55A" w14:textId="77777777" w:rsidR="002F673F" w:rsidRPr="001C0357" w:rsidRDefault="007C169A" w:rsidP="00B72C43">
            <w:pPr>
              <w:spacing w:before="0" w:after="0"/>
              <w:ind w:firstLine="0"/>
              <w:jc w:val="center"/>
              <w:rPr>
                <w:rFonts w:eastAsia="Calibri" w:cs="Times New Roman"/>
                <w:b/>
                <w:noProof/>
                <w:sz w:val="20"/>
                <w:szCs w:val="20"/>
                <w:lang w:eastAsia="lv-LV"/>
              </w:rPr>
            </w:pPr>
            <w:r w:rsidRPr="001C0357">
              <w:rPr>
                <w:rFonts w:eastAsia="Calibri" w:cs="Times New Roman"/>
                <w:b/>
                <w:noProof/>
                <w:sz w:val="20"/>
                <w:szCs w:val="20"/>
                <w:lang w:eastAsia="lv-LV"/>
              </w:rPr>
              <w:t xml:space="preserve">Izmaiņas pret EK 2024.gada novembra prognozēm un </w:t>
            </w:r>
          </w:p>
          <w:p w14:paraId="6A480E4A" w14:textId="69591209" w:rsidR="002F673F" w:rsidRPr="001C0357" w:rsidRDefault="007C169A" w:rsidP="00B72C43">
            <w:pPr>
              <w:spacing w:before="0" w:after="0"/>
              <w:ind w:firstLine="0"/>
              <w:jc w:val="center"/>
              <w:rPr>
                <w:rFonts w:eastAsia="Calibri" w:cs="Times New Roman"/>
                <w:b/>
                <w:noProof/>
                <w:sz w:val="20"/>
                <w:szCs w:val="20"/>
                <w:lang w:eastAsia="lv-LV"/>
              </w:rPr>
            </w:pPr>
            <w:r w:rsidRPr="001C0357">
              <w:rPr>
                <w:rFonts w:eastAsia="Calibri" w:cs="Times New Roman"/>
                <w:b/>
                <w:noProof/>
                <w:sz w:val="20"/>
                <w:szCs w:val="20"/>
                <w:lang w:eastAsia="lv-LV"/>
              </w:rPr>
              <w:t xml:space="preserve">SVF 2025. gada janvāra </w:t>
            </w:r>
          </w:p>
          <w:p w14:paraId="40CF9B41" w14:textId="089C2BC6" w:rsidR="007C169A" w:rsidRPr="001C0357" w:rsidRDefault="007C169A" w:rsidP="00B72C43">
            <w:pPr>
              <w:spacing w:before="0" w:after="0"/>
              <w:ind w:firstLine="0"/>
              <w:jc w:val="center"/>
              <w:rPr>
                <w:rFonts w:eastAsia="Calibri" w:cs="Times New Roman"/>
                <w:b/>
                <w:noProof/>
                <w:sz w:val="20"/>
                <w:szCs w:val="20"/>
                <w:lang w:eastAsia="lv-LV"/>
              </w:rPr>
            </w:pPr>
            <w:r w:rsidRPr="001C0357">
              <w:rPr>
                <w:rFonts w:eastAsia="Calibri" w:cs="Times New Roman"/>
                <w:b/>
                <w:noProof/>
                <w:sz w:val="20"/>
                <w:szCs w:val="20"/>
                <w:lang w:eastAsia="lv-LV"/>
              </w:rPr>
              <w:t>prognozēm, pp</w:t>
            </w:r>
          </w:p>
        </w:tc>
      </w:tr>
      <w:tr w:rsidR="007C169A" w:rsidRPr="001C0357" w14:paraId="65E643DC" w14:textId="77777777" w:rsidTr="00E7284B">
        <w:trPr>
          <w:trHeight w:val="238"/>
          <w:tblHeader/>
          <w:jc w:val="center"/>
        </w:trPr>
        <w:tc>
          <w:tcPr>
            <w:tcW w:w="1115" w:type="dxa"/>
            <w:vMerge/>
            <w:tcBorders>
              <w:top w:val="single" w:sz="4" w:space="0" w:color="auto"/>
              <w:left w:val="single" w:sz="4" w:space="0" w:color="auto"/>
              <w:bottom w:val="single" w:sz="4" w:space="0" w:color="auto"/>
              <w:right w:val="single" w:sz="4" w:space="0" w:color="auto"/>
            </w:tcBorders>
            <w:shd w:val="clear" w:color="auto" w:fill="F0E7DA"/>
            <w:tcMar>
              <w:top w:w="57" w:type="dxa"/>
              <w:left w:w="85" w:type="dxa"/>
              <w:bottom w:w="57" w:type="dxa"/>
              <w:right w:w="85" w:type="dxa"/>
            </w:tcMar>
            <w:vAlign w:val="center"/>
            <w:hideMark/>
          </w:tcPr>
          <w:p w14:paraId="1946CC29" w14:textId="77777777" w:rsidR="007C169A" w:rsidRPr="001C0357" w:rsidRDefault="007C169A" w:rsidP="00B72C43">
            <w:pPr>
              <w:spacing w:before="0" w:after="0"/>
              <w:ind w:firstLine="0"/>
              <w:jc w:val="left"/>
              <w:rPr>
                <w:rFonts w:eastAsia="Calibri" w:cs="Times New Roman"/>
                <w:noProof/>
                <w:sz w:val="20"/>
                <w:szCs w:val="20"/>
                <w:lang w:eastAsia="lv-LV"/>
              </w:rPr>
            </w:pPr>
          </w:p>
        </w:tc>
        <w:tc>
          <w:tcPr>
            <w:tcW w:w="1401" w:type="dxa"/>
            <w:vMerge/>
            <w:tcBorders>
              <w:top w:val="single" w:sz="4" w:space="0" w:color="auto"/>
              <w:left w:val="single" w:sz="4" w:space="0" w:color="auto"/>
              <w:bottom w:val="single" w:sz="4" w:space="0" w:color="auto"/>
              <w:right w:val="single" w:sz="4" w:space="0" w:color="auto"/>
            </w:tcBorders>
            <w:shd w:val="clear" w:color="auto" w:fill="F0E7DA"/>
            <w:tcMar>
              <w:top w:w="57" w:type="dxa"/>
              <w:left w:w="85" w:type="dxa"/>
              <w:bottom w:w="57" w:type="dxa"/>
              <w:right w:w="85" w:type="dxa"/>
            </w:tcMar>
            <w:vAlign w:val="center"/>
            <w:hideMark/>
          </w:tcPr>
          <w:p w14:paraId="4C130AD9" w14:textId="77777777" w:rsidR="007C169A" w:rsidRPr="001C0357" w:rsidRDefault="007C169A" w:rsidP="00B72C43">
            <w:pPr>
              <w:spacing w:before="0" w:after="0"/>
              <w:ind w:firstLine="0"/>
              <w:jc w:val="center"/>
              <w:rPr>
                <w:rFonts w:eastAsia="Calibri" w:cs="Times New Roman"/>
                <w:noProof/>
                <w:sz w:val="20"/>
                <w:szCs w:val="20"/>
                <w:lang w:eastAsia="lv-LV"/>
              </w:rPr>
            </w:pPr>
          </w:p>
        </w:tc>
        <w:tc>
          <w:tcPr>
            <w:tcW w:w="1139" w:type="dxa"/>
            <w:vMerge/>
            <w:tcBorders>
              <w:top w:val="single" w:sz="4" w:space="0" w:color="auto"/>
              <w:left w:val="single" w:sz="4" w:space="0" w:color="auto"/>
              <w:bottom w:val="single" w:sz="4" w:space="0" w:color="auto"/>
              <w:right w:val="single" w:sz="4" w:space="0" w:color="auto"/>
            </w:tcBorders>
            <w:shd w:val="clear" w:color="auto" w:fill="F0E7DA"/>
          </w:tcPr>
          <w:p w14:paraId="11940B64" w14:textId="77777777" w:rsidR="007C169A" w:rsidRPr="001C0357" w:rsidRDefault="007C169A" w:rsidP="00B72C43">
            <w:pPr>
              <w:spacing w:before="0" w:after="0"/>
              <w:ind w:firstLine="0"/>
              <w:jc w:val="center"/>
              <w:rPr>
                <w:rFonts w:eastAsia="Calibri" w:cs="Times New Roman"/>
                <w:b/>
                <w:noProof/>
                <w:sz w:val="20"/>
                <w:szCs w:val="20"/>
                <w:lang w:eastAsia="lv-LV"/>
              </w:rPr>
            </w:pPr>
          </w:p>
        </w:tc>
        <w:tc>
          <w:tcPr>
            <w:tcW w:w="1302" w:type="dxa"/>
            <w:tcBorders>
              <w:top w:val="single" w:sz="4" w:space="0" w:color="auto"/>
              <w:left w:val="single" w:sz="4" w:space="0" w:color="auto"/>
              <w:bottom w:val="single" w:sz="4" w:space="0" w:color="auto"/>
              <w:right w:val="single" w:sz="4" w:space="0" w:color="auto"/>
            </w:tcBorders>
            <w:shd w:val="clear" w:color="auto" w:fill="F0E7DA"/>
            <w:tcMar>
              <w:top w:w="57" w:type="dxa"/>
              <w:left w:w="85" w:type="dxa"/>
              <w:bottom w:w="57" w:type="dxa"/>
              <w:right w:w="85" w:type="dxa"/>
            </w:tcMar>
            <w:vAlign w:val="center"/>
            <w:hideMark/>
          </w:tcPr>
          <w:p w14:paraId="7785A5A9" w14:textId="77777777" w:rsidR="007C169A" w:rsidRPr="001C0357" w:rsidRDefault="007C169A" w:rsidP="00B72C43">
            <w:pPr>
              <w:spacing w:before="0" w:after="0"/>
              <w:ind w:firstLine="0"/>
              <w:jc w:val="center"/>
              <w:rPr>
                <w:rFonts w:eastAsia="Calibri" w:cs="Times New Roman"/>
                <w:b/>
                <w:noProof/>
                <w:sz w:val="20"/>
                <w:szCs w:val="20"/>
                <w:lang w:eastAsia="lv-LV"/>
              </w:rPr>
            </w:pPr>
            <w:r w:rsidRPr="001C0357">
              <w:rPr>
                <w:rFonts w:eastAsia="Calibri" w:cs="Times New Roman"/>
                <w:b/>
                <w:noProof/>
                <w:sz w:val="20"/>
                <w:szCs w:val="20"/>
                <w:lang w:eastAsia="lv-LV"/>
              </w:rPr>
              <w:t>2025</w:t>
            </w:r>
          </w:p>
        </w:tc>
        <w:tc>
          <w:tcPr>
            <w:tcW w:w="1221" w:type="dxa"/>
            <w:tcBorders>
              <w:top w:val="single" w:sz="4" w:space="0" w:color="auto"/>
              <w:left w:val="single" w:sz="4" w:space="0" w:color="auto"/>
              <w:bottom w:val="single" w:sz="4" w:space="0" w:color="auto"/>
              <w:right w:val="single" w:sz="4" w:space="0" w:color="auto"/>
            </w:tcBorders>
            <w:shd w:val="clear" w:color="auto" w:fill="F0E7DA"/>
            <w:tcMar>
              <w:top w:w="57" w:type="dxa"/>
              <w:left w:w="85" w:type="dxa"/>
              <w:bottom w:w="57" w:type="dxa"/>
              <w:right w:w="85" w:type="dxa"/>
            </w:tcMar>
            <w:vAlign w:val="center"/>
            <w:hideMark/>
          </w:tcPr>
          <w:p w14:paraId="5D313649" w14:textId="77777777" w:rsidR="007C169A" w:rsidRPr="001C0357" w:rsidRDefault="007C169A" w:rsidP="00B72C43">
            <w:pPr>
              <w:spacing w:before="0" w:after="0"/>
              <w:ind w:firstLine="0"/>
              <w:jc w:val="center"/>
              <w:rPr>
                <w:rFonts w:eastAsia="Calibri" w:cs="Times New Roman"/>
                <w:b/>
                <w:noProof/>
                <w:sz w:val="20"/>
                <w:szCs w:val="20"/>
                <w:lang w:eastAsia="lv-LV"/>
              </w:rPr>
            </w:pPr>
            <w:r w:rsidRPr="001C0357">
              <w:rPr>
                <w:rFonts w:eastAsia="Calibri" w:cs="Times New Roman"/>
                <w:b/>
                <w:noProof/>
                <w:sz w:val="20"/>
                <w:szCs w:val="20"/>
                <w:lang w:eastAsia="lv-LV"/>
              </w:rPr>
              <w:t>2026</w:t>
            </w:r>
          </w:p>
        </w:tc>
        <w:tc>
          <w:tcPr>
            <w:tcW w:w="1330" w:type="dxa"/>
            <w:tcBorders>
              <w:top w:val="single" w:sz="4" w:space="0" w:color="auto"/>
              <w:left w:val="single" w:sz="4" w:space="0" w:color="auto"/>
              <w:bottom w:val="single" w:sz="4" w:space="0" w:color="auto"/>
              <w:right w:val="single" w:sz="4" w:space="0" w:color="auto"/>
            </w:tcBorders>
            <w:shd w:val="clear" w:color="auto" w:fill="F0E7DA"/>
            <w:tcMar>
              <w:top w:w="57" w:type="dxa"/>
              <w:left w:w="85" w:type="dxa"/>
              <w:bottom w:w="57" w:type="dxa"/>
              <w:right w:w="85" w:type="dxa"/>
            </w:tcMar>
            <w:vAlign w:val="center"/>
          </w:tcPr>
          <w:p w14:paraId="43FC6BF5" w14:textId="77777777" w:rsidR="007C169A" w:rsidRPr="001C0357" w:rsidRDefault="007C169A" w:rsidP="00B72C43">
            <w:pPr>
              <w:spacing w:before="0" w:after="0"/>
              <w:ind w:firstLine="0"/>
              <w:jc w:val="center"/>
              <w:rPr>
                <w:rFonts w:eastAsia="Calibri" w:cs="Times New Roman"/>
                <w:b/>
                <w:noProof/>
                <w:sz w:val="20"/>
                <w:szCs w:val="20"/>
                <w:lang w:eastAsia="lv-LV"/>
              </w:rPr>
            </w:pPr>
            <w:r w:rsidRPr="001C0357">
              <w:rPr>
                <w:rFonts w:eastAsia="Calibri" w:cs="Times New Roman"/>
                <w:b/>
                <w:noProof/>
                <w:sz w:val="20"/>
                <w:szCs w:val="20"/>
                <w:lang w:eastAsia="lv-LV"/>
              </w:rPr>
              <w:t>2025</w:t>
            </w:r>
          </w:p>
        </w:tc>
        <w:tc>
          <w:tcPr>
            <w:tcW w:w="1553" w:type="dxa"/>
            <w:tcBorders>
              <w:top w:val="single" w:sz="4" w:space="0" w:color="auto"/>
              <w:left w:val="single" w:sz="4" w:space="0" w:color="auto"/>
              <w:bottom w:val="single" w:sz="4" w:space="0" w:color="auto"/>
              <w:right w:val="single" w:sz="4" w:space="0" w:color="auto"/>
            </w:tcBorders>
            <w:shd w:val="clear" w:color="auto" w:fill="F0E7DA"/>
            <w:tcMar>
              <w:top w:w="57" w:type="dxa"/>
              <w:left w:w="85" w:type="dxa"/>
              <w:bottom w:w="57" w:type="dxa"/>
              <w:right w:w="85" w:type="dxa"/>
            </w:tcMar>
            <w:vAlign w:val="center"/>
          </w:tcPr>
          <w:p w14:paraId="45C65CE3" w14:textId="77777777" w:rsidR="007C169A" w:rsidRPr="001C0357" w:rsidRDefault="007C169A" w:rsidP="00B72C43">
            <w:pPr>
              <w:spacing w:before="0" w:after="0"/>
              <w:ind w:firstLine="0"/>
              <w:jc w:val="center"/>
              <w:rPr>
                <w:rFonts w:eastAsia="Calibri" w:cs="Times New Roman"/>
                <w:b/>
                <w:noProof/>
                <w:sz w:val="20"/>
                <w:szCs w:val="20"/>
                <w:lang w:eastAsia="lv-LV"/>
              </w:rPr>
            </w:pPr>
            <w:r w:rsidRPr="001C0357">
              <w:rPr>
                <w:rFonts w:eastAsia="Calibri" w:cs="Times New Roman"/>
                <w:b/>
                <w:noProof/>
                <w:sz w:val="20"/>
                <w:szCs w:val="20"/>
                <w:lang w:eastAsia="lv-LV"/>
              </w:rPr>
              <w:t>2026</w:t>
            </w:r>
          </w:p>
        </w:tc>
      </w:tr>
      <w:tr w:rsidR="002F673F" w:rsidRPr="001C0357" w14:paraId="6A7A1CDD" w14:textId="77777777" w:rsidTr="00751876">
        <w:trPr>
          <w:trHeight w:val="20"/>
          <w:jc w:val="center"/>
        </w:trPr>
        <w:tc>
          <w:tcPr>
            <w:tcW w:w="1115"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hideMark/>
          </w:tcPr>
          <w:p w14:paraId="4DC62F21" w14:textId="77777777" w:rsidR="007C169A" w:rsidRPr="001C0357" w:rsidRDefault="007C169A" w:rsidP="00B72C43">
            <w:pPr>
              <w:spacing w:before="0" w:after="0"/>
              <w:ind w:firstLine="0"/>
              <w:jc w:val="left"/>
              <w:rPr>
                <w:rFonts w:eastAsia="Calibri" w:cs="Times New Roman"/>
                <w:noProof/>
                <w:sz w:val="20"/>
                <w:szCs w:val="20"/>
                <w:lang w:eastAsia="lv-LV"/>
              </w:rPr>
            </w:pPr>
            <w:r w:rsidRPr="001C0357">
              <w:rPr>
                <w:rFonts w:cs="Times New Roman"/>
                <w:noProof/>
                <w:sz w:val="20"/>
                <w:szCs w:val="20"/>
              </w:rPr>
              <w:t>Lietuva</w:t>
            </w:r>
          </w:p>
        </w:tc>
        <w:tc>
          <w:tcPr>
            <w:tcW w:w="1401"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hideMark/>
          </w:tcPr>
          <w:p w14:paraId="470AE785" w14:textId="77777777" w:rsidR="007C169A" w:rsidRPr="001C0357" w:rsidRDefault="007C169A" w:rsidP="00B72C43">
            <w:pPr>
              <w:spacing w:before="0" w:after="0"/>
              <w:ind w:firstLine="0"/>
              <w:jc w:val="center"/>
              <w:rPr>
                <w:rFonts w:eastAsia="Calibri" w:cs="Times New Roman"/>
                <w:noProof/>
                <w:sz w:val="20"/>
                <w:szCs w:val="20"/>
                <w:lang w:eastAsia="lv-LV"/>
              </w:rPr>
            </w:pPr>
            <w:r w:rsidRPr="001C0357">
              <w:rPr>
                <w:rFonts w:cs="Times New Roman"/>
                <w:noProof/>
                <w:sz w:val="20"/>
                <w:szCs w:val="20"/>
              </w:rPr>
              <w:t>18,1%</w:t>
            </w:r>
          </w:p>
        </w:tc>
        <w:tc>
          <w:tcPr>
            <w:tcW w:w="1139" w:type="dxa"/>
            <w:tcBorders>
              <w:top w:val="single" w:sz="4" w:space="0" w:color="auto"/>
              <w:left w:val="single" w:sz="4" w:space="0" w:color="auto"/>
              <w:bottom w:val="single" w:sz="4" w:space="0" w:color="auto"/>
              <w:right w:val="single" w:sz="4" w:space="0" w:color="auto"/>
            </w:tcBorders>
            <w:vAlign w:val="bottom"/>
          </w:tcPr>
          <w:p w14:paraId="0860ADB0" w14:textId="77777777" w:rsidR="007C169A" w:rsidRPr="001C0357" w:rsidRDefault="007C169A" w:rsidP="00B72C43">
            <w:pPr>
              <w:spacing w:before="0" w:after="0"/>
              <w:ind w:firstLine="0"/>
              <w:jc w:val="center"/>
              <w:rPr>
                <w:rFonts w:cs="Times New Roman"/>
                <w:noProof/>
                <w:sz w:val="20"/>
                <w:szCs w:val="20"/>
              </w:rPr>
            </w:pPr>
            <w:r w:rsidRPr="001C0357">
              <w:rPr>
                <w:rFonts w:cs="Times New Roman"/>
                <w:noProof/>
                <w:sz w:val="20"/>
                <w:szCs w:val="20"/>
              </w:rPr>
              <w:t>2,8</w:t>
            </w:r>
          </w:p>
        </w:tc>
        <w:tc>
          <w:tcPr>
            <w:tcW w:w="1302" w:type="dxa"/>
            <w:tcBorders>
              <w:top w:val="single" w:sz="4" w:space="0" w:color="auto"/>
              <w:left w:val="single" w:sz="4" w:space="0" w:color="auto"/>
              <w:bottom w:val="single" w:sz="4" w:space="0" w:color="auto"/>
              <w:right w:val="single" w:sz="4" w:space="0" w:color="auto"/>
            </w:tcBorders>
            <w:noWrap/>
            <w:tcMar>
              <w:top w:w="57" w:type="dxa"/>
              <w:left w:w="85" w:type="dxa"/>
              <w:bottom w:w="57" w:type="dxa"/>
              <w:right w:w="85" w:type="dxa"/>
            </w:tcMar>
            <w:vAlign w:val="center"/>
            <w:hideMark/>
          </w:tcPr>
          <w:p w14:paraId="7FF400A4" w14:textId="77777777" w:rsidR="007C169A" w:rsidRPr="001C0357" w:rsidRDefault="007C169A" w:rsidP="00B72C43">
            <w:pPr>
              <w:spacing w:before="0" w:after="0"/>
              <w:ind w:firstLine="0"/>
              <w:jc w:val="center"/>
              <w:rPr>
                <w:rFonts w:cs="Times New Roman"/>
                <w:noProof/>
                <w:sz w:val="20"/>
                <w:szCs w:val="20"/>
              </w:rPr>
            </w:pPr>
            <w:r w:rsidRPr="001C0357">
              <w:rPr>
                <w:rFonts w:cs="Times New Roman"/>
                <w:noProof/>
                <w:sz w:val="20"/>
                <w:szCs w:val="20"/>
              </w:rPr>
              <w:t>2,8</w:t>
            </w:r>
          </w:p>
        </w:tc>
        <w:tc>
          <w:tcPr>
            <w:tcW w:w="1221" w:type="dxa"/>
            <w:tcBorders>
              <w:top w:val="single" w:sz="4" w:space="0" w:color="auto"/>
              <w:left w:val="nil"/>
              <w:bottom w:val="single" w:sz="4" w:space="0" w:color="auto"/>
              <w:right w:val="single" w:sz="4" w:space="0" w:color="auto"/>
            </w:tcBorders>
            <w:noWrap/>
            <w:tcMar>
              <w:top w:w="57" w:type="dxa"/>
              <w:left w:w="85" w:type="dxa"/>
              <w:bottom w:w="57" w:type="dxa"/>
              <w:right w:w="85" w:type="dxa"/>
            </w:tcMar>
            <w:vAlign w:val="center"/>
            <w:hideMark/>
          </w:tcPr>
          <w:p w14:paraId="4EC98D43" w14:textId="77777777" w:rsidR="007C169A" w:rsidRPr="001C0357" w:rsidRDefault="007C169A" w:rsidP="00B72C43">
            <w:pPr>
              <w:spacing w:before="0" w:after="0"/>
              <w:ind w:firstLine="0"/>
              <w:jc w:val="center"/>
              <w:rPr>
                <w:rFonts w:cs="Times New Roman"/>
                <w:noProof/>
                <w:sz w:val="20"/>
                <w:szCs w:val="20"/>
              </w:rPr>
            </w:pPr>
            <w:r w:rsidRPr="001C0357">
              <w:rPr>
                <w:rFonts w:cs="Times New Roman"/>
                <w:noProof/>
                <w:sz w:val="20"/>
                <w:szCs w:val="20"/>
              </w:rPr>
              <w:t>3,1</w:t>
            </w:r>
          </w:p>
        </w:tc>
        <w:tc>
          <w:tcPr>
            <w:tcW w:w="1330" w:type="dxa"/>
            <w:tcBorders>
              <w:top w:val="single" w:sz="4" w:space="0" w:color="auto"/>
              <w:left w:val="nil"/>
              <w:bottom w:val="single" w:sz="4" w:space="0" w:color="auto"/>
              <w:right w:val="single" w:sz="4" w:space="0" w:color="auto"/>
            </w:tcBorders>
            <w:noWrap/>
            <w:tcMar>
              <w:top w:w="57" w:type="dxa"/>
              <w:left w:w="85" w:type="dxa"/>
              <w:bottom w:w="57" w:type="dxa"/>
              <w:right w:w="85" w:type="dxa"/>
            </w:tcMar>
            <w:vAlign w:val="center"/>
          </w:tcPr>
          <w:p w14:paraId="253D1C95" w14:textId="77777777" w:rsidR="007C169A" w:rsidRPr="001C0357" w:rsidRDefault="007C169A" w:rsidP="00B72C43">
            <w:pPr>
              <w:spacing w:before="0" w:after="0"/>
              <w:ind w:firstLine="0"/>
              <w:jc w:val="center"/>
              <w:rPr>
                <w:rFonts w:cs="Times New Roman"/>
                <w:noProof/>
                <w:sz w:val="20"/>
                <w:szCs w:val="20"/>
              </w:rPr>
            </w:pPr>
            <w:r w:rsidRPr="001C0357">
              <w:rPr>
                <w:rFonts w:cs="Times New Roman"/>
                <w:noProof/>
                <w:sz w:val="20"/>
                <w:szCs w:val="20"/>
              </w:rPr>
              <w:t>-0,2</w:t>
            </w:r>
          </w:p>
        </w:tc>
        <w:tc>
          <w:tcPr>
            <w:tcW w:w="1553" w:type="dxa"/>
            <w:tcBorders>
              <w:top w:val="single" w:sz="4" w:space="0" w:color="auto"/>
              <w:left w:val="nil"/>
              <w:bottom w:val="single" w:sz="4" w:space="0" w:color="auto"/>
              <w:right w:val="single" w:sz="4" w:space="0" w:color="auto"/>
            </w:tcBorders>
            <w:tcMar>
              <w:top w:w="57" w:type="dxa"/>
              <w:left w:w="85" w:type="dxa"/>
              <w:bottom w:w="57" w:type="dxa"/>
              <w:right w:w="85" w:type="dxa"/>
            </w:tcMar>
            <w:vAlign w:val="center"/>
          </w:tcPr>
          <w:p w14:paraId="347E406B" w14:textId="77777777" w:rsidR="007C169A" w:rsidRPr="001C0357" w:rsidRDefault="007C169A" w:rsidP="00B72C43">
            <w:pPr>
              <w:spacing w:before="0" w:after="0"/>
              <w:ind w:firstLine="0"/>
              <w:jc w:val="center"/>
              <w:rPr>
                <w:rFonts w:cs="Times New Roman"/>
                <w:noProof/>
                <w:sz w:val="20"/>
                <w:szCs w:val="20"/>
              </w:rPr>
            </w:pPr>
            <w:r w:rsidRPr="001C0357">
              <w:rPr>
                <w:rFonts w:cs="Times New Roman"/>
                <w:noProof/>
                <w:sz w:val="20"/>
                <w:szCs w:val="20"/>
              </w:rPr>
              <w:t>0,1</w:t>
            </w:r>
          </w:p>
        </w:tc>
      </w:tr>
      <w:tr w:rsidR="00751876" w:rsidRPr="001C0357" w14:paraId="1FF08D7D" w14:textId="77777777" w:rsidTr="00751876">
        <w:trPr>
          <w:trHeight w:val="20"/>
          <w:jc w:val="center"/>
        </w:trPr>
        <w:tc>
          <w:tcPr>
            <w:tcW w:w="1115" w:type="dxa"/>
            <w:tcBorders>
              <w:top w:val="nil"/>
              <w:left w:val="single" w:sz="4" w:space="0" w:color="auto"/>
              <w:bottom w:val="single" w:sz="4" w:space="0" w:color="auto"/>
              <w:right w:val="single" w:sz="4" w:space="0" w:color="auto"/>
            </w:tcBorders>
            <w:tcMar>
              <w:top w:w="57" w:type="dxa"/>
              <w:left w:w="85" w:type="dxa"/>
              <w:bottom w:w="57" w:type="dxa"/>
              <w:right w:w="85" w:type="dxa"/>
            </w:tcMar>
            <w:vAlign w:val="center"/>
            <w:hideMark/>
          </w:tcPr>
          <w:p w14:paraId="69B23BE0" w14:textId="77777777" w:rsidR="00751876" w:rsidRPr="001C0357" w:rsidRDefault="00751876" w:rsidP="00751876">
            <w:pPr>
              <w:spacing w:before="0" w:after="0"/>
              <w:ind w:firstLine="0"/>
              <w:jc w:val="left"/>
              <w:rPr>
                <w:rFonts w:eastAsia="Calibri" w:cs="Times New Roman"/>
                <w:noProof/>
                <w:sz w:val="20"/>
                <w:szCs w:val="20"/>
                <w:lang w:eastAsia="lv-LV"/>
              </w:rPr>
            </w:pPr>
            <w:r w:rsidRPr="001C0357">
              <w:rPr>
                <w:rFonts w:cs="Times New Roman"/>
                <w:noProof/>
                <w:sz w:val="20"/>
                <w:szCs w:val="20"/>
              </w:rPr>
              <w:t>Igaunija</w:t>
            </w:r>
          </w:p>
        </w:tc>
        <w:tc>
          <w:tcPr>
            <w:tcW w:w="1401" w:type="dxa"/>
            <w:tcBorders>
              <w:top w:val="nil"/>
              <w:left w:val="single" w:sz="4" w:space="0" w:color="auto"/>
              <w:bottom w:val="single" w:sz="4" w:space="0" w:color="auto"/>
              <w:right w:val="single" w:sz="4" w:space="0" w:color="auto"/>
            </w:tcBorders>
            <w:tcMar>
              <w:top w:w="57" w:type="dxa"/>
              <w:left w:w="85" w:type="dxa"/>
              <w:bottom w:w="57" w:type="dxa"/>
              <w:right w:w="85" w:type="dxa"/>
            </w:tcMar>
            <w:vAlign w:val="center"/>
            <w:hideMark/>
          </w:tcPr>
          <w:p w14:paraId="75AFE84C" w14:textId="77777777" w:rsidR="00751876" w:rsidRPr="001C0357" w:rsidRDefault="00751876" w:rsidP="00751876">
            <w:pPr>
              <w:spacing w:before="0" w:after="0"/>
              <w:ind w:firstLine="0"/>
              <w:jc w:val="center"/>
              <w:rPr>
                <w:rFonts w:eastAsia="Calibri" w:cs="Times New Roman"/>
                <w:noProof/>
                <w:sz w:val="20"/>
                <w:szCs w:val="20"/>
                <w:lang w:eastAsia="lv-LV"/>
              </w:rPr>
            </w:pPr>
            <w:r w:rsidRPr="001C0357">
              <w:rPr>
                <w:rFonts w:cs="Times New Roman"/>
                <w:noProof/>
                <w:sz w:val="20"/>
                <w:szCs w:val="20"/>
              </w:rPr>
              <w:t>11,7%</w:t>
            </w:r>
          </w:p>
        </w:tc>
        <w:tc>
          <w:tcPr>
            <w:tcW w:w="1139" w:type="dxa"/>
            <w:tcBorders>
              <w:top w:val="nil"/>
              <w:left w:val="single" w:sz="4" w:space="0" w:color="auto"/>
              <w:bottom w:val="single" w:sz="4" w:space="0" w:color="auto"/>
              <w:right w:val="single" w:sz="4" w:space="0" w:color="auto"/>
            </w:tcBorders>
            <w:vAlign w:val="bottom"/>
          </w:tcPr>
          <w:p w14:paraId="786FA956"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-0,3</w:t>
            </w:r>
          </w:p>
        </w:tc>
        <w:tc>
          <w:tcPr>
            <w:tcW w:w="1302" w:type="dxa"/>
            <w:tcBorders>
              <w:top w:val="nil"/>
              <w:left w:val="single" w:sz="4" w:space="0" w:color="auto"/>
              <w:bottom w:val="single" w:sz="4" w:space="0" w:color="auto"/>
              <w:right w:val="single" w:sz="4" w:space="0" w:color="auto"/>
            </w:tcBorders>
            <w:noWrap/>
            <w:tcMar>
              <w:top w:w="57" w:type="dxa"/>
              <w:left w:w="85" w:type="dxa"/>
              <w:bottom w:w="57" w:type="dxa"/>
              <w:right w:w="85" w:type="dxa"/>
            </w:tcMar>
            <w:vAlign w:val="center"/>
            <w:hideMark/>
          </w:tcPr>
          <w:p w14:paraId="6EC040A6"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1,1</w:t>
            </w:r>
          </w:p>
        </w:tc>
        <w:tc>
          <w:tcPr>
            <w:tcW w:w="1221" w:type="dxa"/>
            <w:tcBorders>
              <w:top w:val="nil"/>
              <w:left w:val="nil"/>
              <w:bottom w:val="single" w:sz="4" w:space="0" w:color="auto"/>
              <w:right w:val="single" w:sz="4" w:space="0" w:color="auto"/>
            </w:tcBorders>
            <w:noWrap/>
            <w:tcMar>
              <w:top w:w="57" w:type="dxa"/>
              <w:left w:w="85" w:type="dxa"/>
              <w:bottom w:w="57" w:type="dxa"/>
              <w:right w:w="85" w:type="dxa"/>
            </w:tcMar>
            <w:vAlign w:val="center"/>
            <w:hideMark/>
          </w:tcPr>
          <w:p w14:paraId="607D1C9C"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2,3</w:t>
            </w:r>
          </w:p>
        </w:tc>
        <w:tc>
          <w:tcPr>
            <w:tcW w:w="1330" w:type="dxa"/>
            <w:tcBorders>
              <w:top w:val="nil"/>
              <w:left w:val="nil"/>
              <w:bottom w:val="single" w:sz="4" w:space="0" w:color="auto"/>
              <w:right w:val="single" w:sz="4" w:space="0" w:color="auto"/>
            </w:tcBorders>
            <w:noWrap/>
            <w:tcMar>
              <w:top w:w="57" w:type="dxa"/>
              <w:left w:w="85" w:type="dxa"/>
              <w:bottom w:w="57" w:type="dxa"/>
              <w:right w:w="85" w:type="dxa"/>
            </w:tcMar>
            <w:vAlign w:val="center"/>
          </w:tcPr>
          <w:p w14:paraId="3ABF73B3"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0,0</w:t>
            </w:r>
          </w:p>
        </w:tc>
        <w:tc>
          <w:tcPr>
            <w:tcW w:w="1553" w:type="dxa"/>
            <w:tcBorders>
              <w:top w:val="nil"/>
              <w:left w:val="nil"/>
              <w:bottom w:val="single" w:sz="4" w:space="0" w:color="auto"/>
              <w:right w:val="single" w:sz="4" w:space="0" w:color="auto"/>
            </w:tcBorders>
            <w:tcMar>
              <w:top w:w="57" w:type="dxa"/>
              <w:left w:w="85" w:type="dxa"/>
              <w:bottom w:w="57" w:type="dxa"/>
              <w:right w:w="85" w:type="dxa"/>
            </w:tcMar>
            <w:vAlign w:val="center"/>
          </w:tcPr>
          <w:p w14:paraId="5DC66A80"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-0,3</w:t>
            </w:r>
          </w:p>
        </w:tc>
      </w:tr>
      <w:tr w:rsidR="00751876" w:rsidRPr="001C0357" w14:paraId="56E7FEE8" w14:textId="77777777" w:rsidTr="00751876">
        <w:trPr>
          <w:trHeight w:val="20"/>
          <w:jc w:val="center"/>
        </w:trPr>
        <w:tc>
          <w:tcPr>
            <w:tcW w:w="1115" w:type="dxa"/>
            <w:tcBorders>
              <w:top w:val="nil"/>
              <w:left w:val="single" w:sz="4" w:space="0" w:color="auto"/>
              <w:bottom w:val="single" w:sz="4" w:space="0" w:color="auto"/>
              <w:right w:val="single" w:sz="4" w:space="0" w:color="auto"/>
            </w:tcBorders>
            <w:tcMar>
              <w:top w:w="57" w:type="dxa"/>
              <w:left w:w="85" w:type="dxa"/>
              <w:bottom w:w="57" w:type="dxa"/>
              <w:right w:w="85" w:type="dxa"/>
            </w:tcMar>
            <w:vAlign w:val="center"/>
            <w:hideMark/>
          </w:tcPr>
          <w:p w14:paraId="6A70B7D8" w14:textId="77777777" w:rsidR="00751876" w:rsidRPr="001C0357" w:rsidRDefault="00751876" w:rsidP="00751876">
            <w:pPr>
              <w:spacing w:before="0" w:after="0"/>
              <w:ind w:firstLine="0"/>
              <w:jc w:val="left"/>
              <w:rPr>
                <w:rFonts w:eastAsia="Calibri" w:cs="Times New Roman"/>
                <w:noProof/>
                <w:sz w:val="20"/>
                <w:szCs w:val="20"/>
                <w:lang w:eastAsia="lv-LV"/>
              </w:rPr>
            </w:pPr>
            <w:r w:rsidRPr="001C0357">
              <w:rPr>
                <w:rFonts w:cs="Times New Roman"/>
                <w:noProof/>
                <w:sz w:val="20"/>
                <w:szCs w:val="20"/>
              </w:rPr>
              <w:t>Vācija</w:t>
            </w:r>
          </w:p>
        </w:tc>
        <w:tc>
          <w:tcPr>
            <w:tcW w:w="1401" w:type="dxa"/>
            <w:tcBorders>
              <w:top w:val="nil"/>
              <w:left w:val="single" w:sz="4" w:space="0" w:color="auto"/>
              <w:bottom w:val="single" w:sz="4" w:space="0" w:color="auto"/>
              <w:right w:val="single" w:sz="4" w:space="0" w:color="auto"/>
            </w:tcBorders>
            <w:tcMar>
              <w:top w:w="57" w:type="dxa"/>
              <w:left w:w="85" w:type="dxa"/>
              <w:bottom w:w="57" w:type="dxa"/>
              <w:right w:w="85" w:type="dxa"/>
            </w:tcMar>
            <w:vAlign w:val="center"/>
            <w:hideMark/>
          </w:tcPr>
          <w:p w14:paraId="0149C598" w14:textId="77777777" w:rsidR="00751876" w:rsidRPr="001C0357" w:rsidRDefault="00751876" w:rsidP="00751876">
            <w:pPr>
              <w:spacing w:before="0" w:after="0"/>
              <w:ind w:firstLine="0"/>
              <w:jc w:val="center"/>
              <w:rPr>
                <w:rFonts w:eastAsia="Calibri" w:cs="Times New Roman"/>
                <w:noProof/>
                <w:sz w:val="20"/>
                <w:szCs w:val="20"/>
                <w:lang w:eastAsia="lv-LV"/>
              </w:rPr>
            </w:pPr>
            <w:r w:rsidRPr="001C0357">
              <w:rPr>
                <w:rFonts w:cs="Times New Roman"/>
                <w:noProof/>
                <w:sz w:val="20"/>
                <w:szCs w:val="20"/>
              </w:rPr>
              <w:t>6,5%</w:t>
            </w:r>
          </w:p>
        </w:tc>
        <w:tc>
          <w:tcPr>
            <w:tcW w:w="1139" w:type="dxa"/>
            <w:tcBorders>
              <w:top w:val="nil"/>
              <w:left w:val="single" w:sz="4" w:space="0" w:color="auto"/>
              <w:bottom w:val="single" w:sz="4" w:space="0" w:color="auto"/>
              <w:right w:val="single" w:sz="4" w:space="0" w:color="auto"/>
            </w:tcBorders>
            <w:vAlign w:val="bottom"/>
          </w:tcPr>
          <w:p w14:paraId="062E0FD2"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-0,2</w:t>
            </w:r>
          </w:p>
        </w:tc>
        <w:tc>
          <w:tcPr>
            <w:tcW w:w="1302" w:type="dxa"/>
            <w:tcBorders>
              <w:top w:val="nil"/>
              <w:left w:val="single" w:sz="4" w:space="0" w:color="auto"/>
              <w:bottom w:val="single" w:sz="4" w:space="0" w:color="auto"/>
              <w:right w:val="single" w:sz="4" w:space="0" w:color="auto"/>
            </w:tcBorders>
            <w:noWrap/>
            <w:tcMar>
              <w:top w:w="57" w:type="dxa"/>
              <w:left w:w="85" w:type="dxa"/>
              <w:bottom w:w="57" w:type="dxa"/>
              <w:right w:w="85" w:type="dxa"/>
            </w:tcMar>
            <w:vAlign w:val="center"/>
            <w:hideMark/>
          </w:tcPr>
          <w:p w14:paraId="3021963A"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0,0</w:t>
            </w:r>
          </w:p>
        </w:tc>
        <w:tc>
          <w:tcPr>
            <w:tcW w:w="1221" w:type="dxa"/>
            <w:tcBorders>
              <w:top w:val="nil"/>
              <w:left w:val="nil"/>
              <w:bottom w:val="single" w:sz="4" w:space="0" w:color="auto"/>
              <w:right w:val="single" w:sz="4" w:space="0" w:color="auto"/>
            </w:tcBorders>
            <w:noWrap/>
            <w:tcMar>
              <w:top w:w="57" w:type="dxa"/>
              <w:left w:w="85" w:type="dxa"/>
              <w:bottom w:w="57" w:type="dxa"/>
              <w:right w:w="85" w:type="dxa"/>
            </w:tcMar>
            <w:vAlign w:val="center"/>
            <w:hideMark/>
          </w:tcPr>
          <w:p w14:paraId="138CF11E"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1,1</w:t>
            </w:r>
          </w:p>
        </w:tc>
        <w:tc>
          <w:tcPr>
            <w:tcW w:w="1330" w:type="dxa"/>
            <w:tcBorders>
              <w:top w:val="nil"/>
              <w:left w:val="nil"/>
              <w:bottom w:val="single" w:sz="4" w:space="0" w:color="auto"/>
              <w:right w:val="single" w:sz="4" w:space="0" w:color="auto"/>
            </w:tcBorders>
            <w:noWrap/>
            <w:tcMar>
              <w:top w:w="57" w:type="dxa"/>
              <w:left w:w="85" w:type="dxa"/>
              <w:bottom w:w="57" w:type="dxa"/>
              <w:right w:w="85" w:type="dxa"/>
            </w:tcMar>
            <w:vAlign w:val="center"/>
          </w:tcPr>
          <w:p w14:paraId="210ACF60"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-0,7</w:t>
            </w:r>
          </w:p>
        </w:tc>
        <w:tc>
          <w:tcPr>
            <w:tcW w:w="1553" w:type="dxa"/>
            <w:tcBorders>
              <w:top w:val="nil"/>
              <w:left w:val="nil"/>
              <w:bottom w:val="single" w:sz="4" w:space="0" w:color="auto"/>
              <w:right w:val="single" w:sz="4" w:space="0" w:color="auto"/>
            </w:tcBorders>
            <w:tcMar>
              <w:top w:w="57" w:type="dxa"/>
              <w:left w:w="85" w:type="dxa"/>
              <w:bottom w:w="57" w:type="dxa"/>
              <w:right w:w="85" w:type="dxa"/>
            </w:tcMar>
            <w:vAlign w:val="center"/>
          </w:tcPr>
          <w:p w14:paraId="36C24BF0"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-0,2</w:t>
            </w:r>
          </w:p>
        </w:tc>
      </w:tr>
      <w:tr w:rsidR="00751876" w:rsidRPr="001C0357" w14:paraId="758E7A7B" w14:textId="77777777" w:rsidTr="00751876">
        <w:trPr>
          <w:trHeight w:val="20"/>
          <w:jc w:val="center"/>
        </w:trPr>
        <w:tc>
          <w:tcPr>
            <w:tcW w:w="1115" w:type="dxa"/>
            <w:tcBorders>
              <w:top w:val="nil"/>
              <w:left w:val="single" w:sz="4" w:space="0" w:color="auto"/>
              <w:bottom w:val="single" w:sz="4" w:space="0" w:color="auto"/>
              <w:right w:val="single" w:sz="4" w:space="0" w:color="auto"/>
            </w:tcBorders>
            <w:tcMar>
              <w:top w:w="57" w:type="dxa"/>
              <w:left w:w="85" w:type="dxa"/>
              <w:bottom w:w="57" w:type="dxa"/>
              <w:right w:w="85" w:type="dxa"/>
            </w:tcMar>
            <w:vAlign w:val="center"/>
            <w:hideMark/>
          </w:tcPr>
          <w:p w14:paraId="1D2ADBCE" w14:textId="77777777" w:rsidR="00751876" w:rsidRPr="001C0357" w:rsidRDefault="00751876" w:rsidP="00751876">
            <w:pPr>
              <w:spacing w:before="0" w:after="0"/>
              <w:ind w:firstLine="0"/>
              <w:jc w:val="left"/>
              <w:rPr>
                <w:rFonts w:eastAsia="Calibri" w:cs="Times New Roman"/>
                <w:noProof/>
                <w:sz w:val="20"/>
                <w:szCs w:val="20"/>
                <w:lang w:eastAsia="lv-LV"/>
              </w:rPr>
            </w:pPr>
            <w:r w:rsidRPr="001C0357">
              <w:rPr>
                <w:rFonts w:cs="Times New Roman"/>
                <w:noProof/>
                <w:sz w:val="20"/>
                <w:szCs w:val="20"/>
              </w:rPr>
              <w:t>Zviedrija</w:t>
            </w:r>
          </w:p>
        </w:tc>
        <w:tc>
          <w:tcPr>
            <w:tcW w:w="1401" w:type="dxa"/>
            <w:tcBorders>
              <w:top w:val="nil"/>
              <w:left w:val="single" w:sz="4" w:space="0" w:color="auto"/>
              <w:bottom w:val="single" w:sz="4" w:space="0" w:color="auto"/>
              <w:right w:val="single" w:sz="4" w:space="0" w:color="auto"/>
            </w:tcBorders>
            <w:tcMar>
              <w:top w:w="57" w:type="dxa"/>
              <w:left w:w="85" w:type="dxa"/>
              <w:bottom w:w="57" w:type="dxa"/>
              <w:right w:w="85" w:type="dxa"/>
            </w:tcMar>
            <w:vAlign w:val="center"/>
            <w:hideMark/>
          </w:tcPr>
          <w:p w14:paraId="103F394B" w14:textId="77777777" w:rsidR="00751876" w:rsidRPr="001C0357" w:rsidRDefault="00751876" w:rsidP="00751876">
            <w:pPr>
              <w:spacing w:before="0" w:after="0"/>
              <w:ind w:firstLine="0"/>
              <w:jc w:val="center"/>
              <w:rPr>
                <w:rFonts w:eastAsia="Calibri" w:cs="Times New Roman"/>
                <w:noProof/>
                <w:sz w:val="20"/>
                <w:szCs w:val="20"/>
                <w:lang w:eastAsia="lv-LV"/>
              </w:rPr>
            </w:pPr>
            <w:r w:rsidRPr="001C0357">
              <w:rPr>
                <w:rFonts w:cs="Times New Roman"/>
                <w:noProof/>
                <w:sz w:val="20"/>
                <w:szCs w:val="20"/>
              </w:rPr>
              <w:t>5,5%</w:t>
            </w:r>
          </w:p>
        </w:tc>
        <w:tc>
          <w:tcPr>
            <w:tcW w:w="1139" w:type="dxa"/>
            <w:tcBorders>
              <w:top w:val="nil"/>
              <w:left w:val="single" w:sz="4" w:space="0" w:color="auto"/>
              <w:bottom w:val="single" w:sz="4" w:space="0" w:color="auto"/>
              <w:right w:val="single" w:sz="4" w:space="0" w:color="auto"/>
            </w:tcBorders>
            <w:vAlign w:val="bottom"/>
          </w:tcPr>
          <w:p w14:paraId="6485A259"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1,0</w:t>
            </w:r>
          </w:p>
        </w:tc>
        <w:tc>
          <w:tcPr>
            <w:tcW w:w="1302" w:type="dxa"/>
            <w:tcBorders>
              <w:top w:val="nil"/>
              <w:left w:val="single" w:sz="4" w:space="0" w:color="auto"/>
              <w:bottom w:val="single" w:sz="4" w:space="0" w:color="auto"/>
              <w:right w:val="single" w:sz="4" w:space="0" w:color="auto"/>
            </w:tcBorders>
            <w:noWrap/>
            <w:tcMar>
              <w:top w:w="57" w:type="dxa"/>
              <w:left w:w="85" w:type="dxa"/>
              <w:bottom w:w="57" w:type="dxa"/>
              <w:right w:w="85" w:type="dxa"/>
            </w:tcMar>
            <w:vAlign w:val="center"/>
            <w:hideMark/>
          </w:tcPr>
          <w:p w14:paraId="75B221B2"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1,1</w:t>
            </w:r>
          </w:p>
        </w:tc>
        <w:tc>
          <w:tcPr>
            <w:tcW w:w="1221" w:type="dxa"/>
            <w:tcBorders>
              <w:top w:val="nil"/>
              <w:left w:val="nil"/>
              <w:bottom w:val="single" w:sz="4" w:space="0" w:color="auto"/>
              <w:right w:val="single" w:sz="4" w:space="0" w:color="auto"/>
            </w:tcBorders>
            <w:noWrap/>
            <w:tcMar>
              <w:top w:w="57" w:type="dxa"/>
              <w:left w:w="85" w:type="dxa"/>
              <w:bottom w:w="57" w:type="dxa"/>
              <w:right w:w="85" w:type="dxa"/>
            </w:tcMar>
            <w:vAlign w:val="center"/>
            <w:hideMark/>
          </w:tcPr>
          <w:p w14:paraId="4DC3A30C"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1,9</w:t>
            </w:r>
          </w:p>
        </w:tc>
        <w:tc>
          <w:tcPr>
            <w:tcW w:w="1330" w:type="dxa"/>
            <w:tcBorders>
              <w:top w:val="nil"/>
              <w:left w:val="nil"/>
              <w:bottom w:val="single" w:sz="4" w:space="0" w:color="auto"/>
              <w:right w:val="single" w:sz="4" w:space="0" w:color="auto"/>
            </w:tcBorders>
            <w:noWrap/>
            <w:tcMar>
              <w:top w:w="57" w:type="dxa"/>
              <w:left w:w="85" w:type="dxa"/>
              <w:bottom w:w="57" w:type="dxa"/>
              <w:right w:w="85" w:type="dxa"/>
            </w:tcMar>
            <w:vAlign w:val="center"/>
          </w:tcPr>
          <w:p w14:paraId="6552E716"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-0,7</w:t>
            </w:r>
          </w:p>
        </w:tc>
        <w:tc>
          <w:tcPr>
            <w:tcW w:w="1553" w:type="dxa"/>
            <w:tcBorders>
              <w:top w:val="nil"/>
              <w:left w:val="nil"/>
              <w:bottom w:val="single" w:sz="4" w:space="0" w:color="auto"/>
              <w:right w:val="single" w:sz="4" w:space="0" w:color="auto"/>
            </w:tcBorders>
            <w:tcMar>
              <w:top w:w="57" w:type="dxa"/>
              <w:left w:w="85" w:type="dxa"/>
              <w:bottom w:w="57" w:type="dxa"/>
              <w:right w:w="85" w:type="dxa"/>
            </w:tcMar>
            <w:vAlign w:val="center"/>
          </w:tcPr>
          <w:p w14:paraId="38782E21"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-0,7</w:t>
            </w:r>
          </w:p>
        </w:tc>
      </w:tr>
      <w:tr w:rsidR="00751876" w:rsidRPr="001C0357" w14:paraId="4C05FF5D" w14:textId="77777777" w:rsidTr="00751876">
        <w:trPr>
          <w:trHeight w:val="20"/>
          <w:jc w:val="center"/>
        </w:trPr>
        <w:tc>
          <w:tcPr>
            <w:tcW w:w="1115" w:type="dxa"/>
            <w:tcBorders>
              <w:top w:val="nil"/>
              <w:left w:val="single" w:sz="4" w:space="0" w:color="auto"/>
              <w:bottom w:val="single" w:sz="4" w:space="0" w:color="auto"/>
              <w:right w:val="single" w:sz="4" w:space="0" w:color="auto"/>
            </w:tcBorders>
            <w:tcMar>
              <w:top w:w="57" w:type="dxa"/>
              <w:left w:w="85" w:type="dxa"/>
              <w:bottom w:w="57" w:type="dxa"/>
              <w:right w:w="85" w:type="dxa"/>
            </w:tcMar>
            <w:vAlign w:val="center"/>
            <w:hideMark/>
          </w:tcPr>
          <w:p w14:paraId="75FDC05C" w14:textId="77777777" w:rsidR="00751876" w:rsidRPr="001C0357" w:rsidRDefault="00751876" w:rsidP="00751876">
            <w:pPr>
              <w:spacing w:before="0" w:after="0"/>
              <w:ind w:firstLine="0"/>
              <w:jc w:val="left"/>
              <w:rPr>
                <w:rFonts w:eastAsia="Calibri" w:cs="Times New Roman"/>
                <w:noProof/>
                <w:sz w:val="20"/>
                <w:szCs w:val="20"/>
                <w:lang w:eastAsia="lv-LV"/>
              </w:rPr>
            </w:pPr>
            <w:r w:rsidRPr="001C0357">
              <w:rPr>
                <w:rFonts w:cs="Times New Roman"/>
                <w:noProof/>
                <w:sz w:val="20"/>
                <w:szCs w:val="20"/>
              </w:rPr>
              <w:t>Krievija*</w:t>
            </w:r>
          </w:p>
        </w:tc>
        <w:tc>
          <w:tcPr>
            <w:tcW w:w="1401" w:type="dxa"/>
            <w:tcBorders>
              <w:top w:val="nil"/>
              <w:left w:val="single" w:sz="4" w:space="0" w:color="auto"/>
              <w:bottom w:val="single" w:sz="4" w:space="0" w:color="auto"/>
              <w:right w:val="single" w:sz="4" w:space="0" w:color="auto"/>
            </w:tcBorders>
            <w:tcMar>
              <w:top w:w="57" w:type="dxa"/>
              <w:left w:w="85" w:type="dxa"/>
              <w:bottom w:w="57" w:type="dxa"/>
              <w:right w:w="85" w:type="dxa"/>
            </w:tcMar>
            <w:vAlign w:val="center"/>
            <w:hideMark/>
          </w:tcPr>
          <w:p w14:paraId="22C9770B" w14:textId="77777777" w:rsidR="00751876" w:rsidRPr="001C0357" w:rsidRDefault="00751876" w:rsidP="00751876">
            <w:pPr>
              <w:spacing w:before="0" w:after="0"/>
              <w:ind w:firstLine="0"/>
              <w:jc w:val="center"/>
              <w:rPr>
                <w:rFonts w:eastAsia="Calibri" w:cs="Times New Roman"/>
                <w:noProof/>
                <w:sz w:val="20"/>
                <w:szCs w:val="20"/>
                <w:lang w:eastAsia="lv-LV"/>
              </w:rPr>
            </w:pPr>
            <w:r w:rsidRPr="001C0357">
              <w:rPr>
                <w:rFonts w:cs="Times New Roman"/>
                <w:noProof/>
                <w:sz w:val="20"/>
                <w:szCs w:val="20"/>
              </w:rPr>
              <w:t>5,5%</w:t>
            </w:r>
          </w:p>
        </w:tc>
        <w:tc>
          <w:tcPr>
            <w:tcW w:w="1139" w:type="dxa"/>
            <w:tcBorders>
              <w:top w:val="nil"/>
              <w:left w:val="single" w:sz="4" w:space="0" w:color="auto"/>
              <w:bottom w:val="single" w:sz="4" w:space="0" w:color="auto"/>
              <w:right w:val="single" w:sz="4" w:space="0" w:color="auto"/>
            </w:tcBorders>
            <w:vAlign w:val="bottom"/>
          </w:tcPr>
          <w:p w14:paraId="25E8B0F2"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4,3</w:t>
            </w:r>
          </w:p>
        </w:tc>
        <w:tc>
          <w:tcPr>
            <w:tcW w:w="1302" w:type="dxa"/>
            <w:tcBorders>
              <w:top w:val="nil"/>
              <w:left w:val="single" w:sz="4" w:space="0" w:color="auto"/>
              <w:bottom w:val="single" w:sz="4" w:space="0" w:color="auto"/>
              <w:right w:val="single" w:sz="4" w:space="0" w:color="auto"/>
            </w:tcBorders>
            <w:noWrap/>
            <w:tcMar>
              <w:top w:w="57" w:type="dxa"/>
              <w:left w:w="85" w:type="dxa"/>
              <w:bottom w:w="57" w:type="dxa"/>
              <w:right w:w="85" w:type="dxa"/>
            </w:tcMar>
            <w:vAlign w:val="center"/>
            <w:hideMark/>
          </w:tcPr>
          <w:p w14:paraId="6AD9067C"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0,9</w:t>
            </w:r>
          </w:p>
        </w:tc>
        <w:tc>
          <w:tcPr>
            <w:tcW w:w="1221" w:type="dxa"/>
            <w:tcBorders>
              <w:top w:val="nil"/>
              <w:left w:val="nil"/>
              <w:bottom w:val="single" w:sz="4" w:space="0" w:color="auto"/>
              <w:right w:val="single" w:sz="4" w:space="0" w:color="auto"/>
            </w:tcBorders>
            <w:noWrap/>
            <w:tcMar>
              <w:top w:w="57" w:type="dxa"/>
              <w:left w:w="85" w:type="dxa"/>
              <w:bottom w:w="57" w:type="dxa"/>
              <w:right w:w="85" w:type="dxa"/>
            </w:tcMar>
            <w:vAlign w:val="center"/>
            <w:hideMark/>
          </w:tcPr>
          <w:p w14:paraId="22DAA355"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1,0</w:t>
            </w:r>
          </w:p>
        </w:tc>
        <w:tc>
          <w:tcPr>
            <w:tcW w:w="1330" w:type="dxa"/>
            <w:tcBorders>
              <w:top w:val="nil"/>
              <w:left w:val="nil"/>
              <w:bottom w:val="single" w:sz="4" w:space="0" w:color="auto"/>
              <w:right w:val="single" w:sz="4" w:space="0" w:color="auto"/>
            </w:tcBorders>
            <w:noWrap/>
            <w:tcMar>
              <w:top w:w="57" w:type="dxa"/>
              <w:left w:w="85" w:type="dxa"/>
              <w:bottom w:w="57" w:type="dxa"/>
              <w:right w:w="85" w:type="dxa"/>
            </w:tcMar>
            <w:vAlign w:val="center"/>
          </w:tcPr>
          <w:p w14:paraId="38B8B717"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-0,6</w:t>
            </w:r>
          </w:p>
        </w:tc>
        <w:tc>
          <w:tcPr>
            <w:tcW w:w="1553" w:type="dxa"/>
            <w:tcBorders>
              <w:top w:val="nil"/>
              <w:left w:val="nil"/>
              <w:bottom w:val="single" w:sz="4" w:space="0" w:color="auto"/>
              <w:right w:val="single" w:sz="4" w:space="0" w:color="auto"/>
            </w:tcBorders>
            <w:tcMar>
              <w:top w:w="57" w:type="dxa"/>
              <w:left w:w="85" w:type="dxa"/>
              <w:bottom w:w="57" w:type="dxa"/>
              <w:right w:w="85" w:type="dxa"/>
            </w:tcMar>
            <w:vAlign w:val="center"/>
          </w:tcPr>
          <w:p w14:paraId="2154C493"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0,1</w:t>
            </w:r>
          </w:p>
        </w:tc>
      </w:tr>
      <w:tr w:rsidR="00751876" w:rsidRPr="001C0357" w14:paraId="7A625372" w14:textId="77777777" w:rsidTr="00751876">
        <w:trPr>
          <w:trHeight w:val="20"/>
          <w:jc w:val="center"/>
        </w:trPr>
        <w:tc>
          <w:tcPr>
            <w:tcW w:w="1115" w:type="dxa"/>
            <w:tcBorders>
              <w:top w:val="nil"/>
              <w:left w:val="single" w:sz="4" w:space="0" w:color="auto"/>
              <w:bottom w:val="single" w:sz="4" w:space="0" w:color="auto"/>
              <w:right w:val="single" w:sz="4" w:space="0" w:color="auto"/>
            </w:tcBorders>
            <w:tcMar>
              <w:top w:w="57" w:type="dxa"/>
              <w:left w:w="85" w:type="dxa"/>
              <w:bottom w:w="57" w:type="dxa"/>
              <w:right w:w="85" w:type="dxa"/>
            </w:tcMar>
            <w:vAlign w:val="center"/>
            <w:hideMark/>
          </w:tcPr>
          <w:p w14:paraId="1D2262F6" w14:textId="77777777" w:rsidR="00751876" w:rsidRPr="001C0357" w:rsidRDefault="00751876" w:rsidP="00751876">
            <w:pPr>
              <w:spacing w:before="0" w:after="0"/>
              <w:ind w:firstLine="0"/>
              <w:jc w:val="left"/>
              <w:rPr>
                <w:rFonts w:eastAsia="Calibri" w:cs="Times New Roman"/>
                <w:noProof/>
                <w:sz w:val="20"/>
                <w:szCs w:val="20"/>
                <w:lang w:eastAsia="lv-LV"/>
              </w:rPr>
            </w:pPr>
            <w:r w:rsidRPr="001C0357">
              <w:rPr>
                <w:rFonts w:cs="Times New Roman"/>
                <w:noProof/>
                <w:sz w:val="20"/>
                <w:szCs w:val="20"/>
              </w:rPr>
              <w:t>Apvienotā Karaliste*</w:t>
            </w:r>
          </w:p>
        </w:tc>
        <w:tc>
          <w:tcPr>
            <w:tcW w:w="1401" w:type="dxa"/>
            <w:tcBorders>
              <w:top w:val="nil"/>
              <w:left w:val="single" w:sz="4" w:space="0" w:color="auto"/>
              <w:bottom w:val="single" w:sz="4" w:space="0" w:color="auto"/>
              <w:right w:val="single" w:sz="4" w:space="0" w:color="auto"/>
            </w:tcBorders>
            <w:tcMar>
              <w:top w:w="57" w:type="dxa"/>
              <w:left w:w="85" w:type="dxa"/>
              <w:bottom w:w="57" w:type="dxa"/>
              <w:right w:w="85" w:type="dxa"/>
            </w:tcMar>
            <w:vAlign w:val="center"/>
            <w:hideMark/>
          </w:tcPr>
          <w:p w14:paraId="4B3B387B" w14:textId="77777777" w:rsidR="00751876" w:rsidRPr="001C0357" w:rsidRDefault="00751876" w:rsidP="00751876">
            <w:pPr>
              <w:spacing w:before="0" w:after="0"/>
              <w:ind w:firstLine="0"/>
              <w:jc w:val="center"/>
              <w:rPr>
                <w:rFonts w:eastAsia="Calibri" w:cs="Times New Roman"/>
                <w:noProof/>
                <w:sz w:val="20"/>
                <w:szCs w:val="20"/>
                <w:lang w:eastAsia="lv-LV"/>
              </w:rPr>
            </w:pPr>
            <w:r w:rsidRPr="001C0357">
              <w:rPr>
                <w:rFonts w:cs="Times New Roman"/>
                <w:noProof/>
                <w:sz w:val="20"/>
                <w:szCs w:val="20"/>
              </w:rPr>
              <w:t>5,3%</w:t>
            </w:r>
          </w:p>
        </w:tc>
        <w:tc>
          <w:tcPr>
            <w:tcW w:w="1139" w:type="dxa"/>
            <w:tcBorders>
              <w:top w:val="nil"/>
              <w:left w:val="single" w:sz="4" w:space="0" w:color="auto"/>
              <w:bottom w:val="single" w:sz="4" w:space="0" w:color="auto"/>
              <w:right w:val="single" w:sz="4" w:space="0" w:color="auto"/>
            </w:tcBorders>
            <w:vAlign w:val="bottom"/>
          </w:tcPr>
          <w:p w14:paraId="39F29A9B"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1,1</w:t>
            </w:r>
          </w:p>
        </w:tc>
        <w:tc>
          <w:tcPr>
            <w:tcW w:w="1302" w:type="dxa"/>
            <w:tcBorders>
              <w:top w:val="nil"/>
              <w:left w:val="single" w:sz="4" w:space="0" w:color="auto"/>
              <w:bottom w:val="single" w:sz="4" w:space="0" w:color="auto"/>
              <w:right w:val="single" w:sz="4" w:space="0" w:color="auto"/>
            </w:tcBorders>
            <w:noWrap/>
            <w:tcMar>
              <w:top w:w="57" w:type="dxa"/>
              <w:left w:w="85" w:type="dxa"/>
              <w:bottom w:w="57" w:type="dxa"/>
              <w:right w:w="85" w:type="dxa"/>
            </w:tcMar>
            <w:vAlign w:val="center"/>
            <w:hideMark/>
          </w:tcPr>
          <w:p w14:paraId="2B21F092"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1,2</w:t>
            </w:r>
          </w:p>
        </w:tc>
        <w:tc>
          <w:tcPr>
            <w:tcW w:w="1221" w:type="dxa"/>
            <w:tcBorders>
              <w:top w:val="nil"/>
              <w:left w:val="nil"/>
              <w:bottom w:val="single" w:sz="4" w:space="0" w:color="auto"/>
              <w:right w:val="single" w:sz="4" w:space="0" w:color="auto"/>
            </w:tcBorders>
            <w:noWrap/>
            <w:tcMar>
              <w:top w:w="57" w:type="dxa"/>
              <w:left w:w="85" w:type="dxa"/>
              <w:bottom w:w="57" w:type="dxa"/>
              <w:right w:w="85" w:type="dxa"/>
            </w:tcMar>
            <w:vAlign w:val="center"/>
            <w:hideMark/>
          </w:tcPr>
          <w:p w14:paraId="5016D6B9"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1,4</w:t>
            </w:r>
          </w:p>
        </w:tc>
        <w:tc>
          <w:tcPr>
            <w:tcW w:w="1330" w:type="dxa"/>
            <w:tcBorders>
              <w:top w:val="nil"/>
              <w:left w:val="nil"/>
              <w:bottom w:val="single" w:sz="4" w:space="0" w:color="auto"/>
              <w:right w:val="single" w:sz="4" w:space="0" w:color="auto"/>
            </w:tcBorders>
            <w:noWrap/>
            <w:tcMar>
              <w:top w:w="57" w:type="dxa"/>
              <w:left w:w="85" w:type="dxa"/>
              <w:bottom w:w="57" w:type="dxa"/>
              <w:right w:w="85" w:type="dxa"/>
            </w:tcMar>
            <w:vAlign w:val="center"/>
          </w:tcPr>
          <w:p w14:paraId="17384E34"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0,1</w:t>
            </w:r>
          </w:p>
        </w:tc>
        <w:tc>
          <w:tcPr>
            <w:tcW w:w="1553" w:type="dxa"/>
            <w:tcBorders>
              <w:top w:val="nil"/>
              <w:left w:val="nil"/>
              <w:bottom w:val="single" w:sz="4" w:space="0" w:color="auto"/>
              <w:right w:val="single" w:sz="4" w:space="0" w:color="auto"/>
            </w:tcBorders>
            <w:tcMar>
              <w:top w:w="57" w:type="dxa"/>
              <w:left w:w="85" w:type="dxa"/>
              <w:bottom w:w="57" w:type="dxa"/>
              <w:right w:w="85" w:type="dxa"/>
            </w:tcMar>
            <w:vAlign w:val="center"/>
          </w:tcPr>
          <w:p w14:paraId="661CCFF2"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0,0</w:t>
            </w:r>
          </w:p>
        </w:tc>
      </w:tr>
      <w:tr w:rsidR="00751876" w:rsidRPr="001C0357" w14:paraId="2F5816B5" w14:textId="77777777" w:rsidTr="00751876">
        <w:trPr>
          <w:trHeight w:val="20"/>
          <w:jc w:val="center"/>
        </w:trPr>
        <w:tc>
          <w:tcPr>
            <w:tcW w:w="1115" w:type="dxa"/>
            <w:tcBorders>
              <w:top w:val="nil"/>
              <w:left w:val="single" w:sz="4" w:space="0" w:color="auto"/>
              <w:bottom w:val="single" w:sz="4" w:space="0" w:color="auto"/>
              <w:right w:val="single" w:sz="4" w:space="0" w:color="auto"/>
            </w:tcBorders>
            <w:tcMar>
              <w:top w:w="57" w:type="dxa"/>
              <w:left w:w="85" w:type="dxa"/>
              <w:bottom w:w="57" w:type="dxa"/>
              <w:right w:w="85" w:type="dxa"/>
            </w:tcMar>
            <w:vAlign w:val="center"/>
            <w:hideMark/>
          </w:tcPr>
          <w:p w14:paraId="29284922" w14:textId="77777777" w:rsidR="00751876" w:rsidRPr="001C0357" w:rsidRDefault="00751876" w:rsidP="00751876">
            <w:pPr>
              <w:spacing w:before="0" w:after="0"/>
              <w:ind w:firstLine="0"/>
              <w:jc w:val="left"/>
              <w:rPr>
                <w:rFonts w:eastAsia="Calibri" w:cs="Times New Roman"/>
                <w:noProof/>
                <w:sz w:val="20"/>
                <w:szCs w:val="20"/>
                <w:lang w:eastAsia="lv-LV"/>
              </w:rPr>
            </w:pPr>
            <w:r w:rsidRPr="001C0357">
              <w:rPr>
                <w:rFonts w:cs="Times New Roman"/>
                <w:noProof/>
                <w:sz w:val="20"/>
                <w:szCs w:val="20"/>
              </w:rPr>
              <w:t>Polija</w:t>
            </w:r>
          </w:p>
        </w:tc>
        <w:tc>
          <w:tcPr>
            <w:tcW w:w="1401" w:type="dxa"/>
            <w:tcBorders>
              <w:top w:val="nil"/>
              <w:left w:val="single" w:sz="4" w:space="0" w:color="auto"/>
              <w:bottom w:val="single" w:sz="4" w:space="0" w:color="auto"/>
              <w:right w:val="single" w:sz="4" w:space="0" w:color="auto"/>
            </w:tcBorders>
            <w:tcMar>
              <w:top w:w="57" w:type="dxa"/>
              <w:left w:w="85" w:type="dxa"/>
              <w:bottom w:w="57" w:type="dxa"/>
              <w:right w:w="85" w:type="dxa"/>
            </w:tcMar>
            <w:vAlign w:val="center"/>
            <w:hideMark/>
          </w:tcPr>
          <w:p w14:paraId="098A55A0" w14:textId="77777777" w:rsidR="00751876" w:rsidRPr="001C0357" w:rsidRDefault="00751876" w:rsidP="00751876">
            <w:pPr>
              <w:spacing w:before="0" w:after="0"/>
              <w:ind w:firstLine="0"/>
              <w:jc w:val="center"/>
              <w:rPr>
                <w:rFonts w:eastAsia="Calibri" w:cs="Times New Roman"/>
                <w:noProof/>
                <w:sz w:val="20"/>
                <w:szCs w:val="20"/>
                <w:lang w:eastAsia="lv-LV"/>
              </w:rPr>
            </w:pPr>
            <w:r w:rsidRPr="001C0357">
              <w:rPr>
                <w:rFonts w:cs="Times New Roman"/>
                <w:noProof/>
                <w:sz w:val="20"/>
                <w:szCs w:val="20"/>
              </w:rPr>
              <w:t>4,4%</w:t>
            </w:r>
          </w:p>
        </w:tc>
        <w:tc>
          <w:tcPr>
            <w:tcW w:w="1139" w:type="dxa"/>
            <w:tcBorders>
              <w:top w:val="nil"/>
              <w:left w:val="single" w:sz="4" w:space="0" w:color="auto"/>
              <w:bottom w:val="single" w:sz="4" w:space="0" w:color="auto"/>
              <w:right w:val="single" w:sz="4" w:space="0" w:color="auto"/>
            </w:tcBorders>
            <w:vAlign w:val="bottom"/>
          </w:tcPr>
          <w:p w14:paraId="1B039E6A"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2,9</w:t>
            </w:r>
          </w:p>
        </w:tc>
        <w:tc>
          <w:tcPr>
            <w:tcW w:w="1302" w:type="dxa"/>
            <w:tcBorders>
              <w:top w:val="nil"/>
              <w:left w:val="single" w:sz="4" w:space="0" w:color="auto"/>
              <w:bottom w:val="single" w:sz="4" w:space="0" w:color="auto"/>
              <w:right w:val="single" w:sz="4" w:space="0" w:color="auto"/>
            </w:tcBorders>
            <w:noWrap/>
            <w:tcMar>
              <w:top w:w="57" w:type="dxa"/>
              <w:left w:w="85" w:type="dxa"/>
              <w:bottom w:w="57" w:type="dxa"/>
              <w:right w:w="85" w:type="dxa"/>
            </w:tcMar>
            <w:vAlign w:val="center"/>
            <w:hideMark/>
          </w:tcPr>
          <w:p w14:paraId="74E10054"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3,3</w:t>
            </w:r>
          </w:p>
        </w:tc>
        <w:tc>
          <w:tcPr>
            <w:tcW w:w="1221" w:type="dxa"/>
            <w:tcBorders>
              <w:top w:val="nil"/>
              <w:left w:val="nil"/>
              <w:bottom w:val="single" w:sz="4" w:space="0" w:color="auto"/>
              <w:right w:val="single" w:sz="4" w:space="0" w:color="auto"/>
            </w:tcBorders>
            <w:noWrap/>
            <w:tcMar>
              <w:top w:w="57" w:type="dxa"/>
              <w:left w:w="85" w:type="dxa"/>
              <w:bottom w:w="57" w:type="dxa"/>
              <w:right w:w="85" w:type="dxa"/>
            </w:tcMar>
            <w:vAlign w:val="center"/>
            <w:hideMark/>
          </w:tcPr>
          <w:p w14:paraId="76D67CB7"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3,0</w:t>
            </w:r>
          </w:p>
        </w:tc>
        <w:tc>
          <w:tcPr>
            <w:tcW w:w="1330" w:type="dxa"/>
            <w:tcBorders>
              <w:top w:val="nil"/>
              <w:left w:val="nil"/>
              <w:bottom w:val="single" w:sz="4" w:space="0" w:color="auto"/>
              <w:right w:val="single" w:sz="4" w:space="0" w:color="auto"/>
            </w:tcBorders>
            <w:noWrap/>
            <w:tcMar>
              <w:top w:w="57" w:type="dxa"/>
              <w:left w:w="85" w:type="dxa"/>
              <w:bottom w:w="57" w:type="dxa"/>
              <w:right w:w="85" w:type="dxa"/>
            </w:tcMar>
            <w:vAlign w:val="center"/>
          </w:tcPr>
          <w:p w14:paraId="1D7B6F65"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-0,3</w:t>
            </w:r>
          </w:p>
        </w:tc>
        <w:tc>
          <w:tcPr>
            <w:tcW w:w="1553" w:type="dxa"/>
            <w:tcBorders>
              <w:top w:val="nil"/>
              <w:left w:val="nil"/>
              <w:bottom w:val="single" w:sz="4" w:space="0" w:color="auto"/>
              <w:right w:val="single" w:sz="4" w:space="0" w:color="auto"/>
            </w:tcBorders>
            <w:tcMar>
              <w:top w:w="57" w:type="dxa"/>
              <w:left w:w="85" w:type="dxa"/>
              <w:bottom w:w="57" w:type="dxa"/>
              <w:right w:w="85" w:type="dxa"/>
            </w:tcMar>
            <w:vAlign w:val="center"/>
          </w:tcPr>
          <w:p w14:paraId="236D335C"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-0,1</w:t>
            </w:r>
          </w:p>
        </w:tc>
      </w:tr>
      <w:tr w:rsidR="00751876" w:rsidRPr="001C0357" w14:paraId="043EC595" w14:textId="77777777" w:rsidTr="00751876">
        <w:trPr>
          <w:trHeight w:val="20"/>
          <w:jc w:val="center"/>
        </w:trPr>
        <w:tc>
          <w:tcPr>
            <w:tcW w:w="1115" w:type="dxa"/>
            <w:tcBorders>
              <w:top w:val="nil"/>
              <w:left w:val="single" w:sz="4" w:space="0" w:color="auto"/>
              <w:bottom w:val="single" w:sz="4" w:space="0" w:color="auto"/>
              <w:right w:val="single" w:sz="4" w:space="0" w:color="auto"/>
            </w:tcBorders>
            <w:tcMar>
              <w:top w:w="57" w:type="dxa"/>
              <w:left w:w="85" w:type="dxa"/>
              <w:bottom w:w="57" w:type="dxa"/>
              <w:right w:w="85" w:type="dxa"/>
            </w:tcMar>
            <w:vAlign w:val="center"/>
            <w:hideMark/>
          </w:tcPr>
          <w:p w14:paraId="616BDFC4" w14:textId="77777777" w:rsidR="00751876" w:rsidRPr="001C0357" w:rsidRDefault="00751876" w:rsidP="00751876">
            <w:pPr>
              <w:spacing w:before="0" w:after="0"/>
              <w:ind w:firstLine="0"/>
              <w:jc w:val="left"/>
              <w:rPr>
                <w:rFonts w:eastAsia="Calibri" w:cs="Times New Roman"/>
                <w:noProof/>
                <w:sz w:val="20"/>
                <w:szCs w:val="20"/>
                <w:lang w:eastAsia="lv-LV"/>
              </w:rPr>
            </w:pPr>
            <w:r w:rsidRPr="001C0357">
              <w:rPr>
                <w:rFonts w:cs="Times New Roman"/>
                <w:noProof/>
                <w:sz w:val="20"/>
                <w:szCs w:val="20"/>
              </w:rPr>
              <w:t>Dānija</w:t>
            </w:r>
          </w:p>
        </w:tc>
        <w:tc>
          <w:tcPr>
            <w:tcW w:w="1401" w:type="dxa"/>
            <w:tcBorders>
              <w:top w:val="nil"/>
              <w:left w:val="single" w:sz="4" w:space="0" w:color="auto"/>
              <w:bottom w:val="single" w:sz="4" w:space="0" w:color="auto"/>
              <w:right w:val="single" w:sz="4" w:space="0" w:color="auto"/>
            </w:tcBorders>
            <w:tcMar>
              <w:top w:w="57" w:type="dxa"/>
              <w:left w:w="85" w:type="dxa"/>
              <w:bottom w:w="57" w:type="dxa"/>
              <w:right w:w="85" w:type="dxa"/>
            </w:tcMar>
            <w:vAlign w:val="center"/>
            <w:hideMark/>
          </w:tcPr>
          <w:p w14:paraId="02743D05" w14:textId="77777777" w:rsidR="00751876" w:rsidRPr="001C0357" w:rsidRDefault="00751876" w:rsidP="00751876">
            <w:pPr>
              <w:spacing w:before="0" w:after="0"/>
              <w:ind w:firstLine="0"/>
              <w:jc w:val="center"/>
              <w:rPr>
                <w:rFonts w:eastAsia="Calibri" w:cs="Times New Roman"/>
                <w:noProof/>
                <w:sz w:val="20"/>
                <w:szCs w:val="20"/>
                <w:lang w:eastAsia="lv-LV"/>
              </w:rPr>
            </w:pPr>
            <w:r w:rsidRPr="001C0357">
              <w:rPr>
                <w:rFonts w:cs="Times New Roman"/>
                <w:noProof/>
                <w:sz w:val="20"/>
                <w:szCs w:val="20"/>
              </w:rPr>
              <w:t>4,3%</w:t>
            </w:r>
          </w:p>
        </w:tc>
        <w:tc>
          <w:tcPr>
            <w:tcW w:w="1139" w:type="dxa"/>
            <w:tcBorders>
              <w:top w:val="nil"/>
              <w:left w:val="single" w:sz="4" w:space="0" w:color="auto"/>
              <w:bottom w:val="single" w:sz="4" w:space="0" w:color="auto"/>
              <w:right w:val="single" w:sz="4" w:space="0" w:color="auto"/>
            </w:tcBorders>
            <w:vAlign w:val="bottom"/>
          </w:tcPr>
          <w:p w14:paraId="4055A1FD"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3,7</w:t>
            </w:r>
          </w:p>
        </w:tc>
        <w:tc>
          <w:tcPr>
            <w:tcW w:w="1302" w:type="dxa"/>
            <w:tcBorders>
              <w:top w:val="nil"/>
              <w:left w:val="single" w:sz="4" w:space="0" w:color="auto"/>
              <w:bottom w:val="single" w:sz="4" w:space="0" w:color="auto"/>
              <w:right w:val="single" w:sz="4" w:space="0" w:color="auto"/>
            </w:tcBorders>
            <w:noWrap/>
            <w:tcMar>
              <w:top w:w="57" w:type="dxa"/>
              <w:left w:w="85" w:type="dxa"/>
              <w:bottom w:w="57" w:type="dxa"/>
              <w:right w:w="85" w:type="dxa"/>
            </w:tcMar>
            <w:vAlign w:val="center"/>
            <w:hideMark/>
          </w:tcPr>
          <w:p w14:paraId="30343118"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3,6</w:t>
            </w:r>
          </w:p>
        </w:tc>
        <w:tc>
          <w:tcPr>
            <w:tcW w:w="1221" w:type="dxa"/>
            <w:tcBorders>
              <w:top w:val="nil"/>
              <w:left w:val="nil"/>
              <w:bottom w:val="single" w:sz="4" w:space="0" w:color="auto"/>
              <w:right w:val="single" w:sz="4" w:space="0" w:color="auto"/>
            </w:tcBorders>
            <w:noWrap/>
            <w:tcMar>
              <w:top w:w="57" w:type="dxa"/>
              <w:left w:w="85" w:type="dxa"/>
              <w:bottom w:w="57" w:type="dxa"/>
              <w:right w:w="85" w:type="dxa"/>
            </w:tcMar>
            <w:vAlign w:val="center"/>
            <w:hideMark/>
          </w:tcPr>
          <w:p w14:paraId="5D4C2974"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2,0</w:t>
            </w:r>
          </w:p>
        </w:tc>
        <w:tc>
          <w:tcPr>
            <w:tcW w:w="1330" w:type="dxa"/>
            <w:tcBorders>
              <w:top w:val="nil"/>
              <w:left w:val="nil"/>
              <w:bottom w:val="single" w:sz="4" w:space="0" w:color="auto"/>
              <w:right w:val="single" w:sz="4" w:space="0" w:color="auto"/>
            </w:tcBorders>
            <w:noWrap/>
            <w:tcMar>
              <w:top w:w="57" w:type="dxa"/>
              <w:left w:w="85" w:type="dxa"/>
              <w:bottom w:w="57" w:type="dxa"/>
              <w:right w:w="85" w:type="dxa"/>
            </w:tcMar>
            <w:vAlign w:val="center"/>
          </w:tcPr>
          <w:p w14:paraId="4DDF28C6"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1,1</w:t>
            </w:r>
          </w:p>
        </w:tc>
        <w:tc>
          <w:tcPr>
            <w:tcW w:w="1553" w:type="dxa"/>
            <w:tcBorders>
              <w:top w:val="nil"/>
              <w:left w:val="nil"/>
              <w:bottom w:val="single" w:sz="4" w:space="0" w:color="auto"/>
              <w:right w:val="single" w:sz="4" w:space="0" w:color="auto"/>
            </w:tcBorders>
            <w:tcMar>
              <w:top w:w="57" w:type="dxa"/>
              <w:left w:w="85" w:type="dxa"/>
              <w:bottom w:w="57" w:type="dxa"/>
              <w:right w:w="85" w:type="dxa"/>
            </w:tcMar>
            <w:vAlign w:val="center"/>
          </w:tcPr>
          <w:p w14:paraId="052C0169"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0,2</w:t>
            </w:r>
          </w:p>
        </w:tc>
      </w:tr>
      <w:tr w:rsidR="00751876" w:rsidRPr="001C0357" w14:paraId="50C07E68" w14:textId="77777777" w:rsidTr="00751876">
        <w:trPr>
          <w:trHeight w:val="20"/>
          <w:jc w:val="center"/>
        </w:trPr>
        <w:tc>
          <w:tcPr>
            <w:tcW w:w="1115" w:type="dxa"/>
            <w:tcBorders>
              <w:top w:val="nil"/>
              <w:left w:val="single" w:sz="4" w:space="0" w:color="auto"/>
              <w:bottom w:val="single" w:sz="4" w:space="0" w:color="auto"/>
              <w:right w:val="single" w:sz="4" w:space="0" w:color="auto"/>
            </w:tcBorders>
            <w:tcMar>
              <w:top w:w="57" w:type="dxa"/>
              <w:left w:w="85" w:type="dxa"/>
              <w:bottom w:w="57" w:type="dxa"/>
              <w:right w:w="85" w:type="dxa"/>
            </w:tcMar>
            <w:vAlign w:val="center"/>
            <w:hideMark/>
          </w:tcPr>
          <w:p w14:paraId="772E8D96" w14:textId="77777777" w:rsidR="00751876" w:rsidRPr="001C0357" w:rsidRDefault="00751876" w:rsidP="00751876">
            <w:pPr>
              <w:spacing w:before="0" w:after="0"/>
              <w:ind w:firstLine="0"/>
              <w:jc w:val="left"/>
              <w:rPr>
                <w:rFonts w:eastAsia="Calibri" w:cs="Times New Roman"/>
                <w:noProof/>
                <w:sz w:val="20"/>
                <w:szCs w:val="20"/>
                <w:lang w:eastAsia="lv-LV"/>
              </w:rPr>
            </w:pPr>
            <w:r w:rsidRPr="001C0357">
              <w:rPr>
                <w:rFonts w:cs="Times New Roman"/>
                <w:noProof/>
                <w:sz w:val="20"/>
                <w:szCs w:val="20"/>
              </w:rPr>
              <w:t>Nīderlande</w:t>
            </w:r>
          </w:p>
        </w:tc>
        <w:tc>
          <w:tcPr>
            <w:tcW w:w="1401" w:type="dxa"/>
            <w:tcBorders>
              <w:top w:val="nil"/>
              <w:left w:val="single" w:sz="4" w:space="0" w:color="auto"/>
              <w:bottom w:val="single" w:sz="4" w:space="0" w:color="auto"/>
              <w:right w:val="single" w:sz="4" w:space="0" w:color="auto"/>
            </w:tcBorders>
            <w:tcMar>
              <w:top w:w="57" w:type="dxa"/>
              <w:left w:w="85" w:type="dxa"/>
              <w:bottom w:w="57" w:type="dxa"/>
              <w:right w:w="85" w:type="dxa"/>
            </w:tcMar>
            <w:vAlign w:val="center"/>
            <w:hideMark/>
          </w:tcPr>
          <w:p w14:paraId="4FFAB6FE" w14:textId="77777777" w:rsidR="00751876" w:rsidRPr="001C0357" w:rsidRDefault="00751876" w:rsidP="00751876">
            <w:pPr>
              <w:spacing w:before="0" w:after="0"/>
              <w:ind w:firstLine="0"/>
              <w:jc w:val="center"/>
              <w:rPr>
                <w:rFonts w:eastAsia="Calibri" w:cs="Times New Roman"/>
                <w:noProof/>
                <w:sz w:val="20"/>
                <w:szCs w:val="20"/>
                <w:lang w:eastAsia="lv-LV"/>
              </w:rPr>
            </w:pPr>
            <w:r w:rsidRPr="001C0357">
              <w:rPr>
                <w:rFonts w:cs="Times New Roman"/>
                <w:noProof/>
                <w:sz w:val="20"/>
                <w:szCs w:val="20"/>
              </w:rPr>
              <w:t>3,3%</w:t>
            </w:r>
          </w:p>
        </w:tc>
        <w:tc>
          <w:tcPr>
            <w:tcW w:w="1139" w:type="dxa"/>
            <w:tcBorders>
              <w:top w:val="nil"/>
              <w:left w:val="single" w:sz="4" w:space="0" w:color="auto"/>
              <w:bottom w:val="single" w:sz="4" w:space="0" w:color="auto"/>
              <w:right w:val="single" w:sz="4" w:space="0" w:color="auto"/>
            </w:tcBorders>
            <w:vAlign w:val="bottom"/>
          </w:tcPr>
          <w:p w14:paraId="604AFFB8"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1,0</w:t>
            </w:r>
          </w:p>
        </w:tc>
        <w:tc>
          <w:tcPr>
            <w:tcW w:w="1302" w:type="dxa"/>
            <w:tcBorders>
              <w:top w:val="nil"/>
              <w:left w:val="single" w:sz="4" w:space="0" w:color="auto"/>
              <w:bottom w:val="single" w:sz="4" w:space="0" w:color="auto"/>
              <w:right w:val="single" w:sz="4" w:space="0" w:color="auto"/>
            </w:tcBorders>
            <w:noWrap/>
            <w:tcMar>
              <w:top w:w="57" w:type="dxa"/>
              <w:left w:w="85" w:type="dxa"/>
              <w:bottom w:w="57" w:type="dxa"/>
              <w:right w:w="85" w:type="dxa"/>
            </w:tcMar>
            <w:vAlign w:val="center"/>
            <w:hideMark/>
          </w:tcPr>
          <w:p w14:paraId="384120B1"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1,3</w:t>
            </w:r>
          </w:p>
        </w:tc>
        <w:tc>
          <w:tcPr>
            <w:tcW w:w="1221" w:type="dxa"/>
            <w:tcBorders>
              <w:top w:val="nil"/>
              <w:left w:val="nil"/>
              <w:bottom w:val="single" w:sz="4" w:space="0" w:color="auto"/>
              <w:right w:val="single" w:sz="4" w:space="0" w:color="auto"/>
            </w:tcBorders>
            <w:noWrap/>
            <w:tcMar>
              <w:top w:w="57" w:type="dxa"/>
              <w:left w:w="85" w:type="dxa"/>
              <w:bottom w:w="57" w:type="dxa"/>
              <w:right w:w="85" w:type="dxa"/>
            </w:tcMar>
            <w:vAlign w:val="center"/>
            <w:hideMark/>
          </w:tcPr>
          <w:p w14:paraId="359000E4"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1,2</w:t>
            </w:r>
          </w:p>
        </w:tc>
        <w:tc>
          <w:tcPr>
            <w:tcW w:w="1330" w:type="dxa"/>
            <w:tcBorders>
              <w:top w:val="nil"/>
              <w:left w:val="nil"/>
              <w:bottom w:val="single" w:sz="4" w:space="0" w:color="auto"/>
              <w:right w:val="single" w:sz="4" w:space="0" w:color="auto"/>
            </w:tcBorders>
            <w:noWrap/>
            <w:tcMar>
              <w:top w:w="57" w:type="dxa"/>
              <w:left w:w="85" w:type="dxa"/>
              <w:bottom w:w="57" w:type="dxa"/>
              <w:right w:w="85" w:type="dxa"/>
            </w:tcMar>
            <w:vAlign w:val="center"/>
          </w:tcPr>
          <w:p w14:paraId="707EF574"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-0,3</w:t>
            </w:r>
          </w:p>
        </w:tc>
        <w:tc>
          <w:tcPr>
            <w:tcW w:w="1553" w:type="dxa"/>
            <w:tcBorders>
              <w:top w:val="nil"/>
              <w:left w:val="nil"/>
              <w:bottom w:val="single" w:sz="4" w:space="0" w:color="auto"/>
              <w:right w:val="single" w:sz="4" w:space="0" w:color="auto"/>
            </w:tcBorders>
            <w:tcMar>
              <w:top w:w="57" w:type="dxa"/>
              <w:left w:w="85" w:type="dxa"/>
              <w:bottom w:w="57" w:type="dxa"/>
              <w:right w:w="85" w:type="dxa"/>
            </w:tcMar>
            <w:vAlign w:val="center"/>
          </w:tcPr>
          <w:p w14:paraId="519B600C"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-0,3</w:t>
            </w:r>
          </w:p>
        </w:tc>
      </w:tr>
      <w:tr w:rsidR="00751876" w:rsidRPr="001C0357" w14:paraId="08EA919F" w14:textId="77777777" w:rsidTr="00751876">
        <w:trPr>
          <w:trHeight w:val="20"/>
          <w:jc w:val="center"/>
        </w:trPr>
        <w:tc>
          <w:tcPr>
            <w:tcW w:w="1115" w:type="dxa"/>
            <w:tcBorders>
              <w:top w:val="nil"/>
              <w:left w:val="single" w:sz="4" w:space="0" w:color="auto"/>
              <w:bottom w:val="single" w:sz="4" w:space="0" w:color="auto"/>
              <w:right w:val="single" w:sz="4" w:space="0" w:color="auto"/>
            </w:tcBorders>
            <w:tcMar>
              <w:top w:w="57" w:type="dxa"/>
              <w:left w:w="85" w:type="dxa"/>
              <w:bottom w:w="57" w:type="dxa"/>
              <w:right w:w="85" w:type="dxa"/>
            </w:tcMar>
            <w:vAlign w:val="center"/>
            <w:hideMark/>
          </w:tcPr>
          <w:p w14:paraId="03BE31A7" w14:textId="77777777" w:rsidR="00751876" w:rsidRPr="001C0357" w:rsidRDefault="00751876" w:rsidP="00751876">
            <w:pPr>
              <w:spacing w:before="0" w:after="0"/>
              <w:ind w:firstLine="0"/>
              <w:jc w:val="left"/>
              <w:rPr>
                <w:rFonts w:eastAsia="Calibri" w:cs="Times New Roman"/>
                <w:noProof/>
                <w:sz w:val="20"/>
                <w:szCs w:val="20"/>
                <w:lang w:eastAsia="lv-LV"/>
              </w:rPr>
            </w:pPr>
            <w:r w:rsidRPr="001C0357">
              <w:rPr>
                <w:rFonts w:cs="Times New Roman"/>
                <w:noProof/>
                <w:sz w:val="20"/>
                <w:szCs w:val="20"/>
              </w:rPr>
              <w:t>Somija</w:t>
            </w:r>
          </w:p>
        </w:tc>
        <w:tc>
          <w:tcPr>
            <w:tcW w:w="1401" w:type="dxa"/>
            <w:tcBorders>
              <w:top w:val="nil"/>
              <w:left w:val="single" w:sz="4" w:space="0" w:color="auto"/>
              <w:bottom w:val="single" w:sz="4" w:space="0" w:color="auto"/>
              <w:right w:val="single" w:sz="4" w:space="0" w:color="auto"/>
            </w:tcBorders>
            <w:tcMar>
              <w:top w:w="57" w:type="dxa"/>
              <w:left w:w="85" w:type="dxa"/>
              <w:bottom w:w="57" w:type="dxa"/>
              <w:right w:w="85" w:type="dxa"/>
            </w:tcMar>
            <w:vAlign w:val="center"/>
            <w:hideMark/>
          </w:tcPr>
          <w:p w14:paraId="32838D4A" w14:textId="77777777" w:rsidR="00751876" w:rsidRPr="001C0357" w:rsidRDefault="00751876" w:rsidP="00751876">
            <w:pPr>
              <w:spacing w:before="0" w:after="0"/>
              <w:ind w:firstLine="0"/>
              <w:jc w:val="center"/>
              <w:rPr>
                <w:rFonts w:eastAsia="Calibri" w:cs="Times New Roman"/>
                <w:noProof/>
                <w:sz w:val="20"/>
                <w:szCs w:val="20"/>
                <w:lang w:eastAsia="lv-LV"/>
              </w:rPr>
            </w:pPr>
            <w:r w:rsidRPr="001C0357">
              <w:rPr>
                <w:rFonts w:cs="Times New Roman"/>
                <w:noProof/>
                <w:sz w:val="20"/>
                <w:szCs w:val="20"/>
              </w:rPr>
              <w:t>3,0%</w:t>
            </w:r>
          </w:p>
        </w:tc>
        <w:tc>
          <w:tcPr>
            <w:tcW w:w="1139" w:type="dxa"/>
            <w:tcBorders>
              <w:top w:val="nil"/>
              <w:left w:val="single" w:sz="4" w:space="0" w:color="auto"/>
              <w:bottom w:val="single" w:sz="4" w:space="0" w:color="auto"/>
              <w:right w:val="single" w:sz="4" w:space="0" w:color="auto"/>
            </w:tcBorders>
            <w:vAlign w:val="bottom"/>
          </w:tcPr>
          <w:p w14:paraId="7BD01D81"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-0,1</w:t>
            </w:r>
          </w:p>
        </w:tc>
        <w:tc>
          <w:tcPr>
            <w:tcW w:w="1302" w:type="dxa"/>
            <w:tcBorders>
              <w:top w:val="nil"/>
              <w:left w:val="single" w:sz="4" w:space="0" w:color="auto"/>
              <w:bottom w:val="single" w:sz="4" w:space="0" w:color="auto"/>
              <w:right w:val="single" w:sz="4" w:space="0" w:color="auto"/>
            </w:tcBorders>
            <w:noWrap/>
            <w:tcMar>
              <w:top w:w="57" w:type="dxa"/>
              <w:left w:w="85" w:type="dxa"/>
              <w:bottom w:w="57" w:type="dxa"/>
              <w:right w:w="85" w:type="dxa"/>
            </w:tcMar>
            <w:vAlign w:val="center"/>
            <w:hideMark/>
          </w:tcPr>
          <w:p w14:paraId="7A08E4F5"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1,0</w:t>
            </w:r>
          </w:p>
        </w:tc>
        <w:tc>
          <w:tcPr>
            <w:tcW w:w="1221" w:type="dxa"/>
            <w:tcBorders>
              <w:top w:val="nil"/>
              <w:left w:val="nil"/>
              <w:bottom w:val="single" w:sz="4" w:space="0" w:color="auto"/>
              <w:right w:val="single" w:sz="4" w:space="0" w:color="auto"/>
            </w:tcBorders>
            <w:noWrap/>
            <w:tcMar>
              <w:top w:w="57" w:type="dxa"/>
              <w:left w:w="85" w:type="dxa"/>
              <w:bottom w:w="57" w:type="dxa"/>
              <w:right w:w="85" w:type="dxa"/>
            </w:tcMar>
            <w:vAlign w:val="center"/>
            <w:hideMark/>
          </w:tcPr>
          <w:p w14:paraId="42447806"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1,3</w:t>
            </w:r>
          </w:p>
        </w:tc>
        <w:tc>
          <w:tcPr>
            <w:tcW w:w="1330" w:type="dxa"/>
            <w:tcBorders>
              <w:top w:val="nil"/>
              <w:left w:val="nil"/>
              <w:bottom w:val="single" w:sz="4" w:space="0" w:color="auto"/>
              <w:right w:val="single" w:sz="4" w:space="0" w:color="auto"/>
            </w:tcBorders>
            <w:noWrap/>
            <w:tcMar>
              <w:top w:w="57" w:type="dxa"/>
              <w:left w:w="85" w:type="dxa"/>
              <w:bottom w:w="57" w:type="dxa"/>
              <w:right w:w="85" w:type="dxa"/>
            </w:tcMar>
            <w:vAlign w:val="center"/>
          </w:tcPr>
          <w:p w14:paraId="57BD631B"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-0,5</w:t>
            </w:r>
          </w:p>
        </w:tc>
        <w:tc>
          <w:tcPr>
            <w:tcW w:w="1553" w:type="dxa"/>
            <w:tcBorders>
              <w:top w:val="nil"/>
              <w:left w:val="nil"/>
              <w:bottom w:val="single" w:sz="4" w:space="0" w:color="auto"/>
              <w:right w:val="single" w:sz="4" w:space="0" w:color="auto"/>
            </w:tcBorders>
            <w:tcMar>
              <w:top w:w="57" w:type="dxa"/>
              <w:left w:w="85" w:type="dxa"/>
              <w:bottom w:w="57" w:type="dxa"/>
              <w:right w:w="85" w:type="dxa"/>
            </w:tcMar>
            <w:vAlign w:val="center"/>
          </w:tcPr>
          <w:p w14:paraId="178FF65A" w14:textId="77777777" w:rsidR="00751876" w:rsidRPr="001C0357" w:rsidRDefault="00751876" w:rsidP="00751876">
            <w:pPr>
              <w:spacing w:before="0" w:after="0"/>
              <w:ind w:firstLine="0"/>
              <w:jc w:val="center"/>
              <w:rPr>
                <w:rFonts w:cs="Times New Roman"/>
                <w:noProof/>
                <w:sz w:val="20"/>
                <w:szCs w:val="20"/>
              </w:rPr>
            </w:pPr>
            <w:r w:rsidRPr="001C0357">
              <w:rPr>
                <w:rFonts w:cs="Times New Roman"/>
                <w:noProof/>
                <w:sz w:val="20"/>
                <w:szCs w:val="20"/>
              </w:rPr>
              <w:t>-0,3</w:t>
            </w:r>
          </w:p>
        </w:tc>
      </w:tr>
      <w:tr w:rsidR="00751876" w:rsidRPr="001C0357" w14:paraId="138098CD" w14:textId="77777777" w:rsidTr="00751876">
        <w:trPr>
          <w:trHeight w:val="20"/>
          <w:jc w:val="center"/>
        </w:trPr>
        <w:tc>
          <w:tcPr>
            <w:tcW w:w="1115"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hideMark/>
          </w:tcPr>
          <w:p w14:paraId="29E139B5" w14:textId="77777777" w:rsidR="00751876" w:rsidRPr="001C0357" w:rsidRDefault="00751876" w:rsidP="00751876">
            <w:pPr>
              <w:spacing w:before="0" w:after="0"/>
              <w:ind w:firstLine="0"/>
              <w:jc w:val="left"/>
              <w:rPr>
                <w:rFonts w:eastAsia="Calibri" w:cs="Times New Roman"/>
                <w:b/>
                <w:noProof/>
                <w:sz w:val="20"/>
                <w:szCs w:val="20"/>
                <w:lang w:eastAsia="lv-LV"/>
              </w:rPr>
            </w:pPr>
            <w:r w:rsidRPr="001C0357">
              <w:rPr>
                <w:rFonts w:eastAsia="Calibri" w:cs="Times New Roman"/>
                <w:b/>
                <w:noProof/>
                <w:sz w:val="20"/>
                <w:szCs w:val="20"/>
                <w:lang w:eastAsia="lv-LV"/>
              </w:rPr>
              <w:t>Vidēji svērtais 10 valstīm</w:t>
            </w:r>
          </w:p>
        </w:tc>
        <w:tc>
          <w:tcPr>
            <w:tcW w:w="1401"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hideMark/>
          </w:tcPr>
          <w:p w14:paraId="406FB064" w14:textId="77777777" w:rsidR="00751876" w:rsidRPr="001C0357" w:rsidRDefault="00751876" w:rsidP="00751876">
            <w:pPr>
              <w:spacing w:before="0" w:after="0"/>
              <w:ind w:firstLine="0"/>
              <w:jc w:val="center"/>
              <w:rPr>
                <w:rFonts w:eastAsia="Calibri" w:cs="Times New Roman"/>
                <w:b/>
                <w:noProof/>
                <w:sz w:val="20"/>
                <w:szCs w:val="20"/>
                <w:lang w:eastAsia="lv-LV"/>
              </w:rPr>
            </w:pPr>
            <w:r w:rsidRPr="001C0357">
              <w:rPr>
                <w:rFonts w:eastAsia="Calibri" w:cs="Times New Roman"/>
                <w:b/>
                <w:noProof/>
                <w:sz w:val="20"/>
                <w:szCs w:val="20"/>
                <w:lang w:eastAsia="lv-LV"/>
              </w:rPr>
              <w:t>67,6%</w:t>
            </w:r>
          </w:p>
        </w:tc>
        <w:tc>
          <w:tcPr>
            <w:tcW w:w="1139" w:type="dxa"/>
            <w:tcBorders>
              <w:top w:val="single" w:sz="4" w:space="0" w:color="auto"/>
              <w:left w:val="single" w:sz="4" w:space="0" w:color="auto"/>
              <w:bottom w:val="single" w:sz="4" w:space="0" w:color="auto"/>
              <w:right w:val="single" w:sz="4" w:space="0" w:color="auto"/>
            </w:tcBorders>
            <w:vAlign w:val="center"/>
          </w:tcPr>
          <w:p w14:paraId="17CECBCA" w14:textId="77777777" w:rsidR="00751876" w:rsidRPr="001C0357" w:rsidRDefault="00751876" w:rsidP="00751876">
            <w:pPr>
              <w:spacing w:before="0" w:after="0"/>
              <w:ind w:firstLine="0"/>
              <w:jc w:val="center"/>
              <w:rPr>
                <w:rFonts w:cs="Times New Roman"/>
                <w:b/>
                <w:noProof/>
                <w:sz w:val="20"/>
                <w:szCs w:val="20"/>
              </w:rPr>
            </w:pPr>
            <w:r w:rsidRPr="001C0357">
              <w:rPr>
                <w:rFonts w:cs="Times New Roman"/>
                <w:b/>
                <w:noProof/>
                <w:sz w:val="20"/>
                <w:szCs w:val="20"/>
              </w:rPr>
              <w:t>1,1</w:t>
            </w:r>
          </w:p>
        </w:tc>
        <w:tc>
          <w:tcPr>
            <w:tcW w:w="1302" w:type="dxa"/>
            <w:tcBorders>
              <w:top w:val="single" w:sz="4" w:space="0" w:color="auto"/>
              <w:left w:val="single" w:sz="4" w:space="0" w:color="auto"/>
              <w:bottom w:val="single" w:sz="4" w:space="0" w:color="auto"/>
              <w:right w:val="single" w:sz="4" w:space="0" w:color="auto"/>
            </w:tcBorders>
            <w:noWrap/>
            <w:tcMar>
              <w:top w:w="57" w:type="dxa"/>
              <w:left w:w="85" w:type="dxa"/>
              <w:bottom w:w="57" w:type="dxa"/>
              <w:right w:w="85" w:type="dxa"/>
            </w:tcMar>
            <w:vAlign w:val="center"/>
            <w:hideMark/>
          </w:tcPr>
          <w:p w14:paraId="736CC797" w14:textId="77777777" w:rsidR="00751876" w:rsidRPr="001C0357" w:rsidRDefault="00751876" w:rsidP="00751876">
            <w:pPr>
              <w:spacing w:before="0" w:after="0"/>
              <w:ind w:firstLine="0"/>
              <w:jc w:val="center"/>
              <w:rPr>
                <w:rFonts w:cs="Times New Roman"/>
                <w:b/>
                <w:noProof/>
                <w:sz w:val="20"/>
                <w:szCs w:val="20"/>
              </w:rPr>
            </w:pPr>
            <w:r w:rsidRPr="001C0357">
              <w:rPr>
                <w:rFonts w:eastAsia="Calibri" w:cs="Times New Roman"/>
                <w:b/>
                <w:noProof/>
                <w:sz w:val="20"/>
                <w:szCs w:val="20"/>
                <w:lang w:eastAsia="lv-LV"/>
              </w:rPr>
              <w:t>1,7</w:t>
            </w:r>
          </w:p>
        </w:tc>
        <w:tc>
          <w:tcPr>
            <w:tcW w:w="1221" w:type="dxa"/>
            <w:tcBorders>
              <w:top w:val="single" w:sz="4" w:space="0" w:color="auto"/>
              <w:left w:val="single" w:sz="4" w:space="0" w:color="auto"/>
              <w:bottom w:val="single" w:sz="4" w:space="0" w:color="auto"/>
              <w:right w:val="single" w:sz="4" w:space="0" w:color="auto"/>
            </w:tcBorders>
            <w:noWrap/>
            <w:tcMar>
              <w:top w:w="57" w:type="dxa"/>
              <w:left w:w="85" w:type="dxa"/>
              <w:bottom w:w="57" w:type="dxa"/>
              <w:right w:w="85" w:type="dxa"/>
            </w:tcMar>
            <w:vAlign w:val="center"/>
            <w:hideMark/>
          </w:tcPr>
          <w:p w14:paraId="2F31E970" w14:textId="77777777" w:rsidR="00751876" w:rsidRPr="001C0357" w:rsidRDefault="00751876" w:rsidP="00751876">
            <w:pPr>
              <w:spacing w:before="0" w:after="0"/>
              <w:ind w:firstLine="0"/>
              <w:jc w:val="center"/>
              <w:rPr>
                <w:rFonts w:cs="Times New Roman"/>
                <w:b/>
                <w:noProof/>
                <w:sz w:val="20"/>
                <w:szCs w:val="20"/>
              </w:rPr>
            </w:pPr>
            <w:r w:rsidRPr="001C0357">
              <w:rPr>
                <w:rFonts w:eastAsia="Calibri" w:cs="Times New Roman"/>
                <w:b/>
                <w:noProof/>
                <w:sz w:val="20"/>
                <w:szCs w:val="20"/>
                <w:lang w:eastAsia="lv-LV"/>
              </w:rPr>
              <w:t>2,1</w:t>
            </w:r>
          </w:p>
        </w:tc>
        <w:tc>
          <w:tcPr>
            <w:tcW w:w="1330" w:type="dxa"/>
            <w:tcBorders>
              <w:top w:val="single" w:sz="4" w:space="0" w:color="auto"/>
              <w:left w:val="single" w:sz="4" w:space="0" w:color="auto"/>
              <w:bottom w:val="single" w:sz="4" w:space="0" w:color="auto"/>
              <w:right w:val="single" w:sz="4" w:space="0" w:color="auto"/>
            </w:tcBorders>
            <w:noWrap/>
            <w:tcMar>
              <w:top w:w="57" w:type="dxa"/>
              <w:left w:w="85" w:type="dxa"/>
              <w:bottom w:w="57" w:type="dxa"/>
              <w:right w:w="85" w:type="dxa"/>
            </w:tcMar>
            <w:vAlign w:val="center"/>
          </w:tcPr>
          <w:p w14:paraId="28D531A6" w14:textId="77777777" w:rsidR="00751876" w:rsidRPr="001C0357" w:rsidRDefault="00751876" w:rsidP="00751876">
            <w:pPr>
              <w:spacing w:before="0" w:after="0"/>
              <w:ind w:firstLine="0"/>
              <w:jc w:val="center"/>
              <w:rPr>
                <w:rFonts w:cs="Times New Roman"/>
                <w:b/>
                <w:noProof/>
                <w:sz w:val="20"/>
                <w:szCs w:val="20"/>
              </w:rPr>
            </w:pPr>
            <w:r w:rsidRPr="001C0357">
              <w:rPr>
                <w:rFonts w:eastAsia="Calibri" w:cs="Times New Roman"/>
                <w:b/>
                <w:noProof/>
                <w:sz w:val="20"/>
                <w:szCs w:val="20"/>
                <w:lang w:eastAsia="lv-LV"/>
              </w:rPr>
              <w:t>-0,2</w:t>
            </w:r>
          </w:p>
        </w:tc>
        <w:tc>
          <w:tcPr>
            <w:tcW w:w="1553"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15DE7D7B" w14:textId="77777777" w:rsidR="00751876" w:rsidRPr="001C0357" w:rsidRDefault="00751876" w:rsidP="00751876">
            <w:pPr>
              <w:spacing w:before="0" w:after="0"/>
              <w:ind w:firstLine="0"/>
              <w:jc w:val="center"/>
              <w:rPr>
                <w:rFonts w:cs="Times New Roman"/>
                <w:b/>
                <w:noProof/>
                <w:sz w:val="20"/>
                <w:szCs w:val="20"/>
              </w:rPr>
            </w:pPr>
            <w:r w:rsidRPr="001C0357">
              <w:rPr>
                <w:rFonts w:eastAsia="Calibri" w:cs="Times New Roman"/>
                <w:b/>
                <w:noProof/>
                <w:sz w:val="20"/>
                <w:szCs w:val="20"/>
                <w:lang w:eastAsia="lv-LV"/>
              </w:rPr>
              <w:t>-0,1</w:t>
            </w:r>
          </w:p>
        </w:tc>
      </w:tr>
      <w:tr w:rsidR="00751876" w:rsidRPr="001C0357" w14:paraId="51994090" w14:textId="77777777" w:rsidTr="00751876">
        <w:trPr>
          <w:trHeight w:val="20"/>
          <w:jc w:val="center"/>
        </w:trPr>
        <w:tc>
          <w:tcPr>
            <w:tcW w:w="1115"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hideMark/>
          </w:tcPr>
          <w:p w14:paraId="47729E07" w14:textId="77777777" w:rsidR="00751876" w:rsidRPr="001C0357" w:rsidRDefault="00751876" w:rsidP="00751876">
            <w:pPr>
              <w:spacing w:before="0" w:after="0"/>
              <w:ind w:firstLine="0"/>
              <w:jc w:val="left"/>
              <w:rPr>
                <w:rFonts w:eastAsia="Calibri" w:cs="Times New Roman"/>
                <w:b/>
                <w:noProof/>
                <w:sz w:val="20"/>
                <w:szCs w:val="20"/>
                <w:lang w:eastAsia="lv-LV"/>
              </w:rPr>
            </w:pPr>
            <w:r w:rsidRPr="001C0357">
              <w:rPr>
                <w:rFonts w:eastAsia="Calibri" w:cs="Times New Roman"/>
                <w:b/>
                <w:i/>
                <w:iCs/>
                <w:noProof/>
                <w:sz w:val="20"/>
                <w:szCs w:val="20"/>
                <w:lang w:eastAsia="lv-LV"/>
              </w:rPr>
              <w:t>Euro</w:t>
            </w:r>
            <w:r w:rsidRPr="001C0357">
              <w:rPr>
                <w:rFonts w:eastAsia="Calibri" w:cs="Times New Roman"/>
                <w:b/>
                <w:noProof/>
                <w:sz w:val="20"/>
                <w:szCs w:val="20"/>
                <w:lang w:eastAsia="lv-LV"/>
              </w:rPr>
              <w:t xml:space="preserve"> zona</w:t>
            </w:r>
          </w:p>
        </w:tc>
        <w:tc>
          <w:tcPr>
            <w:tcW w:w="1401"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hideMark/>
          </w:tcPr>
          <w:p w14:paraId="13255D2B" w14:textId="77777777" w:rsidR="00751876" w:rsidRPr="001C0357" w:rsidRDefault="00751876" w:rsidP="00751876">
            <w:pPr>
              <w:spacing w:before="0" w:after="0"/>
              <w:ind w:firstLine="0"/>
              <w:jc w:val="center"/>
              <w:rPr>
                <w:rFonts w:eastAsia="Calibri" w:cs="Times New Roman"/>
                <w:b/>
                <w:noProof/>
                <w:sz w:val="20"/>
                <w:szCs w:val="20"/>
                <w:lang w:eastAsia="lv-LV"/>
              </w:rPr>
            </w:pPr>
            <w:r w:rsidRPr="001C0357">
              <w:rPr>
                <w:rFonts w:eastAsia="Calibri" w:cs="Times New Roman"/>
                <w:b/>
                <w:noProof/>
                <w:sz w:val="20"/>
                <w:szCs w:val="20"/>
                <w:lang w:eastAsia="lv-LV"/>
              </w:rPr>
              <w:t>51,8%</w:t>
            </w:r>
          </w:p>
        </w:tc>
        <w:tc>
          <w:tcPr>
            <w:tcW w:w="1139" w:type="dxa"/>
            <w:tcBorders>
              <w:top w:val="single" w:sz="4" w:space="0" w:color="auto"/>
              <w:left w:val="single" w:sz="4" w:space="0" w:color="auto"/>
              <w:bottom w:val="single" w:sz="4" w:space="0" w:color="auto"/>
              <w:right w:val="single" w:sz="4" w:space="0" w:color="auto"/>
            </w:tcBorders>
            <w:vAlign w:val="bottom"/>
          </w:tcPr>
          <w:p w14:paraId="1B74004F" w14:textId="77777777" w:rsidR="00751876" w:rsidRPr="001C0357" w:rsidRDefault="00751876" w:rsidP="00751876">
            <w:pPr>
              <w:spacing w:before="0" w:after="0"/>
              <w:ind w:firstLine="0"/>
              <w:jc w:val="center"/>
              <w:rPr>
                <w:rFonts w:cs="Times New Roman"/>
                <w:b/>
                <w:noProof/>
                <w:sz w:val="20"/>
                <w:szCs w:val="20"/>
              </w:rPr>
            </w:pPr>
            <w:r w:rsidRPr="001C0357">
              <w:rPr>
                <w:rFonts w:cs="Times New Roman"/>
                <w:b/>
                <w:noProof/>
                <w:sz w:val="20"/>
                <w:szCs w:val="20"/>
              </w:rPr>
              <w:t>0,9</w:t>
            </w:r>
          </w:p>
        </w:tc>
        <w:tc>
          <w:tcPr>
            <w:tcW w:w="1302" w:type="dxa"/>
            <w:tcBorders>
              <w:top w:val="single" w:sz="4" w:space="0" w:color="auto"/>
              <w:left w:val="single" w:sz="4" w:space="0" w:color="auto"/>
              <w:bottom w:val="single" w:sz="4" w:space="0" w:color="auto"/>
              <w:right w:val="single" w:sz="4" w:space="0" w:color="auto"/>
            </w:tcBorders>
            <w:noWrap/>
            <w:tcMar>
              <w:top w:w="57" w:type="dxa"/>
              <w:left w:w="85" w:type="dxa"/>
              <w:bottom w:w="57" w:type="dxa"/>
              <w:right w:w="85" w:type="dxa"/>
            </w:tcMar>
            <w:vAlign w:val="bottom"/>
            <w:hideMark/>
          </w:tcPr>
          <w:p w14:paraId="4C3C8754" w14:textId="77777777" w:rsidR="00751876" w:rsidRPr="001C0357" w:rsidRDefault="00751876" w:rsidP="00751876">
            <w:pPr>
              <w:spacing w:before="0" w:after="0"/>
              <w:ind w:firstLine="0"/>
              <w:jc w:val="center"/>
              <w:rPr>
                <w:rFonts w:cs="Times New Roman"/>
                <w:b/>
                <w:noProof/>
                <w:sz w:val="20"/>
                <w:szCs w:val="20"/>
              </w:rPr>
            </w:pPr>
            <w:r w:rsidRPr="001C0357">
              <w:rPr>
                <w:rFonts w:cs="Times New Roman"/>
                <w:b/>
                <w:noProof/>
                <w:sz w:val="20"/>
                <w:szCs w:val="20"/>
              </w:rPr>
              <w:t>0,9</w:t>
            </w:r>
          </w:p>
        </w:tc>
        <w:tc>
          <w:tcPr>
            <w:tcW w:w="1221" w:type="dxa"/>
            <w:tcBorders>
              <w:top w:val="single" w:sz="4" w:space="0" w:color="auto"/>
              <w:left w:val="single" w:sz="4" w:space="0" w:color="auto"/>
              <w:bottom w:val="single" w:sz="4" w:space="0" w:color="auto"/>
              <w:right w:val="single" w:sz="4" w:space="0" w:color="auto"/>
            </w:tcBorders>
            <w:noWrap/>
            <w:tcMar>
              <w:top w:w="57" w:type="dxa"/>
              <w:left w:w="85" w:type="dxa"/>
              <w:bottom w:w="57" w:type="dxa"/>
              <w:right w:w="85" w:type="dxa"/>
            </w:tcMar>
            <w:vAlign w:val="bottom"/>
            <w:hideMark/>
          </w:tcPr>
          <w:p w14:paraId="492076EF" w14:textId="77777777" w:rsidR="00751876" w:rsidRPr="001C0357" w:rsidRDefault="00751876" w:rsidP="00751876">
            <w:pPr>
              <w:spacing w:before="0" w:after="0"/>
              <w:ind w:firstLine="0"/>
              <w:jc w:val="center"/>
              <w:rPr>
                <w:rFonts w:cs="Times New Roman"/>
                <w:b/>
                <w:noProof/>
                <w:sz w:val="20"/>
                <w:szCs w:val="20"/>
              </w:rPr>
            </w:pPr>
            <w:r w:rsidRPr="001C0357">
              <w:rPr>
                <w:rFonts w:cs="Times New Roman"/>
                <w:b/>
                <w:noProof/>
                <w:sz w:val="20"/>
                <w:szCs w:val="20"/>
              </w:rPr>
              <w:t>1,4</w:t>
            </w:r>
          </w:p>
        </w:tc>
        <w:tc>
          <w:tcPr>
            <w:tcW w:w="1330" w:type="dxa"/>
            <w:tcBorders>
              <w:top w:val="single" w:sz="4" w:space="0" w:color="auto"/>
              <w:left w:val="single" w:sz="4" w:space="0" w:color="auto"/>
              <w:bottom w:val="single" w:sz="4" w:space="0" w:color="auto"/>
              <w:right w:val="single" w:sz="4" w:space="0" w:color="auto"/>
            </w:tcBorders>
            <w:noWrap/>
            <w:tcMar>
              <w:top w:w="57" w:type="dxa"/>
              <w:left w:w="85" w:type="dxa"/>
              <w:bottom w:w="57" w:type="dxa"/>
              <w:right w:w="85" w:type="dxa"/>
            </w:tcMar>
            <w:vAlign w:val="bottom"/>
          </w:tcPr>
          <w:p w14:paraId="7D7F8B5B" w14:textId="77777777" w:rsidR="00751876" w:rsidRPr="001C0357" w:rsidRDefault="00751876" w:rsidP="00751876">
            <w:pPr>
              <w:spacing w:before="0" w:after="0"/>
              <w:ind w:firstLine="0"/>
              <w:jc w:val="center"/>
              <w:rPr>
                <w:rFonts w:cs="Times New Roman"/>
                <w:b/>
                <w:noProof/>
                <w:sz w:val="20"/>
                <w:szCs w:val="20"/>
              </w:rPr>
            </w:pPr>
            <w:r w:rsidRPr="001C0357">
              <w:rPr>
                <w:rFonts w:cs="Times New Roman"/>
                <w:b/>
                <w:noProof/>
                <w:sz w:val="20"/>
                <w:szCs w:val="20"/>
              </w:rPr>
              <w:t>-0,4</w:t>
            </w:r>
          </w:p>
        </w:tc>
        <w:tc>
          <w:tcPr>
            <w:tcW w:w="1553"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bottom"/>
          </w:tcPr>
          <w:p w14:paraId="21122EC7" w14:textId="77777777" w:rsidR="00751876" w:rsidRPr="001C0357" w:rsidRDefault="00751876" w:rsidP="00751876">
            <w:pPr>
              <w:spacing w:before="0" w:after="0"/>
              <w:ind w:firstLine="0"/>
              <w:jc w:val="center"/>
              <w:rPr>
                <w:rFonts w:cs="Times New Roman"/>
                <w:b/>
                <w:noProof/>
                <w:sz w:val="20"/>
                <w:szCs w:val="20"/>
              </w:rPr>
            </w:pPr>
            <w:r w:rsidRPr="001C0357">
              <w:rPr>
                <w:rFonts w:cs="Times New Roman"/>
                <w:b/>
                <w:noProof/>
                <w:sz w:val="20"/>
                <w:szCs w:val="20"/>
              </w:rPr>
              <w:t>-0,2</w:t>
            </w:r>
          </w:p>
        </w:tc>
      </w:tr>
      <w:tr w:rsidR="00751876" w:rsidRPr="001C0357" w14:paraId="0BF4495D" w14:textId="77777777" w:rsidTr="00751876">
        <w:trPr>
          <w:trHeight w:val="20"/>
          <w:jc w:val="center"/>
        </w:trPr>
        <w:tc>
          <w:tcPr>
            <w:tcW w:w="1115"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7F4EBDF5" w14:textId="77777777" w:rsidR="00751876" w:rsidRPr="001C0357" w:rsidRDefault="00751876" w:rsidP="00751876">
            <w:pPr>
              <w:spacing w:before="0" w:after="0"/>
              <w:ind w:firstLine="0"/>
              <w:jc w:val="left"/>
              <w:rPr>
                <w:rFonts w:eastAsia="Calibri" w:cs="Times New Roman"/>
                <w:b/>
                <w:noProof/>
                <w:sz w:val="20"/>
                <w:szCs w:val="20"/>
                <w:lang w:eastAsia="lv-LV"/>
              </w:rPr>
            </w:pPr>
            <w:r w:rsidRPr="001C0357">
              <w:rPr>
                <w:rFonts w:eastAsia="Calibri" w:cs="Times New Roman"/>
                <w:b/>
                <w:noProof/>
                <w:sz w:val="20"/>
                <w:szCs w:val="20"/>
                <w:lang w:eastAsia="lv-LV"/>
              </w:rPr>
              <w:t>Pasaule*</w:t>
            </w:r>
          </w:p>
        </w:tc>
        <w:tc>
          <w:tcPr>
            <w:tcW w:w="1401"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0ADA648E" w14:textId="77777777" w:rsidR="00751876" w:rsidRPr="001C0357" w:rsidRDefault="00751876" w:rsidP="00751876">
            <w:pPr>
              <w:spacing w:before="0" w:after="0"/>
              <w:ind w:firstLine="0"/>
              <w:jc w:val="center"/>
              <w:rPr>
                <w:rFonts w:eastAsia="Calibri" w:cs="Times New Roman"/>
                <w:b/>
                <w:noProof/>
                <w:sz w:val="20"/>
                <w:szCs w:val="20"/>
                <w:lang w:eastAsia="lv-LV"/>
              </w:rPr>
            </w:pPr>
          </w:p>
        </w:tc>
        <w:tc>
          <w:tcPr>
            <w:tcW w:w="1139" w:type="dxa"/>
            <w:tcBorders>
              <w:top w:val="single" w:sz="4" w:space="0" w:color="auto"/>
              <w:left w:val="single" w:sz="4" w:space="0" w:color="auto"/>
              <w:bottom w:val="single" w:sz="4" w:space="0" w:color="auto"/>
              <w:right w:val="single" w:sz="4" w:space="0" w:color="auto"/>
            </w:tcBorders>
            <w:vAlign w:val="bottom"/>
          </w:tcPr>
          <w:p w14:paraId="77505B7F" w14:textId="77777777" w:rsidR="00751876" w:rsidRPr="001C0357" w:rsidRDefault="00751876" w:rsidP="00751876">
            <w:pPr>
              <w:spacing w:before="0" w:after="0"/>
              <w:ind w:firstLine="0"/>
              <w:jc w:val="center"/>
              <w:rPr>
                <w:rFonts w:cs="Times New Roman"/>
                <w:b/>
                <w:noProof/>
                <w:sz w:val="20"/>
                <w:szCs w:val="20"/>
              </w:rPr>
            </w:pPr>
            <w:r w:rsidRPr="001C0357">
              <w:rPr>
                <w:rFonts w:cs="Times New Roman"/>
                <w:b/>
                <w:noProof/>
                <w:sz w:val="20"/>
                <w:szCs w:val="20"/>
              </w:rPr>
              <w:t>3,3</w:t>
            </w:r>
          </w:p>
        </w:tc>
        <w:tc>
          <w:tcPr>
            <w:tcW w:w="1302" w:type="dxa"/>
            <w:tcBorders>
              <w:top w:val="single" w:sz="4" w:space="0" w:color="auto"/>
              <w:left w:val="single" w:sz="4" w:space="0" w:color="auto"/>
              <w:bottom w:val="single" w:sz="4" w:space="0" w:color="auto"/>
              <w:right w:val="single" w:sz="4" w:space="0" w:color="auto"/>
            </w:tcBorders>
            <w:noWrap/>
            <w:tcMar>
              <w:top w:w="57" w:type="dxa"/>
              <w:left w:w="85" w:type="dxa"/>
              <w:bottom w:w="57" w:type="dxa"/>
              <w:right w:w="85" w:type="dxa"/>
            </w:tcMar>
            <w:vAlign w:val="bottom"/>
          </w:tcPr>
          <w:p w14:paraId="60D31504" w14:textId="77777777" w:rsidR="00751876" w:rsidRPr="001C0357" w:rsidRDefault="00751876" w:rsidP="00751876">
            <w:pPr>
              <w:spacing w:before="0" w:after="0"/>
              <w:ind w:firstLine="0"/>
              <w:jc w:val="center"/>
              <w:rPr>
                <w:rFonts w:cs="Times New Roman"/>
                <w:b/>
                <w:noProof/>
                <w:sz w:val="20"/>
                <w:szCs w:val="20"/>
              </w:rPr>
            </w:pPr>
            <w:r w:rsidRPr="001C0357">
              <w:rPr>
                <w:rFonts w:cs="Times New Roman"/>
                <w:b/>
                <w:noProof/>
                <w:sz w:val="20"/>
                <w:szCs w:val="20"/>
              </w:rPr>
              <w:t>3,0</w:t>
            </w:r>
          </w:p>
        </w:tc>
        <w:tc>
          <w:tcPr>
            <w:tcW w:w="1221" w:type="dxa"/>
            <w:tcBorders>
              <w:top w:val="single" w:sz="4" w:space="0" w:color="auto"/>
              <w:left w:val="single" w:sz="4" w:space="0" w:color="auto"/>
              <w:bottom w:val="single" w:sz="4" w:space="0" w:color="auto"/>
              <w:right w:val="single" w:sz="4" w:space="0" w:color="auto"/>
            </w:tcBorders>
            <w:noWrap/>
            <w:tcMar>
              <w:top w:w="57" w:type="dxa"/>
              <w:left w:w="85" w:type="dxa"/>
              <w:bottom w:w="57" w:type="dxa"/>
              <w:right w:w="85" w:type="dxa"/>
            </w:tcMar>
            <w:vAlign w:val="bottom"/>
          </w:tcPr>
          <w:p w14:paraId="1CDA1A4A" w14:textId="77777777" w:rsidR="00751876" w:rsidRPr="001C0357" w:rsidRDefault="00751876" w:rsidP="00751876">
            <w:pPr>
              <w:spacing w:before="0" w:after="0"/>
              <w:ind w:firstLine="0"/>
              <w:jc w:val="center"/>
              <w:rPr>
                <w:rFonts w:cs="Times New Roman"/>
                <w:b/>
                <w:noProof/>
                <w:sz w:val="20"/>
                <w:szCs w:val="20"/>
              </w:rPr>
            </w:pPr>
            <w:r w:rsidRPr="001C0357">
              <w:rPr>
                <w:rFonts w:cs="Times New Roman"/>
                <w:b/>
                <w:noProof/>
                <w:sz w:val="20"/>
                <w:szCs w:val="20"/>
              </w:rPr>
              <w:t>3,1</w:t>
            </w:r>
          </w:p>
        </w:tc>
        <w:tc>
          <w:tcPr>
            <w:tcW w:w="1330" w:type="dxa"/>
            <w:tcBorders>
              <w:top w:val="single" w:sz="4" w:space="0" w:color="auto"/>
              <w:left w:val="single" w:sz="4" w:space="0" w:color="auto"/>
              <w:bottom w:val="single" w:sz="4" w:space="0" w:color="auto"/>
              <w:right w:val="single" w:sz="4" w:space="0" w:color="auto"/>
            </w:tcBorders>
            <w:noWrap/>
            <w:tcMar>
              <w:top w:w="57" w:type="dxa"/>
              <w:left w:w="85" w:type="dxa"/>
              <w:bottom w:w="57" w:type="dxa"/>
              <w:right w:w="85" w:type="dxa"/>
            </w:tcMar>
            <w:vAlign w:val="bottom"/>
          </w:tcPr>
          <w:p w14:paraId="762F4892" w14:textId="77777777" w:rsidR="00751876" w:rsidRPr="001C0357" w:rsidRDefault="00751876" w:rsidP="00751876">
            <w:pPr>
              <w:spacing w:before="0" w:after="0"/>
              <w:ind w:firstLine="0"/>
              <w:jc w:val="center"/>
              <w:rPr>
                <w:rFonts w:cs="Times New Roman"/>
                <w:b/>
                <w:noProof/>
                <w:sz w:val="20"/>
                <w:szCs w:val="20"/>
              </w:rPr>
            </w:pPr>
            <w:r w:rsidRPr="001C0357">
              <w:rPr>
                <w:rFonts w:cs="Times New Roman"/>
                <w:b/>
                <w:noProof/>
                <w:sz w:val="20"/>
                <w:szCs w:val="20"/>
              </w:rPr>
              <w:t>-0,2</w:t>
            </w:r>
          </w:p>
        </w:tc>
        <w:tc>
          <w:tcPr>
            <w:tcW w:w="1553"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bottom"/>
          </w:tcPr>
          <w:p w14:paraId="0EFFF204" w14:textId="77777777" w:rsidR="00751876" w:rsidRPr="001C0357" w:rsidRDefault="00751876" w:rsidP="00751876">
            <w:pPr>
              <w:spacing w:before="0" w:after="0"/>
              <w:ind w:firstLine="0"/>
              <w:jc w:val="center"/>
              <w:rPr>
                <w:rFonts w:cs="Times New Roman"/>
                <w:b/>
                <w:noProof/>
                <w:sz w:val="20"/>
                <w:szCs w:val="20"/>
              </w:rPr>
            </w:pPr>
            <w:r w:rsidRPr="001C0357">
              <w:rPr>
                <w:rFonts w:cs="Times New Roman"/>
                <w:b/>
                <w:noProof/>
                <w:sz w:val="20"/>
                <w:szCs w:val="20"/>
              </w:rPr>
              <w:t>0,0</w:t>
            </w:r>
          </w:p>
        </w:tc>
      </w:tr>
    </w:tbl>
    <w:p w14:paraId="1E5D24D9" w14:textId="77777777" w:rsidR="007C169A" w:rsidRPr="001C0357" w:rsidRDefault="007C169A" w:rsidP="007C169A">
      <w:pPr>
        <w:pStyle w:val="NoSpacing"/>
        <w:spacing w:before="120" w:after="120"/>
        <w:ind w:firstLine="720"/>
        <w:rPr>
          <w:b/>
          <w:bCs/>
          <w:noProof/>
        </w:rPr>
      </w:pPr>
      <w:r w:rsidRPr="001C0357">
        <w:rPr>
          <w:b/>
          <w:bCs/>
          <w:noProof/>
        </w:rPr>
        <w:t>Nozaru attīstība</w:t>
      </w:r>
    </w:p>
    <w:p w14:paraId="765B5020" w14:textId="1276F71E"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Latvijas </w:t>
      </w:r>
      <w:r w:rsidRPr="001C0357">
        <w:rPr>
          <w:rFonts w:eastAsia="Aptos" w:cs="Times New Roman"/>
          <w:b/>
          <w:bCs/>
          <w:noProof/>
          <w:szCs w:val="20"/>
          <w14:ligatures w14:val="standardContextual"/>
        </w:rPr>
        <w:t>rūpniecības</w:t>
      </w:r>
      <w:r w:rsidRPr="001C0357">
        <w:rPr>
          <w:rFonts w:eastAsia="Aptos" w:cs="Times New Roman"/>
          <w:noProof/>
          <w:szCs w:val="20"/>
          <w14:ligatures w14:val="standardContextual"/>
        </w:rPr>
        <w:t xml:space="preserve"> nozare 2024. gadā turpināja piedzīvot lejupslīdi. Pēc 5,4% apjomu samazinājuma 2023. gadā</w:t>
      </w:r>
      <w:r w:rsidR="00E17D18" w:rsidRPr="001C0357">
        <w:rPr>
          <w:rFonts w:eastAsia="Aptos" w:cs="Times New Roman"/>
          <w:noProof/>
          <w:szCs w:val="20"/>
          <w14:ligatures w14:val="standardContextual"/>
        </w:rPr>
        <w:t>,</w:t>
      </w:r>
      <w:r w:rsidR="00E17D18" w:rsidRPr="001C0357">
        <w:rPr>
          <w:noProof/>
        </w:rPr>
        <w:t xml:space="preserve"> arī 2024. gadā ražošanas apjomi samazinājās par </w:t>
      </w:r>
      <w:r w:rsidRPr="001C0357">
        <w:rPr>
          <w:rFonts w:eastAsia="Aptos" w:cs="Times New Roman"/>
          <w:noProof/>
          <w:szCs w:val="20"/>
          <w14:ligatures w14:val="standardContextual"/>
        </w:rPr>
        <w:t>2,2%. Tostarp apstrādes rūpniecība saruka par 2,6%, elektroenerģijas un gāzes apgāde samazinājās par 2,7%, bet nelielā ieguves rūpniecības nozare pieauga par 16,5%. Kopējo ražošanas apjomu kritumu 2024. gadā noteica izteikti zemais pieprasījums pēc Latvijā ražotām precēm, kas veidojās Latvijas nozīmīgāko eksporta partnervalstu vājās ekonomiskās izaugsmes iespaidā.</w:t>
      </w:r>
    </w:p>
    <w:p w14:paraId="281DDDC7" w14:textId="66F14B4C"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Apstrādes rūpniecībā nozīmīgākos apjomu pieaugumus 2024. gadā pret 2023. gadu uzrādīja gumijas un plastmasas izstrādājumu ražošana (+7,8%) un nemetālisko minerālu izstrādājumu (būvmateriālu) ražošana (+4%), kā arī iekārtu un ierīču remonts un uzstādīšana (+17,7%). Savukārt nozares, kas samazināja kopējos apstrādes rūpniecības apjomus, bija metālizstrādājumu ražošana (-7,2%) un datoru, elektronisko un optisko iekārtu ražošana</w:t>
      </w:r>
      <w:r w:rsidR="0012227C" w:rsidRPr="001C0357">
        <w:rPr>
          <w:rFonts w:eastAsia="Aptos" w:cs="Times New Roman"/>
          <w:noProof/>
          <w:szCs w:val="20"/>
          <w14:ligatures w14:val="standardContextual"/>
        </w:rPr>
        <w:t xml:space="preserve"> </w:t>
      </w:r>
      <w:r w:rsidR="0012227C" w:rsidRPr="001C0357">
        <w:rPr>
          <w:rFonts w:eastAsia="Aptos" w:cs="Times New Roman"/>
          <w:noProof/>
          <w:szCs w:val="20"/>
          <w14:ligatures w14:val="standardContextual"/>
        </w:rPr>
        <w:br/>
      </w:r>
      <w:r w:rsidRPr="001C0357">
        <w:rPr>
          <w:rFonts w:eastAsia="Aptos" w:cs="Times New Roman"/>
          <w:noProof/>
          <w:szCs w:val="20"/>
          <w14:ligatures w14:val="standardContextual"/>
        </w:rPr>
        <w:t>(-13,8%).</w:t>
      </w:r>
      <w:r w:rsidR="00E17D18" w:rsidRPr="001C0357">
        <w:rPr>
          <w:rFonts w:eastAsia="Aptos" w:cs="Times New Roman"/>
          <w:noProof/>
          <w:szCs w:val="20"/>
          <w14:ligatures w14:val="standardContextual"/>
        </w:rPr>
        <w:t xml:space="preserve"> </w:t>
      </w:r>
      <w:r w:rsidR="00E17D18" w:rsidRPr="001C0357">
        <w:rPr>
          <w:noProof/>
        </w:rPr>
        <w:t>Lielākajās nozarēs, piemēram, kokrūpniecībā un pārtikas produktu ražošanā, nozīmīgas izmaiņas nenotika</w:t>
      </w:r>
      <w:r w:rsidRPr="001C0357">
        <w:rPr>
          <w:rFonts w:eastAsia="Aptos" w:cs="Times New Roman"/>
          <w:noProof/>
          <w:szCs w:val="20"/>
          <w14:ligatures w14:val="standardContextual"/>
        </w:rPr>
        <w:t>, attiecīgi +0,0% un +0,3%.</w:t>
      </w:r>
    </w:p>
    <w:p w14:paraId="1CD1E267" w14:textId="44D76366"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2025. gada ievadā ražotāji aptaujās pieprasījuma trūkumu joprojām norāda kā galveno apstrādes rūpniecību negatīvi ietekmējošo faktoru, tomēr gan vietējais, gan ārējais pieprasījums ir sācis palielināties, kas atspoguļojas arī ražošanas apjomu pieaugumā gan Latvijā, gan </w:t>
      </w:r>
      <w:r w:rsidR="00342ECA">
        <w:rPr>
          <w:rFonts w:eastAsia="Aptos" w:cs="Times New Roman"/>
          <w:noProof/>
          <w:szCs w:val="20"/>
          <w14:ligatures w14:val="standardContextual"/>
        </w:rPr>
        <w:t>ES</w:t>
      </w:r>
      <w:r w:rsidRPr="001C0357">
        <w:rPr>
          <w:rFonts w:eastAsia="Aptos" w:cs="Times New Roman"/>
          <w:noProof/>
          <w:szCs w:val="20"/>
          <w14:ligatures w14:val="standardContextual"/>
        </w:rPr>
        <w:t xml:space="preserve"> kopā. 2025. gada janvārī-maijā Latvijas apstrādes rūpniecības apjomi pieauga par 3,1% pret pērnā gada attiecīgo periodu, vislielāko pozitīvo pienesumu dodot tieši lielākajām apakšnozarēm kā kokrūpniecība, pārtikas produktu ražošana un nemetālisko minerālu ražošana. Turpretī pārējās divās rūpniecības pamatgrupās gada sākumā bijuši kritumi. Elektroenerģijas un gāzes apgāde samazinājās par 6,3%, bet ieguves rūpniecība saruka par 6%, kas kopējiem rūpniecības apjomiem neļāva pieaugt vairāk kā par 1,2%.</w:t>
      </w:r>
    </w:p>
    <w:p w14:paraId="3AE74B5B"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Elektroenerģijas un gāzes apgādes apjomu kritumu šā gada janvārī-maijā noteica samazinājumi bruto elektroenerģijas ražošanā par 28,5% un dabasgāzes patēriņā par 4,5%. Tajā </w:t>
      </w:r>
      <w:r w:rsidRPr="001C0357">
        <w:rPr>
          <w:rFonts w:eastAsia="Aptos" w:cs="Times New Roman"/>
          <w:noProof/>
          <w:szCs w:val="20"/>
          <w14:ligatures w14:val="standardContextual"/>
        </w:rPr>
        <w:lastRenderedPageBreak/>
        <w:t xml:space="preserve">skaitā no saules ražotā elektroenerģija ģenerēta teju divas reizes lielākā apmērā nekā pērnā gada janvārī-maijā un veidoja 8,4% no kopējiem Latvijā saražotajiem elektroenerģijas apjomiem. Attiecīgi, hidroelektrostaciju izlaide sastādīja 47,6% no kopējiem apjomiem, bet koģenerāciju stacijas saražoja 40,4% no kopapjomiem. </w:t>
      </w:r>
    </w:p>
    <w:p w14:paraId="5642B5E7"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Pieaugošais pieprasījums un ražošanas apjomi liecina par pozitīvām iezīmēm Latvijas apstrādes rūpniecības nozarē, tomēr jāņem vērā arī potenciālā negatīvā ASV ievedmuitas tarifu ietekme uz ekonomiku, tajā skaitā uz rūpniecības nozari visā Eiropā. Tiešā tarifu ietekme uz Latvijas ekonomiku nebūs izteikti jūtama, tomēr lielāka būs netiešā ietekme, ko radīs ASV lielāko partnervalstu Eiropā ekonomikas reakcija uz ieviestajiem tarifiem. Rūpniecības nozari Eiropā nelabvēlīgi ietekmē arī saspringtā ģeopolitiskā situācija, tomēr aizsardzības izdevumu palielināšana veicinās militāro rūpniecību. </w:t>
      </w:r>
    </w:p>
    <w:p w14:paraId="58494292"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Mazumtirdzniecības uzņēmumu apgrozījums apjomi salīdzināmās cenās 2023. gadā saruka par 2,2%, kam sekoja 0,9% pieaugums 2024. gadā, bet šā gada pirmajā pusgadā apjomi bijuši nedaudz zemāki (-0,1%) nekā 2024. gada pirmajā pusgadā. Mazumtirdzniecības apjomu kāpumu 2024. gadā nodrošināja augstais algu pieaugums, pirktspējai atjaunojoties pirmsenergokrīzes līmenī. Šā gada pirmajā pusgadā mazumtirdzniecības apjomi nav turpinājuši kāpumu galvenokārt pārtikas cenu pieauguma dēļ.</w:t>
      </w:r>
    </w:p>
    <w:p w14:paraId="0D8BCB36" w14:textId="77777777" w:rsidR="007C169A" w:rsidRPr="001C0357" w:rsidRDefault="007C169A" w:rsidP="007C169A">
      <w:pPr>
        <w:rPr>
          <w:rFonts w:eastAsia="Aptos" w:cs="Times New Roman"/>
          <w:noProof/>
          <w:szCs w:val="20"/>
          <w14:ligatures w14:val="standardContextual"/>
        </w:rPr>
      </w:pPr>
      <w:r w:rsidRPr="001C0357">
        <w:rPr>
          <w:rFonts w:eastAsia="Aptos" w:cs="Times New Roman"/>
          <w:b/>
          <w:bCs/>
          <w:noProof/>
          <w:szCs w:val="20"/>
          <w14:ligatures w14:val="standardContextual"/>
        </w:rPr>
        <w:t>Mazumtirdzniecības</w:t>
      </w:r>
      <w:r w:rsidRPr="001C0357">
        <w:rPr>
          <w:rFonts w:eastAsia="Aptos" w:cs="Times New Roman"/>
          <w:noProof/>
          <w:szCs w:val="20"/>
          <w14:ligatures w14:val="standardContextual"/>
        </w:rPr>
        <w:t xml:space="preserve"> pieaugumu 2024. gadā noteica nepārtikas preču un degvielas noieta pieaugums attiecīgi par 2,3% un 2,5%. Tomēr pārtikas preču tirgoto apjomu sarukums par 1,7% neļāva kopējai mazumtirdzniecībai pieaugt vairāk kā par 0,9%.</w:t>
      </w:r>
    </w:p>
    <w:p w14:paraId="46FF86DF" w14:textId="3F24A008"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Arī </w:t>
      </w:r>
      <w:r w:rsidR="00F666DB" w:rsidRPr="001C0357">
        <w:rPr>
          <w:rFonts w:eastAsia="Aptos" w:cs="Times New Roman"/>
          <w:noProof/>
          <w:szCs w:val="20"/>
          <w14:ligatures w14:val="standardContextual"/>
        </w:rPr>
        <w:t>2025.</w:t>
      </w:r>
      <w:r w:rsidRPr="001C0357">
        <w:rPr>
          <w:rFonts w:eastAsia="Aptos" w:cs="Times New Roman"/>
          <w:noProof/>
          <w:szCs w:val="20"/>
          <w14:ligatures w14:val="standardContextual"/>
        </w:rPr>
        <w:t xml:space="preserve"> gada pirmajā pusgadā pārtikas tirdzniecība turpina negatīvi ietekmēt kopējo mazumtirdzniecību. Salīdzinot ar pērnā gada pirmo pusgadu, nepārtikas preces tirgotas par 2,8% vairāk, bet degvielas un pārtikas preču noiets sarucis attiecīgi par 0,9% un 3,4%. Nepārtikas preču mazumtirdzniecību šā gada pirmajā pusgadā veicināja informācijas un komunikācijas tehnoloģiju iekārtu, kā arī mājsaimniecības piederumu mazumtirdzniecība. Nepārtikas preču noieta apjomi šā gada jūnijā tikai nedaudz atpaliek no vēsturiski augstākajiem apjomiem, kas tika fiksēti pērnā gada decembrī, un norāda uz augošu pirktspēju, tajā pašā laikā pārtikas mazumtirdzniecības līmenis ir zemākais pēdējo vienpadsmit gadu laikā. Pārtikas preču noieta samazinājumu ietekmē gan iedzīvotāju skaita samazināšanās, gan augstās pārtikas cenas, kam uzmanību arvien vairāk pievērš arī iedzīvotāji ar vidējiem un augstiem ienākumiem.</w:t>
      </w:r>
    </w:p>
    <w:p w14:paraId="53E5F1F3" w14:textId="551E7950" w:rsidR="007C169A" w:rsidRPr="001C0357" w:rsidRDefault="00342ECA" w:rsidP="007C169A">
      <w:pPr>
        <w:rPr>
          <w:rFonts w:eastAsia="Aptos" w:cs="Times New Roman"/>
          <w:noProof/>
          <w:szCs w:val="20"/>
          <w14:ligatures w14:val="standardContextual"/>
        </w:rPr>
      </w:pPr>
      <w:r>
        <w:rPr>
          <w:rFonts w:eastAsia="Aptos" w:cs="Times New Roman"/>
          <w:noProof/>
          <w:szCs w:val="20"/>
          <w14:ligatures w14:val="standardContextual"/>
        </w:rPr>
        <w:t xml:space="preserve">EK </w:t>
      </w:r>
      <w:r w:rsidR="007C169A" w:rsidRPr="001C0357">
        <w:rPr>
          <w:rFonts w:eastAsia="Aptos" w:cs="Times New Roman"/>
          <w:noProof/>
          <w:szCs w:val="20"/>
          <w14:ligatures w14:val="standardContextual"/>
        </w:rPr>
        <w:t>apkopotais mazumtirgotāju konfidences indekss šā gada pirmajā pusgadā bijis ar lejupslīdošu tendenci, ko galvenokārt nosaka tirgotāju aptaujās norādītie zemie pārdošanas apjomi pēdējo mēnešu laikā. Savukārt patērētāju konfidence ir augstākā kopš pērnā gada novembra, ko nosaka iedzīvotāju prognozes par savas finansiālās situācijas uzlabošanos nākamā gada laikā, kā arī plāni par lielāku noguldījumu veidošanu.</w:t>
      </w:r>
    </w:p>
    <w:p w14:paraId="377FE86B"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Šā gada pirmajā ceturksnī patēriņa cenas pieauga par 3,4%, tikmēr vidējais algu līmenis Latvijā auga par 8,3%. Starpība starp abiem pieaugumiem liecina par labiem priekšnosacījumiem mazumtirdzniecības nozares attīstībai. Tomēr pārtikas produktu cenas turpina pieaugt, tādējādi pārtikas preču mazumtirdzniecība var arī neuzrādīt pārdošanas apjomu pieaugumu, kas negatīvi ietekmēs šā gada kopējo mazumtirdzniecības nozares izaugsmi.</w:t>
      </w:r>
    </w:p>
    <w:p w14:paraId="4104355A" w14:textId="77777777" w:rsidR="007C169A" w:rsidRPr="001C0357" w:rsidRDefault="007C169A" w:rsidP="007C169A">
      <w:pPr>
        <w:rPr>
          <w:rFonts w:eastAsia="Aptos" w:cs="Times New Roman"/>
          <w:noProof/>
          <w:szCs w:val="20"/>
          <w14:ligatures w14:val="standardContextual"/>
        </w:rPr>
      </w:pPr>
      <w:r w:rsidRPr="001C0357">
        <w:rPr>
          <w:rFonts w:eastAsia="Aptos" w:cs="Times New Roman"/>
          <w:b/>
          <w:bCs/>
          <w:noProof/>
          <w:szCs w:val="20"/>
          <w14:ligatures w14:val="standardContextual"/>
        </w:rPr>
        <w:t xml:space="preserve">Būvniecības </w:t>
      </w:r>
      <w:r w:rsidRPr="001C0357">
        <w:rPr>
          <w:rFonts w:eastAsia="Aptos" w:cs="Times New Roman"/>
          <w:noProof/>
          <w:szCs w:val="20"/>
          <w14:ligatures w14:val="standardContextual"/>
        </w:rPr>
        <w:t xml:space="preserve">apjomi 2024. gadā samazinājās par 4,3% pēc 18,9% pieauguma 2023. gadā. Šā gada pirmajā ceturksnī apjomi auguši par 9% pret 2024. gada pirmo ceturksni un pēc sezonāli izlīdzinātiem datiem sasniedz augstākos apjomus kopš 2023. gada noslēdzošā ceturkšņa. </w:t>
      </w:r>
    </w:p>
    <w:p w14:paraId="597F876C"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Apjomu samazinājumu 2024. gadā noteica 19,5% sarukums ēku būvniecībā, savukārt inženierbūvniecība pieauga par 8,5%, bet specializētie būvdarbi auga par 0,5%. Ēku būvniecībā dzīvojamo māju būvniecība faktiskajās cenās samazinājās par 40,9%, bet nedzīvojamo ēku būvniecība saruka par 8,8%. Ēku būvniecības apjomus negatīvi ietekmēja stagnācija privātajā sektorā nenoteiktības un ģeopolitiskās situācijas dēļ, kas neļāva pieaugt arī privāto investīciju </w:t>
      </w:r>
      <w:r w:rsidRPr="001C0357">
        <w:rPr>
          <w:rFonts w:eastAsia="Aptos" w:cs="Times New Roman"/>
          <w:noProof/>
          <w:szCs w:val="20"/>
          <w14:ligatures w14:val="standardContextual"/>
        </w:rPr>
        <w:lastRenderedPageBreak/>
        <w:t xml:space="preserve">apjomiem. Tikmēr publiskajā sektorā ES fondu apguve bija visai lēna, kas aizkavēja jaunu būvniecības projektu realizāciju. Savukārt inženierbūvniecību veicināja 29,7% pieaugums pilsētsaimniecības infrastruktūras izbūvē. </w:t>
      </w:r>
    </w:p>
    <w:p w14:paraId="0C7B3040"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Šā gada sākumā būvniecības konfidence ir ievērojami uzlabojusies, palielinoties arī pasūtījumu apjomiem, kas atspoguļojas arī būvniecības apjomu pieaugumā šā gada pirmajā ceturksnī. Arī ES fondu apguve šogad ir vairāk kā divas reizes lielāka, salīdzinot ar pērnā gada pirmo pusgadu. Arī šā gada pirmajā ceturksnī izaugsmi turpina tieši inženierbūvniecība, kur attīstās ne tikai pilsētu infrastruktūra, bet arī tiltu, ceļu un dzelzceļu būvniecība.</w:t>
      </w:r>
    </w:p>
    <w:p w14:paraId="6CF6BDF2"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Šis gads būvniecības nozarē sācies ar pozitīvām iezīmēm, un augošie investīciju un ES fondu apguves apjomi, kā arī pieaugošās platības jaunajās būvatļaujās liecina par turpmāku būvniecības apjomu pieaugumu, tomēr būvniecības sektora kapacitātei ir robežas, tādējādi arvien aktuālāks kļūs jautājums par darbaspēka pietiekamību. </w:t>
      </w:r>
    </w:p>
    <w:p w14:paraId="50E1DDAE" w14:textId="0D20CA42" w:rsidR="007C169A" w:rsidRPr="001C0357" w:rsidRDefault="007C169A" w:rsidP="007C169A">
      <w:pPr>
        <w:rPr>
          <w:rFonts w:eastAsia="Aptos" w:cs="Times New Roman"/>
          <w:noProof/>
          <w:szCs w:val="20"/>
          <w14:ligatures w14:val="standardContextual"/>
        </w:rPr>
      </w:pPr>
      <w:r w:rsidRPr="001C0357">
        <w:rPr>
          <w:rFonts w:eastAsia="Aptos" w:cs="Times New Roman"/>
          <w:b/>
          <w:bCs/>
          <w:noProof/>
          <w:szCs w:val="20"/>
          <w14:ligatures w14:val="standardContextual"/>
        </w:rPr>
        <w:t>Transporta un uzglabāšanas nozare</w:t>
      </w:r>
      <w:r w:rsidRPr="001C0357">
        <w:rPr>
          <w:rFonts w:eastAsia="Aptos" w:cs="Times New Roman"/>
          <w:noProof/>
          <w:szCs w:val="20"/>
          <w14:ligatures w14:val="standardContextual"/>
        </w:rPr>
        <w:t xml:space="preserve"> bija viena no pandēmijas smagāk skartajām nozarēm un arī Krievijas uzsāktais karš Ukrainā un tirdzniecības ierobežojumi šo nozari ietekmēja spēcīgāk nekā pārējās. 2023. un 2024. gadā nozare piedzīvoja attiecīgi 7,2% un 7,9% kritumu, pasažieru pārvadājumu pieaugumam nespējot kompensēt zaudējumus kravu transportā, īpaši krītoties Krievijas kravu tranzītam dzelzceļā un ostās.</w:t>
      </w:r>
    </w:p>
    <w:p w14:paraId="0402444A" w14:textId="22BB3334"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Pasažieru skaits lidostā “Rīga” 2024. gadā, salīdzinot ar iepriekšējo gadu, palielinājās par 7,3% un sasniedza 7,1 milj</w:t>
      </w:r>
      <w:r w:rsidR="00F57A86">
        <w:rPr>
          <w:rFonts w:eastAsia="Aptos" w:cs="Times New Roman"/>
          <w:noProof/>
          <w:szCs w:val="20"/>
          <w14:ligatures w14:val="standardContextual"/>
        </w:rPr>
        <w:t>.</w:t>
      </w:r>
      <w:r w:rsidRPr="001C0357">
        <w:rPr>
          <w:rFonts w:eastAsia="Aptos" w:cs="Times New Roman"/>
          <w:noProof/>
          <w:szCs w:val="20"/>
          <w14:ligatures w14:val="standardContextual"/>
        </w:rPr>
        <w:t xml:space="preserve">, tomēr vēl joprojām nedaudz atpalika no 2019. gada līmeņa, kad pasažieru skaits lidostā bija sasniedzis 7,7 </w:t>
      </w:r>
      <w:r w:rsidR="00F57A86" w:rsidRPr="00F57A86">
        <w:rPr>
          <w:rFonts w:eastAsia="Aptos" w:cs="Times New Roman"/>
          <w:noProof/>
          <w:szCs w:val="20"/>
          <w14:ligatures w14:val="standardContextual"/>
        </w:rPr>
        <w:t>milj.</w:t>
      </w:r>
      <w:r w:rsidR="00F57A86">
        <w:rPr>
          <w:rFonts w:eastAsia="Aptos" w:cs="Times New Roman"/>
          <w:noProof/>
          <w:szCs w:val="20"/>
          <w14:ligatures w14:val="standardContextual"/>
        </w:rPr>
        <w:t xml:space="preserve"> </w:t>
      </w:r>
      <w:r w:rsidRPr="001C0357">
        <w:rPr>
          <w:rFonts w:eastAsia="Aptos" w:cs="Times New Roman"/>
          <w:noProof/>
          <w:szCs w:val="20"/>
          <w14:ligatures w14:val="standardContextual"/>
        </w:rPr>
        <w:t>Pasažieru skaits sauszemes transportā pieauga par 2,0%, bet jūras ostās tika apkalpots par 4,6% mazāk pasažieru nekā 2023. gadā.</w:t>
      </w:r>
    </w:p>
    <w:p w14:paraId="660289D2" w14:textId="749DC2E5"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Vienlaikus kravu apgrozījums ostās pērn saruka par 6,8% un kravu pārvadājumi dzelzceļā kritās par 28,0%. Kravu apjoma turpināja noteikt Krievijas energoproduktu tranzīta kritums, un kravu apgrozījums ostās ar 36,0 </w:t>
      </w:r>
      <w:r w:rsidR="00F57A86" w:rsidRPr="00F57A86">
        <w:rPr>
          <w:rFonts w:eastAsia="Aptos" w:cs="Times New Roman"/>
          <w:noProof/>
          <w:szCs w:val="20"/>
          <w14:ligatures w14:val="standardContextual"/>
        </w:rPr>
        <w:t>milj.</w:t>
      </w:r>
      <w:r w:rsidR="00F57A86">
        <w:rPr>
          <w:rFonts w:eastAsia="Aptos" w:cs="Times New Roman"/>
          <w:noProof/>
          <w:szCs w:val="20"/>
          <w14:ligatures w14:val="standardContextual"/>
        </w:rPr>
        <w:t xml:space="preserve"> </w:t>
      </w:r>
      <w:r w:rsidRPr="001C0357">
        <w:rPr>
          <w:rFonts w:eastAsia="Aptos" w:cs="Times New Roman"/>
          <w:noProof/>
          <w:szCs w:val="20"/>
          <w14:ligatures w14:val="standardContextual"/>
        </w:rPr>
        <w:t xml:space="preserve">tonnu veidoja jau mazāk par pusi no 2012. gada līmeņa, kad pārkrauto kravu apjoms bija vislielākais. Dzelzceļā pārvadāto kravu apjoms saruka līdz 11,1 </w:t>
      </w:r>
      <w:r w:rsidR="00F57A86" w:rsidRPr="00F57A86">
        <w:rPr>
          <w:rFonts w:eastAsia="Aptos" w:cs="Times New Roman"/>
          <w:noProof/>
          <w:szCs w:val="20"/>
          <w14:ligatures w14:val="standardContextual"/>
        </w:rPr>
        <w:t xml:space="preserve">milj. </w:t>
      </w:r>
      <w:r w:rsidRPr="001C0357">
        <w:rPr>
          <w:rFonts w:eastAsia="Aptos" w:cs="Times New Roman"/>
          <w:noProof/>
          <w:szCs w:val="20"/>
          <w14:ligatures w14:val="standardContextual"/>
        </w:rPr>
        <w:t>tonnu, kas atbilda vairs tikai vienai piektdaļai no 2012. gada līmeņa. Kravu apgrozība autopārvadājumos 2024. gadā palielinājās par 12,9%, ko nodrošināja galvenokārt spēcīgais pieaugums pārvadājumos ārvalstīs un eksporta pārvadājumos.</w:t>
      </w:r>
    </w:p>
    <w:p w14:paraId="0A6E2D4F"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Līdzīga situācija saglabājas arī 2025. gada sākumā, kad pasažieru pārvadājumi turpina mēreni palielināties, aug autopārvadājumu apjomi, bet dzelzceļa kravu tranzīta apjomi krītas. Vienlaikus dzelzceļa pārvadājumu apjomi jau ir samazinājušies līdz tik zemam līmenim, ka tālāks kritums vairs nevar būtiski ietekmēt nozares kopējos rezultātus, un pirmajā ceturksnī transporta nozares pievienotā vērtība pēc divu gadu pārtraukuma atkal uzrādījusi kāpumu, pret 2024. gada pirmo ceturksni palielinoties par 0,3%.</w:t>
      </w:r>
    </w:p>
    <w:p w14:paraId="3FCCF861"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2025. gada pirmajā pusē, salīdzinot ar pagājušā gada attiecīgo periodu, kravu apgrozījums ostās samazinājās par 11,4%, bet dzelzceļā pārvadāto kravu apjoms kritās par 26,6%, pēc Centrālās statistikas pārvaldes datiem. Kravu apgrozība autotransportā šā gada pirmajā ceturksnī, salīdzinot ar attiecīgo periodu pirms gada, nenozīmīgi kritās, samazinoties par 1,1%, samazinoties pārvadājumiem ārvalstīs, bet spēcīgi pieaugot eksporta pārvadājumiem un atsākot aug kravu pārvadājumiem iekšzemē.</w:t>
      </w:r>
    </w:p>
    <w:p w14:paraId="3561826C" w14:textId="6153ED2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Pasažieru skaits lidostā “Rīga” pagaidām nedaudz pārsniedz pagājušā gada līmeni – gada pirmajos sešos mēnešos apkalpoti 3,3 </w:t>
      </w:r>
      <w:r w:rsidR="00F57A86" w:rsidRPr="00F57A86">
        <w:rPr>
          <w:rFonts w:eastAsia="Aptos" w:cs="Times New Roman"/>
          <w:noProof/>
          <w:szCs w:val="20"/>
          <w14:ligatures w14:val="standardContextual"/>
        </w:rPr>
        <w:t>milj.</w:t>
      </w:r>
      <w:r w:rsidRPr="001C0357">
        <w:rPr>
          <w:rFonts w:eastAsia="Aptos" w:cs="Times New Roman"/>
          <w:noProof/>
          <w:szCs w:val="20"/>
          <w14:ligatures w14:val="standardContextual"/>
        </w:rPr>
        <w:t xml:space="preserve"> pasažieru, kas ir par 4,9% vairāk nekā pirms gada, taču pieauguma tempi mēnesi pēc mēneša mazinās un jūnijā pasažieru skaits jau bijis par 1,6% mazāks nekā attiecīgajā mēnesī pirms gada. Pasažieru skaits sauszemes transportā salīdzinājumā ar pagājušā gada pirmo ceturksni palielinājies par 2,1%, bet pasažieru skaits jūras ostās sarucis par 5,6%.</w:t>
      </w:r>
    </w:p>
    <w:p w14:paraId="78D53343"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Turpmākajos gados, līdzīgi kā 2025. gada sākumā, tranzīta apjomiem stabilizējoties sasniegtajā zemajā līmenī, nozarē kopumā sagaidāma lēna izaugsmes atjaunošanās, pamatā </w:t>
      </w:r>
      <w:r w:rsidRPr="001C0357">
        <w:rPr>
          <w:rFonts w:eastAsia="Aptos" w:cs="Times New Roman"/>
          <w:noProof/>
          <w:szCs w:val="20"/>
          <w14:ligatures w14:val="standardContextual"/>
        </w:rPr>
        <w:lastRenderedPageBreak/>
        <w:t>balstoties uz vietējo pieprasījumu un pārvadājumu apjoma pieaugumu Latvijas robežās, kā arī mērenu starptautisko autopārvadājumu kāpumu Eiropā.</w:t>
      </w:r>
    </w:p>
    <w:p w14:paraId="261C7CDD" w14:textId="69C43F39" w:rsidR="007C169A" w:rsidRPr="001C0357" w:rsidRDefault="007C169A" w:rsidP="007C169A">
      <w:pPr>
        <w:rPr>
          <w:rFonts w:eastAsia="Aptos" w:cs="Times New Roman"/>
          <w:noProof/>
          <w:szCs w:val="20"/>
          <w14:ligatures w14:val="standardContextual"/>
        </w:rPr>
      </w:pPr>
      <w:r w:rsidRPr="001C0357">
        <w:rPr>
          <w:rFonts w:eastAsia="Aptos" w:cs="Times New Roman"/>
          <w:b/>
          <w:bCs/>
          <w:noProof/>
          <w:szCs w:val="20"/>
          <w14:ligatures w14:val="standardContextual"/>
        </w:rPr>
        <w:t>Finanšu un apdrošināšanas nozarē</w:t>
      </w:r>
      <w:r w:rsidRPr="001C0357">
        <w:rPr>
          <w:rFonts w:eastAsia="Aptos" w:cs="Times New Roman"/>
          <w:noProof/>
          <w:szCs w:val="20"/>
          <w14:ligatures w14:val="standardContextual"/>
        </w:rPr>
        <w:t xml:space="preserve"> līdz ar 2024. gada vidū Eiropas Centrālās bankas uzsākto noguldījumu likmju un tam sekojošo Euribor likmju samazinājumu ir mazinājusies arī banku peļņu, taču vienlaicīgi ir aktivizējusies arī kreditēšana un banku kredītportfeļi pēc ilgāka laika ir atsākuši pieaugt. Kopumā 2024. gadā banku peļņa bija 521,5 </w:t>
      </w:r>
      <w:r w:rsidR="00F57A86" w:rsidRPr="00F57A86">
        <w:rPr>
          <w:rFonts w:eastAsia="Aptos" w:cs="Times New Roman"/>
          <w:noProof/>
          <w:szCs w:val="20"/>
          <w14:ligatures w14:val="standardContextual"/>
        </w:rPr>
        <w:t xml:space="preserve">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kas ir par 9% mazāk nekā 2023. gadā. Pēdējo reizi Eiropas Centrālā banka procentu likmju samazinājuma veica 2025. gada 11. jūnijā, fiksējot noguldījumu likmi 2% apmērā un 24. jūlijā jau turpmāka procentu likmju samazināšana vairs netika veikta. Tādējādi pēc gadu ilgas likmju samazināšanas tika paņemts pārtraukums, jo inflācija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zonā ir sasniegusi savu vidējā termiņa mērķi 2%, kā arī nepieciešams sagaidīt skaidrību par Eiropas turpmākajām tirdzniecības attiecībām ar ASV.</w:t>
      </w:r>
    </w:p>
    <w:p w14:paraId="2DEEF6F0"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Aktivizējoties kreditēšanai, banku hipotekāro kredītportfeļu kopējais apjoms 2025. gada jūnija beigās ir palielinājies par 7,7% salīdzinot ar tādu pašu periodu 2024. gadā, jo tikai no jauna izsniegto mājokļu kredītu apjoms 2025. gadā ir palielinājies pat par 49,8%, salīdzinot ar tādu pašu periodu pērn. Taču joprojām gan Lietuvā, gan Igaunijā kreditēšanas tempi turpina būt vēl straujāki kā Latvijā. Piemēram, hipotekāro kredītu kopējais apjoms Igaunijā uz 2025. gada jūnija beigām salīdzinot ar 2024. gadu ir audzis par 10%, bet Lietuvā par 11,9%. Tāpat arī uzņēmumu kreditēšana gan Igaunijā, gan Lietuvā notiek straujāk kā Latvijā, un 2025. gada jūnija beigās kredītportfeļu atlikumu pieaugums pret 2024. gada attiecīgo periodu Igaunijā bija 13,4%, Lietuvā 19,7%, bet Latvijā 8,8%.</w:t>
      </w:r>
    </w:p>
    <w:p w14:paraId="4384280F" w14:textId="77777777" w:rsidR="007C169A" w:rsidRPr="001C0357" w:rsidRDefault="007C169A" w:rsidP="002F673F">
      <w:pPr>
        <w:pStyle w:val="NoSpacing"/>
        <w:rPr>
          <w:b/>
          <w:bCs/>
          <w:noProof/>
        </w:rPr>
      </w:pPr>
      <w:r w:rsidRPr="001C0357">
        <w:rPr>
          <w:b/>
          <w:bCs/>
          <w:noProof/>
        </w:rPr>
        <w:t>Ārējā tirdzniecība</w:t>
      </w:r>
    </w:p>
    <w:p w14:paraId="40019D3E" w14:textId="31CA041E"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2024. gads Latvijas eksportētājiem bija ļoti izaicinošs, jo ārējās tirdzniecības aktivitātes kritums pērnajā gadā bija vērojams visā </w:t>
      </w:r>
      <w:r w:rsidR="00342ECA">
        <w:rPr>
          <w:rFonts w:eastAsia="Aptos" w:cs="Times New Roman"/>
          <w:noProof/>
          <w:szCs w:val="20"/>
          <w14:ligatures w14:val="standardContextual"/>
        </w:rPr>
        <w:t>ES</w:t>
      </w:r>
      <w:r w:rsidRPr="001C0357">
        <w:rPr>
          <w:rFonts w:eastAsia="Aptos" w:cs="Times New Roman"/>
          <w:noProof/>
          <w:szCs w:val="20"/>
          <w14:ligatures w14:val="standardContextual"/>
        </w:rPr>
        <w:t xml:space="preserve"> – eksporta tirgū, kas nodrošina gandrīz 70% no kopējā Latvijas eksporta. Vārgā ekonomikas izaugsme ES, ko negatīvi ietekmēja cīņa ar augsto inflāciju iepriekšējos gados un starptautisko piegādes ķēžu maiņa ģeopolitisko faktoru dēļ, vājināja apstrādes rūpniecību un būvniecības nozari ES, kas ir īpaši svarīga Latvijas preču eksportētājiem. 2024. gadā kopumā Latvijas preču un pakalpojumu eksporta vērtība salīdzināmajās cenās veidoja 20,9 </w:t>
      </w:r>
      <w:r w:rsidR="00F57A86" w:rsidRPr="00F57A86">
        <w:rPr>
          <w:rFonts w:eastAsia="Aptos" w:cs="Times New Roman"/>
          <w:noProof/>
          <w:szCs w:val="20"/>
          <w14:ligatures w14:val="standardContextual"/>
        </w:rPr>
        <w:t>mljrd.</w:t>
      </w:r>
      <w:r w:rsidRPr="001C0357">
        <w:rPr>
          <w:rFonts w:eastAsia="Aptos" w:cs="Times New Roman"/>
          <w:noProof/>
          <w:szCs w:val="20"/>
          <w14:ligatures w14:val="standardContextual"/>
        </w:rPr>
        <w:t xml:space="preserve">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kas bija par 1,6% mazāk nekā 2023. gadā, ko negatīvi ietekmēja gan preču, gan pakalpojumu eksporta samazinājums. Kopējā eksporta vērtība samazinājās jau otro gadu pēc kārtas. Lai arī eksporta samazinājumu 1,6% apmērā pērnajā gadā var uzskatīt par mērenu, tomēr divos gados kopā eksporta kritums veidoja jau 6,2% un bija viens no straujākajiem ES. Vēl straujāks preču un pakalpojumu eksporta kritums pēdējos divos gados bijis tikai Beļģijā – par 10,3% un Igaunijā – par 10,0%. Lietuvā arī 2023. gadā bija būtisks eksporta samazinājums 3,4% apmērā, bet 2024. gadā jau bija fiksēts 2,1% pieaugums. Ņemot vērā, ka kopējais ES eksports pēdējos gados uzrāda nelielu kāpumu, tas nozīmē, ka Baltijas valstis visasāk izjuta ārējā pieprasījuma kritumu. </w:t>
      </w:r>
    </w:p>
    <w:p w14:paraId="18FA2C8A" w14:textId="2B308192"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2024. gadā samazinājusies arī Latvijas preču un pakalpojumu importa vērtība – par 2,3%, ko noteica gan preču, it īpaši kapitālpreču un starppatēriņa preču imports, gan pakalpojumu importa samazinājums. Kopējā preču un pakalpojumu importa vērtība salīdzināmajās cenās veidoja 21,7 </w:t>
      </w:r>
      <w:r w:rsidR="00F57A86" w:rsidRPr="00F57A86">
        <w:rPr>
          <w:rFonts w:eastAsia="Aptos" w:cs="Times New Roman"/>
          <w:noProof/>
          <w:szCs w:val="20"/>
          <w14:ligatures w14:val="standardContextual"/>
        </w:rPr>
        <w:t>mljrd.</w:t>
      </w:r>
      <w:r w:rsidR="00F57A86">
        <w:rPr>
          <w:rFonts w:eastAsia="Aptos" w:cs="Times New Roman"/>
          <w:noProof/>
          <w:szCs w:val="20"/>
          <w14:ligatures w14:val="standardContextual"/>
        </w:rPr>
        <w:t xml:space="preserve">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Ņemot vērā, ka preču un pakalpojumu imports ir samazinājies straujāk nekā eksports, ārējās tirdzniecības bilance 2024. gadā ir uzlabojusies. Ārējās tirdzniecības deficīts pērnajā gadā veidoja 799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kas bija par 182</w:t>
      </w:r>
      <w:r w:rsidR="002F42DD">
        <w:rPr>
          <w:rFonts w:eastAsia="Aptos" w:cs="Times New Roman"/>
          <w:noProof/>
          <w:szCs w:val="20"/>
          <w14:ligatures w14:val="standardContextual"/>
        </w:rPr>
        <w:t> </w:t>
      </w:r>
      <w:r w:rsidRPr="001C0357">
        <w:rPr>
          <w:rFonts w:eastAsia="Aptos" w:cs="Times New Roman"/>
          <w:noProof/>
          <w:szCs w:val="20"/>
          <w14:ligatures w14:val="standardContextual"/>
        </w:rPr>
        <w:t xml:space="preserve">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mazāk nekā gadu iepriekš salīdzināmajās cenās (faktiskajās cenas deficīts veidoja 1029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kas bija par 432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mazāk nekā gadu iepriekš). Tādējādi ārējās tirdzniecības devums IKP izaugsmē bija pozitīvs jeb 0,6 procentpunkti. Ārējās tirdzniecības nozīme 2024. gadā nedaudz samazinājusies. Eksporta un importa īpatsvars IKP veidoja attiecīgi 64,1% un 66,5%.</w:t>
      </w:r>
    </w:p>
    <w:p w14:paraId="508B7BE1"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2025. gada pirmajā ceturksnī situācija ārējā tirdzniecībā mainījusies, bet ne uz labāko pusi. Kopējā preču un pakalpojumu eksporta vērtība turpināja samazināties, bet importam tika </w:t>
      </w:r>
      <w:r w:rsidRPr="001C0357">
        <w:rPr>
          <w:rFonts w:eastAsia="Aptos" w:cs="Times New Roman"/>
          <w:noProof/>
          <w:szCs w:val="20"/>
          <w14:ligatures w14:val="standardContextual"/>
        </w:rPr>
        <w:lastRenderedPageBreak/>
        <w:t>fiksēts būtisks pieaugums, tādējādi palielinot ārējās tirdzniecības deficītu. Eksportā samazinājumu 1,8% apmērā salīdzināmajās cenās gada izteiksmē ietekmēja preču eksporta kritums par 3,9%, kamēr pakalpojumu eksportam vērtība bija par 5,1% augstāka salīdzinājumā ar pērnā gada pirmo ceturksni. Tomēr tas nebija pietiekami, lai kompensētu preču eksporta kritumu. Importa pusē palielinājusies gan preču, gan pakalpojumu vērtība.</w:t>
      </w:r>
    </w:p>
    <w:p w14:paraId="121C4719" w14:textId="153F349E"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Aktuālākie ikmēneša ārējās tirdzniecības dati iezīmē citu, pozitīvāku eksporta attīstību šajā gadā. Tomēr jāatzīmē, ka mēneša dati tiek atspoguļoti faktiskajās cenās, kas nozīmē, ka no datiem nav izslēgta cenu pārmaiņu ietekme. Atbilstoši Centrālās Statistikas pārvaldes datiem, preču eksporta vērtība faktiskajās cenās šā gada pirmajos piecos mēnešos bija par 4,6% jeb 363</w:t>
      </w:r>
      <w:r w:rsidR="002F42DD">
        <w:rPr>
          <w:rFonts w:eastAsia="Aptos" w:cs="Times New Roman"/>
          <w:noProof/>
          <w:szCs w:val="20"/>
          <w14:ligatures w14:val="standardContextual"/>
        </w:rPr>
        <w:t> </w:t>
      </w:r>
      <w:r w:rsidRPr="001C0357">
        <w:rPr>
          <w:rFonts w:eastAsia="Aptos" w:cs="Times New Roman"/>
          <w:noProof/>
          <w:szCs w:val="20"/>
          <w14:ligatures w14:val="standardContextual"/>
        </w:rPr>
        <w:t xml:space="preserve">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augstāka nekā attiecīgajā periodā 2024. gadā. Preču eksporta pieaugums bija fiksēts praktiski visām preču grupām, izņemot ķīmiskās rūpniecības ražojumus, koksnes un koka izstrādājumus, kā arī papīru un poligrāfijas izstrādājumus. </w:t>
      </w:r>
    </w:p>
    <w:p w14:paraId="61E0542F"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Lielāko devumu preču eksporta pieaugumā nodrošināja minerālproduktu eksporta pieaugums par 37,9% jeb 247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tādējādi izskaidrojot divas trešdaļas no preču eksporta pieauguma šā gada piecos mēnešos. </w:t>
      </w:r>
      <w:bookmarkStart w:id="1" w:name="_Hlk197961944"/>
      <w:r w:rsidRPr="001C0357">
        <w:rPr>
          <w:rFonts w:eastAsia="Aptos" w:cs="Times New Roman"/>
          <w:noProof/>
          <w:szCs w:val="20"/>
          <w14:ligatures w14:val="standardContextual"/>
        </w:rPr>
        <w:t xml:space="preserve">Minerālproduktu eksporta kāpumu noteica naftas, gāzes un akmeņogļu reeksports. Lai gan šāds pieaugums vērtējams pozitīvi, tomēr no eksporta attīstības skatu punkta </w:t>
      </w:r>
      <w:bookmarkEnd w:id="1"/>
      <w:r w:rsidRPr="001C0357">
        <w:rPr>
          <w:rFonts w:eastAsia="Aptos" w:cs="Times New Roman"/>
          <w:noProof/>
          <w:szCs w:val="20"/>
          <w14:ligatures w14:val="standardContextual"/>
        </w:rPr>
        <w:t xml:space="preserve">fakts, ka vairāk nekā pusi no kopējā preču eksporta pieauguma nodrošina ar reeksportu saistīta preču grupa, ir slikti, jo reeksporta apjomi ir nepastāvīgi un svārstīgi. Papildus tam, ieguldījums pievienotajā vērtībā no reeksporta ir būtiski mazāks nekā no tiešā eksporta precēm, kuras saražotas Latvijā. Savukārt elektroenerģijas eksports bijis par trešdaļu jeb 54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mazāks nekā pērnā gada piecos mēnešos. Arī importa datos minerālproduktiem fiksēts straujākais pieaugums no visām preču grupām (+312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jeb 39,8%, salīdzinot ar 2024. gada pieciem mēnešiem), kas apliecina, ka eksporta pieaugumu šajā grupā nodrošina reeksports.</w:t>
      </w:r>
    </w:p>
    <w:p w14:paraId="760A8190"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Nozīmīgu devumu preču eksporta izaugsmē šā gada piecos mēnešos noteica lauksaimniecības un pārtikas preces, eksporta vērtībai palielinoties par 3,2% jeb 55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Preču eksportu šajā grupā pozitīvi ietekmēja augstāks piena pārstrādes produktu, gaļas produktu, graudaugu un eļļas augu sēklu eksports. Eksporta kāpums pārējās preču grupās bija būtiski zemāks. Satiksmes līdzekļu eksports pieauga par 4,8% jeb 22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ko veicināja automobiļu reeksports. Savukārt tekstilizstrādājumu, būvizstrādājumu un metālu eksporta vērtība bija par 15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augstāka nekā 2024. gada pirmajos piecos mēnešos. </w:t>
      </w:r>
    </w:p>
    <w:p w14:paraId="0C196023"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Pakalpojumu eksports šā gada pirmajā ceturksnī auga ļoti strauji, vidējam pieaugumam pietuvojoties 10%. Tomēr šā gada aprīlī pakalpojumu eksporta kāpums sabremzējas līdz 1%, bet maijā pakalpojumu eksports samazinājies par 4,1% gada griezumā. Tādējādi pakalpojumu eksporta vērtība šā gada piecos mēnešos bija tikai par 4,6% augstāka nekā attiecīgajā periodā pērn. Pakalpojumu eksporta pieaugumu veicināja telesakaru, informācijas un datorpakalpojumu, būvniecības un citu saimnieciskās darbības pakalpojumu eksporta kāpums. Palielinājās arī ārvalstu tūristu izdevumi Latvijā, kopumā sasniedzot 494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kas bija par 20,2% jeb 83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vairāk nekā 2024. gada piecos mēnešos. Apkalpoto ārvalstu viesu skaits šā gada piecos mēnešos palielinājies par 12,9%, veidojot 534 tūkst. cilvēku. Savukārt ārvalstu viesu pavadīto nakšu skaits palielinājies vēl vairāk, kopumā par 16,3%. Vislielākais ārvalstu viesu skaita pieaugums bija fiksēts no Apvienotas Karalistes, Igaunijas, Nīderlandes, Polijas, Somijas, Zviedrijas un ASV. Savukārt no Lietuvas, valsts, kura nodrošina lielāko ārvalstu tūristu plūsmu, tūristu skaits šā gada piecos mēnešos ir samazinājies. Lai arī kopējais ārvalstu tūristu skaits Latvijā nepārtraukti palielinās kopš Covid-19 ierobežojumu atcelšanas, tomēr ārvalstu viesu skaits joprojām aptuveni par 20% atpaliek no pirmspandēmijas līmeņa. Straujāku pakalpojumu eksporta izaugsmi bremzē transporta pakalpojumu eksporta kritums par 13,4% jeb 130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salīdzinājumā ar pērnā gada pieciem mēnešiem. </w:t>
      </w:r>
      <w:bookmarkStart w:id="2" w:name="_Hlk204332676"/>
      <w:r w:rsidRPr="001C0357">
        <w:rPr>
          <w:rFonts w:eastAsia="Aptos" w:cs="Times New Roman"/>
          <w:noProof/>
          <w:szCs w:val="20"/>
          <w14:ligatures w14:val="standardContextual"/>
        </w:rPr>
        <w:t>Transporta pakalpojumu eksporta samazinājums fiksēts visiem transporta veidiem, bet noteicošā ietekme bija ieņēmumu samazinājumam no pasažieru pārvadājumiem ar gaisa transportu un kravu pārvadājumiem pa dzelzceļu.</w:t>
      </w:r>
    </w:p>
    <w:bookmarkEnd w:id="2"/>
    <w:p w14:paraId="4489C4B4"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lastRenderedPageBreak/>
        <w:t xml:space="preserve">Eksporta izaugsmi šā gada šā gada piecos mēnešos var uzskatīt par trauslu, ņemot vērā vājo starptautiskās tirdzniecības aktivitāti sarežģītajos ģeopolitiskajos apstākļos. Ņemot vērā ASV īstenoto ārējās tirdzniecības politiku un plānoto muitas tarifu ieviešanu lielākajām pasaules ekonomikām, Latvijas preču eksporta pieauguma izredzes pasliktinās. Latvijas preču eksporta konkurētspēja pēdējos gados ir pasliktinājusies, tādējādi zaudējot tirgus daļas pasaules preču importā. Vēl viens trieciens ārējai tirdzniecībai, kas izpaustos kā protekcionisma vilnis pasaules tirdzniecībā, varētu mazināt eksporta attīstības iespējas šogad. Eiropas Savienības, kas nodrošina gandrīz trīs ceturtdaļas no Latvijas eksporta, kopējais eksports un imports šā gada pirmajā ceturksnī palielinājies attiecīgi par 4,3% un 5,5% faktiskajās cenās, ko var uzskatīt par atzīstamu pieaugumu uz pagājušā gada fona. Tomēr otrajā ceturksnī ārējās tirdzniecības aktivitātes pieaugums ES varētu piebremzēties, ko negatīvi ietekmēs ASV 9. aprīlī izziņotie muitas tarifi ES un citām valstīm. Šā gada 9. jūlijā muitas tarifiem vajadzēja stāties spēkā, tomēr termiņš tika pagarināts līdz 1.augustam. </w:t>
      </w:r>
    </w:p>
    <w:p w14:paraId="744C0AC0"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Lai arī preču un pakalpojumu eksports uz ASV pēdējos gados pieaudzis attiecīgi līdz 530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un 457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ASV preču eksporta tirgus ar 2,8% īpatsvaru un 5,9% pakalpojumos, nav tik nozīmīgs, lai būtiski ietekmētu preču eksporta dinamiku. Svarīgi norādīt, ka muitas tarifu ieviešanas gadījumā visām precēm preču eksports uz ASV netiek apturēts. Muitas tarifu būtība ir iekasēt vairāk nodokļu ieņēmumu, nevis apturēt importu, līdz ar to sagaidāms, ka Latvijas preču eksports turpinās plūst uz ASV, pat ja tiks ieviesti muitas tarifi visām precēm, bet mazākā apmērā. </w:t>
      </w:r>
    </w:p>
    <w:p w14:paraId="24454E07" w14:textId="3174134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No šā gada 12. marta stājās spēkā ASV ieviestā muitas nodeva 25% apmērā tēraudam un alumīnijam no visām valstīm, tajā skaitā arī ES dalībvalstīm. Savukārt no 4.jūnija šie tarifi tika palielināti līdz 50% visām valstīm, izņemot Lielbritāniju. Pērnajā gadā Latvijas tērauda un alumīnija eksporta vērtība uz ASV bija vien 13,5 </w:t>
      </w:r>
      <w:r w:rsidR="00F57A86" w:rsidRPr="00F57A86">
        <w:rPr>
          <w:rFonts w:eastAsia="Aptos" w:cs="Times New Roman"/>
          <w:noProof/>
          <w:szCs w:val="20"/>
          <w14:ligatures w14:val="standardContextual"/>
        </w:rPr>
        <w:t xml:space="preserve">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kas uz kopējā preču eksporta fona 18,8 </w:t>
      </w:r>
      <w:r w:rsidR="00F57A86" w:rsidRPr="00F57A86">
        <w:rPr>
          <w:rFonts w:eastAsia="Aptos" w:cs="Times New Roman"/>
          <w:noProof/>
          <w:szCs w:val="20"/>
          <w14:ligatures w14:val="standardContextual"/>
        </w:rPr>
        <w:t>mljrd.</w:t>
      </w:r>
      <w:r w:rsidRPr="001C0357">
        <w:rPr>
          <w:rFonts w:eastAsia="Aptos" w:cs="Times New Roman"/>
          <w:noProof/>
          <w:szCs w:val="20"/>
          <w14:ligatures w14:val="standardContextual"/>
        </w:rPr>
        <w:t xml:space="preserve">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apmērā ir sīkums. Līdz ar to tiešā ietekme ir nebūtiska. Tomēr kopējā Latvijas tērauda un alumīnija, kā arī to izstrādājumu eksporta vērtība pērnajā gadā bija gandrīz 750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Galvenie eksporta tirgi bija ES, Apvienotā Karaliste un Norvēģija, tādējādi ieviesto muitas tarifu netiešā ietekme, kas atspoguļosies caur eksporta kritumu mūsu galvenajos noieta tirgos, varētu būt jūtama. Kopējā preču eksporta vērtība uz ASV šā gada piecos mēnešos bija tikai par 0,5% zemāka nekā pērnā gada attiecīgajā periodā, saglabājot īpatsvaru 2024. gada līmenī. </w:t>
      </w:r>
    </w:p>
    <w:p w14:paraId="11CF3A23"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Jāsaka, ka kopš šā gada aprīļa situācija ar muitas tarifiem bijusi haotiska, jo tie vairākas reizes tika pārskatīti, atlikti, Ķīnas gadījumā arī samazināti. Tāda neparedzamība no pasaules lielākās ekonomikas puses rada nenoteiktību gan preču, gan finanšu tirgos, kas negatīvi ietekmē ekonomisko aktivitāti. Tādējādi riski pasaules tirdzniecībai saglabājas augsti. </w:t>
      </w:r>
    </w:p>
    <w:p w14:paraId="55F61127" w14:textId="12604DC0"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Šā gada aprīlī SVF pārskatīja pasaules ekonomikas izaugsmes prognozes šim gadam, būtiski tās samazinot. SVF prognozē, ka pasaules ekonomika šogad palielināsies par 2,8%, kas ir par 0,5</w:t>
      </w:r>
      <w:r w:rsidR="000B51C7">
        <w:rPr>
          <w:rFonts w:eastAsia="Aptos" w:cs="Times New Roman"/>
          <w:noProof/>
          <w:szCs w:val="20"/>
          <w14:ligatures w14:val="standardContextual"/>
        </w:rPr>
        <w:t> </w:t>
      </w:r>
      <w:r w:rsidRPr="001C0357">
        <w:rPr>
          <w:rFonts w:eastAsia="Aptos" w:cs="Times New Roman"/>
          <w:noProof/>
          <w:szCs w:val="20"/>
          <w14:ligatures w14:val="standardContextual"/>
        </w:rPr>
        <w:t>procentpunktiem mazāk salīdzinājumā ar janvāra prognozēm, kā arī par 0,5</w:t>
      </w:r>
      <w:r w:rsidR="000B51C7">
        <w:rPr>
          <w:rFonts w:eastAsia="Aptos" w:cs="Times New Roman"/>
          <w:noProof/>
          <w:szCs w:val="20"/>
          <w14:ligatures w14:val="standardContextual"/>
        </w:rPr>
        <w:t> </w:t>
      </w:r>
      <w:r w:rsidRPr="001C0357">
        <w:rPr>
          <w:rFonts w:eastAsia="Aptos" w:cs="Times New Roman"/>
          <w:noProof/>
          <w:szCs w:val="20"/>
          <w14:ligatures w14:val="standardContextual"/>
        </w:rPr>
        <w:t xml:space="preserve">procentpunktiem mazāk, nekā bija pasaules IKP pieaugums pērnajā gadā. IKP izaugsmes prognozes 2025. gadam ir samazinātas visām pasaules lielākajām ekonomikām, tostarp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zonai par 0,2 procentpunktiem līdz 0,8%. SVF secina, ka nenoteiktība ir sasniegusi jaunus rekordaugstus līmeņus, atspoguļojot tirdzniecības tarifu likmes gadsimtā nepieredzētā līmenī un ļoti neparedzamu starptautisko vidi.</w:t>
      </w:r>
    </w:p>
    <w:p w14:paraId="5BFCE719" w14:textId="7E80D1CA"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Atbilstoši Finanšu ministrijas aktualizētajām makroekonomisko rādītāju prognozēm Latvijas preču un pakalpojumu eksports 2025. gadā salīdzināmajās cenās palielināsies par 1,9%, bet preču un pakalpojumu imports pieaugs par 3,2%. Tādējādi ārējās tirdzniecības devums IKP pieaugumā būs negatīvs, 0,9 procentpunktu apmērā. Nenoteiktība ar muitas tarifiem negatīvi ietekmēs pasaules ārējo tirdzniecību. ASV noteikto muitas tarifu tiešā ietekme uz Latvijas ekonomiku un ārējo tirdzniecību varētu būt samēra maza. Savukārt netiešā ietekme, kas izpaudīsies Eiropas Savienības ekonomikas izaugsmes palēninājumā, varētu būt jūtama. Tas mazinās pieprasījumu pēc Latvijas precēm ES tirgū. Tarifu ietekme uz Eiropas ekonomiku </w:t>
      </w:r>
      <w:r w:rsidRPr="001C0357">
        <w:rPr>
          <w:rFonts w:eastAsia="Aptos" w:cs="Times New Roman"/>
          <w:noProof/>
          <w:szCs w:val="20"/>
          <w14:ligatures w14:val="standardContextual"/>
        </w:rPr>
        <w:lastRenderedPageBreak/>
        <w:t xml:space="preserve">kopumā ir daudz lielāka nekā uz Latvijas ekonomiku, ņemot vērā, ka eksports uz ASV veido vairāk nekā 20% no kopējā ES eksporta. Īpaši smagi skartas ir lielās autobūves valstis, tajā skaitā Vācija, kas ir trešā lielākā Latvijas ārējās tirdzniecības partnervalsts. Apstākļos, kad ASV piemēro tirdzniecības tarifus gan ES, gan citām pasaules ekonomikām, ātri pārorientēt uz ASV eksportētās preces uz citiem tirgiem būs grūti. Tomēr šajos ģeopolitiskajos apstākļos ir svarīgi turpināt meklēt jaunas piegāžu iespējas un preču noieta tirgus no vienas puses, kā arī uzlabot preču eksporta struktūru, palielinot preču ar augstu pievienoto vērtību ražošanu un eksportu. Šis process ilgstošs un prasa lielu investīciju apjomu, tomēr ilgtermiņā tas ir vienīgais ceļš, lai paaugstinātu eksporta konkurētspēju. </w:t>
      </w:r>
    </w:p>
    <w:p w14:paraId="103A936F" w14:textId="77777777" w:rsidR="007C169A" w:rsidRPr="001C0357" w:rsidRDefault="007C169A" w:rsidP="002F673F">
      <w:pPr>
        <w:pStyle w:val="NoSpacing"/>
        <w:rPr>
          <w:b/>
          <w:bCs/>
          <w:noProof/>
        </w:rPr>
      </w:pPr>
      <w:r w:rsidRPr="001C0357">
        <w:rPr>
          <w:b/>
          <w:bCs/>
          <w:noProof/>
        </w:rPr>
        <w:t>Tekošais konts</w:t>
      </w:r>
    </w:p>
    <w:p w14:paraId="3236CBA3"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Maksājumu bilances tekošā konta deficīts pēdējos divos gados samazinās. Ja 2022. gadā tekošā konta deficīts bija 5,5% no IKP, tad 2023. gadā un 2024. gadā tas pakāpeniski samazinājies attiecīgi līdz 3,9% un 2,1%. Tādējādi tekošā konta deficīts pērnajā gadā veidoja 848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Šādu deficītu joprojām var uzskatīt par augstu, tomēr tas nerāda ekonomikas nesabalansētības riskus un atspoguļo lēnu tautsaimniecības attīstību. Tekošā konta deficīta samazinājumu 2024. gadā noteica visi apakškonti, tomēr noteicošā loma bija preču un sākotnējo ienākumu kontam. </w:t>
      </w:r>
    </w:p>
    <w:p w14:paraId="7B2EFC89" w14:textId="52A26B21"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Ņemot vērā, ka preču imports samazinājies straujāk par preču eksportu, preču konta deficīts samazinājies par 355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un veidoja 3294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Pateicoties straujākam pakalpojumu eksporta pieaugumam, pakalpojumu konta pārpalikums pērnajā gadā bija par 76</w:t>
      </w:r>
      <w:r w:rsidR="0012227C" w:rsidRPr="001C0357">
        <w:rPr>
          <w:rFonts w:eastAsia="Aptos" w:cs="Times New Roman"/>
          <w:noProof/>
          <w:szCs w:val="20"/>
          <w14:ligatures w14:val="standardContextual"/>
        </w:rPr>
        <w:t> </w:t>
      </w:r>
      <w:r w:rsidRPr="001C0357">
        <w:rPr>
          <w:rFonts w:eastAsia="Aptos" w:cs="Times New Roman"/>
          <w:noProof/>
          <w:szCs w:val="20"/>
          <w14:ligatures w14:val="standardContextual"/>
        </w:rPr>
        <w:t xml:space="preserve">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augstāks, sasniedzot 2264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Tādējādi pakalpojumu konta pārpalikums nosedza 69% no preču konta deficīta. </w:t>
      </w:r>
    </w:p>
    <w:p w14:paraId="549B092E" w14:textId="47C0E232"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Sākotnējo ienākumu konta deficīts 2024. gadā samazinājies par 253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un veidoja 674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Konta bilances uzlabošanos labvēlīgi ietekmēja augstāki ieguldījumu ienākumi, ko Latvijas rezidenti saņēma no aktīviem citās valstīs, kā arī lielāka nodarbināto saņemtā atlīdzība ārvalstīs. Vienlaicīgi augstākas izmaksātās dividendes ārvalstu investoriem palielināja šī konta deficītu. Otrreizējo ienākumu konta pārpalikums veidoja 856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kas bija par 5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vairāk nekā 2023. gadā. Pārpalikuma pieaugumu veicināja augstāki finanšu sabiedrību, kā arī mājsaimniecību gūtie ienākumi ārvalstīs. Konta pārpalikums varēja būt vēl lielāks, tomēr to ierobežoja mazāka ES fondu investīciju plūsma. </w:t>
      </w:r>
    </w:p>
    <w:p w14:paraId="5ABC1BD3" w14:textId="1A97AC7C"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2025. gada pirmajos piecos mēnešos tekošā konta deficīts palielinājies līdz 447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pretstatā 319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deficītam pērnā gada attiecīgajā periodā. Būtiskas svārstības notika visos tekošā konta apakškontos, bet deficīta pieaugumu noteica ar ārējo tirdzniecības saistītie faktori. Būtiski palielinoties preču importa vērtībai, preču konta deficīts pieauga par 366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sastādot 1413</w:t>
      </w:r>
      <w:r w:rsidR="000B51C7">
        <w:rPr>
          <w:rFonts w:eastAsia="Aptos" w:cs="Times New Roman"/>
          <w:noProof/>
          <w:szCs w:val="20"/>
          <w14:ligatures w14:val="standardContextual"/>
        </w:rPr>
        <w:t> </w:t>
      </w:r>
      <w:r w:rsidRPr="001C0357">
        <w:rPr>
          <w:rFonts w:eastAsia="Aptos" w:cs="Times New Roman"/>
          <w:noProof/>
          <w:szCs w:val="20"/>
          <w14:ligatures w14:val="standardContextual"/>
        </w:rPr>
        <w:t xml:space="preserve">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Preču imports palielinājies visās preču grupās, izņemot lauksaimniecības un pārtikas preces. Gandrīz pusi no preču importa pieauguma noteica augstāka minerālproduktu importa vērtība. Tāpat būtiski palielinājies arī elektroierīču un elektroiekārtu, kā arī mehānismu un mehānisko ierīču imports. Salīdzinājumā ar 2024. gadu palielinājies arī farmaceitisko un mēslošanas līdzekļu imports, tādējādi veicinot ķīmiskās rūpniecības ražojumu importu. </w:t>
      </w:r>
    </w:p>
    <w:p w14:paraId="7D845FFD"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Pakalpojumu konta bilance arī pasliktinājās, ko tāpat noteica straujāks pakalpojumu importa pieaugums. Īpaši pieprasīti bija ārvalstnieku sniegtie būvniecības, informācijas un datorpakalpojumi. Palielinājās arī importētie transporta pakalpojumi, kamēr Latvijas iedzīvotāju tēriņi ārvalstīs bija nedaudz mazāki nekā 2024. gada piecos mēnešos. Kopumā pakalpojumu konta pārpalikums samazinājies par 152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sastādot 612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w:t>
      </w:r>
    </w:p>
    <w:p w14:paraId="5A637428"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Ienākumu kontiem arī bija fiksētas ievērojamas svārstības, bet pozitīvas, kas nedaudz samazināja ārējās tirdzniecības deficīta kāpumu. Sākotnējo ienākumu konta deficīts samazinājies par 271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līdz 20 milj.</w:t>
      </w:r>
      <w:r w:rsidRPr="001C0357">
        <w:rPr>
          <w:rFonts w:eastAsia="Aptos" w:cs="Times New Roman"/>
          <w:i/>
          <w:iCs/>
          <w:noProof/>
          <w:szCs w:val="20"/>
          <w14:ligatures w14:val="standardContextual"/>
        </w:rPr>
        <w:t xml:space="preserve"> euro</w:t>
      </w:r>
      <w:r w:rsidRPr="001C0357">
        <w:rPr>
          <w:rFonts w:eastAsia="Aptos" w:cs="Times New Roman"/>
          <w:noProof/>
          <w:szCs w:val="20"/>
          <w14:ligatures w14:val="standardContextual"/>
        </w:rPr>
        <w:t xml:space="preserve">, ko noteica mazāks ārvalstu investoriem piederošo uzņēmumu izmaksāto dividenžu apjoms mātes uzņēmumiem ārvalstīs. Tomēr, neskatoties uz samazinājumu, ārvalstu investoriem izmaksātie ieguldījumu ienākumi ir </w:t>
      </w:r>
      <w:r w:rsidRPr="001C0357">
        <w:rPr>
          <w:rFonts w:eastAsia="Aptos" w:cs="Times New Roman"/>
          <w:noProof/>
          <w:szCs w:val="20"/>
          <w14:ligatures w14:val="standardContextual"/>
        </w:rPr>
        <w:lastRenderedPageBreak/>
        <w:t xml:space="preserve">iespaidīgi un šā gada piecos mēnešos veidoja 1021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Otrreizējo ienākumu konta pārpalikums palielinājies līdz 376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kas bija par 120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lielāks nekā 2024. gada piecos mēnešos, ko veicināja augstāka ES fondu investīciju plūsma un augstāki mājsaimniecību un uzņēmumu gūtie ienākumi ārvalstīs. </w:t>
      </w:r>
    </w:p>
    <w:p w14:paraId="346BF720" w14:textId="77777777" w:rsidR="007C169A" w:rsidRPr="001C0357" w:rsidRDefault="007C169A" w:rsidP="002F673F">
      <w:pPr>
        <w:pStyle w:val="NoSpacing"/>
        <w:rPr>
          <w:b/>
          <w:bCs/>
          <w:noProof/>
        </w:rPr>
      </w:pPr>
      <w:r w:rsidRPr="001C0357">
        <w:rPr>
          <w:b/>
          <w:bCs/>
          <w:noProof/>
        </w:rPr>
        <w:t>Investīcijas</w:t>
      </w:r>
    </w:p>
    <w:p w14:paraId="2CF4633D"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2024. gadā investīciju dinamika uz iepriekšējā gada fona bija nīkulīga. Pērnajā gadā Latvijas IKP bijis par 0,4% mazāks, ko negatīvi ietekmēja investīciju un eksporta kritums. Tomēr tieši investīciju samazinājumam bija noteicošā loma ekonomikas attīstības tempu kritumā. 2024. gadā investīciju apjoms Latvijā salīdzināmajās cenās samazinājies par 6,7%, kopumā veidojot 7250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Tādējādi to devums IKP kritumā veidoja -1,7 procentpunktus. Investīciju īpatsvars IKP samazinājies par 1,5 procentpunktiem – līdz 22,3%. Šāds investīciju apmērs ir līdzvērtīgs 2022. gadā fiksētajam, kā arī pēdējo 10 gadu vidējam līmenim. Tādējādi nevar apgalvot, ka investīciju loma ekonomika ir mazinājusies. Tomēr šāds investīciju īpatsvars tautsaimniecībā nav pietiekošs, lai veicinātu konkurētspēju un produktivitāti, it īpaši salīdzinājumā ar pārējām ES dalībvalstīm. Piemēram, investīciju īpatsvars Lietuvas un Igaunijas ekonomikā ir bijis augstāks gan pērnajā gadā, gan pēdējos piecos gados. </w:t>
      </w:r>
    </w:p>
    <w:p w14:paraId="368FE21E"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Investīciju kritums pērnajā gadā bija fiksēts visos pamatlīdzekļos. Lielāko devumu kopējā investīciju kritumā 2024. gadā noteica zemākas investīcijas tehnoloģiskajās iekārtās un mašīnās. Investīciju apjoms šajos pamatlīdzekļos samazinājies par 9,6% jeb 299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Investīcijas transportlīdzekļos samazinājās par 8,9% jeb 96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Atbilstoši Ceļu satiksmes drošības direkcijas datiem, pirmoreiz reģistrēto vieglo automašīnu skaits 2024. gadā samazinājies par 5,1%, bet pirmoreiz reģistrēto kravas automašīnu skaits bijis 5,5% mazāks. Samazinājies arī pirmoreiz reģistrēto citu transportlīdzekļu, proti motociklu, piekabju, mopēdu un laivu skaits. Tas kopumā izskaidro investīciju samazinājumu šajos pamatlīdzekļos. Investīciju apjoms pārējos pamatlīdzekļos šajā grupā (informācijas un komunikācijas iekārtās, ieroču sistēmās un pārējās tehnoloģiskās iekārtās) ir samazinājies par 9,9% jeb 203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w:t>
      </w:r>
    </w:p>
    <w:p w14:paraId="48E27343"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Investīciju kritumu tehnoloģiskajās iekārtās un mašīnās spilgti raksturo ārējās tirdzniecības dati, jo transportlīdzekļi, IKT iekārtas un pārējās tehnoloģiskās iekārtas lielākoties tika importētas. Atbilstoši preču ārējās tirdzniecības datiem, kapitālietilpīgo preču imports 2024. gadā faktiskajās cenās samazinājies par 11,1%.</w:t>
      </w:r>
    </w:p>
    <w:p w14:paraId="326CAD6E" w14:textId="130A5680" w:rsidR="007C169A" w:rsidRPr="001C0357" w:rsidRDefault="007C169A" w:rsidP="007C169A">
      <w:pPr>
        <w:rPr>
          <w:rFonts w:eastAsia="Aptos" w:cs="Times New Roman"/>
          <w:noProof/>
          <w:szCs w:val="20"/>
          <w14:ligatures w14:val="standardContextual"/>
        </w:rPr>
      </w:pPr>
      <w:bookmarkStart w:id="3" w:name="_Hlk192770314"/>
      <w:r w:rsidRPr="001C0357">
        <w:rPr>
          <w:rFonts w:eastAsia="Aptos" w:cs="Times New Roman"/>
          <w:noProof/>
          <w:szCs w:val="20"/>
          <w14:ligatures w14:val="standardContextual"/>
        </w:rPr>
        <w:t xml:space="preserve">Investīciju apjoms biroju, mājokļu, noliktavu un citu ēku būvniecībā 2024. gadā samazinājies par 5,0% jeb 194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w:t>
      </w:r>
      <w:bookmarkEnd w:id="3"/>
      <w:r w:rsidRPr="001C0357">
        <w:rPr>
          <w:rFonts w:eastAsia="Aptos" w:cs="Times New Roman"/>
          <w:noProof/>
          <w:szCs w:val="20"/>
          <w14:ligatures w14:val="standardContextual"/>
        </w:rPr>
        <w:t>Kritums tika fiksēts gan dzīvojamiem mājokļiem</w:t>
      </w:r>
      <w:r w:rsidR="000B51C7">
        <w:rPr>
          <w:rFonts w:eastAsia="Aptos" w:cs="Times New Roman"/>
          <w:noProof/>
          <w:szCs w:val="20"/>
          <w14:ligatures w14:val="standardContextual"/>
        </w:rPr>
        <w:br/>
      </w:r>
      <w:r w:rsidRPr="001C0357">
        <w:rPr>
          <w:rFonts w:eastAsia="Aptos" w:cs="Times New Roman"/>
          <w:noProof/>
          <w:szCs w:val="20"/>
          <w14:ligatures w14:val="standardContextual"/>
        </w:rPr>
        <w:t xml:space="preserve">(-8,6%), gan citām ēkām un būvēm (-3,9%). ES struktūrfondu, Atveseļošanas un noturības mehānisma, kā arī citas ārvalstu finanšu palīdzības apjoms, kas ir nozīmīgs investīciju avots, 2024. gadā veidoja 792,6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kas bija par 320,8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mazāk nekā 2023. gadā. Ņemot vērā, ka aptuveni divas trešdaļas no ES fondu līdzekļiem tiek investētas būvniecībā, tas negatīvi ietekmēja būvniecības aktivitāti, it īpaši inženierbūvniecības sektoru. Būvniecības produkcijas apjoms 2024. gadā samazinājies par 4,3%. Tāpat būvniecības aktivitāti negatīvi ietekmēja augstās procentu likmes, kas vidēji bija augstākas nekā 2022. gadā un kavēja jauno projektu realizēšanu un negatīvi ietekmēja kredītsaistību uzturēšanas izmaksas. </w:t>
      </w:r>
    </w:p>
    <w:p w14:paraId="0E461182" w14:textId="6853D03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2025. gada sākumā investīciju pieaugums atgriezās. Šā gadā pirmajā ceturksnī investīciju apjoms salīdzināmajās cenās palielinājies par 6,4%, salīdzinot ar pērnā gada attiecīgo periodu. Investīciju kāpums bija fiksēts visās pamatlīdzekļu grupās. Tomēr noteicošā loma bija investīciju kāpumam ēku un būvju apakšgrupā, ko noteica augstāka investīciju aktivitāte inženierbūvju sektorā (+8,6%). Investīcijas mājokļu būvniecībā arī pieauga, bet simboliski, tikai par 2,7% salīdzinājumā ar 2024. gada pirmo ceturksni. Analizējot ar būvniecības nozari saistītās investīcijas, jāatzīmē svarīga statistikas datu metodoloģiskā īpatnība, ka investīcijas ēkās un būvēs atspoguļojas tikai tajā brīdī, kad ēka ir nodota ekspluatācijā, nevis tad, kad notiek aktīvs būvniecības process. Līdz ar to viena ceturkšņa datus jāvērtē piesardzīgi. Tomēr var droši teikt, ka būvniecības aktivitāte palielinās. Būvniecības </w:t>
      </w:r>
      <w:r w:rsidRPr="001C0357">
        <w:rPr>
          <w:rFonts w:eastAsia="Aptos" w:cs="Times New Roman"/>
          <w:noProof/>
          <w:szCs w:val="20"/>
          <w14:ligatures w14:val="standardContextual"/>
        </w:rPr>
        <w:lastRenderedPageBreak/>
        <w:t xml:space="preserve">produkcijas apjoms šā gadā pirmajā ceturksnī bijis par 9,0% augstāks nekā pirms gada, ko veicināja inženierbūvniecības sektors. Aktivitātes atjaunošanās būvniecības nozarē saistīta ar būtiski augstāku ES fondu investīciju izmantošanu. Šā gada pirmajā ceturksnī ES fondu līdzekļu apjoms veidoja 523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(faktiskajās cenās), kas bija par 64% jeb 204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vairāk nekā attiecīgajā periodā pērnajā gadā. Precīzi nav iespējams pateikt, cik liela daļa no šiem līdzekļiem attiecināma uz ar būvniecības sektoru saistītā bruto pamatkapitāla veidošanas apjomu. Tomēr var droši apgalvot, ka investīciju kāpumu šā gada sākumā būtiski veicināja lielāka ES fondu līdzekļu ieplūde. ES fondu investīcijas veicināja arī vispārējās valdības sektora ieguldījumus. Šā gada pirmajā ceturksnī vispārējas valdības investīciju apjoms bija par 135</w:t>
      </w:r>
      <w:r w:rsidR="000B51C7">
        <w:rPr>
          <w:rFonts w:eastAsia="Aptos" w:cs="Times New Roman"/>
          <w:noProof/>
          <w:szCs w:val="20"/>
          <w14:ligatures w14:val="standardContextual"/>
        </w:rPr>
        <w:t> </w:t>
      </w:r>
      <w:r w:rsidRPr="001C0357">
        <w:rPr>
          <w:rFonts w:eastAsia="Aptos" w:cs="Times New Roman"/>
          <w:noProof/>
          <w:szCs w:val="20"/>
          <w14:ligatures w14:val="standardContextual"/>
        </w:rPr>
        <w:t xml:space="preserve">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jeb 43% augstāks nekā pērnā gada attiecīgajā ceturksnī. Arī privātā sektora investīcijas pirmajā ceturksnī ir palielinājušās, bet šis pieaugums bijis pieticīgs, tikai 17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jeb 1,1% salīdzinājumā ar 2024. gada pirmo ceturksni. </w:t>
      </w:r>
    </w:p>
    <w:p w14:paraId="311A52B6"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Aktuālākie dati liecina, ka šā gada otrajā ceturksnī ES fondu investīciju apjoms bijis tikpat augsts kā pirmajā ceturksnī – 503 milj.</w:t>
      </w:r>
      <w:r w:rsidRPr="001C0357">
        <w:rPr>
          <w:rFonts w:eastAsia="Aptos" w:cs="Times New Roman"/>
          <w:i/>
          <w:iCs/>
          <w:noProof/>
          <w:szCs w:val="20"/>
          <w14:ligatures w14:val="standardContextual"/>
        </w:rPr>
        <w:t xml:space="preserve"> euro</w:t>
      </w:r>
      <w:r w:rsidRPr="001C0357">
        <w:rPr>
          <w:rFonts w:eastAsia="Aptos" w:cs="Times New Roman"/>
          <w:noProof/>
          <w:szCs w:val="20"/>
          <w14:ligatures w14:val="standardContextual"/>
        </w:rPr>
        <w:t xml:space="preserve">, kas ir par 52% jeb 173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vairāk nekā 2024. gada otrajā ceturksnī. Tas nozīmē, ka arī otrajā ceturksnī var sagaidīt investīciju pieaugumu ar būvniecības nozari saistītajiem pamatlīdzekļiem. Papildus tam, to var papildināt arī mājokļa tirgus atdzīvošanās un hipotekāro kredītu izsniegšanas pieaugums. </w:t>
      </w:r>
    </w:p>
    <w:p w14:paraId="59E3E995"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Investīcijas tehnoloģiskajās iekārtās un mašīnās 2025. gada pirmajā ceturksnī palielinājās par 17 milj.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jeb 3,2% gada laikā. Tādējādi šo pamatlīdzekļu īpatsvars kopējās investīcijās veidoja 36,1%, pretstatā 55,9% īpatsvaram ar būvniecību saistītiem pamatlīdzekļiem. Investīcijas tehnoloģiskajās iekārtās un mašīnās veicināja investīciju pieaugums informācijas un komunikācijas iekārtās, ieroču sistēmās un pārējās tehnoloģiskās iekārtās, kopumā par 8,6%. Savukārt investīcijas transportlīdzekļos samazinājās par 9,4%, salīdzinot ar 2024. gada pirmo ceturksni. </w:t>
      </w:r>
    </w:p>
    <w:p w14:paraId="1784CE53"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Aktuālākie apstrādes rūpniecības nozarē strādājošo uzņēmēju aptaujas dati rāda, ka 31% no plānotajām investīcijām 2025. gadā būs vērstas uz veco iekārtu aizvietošanu. Tas joprojām ir galvenais investīciju mērķis apstrādes rūpniecības nozarē strādājošajiem uzņēmumiem. Tomēr šo investīciju īpatsvars pakāpeniski samazinās. Tā, 2024. gadā 34,2% no plānotajām investīcijām bija vērsti uz veco iekārtu aizvietošanu, bet līdz 2022. gadam šis īpatsvars bija tuvāk 40%. Šī īpatsvara samazinājums notiek uz tās investīciju daļas pieauguma rēķina, kura ir vērsta uz racionalizāciju. Aptaujas dati liecina, ka 2025. gadā 26,7% no plānotajām investīcijām būs vērstas uz ražošanas procesu racionalizāciju, kamēr līdz 2024. gadam šis īpatsvars bija svārstījies ap 20%. Lai arī dati uzrāda pozitīvu tendenci, tomēr šādi dati jāvērtē piesardzīgi, jo tie atspoguļo tikai nodomu par investīciju veikšanu, nevis faktiski veiktās investīcijas. Papildus tam, lai būtiski veicinātu ražošanas produktivitāti, investīciju daļai, kura ir orientēta uz racionalizāciju, jābūt samērā augstai ilgstoši. Negatīvi vērtējams tas, ka samazinājies to investīciju īpatsvars, kuras ir vērstas uz ražošanas paplašināšanu. </w:t>
      </w:r>
    </w:p>
    <w:p w14:paraId="5CEC0DC8" w14:textId="77777777" w:rsidR="007C169A" w:rsidRPr="001C0357" w:rsidRDefault="007C169A" w:rsidP="002F673F">
      <w:pPr>
        <w:pStyle w:val="NoSpacing"/>
        <w:rPr>
          <w:b/>
          <w:bCs/>
          <w:noProof/>
        </w:rPr>
      </w:pPr>
      <w:r w:rsidRPr="001C0357">
        <w:rPr>
          <w:b/>
          <w:bCs/>
          <w:noProof/>
        </w:rPr>
        <w:t xml:space="preserve">Darba tirgus </w:t>
      </w:r>
    </w:p>
    <w:p w14:paraId="66D9A45F" w14:textId="502B94C9"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Ārējie satricinājumi, tajā skaitā pandēmija, Krievijas uzsāktais karš, straujais cenu kāpums un Eiropas izaugsmes sabremzēšanās, līdz pa</w:t>
      </w:r>
      <w:r w:rsidR="000B51C7">
        <w:rPr>
          <w:rFonts w:eastAsia="Aptos" w:cs="Times New Roman"/>
          <w:noProof/>
          <w:szCs w:val="20"/>
          <w14:ligatures w14:val="standardContextual"/>
        </w:rPr>
        <w:t>t</w:t>
      </w:r>
      <w:r w:rsidRPr="001C0357">
        <w:rPr>
          <w:rFonts w:eastAsia="Aptos" w:cs="Times New Roman"/>
          <w:noProof/>
          <w:szCs w:val="20"/>
          <w14:ligatures w14:val="standardContextual"/>
        </w:rPr>
        <w:t xml:space="preserve"> 2024. gada beigām ļoti maz bija ietekmējuši Latvijas darba tirgu – pēc pieauguma līdz 8,1% 2020. gadā nākamajos gados bezdarbs atsāka samazināties, 2023. gadā noslīdot līdz 6,5%. 2024. gadā, ekonomikas izaugsmei sabremzējoties jūtamāk, neliels bezdarba pieaugums tomēr bija vērojams, bezdarba līmenim pēc darbaspēka apsekojuma palielinoties līdz 6,9%. Vienlaikus bezdarba pieaugums pērn ceturksni no ceturkšņa kļuva lēnāks, ceturtajā ceturksnī pret 2023. gada ceturto ceturksni palielinoties vairs tikai par 0,1%, un reģistrētā bezdarba līmenis visa 2024. gada laikā bija turpinājis kristies. </w:t>
      </w:r>
    </w:p>
    <w:p w14:paraId="4683ADDF" w14:textId="7063C482"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Līdzīga situācija saglabājas 2025. gada sākumā, kad bezdarba līmenis pēc darbaspēka apsekojuma bijis nedaudz augstāks nekā pirms gada – 7,4%, bet reģistrētā bezdarba līmenis un bezdarbnieku skaits turpina stabili samazināties. Jūnija beigās reģistrētā bezdarba līmenis bija </w:t>
      </w:r>
      <w:r w:rsidRPr="001C0357">
        <w:rPr>
          <w:rFonts w:eastAsia="Aptos" w:cs="Times New Roman"/>
          <w:noProof/>
          <w:szCs w:val="20"/>
          <w14:ligatures w14:val="standardContextual"/>
        </w:rPr>
        <w:lastRenderedPageBreak/>
        <w:t>5,1%, – par 0,1</w:t>
      </w:r>
      <w:r w:rsidR="000B51C7">
        <w:rPr>
          <w:rFonts w:eastAsia="Aptos" w:cs="Times New Roman"/>
          <w:noProof/>
          <w:szCs w:val="20"/>
          <w14:ligatures w14:val="standardContextual"/>
        </w:rPr>
        <w:t> </w:t>
      </w:r>
      <w:r w:rsidRPr="001C0357">
        <w:rPr>
          <w:rFonts w:eastAsia="Aptos" w:cs="Times New Roman"/>
          <w:noProof/>
          <w:szCs w:val="20"/>
          <w14:ligatures w14:val="standardContextual"/>
        </w:rPr>
        <w:t>procentpunktu zemāks nekā attiecīgajā brīdī pirms gada, bet reģistrēto bezdarbnieku skaits tuvu visu laiku zemākajam līmenim.</w:t>
      </w:r>
    </w:p>
    <w:p w14:paraId="44B22A4A"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Tautsaimniecībā nodarbināto iedzīvotāju skaits pagājušajā gadā kopumā samazinājies par 0,8% jeb 6,8 tūkstošiem līdz 877,4 tūkstošiem, bet šā gada pirmajā ceturksnī, salīdzinot ar attiecīgo ceturksni pirms gada, sarucis par 1,4% līdz 868 tūkstošiem. Līdz ar straujāku ekonomiskās izaugsmes atsākšanos nākamajos ceturkšņos nodarbināto skaita kritums kļūs lēnāks, bet arī nākamajos gados sagaidāms neliels nodarbināto skaita kritums, ko pamatā nosaka darbspējas vecuma iedzīvotāju skaita samazināšanās demogrāfijas tendenču rezultātā. Līdz ar to darbaspēka resursu nodrošināšanai būs nepieciešams tālāks iedzīvotāju ekonomiskās aktivitātes līmeņa pieaugums, arvien vairāk iesaistoties darba tirgū kā nodarbinātajiem vai darba meklētājiem. Pēdējos gados ekonomiskās aktivitātes līmenis jau ir pakāpeniski audzis, tam palielinoties no 67,7% 2021. gadā līdz 68,7% pagājušajā gadā, tomēr tas joprojām ir zemāks nekā kaimiņvalstīs Igaunijā un Lietuvā.</w:t>
      </w:r>
    </w:p>
    <w:p w14:paraId="020D3067"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Lai gan ekonomika pērn piedzīvoja lejupslīdi, iedzīvotāju ienākumi turpināja strauji augt. Mēneša vidējā bruto darba samaksa pēc 11,9% pieauguma 2023. gadā, 2024. gadā palielinājās vēl par 9,7%, sasniedzot 1685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Straujākais darba samaksas pieaugums 2024. gadā bija sabiedriskajā sektorā – par 12,2%, ko noteica algu paaugstinājumi izglītības, aizsardzības, iekšlietu nozarēs, kā arī vienreizējas izmaksas iekšlietu sistēmas darbiniekiem. Savukārt privātajā sektorā vidējā alga palielinājās par 8,7%, un algu pieaugumu ekonomikā kopumā veicināja arī būtiska mēneša minimālās darba samaksas paaugstināšana – par 80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līdz 700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w:t>
      </w:r>
    </w:p>
    <w:p w14:paraId="4F0698E3"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Šā gada pirmajā ceturksnī, neskatoties uz lēnāku minimālās algas pieaugumu, ekonomiskās izaugsmes sabremzēšanos un algu fonda ierobežošanas mēģinājumiem sabiedriskajā sektorā, vidējās algas pieaugums saglabājās visai spēcīgs, mēneša vidējai bruto darba samaksai pret 2024. gada pirmo ceturksni palielinoties par 8,3% un sasniedzot 1757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Atšķirībā no iepriekšējā gada, straujāks algu pieaugums šogad ir privātajā sektorā, – par 9,4% pret 2024. gada pirmo ceturksni, bet sabiedriskajā sektorā vidējā alga augusi par 5,8%.</w:t>
      </w:r>
    </w:p>
    <w:p w14:paraId="09153B7E" w14:textId="29BFDCF2" w:rsidR="002F673F" w:rsidRPr="001C0357" w:rsidRDefault="007C169A" w:rsidP="00B72C43">
      <w:pPr>
        <w:rPr>
          <w:rFonts w:eastAsia="Aptos" w:cs="Times New Roman"/>
          <w:noProof/>
          <w:szCs w:val="20"/>
          <w14:ligatures w14:val="standardContextual"/>
        </w:rPr>
      </w:pPr>
      <w:r w:rsidRPr="001C0357">
        <w:rPr>
          <w:rFonts w:eastAsia="Aptos" w:cs="Times New Roman"/>
          <w:noProof/>
          <w:szCs w:val="20"/>
          <w14:ligatures w14:val="standardContextual"/>
        </w:rPr>
        <w:t>Reālā neto darba samaksa, kas atspoguļo pirktspēju, pēc krituma 2022. gadā 2023. gadā atjaunojās un pieauga par 2,2%, bet 2024. gadā – jau par 7,6%. Arī 2025. gadā reālā alga turpina augt, tomēr nedaudz lēnākā tempā, ko nosaka mazliet zemāks vidējās algas pieaugums un augstāka inflācija. Vienlaikus reālo algu paaugstinoša ietekme bijusi no 2025. gada sākuma veiktajām iedzīvotāju ienākuma nodokļa izmaiņām, kas, palielinot ar nodokli neapliekamo minimumu, palielinājušas neto darba samaksas lielumu.</w:t>
      </w:r>
    </w:p>
    <w:p w14:paraId="444D21EE" w14:textId="1A109448" w:rsidR="007C169A" w:rsidRPr="001C0357" w:rsidRDefault="007C169A" w:rsidP="00B72C43">
      <w:pPr>
        <w:pStyle w:val="NoSpacing"/>
        <w:spacing w:before="120" w:after="120"/>
        <w:rPr>
          <w:noProof/>
        </w:rPr>
      </w:pPr>
      <w:r w:rsidRPr="001C0357">
        <w:rPr>
          <w:b/>
          <w:bCs/>
          <w:noProof/>
        </w:rPr>
        <w:t>Inflācija</w:t>
      </w:r>
    </w:p>
    <w:p w14:paraId="5E1B8A97" w14:textId="3E769042" w:rsidR="007C169A" w:rsidRPr="001C0357" w:rsidRDefault="007C169A" w:rsidP="00B72C43">
      <w:pPr>
        <w:rPr>
          <w:rFonts w:eastAsia="Aptos" w:cs="Times New Roman"/>
          <w:noProof/>
          <w:szCs w:val="20"/>
          <w14:ligatures w14:val="standardContextual"/>
        </w:rPr>
      </w:pPr>
      <w:r w:rsidRPr="001C0357">
        <w:rPr>
          <w:rFonts w:eastAsia="Aptos" w:cs="Times New Roman"/>
          <w:noProof/>
          <w:szCs w:val="20"/>
          <w14:ligatures w14:val="standardContextual"/>
        </w:rPr>
        <w:t xml:space="preserve">2024. gadā inflācija Latvijā stabilizējās zemā līmenī. Atbilstoši Centrālās statistikas pārvaldes datiem, vidējais patēriņa cenu līmenis 2024. gadā bija par 1,3% augstāks nekā iepriekšējā gadā. Zemo inflācijas līmeni, it īpaši salīdzinājumā ar iepriekšējiem gadiem, noteica energoresursu cenu kritums pasaules tirgū pēc straujā kāpuma 2022. gadā, kas 2024. gadā pazeminājis ar mājokli uzturēšanu energoresursu saistīto preču un pakalpojumu cenas kopumā par 13,9%. Noteicošo pazeminošo ietekmi nodrošināja elektroenerģijas un siltumenerģijas tarifu samazinājums attiecīgi par 13,8% un 16,1%. Samazinājās arī gāzes un cietā kurināmā cenas – attiecīgi par 7,9% un 10,1% salīdzinājumā ar 2023. gadu. Tomēr gāzes un cietā kurināmā īpatsvars patēriņa grozā ir būtiski zemāks, līdz ar to arī ietekme uz inflāciju ir būtiski zemāka nekā elektroenerģijas un siltumenerģijas cenu kritumam. Jāatzīmē, ka augstāk minēto preču cenu pārmaiņas gada izteiksmē, it īpaši elektroenerģijai un siltumenerģijai, būtiski ietekmēja bāzes efekti, jo līdz 2023. gada aprīlim bija spēkā valdības atbalsts energoresursu cenu pieauguma daļējai kompensēšanai mājsaimniecībām, līdz ar to, sākot ar 2024. gada maiju, beidzās šī atbalsta ietekme uz cenu dinamiku. Tieši ar šo ir skaidrojama situācija, kad 2024. gada maijā elektroenerģijas un siltumenerģijas tarifu samazinājums kļuva lielāks salīdzinājumā ar 2024. gada iepriekšējiem mēnešiem. </w:t>
      </w:r>
    </w:p>
    <w:p w14:paraId="61A0A89B"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lastRenderedPageBreak/>
        <w:t>Pretēja situācija bija vērojama citām komunālajām precēm un pakalpojumiem. Tā, ūdensapgādes un atkritumu savākšanas pakalpojumu cenas 2024. gadā palielinājās attiecīgi par 3,1% un 15,0%. Šo pakalpojumu cenas arī ietekmē energoresursu cenu svārstības, tomēr mazākā mērā nekā elektroenerģijai vai siltumenerģijai. Cenu pieaugumu šiem pakalpojumiem lielā mērā nosaka darba samaksas pieaugums, kā arī infrastruktūras uzturēšanas izmaksu kāpums. Atkritumu savākšanas pakalpojumu cenu paaugstina arī dabas resursu nodokļa likmju pieaugums par atkritumu apglabāšanu.</w:t>
      </w:r>
    </w:p>
    <w:p w14:paraId="6B7135C5"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Degvielas cenas 2024. gadā bija par 1,7% zemākas nekā iepriekšējā gadā. Pērnajā gadā 95.markas benzīna vidējā cena bija 1,607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par litru jeb par 3 centiem mazāk nekā pirms gada, bet dīzeļdegviela maksāja 1,565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par litru jeb par 2,4 centiem mazāk. Nelielu degvielas cenu kritumu noteica gan ārējie, gan iekšējie faktori. No ārējiem faktoriem jāmin naftas cenu kritums 2024. gada otrajā pusē. Būtiska loma naftas cenu kritumā bijusi Ķīnas ekonomikai. Lai arī tā turpināja palielināties, tomēr nedaudz mērenākā tempā nekā 2023. gadā, it īpaši gada otrajā pusē, ko apliecina arī biznesa aktivitātes indeksa dati, kuri bija vāji. Vienlaicīgi arī pasaules lielākā ekonomika – ASV – nebija bagāta ar pozitīvām ziņām. Kopš pērnā gada jūlijā līdz pat gada beigām rūpniecības apjomi ASV turpināja samazināties, strauji samazinoties pasūtījumiem un ražošanai. Uzņēmējdarbības aktivitātes indekss visu otro pusgadu bija zem 50, radot bažas par plašāku ekonomikas lejupslīdi un vājāku energoresursu patēriņu. Tas kopā ar OPEC+ vēlmi palielināt jēlnaftas ieguves apjomu, neskatoties uz to, ka tirgū jau ir pārmērīgs naftas piedāvājums, samazināja naftas cenu 2024. gadā. Pie iekšējiem faktoriem jāatzīmē to, ka 2024. gadā augustā Rīgā savu darbību paplašināja viens no degvielas mazumtirgotājiem, kas saasināja konkurenci degvielas mazumtirdzniecībā galvaspilsētā. </w:t>
      </w:r>
    </w:p>
    <w:p w14:paraId="7128C33F"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Inflācija varēja būt vēl zemāka, taču to ierobežoja pārtikas cenu pieaugums, kas bija vairāk nekā divas reizes augstāks nekā vidējais patēriņa cenu pieaugums. Pārtika un bezalkoholiskie dzērieni 2024. gadā bija par 2,8% dārgāki. Lai arī šādu pieaugumu var uzskatīt par mērenu, it īpaši salīdzinājumā ar iepriekšējiem diviem gadiem, tomēr pārtikas cenu pieaugumam būtu bijis jābūt vēl mazākam, jo pārtikas ražošanas izmaksas, kā arī loģistikas izmaksas ir būtiski samazinājušās. Ražotāju cenas vietējā tirgū realizētajai pārtikai jau kopš 2023. gada oktobra nepārtraukti samazinās, un 2024. gadā tās bija par 0,5% zemākas nekā pirms gada. Samazinājās arī neapstrādātās pārtikas cenas pasaulē, kas ietekmē Latvijas importētās pārtikas cenas. Atbilstoši ANO Pārtikas un lauksaimniecības organizācijas datiem, neapstrādātās pārtikas cenas 2024. gadā bija par 2,0% zemākas. Ņemot vērā, ka 2023. gadā neapstrādātās pārtikas cenas samazinājās par 13,8%, tad divos gados kopā kritums veido 15,6%, kas ir ievērojams. Tas kopā ar būtiski zemākiem elektroenerģijas un siltumenerģijas tarifiem Latvijā, kas samazina arī mazumtirgotāju izmaksas, atstāj būtisku pazeminošu ietekmi uz pārtikas cenām. Pārtikas cenām ir būtiska ietekme uz vidējo inflāciju, jo pārtikas precēm mājsaimniecības patēriņa grozā ir vislielākais īpatsvars starp visām precēm un pakalpojumiem – 26,5%. Pārtikas cenu pieaugums 2023. gada laikā, tāpat kā vidējā inflācija, bremzējās, tomēr pārtikas inflācija visa gada garumā bija augstāka par vidējo inflāciju, kas radīja būtisku spiedienu uz mājsaimniecību izdevumiem. Līdzīga situācija saglabājās arī 2024. gadā un turpinās arī 2025. gadā.</w:t>
      </w:r>
    </w:p>
    <w:p w14:paraId="43D72B51"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2025. gada pirmajā pusgadā patēriņa cenu pieaugums paātrinājies. Gada inflācija pirmajos sešos mēnešos bija 3,6%. Šāds patēriņa cenu pieaugums gada pirmajā pusē bijis viens no augstākajiem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zonā. Saskaņā ar Eurostat datiem, augstāka inflācija nekā Latvijā attiecīgajā periodā bija tikai Slovākijā, Horvātijā un Igaunijā. Savukārt vidējā inflācija pirmajos šī gada sešos mēnešos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zonā bija 2,2%. Sagaidāms, ka arī gada otrajā pusē inflācija Latvijā būs būtiski augstāka nekā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zonā vidēji.</w:t>
      </w:r>
    </w:p>
    <w:p w14:paraId="30A59DC4" w14:textId="65891681"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Noteicošais faktors patēriņa cenu pieaugumā Latvijā šā gada pirmajā pusgadā bija pārtikas un bezalkoholisko dzērienu cenu kāpumam par 6,3%, kas izskaidro gandrīz pusi jeb 1,7 procentpunktus no vidējās inflācijas. Kopš pērnā gada septembra atsācies neapstrādātās pārtikas cenu pieaugums pasaulē, ko lielā mērā ietekmē vājāks piena produktu, gaļas un eļļas </w:t>
      </w:r>
      <w:r w:rsidRPr="001C0357">
        <w:rPr>
          <w:rFonts w:eastAsia="Aptos" w:cs="Times New Roman"/>
          <w:noProof/>
          <w:szCs w:val="20"/>
          <w14:ligatures w14:val="standardContextual"/>
        </w:rPr>
        <w:lastRenderedPageBreak/>
        <w:t>piedāvājums. ANO Pārtikas un lauksaimniecības organizācijas dati liecina, ka 2025. gada pirmajos sešos mēnešos neapstrādātās pārtikas cenas palielinājās par 6,6% gada izteiksmē, ko galvenokārt ietekmēja tieši piena produktu, gaļas un eļļas cenu kāpums. Statistikas dati liecina, ka arī Latvijas pārtikas ražotāji palielina savas cenas (+1,9%, salīdzinājumā ar 2024. gada pirmajiem pieciem mēnešiem). Turklāt pēdējos mēnešos pieaugums paātrinājies līdz 2,8%. Tas norāda, ka noturīgs pārtikas cenu pieaugums (5-6% robežās gada izteiksmē) mazumtirdzniecībā saglabāsies arī turpmāk. Šā gada 27. maijā tika parakstīts memorands par pārtikas cenu samazināšanu. Memorands paredz veicināt pamata pārtikas preču pieejamību, palielināt vietējās izcelsmes preču sortimentu un uzlabot sadarbību starp mazumtirgotājiem un ražotājiem. Memoranda ietekmi uz konkrētām pārtikas precēm un vidējo pārtikas inflāciju vēl nepieciešams novērtēt, jo pagaidām ir pieejami tikai viena mēneša dati kopš memoranda parakstīšanas. Vērtējot cenu svārstības pārtikas zemo cenu grozam, jāsecina, ka šā gada jūnijā maizei, graudaugiem, pienam, sieram un biezpienam, svaigajiem augļiem un dārzeņiem, kā arī olīveļļai cenas nedaudz samazinājās salīdzinājumā ar maiju. Tikai divām pārtikas apakšgrupām no zemo cenu groza cena mēneša laikā pieauga, proti gaļai un zivīm. Pilnvērtīgi novērtēt memoranda ietekmi uz pārtikas cenām, kā arī pārtikas mazumtirgotāju un patērētāju uzvedību varēs tikai pēc dažiem mēnešiem, kad būs pieejami dati par pārtikas cenām garākā laika periodā.</w:t>
      </w:r>
    </w:p>
    <w:p w14:paraId="5CA22BC9"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Nozīmīgu devumu inflācijā noteica arī tabakas un alkoholisko dzērienu izstrādājumu cenu pieaugums. Tabakas izstrādājumu cenas šā gada pirmajā pusgadā bija par 14,8% augstākas nekā attiecīgajā periodā pirms gada. Alkoholiskie dzērieni sadārdzinājās par 4,1%. Šo preču cenu kāpumu lielā mērā ietekmēja akcīzes nodokļa likmju palielinājums no šā gada janvāra tabakai, bet no marta alkoholam. Tāpat no šā gada janvāra palielinājusies akcīzes nodokļu likme dabasgāzei, degvielai, tabakas aizstājējproduktiem un elektroniskajām smēķēšanas ierīcēm, bezalkoholiskajiem dzērieniem ar paaugstinātu cukura daudzumu. Atbilstoši Finanšu ministrijas novērtējumam, akcīzes nodokļu likmju pieaugums 2025. gadā palielinās vidējo inflāciju par 0,5 procentpunktiem. </w:t>
      </w:r>
    </w:p>
    <w:p w14:paraId="5476B814"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Ar mājokļa apsaimniekošanu saistītām precēm un pakalpojumiem kopumā cenas palielinās. Tomēr cenu pārmaiņu struktūra ir neviendabīga. Atkritumu savākšanas, kā arī ūdensapgādes un kanalizācijas pakalpojumu cenas palielinājušās attiecīgi par 10,7%, 5,1% un 4,9% salīdzinājumā ar pērnā gada pirmo pusi. Dārgāka kļuva arī elektroenerģija, kopumā par 8,5%. Savukārt gāzes cena mājsaimniecībām pieauga tikai par 0,4%, bet siltumenerģijas cena bija par 7,8% zemāka nekā 2024. gada pirmajā pusgadā. Vērtējot 2024.-2025. gada apkures sezonu kopumā, jāatzīmē, ka tā bija labvēlīga patērētājiem siltumenerģijas izmaksu ziņā, jo gan siltumenerģijas tarifs bija zemāks nekā iepriekšējā apkures sezonā, gan vidējā temperatūra bija augstāka, kas samazināja siltumenerģijas patēriņu. Siltumenerģijas tarifi tiks pārskatīti vasarā un tuvāk nākamajai apkures sezonai. Pašreiz grūti teikt, kādā apmērā varētu tikt pārskatīti tarifi, jo šā gada pirmajā pusē gāzes cenas Eiropā bija augstākas nekā pērn, taču cenas bija būtiski augstākas gada sākumā. Savukārt līdz gada vidum tās atgriezās pērnā gada līmenī. Tomēr ir acīmredzams, ka siltumenerģijas tarifa celšana ir neizbēgama. Vienlaicīgi jāatzīmē, ka situācija katrā pašvaldībā ir atšķirīga, ko ietekmē gan konkrēta kurināmā cenu dinamika, gan kurināmā iepirkšanas periods. Tādējādi siltumenerģijas tarifu pieaugums varētu būtiski atšķirties pašvaldību griezumā.</w:t>
      </w:r>
    </w:p>
    <w:p w14:paraId="6980ACFB"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Lai arī darba samaksas pieauguma tempi sāk mazināties, tās spiediens uz kopējām uzņēmējdarbības izmaksām saglabāsies augsts, un turpinās uzturēt cenu pieaugumu pakalpojumu sektorā. Tādās nozarēs kā ēdināšana un izmitināšana, atpūta un kultūra, veselības aprūpe, izglītības un finanšu pakalpojumi, būtisku daļu no kopējām izmaksām veido tieši darbaspēka izmaksas. Sagaidāms, ka 2025. gadā šajās nozarēs cenu kāpums būs virs vidējās inflācijas. Atbilstoši aktualizētajam makroekonomiskās attīstības scenārijam, prognozēts, ka 2025. gadā vidējā inflācija Latvijā sastādīs 3,5%. Būtiskāko devumu patēriņa cenu pieaugumā noteiks pārtikas, tabakas, mājokļa apsaimniekošanas pakalpojumu (it īpaši ūdensapgādes, </w:t>
      </w:r>
      <w:r w:rsidRPr="001C0357">
        <w:rPr>
          <w:rFonts w:eastAsia="Aptos" w:cs="Times New Roman"/>
          <w:noProof/>
          <w:szCs w:val="20"/>
          <w14:ligatures w14:val="standardContextual"/>
        </w:rPr>
        <w:lastRenderedPageBreak/>
        <w:t xml:space="preserve">atkritumu savākšanas pakalpojumi un elektroenerģija), kā arī citu komerciālo pakalpojumu cenu kāpums. </w:t>
      </w:r>
    </w:p>
    <w:p w14:paraId="08791199" w14:textId="197AAE4B"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Svarīgi raksturot ASV ārējās tirdzniecības politikas kursa maiņu. ASV muitas tarifu noteikšanai gan ES, gan pārējām lielākajām pasaules ekonomikām var būt divējāda ietekme uz inflāciju. Muitas tarifu ieviešana nozīmē importēto preču cenu pieaugumu. Ja ES atbildēs ar simetrisku so</w:t>
      </w:r>
      <w:r w:rsidR="000B51C7">
        <w:rPr>
          <w:rFonts w:eastAsia="Aptos" w:cs="Times New Roman"/>
          <w:noProof/>
          <w:szCs w:val="20"/>
          <w14:ligatures w14:val="standardContextual"/>
        </w:rPr>
        <w:t>l</w:t>
      </w:r>
      <w:r w:rsidRPr="001C0357">
        <w:rPr>
          <w:rFonts w:eastAsia="Aptos" w:cs="Times New Roman"/>
          <w:noProof/>
          <w:szCs w:val="20"/>
          <w14:ligatures w14:val="standardContextual"/>
        </w:rPr>
        <w:t>i un ieviesīs muitas tarifus ASV precēm, tad ASV ražotās preces sadārdzināsies. Tādējādi savstarpējie muitas tarifi palielinās preču cenas gan ASV, gan ES. Tomēr tirdzniecības kari rada bažas par pasaules ekonomikas attīstības perspektīvām. Tas savukārt negatīvi ietekmē finanšu un izejvielu tirgus. Tomēr kopš ASV paziņojuma brīža gan finanšu, gan izejvielu tirgi atjaunojas, ko ietekmēja virkne faktoru. Taču, ja ASV ievieš muitas tarifus un ES atbild ar simetrisku soli, tad izejvielu cenas, visticamāk, samazināsies.</w:t>
      </w:r>
    </w:p>
    <w:p w14:paraId="27A4CA17" w14:textId="77777777" w:rsidR="007C169A" w:rsidRPr="001C0357" w:rsidRDefault="007C169A" w:rsidP="002F673F">
      <w:pPr>
        <w:pStyle w:val="NoSpacing"/>
        <w:rPr>
          <w:b/>
          <w:bCs/>
          <w:noProof/>
        </w:rPr>
      </w:pPr>
      <w:r w:rsidRPr="001C0357">
        <w:rPr>
          <w:b/>
          <w:bCs/>
          <w:noProof/>
        </w:rPr>
        <w:t>Makroekonomiskās attīstības scenārijs</w:t>
      </w:r>
    </w:p>
    <w:p w14:paraId="77E98DF9"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Vidēja termiņa makroekonomiskās attīstības scenārijs 2025.</w:t>
      </w:r>
      <w:r w:rsidRPr="001C0357">
        <w:rPr>
          <w:rFonts w:eastAsia="Aptos" w:cs="Times New Roman"/>
          <w:noProof/>
          <w:szCs w:val="20"/>
          <w14:ligatures w14:val="standardContextual"/>
        </w:rPr>
        <w:noBreakHyphen/>
        <w:t>2029. gadam izstrādāts 2025. gada jūnijā, balstoties uz 2025. gada pirmā ceturkšņa IKP datiem, kā arī līdz šā gada jūnijam pieejamo īstermiņa makroekonomisko informāciju. Izstrādājot vidēja termiņa makroekonomiskās attīstības scenāriju, Finanšu ministrija (FM) ir konsultējusies ar Latvijas Bankas, Ekonomikas ministrijas un komercbanku ekspertiem. Makroekonomisko rādītāju prognozes ir saskaņotas ar Latvijas Banku un Ekonomikas ministriju, kā arī tās 2025. gada 10. jūnijā ir apstiprinājusi Fiskālās disciplīnas padome.</w:t>
      </w:r>
    </w:p>
    <w:p w14:paraId="55F87D72" w14:textId="63F968D7" w:rsidR="007C169A" w:rsidRPr="001C0357" w:rsidRDefault="007C169A" w:rsidP="00F8697B">
      <w:pPr>
        <w:rPr>
          <w:rFonts w:eastAsia="Aptos" w:cs="Times New Roman"/>
          <w:noProof/>
          <w:szCs w:val="20"/>
          <w14:ligatures w14:val="standardContextual"/>
        </w:rPr>
      </w:pPr>
      <w:r w:rsidRPr="001C0357">
        <w:rPr>
          <w:rFonts w:eastAsia="Aptos" w:cs="Times New Roman"/>
          <w:noProof/>
          <w:szCs w:val="20"/>
          <w14:ligatures w14:val="standardContextual"/>
        </w:rPr>
        <w:t>Ekonomikas izaugsme šim gadam prognozēta 1,1% apmērā, kas ir par 0,</w:t>
      </w:r>
      <w:r w:rsidRPr="001C0357">
        <w:rPr>
          <w:noProof/>
        </w:rPr>
        <w:t>1</w:t>
      </w:r>
      <w:r w:rsidR="0012227C" w:rsidRPr="001C0357">
        <w:rPr>
          <w:noProof/>
        </w:rPr>
        <w:t> </w:t>
      </w:r>
      <w:r w:rsidRPr="001C0357">
        <w:rPr>
          <w:noProof/>
        </w:rPr>
        <w:t>procentpunktu</w:t>
      </w:r>
      <w:r w:rsidRPr="001C0357">
        <w:rPr>
          <w:rFonts w:eastAsia="Aptos" w:cs="Times New Roman"/>
          <w:noProof/>
          <w:szCs w:val="20"/>
          <w14:ligatures w14:val="standardContextual"/>
        </w:rPr>
        <w:t xml:space="preserve"> mazāk, nekā FM bija paredzējusi februāra sākumā, sagatavojot </w:t>
      </w:r>
      <w:r w:rsidR="000B51C7">
        <w:rPr>
          <w:rFonts w:eastAsia="Aptos" w:cs="Times New Roman"/>
          <w:noProof/>
          <w:szCs w:val="20"/>
          <w14:ligatures w14:val="standardContextual"/>
        </w:rPr>
        <w:t xml:space="preserve">Latvijas </w:t>
      </w:r>
      <w:r w:rsidR="00F8697B" w:rsidRPr="001C0357">
        <w:rPr>
          <w:rFonts w:eastAsia="Aptos" w:cs="Times New Roman"/>
          <w:noProof/>
          <w:szCs w:val="20"/>
          <w14:ligatures w14:val="standardContextual"/>
        </w:rPr>
        <w:t>Fiskāli strukturālā plāna 2025.-2028.</w:t>
      </w:r>
      <w:r w:rsidR="0012227C" w:rsidRPr="001C0357">
        <w:rPr>
          <w:rFonts w:eastAsia="Aptos" w:cs="Times New Roman"/>
          <w:noProof/>
          <w:szCs w:val="20"/>
          <w14:ligatures w14:val="standardContextual"/>
        </w:rPr>
        <w:t> </w:t>
      </w:r>
      <w:r w:rsidR="00F8697B" w:rsidRPr="001C0357">
        <w:rPr>
          <w:rFonts w:eastAsia="Aptos" w:cs="Times New Roman"/>
          <w:noProof/>
          <w:szCs w:val="20"/>
          <w14:ligatures w14:val="standardContextual"/>
        </w:rPr>
        <w:t>gadam 2025.</w:t>
      </w:r>
      <w:r w:rsidR="0012227C" w:rsidRPr="001C0357">
        <w:rPr>
          <w:rFonts w:eastAsia="Aptos" w:cs="Times New Roman"/>
          <w:noProof/>
          <w:szCs w:val="20"/>
          <w14:ligatures w14:val="standardContextual"/>
        </w:rPr>
        <w:t> </w:t>
      </w:r>
      <w:r w:rsidR="00F8697B" w:rsidRPr="001C0357">
        <w:rPr>
          <w:rFonts w:eastAsia="Aptos" w:cs="Times New Roman"/>
          <w:noProof/>
          <w:szCs w:val="20"/>
          <w14:ligatures w14:val="standardContextual"/>
        </w:rPr>
        <w:t>gada Progresa ziņojumu (</w:t>
      </w:r>
      <w:r w:rsidR="0012227C" w:rsidRPr="001C0357">
        <w:rPr>
          <w:rFonts w:eastAsia="Aptos" w:cs="Times New Roman"/>
          <w:noProof/>
          <w:szCs w:val="20"/>
          <w14:ligatures w14:val="standardContextual"/>
        </w:rPr>
        <w:t xml:space="preserve">turpmāk </w:t>
      </w:r>
      <w:r w:rsidR="000B51C7">
        <w:rPr>
          <w:rFonts w:eastAsia="Aptos" w:cs="Times New Roman"/>
          <w:noProof/>
          <w:szCs w:val="20"/>
          <w14:ligatures w14:val="standardContextual"/>
        </w:rPr>
        <w:t>–</w:t>
      </w:r>
      <w:r w:rsidR="0012227C" w:rsidRPr="001C0357">
        <w:rPr>
          <w:rFonts w:eastAsia="Aptos" w:cs="Times New Roman"/>
          <w:noProof/>
          <w:szCs w:val="20"/>
          <w14:ligatures w14:val="standardContextual"/>
        </w:rPr>
        <w:t xml:space="preserve"> </w:t>
      </w:r>
      <w:r w:rsidR="00F8697B" w:rsidRPr="001C0357">
        <w:rPr>
          <w:rFonts w:eastAsia="Aptos" w:cs="Times New Roman"/>
          <w:noProof/>
          <w:szCs w:val="20"/>
          <w14:ligatures w14:val="standardContextual"/>
        </w:rPr>
        <w:t>2025.</w:t>
      </w:r>
      <w:r w:rsidR="0012227C" w:rsidRPr="001C0357">
        <w:rPr>
          <w:rFonts w:eastAsia="Aptos" w:cs="Times New Roman"/>
          <w:noProof/>
          <w:szCs w:val="20"/>
          <w14:ligatures w14:val="standardContextual"/>
        </w:rPr>
        <w:t> </w:t>
      </w:r>
      <w:r w:rsidR="00F8697B" w:rsidRPr="001C0357">
        <w:rPr>
          <w:rFonts w:eastAsia="Aptos" w:cs="Times New Roman"/>
          <w:noProof/>
          <w:szCs w:val="20"/>
          <w14:ligatures w14:val="standardContextual"/>
        </w:rPr>
        <w:t xml:space="preserve">gada Progresa ziņojums). </w:t>
      </w:r>
      <w:r w:rsidRPr="001C0357">
        <w:rPr>
          <w:rFonts w:eastAsia="Aptos" w:cs="Times New Roman"/>
          <w:noProof/>
          <w:szCs w:val="20"/>
          <w14:ligatures w14:val="standardContextual"/>
        </w:rPr>
        <w:t>Ekonomikas izaugsmes prognozes nākamajiem gadiem nav mainītas, saglabājot tās attiecīgi 2,1% apmērā 2026. gadam un 2,2% apmērā nākamajiem trim gadiem</w:t>
      </w:r>
      <w:r w:rsidR="000C07F0" w:rsidRPr="001C0357">
        <w:rPr>
          <w:rFonts w:eastAsia="Aptos" w:cs="Times New Roman"/>
          <w:noProof/>
          <w:szCs w:val="20"/>
          <w14:ligatures w14:val="standardContextual"/>
        </w:rPr>
        <w:t xml:space="preserve"> (skat. 2. tabulu).</w:t>
      </w:r>
    </w:p>
    <w:p w14:paraId="38F15F26"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Prognozes samazināšana 2025. gadam pamatā saistīta ar pieaugušo nenoteiktību par ekonomikas izaugsmi ārējos tirgos pēc ASV tarifu paziņojumiem, kā arī Latvijas ekonomikas nedaudz vājāko sniegumu šā gada pirmajā ceturksnī, ko noteica galvenokārt ar laika apstākļiem saistītais kritums enerģētikas nozarē, kā arī lejupslīde veselības aprūpes nozarē.</w:t>
      </w:r>
    </w:p>
    <w:p w14:paraId="1EDBFB64"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 xml:space="preserve">Vienlaikus atšķirībā no pagājušā gada, kad auga ar sabiedrisko sektoru vairāk saistītās nozares, šogad pirmajā ceturksnī kāpums fiksēts lielākajā daļā ražošanas un pakalpojumu nozaru. Tostarp spēcīgs pieaugums bijis būvniecībā un investīcijās, atjaunojas izaugsme apstrādes rūpniecībā un transportā un spēcīgi augušas arī izmitināšanas un ēdināšanas, kā arī informācijas un komunikācijas pakalpojumu nozares. Tas dod pamatu sagaidīt spēcīgāku ekonomikas izaugsmi nākamajos ceturkšņos, pēc 0,3% krituma pirmajā ceturksnī gadā kopumā sasniedzot 1,1% pieaugumu. </w:t>
      </w:r>
    </w:p>
    <w:p w14:paraId="7847E2D9"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Līdz ar joprojām spēcīgo algu kāpumu ir visi priekšnosacījumi straujākam privātā patēriņa pieaugumam, kas pēc 1,1% krituma pirmajā ceturksnī nākamajos ceturkšņos varētu atsākt izaugsmi. 2025. gadā kopumā palielinoties par 0,2%, bet 2026. gadā augot par 1,9%. Vienlaikus straujāku privātā patēriņa pieaugumu pagaidām ierobežo augstā nenoteiktība un neskaidrība par nākotni, ko līdzās ģeopolitiskajai situācijai vēl papildus skar arī tirdzniecības tarifu diskusijas un finanšu tirgu svārstības.</w:t>
      </w:r>
    </w:p>
    <w:p w14:paraId="78D68F85"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Pēc krituma pērn strauja attīstība šogad gaidāma investīciju projektu realizācijā un investīcijas salīdzināmās cenās šogad varētu pieaugt par 3,7%, nākamgad izaugsmei paātrinoties līdz 4,5%. Noteicošā loma kopējā investīciju pieaugumā šogad būs publiskajām investīcijām un straujākai Eiropas Savienības fondu projektu realizācijai, kamēr privātās investīcijas saglabāsies pērnā gada līmenī.</w:t>
      </w:r>
    </w:p>
    <w:p w14:paraId="538870A6" w14:textId="312A6CD2" w:rsidR="007C169A" w:rsidRPr="001C0357" w:rsidRDefault="007C169A" w:rsidP="002F673F">
      <w:pPr>
        <w:rPr>
          <w:rFonts w:eastAsia="Aptos" w:cs="Times New Roman"/>
          <w:noProof/>
          <w:szCs w:val="20"/>
          <w14:ligatures w14:val="standardContextual"/>
        </w:rPr>
      </w:pPr>
      <w:r w:rsidRPr="001C0357">
        <w:rPr>
          <w:rFonts w:eastAsia="Aptos" w:cs="Times New Roman"/>
          <w:noProof/>
          <w:szCs w:val="20"/>
          <w14:ligatures w14:val="standardContextual"/>
        </w:rPr>
        <w:t xml:space="preserve">Lai arī </w:t>
      </w:r>
      <w:r w:rsidRPr="001C0357">
        <w:rPr>
          <w:rFonts w:eastAsia="Aptos" w:cs="Times New Roman"/>
          <w:i/>
          <w:iCs/>
          <w:noProof/>
          <w:szCs w:val="20"/>
          <w14:ligatures w14:val="standardContextual"/>
        </w:rPr>
        <w:t>euro</w:t>
      </w:r>
      <w:r w:rsidRPr="001C0357">
        <w:rPr>
          <w:rFonts w:eastAsia="Aptos" w:cs="Times New Roman"/>
          <w:noProof/>
          <w:szCs w:val="20"/>
          <w14:ligatures w14:val="standardContextual"/>
        </w:rPr>
        <w:t xml:space="preserve"> zonai un ES prognozētie izaugsmes tempi pēdējo mēnešu laikā ir samazināti, Latvijas lielākajām ārējās tirdzniecības partnervalstīm kopumā šogad izaugsme </w:t>
      </w:r>
      <w:r w:rsidRPr="001C0357">
        <w:rPr>
          <w:rFonts w:eastAsia="Aptos" w:cs="Times New Roman"/>
          <w:noProof/>
          <w:szCs w:val="20"/>
          <w14:ligatures w14:val="standardContextual"/>
        </w:rPr>
        <w:lastRenderedPageBreak/>
        <w:t>gaidāma straujāka nekā pērn. Desmit lielāko Latvijas ārējās tirdzniecības partnervalstu prognozētā vidējā svērtā izaugsme šogad sasniedz 1,7%, salīdzinot ar pērn uzrādīto 1,1%. Līdz ar to preču un pakalpojumu eksportam pēc 1,6% krituma pērn šogad prognozēts 1,9% pieaugums, 2026. gadā kāpumam paātrinoties līdz 2,4%.</w:t>
      </w:r>
    </w:p>
    <w:p w14:paraId="345664AD" w14:textId="339C85D4" w:rsidR="007C169A" w:rsidRPr="001C0357" w:rsidRDefault="00751876" w:rsidP="002F673F">
      <w:pPr>
        <w:ind w:firstLine="0"/>
        <w:jc w:val="center"/>
        <w:rPr>
          <w:b/>
          <w:bCs/>
          <w:noProof/>
        </w:rPr>
      </w:pPr>
      <w:r w:rsidRPr="001C0357">
        <w:rPr>
          <w:b/>
          <w:bCs/>
          <w:noProof/>
        </w:rPr>
        <w:t>2</w:t>
      </w:r>
      <w:r w:rsidR="007C169A" w:rsidRPr="001C0357">
        <w:rPr>
          <w:b/>
          <w:bCs/>
          <w:noProof/>
        </w:rPr>
        <w:t>. tabula. Makroekonomiskie rādītāji 2024. – 2029. gadā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3400"/>
        <w:gridCol w:w="889"/>
        <w:gridCol w:w="954"/>
        <w:gridCol w:w="955"/>
        <w:gridCol w:w="954"/>
        <w:gridCol w:w="955"/>
        <w:gridCol w:w="954"/>
      </w:tblGrid>
      <w:tr w:rsidR="007C169A" w:rsidRPr="001C0357" w14:paraId="31523674" w14:textId="77777777" w:rsidTr="00E7284B">
        <w:trPr>
          <w:trHeight w:val="300"/>
          <w:jc w:val="center"/>
        </w:trPr>
        <w:tc>
          <w:tcPr>
            <w:tcW w:w="3114" w:type="dxa"/>
            <w:noWrap/>
            <w:vAlign w:val="center"/>
            <w:hideMark/>
          </w:tcPr>
          <w:p w14:paraId="7161088D" w14:textId="77777777" w:rsidR="007C169A" w:rsidRPr="001C0357" w:rsidRDefault="007C169A" w:rsidP="002F673F">
            <w:pPr>
              <w:spacing w:before="0" w:after="0"/>
              <w:ind w:firstLine="0"/>
              <w:rPr>
                <w:rFonts w:cs="Times New Roman"/>
                <w:noProof/>
                <w:sz w:val="20"/>
                <w:szCs w:val="20"/>
                <w:lang w:eastAsia="lv-LV"/>
              </w:rPr>
            </w:pPr>
          </w:p>
        </w:tc>
        <w:tc>
          <w:tcPr>
            <w:tcW w:w="815" w:type="dxa"/>
            <w:noWrap/>
            <w:vAlign w:val="center"/>
            <w:hideMark/>
          </w:tcPr>
          <w:p w14:paraId="329202E8" w14:textId="77777777" w:rsidR="007C169A" w:rsidRPr="001C0357" w:rsidRDefault="007C169A" w:rsidP="002F673F">
            <w:pPr>
              <w:spacing w:before="0" w:after="0"/>
              <w:ind w:firstLine="0"/>
              <w:jc w:val="center"/>
              <w:rPr>
                <w:rFonts w:cs="Times New Roman"/>
                <w:b/>
                <w:bCs/>
                <w:noProof/>
                <w:sz w:val="20"/>
                <w:szCs w:val="20"/>
                <w:lang w:eastAsia="lv-LV"/>
              </w:rPr>
            </w:pPr>
            <w:r w:rsidRPr="001C0357">
              <w:rPr>
                <w:rFonts w:cs="Times New Roman"/>
                <w:b/>
                <w:bCs/>
                <w:noProof/>
                <w:sz w:val="20"/>
                <w:szCs w:val="20"/>
                <w:lang w:eastAsia="lv-LV"/>
              </w:rPr>
              <w:t>2024</w:t>
            </w:r>
          </w:p>
        </w:tc>
        <w:tc>
          <w:tcPr>
            <w:tcW w:w="873" w:type="dxa"/>
            <w:shd w:val="clear" w:color="auto" w:fill="F0E7DA"/>
            <w:noWrap/>
            <w:vAlign w:val="center"/>
          </w:tcPr>
          <w:p w14:paraId="26865786" w14:textId="77777777" w:rsidR="007C169A" w:rsidRPr="001C0357" w:rsidRDefault="007C169A" w:rsidP="002F673F">
            <w:pPr>
              <w:spacing w:before="0" w:after="0"/>
              <w:ind w:firstLine="0"/>
              <w:jc w:val="center"/>
              <w:rPr>
                <w:rFonts w:cs="Times New Roman"/>
                <w:b/>
                <w:bCs/>
                <w:noProof/>
                <w:sz w:val="20"/>
                <w:szCs w:val="20"/>
                <w:lang w:eastAsia="lv-LV"/>
              </w:rPr>
            </w:pPr>
            <w:r w:rsidRPr="001C0357">
              <w:rPr>
                <w:rFonts w:cs="Times New Roman"/>
                <w:b/>
                <w:bCs/>
                <w:noProof/>
                <w:sz w:val="20"/>
                <w:szCs w:val="20"/>
                <w:lang w:eastAsia="lv-LV"/>
              </w:rPr>
              <w:t>2025</w:t>
            </w:r>
          </w:p>
        </w:tc>
        <w:tc>
          <w:tcPr>
            <w:tcW w:w="874" w:type="dxa"/>
            <w:shd w:val="clear" w:color="auto" w:fill="F0E7DA"/>
            <w:noWrap/>
            <w:vAlign w:val="center"/>
          </w:tcPr>
          <w:p w14:paraId="0AD86FF9" w14:textId="77777777" w:rsidR="007C169A" w:rsidRPr="001C0357" w:rsidRDefault="007C169A" w:rsidP="002F673F">
            <w:pPr>
              <w:spacing w:before="0" w:after="0"/>
              <w:ind w:firstLine="0"/>
              <w:jc w:val="center"/>
              <w:rPr>
                <w:rFonts w:cs="Times New Roman"/>
                <w:b/>
                <w:bCs/>
                <w:noProof/>
                <w:sz w:val="20"/>
                <w:szCs w:val="20"/>
                <w:lang w:eastAsia="lv-LV"/>
              </w:rPr>
            </w:pPr>
            <w:r w:rsidRPr="001C0357">
              <w:rPr>
                <w:rFonts w:cs="Times New Roman"/>
                <w:b/>
                <w:bCs/>
                <w:noProof/>
                <w:sz w:val="20"/>
                <w:szCs w:val="20"/>
                <w:lang w:eastAsia="lv-LV"/>
              </w:rPr>
              <w:t>2026</w:t>
            </w:r>
          </w:p>
        </w:tc>
        <w:tc>
          <w:tcPr>
            <w:tcW w:w="873" w:type="dxa"/>
            <w:shd w:val="clear" w:color="auto" w:fill="F0E7DA"/>
            <w:noWrap/>
            <w:vAlign w:val="center"/>
          </w:tcPr>
          <w:p w14:paraId="2C4C5117" w14:textId="77777777" w:rsidR="007C169A" w:rsidRPr="001C0357" w:rsidRDefault="007C169A" w:rsidP="002F673F">
            <w:pPr>
              <w:spacing w:before="0" w:after="0"/>
              <w:ind w:firstLine="0"/>
              <w:jc w:val="center"/>
              <w:rPr>
                <w:rFonts w:cs="Times New Roman"/>
                <w:b/>
                <w:bCs/>
                <w:noProof/>
                <w:sz w:val="20"/>
                <w:szCs w:val="20"/>
                <w:lang w:eastAsia="lv-LV"/>
              </w:rPr>
            </w:pPr>
            <w:r w:rsidRPr="001C0357">
              <w:rPr>
                <w:rFonts w:cs="Times New Roman"/>
                <w:b/>
                <w:bCs/>
                <w:noProof/>
                <w:sz w:val="20"/>
                <w:szCs w:val="20"/>
                <w:lang w:eastAsia="lv-LV"/>
              </w:rPr>
              <w:t>2027</w:t>
            </w:r>
          </w:p>
        </w:tc>
        <w:tc>
          <w:tcPr>
            <w:tcW w:w="874" w:type="dxa"/>
            <w:shd w:val="clear" w:color="auto" w:fill="F0E7DA"/>
            <w:noWrap/>
            <w:vAlign w:val="center"/>
          </w:tcPr>
          <w:p w14:paraId="06CFAA96" w14:textId="77777777" w:rsidR="007C169A" w:rsidRPr="001C0357" w:rsidRDefault="007C169A" w:rsidP="002F673F">
            <w:pPr>
              <w:spacing w:before="0" w:after="0"/>
              <w:ind w:firstLine="0"/>
              <w:jc w:val="center"/>
              <w:rPr>
                <w:rFonts w:cs="Times New Roman"/>
                <w:b/>
                <w:bCs/>
                <w:noProof/>
                <w:sz w:val="20"/>
                <w:szCs w:val="20"/>
                <w:lang w:eastAsia="lv-LV"/>
              </w:rPr>
            </w:pPr>
            <w:r w:rsidRPr="001C0357">
              <w:rPr>
                <w:rFonts w:cs="Times New Roman"/>
                <w:b/>
                <w:bCs/>
                <w:noProof/>
                <w:sz w:val="20"/>
                <w:szCs w:val="20"/>
                <w:lang w:eastAsia="lv-LV"/>
              </w:rPr>
              <w:t>2028</w:t>
            </w:r>
          </w:p>
        </w:tc>
        <w:tc>
          <w:tcPr>
            <w:tcW w:w="873" w:type="dxa"/>
            <w:shd w:val="clear" w:color="auto" w:fill="F0E7DA"/>
            <w:vAlign w:val="center"/>
          </w:tcPr>
          <w:p w14:paraId="67CFFE0D" w14:textId="77777777" w:rsidR="007C169A" w:rsidRPr="001C0357" w:rsidRDefault="007C169A" w:rsidP="002F673F">
            <w:pPr>
              <w:spacing w:before="0" w:after="0"/>
              <w:ind w:firstLine="0"/>
              <w:jc w:val="center"/>
              <w:rPr>
                <w:rFonts w:cs="Times New Roman"/>
                <w:b/>
                <w:bCs/>
                <w:noProof/>
                <w:sz w:val="20"/>
                <w:szCs w:val="20"/>
                <w:lang w:eastAsia="lv-LV"/>
              </w:rPr>
            </w:pPr>
            <w:r w:rsidRPr="001C0357">
              <w:rPr>
                <w:rFonts w:cs="Times New Roman"/>
                <w:b/>
                <w:bCs/>
                <w:noProof/>
                <w:sz w:val="20"/>
                <w:szCs w:val="20"/>
                <w:lang w:eastAsia="lv-LV"/>
              </w:rPr>
              <w:t>2029</w:t>
            </w:r>
          </w:p>
        </w:tc>
      </w:tr>
      <w:tr w:rsidR="007C169A" w:rsidRPr="001C0357" w14:paraId="6AC06002" w14:textId="77777777" w:rsidTr="00E7284B">
        <w:trPr>
          <w:trHeight w:val="300"/>
          <w:jc w:val="center"/>
        </w:trPr>
        <w:tc>
          <w:tcPr>
            <w:tcW w:w="3114" w:type="dxa"/>
            <w:noWrap/>
            <w:vAlign w:val="center"/>
          </w:tcPr>
          <w:p w14:paraId="39FFD20A" w14:textId="77777777" w:rsidR="007C169A" w:rsidRPr="001C0357" w:rsidRDefault="007C169A" w:rsidP="002F673F">
            <w:pPr>
              <w:spacing w:before="0" w:after="0"/>
              <w:ind w:firstLine="0"/>
              <w:rPr>
                <w:rFonts w:cs="Times New Roman"/>
                <w:noProof/>
                <w:sz w:val="20"/>
                <w:szCs w:val="20"/>
                <w:lang w:eastAsia="lv-LV"/>
              </w:rPr>
            </w:pPr>
          </w:p>
        </w:tc>
        <w:tc>
          <w:tcPr>
            <w:tcW w:w="815" w:type="dxa"/>
            <w:noWrap/>
            <w:vAlign w:val="center"/>
          </w:tcPr>
          <w:p w14:paraId="26299191" w14:textId="77777777" w:rsidR="007C169A" w:rsidRPr="001C0357" w:rsidRDefault="007C169A" w:rsidP="002F673F">
            <w:pPr>
              <w:spacing w:before="0" w:after="0"/>
              <w:ind w:firstLine="0"/>
              <w:jc w:val="center"/>
              <w:rPr>
                <w:rFonts w:cs="Times New Roman"/>
                <w:noProof/>
                <w:sz w:val="20"/>
                <w:szCs w:val="20"/>
                <w:lang w:eastAsia="lv-LV"/>
              </w:rPr>
            </w:pPr>
            <w:r w:rsidRPr="001C0357">
              <w:rPr>
                <w:rFonts w:cs="Times New Roman"/>
                <w:noProof/>
                <w:sz w:val="20"/>
                <w:szCs w:val="20"/>
                <w:lang w:eastAsia="lv-LV"/>
              </w:rPr>
              <w:t>fakts</w:t>
            </w:r>
          </w:p>
        </w:tc>
        <w:tc>
          <w:tcPr>
            <w:tcW w:w="4367" w:type="dxa"/>
            <w:gridSpan w:val="5"/>
            <w:shd w:val="clear" w:color="auto" w:fill="F0E7DA"/>
            <w:noWrap/>
            <w:vAlign w:val="center"/>
          </w:tcPr>
          <w:p w14:paraId="23C2298A" w14:textId="77777777" w:rsidR="007C169A" w:rsidRPr="001C0357" w:rsidRDefault="007C169A" w:rsidP="002F673F">
            <w:pPr>
              <w:spacing w:before="0" w:after="0"/>
              <w:ind w:firstLine="0"/>
              <w:jc w:val="center"/>
              <w:rPr>
                <w:rFonts w:cs="Times New Roman"/>
                <w:noProof/>
                <w:sz w:val="20"/>
                <w:szCs w:val="20"/>
                <w:lang w:eastAsia="lv-LV"/>
              </w:rPr>
            </w:pPr>
            <w:r w:rsidRPr="001C0357">
              <w:rPr>
                <w:rFonts w:cs="Times New Roman"/>
                <w:noProof/>
                <w:sz w:val="20"/>
                <w:szCs w:val="20"/>
                <w:lang w:eastAsia="lv-LV"/>
              </w:rPr>
              <w:t>prognoze</w:t>
            </w:r>
          </w:p>
        </w:tc>
      </w:tr>
      <w:tr w:rsidR="007C169A" w:rsidRPr="001C0357" w14:paraId="7FCB19FE" w14:textId="77777777" w:rsidTr="00E7284B">
        <w:trPr>
          <w:trHeight w:val="300"/>
          <w:jc w:val="center"/>
        </w:trPr>
        <w:tc>
          <w:tcPr>
            <w:tcW w:w="3114" w:type="dxa"/>
            <w:noWrap/>
            <w:vAlign w:val="center"/>
            <w:hideMark/>
          </w:tcPr>
          <w:p w14:paraId="71301480" w14:textId="77777777" w:rsidR="007C169A" w:rsidRPr="001C0357" w:rsidRDefault="007C169A" w:rsidP="002F673F">
            <w:pPr>
              <w:spacing w:before="0" w:after="0"/>
              <w:ind w:firstLine="0"/>
              <w:jc w:val="left"/>
              <w:rPr>
                <w:rFonts w:cs="Times New Roman"/>
                <w:b/>
                <w:bCs/>
                <w:noProof/>
                <w:sz w:val="20"/>
                <w:szCs w:val="20"/>
                <w:lang w:eastAsia="lv-LV"/>
              </w:rPr>
            </w:pPr>
            <w:r w:rsidRPr="001C0357">
              <w:rPr>
                <w:rFonts w:cs="Times New Roman"/>
                <w:b/>
                <w:bCs/>
                <w:noProof/>
                <w:sz w:val="20"/>
                <w:szCs w:val="20"/>
                <w:lang w:eastAsia="lv-LV"/>
              </w:rPr>
              <w:t xml:space="preserve">Iekšzemes kopprodukts, milj. </w:t>
            </w:r>
            <w:r w:rsidRPr="001C0357">
              <w:rPr>
                <w:rFonts w:cs="Times New Roman"/>
                <w:b/>
                <w:bCs/>
                <w:i/>
                <w:noProof/>
                <w:sz w:val="20"/>
                <w:szCs w:val="20"/>
                <w:lang w:eastAsia="lv-LV"/>
              </w:rPr>
              <w:t>euro</w:t>
            </w:r>
          </w:p>
        </w:tc>
        <w:tc>
          <w:tcPr>
            <w:tcW w:w="815" w:type="dxa"/>
            <w:noWrap/>
            <w:tcMar>
              <w:right w:w="170" w:type="dxa"/>
            </w:tcMar>
            <w:vAlign w:val="center"/>
          </w:tcPr>
          <w:p w14:paraId="5C8F624B"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40 208</w:t>
            </w:r>
          </w:p>
        </w:tc>
        <w:tc>
          <w:tcPr>
            <w:tcW w:w="873" w:type="dxa"/>
            <w:shd w:val="clear" w:color="auto" w:fill="F0E7DA"/>
            <w:noWrap/>
            <w:tcMar>
              <w:right w:w="170" w:type="dxa"/>
            </w:tcMar>
            <w:vAlign w:val="center"/>
          </w:tcPr>
          <w:p w14:paraId="03BAB164"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41 985</w:t>
            </w:r>
          </w:p>
        </w:tc>
        <w:tc>
          <w:tcPr>
            <w:tcW w:w="874" w:type="dxa"/>
            <w:shd w:val="clear" w:color="auto" w:fill="F0E7DA"/>
            <w:noWrap/>
            <w:tcMar>
              <w:right w:w="170" w:type="dxa"/>
            </w:tcMar>
            <w:vAlign w:val="center"/>
          </w:tcPr>
          <w:p w14:paraId="2C33EA26"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43 953</w:t>
            </w:r>
          </w:p>
        </w:tc>
        <w:tc>
          <w:tcPr>
            <w:tcW w:w="873" w:type="dxa"/>
            <w:shd w:val="clear" w:color="auto" w:fill="F0E7DA"/>
            <w:noWrap/>
            <w:tcMar>
              <w:right w:w="170" w:type="dxa"/>
            </w:tcMar>
            <w:vAlign w:val="center"/>
          </w:tcPr>
          <w:p w14:paraId="5EAA7CB5"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46 026</w:t>
            </w:r>
          </w:p>
        </w:tc>
        <w:tc>
          <w:tcPr>
            <w:tcW w:w="874" w:type="dxa"/>
            <w:shd w:val="clear" w:color="auto" w:fill="F0E7DA"/>
            <w:noWrap/>
            <w:tcMar>
              <w:right w:w="170" w:type="dxa"/>
            </w:tcMar>
            <w:vAlign w:val="center"/>
          </w:tcPr>
          <w:p w14:paraId="4D7F21D7"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48 154</w:t>
            </w:r>
          </w:p>
        </w:tc>
        <w:tc>
          <w:tcPr>
            <w:tcW w:w="873" w:type="dxa"/>
            <w:shd w:val="clear" w:color="auto" w:fill="F0E7DA"/>
            <w:vAlign w:val="center"/>
          </w:tcPr>
          <w:p w14:paraId="21421923"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50 398</w:t>
            </w:r>
          </w:p>
        </w:tc>
      </w:tr>
      <w:tr w:rsidR="007C169A" w:rsidRPr="001C0357" w14:paraId="5C82DFE6" w14:textId="77777777" w:rsidTr="00E7284B">
        <w:trPr>
          <w:trHeight w:val="235"/>
          <w:jc w:val="center"/>
        </w:trPr>
        <w:tc>
          <w:tcPr>
            <w:tcW w:w="3114" w:type="dxa"/>
            <w:noWrap/>
            <w:vAlign w:val="center"/>
            <w:hideMark/>
          </w:tcPr>
          <w:p w14:paraId="2DB13403" w14:textId="77777777" w:rsidR="007C169A" w:rsidRPr="001C0357" w:rsidRDefault="007C169A" w:rsidP="002F673F">
            <w:pPr>
              <w:spacing w:before="0" w:after="0"/>
              <w:ind w:left="176" w:firstLine="567"/>
              <w:jc w:val="left"/>
              <w:rPr>
                <w:rFonts w:cs="Times New Roman"/>
                <w:noProof/>
                <w:sz w:val="20"/>
                <w:szCs w:val="20"/>
                <w:lang w:eastAsia="lv-LV"/>
              </w:rPr>
            </w:pPr>
            <w:r w:rsidRPr="001C0357">
              <w:rPr>
                <w:rFonts w:cs="Times New Roman"/>
                <w:noProof/>
                <w:sz w:val="20"/>
                <w:szCs w:val="20"/>
                <w:lang w:eastAsia="lv-LV"/>
              </w:rPr>
              <w:t>izmaiņas faktiskajās cenās, %</w:t>
            </w:r>
          </w:p>
        </w:tc>
        <w:tc>
          <w:tcPr>
            <w:tcW w:w="815" w:type="dxa"/>
            <w:noWrap/>
            <w:tcMar>
              <w:right w:w="170" w:type="dxa"/>
            </w:tcMar>
            <w:vAlign w:val="center"/>
          </w:tcPr>
          <w:p w14:paraId="022531FB"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2,1</w:t>
            </w:r>
          </w:p>
        </w:tc>
        <w:tc>
          <w:tcPr>
            <w:tcW w:w="873" w:type="dxa"/>
            <w:shd w:val="clear" w:color="auto" w:fill="F0E7DA"/>
            <w:noWrap/>
            <w:tcMar>
              <w:right w:w="170" w:type="dxa"/>
            </w:tcMar>
            <w:vAlign w:val="center"/>
          </w:tcPr>
          <w:p w14:paraId="67FB2A52"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4,4</w:t>
            </w:r>
          </w:p>
        </w:tc>
        <w:tc>
          <w:tcPr>
            <w:tcW w:w="874" w:type="dxa"/>
            <w:shd w:val="clear" w:color="auto" w:fill="F0E7DA"/>
            <w:noWrap/>
            <w:tcMar>
              <w:right w:w="170" w:type="dxa"/>
            </w:tcMar>
            <w:vAlign w:val="center"/>
          </w:tcPr>
          <w:p w14:paraId="29937837"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4,7</w:t>
            </w:r>
          </w:p>
        </w:tc>
        <w:tc>
          <w:tcPr>
            <w:tcW w:w="873" w:type="dxa"/>
            <w:shd w:val="clear" w:color="auto" w:fill="F0E7DA"/>
            <w:noWrap/>
            <w:tcMar>
              <w:right w:w="170" w:type="dxa"/>
            </w:tcMar>
            <w:vAlign w:val="center"/>
          </w:tcPr>
          <w:p w14:paraId="19779A18"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4,7</w:t>
            </w:r>
          </w:p>
        </w:tc>
        <w:tc>
          <w:tcPr>
            <w:tcW w:w="874" w:type="dxa"/>
            <w:shd w:val="clear" w:color="auto" w:fill="F0E7DA"/>
            <w:noWrap/>
            <w:tcMar>
              <w:right w:w="170" w:type="dxa"/>
            </w:tcMar>
            <w:vAlign w:val="center"/>
          </w:tcPr>
          <w:p w14:paraId="1C5F4278"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4,6</w:t>
            </w:r>
          </w:p>
        </w:tc>
        <w:tc>
          <w:tcPr>
            <w:tcW w:w="873" w:type="dxa"/>
            <w:shd w:val="clear" w:color="auto" w:fill="F0E7DA"/>
            <w:vAlign w:val="center"/>
          </w:tcPr>
          <w:p w14:paraId="0D85AE78"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4,7</w:t>
            </w:r>
          </w:p>
        </w:tc>
      </w:tr>
      <w:tr w:rsidR="007C169A" w:rsidRPr="001C0357" w14:paraId="4DDC14B2" w14:textId="77777777" w:rsidTr="00E7284B">
        <w:trPr>
          <w:trHeight w:val="300"/>
          <w:jc w:val="center"/>
        </w:trPr>
        <w:tc>
          <w:tcPr>
            <w:tcW w:w="3114" w:type="dxa"/>
            <w:noWrap/>
            <w:vAlign w:val="center"/>
            <w:hideMark/>
          </w:tcPr>
          <w:p w14:paraId="23D45E23" w14:textId="77777777" w:rsidR="007C169A" w:rsidRPr="001C0357" w:rsidRDefault="007C169A" w:rsidP="002F673F">
            <w:pPr>
              <w:spacing w:before="0" w:after="0"/>
              <w:ind w:left="176" w:firstLine="567"/>
              <w:jc w:val="left"/>
              <w:rPr>
                <w:rFonts w:cs="Times New Roman"/>
                <w:noProof/>
                <w:sz w:val="20"/>
                <w:szCs w:val="20"/>
                <w:lang w:eastAsia="lv-LV"/>
              </w:rPr>
            </w:pPr>
            <w:r w:rsidRPr="001C0357">
              <w:rPr>
                <w:rFonts w:cs="Times New Roman"/>
                <w:noProof/>
                <w:sz w:val="20"/>
                <w:szCs w:val="20"/>
                <w:lang w:eastAsia="lv-LV"/>
              </w:rPr>
              <w:t>izmaiņas salīdzin. cenās, %</w:t>
            </w:r>
          </w:p>
        </w:tc>
        <w:tc>
          <w:tcPr>
            <w:tcW w:w="815" w:type="dxa"/>
            <w:noWrap/>
            <w:tcMar>
              <w:right w:w="170" w:type="dxa"/>
            </w:tcMar>
            <w:vAlign w:val="center"/>
          </w:tcPr>
          <w:p w14:paraId="252C278E"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-0,4</w:t>
            </w:r>
          </w:p>
        </w:tc>
        <w:tc>
          <w:tcPr>
            <w:tcW w:w="873" w:type="dxa"/>
            <w:shd w:val="clear" w:color="auto" w:fill="F0E7DA"/>
            <w:noWrap/>
            <w:tcMar>
              <w:right w:w="170" w:type="dxa"/>
            </w:tcMar>
            <w:vAlign w:val="center"/>
          </w:tcPr>
          <w:p w14:paraId="29F626F6"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1,1</w:t>
            </w:r>
          </w:p>
        </w:tc>
        <w:tc>
          <w:tcPr>
            <w:tcW w:w="874" w:type="dxa"/>
            <w:shd w:val="clear" w:color="auto" w:fill="F0E7DA"/>
            <w:noWrap/>
            <w:tcMar>
              <w:right w:w="170" w:type="dxa"/>
            </w:tcMar>
            <w:vAlign w:val="center"/>
          </w:tcPr>
          <w:p w14:paraId="634183EE"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2,1</w:t>
            </w:r>
          </w:p>
        </w:tc>
        <w:tc>
          <w:tcPr>
            <w:tcW w:w="873" w:type="dxa"/>
            <w:shd w:val="clear" w:color="auto" w:fill="F0E7DA"/>
            <w:noWrap/>
            <w:tcMar>
              <w:right w:w="170" w:type="dxa"/>
            </w:tcMar>
            <w:vAlign w:val="center"/>
          </w:tcPr>
          <w:p w14:paraId="636F361F"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2,2</w:t>
            </w:r>
          </w:p>
        </w:tc>
        <w:tc>
          <w:tcPr>
            <w:tcW w:w="874" w:type="dxa"/>
            <w:shd w:val="clear" w:color="auto" w:fill="F0E7DA"/>
            <w:noWrap/>
            <w:tcMar>
              <w:right w:w="170" w:type="dxa"/>
            </w:tcMar>
            <w:vAlign w:val="center"/>
          </w:tcPr>
          <w:p w14:paraId="3C7C3C59"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2,2</w:t>
            </w:r>
          </w:p>
        </w:tc>
        <w:tc>
          <w:tcPr>
            <w:tcW w:w="873" w:type="dxa"/>
            <w:shd w:val="clear" w:color="auto" w:fill="F0E7DA"/>
            <w:vAlign w:val="center"/>
          </w:tcPr>
          <w:p w14:paraId="0523EA31"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2,2</w:t>
            </w:r>
          </w:p>
        </w:tc>
      </w:tr>
      <w:tr w:rsidR="007C169A" w:rsidRPr="001C0357" w14:paraId="333EE410" w14:textId="77777777" w:rsidTr="00E7284B">
        <w:trPr>
          <w:trHeight w:val="300"/>
          <w:jc w:val="center"/>
        </w:trPr>
        <w:tc>
          <w:tcPr>
            <w:tcW w:w="3114" w:type="dxa"/>
            <w:noWrap/>
            <w:vAlign w:val="center"/>
            <w:hideMark/>
          </w:tcPr>
          <w:p w14:paraId="0F12C1AA" w14:textId="015391EB" w:rsidR="007C169A" w:rsidRPr="001C0357" w:rsidRDefault="002F673F" w:rsidP="002F673F">
            <w:pPr>
              <w:spacing w:before="0" w:after="0"/>
              <w:ind w:firstLine="0"/>
              <w:jc w:val="left"/>
              <w:rPr>
                <w:rFonts w:cs="Times New Roman"/>
                <w:noProof/>
                <w:sz w:val="20"/>
                <w:szCs w:val="20"/>
                <w:lang w:eastAsia="lv-LV"/>
              </w:rPr>
            </w:pPr>
            <w:r w:rsidRPr="001C0357">
              <w:rPr>
                <w:rFonts w:cs="Times New Roman"/>
                <w:b/>
                <w:bCs/>
                <w:noProof/>
                <w:sz w:val="20"/>
                <w:szCs w:val="20"/>
                <w:lang w:eastAsia="lv-LV"/>
              </w:rPr>
              <w:t xml:space="preserve">IKP </w:t>
            </w:r>
            <w:r w:rsidR="007C169A" w:rsidRPr="001C0357">
              <w:rPr>
                <w:rFonts w:cs="Times New Roman"/>
                <w:b/>
                <w:bCs/>
                <w:noProof/>
                <w:sz w:val="20"/>
                <w:szCs w:val="20"/>
                <w:lang w:eastAsia="lv-LV"/>
              </w:rPr>
              <w:t>deflators</w:t>
            </w:r>
            <w:r w:rsidR="007C169A" w:rsidRPr="001C0357">
              <w:rPr>
                <w:rFonts w:cs="Times New Roman"/>
                <w:noProof/>
                <w:sz w:val="20"/>
                <w:szCs w:val="20"/>
                <w:lang w:eastAsia="lv-LV"/>
              </w:rPr>
              <w:t xml:space="preserve"> (gads pret gadu), %</w:t>
            </w:r>
          </w:p>
        </w:tc>
        <w:tc>
          <w:tcPr>
            <w:tcW w:w="815" w:type="dxa"/>
            <w:noWrap/>
            <w:tcMar>
              <w:right w:w="170" w:type="dxa"/>
            </w:tcMar>
            <w:vAlign w:val="center"/>
          </w:tcPr>
          <w:p w14:paraId="5D9C57CB"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2,6</w:t>
            </w:r>
          </w:p>
        </w:tc>
        <w:tc>
          <w:tcPr>
            <w:tcW w:w="873" w:type="dxa"/>
            <w:shd w:val="clear" w:color="auto" w:fill="F0E7DA"/>
            <w:noWrap/>
            <w:tcMar>
              <w:right w:w="170" w:type="dxa"/>
            </w:tcMar>
            <w:vAlign w:val="center"/>
          </w:tcPr>
          <w:p w14:paraId="51E0FA0F"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3,3</w:t>
            </w:r>
          </w:p>
        </w:tc>
        <w:tc>
          <w:tcPr>
            <w:tcW w:w="874" w:type="dxa"/>
            <w:shd w:val="clear" w:color="auto" w:fill="F0E7DA"/>
            <w:noWrap/>
            <w:tcMar>
              <w:right w:w="170" w:type="dxa"/>
            </w:tcMar>
            <w:vAlign w:val="center"/>
          </w:tcPr>
          <w:p w14:paraId="3EE60032"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2,5</w:t>
            </w:r>
          </w:p>
        </w:tc>
        <w:tc>
          <w:tcPr>
            <w:tcW w:w="873" w:type="dxa"/>
            <w:shd w:val="clear" w:color="auto" w:fill="F0E7DA"/>
            <w:noWrap/>
            <w:tcMar>
              <w:right w:w="170" w:type="dxa"/>
            </w:tcMar>
            <w:vAlign w:val="center"/>
          </w:tcPr>
          <w:p w14:paraId="18A2437A"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2,5</w:t>
            </w:r>
          </w:p>
        </w:tc>
        <w:tc>
          <w:tcPr>
            <w:tcW w:w="874" w:type="dxa"/>
            <w:shd w:val="clear" w:color="auto" w:fill="F0E7DA"/>
            <w:noWrap/>
            <w:tcMar>
              <w:right w:w="170" w:type="dxa"/>
            </w:tcMar>
            <w:vAlign w:val="center"/>
          </w:tcPr>
          <w:p w14:paraId="24035379"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2,4</w:t>
            </w:r>
          </w:p>
        </w:tc>
        <w:tc>
          <w:tcPr>
            <w:tcW w:w="873" w:type="dxa"/>
            <w:shd w:val="clear" w:color="auto" w:fill="F0E7DA"/>
            <w:vAlign w:val="center"/>
          </w:tcPr>
          <w:p w14:paraId="2EA60C9E"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2,4</w:t>
            </w:r>
          </w:p>
        </w:tc>
      </w:tr>
      <w:tr w:rsidR="007C169A" w:rsidRPr="001C0357" w14:paraId="2E26DCEF" w14:textId="77777777" w:rsidTr="00E7284B">
        <w:trPr>
          <w:trHeight w:val="300"/>
          <w:jc w:val="center"/>
        </w:trPr>
        <w:tc>
          <w:tcPr>
            <w:tcW w:w="3114" w:type="dxa"/>
            <w:noWrap/>
            <w:vAlign w:val="center"/>
            <w:hideMark/>
          </w:tcPr>
          <w:p w14:paraId="0EC00B6A" w14:textId="77777777" w:rsidR="007C169A" w:rsidRPr="001C0357" w:rsidRDefault="007C169A" w:rsidP="002F673F">
            <w:pPr>
              <w:spacing w:before="0" w:after="0"/>
              <w:ind w:firstLine="0"/>
              <w:jc w:val="left"/>
              <w:rPr>
                <w:rFonts w:cs="Times New Roman"/>
                <w:noProof/>
                <w:sz w:val="20"/>
                <w:szCs w:val="20"/>
                <w:lang w:eastAsia="lv-LV"/>
              </w:rPr>
            </w:pPr>
            <w:r w:rsidRPr="001C0357">
              <w:rPr>
                <w:rFonts w:cs="Times New Roman"/>
                <w:b/>
                <w:bCs/>
                <w:noProof/>
                <w:sz w:val="20"/>
                <w:szCs w:val="20"/>
                <w:lang w:eastAsia="lv-LV"/>
              </w:rPr>
              <w:t>PCI</w:t>
            </w:r>
            <w:r w:rsidRPr="001C0357">
              <w:rPr>
                <w:rFonts w:cs="Times New Roman"/>
                <w:noProof/>
                <w:sz w:val="20"/>
                <w:szCs w:val="20"/>
                <w:lang w:eastAsia="lv-LV"/>
              </w:rPr>
              <w:t xml:space="preserve"> (gads pret gadu), %</w:t>
            </w:r>
          </w:p>
        </w:tc>
        <w:tc>
          <w:tcPr>
            <w:tcW w:w="815" w:type="dxa"/>
            <w:noWrap/>
            <w:tcMar>
              <w:right w:w="170" w:type="dxa"/>
            </w:tcMar>
            <w:vAlign w:val="center"/>
          </w:tcPr>
          <w:p w14:paraId="78828D90"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1,3</w:t>
            </w:r>
          </w:p>
        </w:tc>
        <w:tc>
          <w:tcPr>
            <w:tcW w:w="873" w:type="dxa"/>
            <w:shd w:val="clear" w:color="auto" w:fill="F0E7DA"/>
            <w:noWrap/>
            <w:tcMar>
              <w:right w:w="170" w:type="dxa"/>
            </w:tcMar>
            <w:vAlign w:val="center"/>
          </w:tcPr>
          <w:p w14:paraId="437DC606"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3,5</w:t>
            </w:r>
          </w:p>
        </w:tc>
        <w:tc>
          <w:tcPr>
            <w:tcW w:w="874" w:type="dxa"/>
            <w:shd w:val="clear" w:color="auto" w:fill="F0E7DA"/>
            <w:noWrap/>
            <w:tcMar>
              <w:right w:w="170" w:type="dxa"/>
            </w:tcMar>
            <w:vAlign w:val="center"/>
          </w:tcPr>
          <w:p w14:paraId="4B229FA2"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2,3</w:t>
            </w:r>
          </w:p>
        </w:tc>
        <w:tc>
          <w:tcPr>
            <w:tcW w:w="873" w:type="dxa"/>
            <w:shd w:val="clear" w:color="auto" w:fill="F0E7DA"/>
            <w:noWrap/>
            <w:tcMar>
              <w:right w:w="170" w:type="dxa"/>
            </w:tcMar>
            <w:vAlign w:val="center"/>
          </w:tcPr>
          <w:p w14:paraId="0A52E053"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2,2</w:t>
            </w:r>
          </w:p>
        </w:tc>
        <w:tc>
          <w:tcPr>
            <w:tcW w:w="874" w:type="dxa"/>
            <w:shd w:val="clear" w:color="auto" w:fill="F0E7DA"/>
            <w:noWrap/>
            <w:tcMar>
              <w:right w:w="170" w:type="dxa"/>
            </w:tcMar>
            <w:vAlign w:val="center"/>
          </w:tcPr>
          <w:p w14:paraId="287474CB"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2,2</w:t>
            </w:r>
          </w:p>
        </w:tc>
        <w:tc>
          <w:tcPr>
            <w:tcW w:w="873" w:type="dxa"/>
            <w:shd w:val="clear" w:color="auto" w:fill="F0E7DA"/>
            <w:vAlign w:val="center"/>
          </w:tcPr>
          <w:p w14:paraId="16B162C5"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2,2</w:t>
            </w:r>
          </w:p>
        </w:tc>
      </w:tr>
      <w:tr w:rsidR="007C169A" w:rsidRPr="001C0357" w14:paraId="7A4043A7" w14:textId="77777777" w:rsidTr="00E7284B">
        <w:trPr>
          <w:jc w:val="center"/>
        </w:trPr>
        <w:tc>
          <w:tcPr>
            <w:tcW w:w="3114" w:type="dxa"/>
            <w:noWrap/>
            <w:vAlign w:val="center"/>
            <w:hideMark/>
          </w:tcPr>
          <w:p w14:paraId="23F68D99" w14:textId="77777777" w:rsidR="007C169A" w:rsidRPr="001C0357" w:rsidRDefault="007C169A" w:rsidP="002F673F">
            <w:pPr>
              <w:spacing w:before="0" w:after="0"/>
              <w:ind w:firstLine="0"/>
              <w:jc w:val="left"/>
              <w:rPr>
                <w:rFonts w:cs="Times New Roman"/>
                <w:noProof/>
                <w:sz w:val="20"/>
                <w:szCs w:val="20"/>
                <w:lang w:eastAsia="lv-LV"/>
              </w:rPr>
            </w:pPr>
            <w:r w:rsidRPr="001C0357">
              <w:rPr>
                <w:rFonts w:cs="Times New Roman"/>
                <w:b/>
                <w:bCs/>
                <w:noProof/>
                <w:sz w:val="20"/>
                <w:szCs w:val="20"/>
                <w:lang w:eastAsia="lv-LV"/>
              </w:rPr>
              <w:t>Nodarbināto mēn. vid. bruto darba samaksa,</w:t>
            </w:r>
            <w:r w:rsidRPr="001C0357">
              <w:rPr>
                <w:rFonts w:cs="Times New Roman"/>
                <w:noProof/>
                <w:sz w:val="20"/>
                <w:szCs w:val="20"/>
                <w:lang w:eastAsia="lv-LV"/>
              </w:rPr>
              <w:t xml:space="preserve"> </w:t>
            </w:r>
            <w:r w:rsidRPr="001C0357">
              <w:rPr>
                <w:rFonts w:cs="Times New Roman"/>
                <w:i/>
                <w:noProof/>
                <w:sz w:val="20"/>
                <w:szCs w:val="20"/>
                <w:lang w:eastAsia="lv-LV"/>
              </w:rPr>
              <w:t>euro</w:t>
            </w:r>
          </w:p>
        </w:tc>
        <w:tc>
          <w:tcPr>
            <w:tcW w:w="815" w:type="dxa"/>
            <w:noWrap/>
            <w:tcMar>
              <w:right w:w="170" w:type="dxa"/>
            </w:tcMar>
            <w:vAlign w:val="center"/>
          </w:tcPr>
          <w:p w14:paraId="44A2F914" w14:textId="1D4E22EA"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1</w:t>
            </w:r>
            <w:r w:rsidR="0012227C" w:rsidRPr="001C0357">
              <w:rPr>
                <w:rFonts w:cs="Times New Roman"/>
                <w:noProof/>
                <w:sz w:val="20"/>
                <w:szCs w:val="20"/>
              </w:rPr>
              <w:t xml:space="preserve"> </w:t>
            </w:r>
            <w:r w:rsidRPr="001C0357">
              <w:rPr>
                <w:rFonts w:cs="Times New Roman"/>
                <w:noProof/>
                <w:sz w:val="20"/>
                <w:szCs w:val="20"/>
              </w:rPr>
              <w:t>685</w:t>
            </w:r>
          </w:p>
        </w:tc>
        <w:tc>
          <w:tcPr>
            <w:tcW w:w="873" w:type="dxa"/>
            <w:shd w:val="clear" w:color="auto" w:fill="F0E7DA"/>
            <w:noWrap/>
            <w:tcMar>
              <w:right w:w="170" w:type="dxa"/>
            </w:tcMar>
            <w:vAlign w:val="center"/>
          </w:tcPr>
          <w:p w14:paraId="3B3A4D95" w14:textId="599E3DF4"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1</w:t>
            </w:r>
            <w:r w:rsidR="0012227C" w:rsidRPr="001C0357">
              <w:rPr>
                <w:rFonts w:cs="Times New Roman"/>
                <w:noProof/>
                <w:sz w:val="20"/>
                <w:szCs w:val="20"/>
              </w:rPr>
              <w:t xml:space="preserve"> </w:t>
            </w:r>
            <w:r w:rsidRPr="001C0357">
              <w:rPr>
                <w:rFonts w:cs="Times New Roman"/>
                <w:noProof/>
                <w:sz w:val="20"/>
                <w:szCs w:val="20"/>
              </w:rPr>
              <w:t>811</w:t>
            </w:r>
          </w:p>
        </w:tc>
        <w:tc>
          <w:tcPr>
            <w:tcW w:w="874" w:type="dxa"/>
            <w:shd w:val="clear" w:color="auto" w:fill="F0E7DA"/>
            <w:noWrap/>
            <w:tcMar>
              <w:right w:w="170" w:type="dxa"/>
            </w:tcMar>
            <w:vAlign w:val="center"/>
          </w:tcPr>
          <w:p w14:paraId="46BF1463" w14:textId="26BB966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1</w:t>
            </w:r>
            <w:r w:rsidR="0012227C" w:rsidRPr="001C0357">
              <w:rPr>
                <w:rFonts w:cs="Times New Roman"/>
                <w:noProof/>
                <w:sz w:val="20"/>
                <w:szCs w:val="20"/>
              </w:rPr>
              <w:t xml:space="preserve"> </w:t>
            </w:r>
            <w:r w:rsidRPr="001C0357">
              <w:rPr>
                <w:rFonts w:cs="Times New Roman"/>
                <w:noProof/>
                <w:sz w:val="20"/>
                <w:szCs w:val="20"/>
              </w:rPr>
              <w:t>920</w:t>
            </w:r>
          </w:p>
        </w:tc>
        <w:tc>
          <w:tcPr>
            <w:tcW w:w="873" w:type="dxa"/>
            <w:shd w:val="clear" w:color="auto" w:fill="F0E7DA"/>
            <w:noWrap/>
            <w:tcMar>
              <w:right w:w="170" w:type="dxa"/>
            </w:tcMar>
            <w:vAlign w:val="center"/>
          </w:tcPr>
          <w:p w14:paraId="2B7DE9D7" w14:textId="0585C251"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2</w:t>
            </w:r>
            <w:r w:rsidR="0012227C" w:rsidRPr="001C0357">
              <w:rPr>
                <w:rFonts w:cs="Times New Roman"/>
                <w:noProof/>
                <w:sz w:val="20"/>
                <w:szCs w:val="20"/>
              </w:rPr>
              <w:t xml:space="preserve"> </w:t>
            </w:r>
            <w:r w:rsidRPr="001C0357">
              <w:rPr>
                <w:rFonts w:cs="Times New Roman"/>
                <w:noProof/>
                <w:sz w:val="20"/>
                <w:szCs w:val="20"/>
              </w:rPr>
              <w:t>026</w:t>
            </w:r>
          </w:p>
        </w:tc>
        <w:tc>
          <w:tcPr>
            <w:tcW w:w="874" w:type="dxa"/>
            <w:shd w:val="clear" w:color="auto" w:fill="F0E7DA"/>
            <w:noWrap/>
            <w:tcMar>
              <w:right w:w="170" w:type="dxa"/>
            </w:tcMar>
            <w:vAlign w:val="center"/>
          </w:tcPr>
          <w:p w14:paraId="1880A8B6" w14:textId="777C492E"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2</w:t>
            </w:r>
            <w:r w:rsidR="0012227C" w:rsidRPr="001C0357">
              <w:rPr>
                <w:rFonts w:cs="Times New Roman"/>
                <w:noProof/>
                <w:sz w:val="20"/>
                <w:szCs w:val="20"/>
              </w:rPr>
              <w:t xml:space="preserve"> </w:t>
            </w:r>
            <w:r w:rsidRPr="001C0357">
              <w:rPr>
                <w:rFonts w:cs="Times New Roman"/>
                <w:noProof/>
                <w:sz w:val="20"/>
                <w:szCs w:val="20"/>
              </w:rPr>
              <w:t>127</w:t>
            </w:r>
          </w:p>
        </w:tc>
        <w:tc>
          <w:tcPr>
            <w:tcW w:w="873" w:type="dxa"/>
            <w:shd w:val="clear" w:color="auto" w:fill="F0E7DA"/>
            <w:vAlign w:val="center"/>
          </w:tcPr>
          <w:p w14:paraId="1AD50C29" w14:textId="76106CE8"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2</w:t>
            </w:r>
            <w:r w:rsidR="0012227C" w:rsidRPr="001C0357">
              <w:rPr>
                <w:rFonts w:cs="Times New Roman"/>
                <w:noProof/>
                <w:sz w:val="20"/>
                <w:szCs w:val="20"/>
              </w:rPr>
              <w:t xml:space="preserve"> </w:t>
            </w:r>
            <w:r w:rsidRPr="001C0357">
              <w:rPr>
                <w:rFonts w:cs="Times New Roman"/>
                <w:noProof/>
                <w:sz w:val="20"/>
                <w:szCs w:val="20"/>
              </w:rPr>
              <w:t>233</w:t>
            </w:r>
          </w:p>
        </w:tc>
      </w:tr>
      <w:tr w:rsidR="007C169A" w:rsidRPr="001C0357" w14:paraId="12D37B3D" w14:textId="77777777" w:rsidTr="00E7284B">
        <w:trPr>
          <w:trHeight w:val="300"/>
          <w:jc w:val="center"/>
        </w:trPr>
        <w:tc>
          <w:tcPr>
            <w:tcW w:w="3114" w:type="dxa"/>
            <w:noWrap/>
            <w:vAlign w:val="center"/>
            <w:hideMark/>
          </w:tcPr>
          <w:p w14:paraId="0E7057CE" w14:textId="77777777" w:rsidR="007C169A" w:rsidRPr="001C0357" w:rsidRDefault="007C169A" w:rsidP="002F673F">
            <w:pPr>
              <w:spacing w:before="0" w:after="0"/>
              <w:ind w:left="176" w:firstLine="567"/>
              <w:jc w:val="left"/>
              <w:rPr>
                <w:rFonts w:cs="Times New Roman"/>
                <w:noProof/>
                <w:sz w:val="20"/>
                <w:szCs w:val="20"/>
                <w:lang w:eastAsia="lv-LV"/>
              </w:rPr>
            </w:pPr>
            <w:r w:rsidRPr="001C0357">
              <w:rPr>
                <w:rFonts w:cs="Times New Roman"/>
                <w:noProof/>
                <w:sz w:val="20"/>
                <w:szCs w:val="20"/>
                <w:lang w:eastAsia="lv-LV"/>
              </w:rPr>
              <w:t>izmaiņas faktiskajās cenās, %</w:t>
            </w:r>
          </w:p>
        </w:tc>
        <w:tc>
          <w:tcPr>
            <w:tcW w:w="815" w:type="dxa"/>
            <w:noWrap/>
            <w:tcMar>
              <w:right w:w="170" w:type="dxa"/>
            </w:tcMar>
            <w:vAlign w:val="center"/>
          </w:tcPr>
          <w:p w14:paraId="06E53050"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9,6</w:t>
            </w:r>
          </w:p>
        </w:tc>
        <w:tc>
          <w:tcPr>
            <w:tcW w:w="873" w:type="dxa"/>
            <w:shd w:val="clear" w:color="auto" w:fill="F0E7DA"/>
            <w:noWrap/>
            <w:tcMar>
              <w:right w:w="170" w:type="dxa"/>
            </w:tcMar>
            <w:vAlign w:val="center"/>
          </w:tcPr>
          <w:p w14:paraId="217B2290"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7,5</w:t>
            </w:r>
          </w:p>
        </w:tc>
        <w:tc>
          <w:tcPr>
            <w:tcW w:w="874" w:type="dxa"/>
            <w:shd w:val="clear" w:color="auto" w:fill="F0E7DA"/>
            <w:noWrap/>
            <w:tcMar>
              <w:right w:w="170" w:type="dxa"/>
            </w:tcMar>
            <w:vAlign w:val="center"/>
          </w:tcPr>
          <w:p w14:paraId="0BE9BC51"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6,0</w:t>
            </w:r>
          </w:p>
        </w:tc>
        <w:tc>
          <w:tcPr>
            <w:tcW w:w="873" w:type="dxa"/>
            <w:shd w:val="clear" w:color="auto" w:fill="F0E7DA"/>
            <w:noWrap/>
            <w:tcMar>
              <w:right w:w="170" w:type="dxa"/>
            </w:tcMar>
            <w:vAlign w:val="center"/>
          </w:tcPr>
          <w:p w14:paraId="20EA2647"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5,5</w:t>
            </w:r>
          </w:p>
        </w:tc>
        <w:tc>
          <w:tcPr>
            <w:tcW w:w="874" w:type="dxa"/>
            <w:shd w:val="clear" w:color="auto" w:fill="F0E7DA"/>
            <w:noWrap/>
            <w:tcMar>
              <w:right w:w="170" w:type="dxa"/>
            </w:tcMar>
            <w:vAlign w:val="center"/>
          </w:tcPr>
          <w:p w14:paraId="51CB23C5"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5,0</w:t>
            </w:r>
          </w:p>
        </w:tc>
        <w:tc>
          <w:tcPr>
            <w:tcW w:w="873" w:type="dxa"/>
            <w:shd w:val="clear" w:color="auto" w:fill="F0E7DA"/>
            <w:vAlign w:val="center"/>
          </w:tcPr>
          <w:p w14:paraId="79281C52"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5,0</w:t>
            </w:r>
          </w:p>
        </w:tc>
      </w:tr>
      <w:tr w:rsidR="007C169A" w:rsidRPr="001C0357" w14:paraId="5AA135D4" w14:textId="77777777" w:rsidTr="00E7284B">
        <w:trPr>
          <w:trHeight w:val="300"/>
          <w:jc w:val="center"/>
        </w:trPr>
        <w:tc>
          <w:tcPr>
            <w:tcW w:w="3114" w:type="dxa"/>
            <w:noWrap/>
            <w:vAlign w:val="center"/>
            <w:hideMark/>
          </w:tcPr>
          <w:p w14:paraId="562B99F7" w14:textId="77777777" w:rsidR="007C169A" w:rsidRPr="001C0357" w:rsidRDefault="007C169A" w:rsidP="002F673F">
            <w:pPr>
              <w:spacing w:before="0" w:after="0"/>
              <w:ind w:left="176" w:firstLine="567"/>
              <w:jc w:val="left"/>
              <w:rPr>
                <w:rFonts w:cs="Times New Roman"/>
                <w:noProof/>
                <w:sz w:val="20"/>
                <w:szCs w:val="20"/>
                <w:lang w:eastAsia="lv-LV"/>
              </w:rPr>
            </w:pPr>
            <w:r w:rsidRPr="001C0357">
              <w:rPr>
                <w:rFonts w:cs="Times New Roman"/>
                <w:noProof/>
                <w:sz w:val="20"/>
                <w:szCs w:val="20"/>
                <w:lang w:eastAsia="lv-LV"/>
              </w:rPr>
              <w:t>izmaiņas salīdzin. cenās, %</w:t>
            </w:r>
          </w:p>
        </w:tc>
        <w:tc>
          <w:tcPr>
            <w:tcW w:w="815" w:type="dxa"/>
            <w:noWrap/>
            <w:tcMar>
              <w:right w:w="170" w:type="dxa"/>
            </w:tcMar>
            <w:vAlign w:val="center"/>
          </w:tcPr>
          <w:p w14:paraId="61BE8B85"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8,2</w:t>
            </w:r>
          </w:p>
        </w:tc>
        <w:tc>
          <w:tcPr>
            <w:tcW w:w="873" w:type="dxa"/>
            <w:shd w:val="clear" w:color="auto" w:fill="F0E7DA"/>
            <w:noWrap/>
            <w:tcMar>
              <w:right w:w="170" w:type="dxa"/>
            </w:tcMar>
            <w:vAlign w:val="center"/>
          </w:tcPr>
          <w:p w14:paraId="65FB51A5"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4,9</w:t>
            </w:r>
          </w:p>
        </w:tc>
        <w:tc>
          <w:tcPr>
            <w:tcW w:w="874" w:type="dxa"/>
            <w:shd w:val="clear" w:color="auto" w:fill="F0E7DA"/>
            <w:noWrap/>
            <w:tcMar>
              <w:right w:w="170" w:type="dxa"/>
            </w:tcMar>
            <w:vAlign w:val="center"/>
          </w:tcPr>
          <w:p w14:paraId="75780918"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3,7</w:t>
            </w:r>
          </w:p>
        </w:tc>
        <w:tc>
          <w:tcPr>
            <w:tcW w:w="873" w:type="dxa"/>
            <w:shd w:val="clear" w:color="auto" w:fill="F0E7DA"/>
            <w:noWrap/>
            <w:tcMar>
              <w:right w:w="170" w:type="dxa"/>
            </w:tcMar>
            <w:vAlign w:val="center"/>
          </w:tcPr>
          <w:p w14:paraId="1901DBFA"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2,9</w:t>
            </w:r>
          </w:p>
        </w:tc>
        <w:tc>
          <w:tcPr>
            <w:tcW w:w="874" w:type="dxa"/>
            <w:shd w:val="clear" w:color="auto" w:fill="F0E7DA"/>
            <w:noWrap/>
            <w:tcMar>
              <w:right w:w="170" w:type="dxa"/>
            </w:tcMar>
            <w:vAlign w:val="center"/>
          </w:tcPr>
          <w:p w14:paraId="7760BBD7"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2,4</w:t>
            </w:r>
          </w:p>
        </w:tc>
        <w:tc>
          <w:tcPr>
            <w:tcW w:w="873" w:type="dxa"/>
            <w:shd w:val="clear" w:color="auto" w:fill="F0E7DA"/>
            <w:vAlign w:val="center"/>
          </w:tcPr>
          <w:p w14:paraId="551325E2"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2,4</w:t>
            </w:r>
          </w:p>
        </w:tc>
      </w:tr>
      <w:tr w:rsidR="007C169A" w:rsidRPr="001C0357" w14:paraId="798A8432" w14:textId="77777777" w:rsidTr="00E7284B">
        <w:trPr>
          <w:jc w:val="center"/>
        </w:trPr>
        <w:tc>
          <w:tcPr>
            <w:tcW w:w="3114" w:type="dxa"/>
            <w:noWrap/>
            <w:vAlign w:val="center"/>
            <w:hideMark/>
          </w:tcPr>
          <w:p w14:paraId="759AE0FA" w14:textId="77777777" w:rsidR="007C169A" w:rsidRPr="001C0357" w:rsidRDefault="007C169A" w:rsidP="002F673F">
            <w:pPr>
              <w:spacing w:before="0" w:after="0"/>
              <w:ind w:firstLine="0"/>
              <w:jc w:val="left"/>
              <w:rPr>
                <w:rFonts w:cs="Times New Roman"/>
                <w:noProof/>
                <w:sz w:val="20"/>
                <w:szCs w:val="20"/>
                <w:lang w:eastAsia="lv-LV"/>
              </w:rPr>
            </w:pPr>
            <w:r w:rsidRPr="001C0357">
              <w:rPr>
                <w:rFonts w:cs="Times New Roman"/>
                <w:b/>
                <w:bCs/>
                <w:noProof/>
                <w:sz w:val="20"/>
                <w:szCs w:val="20"/>
                <w:lang w:eastAsia="lv-LV"/>
              </w:rPr>
              <w:t>Nodarbinātība</w:t>
            </w:r>
            <w:r w:rsidRPr="001C0357">
              <w:rPr>
                <w:rFonts w:cs="Times New Roman"/>
                <w:noProof/>
                <w:sz w:val="20"/>
                <w:szCs w:val="20"/>
                <w:lang w:eastAsia="lv-LV"/>
              </w:rPr>
              <w:t>, tūkst. iedzīvotāju (atbilstoši darbaspēka apsekoj.)</w:t>
            </w:r>
          </w:p>
        </w:tc>
        <w:tc>
          <w:tcPr>
            <w:tcW w:w="815" w:type="dxa"/>
            <w:noWrap/>
            <w:tcMar>
              <w:right w:w="170" w:type="dxa"/>
            </w:tcMar>
            <w:vAlign w:val="center"/>
          </w:tcPr>
          <w:p w14:paraId="51B5C44A"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877</w:t>
            </w:r>
          </w:p>
        </w:tc>
        <w:tc>
          <w:tcPr>
            <w:tcW w:w="873" w:type="dxa"/>
            <w:shd w:val="clear" w:color="auto" w:fill="F0E7DA"/>
            <w:noWrap/>
            <w:tcMar>
              <w:right w:w="170" w:type="dxa"/>
            </w:tcMar>
            <w:vAlign w:val="center"/>
          </w:tcPr>
          <w:p w14:paraId="45383342"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876</w:t>
            </w:r>
          </w:p>
        </w:tc>
        <w:tc>
          <w:tcPr>
            <w:tcW w:w="874" w:type="dxa"/>
            <w:shd w:val="clear" w:color="auto" w:fill="F0E7DA"/>
            <w:noWrap/>
            <w:tcMar>
              <w:right w:w="170" w:type="dxa"/>
            </w:tcMar>
            <w:vAlign w:val="center"/>
          </w:tcPr>
          <w:p w14:paraId="181345CB"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874</w:t>
            </w:r>
          </w:p>
        </w:tc>
        <w:tc>
          <w:tcPr>
            <w:tcW w:w="873" w:type="dxa"/>
            <w:shd w:val="clear" w:color="auto" w:fill="F0E7DA"/>
            <w:noWrap/>
            <w:tcMar>
              <w:right w:w="170" w:type="dxa"/>
            </w:tcMar>
            <w:vAlign w:val="center"/>
          </w:tcPr>
          <w:p w14:paraId="366935EB"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871</w:t>
            </w:r>
          </w:p>
        </w:tc>
        <w:tc>
          <w:tcPr>
            <w:tcW w:w="874" w:type="dxa"/>
            <w:shd w:val="clear" w:color="auto" w:fill="F0E7DA"/>
            <w:noWrap/>
            <w:tcMar>
              <w:right w:w="170" w:type="dxa"/>
            </w:tcMar>
            <w:vAlign w:val="center"/>
          </w:tcPr>
          <w:p w14:paraId="7D46428C"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867</w:t>
            </w:r>
          </w:p>
        </w:tc>
        <w:tc>
          <w:tcPr>
            <w:tcW w:w="873" w:type="dxa"/>
            <w:shd w:val="clear" w:color="auto" w:fill="F0E7DA"/>
            <w:vAlign w:val="center"/>
          </w:tcPr>
          <w:p w14:paraId="0B73EE52"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861</w:t>
            </w:r>
          </w:p>
        </w:tc>
      </w:tr>
      <w:tr w:rsidR="007C169A" w:rsidRPr="001C0357" w14:paraId="0351D0B5" w14:textId="77777777" w:rsidTr="00E7284B">
        <w:trPr>
          <w:trHeight w:val="300"/>
          <w:jc w:val="center"/>
        </w:trPr>
        <w:tc>
          <w:tcPr>
            <w:tcW w:w="3114" w:type="dxa"/>
            <w:noWrap/>
            <w:vAlign w:val="center"/>
            <w:hideMark/>
          </w:tcPr>
          <w:p w14:paraId="51FE6C26" w14:textId="77777777" w:rsidR="007C169A" w:rsidRPr="001C0357" w:rsidRDefault="007C169A" w:rsidP="002F673F">
            <w:pPr>
              <w:spacing w:before="0" w:after="0"/>
              <w:ind w:left="176" w:firstLine="567"/>
              <w:jc w:val="left"/>
              <w:rPr>
                <w:rFonts w:cs="Times New Roman"/>
                <w:noProof/>
                <w:sz w:val="20"/>
                <w:szCs w:val="20"/>
                <w:lang w:eastAsia="lv-LV"/>
              </w:rPr>
            </w:pPr>
            <w:r w:rsidRPr="001C0357">
              <w:rPr>
                <w:rFonts w:cs="Times New Roman"/>
                <w:noProof/>
                <w:sz w:val="20"/>
                <w:szCs w:val="20"/>
                <w:lang w:eastAsia="lv-LV"/>
              </w:rPr>
              <w:t>izmaiņas, %</w:t>
            </w:r>
          </w:p>
        </w:tc>
        <w:tc>
          <w:tcPr>
            <w:tcW w:w="815" w:type="dxa"/>
            <w:noWrap/>
            <w:tcMar>
              <w:right w:w="170" w:type="dxa"/>
            </w:tcMar>
            <w:vAlign w:val="center"/>
          </w:tcPr>
          <w:p w14:paraId="2887BC8E"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-0,8</w:t>
            </w:r>
          </w:p>
        </w:tc>
        <w:tc>
          <w:tcPr>
            <w:tcW w:w="873" w:type="dxa"/>
            <w:shd w:val="clear" w:color="auto" w:fill="F0E7DA"/>
            <w:noWrap/>
            <w:tcMar>
              <w:right w:w="170" w:type="dxa"/>
            </w:tcMar>
            <w:vAlign w:val="center"/>
          </w:tcPr>
          <w:p w14:paraId="7A5969C0"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-0,2</w:t>
            </w:r>
          </w:p>
        </w:tc>
        <w:tc>
          <w:tcPr>
            <w:tcW w:w="874" w:type="dxa"/>
            <w:shd w:val="clear" w:color="auto" w:fill="F0E7DA"/>
            <w:noWrap/>
            <w:tcMar>
              <w:right w:w="170" w:type="dxa"/>
            </w:tcMar>
            <w:vAlign w:val="center"/>
          </w:tcPr>
          <w:p w14:paraId="533AE69B"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-0,2</w:t>
            </w:r>
          </w:p>
        </w:tc>
        <w:tc>
          <w:tcPr>
            <w:tcW w:w="873" w:type="dxa"/>
            <w:shd w:val="clear" w:color="auto" w:fill="F0E7DA"/>
            <w:noWrap/>
            <w:tcMar>
              <w:right w:w="170" w:type="dxa"/>
            </w:tcMar>
            <w:vAlign w:val="center"/>
          </w:tcPr>
          <w:p w14:paraId="15ADABE4"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-0,3</w:t>
            </w:r>
          </w:p>
        </w:tc>
        <w:tc>
          <w:tcPr>
            <w:tcW w:w="874" w:type="dxa"/>
            <w:shd w:val="clear" w:color="auto" w:fill="F0E7DA"/>
            <w:noWrap/>
            <w:tcMar>
              <w:right w:w="170" w:type="dxa"/>
            </w:tcMar>
            <w:vAlign w:val="center"/>
          </w:tcPr>
          <w:p w14:paraId="42A80CAA"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-0,5</w:t>
            </w:r>
          </w:p>
        </w:tc>
        <w:tc>
          <w:tcPr>
            <w:tcW w:w="873" w:type="dxa"/>
            <w:shd w:val="clear" w:color="auto" w:fill="F0E7DA"/>
            <w:vAlign w:val="center"/>
          </w:tcPr>
          <w:p w14:paraId="43FAB07F"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-0,7</w:t>
            </w:r>
          </w:p>
        </w:tc>
      </w:tr>
      <w:tr w:rsidR="007C169A" w:rsidRPr="001C0357" w14:paraId="522B3B6B" w14:textId="77777777" w:rsidTr="00E7284B">
        <w:trPr>
          <w:trHeight w:val="300"/>
          <w:jc w:val="center"/>
        </w:trPr>
        <w:tc>
          <w:tcPr>
            <w:tcW w:w="3114" w:type="dxa"/>
            <w:noWrap/>
            <w:vAlign w:val="center"/>
            <w:hideMark/>
          </w:tcPr>
          <w:p w14:paraId="74C057B0" w14:textId="77777777" w:rsidR="007C169A" w:rsidRPr="001C0357" w:rsidRDefault="007C169A" w:rsidP="002F673F">
            <w:pPr>
              <w:spacing w:before="0" w:after="0"/>
              <w:ind w:firstLine="0"/>
              <w:jc w:val="left"/>
              <w:rPr>
                <w:rFonts w:cs="Times New Roman"/>
                <w:noProof/>
                <w:sz w:val="20"/>
                <w:szCs w:val="20"/>
                <w:lang w:eastAsia="lv-LV"/>
              </w:rPr>
            </w:pPr>
            <w:r w:rsidRPr="001C0357">
              <w:rPr>
                <w:rFonts w:cs="Times New Roman"/>
                <w:b/>
                <w:bCs/>
                <w:noProof/>
                <w:sz w:val="20"/>
                <w:szCs w:val="20"/>
                <w:lang w:eastAsia="lv-LV"/>
              </w:rPr>
              <w:t>Bezdarba līmenis</w:t>
            </w:r>
            <w:r w:rsidRPr="001C0357">
              <w:rPr>
                <w:rFonts w:cs="Times New Roman"/>
                <w:noProof/>
                <w:sz w:val="20"/>
                <w:szCs w:val="20"/>
                <w:lang w:eastAsia="lv-LV"/>
              </w:rPr>
              <w:t xml:space="preserve"> (gada vidējais),</w:t>
            </w:r>
            <w:r w:rsidRPr="001C0357">
              <w:rPr>
                <w:rFonts w:cs="Times New Roman"/>
                <w:noProof/>
                <w:sz w:val="20"/>
                <w:szCs w:val="20"/>
                <w:lang w:eastAsia="lv-LV"/>
              </w:rPr>
              <w:br/>
              <w:t>% no ekon. aktīviem iedzīv.</w:t>
            </w:r>
          </w:p>
        </w:tc>
        <w:tc>
          <w:tcPr>
            <w:tcW w:w="815" w:type="dxa"/>
            <w:noWrap/>
            <w:tcMar>
              <w:right w:w="170" w:type="dxa"/>
            </w:tcMar>
            <w:vAlign w:val="center"/>
          </w:tcPr>
          <w:p w14:paraId="11F0F407"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6,9</w:t>
            </w:r>
          </w:p>
        </w:tc>
        <w:tc>
          <w:tcPr>
            <w:tcW w:w="873" w:type="dxa"/>
            <w:shd w:val="clear" w:color="auto" w:fill="F0E7DA"/>
            <w:noWrap/>
            <w:tcMar>
              <w:right w:w="170" w:type="dxa"/>
            </w:tcMar>
            <w:vAlign w:val="center"/>
          </w:tcPr>
          <w:p w14:paraId="63CE691D"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6,9</w:t>
            </w:r>
          </w:p>
        </w:tc>
        <w:tc>
          <w:tcPr>
            <w:tcW w:w="874" w:type="dxa"/>
            <w:shd w:val="clear" w:color="auto" w:fill="F0E7DA"/>
            <w:noWrap/>
            <w:tcMar>
              <w:right w:w="170" w:type="dxa"/>
            </w:tcMar>
            <w:vAlign w:val="center"/>
          </w:tcPr>
          <w:p w14:paraId="00A35CB3"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6,3</w:t>
            </w:r>
          </w:p>
        </w:tc>
        <w:tc>
          <w:tcPr>
            <w:tcW w:w="873" w:type="dxa"/>
            <w:shd w:val="clear" w:color="auto" w:fill="F0E7DA"/>
            <w:noWrap/>
            <w:tcMar>
              <w:right w:w="170" w:type="dxa"/>
            </w:tcMar>
            <w:vAlign w:val="center"/>
          </w:tcPr>
          <w:p w14:paraId="1627E65E"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5,8</w:t>
            </w:r>
          </w:p>
        </w:tc>
        <w:tc>
          <w:tcPr>
            <w:tcW w:w="874" w:type="dxa"/>
            <w:shd w:val="clear" w:color="auto" w:fill="F0E7DA"/>
            <w:noWrap/>
            <w:tcMar>
              <w:right w:w="170" w:type="dxa"/>
            </w:tcMar>
            <w:vAlign w:val="center"/>
          </w:tcPr>
          <w:p w14:paraId="13BD657D"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5,5</w:t>
            </w:r>
          </w:p>
        </w:tc>
        <w:tc>
          <w:tcPr>
            <w:tcW w:w="873" w:type="dxa"/>
            <w:shd w:val="clear" w:color="auto" w:fill="F0E7DA"/>
            <w:vAlign w:val="center"/>
          </w:tcPr>
          <w:p w14:paraId="63EB3A5F" w14:textId="77777777" w:rsidR="007C169A" w:rsidRPr="001C0357" w:rsidRDefault="007C169A" w:rsidP="002F673F">
            <w:pPr>
              <w:spacing w:before="0" w:after="0"/>
              <w:ind w:firstLine="0"/>
              <w:jc w:val="right"/>
              <w:rPr>
                <w:rFonts w:cs="Times New Roman"/>
                <w:noProof/>
                <w:sz w:val="20"/>
                <w:szCs w:val="20"/>
              </w:rPr>
            </w:pPr>
            <w:r w:rsidRPr="001C0357">
              <w:rPr>
                <w:rFonts w:cs="Times New Roman"/>
                <w:noProof/>
                <w:sz w:val="20"/>
                <w:szCs w:val="20"/>
              </w:rPr>
              <w:t>5,4</w:t>
            </w:r>
          </w:p>
        </w:tc>
      </w:tr>
    </w:tbl>
    <w:p w14:paraId="34A682C7"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Ņemot vērā straujāku nekā prognozēts pārtikas cenu pieaugumu, kā arī kopumā augšupvērstas izmaiņas siltuma tarifos, inflācijas prognoze 2025. gadam ir paaugstināta līdz 3,5%, salīdzinot ar februārī paredzētajiem 2,5%. 2026. gadā gaidāma inflācijas pazemināšanās līdz 2,3%, pēc tam cenu pieaugumam stabilizējoties 2,2% līmenī, kas atbilst konverģējošas valsts cenu pieauguma līmenim.</w:t>
      </w:r>
    </w:p>
    <w:p w14:paraId="72F3DC04"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Līdz ar ekonomikas kritumu, šā gada pirmajos mēnešos bezdarba līmenis ir nedaudz paaugstinājies un bezdarba prognoze ir nedaudz koriģēta uz augšu – līdz 6,9% šim un 6,3% nākamajam gadam. Neskatoties uz šo korekciju, kopējā bezdarba krituma tendence saglabājas, ko nosaka gan darbspējas vecuma iedzīvotāju skaita samazināšanās, gan straujākas ekonomiskās izaugsmes atjaunošanās, un līdz 2029. gadam bezdarba līmenis var noslīdēt līdz 5,4%. Vienlaikus nedaudz samazināta arī tautsaimniecībā nodarbināto iedzīvotāju skaita prognoze, ko tāpat ietekmē demogrāfiskā situācija.</w:t>
      </w:r>
    </w:p>
    <w:p w14:paraId="104C697C" w14:textId="77777777" w:rsidR="007C169A" w:rsidRPr="001C0357" w:rsidRDefault="007C169A" w:rsidP="007C169A">
      <w:pPr>
        <w:rPr>
          <w:rFonts w:eastAsia="Aptos" w:cs="Times New Roman"/>
          <w:noProof/>
          <w:szCs w:val="20"/>
          <w14:ligatures w14:val="standardContextual"/>
        </w:rPr>
      </w:pPr>
      <w:r w:rsidRPr="001C0357">
        <w:rPr>
          <w:rFonts w:eastAsia="Aptos" w:cs="Times New Roman"/>
          <w:noProof/>
          <w:szCs w:val="20"/>
          <w14:ligatures w14:val="standardContextual"/>
        </w:rPr>
        <w:t>Mēneša vidējā darba samaksa pēc iepriekšējo divu gadu straujā kāpuma šogad palielinās nedaudz lēnāk nekā iepriekšējos divos gados. Tomēr pieauguma temps gada pirmajos mēnešos joprojām bijis spēcīgs un vidējās algas pieauguma prognoze šim gadam paaugstināta līdz 7,5% un 2026. gadam līdz 6,0%.</w:t>
      </w:r>
    </w:p>
    <w:p w14:paraId="3DB83C12" w14:textId="198A1DC0" w:rsidR="00833526" w:rsidRPr="001C0357" w:rsidRDefault="00833526" w:rsidP="00833526">
      <w:pPr>
        <w:rPr>
          <w:rFonts w:eastAsia="Aptos" w:cs="Times New Roman"/>
          <w:noProof/>
          <w:szCs w:val="20"/>
          <w14:ligatures w14:val="standardContextual"/>
        </w:rPr>
      </w:pPr>
      <w:r w:rsidRPr="001C0357">
        <w:rPr>
          <w:rFonts w:eastAsia="Aptos" w:cs="Times New Roman"/>
          <w:noProof/>
          <w:szCs w:val="20"/>
          <w14:ligatures w14:val="standardContextual"/>
        </w:rPr>
        <w:br w:type="page"/>
      </w:r>
    </w:p>
    <w:p w14:paraId="7982E32B" w14:textId="1DCBF876" w:rsidR="0012227C" w:rsidRPr="001C0357" w:rsidRDefault="00377CA0" w:rsidP="00F1215C">
      <w:pPr>
        <w:pStyle w:val="Heading1"/>
        <w:spacing w:after="120"/>
        <w:ind w:left="357" w:hanging="357"/>
        <w:rPr>
          <w:noProof/>
          <w:sz w:val="28"/>
          <w:szCs w:val="28"/>
        </w:rPr>
      </w:pPr>
      <w:bookmarkStart w:id="4" w:name="_Toc403038743"/>
      <w:bookmarkStart w:id="5" w:name="_Toc205905372"/>
      <w:r w:rsidRPr="001C0357">
        <w:rPr>
          <w:noProof/>
          <w:sz w:val="28"/>
          <w:szCs w:val="28"/>
        </w:rPr>
        <w:lastRenderedPageBreak/>
        <w:t xml:space="preserve">Kopbudžeta nodokļu un valsts pamatbudžeta nenodokļu </w:t>
      </w:r>
      <w:r w:rsidR="000A6ED3" w:rsidRPr="001C0357">
        <w:rPr>
          <w:noProof/>
          <w:sz w:val="28"/>
          <w:szCs w:val="28"/>
        </w:rPr>
        <w:t>ieņēmumu prognoze</w:t>
      </w:r>
      <w:r w:rsidR="00E95377" w:rsidRPr="001C0357">
        <w:rPr>
          <w:noProof/>
          <w:sz w:val="28"/>
          <w:szCs w:val="28"/>
        </w:rPr>
        <w:t>s</w:t>
      </w:r>
      <w:r w:rsidR="000A6ED3" w:rsidRPr="001C0357">
        <w:rPr>
          <w:noProof/>
          <w:sz w:val="28"/>
          <w:szCs w:val="28"/>
        </w:rPr>
        <w:t xml:space="preserve"> </w:t>
      </w:r>
      <w:r w:rsidR="00754CCE" w:rsidRPr="001C0357">
        <w:rPr>
          <w:noProof/>
          <w:sz w:val="28"/>
          <w:szCs w:val="28"/>
        </w:rPr>
        <w:t xml:space="preserve">pie nemainīgas politikas </w:t>
      </w:r>
      <w:r w:rsidR="000A6ED3" w:rsidRPr="001C0357">
        <w:rPr>
          <w:noProof/>
          <w:sz w:val="28"/>
          <w:szCs w:val="28"/>
        </w:rPr>
        <w:t>202</w:t>
      </w:r>
      <w:r w:rsidR="008F3925" w:rsidRPr="001C0357">
        <w:rPr>
          <w:noProof/>
          <w:sz w:val="28"/>
          <w:szCs w:val="28"/>
        </w:rPr>
        <w:t>6</w:t>
      </w:r>
      <w:r w:rsidR="000A6ED3" w:rsidRPr="001C0357">
        <w:rPr>
          <w:noProof/>
          <w:sz w:val="28"/>
          <w:szCs w:val="28"/>
        </w:rPr>
        <w:t>.-202</w:t>
      </w:r>
      <w:r w:rsidR="008F3925" w:rsidRPr="001C0357">
        <w:rPr>
          <w:noProof/>
          <w:sz w:val="28"/>
          <w:szCs w:val="28"/>
        </w:rPr>
        <w:t>9</w:t>
      </w:r>
      <w:r w:rsidRPr="001C0357">
        <w:rPr>
          <w:noProof/>
          <w:sz w:val="28"/>
          <w:szCs w:val="28"/>
        </w:rPr>
        <w:t>.</w:t>
      </w:r>
      <w:r w:rsidR="0001729F" w:rsidRPr="001C0357">
        <w:rPr>
          <w:noProof/>
          <w:sz w:val="28"/>
          <w:szCs w:val="28"/>
        </w:rPr>
        <w:t> </w:t>
      </w:r>
      <w:r w:rsidRPr="001C0357">
        <w:rPr>
          <w:noProof/>
          <w:sz w:val="28"/>
          <w:szCs w:val="28"/>
        </w:rPr>
        <w:t>gadam</w:t>
      </w:r>
      <w:bookmarkEnd w:id="4"/>
      <w:bookmarkEnd w:id="5"/>
    </w:p>
    <w:p w14:paraId="0193E371" w14:textId="347F7D43" w:rsidR="008F3925" w:rsidRPr="001C0357" w:rsidRDefault="008F3925" w:rsidP="00F1215C">
      <w:pPr>
        <w:spacing w:before="240"/>
        <w:rPr>
          <w:noProof/>
        </w:rPr>
      </w:pPr>
      <w:r w:rsidRPr="001C0357">
        <w:rPr>
          <w:noProof/>
        </w:rPr>
        <w:t>Nodokļu ieņēmumu prognozes ir sagatavotas pie nemainīgas nodokļu politikas un atbilstoši vidēja termiņa makroekonomisko rādītāju scenārijam, kā arī ņemot vērā 2025.</w:t>
      </w:r>
      <w:r w:rsidR="0012227C" w:rsidRPr="001C0357">
        <w:rPr>
          <w:noProof/>
        </w:rPr>
        <w:t> </w:t>
      </w:r>
      <w:r w:rsidRPr="001C0357">
        <w:rPr>
          <w:noProof/>
        </w:rPr>
        <w:t>gada pirmā</w:t>
      </w:r>
      <w:r w:rsidR="0012227C" w:rsidRPr="001C0357">
        <w:rPr>
          <w:noProof/>
        </w:rPr>
        <w:t xml:space="preserve">s puses </w:t>
      </w:r>
      <w:r w:rsidRPr="001C0357">
        <w:rPr>
          <w:noProof/>
        </w:rPr>
        <w:t>faktisko izpildi.</w:t>
      </w:r>
    </w:p>
    <w:p w14:paraId="21891230" w14:textId="7237DA3E" w:rsidR="008F3925" w:rsidRPr="001C0357" w:rsidRDefault="008F3925" w:rsidP="008F3925">
      <w:pPr>
        <w:rPr>
          <w:noProof/>
        </w:rPr>
      </w:pPr>
      <w:r w:rsidRPr="001C0357">
        <w:rPr>
          <w:noProof/>
        </w:rPr>
        <w:t>2025.</w:t>
      </w:r>
      <w:r w:rsidR="0012227C" w:rsidRPr="001C0357">
        <w:rPr>
          <w:noProof/>
        </w:rPr>
        <w:t> </w:t>
      </w:r>
      <w:r w:rsidRPr="001C0357">
        <w:rPr>
          <w:noProof/>
        </w:rPr>
        <w:t>gada pirm</w:t>
      </w:r>
      <w:r w:rsidR="0012227C" w:rsidRPr="001C0357">
        <w:rPr>
          <w:noProof/>
        </w:rPr>
        <w:t>ā</w:t>
      </w:r>
      <w:r w:rsidR="00F44678" w:rsidRPr="001C0357">
        <w:rPr>
          <w:noProof/>
        </w:rPr>
        <w:t>s</w:t>
      </w:r>
      <w:r w:rsidR="0012227C" w:rsidRPr="001C0357">
        <w:rPr>
          <w:noProof/>
        </w:rPr>
        <w:t xml:space="preserve"> puses </w:t>
      </w:r>
      <w:r w:rsidRPr="001C0357">
        <w:rPr>
          <w:noProof/>
        </w:rPr>
        <w:t xml:space="preserve">kopbudžeta nodokļu ieņēmumi (neieskaitot atlikumu vienotajā nodokļu kontā) ir 6 997,6 milj. </w:t>
      </w:r>
      <w:r w:rsidRPr="001C0357">
        <w:rPr>
          <w:i/>
          <w:iCs/>
          <w:noProof/>
        </w:rPr>
        <w:t>euro</w:t>
      </w:r>
      <w:r w:rsidRPr="001C0357">
        <w:rPr>
          <w:noProof/>
        </w:rPr>
        <w:t xml:space="preserve"> (tajā skaitā valsts budžetā – 5 866,5 milj. </w:t>
      </w:r>
      <w:r w:rsidRPr="001C0357">
        <w:rPr>
          <w:i/>
          <w:iCs/>
          <w:noProof/>
        </w:rPr>
        <w:t>euro</w:t>
      </w:r>
      <w:r w:rsidRPr="001C0357">
        <w:rPr>
          <w:noProof/>
        </w:rPr>
        <w:t xml:space="preserve"> un pašvaldību budžetā – 1 131,1 milj. </w:t>
      </w:r>
      <w:r w:rsidRPr="001C0357">
        <w:rPr>
          <w:i/>
          <w:iCs/>
          <w:noProof/>
        </w:rPr>
        <w:t>euro</w:t>
      </w:r>
      <w:r w:rsidRPr="001C0357">
        <w:rPr>
          <w:noProof/>
        </w:rPr>
        <w:t xml:space="preserve">), kas salīdzinajumā ar pērnā gada attiecīgo periodu ir par 382,1 milj. </w:t>
      </w:r>
      <w:r w:rsidRPr="001C0357">
        <w:rPr>
          <w:i/>
          <w:iCs/>
          <w:noProof/>
        </w:rPr>
        <w:t>euro</w:t>
      </w:r>
      <w:r w:rsidRPr="001C0357">
        <w:rPr>
          <w:noProof/>
        </w:rPr>
        <w:t xml:space="preserve"> jeb 5,8% vairāk, bet salīdzinājumā ar likumā “Par valsts budžetu 2025.</w:t>
      </w:r>
      <w:r w:rsidR="00915B97" w:rsidRPr="001C0357">
        <w:rPr>
          <w:noProof/>
        </w:rPr>
        <w:t> </w:t>
      </w:r>
      <w:r w:rsidRPr="001C0357">
        <w:rPr>
          <w:noProof/>
        </w:rPr>
        <w:t xml:space="preserve">gadam un budžeta ietvaru 2025., 2026. un 2027. gadam” plānoto – par 6,4 milj. </w:t>
      </w:r>
      <w:r w:rsidRPr="001C0357">
        <w:rPr>
          <w:i/>
          <w:iCs/>
          <w:noProof/>
        </w:rPr>
        <w:t>euro</w:t>
      </w:r>
      <w:r w:rsidRPr="001C0357">
        <w:rPr>
          <w:noProof/>
        </w:rPr>
        <w:t xml:space="preserve"> jeb 0,1% mazāk. Attiecībā pret pērnā gada pirmo pus</w:t>
      </w:r>
      <w:r w:rsidR="0012227C" w:rsidRPr="001C0357">
        <w:rPr>
          <w:noProof/>
        </w:rPr>
        <w:t>i</w:t>
      </w:r>
      <w:r w:rsidRPr="001C0357">
        <w:rPr>
          <w:noProof/>
        </w:rPr>
        <w:t xml:space="preserve"> nodokļu ieņēmumi palielinājušies visās nodokļu kategorijās, izņemot dabas resursu nodokli, ko galvenokārt ietekmēja zemie ieņēmumi no tādiem ar nodokli apliekamajiem objektiem, kā atkritumu apglabāšana un ūdens resursu lietošana elektroenerģijas ražošanai hidroelektrostacijā. Būtiskākais palielinājums salīdzinājumā ar pērnā gada attiecīgo periodu vērojams valsts sociālās apdrošināšanas iemaksu ieņēmumos (turpmāk – VSAOI) un pievienotās vērtības nodoklim (turpmāk – PVN) – ieņēmumi pieauguši attiecīgi par 167,2 milj. </w:t>
      </w:r>
      <w:r w:rsidRPr="001C0357">
        <w:rPr>
          <w:i/>
          <w:iCs/>
          <w:noProof/>
        </w:rPr>
        <w:t>euro</w:t>
      </w:r>
      <w:r w:rsidRPr="001C0357">
        <w:rPr>
          <w:noProof/>
        </w:rPr>
        <w:t xml:space="preserve"> jeb 6,5% un 76,1 milj. </w:t>
      </w:r>
      <w:r w:rsidRPr="001C0357">
        <w:rPr>
          <w:i/>
          <w:iCs/>
          <w:noProof/>
        </w:rPr>
        <w:t>euro</w:t>
      </w:r>
      <w:r w:rsidRPr="001C0357">
        <w:rPr>
          <w:noProof/>
        </w:rPr>
        <w:t xml:space="preserve"> jeb 4,1 procentu.  VSAOI pieaugumu nosaka ikgadējais darba samaksas fonda pieauguma temps, atzīmējot, ka darba samaksas pieaugums privātajā sektorā šogad ir augstāks nekā sabiedriskajā sektorā pretēji pērnā gada tendencēm. Savukārt PVN ieņēmumu pieaugumā dominē iekšzemes galapatēriņa izmaiņas faktiskajās cenās. Vienlaikus jāņem vērā, ka ekonomiku turpina ietekmēt mainīgā ģeopolitiskā situācija, kā rezultātā tautsaimniecības izaugsmes tempu izmaiņas atstāj iespaidu arī uz nodokļu ieņēmumiem gan absolūtajā, gan relatīvajā izteiksmē.</w:t>
      </w:r>
    </w:p>
    <w:p w14:paraId="79F9FDBB" w14:textId="4F48108E" w:rsidR="00B72C43" w:rsidRPr="001C0357" w:rsidRDefault="0094089C" w:rsidP="00B72C43">
      <w:pPr>
        <w:rPr>
          <w:noProof/>
        </w:rPr>
      </w:pPr>
      <w:r w:rsidRPr="001C0357">
        <w:rPr>
          <w:noProof/>
          <w14:ligatures w14:val="standardContextual"/>
        </w:rPr>
        <w:drawing>
          <wp:anchor distT="0" distB="0" distL="114300" distR="114300" simplePos="0" relativeHeight="251664384" behindDoc="1" locked="0" layoutInCell="1" allowOverlap="1" wp14:anchorId="0758CBDA" wp14:editId="5DE7CF71">
            <wp:simplePos x="0" y="0"/>
            <wp:positionH relativeFrom="margin">
              <wp:posOffset>85090</wp:posOffset>
            </wp:positionH>
            <wp:positionV relativeFrom="page">
              <wp:posOffset>6343650</wp:posOffset>
            </wp:positionV>
            <wp:extent cx="5399405" cy="2604135"/>
            <wp:effectExtent l="0" t="0" r="0" b="5715"/>
            <wp:wrapTight wrapText="bothSides">
              <wp:wrapPolygon edited="0">
                <wp:start x="0" y="0"/>
                <wp:lineTo x="0" y="21489"/>
                <wp:lineTo x="21491" y="21489"/>
                <wp:lineTo x="21491" y="0"/>
                <wp:lineTo x="0" y="0"/>
              </wp:wrapPolygon>
            </wp:wrapTight>
            <wp:docPr id="1202695933" name="Chart 1">
              <a:extLst xmlns:a="http://schemas.openxmlformats.org/drawingml/2006/main">
                <a:ext uri="{FF2B5EF4-FFF2-40B4-BE49-F238E27FC236}">
                  <a16:creationId xmlns:a16="http://schemas.microsoft.com/office/drawing/2014/main" id="{5FA04C50-42EF-5248-47CD-3EF40B7857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sidR="008F3925" w:rsidRPr="001C0357">
        <w:rPr>
          <w:noProof/>
        </w:rPr>
        <w:t xml:space="preserve">Ņemot vērā iepriekš minētās tendences, kopbudžeta nodokļu ieņēmumi salīdzinājumā ar </w:t>
      </w:r>
      <w:r w:rsidR="00F8697B" w:rsidRPr="001C0357">
        <w:rPr>
          <w:noProof/>
        </w:rPr>
        <w:t>2025. gada Progresa ziņojumu</w:t>
      </w:r>
      <w:r w:rsidR="008F3925" w:rsidRPr="001C0357">
        <w:rPr>
          <w:noProof/>
        </w:rPr>
        <w:t xml:space="preserve"> tiek prognozēti ar palielinājumu – 2026. gadā par 0,6%, 2027. un 2028. gadā par 0,7% un 2029. gadā par 0,6 procentiem. 2026. gadā kopbudžeta nodokļu ieņēmumi tiek prognozēti 15 204,2 milj. </w:t>
      </w:r>
      <w:r w:rsidR="008F3925" w:rsidRPr="001C0357">
        <w:rPr>
          <w:i/>
          <w:iCs/>
          <w:noProof/>
        </w:rPr>
        <w:t>euro</w:t>
      </w:r>
      <w:r w:rsidR="008F3925" w:rsidRPr="001C0357">
        <w:rPr>
          <w:noProof/>
        </w:rPr>
        <w:t xml:space="preserve"> apmērā jeb ar 5,3% pieaugumu salīdzinājumā ar 2025. gadu, 2027. gadā nodokļu ieņēmumi tiek prognozēti ar 4,5% pieaugumu, 2028. gadā ar 4,0% pieaugumu un 2029.gadā ar 3,3% pieaugumu pret iepriekšējo gadu (skat. 1. attēlu).</w:t>
      </w:r>
    </w:p>
    <w:p w14:paraId="5C8D82EE" w14:textId="2EB6B561" w:rsidR="008F3925" w:rsidRPr="001C0357" w:rsidRDefault="008F3925" w:rsidP="00B72C43">
      <w:pPr>
        <w:spacing w:before="0" w:after="0"/>
        <w:rPr>
          <w:rFonts w:eastAsia="Aptos" w:cs="Times New Roman"/>
          <w:noProof/>
          <w:sz w:val="18"/>
          <w:szCs w:val="18"/>
        </w:rPr>
      </w:pPr>
      <w:r w:rsidRPr="001C0357">
        <w:rPr>
          <w:rFonts w:eastAsia="Aptos" w:cs="Times New Roman"/>
          <w:noProof/>
          <w:sz w:val="18"/>
          <w:szCs w:val="18"/>
        </w:rPr>
        <w:t>*neieskaitot ieņēmumus vienotajā nodokļu kontā un VSAOI iemaksas 2. pensiju līmenī.</w:t>
      </w:r>
    </w:p>
    <w:p w14:paraId="3BE4C558" w14:textId="583133DF" w:rsidR="008F3925" w:rsidRPr="001C0357" w:rsidRDefault="008F3925" w:rsidP="00B72C43">
      <w:pPr>
        <w:spacing w:before="0" w:after="0"/>
        <w:rPr>
          <w:rFonts w:eastAsia="Aptos" w:cs="Times New Roman"/>
          <w:noProof/>
          <w:sz w:val="18"/>
          <w:szCs w:val="18"/>
        </w:rPr>
      </w:pPr>
      <w:r w:rsidRPr="001C0357">
        <w:rPr>
          <w:rFonts w:eastAsia="Aptos" w:cs="Times New Roman"/>
          <w:noProof/>
          <w:sz w:val="18"/>
          <w:szCs w:val="18"/>
        </w:rPr>
        <w:t>** nodokļu ieņēmumi kopā, ieskaitot VSAOI iemaksas 2. pensiju līmenī.</w:t>
      </w:r>
    </w:p>
    <w:p w14:paraId="19289BF0" w14:textId="5B4E9290" w:rsidR="00B72C43" w:rsidRPr="001C0357" w:rsidRDefault="00B72C43" w:rsidP="007D4D04">
      <w:pPr>
        <w:pStyle w:val="ListParagraph"/>
        <w:ind w:firstLine="0"/>
        <w:jc w:val="center"/>
        <w:rPr>
          <w:rFonts w:eastAsia="Calibri"/>
          <w:b/>
          <w:bCs/>
          <w:iCs/>
          <w:noProof/>
        </w:rPr>
      </w:pPr>
      <w:r w:rsidRPr="001C0357">
        <w:rPr>
          <w:rFonts w:eastAsia="Calibri"/>
          <w:b/>
          <w:iCs/>
          <w:noProof/>
        </w:rPr>
        <w:t>1.</w:t>
      </w:r>
      <w:r w:rsidR="008F3925" w:rsidRPr="001C0357">
        <w:rPr>
          <w:rFonts w:eastAsia="Calibri"/>
          <w:b/>
          <w:iCs/>
          <w:noProof/>
        </w:rPr>
        <w:t xml:space="preserve">attēls. </w:t>
      </w:r>
      <w:r w:rsidR="008F3925" w:rsidRPr="001C0357">
        <w:rPr>
          <w:rFonts w:eastAsia="Calibri"/>
          <w:b/>
          <w:bCs/>
          <w:iCs/>
          <w:noProof/>
        </w:rPr>
        <w:t xml:space="preserve">Kopbudžeta nodokļu ieņēmumi, tūkst. </w:t>
      </w:r>
      <w:r w:rsidR="008F3925" w:rsidRPr="001C0357">
        <w:rPr>
          <w:rFonts w:eastAsia="Calibri"/>
          <w:b/>
          <w:bCs/>
          <w:i/>
          <w:noProof/>
        </w:rPr>
        <w:t>euro</w:t>
      </w:r>
      <w:r w:rsidR="008F3925" w:rsidRPr="001C0357">
        <w:rPr>
          <w:rFonts w:eastAsia="Calibri"/>
          <w:b/>
          <w:bCs/>
          <w:iCs/>
          <w:noProof/>
        </w:rPr>
        <w:t xml:space="preserve"> un</w:t>
      </w:r>
      <w:r w:rsidR="008F3925" w:rsidRPr="001C0357">
        <w:rPr>
          <w:rFonts w:eastAsia="Calibri"/>
          <w:b/>
          <w:bCs/>
          <w:iCs/>
          <w:noProof/>
        </w:rPr>
        <w:br/>
        <w:t>kopējo nodokļu ieņēmumu īpatsvars iekšzemes kopproduktā, %</w:t>
      </w:r>
    </w:p>
    <w:p w14:paraId="187A95A5" w14:textId="45098463" w:rsidR="00B72C43" w:rsidRPr="001C0357" w:rsidRDefault="00B72C43" w:rsidP="00B72C43">
      <w:pPr>
        <w:rPr>
          <w:noProof/>
          <w:highlight w:val="yellow"/>
        </w:rPr>
      </w:pPr>
      <w:r w:rsidRPr="001C0357">
        <w:rPr>
          <w:noProof/>
        </w:rPr>
        <w:lastRenderedPageBreak/>
        <w:t>Kopumā tiek prognozēts, ka nodokļu ieņēmumu dinamika 2026.-2029.gadā būs atbilstoša prognozējamiem Latvijas tautsaimniecības attīstības tempiem, ņemot vērā katra nodokļa korelējošo makrodatu izmaiņas, taču rezultātā kopējo nodokļu ieņēmumu īpatsvaram IKP minētajā periodā saglabājoties relatīvi stabilā līmenī 36% apmērā.</w:t>
      </w:r>
    </w:p>
    <w:p w14:paraId="373AB20E" w14:textId="38C92AC5" w:rsidR="008F3925" w:rsidRPr="001C0357" w:rsidRDefault="008F3925" w:rsidP="008F3925">
      <w:pPr>
        <w:spacing w:before="0" w:after="0"/>
        <w:rPr>
          <w:noProof/>
        </w:rPr>
      </w:pPr>
      <w:r w:rsidRPr="001C0357">
        <w:rPr>
          <w:noProof/>
        </w:rPr>
        <w:t xml:space="preserve">Valsts pamatbudžeta nenodokļu ieņēmumi 2025. gada pirmajā pusgadā ir 602,3 milj. </w:t>
      </w:r>
      <w:r w:rsidRPr="001C0357">
        <w:rPr>
          <w:i/>
          <w:iCs/>
          <w:noProof/>
        </w:rPr>
        <w:t>euro</w:t>
      </w:r>
      <w:r w:rsidRPr="001C0357">
        <w:rPr>
          <w:noProof/>
        </w:rPr>
        <w:t xml:space="preserve">, kas ir par 176,5 milj. </w:t>
      </w:r>
      <w:r w:rsidRPr="001C0357">
        <w:rPr>
          <w:i/>
          <w:iCs/>
          <w:noProof/>
        </w:rPr>
        <w:t>euro</w:t>
      </w:r>
      <w:r w:rsidRPr="001C0357">
        <w:rPr>
          <w:noProof/>
        </w:rPr>
        <w:t xml:space="preserve"> jeb 22,7% mazāk nekā 2024. gada attiecīgajā periodā, bet par 1,1 milj. </w:t>
      </w:r>
      <w:r w:rsidRPr="001C0357">
        <w:rPr>
          <w:i/>
          <w:iCs/>
          <w:noProof/>
        </w:rPr>
        <w:t>euro</w:t>
      </w:r>
      <w:r w:rsidRPr="001C0357">
        <w:rPr>
          <w:noProof/>
        </w:rPr>
        <w:t xml:space="preserve"> jeb 0,2% vairāk nekā likumā “Par valsts budžetu 2025. gadam un budžeta ietvaru 2025., 2026. un 2027. gadam” noteikto plānu. Ieņēmumu samazinājumu salīdzinājumā ar 2024.gadu galvenokārt noteica šādi faktori:</w:t>
      </w:r>
    </w:p>
    <w:p w14:paraId="61CD8E2A" w14:textId="77777777" w:rsidR="008F3925" w:rsidRPr="001C0357" w:rsidRDefault="008F3925" w:rsidP="008F3925">
      <w:pPr>
        <w:pStyle w:val="ListParagraph"/>
        <w:numPr>
          <w:ilvl w:val="0"/>
          <w:numId w:val="39"/>
        </w:numPr>
        <w:spacing w:before="0" w:after="0"/>
        <w:rPr>
          <w:noProof/>
        </w:rPr>
      </w:pPr>
      <w:r w:rsidRPr="001C0357">
        <w:rPr>
          <w:noProof/>
        </w:rPr>
        <w:t xml:space="preserve">ieņēmumu no dividendēm (maksājumi par valsts kapitāla izmantošanu) kritums 57,8 milj. </w:t>
      </w:r>
      <w:r w:rsidRPr="001C0357">
        <w:rPr>
          <w:i/>
          <w:iCs/>
          <w:noProof/>
        </w:rPr>
        <w:t>euro</w:t>
      </w:r>
      <w:r w:rsidRPr="001C0357">
        <w:rPr>
          <w:noProof/>
        </w:rPr>
        <w:t xml:space="preserve"> apmērā;</w:t>
      </w:r>
    </w:p>
    <w:p w14:paraId="25D3BB40" w14:textId="77777777" w:rsidR="008F3925" w:rsidRPr="001C0357" w:rsidRDefault="008F3925" w:rsidP="008F3925">
      <w:pPr>
        <w:pStyle w:val="ListParagraph"/>
        <w:numPr>
          <w:ilvl w:val="0"/>
          <w:numId w:val="39"/>
        </w:numPr>
        <w:spacing w:before="0" w:after="0"/>
        <w:rPr>
          <w:noProof/>
        </w:rPr>
      </w:pPr>
      <w:r w:rsidRPr="001C0357">
        <w:rPr>
          <w:noProof/>
        </w:rPr>
        <w:t xml:space="preserve">2024. gadā komercbankas maksāja nodevu hipotekāro kredītu ņēmēju atbalstam (48,8 milj. </w:t>
      </w:r>
      <w:r w:rsidRPr="001C0357">
        <w:rPr>
          <w:i/>
          <w:iCs/>
          <w:noProof/>
        </w:rPr>
        <w:t>euro</w:t>
      </w:r>
      <w:r w:rsidRPr="001C0357">
        <w:rPr>
          <w:noProof/>
        </w:rPr>
        <w:t xml:space="preserve"> pirmajā pusgadā), bet šogad šāda nodeva nav noteikta;</w:t>
      </w:r>
    </w:p>
    <w:p w14:paraId="46C33F7F" w14:textId="4F5767A7" w:rsidR="008F3925" w:rsidRPr="001C0357" w:rsidRDefault="008F3925" w:rsidP="008F3925">
      <w:pPr>
        <w:pStyle w:val="ListParagraph"/>
        <w:numPr>
          <w:ilvl w:val="0"/>
          <w:numId w:val="39"/>
        </w:numPr>
        <w:spacing w:before="0" w:after="0"/>
        <w:rPr>
          <w:noProof/>
        </w:rPr>
      </w:pPr>
      <w:r w:rsidRPr="001C0357">
        <w:rPr>
          <w:noProof/>
        </w:rPr>
        <w:t>2024.</w:t>
      </w:r>
      <w:r w:rsidR="00887768" w:rsidRPr="001C0357">
        <w:rPr>
          <w:noProof/>
        </w:rPr>
        <w:t> </w:t>
      </w:r>
      <w:r w:rsidRPr="001C0357">
        <w:rPr>
          <w:noProof/>
        </w:rPr>
        <w:t xml:space="preserve">gada jūnijā tika saņemti ieņēmumi Modernizācijas fonda investīciju priekšlikumu īstenošanai 26,8 milj. </w:t>
      </w:r>
      <w:r w:rsidRPr="001C0357">
        <w:rPr>
          <w:i/>
          <w:iCs/>
          <w:noProof/>
        </w:rPr>
        <w:t>euro</w:t>
      </w:r>
      <w:r w:rsidRPr="001C0357">
        <w:rPr>
          <w:noProof/>
        </w:rPr>
        <w:t xml:space="preserve"> apmērā, bet šī gada sešos mēnešos šādi ieņēmumi netika saņemti.  </w:t>
      </w:r>
    </w:p>
    <w:p w14:paraId="4B67BC49" w14:textId="29F66379" w:rsidR="008F3925" w:rsidRPr="001C0357" w:rsidRDefault="008F3925" w:rsidP="008F3925">
      <w:pPr>
        <w:rPr>
          <w:noProof/>
        </w:rPr>
      </w:pPr>
      <w:r w:rsidRPr="001C0357">
        <w:rPr>
          <w:noProof/>
        </w:rPr>
        <w:t>2025. gada pirmajā pus</w:t>
      </w:r>
      <w:r w:rsidR="00887768" w:rsidRPr="001C0357">
        <w:rPr>
          <w:noProof/>
        </w:rPr>
        <w:t>ē</w:t>
      </w:r>
      <w:r w:rsidRPr="001C0357">
        <w:rPr>
          <w:noProof/>
        </w:rPr>
        <w:t xml:space="preserve"> lielākos valsts pamatbudžeta nenodokļu ieņēmumus veidoja ieņēmumi no dividendēm, ieņēmumi valsts nodevām par valsts sniegto nodrošinājumu un citiem pakalpojumiem, procentu ieņēmumi par aizdevumiem, depozītiem un kontu atlikumiem, ieņēmumi no Latvijai piešķirto emisijas kvotu izsolīšanas, kā arī speciāliem mērķiem paredzētās valsts nodevas.</w:t>
      </w:r>
    </w:p>
    <w:p w14:paraId="65AF0B7E" w14:textId="77777777" w:rsidR="008F3925" w:rsidRPr="001C0357" w:rsidRDefault="008F3925" w:rsidP="008F3925">
      <w:pPr>
        <w:rPr>
          <w:noProof/>
        </w:rPr>
      </w:pPr>
      <w:r w:rsidRPr="001C0357">
        <w:rPr>
          <w:noProof/>
        </w:rPr>
        <w:t>2026. gadā valsts pamatbudžeta nenodokļu ieņēmumi tiek prognozēti ar 11,0% samazinājumu salīdzinājumā ar 2025. gadu, ko pamatā ietekmē ieņēmumu samazinājums no dividendēm, pārējiem iepriekš neklasificētiem finanšu ieņēmumiem un procentu ieņēmumu par aizdevumiem. 2027. gadā nenodokļu ieņēmumi tiek prognozēti ar 4,5% samazinājumu, 2028. gadā ar 1,5% samazinājumu un 2029. gadā ar 5,3% samazinājumu salīdzinājumā ar iepriekšējo gadu.</w:t>
      </w:r>
    </w:p>
    <w:p w14:paraId="0898A29C" w14:textId="77777777" w:rsidR="008F3925" w:rsidRPr="001C0357" w:rsidRDefault="008F3925" w:rsidP="00E63AF8">
      <w:pPr>
        <w:rPr>
          <w:noProof/>
          <w:highlight w:val="yellow"/>
        </w:rPr>
      </w:pPr>
      <w:r w:rsidRPr="001C0357">
        <w:rPr>
          <w:noProof/>
          <w:highlight w:val="yellow"/>
        </w:rPr>
        <w:br w:type="page"/>
      </w:r>
    </w:p>
    <w:p w14:paraId="55AE1EB6" w14:textId="61377689" w:rsidR="008C2A5C" w:rsidRPr="001C0357" w:rsidRDefault="00377CA0" w:rsidP="00E9112D">
      <w:pPr>
        <w:pStyle w:val="Heading1"/>
        <w:spacing w:after="120"/>
        <w:ind w:left="357" w:hanging="357"/>
        <w:rPr>
          <w:noProof/>
          <w:sz w:val="28"/>
          <w:szCs w:val="28"/>
        </w:rPr>
      </w:pPr>
      <w:bookmarkStart w:id="6" w:name="_Toc403038744"/>
      <w:bookmarkStart w:id="7" w:name="_Toc205905373"/>
      <w:r w:rsidRPr="001C0357">
        <w:rPr>
          <w:noProof/>
          <w:sz w:val="28"/>
          <w:szCs w:val="28"/>
        </w:rPr>
        <w:lastRenderedPageBreak/>
        <w:t>Vispārējās valdības budžeta bilances pie nemainīgas politikas</w:t>
      </w:r>
      <w:r w:rsidR="00DF5F8C" w:rsidRPr="001C0357">
        <w:rPr>
          <w:noProof/>
          <w:sz w:val="28"/>
          <w:szCs w:val="28"/>
        </w:rPr>
        <w:br/>
      </w:r>
      <w:r w:rsidRPr="001C0357">
        <w:rPr>
          <w:noProof/>
          <w:sz w:val="28"/>
          <w:szCs w:val="28"/>
        </w:rPr>
        <w:t>202</w:t>
      </w:r>
      <w:r w:rsidR="00546166" w:rsidRPr="001C0357">
        <w:rPr>
          <w:noProof/>
          <w:sz w:val="28"/>
          <w:szCs w:val="28"/>
        </w:rPr>
        <w:t>6</w:t>
      </w:r>
      <w:r w:rsidRPr="001C0357">
        <w:rPr>
          <w:noProof/>
          <w:sz w:val="28"/>
          <w:szCs w:val="28"/>
        </w:rPr>
        <w:t>.-202</w:t>
      </w:r>
      <w:r w:rsidR="00546166" w:rsidRPr="001C0357">
        <w:rPr>
          <w:noProof/>
          <w:sz w:val="28"/>
          <w:szCs w:val="28"/>
        </w:rPr>
        <w:t>9</w:t>
      </w:r>
      <w:r w:rsidRPr="001C0357">
        <w:rPr>
          <w:noProof/>
          <w:sz w:val="28"/>
          <w:szCs w:val="28"/>
        </w:rPr>
        <w:t>.</w:t>
      </w:r>
      <w:r w:rsidR="00F51ED8" w:rsidRPr="001C0357">
        <w:rPr>
          <w:noProof/>
          <w:sz w:val="28"/>
          <w:szCs w:val="28"/>
        </w:rPr>
        <w:t> </w:t>
      </w:r>
      <w:r w:rsidRPr="001C0357">
        <w:rPr>
          <w:noProof/>
          <w:sz w:val="28"/>
          <w:szCs w:val="28"/>
        </w:rPr>
        <w:t>gadam</w:t>
      </w:r>
      <w:bookmarkEnd w:id="6"/>
      <w:bookmarkEnd w:id="7"/>
    </w:p>
    <w:p w14:paraId="454D5242" w14:textId="247266C1" w:rsidR="00546166" w:rsidRPr="001C0357" w:rsidRDefault="00546166" w:rsidP="00546166">
      <w:pPr>
        <w:rPr>
          <w:noProof/>
        </w:rPr>
      </w:pPr>
      <w:r w:rsidRPr="001C0357">
        <w:rPr>
          <w:noProof/>
        </w:rPr>
        <w:t>Finanšu ministrija ir aktualizējusi vispārējās valdības budžeta bilances vidējam termiņam, ņemot vērā Valsts kases datus par konsolidētā kopbudžeta izpildi šā gada pirmajā pus</w:t>
      </w:r>
      <w:r w:rsidR="00887768" w:rsidRPr="001C0357">
        <w:rPr>
          <w:noProof/>
        </w:rPr>
        <w:t>ē</w:t>
      </w:r>
      <w:r w:rsidRPr="001C0357">
        <w:rPr>
          <w:noProof/>
        </w:rPr>
        <w:t xml:space="preserve">, aktualizētās nodokļu un nenodokļu ieņēmumu prognozes atbilstoši atjaunotajam makroscenārijam, valsts pamatbudžeta un speciālā budžeta bāzes izdevumus vidējam termiņam, aktualizētās pašvaldību budžeta prognozes, kā arī vispārējās valdības komersantu iesniegtās prognozes par to saimnieciskās un finanšu darbības rezultāta ietekmi uz bilanci. </w:t>
      </w:r>
    </w:p>
    <w:p w14:paraId="42597F6C" w14:textId="1863B482" w:rsidR="00DF5F8C" w:rsidRPr="001C0357" w:rsidRDefault="00546166" w:rsidP="00DF5F8C">
      <w:pPr>
        <w:rPr>
          <w:noProof/>
        </w:rPr>
      </w:pPr>
      <w:r w:rsidRPr="001C0357">
        <w:rPr>
          <w:noProof/>
        </w:rPr>
        <w:t>Vispārējās valdības budžeta deficīts 2025.</w:t>
      </w:r>
      <w:r w:rsidR="00F57DAB" w:rsidRPr="001C0357">
        <w:rPr>
          <w:noProof/>
        </w:rPr>
        <w:t> </w:t>
      </w:r>
      <w:r w:rsidRPr="001C0357">
        <w:rPr>
          <w:noProof/>
        </w:rPr>
        <w:t xml:space="preserve">gadā Finanšu ministrijas vērtējumā sasniegs 2,9% no IKP, un tas ir par 0,2 procentpunktiem zemāks nekā tika prognozēts šā gada </w:t>
      </w:r>
      <w:r w:rsidR="00887768" w:rsidRPr="001C0357">
        <w:rPr>
          <w:noProof/>
        </w:rPr>
        <w:t>pavasarī</w:t>
      </w:r>
      <w:r w:rsidRPr="001C0357">
        <w:rPr>
          <w:noProof/>
        </w:rPr>
        <w:t>, izstrādājot 2025.</w:t>
      </w:r>
      <w:r w:rsidR="00887768" w:rsidRPr="001C0357">
        <w:rPr>
          <w:noProof/>
        </w:rPr>
        <w:t> </w:t>
      </w:r>
      <w:r w:rsidRPr="001C0357">
        <w:rPr>
          <w:noProof/>
        </w:rPr>
        <w:t>gada Progresa ziņojumu, un procentuāli pret IKP tādā pašā apmērā kā pieļaujamais vispārējās valdības budžeta deficīts, kas noteikts likumā “Par valsts budžetu 2025.</w:t>
      </w:r>
      <w:r w:rsidR="00887768" w:rsidRPr="001C0357">
        <w:rPr>
          <w:noProof/>
        </w:rPr>
        <w:t> </w:t>
      </w:r>
      <w:r w:rsidRPr="001C0357">
        <w:rPr>
          <w:noProof/>
        </w:rPr>
        <w:t>gadam un budžeta ietvaru 2025., 2026. un 2027. gadam”</w:t>
      </w:r>
      <w:r w:rsidR="00DF5F8C" w:rsidRPr="001C0357">
        <w:rPr>
          <w:noProof/>
        </w:rPr>
        <w:t>.</w:t>
      </w:r>
    </w:p>
    <w:p w14:paraId="643924B5" w14:textId="383C9103" w:rsidR="00A2058A" w:rsidRPr="001C0357" w:rsidRDefault="00546166" w:rsidP="00887768">
      <w:pPr>
        <w:rPr>
          <w:noProof/>
        </w:rPr>
      </w:pPr>
      <w:r w:rsidRPr="001C0357">
        <w:rPr>
          <w:noProof/>
        </w:rPr>
        <w:t>Salīdzinot ar 2025.</w:t>
      </w:r>
      <w:r w:rsidR="00A2058A" w:rsidRPr="001C0357">
        <w:rPr>
          <w:noProof/>
        </w:rPr>
        <w:t> </w:t>
      </w:r>
      <w:r w:rsidRPr="001C0357">
        <w:rPr>
          <w:noProof/>
        </w:rPr>
        <w:t xml:space="preserve">gada Progresa ziņojumu, </w:t>
      </w:r>
      <w:r w:rsidR="00A2058A" w:rsidRPr="001C0357">
        <w:rPr>
          <w:noProof/>
        </w:rPr>
        <w:t xml:space="preserve">vidējā termiņā </w:t>
      </w:r>
      <w:r w:rsidRPr="001C0357">
        <w:rPr>
          <w:noProof/>
        </w:rPr>
        <w:t xml:space="preserve">tiek prognozēti augstāki nodokļu un nenodokļu ieņēmumi, </w:t>
      </w:r>
      <w:r w:rsidR="00A2058A" w:rsidRPr="001C0357">
        <w:rPr>
          <w:noProof/>
        </w:rPr>
        <w:t>ņemot vērā šā gada sešu mēnešu izpildi</w:t>
      </w:r>
      <w:r w:rsidRPr="001C0357">
        <w:rPr>
          <w:noProof/>
        </w:rPr>
        <w:t xml:space="preserve"> un atjaunot</w:t>
      </w:r>
      <w:r w:rsidR="00A2058A" w:rsidRPr="001C0357">
        <w:rPr>
          <w:noProof/>
        </w:rPr>
        <w:t>o</w:t>
      </w:r>
      <w:r w:rsidRPr="001C0357">
        <w:rPr>
          <w:noProof/>
        </w:rPr>
        <w:t xml:space="preserve"> makroscenārij</w:t>
      </w:r>
      <w:r w:rsidR="00A2058A" w:rsidRPr="001C0357">
        <w:rPr>
          <w:noProof/>
        </w:rPr>
        <w:t>u</w:t>
      </w:r>
      <w:r w:rsidRPr="001C0357">
        <w:rPr>
          <w:noProof/>
        </w:rPr>
        <w:t>, kas paredz straujāku vidējās darba samaksas kāpumu</w:t>
      </w:r>
      <w:r w:rsidR="00A2058A" w:rsidRPr="001C0357">
        <w:rPr>
          <w:noProof/>
        </w:rPr>
        <w:t xml:space="preserve"> un augstāku inflāciju</w:t>
      </w:r>
      <w:r w:rsidRPr="001C0357">
        <w:rPr>
          <w:noProof/>
        </w:rPr>
        <w:t xml:space="preserve">. </w:t>
      </w:r>
      <w:r w:rsidR="00A2058A" w:rsidRPr="001C0357">
        <w:rPr>
          <w:noProof/>
        </w:rPr>
        <w:t>Vienlaikus budžeta izdevumi pie nemainīgas politikas vidējā termiņā arī tiek prognozēti augstāki, ņemot vērā līdz šā gada jūlija beigām pieņemtos valdības lēmumus, it īpaši attiecībā uz papildu finansējumu aizsardzībai un augstākus ārvalstu finanšu palīdzības (ĀFP) izdevumus, kas nozīmē augstāku valsts budžeta līdzfinansējuma līmeni. Prognozēs pie nemainīgas politikas ir iestrādāti vispārējās valdības</w:t>
      </w:r>
      <w:r w:rsidR="00DF5F8C" w:rsidRPr="001C0357">
        <w:rPr>
          <w:noProof/>
        </w:rPr>
        <w:t xml:space="preserve"> budžeta</w:t>
      </w:r>
      <w:r w:rsidR="00A2058A" w:rsidRPr="001C0357">
        <w:rPr>
          <w:noProof/>
        </w:rPr>
        <w:t xml:space="preserve"> izdevumi aizsardzībai, kas atbilstoši COFOG</w:t>
      </w:r>
      <w:r w:rsidR="00DF5F8C" w:rsidRPr="001C0357">
        <w:rPr>
          <w:noProof/>
        </w:rPr>
        <w:t xml:space="preserve"> jeb valdības funkciju</w:t>
      </w:r>
      <w:r w:rsidR="00A2058A" w:rsidRPr="001C0357">
        <w:rPr>
          <w:noProof/>
        </w:rPr>
        <w:t xml:space="preserve"> </w:t>
      </w:r>
      <w:r w:rsidR="00DF5F8C" w:rsidRPr="001C0357">
        <w:rPr>
          <w:noProof/>
        </w:rPr>
        <w:t>klasifikācijai un Eiropas kontu sistēmas (EKS) metodoloģijai</w:t>
      </w:r>
      <w:r w:rsidR="00A2058A" w:rsidRPr="001C0357">
        <w:rPr>
          <w:noProof/>
        </w:rPr>
        <w:t xml:space="preserve"> </w:t>
      </w:r>
      <w:r w:rsidR="00DF5F8C" w:rsidRPr="001C0357">
        <w:rPr>
          <w:noProof/>
        </w:rPr>
        <w:t>2026. gadā veido</w:t>
      </w:r>
      <w:r w:rsidR="000B51C7">
        <w:rPr>
          <w:noProof/>
        </w:rPr>
        <w:t>s</w:t>
      </w:r>
      <w:r w:rsidR="00DF5F8C" w:rsidRPr="001C0357">
        <w:rPr>
          <w:noProof/>
        </w:rPr>
        <w:t xml:space="preserve"> 4,0% no IKP, 2027. gadā veido</w:t>
      </w:r>
      <w:r w:rsidR="000B51C7">
        <w:rPr>
          <w:noProof/>
        </w:rPr>
        <w:t>s</w:t>
      </w:r>
      <w:r w:rsidR="00DF5F8C" w:rsidRPr="001C0357">
        <w:rPr>
          <w:noProof/>
        </w:rPr>
        <w:t xml:space="preserve"> 5,1% no IKP, 2028. gadā 5,0% no IKP un 2029. gadā 5,0% no IKP.</w:t>
      </w:r>
      <w:r w:rsidR="00972F54" w:rsidRPr="001C0357">
        <w:rPr>
          <w:noProof/>
        </w:rPr>
        <w:t xml:space="preserve"> </w:t>
      </w:r>
      <w:r w:rsidR="00055311" w:rsidRPr="001C0357">
        <w:rPr>
          <w:noProof/>
          <w:color w:val="000000" w:themeColor="text1"/>
        </w:rPr>
        <w:t>Aizsardzības izdevumu</w:t>
      </w:r>
      <w:r w:rsidR="00972F54" w:rsidRPr="001C0357">
        <w:rPr>
          <w:noProof/>
          <w:color w:val="000000" w:themeColor="text1"/>
        </w:rPr>
        <w:t xml:space="preserve"> </w:t>
      </w:r>
      <w:r w:rsidR="0094089C" w:rsidRPr="001C0357">
        <w:rPr>
          <w:noProof/>
          <w:color w:val="000000" w:themeColor="text1"/>
        </w:rPr>
        <w:t xml:space="preserve">daļējai </w:t>
      </w:r>
      <w:r w:rsidR="00972F54" w:rsidRPr="001C0357">
        <w:rPr>
          <w:noProof/>
          <w:color w:val="000000" w:themeColor="text1"/>
        </w:rPr>
        <w:t>finansēšanai tiks izmantots jaunais ES aizņēmumu instruments SAFE,</w:t>
      </w:r>
      <w:r w:rsidR="00972F54" w:rsidRPr="001C0357">
        <w:rPr>
          <w:b/>
          <w:bCs/>
          <w:noProof/>
          <w:color w:val="000000" w:themeColor="text1"/>
        </w:rPr>
        <w:t xml:space="preserve"> </w:t>
      </w:r>
      <w:r w:rsidR="00972F54" w:rsidRPr="001C0357">
        <w:rPr>
          <w:noProof/>
          <w:color w:val="000000" w:themeColor="text1"/>
        </w:rPr>
        <w:t xml:space="preserve">kam </w:t>
      </w:r>
      <w:r w:rsidR="00055311" w:rsidRPr="001C0357">
        <w:rPr>
          <w:noProof/>
          <w:color w:val="000000" w:themeColor="text1"/>
        </w:rPr>
        <w:t xml:space="preserve">kopumā </w:t>
      </w:r>
      <w:r w:rsidR="00972F54" w:rsidRPr="001C0357">
        <w:rPr>
          <w:noProof/>
          <w:color w:val="000000" w:themeColor="text1"/>
        </w:rPr>
        <w:t>paredzēts atvēlēt 150</w:t>
      </w:r>
      <w:r w:rsidR="0094089C" w:rsidRPr="001C0357">
        <w:rPr>
          <w:noProof/>
          <w:color w:val="000000" w:themeColor="text1"/>
        </w:rPr>
        <w:t> </w:t>
      </w:r>
      <w:r w:rsidR="00972F54" w:rsidRPr="001C0357">
        <w:rPr>
          <w:noProof/>
          <w:color w:val="000000" w:themeColor="text1"/>
        </w:rPr>
        <w:t>m</w:t>
      </w:r>
      <w:r w:rsidR="000B51C7">
        <w:rPr>
          <w:noProof/>
          <w:color w:val="000000" w:themeColor="text1"/>
        </w:rPr>
        <w:t>ljrd.</w:t>
      </w:r>
      <w:r w:rsidR="00972F54" w:rsidRPr="001C0357">
        <w:rPr>
          <w:noProof/>
          <w:color w:val="000000" w:themeColor="text1"/>
        </w:rPr>
        <w:t xml:space="preserve"> </w:t>
      </w:r>
      <w:r w:rsidR="00972F54" w:rsidRPr="001C0357">
        <w:rPr>
          <w:i/>
          <w:iCs/>
          <w:noProof/>
          <w:color w:val="000000" w:themeColor="text1"/>
        </w:rPr>
        <w:t>e</w:t>
      </w:r>
      <w:r w:rsidR="00055311" w:rsidRPr="001C0357">
        <w:rPr>
          <w:i/>
          <w:iCs/>
          <w:noProof/>
          <w:color w:val="000000" w:themeColor="text1"/>
        </w:rPr>
        <w:t>u</w:t>
      </w:r>
      <w:r w:rsidR="00972F54" w:rsidRPr="001C0357">
        <w:rPr>
          <w:i/>
          <w:iCs/>
          <w:noProof/>
          <w:color w:val="000000" w:themeColor="text1"/>
        </w:rPr>
        <w:t>ro</w:t>
      </w:r>
      <w:r w:rsidR="00972F54" w:rsidRPr="001C0357">
        <w:rPr>
          <w:noProof/>
          <w:color w:val="000000" w:themeColor="text1"/>
        </w:rPr>
        <w:t>.</w:t>
      </w:r>
      <w:r w:rsidR="000B51C7">
        <w:rPr>
          <w:noProof/>
          <w:color w:val="000000" w:themeColor="text1"/>
        </w:rPr>
        <w:t xml:space="preserve"> </w:t>
      </w:r>
      <w:r w:rsidR="00610E2A">
        <w:rPr>
          <w:noProof/>
          <w:color w:val="000000" w:themeColor="text1"/>
        </w:rPr>
        <w:t>Minētais</w:t>
      </w:r>
      <w:r w:rsidR="00972F54" w:rsidRPr="001C0357">
        <w:rPr>
          <w:noProof/>
          <w:color w:val="000000" w:themeColor="text1"/>
        </w:rPr>
        <w:t xml:space="preserve"> instruments ir galvenais mehānisms </w:t>
      </w:r>
      <w:r w:rsidR="000B51C7">
        <w:rPr>
          <w:noProof/>
          <w:color w:val="000000" w:themeColor="text1"/>
        </w:rPr>
        <w:t xml:space="preserve">aizsardzības ražojumu </w:t>
      </w:r>
      <w:r w:rsidR="00610E2A">
        <w:rPr>
          <w:noProof/>
          <w:color w:val="000000" w:themeColor="text1"/>
        </w:rPr>
        <w:t xml:space="preserve">ES dalībvalstu </w:t>
      </w:r>
      <w:r w:rsidR="000B51C7">
        <w:rPr>
          <w:noProof/>
          <w:color w:val="000000" w:themeColor="text1"/>
        </w:rPr>
        <w:t xml:space="preserve">kopīgu </w:t>
      </w:r>
      <w:r w:rsidR="00972F54" w:rsidRPr="001C0357">
        <w:rPr>
          <w:noProof/>
          <w:color w:val="000000" w:themeColor="text1"/>
        </w:rPr>
        <w:t xml:space="preserve">iepirkumu veicināšanai, lai veiktu </w:t>
      </w:r>
      <w:r w:rsidR="00610E2A">
        <w:rPr>
          <w:noProof/>
          <w:color w:val="000000" w:themeColor="text1"/>
        </w:rPr>
        <w:t xml:space="preserve">Eiropas </w:t>
      </w:r>
      <w:r w:rsidR="00972F54" w:rsidRPr="001C0357">
        <w:rPr>
          <w:noProof/>
          <w:color w:val="000000" w:themeColor="text1"/>
        </w:rPr>
        <w:t>pārapbruņošanos</w:t>
      </w:r>
      <w:r w:rsidR="000B51C7">
        <w:rPr>
          <w:noProof/>
          <w:color w:val="000000" w:themeColor="text1"/>
        </w:rPr>
        <w:t xml:space="preserve"> un veicinātu steidzamas un apjomīgas publiskās investīcijas aizsardzības industrijas atbalstam</w:t>
      </w:r>
      <w:r w:rsidR="00972F54" w:rsidRPr="001C0357">
        <w:rPr>
          <w:noProof/>
          <w:color w:val="000000" w:themeColor="text1"/>
        </w:rPr>
        <w:t>, saskaroties ar pieaugošajiem Krievijas draudiem.</w:t>
      </w:r>
    </w:p>
    <w:p w14:paraId="4828EDAE" w14:textId="77777777" w:rsidR="00887768" w:rsidRPr="001C0357" w:rsidRDefault="00546166" w:rsidP="007C62E3">
      <w:pPr>
        <w:spacing w:after="0"/>
        <w:ind w:firstLine="0"/>
        <w:jc w:val="center"/>
        <w:rPr>
          <w:b/>
          <w:noProof/>
          <w:color w:val="000000" w:themeColor="text1"/>
          <w:highlight w:val="yellow"/>
        </w:rPr>
      </w:pPr>
      <w:r w:rsidRPr="001C0357">
        <w:rPr>
          <w:b/>
          <w:noProof/>
          <w:color w:val="000000" w:themeColor="text1"/>
        </w:rPr>
        <w:drawing>
          <wp:inline distT="0" distB="0" distL="0" distR="0" wp14:anchorId="1BEC3094" wp14:editId="1F30AF59">
            <wp:extent cx="5777306" cy="3600000"/>
            <wp:effectExtent l="0" t="0" r="0" b="635"/>
            <wp:docPr id="2109722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b="9274"/>
                    <a:stretch>
                      <a:fillRect/>
                    </a:stretch>
                  </pic:blipFill>
                  <pic:spPr bwMode="auto">
                    <a:xfrm>
                      <a:off x="0" y="0"/>
                      <a:ext cx="5777306" cy="3600000"/>
                    </a:xfrm>
                    <a:prstGeom prst="rect">
                      <a:avLst/>
                    </a:prstGeom>
                    <a:noFill/>
                    <a:ln>
                      <a:noFill/>
                    </a:ln>
                    <a:extLst>
                      <a:ext uri="{53640926-AAD7-44D8-BBD7-CCE9431645EC}">
                        <a14:shadowObscured xmlns:a14="http://schemas.microsoft.com/office/drawing/2010/main"/>
                      </a:ext>
                    </a:extLst>
                  </pic:spPr>
                </pic:pic>
              </a:graphicData>
            </a:graphic>
          </wp:inline>
        </w:drawing>
      </w:r>
    </w:p>
    <w:p w14:paraId="6532FA5C" w14:textId="67B5B010" w:rsidR="00887768" w:rsidRPr="001C0357" w:rsidRDefault="00887768" w:rsidP="00F57DAB">
      <w:pPr>
        <w:jc w:val="center"/>
        <w:rPr>
          <w:rFonts w:eastAsia="Calibri"/>
          <w:b/>
          <w:iCs/>
          <w:noProof/>
        </w:rPr>
      </w:pPr>
      <w:r w:rsidRPr="001C0357">
        <w:rPr>
          <w:rFonts w:eastAsia="Calibri"/>
          <w:b/>
          <w:iCs/>
          <w:noProof/>
        </w:rPr>
        <w:t>2. attēls. Vispārējās valdības budžeta ieņēmumi, izdevumi un bilance</w:t>
      </w:r>
      <w:r w:rsidR="00F57DAB" w:rsidRPr="001C0357">
        <w:rPr>
          <w:rFonts w:eastAsia="Calibri"/>
          <w:b/>
          <w:iCs/>
          <w:noProof/>
        </w:rPr>
        <w:br/>
        <w:t>atbilstoši EKS metodoloģijai</w:t>
      </w:r>
      <w:r w:rsidRPr="001C0357">
        <w:rPr>
          <w:rFonts w:eastAsia="Calibri"/>
          <w:b/>
          <w:iCs/>
          <w:noProof/>
        </w:rPr>
        <w:t>, % no IKP</w:t>
      </w:r>
    </w:p>
    <w:p w14:paraId="60120127" w14:textId="4A9EE92D" w:rsidR="00B74FFA" w:rsidRPr="001C0357" w:rsidRDefault="00B74FFA" w:rsidP="00B74FFA">
      <w:pPr>
        <w:rPr>
          <w:noProof/>
          <w:vanish/>
          <w:specVanish/>
        </w:rPr>
      </w:pPr>
      <w:r w:rsidRPr="001C0357">
        <w:rPr>
          <w:noProof/>
        </w:rPr>
        <w:lastRenderedPageBreak/>
        <w:t>Tādējādi 2026.-2029. gadā vispārējās valdības budžeta deficīts pie nemainīgas valdības politikas tiek prognozēts 2026. gadā 3,0% no IKP, 2027. gadā 4,1% no IKP, 2028. gadā 3,7% no IKP un 2029. gadā 3,9% no IKP (skat. 2. attēlu</w:t>
      </w:r>
      <w:r>
        <w:rPr>
          <w:noProof/>
        </w:rPr>
        <w:t xml:space="preserve"> un 3. tabulu</w:t>
      </w:r>
      <w:r w:rsidRPr="001C0357">
        <w:rPr>
          <w:noProof/>
        </w:rPr>
        <w:t>).</w:t>
      </w:r>
    </w:p>
    <w:p w14:paraId="2DC31142" w14:textId="6ECE3829" w:rsidR="00B74FFA" w:rsidRPr="001C0357" w:rsidRDefault="00B74FFA" w:rsidP="00B74FFA">
      <w:pPr>
        <w:ind w:firstLine="0"/>
        <w:rPr>
          <w:noProof/>
        </w:rPr>
      </w:pPr>
      <w:r w:rsidRPr="001C0357">
        <w:rPr>
          <w:noProof/>
        </w:rPr>
        <w:t xml:space="preserve"> </w:t>
      </w:r>
    </w:p>
    <w:p w14:paraId="0817757D" w14:textId="0601168B" w:rsidR="00B74FFA" w:rsidRPr="001C0357" w:rsidRDefault="00B74FFA" w:rsidP="00B74FFA">
      <w:pPr>
        <w:ind w:firstLine="0"/>
        <w:jc w:val="center"/>
        <w:rPr>
          <w:rFonts w:eastAsia="Calibri" w:cs="Times New Roman"/>
          <w:b/>
          <w:noProof/>
          <w:szCs w:val="24"/>
        </w:rPr>
      </w:pPr>
      <w:r w:rsidRPr="001C0357">
        <w:rPr>
          <w:rFonts w:eastAsia="Calibri" w:cs="Times New Roman"/>
          <w:b/>
          <w:noProof/>
          <w:szCs w:val="24"/>
        </w:rPr>
        <w:t xml:space="preserve">3. tabula. Vispārējās valdības budžeta bilance pa budžeta līmeņiem, milj. </w:t>
      </w:r>
      <w:r w:rsidRPr="001C0357">
        <w:rPr>
          <w:rFonts w:eastAsia="Calibri" w:cs="Times New Roman"/>
          <w:b/>
          <w:i/>
          <w:noProof/>
          <w:szCs w:val="24"/>
        </w:rPr>
        <w:t>euro</w:t>
      </w:r>
    </w:p>
    <w:tbl>
      <w:tblPr>
        <w:tblStyle w:val="TableGrid1"/>
        <w:tblW w:w="5580" w:type="pct"/>
        <w:jc w:val="center"/>
        <w:tblLayout w:type="fixed"/>
        <w:tblLook w:val="04A0" w:firstRow="1" w:lastRow="0" w:firstColumn="1" w:lastColumn="0" w:noHBand="0" w:noVBand="1"/>
      </w:tblPr>
      <w:tblGrid>
        <w:gridCol w:w="2972"/>
        <w:gridCol w:w="851"/>
        <w:gridCol w:w="850"/>
        <w:gridCol w:w="851"/>
        <w:gridCol w:w="1110"/>
        <w:gridCol w:w="860"/>
        <w:gridCol w:w="860"/>
        <w:gridCol w:w="879"/>
        <w:gridCol w:w="879"/>
      </w:tblGrid>
      <w:tr w:rsidR="00B74FFA" w:rsidRPr="001C0357" w14:paraId="31121F45" w14:textId="77777777" w:rsidTr="00AC4FED">
        <w:trPr>
          <w:trHeight w:val="19"/>
          <w:tblHeader/>
          <w:jc w:val="center"/>
        </w:trPr>
        <w:tc>
          <w:tcPr>
            <w:tcW w:w="2972" w:type="dxa"/>
            <w:tcBorders>
              <w:bottom w:val="nil"/>
            </w:tcBorders>
            <w:shd w:val="clear" w:color="auto" w:fill="EDE2D3"/>
            <w:noWrap/>
            <w:hideMark/>
          </w:tcPr>
          <w:p w14:paraId="070302EC" w14:textId="77777777" w:rsidR="00B74FFA" w:rsidRPr="001C0357" w:rsidRDefault="00B74FFA" w:rsidP="00AC4FED">
            <w:pPr>
              <w:spacing w:before="0" w:after="0"/>
              <w:ind w:firstLine="0"/>
              <w:contextualSpacing/>
              <w:jc w:val="left"/>
              <w:rPr>
                <w:rFonts w:eastAsia="Times New Roman"/>
                <w:noProof/>
                <w:color w:val="000000"/>
                <w:sz w:val="18"/>
                <w:szCs w:val="18"/>
              </w:rPr>
            </w:pPr>
            <w:bookmarkStart w:id="8" w:name="_Hlk173765638"/>
            <w:r w:rsidRPr="001C0357">
              <w:rPr>
                <w:rFonts w:eastAsia="Times New Roman"/>
                <w:noProof/>
                <w:color w:val="000000"/>
                <w:sz w:val="18"/>
                <w:szCs w:val="18"/>
              </w:rPr>
              <w:t> </w:t>
            </w:r>
          </w:p>
        </w:tc>
        <w:tc>
          <w:tcPr>
            <w:tcW w:w="851" w:type="dxa"/>
            <w:shd w:val="clear" w:color="auto" w:fill="EDE2D3"/>
            <w:noWrap/>
            <w:hideMark/>
          </w:tcPr>
          <w:p w14:paraId="1993C84A" w14:textId="77777777" w:rsidR="00B74FFA" w:rsidRPr="001C0357" w:rsidRDefault="00B74FFA" w:rsidP="00AC4FED">
            <w:pPr>
              <w:spacing w:before="0" w:after="0"/>
              <w:ind w:firstLine="0"/>
              <w:contextualSpacing/>
              <w:jc w:val="center"/>
              <w:rPr>
                <w:rFonts w:eastAsia="Times New Roman"/>
                <w:b/>
                <w:bCs/>
                <w:noProof/>
                <w:sz w:val="18"/>
                <w:szCs w:val="18"/>
              </w:rPr>
            </w:pPr>
            <w:r w:rsidRPr="001C0357">
              <w:rPr>
                <w:rFonts w:eastAsia="Times New Roman"/>
                <w:b/>
                <w:bCs/>
                <w:noProof/>
                <w:sz w:val="18"/>
                <w:szCs w:val="18"/>
              </w:rPr>
              <w:t>2022</w:t>
            </w:r>
          </w:p>
        </w:tc>
        <w:tc>
          <w:tcPr>
            <w:tcW w:w="850" w:type="dxa"/>
            <w:shd w:val="clear" w:color="auto" w:fill="EDE2D3"/>
            <w:noWrap/>
            <w:hideMark/>
          </w:tcPr>
          <w:p w14:paraId="55778D55" w14:textId="77777777" w:rsidR="00B74FFA" w:rsidRPr="001C0357" w:rsidRDefault="00B74FFA" w:rsidP="00AC4FED">
            <w:pPr>
              <w:spacing w:before="0" w:after="0"/>
              <w:ind w:firstLine="0"/>
              <w:contextualSpacing/>
              <w:jc w:val="center"/>
              <w:rPr>
                <w:rFonts w:eastAsia="Times New Roman"/>
                <w:b/>
                <w:bCs/>
                <w:noProof/>
                <w:sz w:val="18"/>
                <w:szCs w:val="18"/>
              </w:rPr>
            </w:pPr>
            <w:r w:rsidRPr="001C0357">
              <w:rPr>
                <w:rFonts w:eastAsia="Times New Roman"/>
                <w:b/>
                <w:bCs/>
                <w:noProof/>
                <w:sz w:val="18"/>
                <w:szCs w:val="18"/>
              </w:rPr>
              <w:t>2023</w:t>
            </w:r>
          </w:p>
        </w:tc>
        <w:tc>
          <w:tcPr>
            <w:tcW w:w="851" w:type="dxa"/>
            <w:shd w:val="clear" w:color="auto" w:fill="EDE2D3"/>
            <w:noWrap/>
            <w:hideMark/>
          </w:tcPr>
          <w:p w14:paraId="6675D689" w14:textId="77777777" w:rsidR="00B74FFA" w:rsidRPr="001C0357" w:rsidRDefault="00B74FFA" w:rsidP="00AC4FED">
            <w:pPr>
              <w:spacing w:before="0" w:after="0"/>
              <w:ind w:firstLine="0"/>
              <w:contextualSpacing/>
              <w:jc w:val="center"/>
              <w:rPr>
                <w:rFonts w:eastAsia="Times New Roman"/>
                <w:b/>
                <w:bCs/>
                <w:noProof/>
                <w:sz w:val="18"/>
                <w:szCs w:val="18"/>
              </w:rPr>
            </w:pPr>
            <w:r w:rsidRPr="001C0357">
              <w:rPr>
                <w:rFonts w:eastAsia="Times New Roman"/>
                <w:b/>
                <w:bCs/>
                <w:noProof/>
                <w:sz w:val="18"/>
                <w:szCs w:val="18"/>
              </w:rPr>
              <w:t>2024</w:t>
            </w:r>
          </w:p>
        </w:tc>
        <w:tc>
          <w:tcPr>
            <w:tcW w:w="1110" w:type="dxa"/>
            <w:shd w:val="clear" w:color="auto" w:fill="EDE2D3"/>
            <w:noWrap/>
            <w:hideMark/>
          </w:tcPr>
          <w:p w14:paraId="51B42BBF" w14:textId="77777777" w:rsidR="00B74FFA" w:rsidRPr="001C0357" w:rsidRDefault="00B74FFA" w:rsidP="00AC4FED">
            <w:pPr>
              <w:spacing w:before="0" w:after="0"/>
              <w:ind w:firstLine="0"/>
              <w:contextualSpacing/>
              <w:jc w:val="center"/>
              <w:rPr>
                <w:rFonts w:eastAsia="Times New Roman"/>
                <w:b/>
                <w:bCs/>
                <w:noProof/>
                <w:sz w:val="18"/>
                <w:szCs w:val="18"/>
              </w:rPr>
            </w:pPr>
            <w:r w:rsidRPr="001C0357">
              <w:rPr>
                <w:rFonts w:eastAsia="Times New Roman"/>
                <w:b/>
                <w:bCs/>
                <w:noProof/>
                <w:sz w:val="18"/>
                <w:szCs w:val="18"/>
              </w:rPr>
              <w:t>2025</w:t>
            </w:r>
          </w:p>
        </w:tc>
        <w:tc>
          <w:tcPr>
            <w:tcW w:w="860" w:type="dxa"/>
            <w:shd w:val="clear" w:color="auto" w:fill="EDE2D3"/>
            <w:noWrap/>
            <w:hideMark/>
          </w:tcPr>
          <w:p w14:paraId="07FF2066" w14:textId="77777777" w:rsidR="00B74FFA" w:rsidRPr="001C0357" w:rsidRDefault="00B74FFA" w:rsidP="00AC4FED">
            <w:pPr>
              <w:spacing w:before="0" w:after="0"/>
              <w:ind w:firstLine="0"/>
              <w:contextualSpacing/>
              <w:jc w:val="center"/>
              <w:rPr>
                <w:rFonts w:eastAsia="Times New Roman"/>
                <w:b/>
                <w:bCs/>
                <w:noProof/>
                <w:sz w:val="18"/>
                <w:szCs w:val="18"/>
              </w:rPr>
            </w:pPr>
            <w:r w:rsidRPr="001C0357">
              <w:rPr>
                <w:rFonts w:eastAsia="Times New Roman"/>
                <w:b/>
                <w:bCs/>
                <w:noProof/>
                <w:sz w:val="18"/>
                <w:szCs w:val="18"/>
              </w:rPr>
              <w:t>2026</w:t>
            </w:r>
          </w:p>
        </w:tc>
        <w:tc>
          <w:tcPr>
            <w:tcW w:w="860" w:type="dxa"/>
            <w:shd w:val="clear" w:color="auto" w:fill="EDE2D3"/>
            <w:noWrap/>
            <w:hideMark/>
          </w:tcPr>
          <w:p w14:paraId="618A8CA5" w14:textId="77777777" w:rsidR="00B74FFA" w:rsidRPr="001C0357" w:rsidRDefault="00B74FFA" w:rsidP="00AC4FED">
            <w:pPr>
              <w:spacing w:before="0" w:after="0"/>
              <w:ind w:firstLine="0"/>
              <w:contextualSpacing/>
              <w:jc w:val="center"/>
              <w:rPr>
                <w:rFonts w:eastAsia="Times New Roman"/>
                <w:b/>
                <w:bCs/>
                <w:noProof/>
                <w:sz w:val="18"/>
                <w:szCs w:val="18"/>
              </w:rPr>
            </w:pPr>
            <w:r w:rsidRPr="001C0357">
              <w:rPr>
                <w:rFonts w:eastAsia="Times New Roman"/>
                <w:b/>
                <w:bCs/>
                <w:noProof/>
                <w:sz w:val="18"/>
                <w:szCs w:val="18"/>
              </w:rPr>
              <w:t>2027</w:t>
            </w:r>
          </w:p>
        </w:tc>
        <w:tc>
          <w:tcPr>
            <w:tcW w:w="879" w:type="dxa"/>
            <w:shd w:val="clear" w:color="auto" w:fill="EDE2D3"/>
            <w:noWrap/>
            <w:hideMark/>
          </w:tcPr>
          <w:p w14:paraId="1B427A7F" w14:textId="77777777" w:rsidR="00B74FFA" w:rsidRPr="001C0357" w:rsidRDefault="00B74FFA" w:rsidP="00AC4FED">
            <w:pPr>
              <w:spacing w:before="0" w:after="0"/>
              <w:ind w:firstLine="0"/>
              <w:contextualSpacing/>
              <w:jc w:val="center"/>
              <w:rPr>
                <w:rFonts w:eastAsia="Times New Roman"/>
                <w:b/>
                <w:bCs/>
                <w:noProof/>
                <w:sz w:val="18"/>
                <w:szCs w:val="18"/>
              </w:rPr>
            </w:pPr>
            <w:r w:rsidRPr="001C0357">
              <w:rPr>
                <w:rFonts w:eastAsia="Times New Roman"/>
                <w:b/>
                <w:bCs/>
                <w:noProof/>
                <w:sz w:val="18"/>
                <w:szCs w:val="18"/>
              </w:rPr>
              <w:t>2028</w:t>
            </w:r>
          </w:p>
        </w:tc>
        <w:tc>
          <w:tcPr>
            <w:tcW w:w="879" w:type="dxa"/>
            <w:shd w:val="clear" w:color="auto" w:fill="EDE2D3"/>
          </w:tcPr>
          <w:p w14:paraId="60622AD5" w14:textId="77777777" w:rsidR="00B74FFA" w:rsidRPr="001C0357" w:rsidRDefault="00B74FFA" w:rsidP="00AC4FED">
            <w:pPr>
              <w:spacing w:before="0" w:after="0"/>
              <w:ind w:firstLine="0"/>
              <w:contextualSpacing/>
              <w:jc w:val="center"/>
              <w:rPr>
                <w:rFonts w:eastAsia="Times New Roman"/>
                <w:b/>
                <w:bCs/>
                <w:noProof/>
                <w:sz w:val="18"/>
                <w:szCs w:val="18"/>
              </w:rPr>
            </w:pPr>
            <w:r w:rsidRPr="001C0357">
              <w:rPr>
                <w:rFonts w:eastAsia="Times New Roman"/>
                <w:b/>
                <w:bCs/>
                <w:noProof/>
                <w:sz w:val="18"/>
                <w:szCs w:val="18"/>
              </w:rPr>
              <w:t>2029</w:t>
            </w:r>
          </w:p>
        </w:tc>
      </w:tr>
      <w:tr w:rsidR="00B74FFA" w:rsidRPr="001C0357" w14:paraId="70A688AF" w14:textId="77777777" w:rsidTr="00AC4FED">
        <w:trPr>
          <w:trHeight w:val="19"/>
          <w:tblHeader/>
          <w:jc w:val="center"/>
        </w:trPr>
        <w:tc>
          <w:tcPr>
            <w:tcW w:w="2972" w:type="dxa"/>
            <w:tcBorders>
              <w:top w:val="nil"/>
            </w:tcBorders>
            <w:shd w:val="clear" w:color="auto" w:fill="EDE2D3"/>
            <w:noWrap/>
            <w:hideMark/>
          </w:tcPr>
          <w:p w14:paraId="1F467781" w14:textId="77777777" w:rsidR="00B74FFA" w:rsidRPr="001C0357" w:rsidRDefault="00B74FFA" w:rsidP="00AC4FED">
            <w:pPr>
              <w:spacing w:before="0" w:after="0"/>
              <w:ind w:firstLine="0"/>
              <w:contextualSpacing/>
              <w:jc w:val="left"/>
              <w:rPr>
                <w:rFonts w:eastAsia="Times New Roman"/>
                <w:b/>
                <w:bCs/>
                <w:noProof/>
                <w:color w:val="000000"/>
                <w:sz w:val="18"/>
                <w:szCs w:val="18"/>
              </w:rPr>
            </w:pPr>
            <w:r w:rsidRPr="001C0357">
              <w:rPr>
                <w:rFonts w:eastAsia="Times New Roman"/>
                <w:b/>
                <w:bCs/>
                <w:noProof/>
                <w:color w:val="000000"/>
                <w:sz w:val="18"/>
                <w:szCs w:val="18"/>
              </w:rPr>
              <w:t> </w:t>
            </w:r>
          </w:p>
        </w:tc>
        <w:tc>
          <w:tcPr>
            <w:tcW w:w="2552" w:type="dxa"/>
            <w:gridSpan w:val="3"/>
            <w:shd w:val="clear" w:color="auto" w:fill="EDE2D3"/>
            <w:hideMark/>
          </w:tcPr>
          <w:p w14:paraId="6D6356BE" w14:textId="77777777" w:rsidR="00B74FFA" w:rsidRPr="001C0357" w:rsidRDefault="00B74FFA" w:rsidP="00AC4FED">
            <w:pPr>
              <w:spacing w:before="0" w:after="0"/>
              <w:ind w:firstLine="0"/>
              <w:contextualSpacing/>
              <w:jc w:val="center"/>
              <w:rPr>
                <w:rFonts w:eastAsia="Times New Roman"/>
                <w:noProof/>
                <w:sz w:val="18"/>
                <w:szCs w:val="18"/>
              </w:rPr>
            </w:pPr>
            <w:r w:rsidRPr="001C0357">
              <w:rPr>
                <w:rFonts w:eastAsia="Times New Roman"/>
                <w:noProof/>
                <w:sz w:val="18"/>
                <w:szCs w:val="18"/>
              </w:rPr>
              <w:t>Fakts</w:t>
            </w:r>
          </w:p>
        </w:tc>
        <w:tc>
          <w:tcPr>
            <w:tcW w:w="1110" w:type="dxa"/>
            <w:shd w:val="clear" w:color="auto" w:fill="EDE2D3"/>
            <w:hideMark/>
          </w:tcPr>
          <w:p w14:paraId="1703B0C9" w14:textId="77777777" w:rsidR="00B74FFA" w:rsidRPr="001C0357" w:rsidRDefault="00B74FFA" w:rsidP="00AC4FED">
            <w:pPr>
              <w:spacing w:before="0" w:after="0"/>
              <w:ind w:firstLine="0"/>
              <w:contextualSpacing/>
              <w:jc w:val="center"/>
              <w:rPr>
                <w:rFonts w:eastAsia="Times New Roman"/>
                <w:noProof/>
                <w:sz w:val="18"/>
                <w:szCs w:val="18"/>
              </w:rPr>
            </w:pPr>
            <w:r w:rsidRPr="001C0357">
              <w:rPr>
                <w:rFonts w:eastAsia="Times New Roman"/>
                <w:noProof/>
                <w:sz w:val="18"/>
                <w:szCs w:val="18"/>
              </w:rPr>
              <w:t>Prognoze</w:t>
            </w:r>
          </w:p>
        </w:tc>
        <w:tc>
          <w:tcPr>
            <w:tcW w:w="3478" w:type="dxa"/>
            <w:gridSpan w:val="4"/>
            <w:shd w:val="clear" w:color="auto" w:fill="EDE2D3"/>
            <w:hideMark/>
          </w:tcPr>
          <w:p w14:paraId="03A1C8F1" w14:textId="77777777" w:rsidR="00B74FFA" w:rsidRPr="001C0357" w:rsidRDefault="00B74FFA" w:rsidP="00AC4FED">
            <w:pPr>
              <w:spacing w:before="0" w:after="0"/>
              <w:ind w:firstLine="0"/>
              <w:contextualSpacing/>
              <w:jc w:val="center"/>
              <w:rPr>
                <w:rFonts w:eastAsia="Times New Roman"/>
                <w:noProof/>
                <w:sz w:val="18"/>
                <w:szCs w:val="18"/>
                <w:highlight w:val="yellow"/>
              </w:rPr>
            </w:pPr>
            <w:r w:rsidRPr="001C0357">
              <w:rPr>
                <w:rFonts w:eastAsia="Times New Roman"/>
                <w:noProof/>
                <w:sz w:val="18"/>
                <w:szCs w:val="18"/>
              </w:rPr>
              <w:t>Prognoze pie nemainīgas politikas</w:t>
            </w:r>
          </w:p>
        </w:tc>
      </w:tr>
      <w:tr w:rsidR="00B74FFA" w:rsidRPr="001C0357" w14:paraId="0C3D23CB" w14:textId="77777777" w:rsidTr="00AC4FED">
        <w:trPr>
          <w:trHeight w:val="103"/>
          <w:tblHeader/>
          <w:jc w:val="center"/>
        </w:trPr>
        <w:tc>
          <w:tcPr>
            <w:tcW w:w="2972" w:type="dxa"/>
            <w:shd w:val="clear" w:color="auto" w:fill="EDE2D3"/>
            <w:noWrap/>
            <w:hideMark/>
          </w:tcPr>
          <w:p w14:paraId="3FD69830" w14:textId="77777777" w:rsidR="00B74FFA" w:rsidRPr="001C0357" w:rsidRDefault="00B74FFA" w:rsidP="00AC4FED">
            <w:pPr>
              <w:spacing w:before="0" w:after="0"/>
              <w:ind w:firstLine="0"/>
              <w:contextualSpacing/>
              <w:jc w:val="left"/>
              <w:rPr>
                <w:rFonts w:eastAsia="Times New Roman"/>
                <w:b/>
                <w:bCs/>
                <w:noProof/>
                <w:sz w:val="18"/>
                <w:szCs w:val="18"/>
              </w:rPr>
            </w:pPr>
            <w:r w:rsidRPr="001C0357">
              <w:rPr>
                <w:rFonts w:eastAsia="Times New Roman"/>
                <w:b/>
                <w:bCs/>
                <w:noProof/>
                <w:sz w:val="18"/>
                <w:szCs w:val="18"/>
              </w:rPr>
              <w:t>Vispārējās valdības budžeta bilance, % no IKP</w:t>
            </w:r>
          </w:p>
        </w:tc>
        <w:tc>
          <w:tcPr>
            <w:tcW w:w="851" w:type="dxa"/>
            <w:shd w:val="clear" w:color="auto" w:fill="EDE2D3"/>
            <w:noWrap/>
            <w:vAlign w:val="center"/>
            <w:hideMark/>
          </w:tcPr>
          <w:p w14:paraId="26993198" w14:textId="77777777" w:rsidR="00B74FFA" w:rsidRPr="001C0357" w:rsidRDefault="00B74FFA" w:rsidP="00AC4FED">
            <w:pPr>
              <w:spacing w:before="0" w:after="0"/>
              <w:ind w:firstLine="0"/>
              <w:contextualSpacing/>
              <w:jc w:val="center"/>
              <w:rPr>
                <w:b/>
                <w:bCs/>
                <w:noProof/>
                <w:sz w:val="18"/>
                <w:szCs w:val="18"/>
              </w:rPr>
            </w:pPr>
            <w:r w:rsidRPr="001C0357">
              <w:rPr>
                <w:b/>
                <w:bCs/>
                <w:noProof/>
                <w:sz w:val="18"/>
                <w:szCs w:val="18"/>
              </w:rPr>
              <w:t>-4,9</w:t>
            </w:r>
          </w:p>
        </w:tc>
        <w:tc>
          <w:tcPr>
            <w:tcW w:w="850" w:type="dxa"/>
            <w:shd w:val="clear" w:color="auto" w:fill="EDE2D3"/>
            <w:noWrap/>
            <w:vAlign w:val="center"/>
          </w:tcPr>
          <w:p w14:paraId="5E106AFC" w14:textId="77777777" w:rsidR="00B74FFA" w:rsidRPr="001C0357" w:rsidRDefault="00B74FFA" w:rsidP="00AC4FED">
            <w:pPr>
              <w:spacing w:before="0" w:after="0"/>
              <w:ind w:firstLine="0"/>
              <w:contextualSpacing/>
              <w:jc w:val="center"/>
              <w:rPr>
                <w:b/>
                <w:bCs/>
                <w:noProof/>
                <w:sz w:val="18"/>
                <w:szCs w:val="18"/>
              </w:rPr>
            </w:pPr>
            <w:r w:rsidRPr="001C0357">
              <w:rPr>
                <w:b/>
                <w:bCs/>
                <w:noProof/>
                <w:sz w:val="18"/>
                <w:szCs w:val="18"/>
              </w:rPr>
              <w:t>-2,4</w:t>
            </w:r>
          </w:p>
        </w:tc>
        <w:tc>
          <w:tcPr>
            <w:tcW w:w="851" w:type="dxa"/>
            <w:tcBorders>
              <w:top w:val="single" w:sz="4" w:space="0" w:color="auto"/>
              <w:left w:val="nil"/>
              <w:bottom w:val="single" w:sz="4" w:space="0" w:color="auto"/>
              <w:right w:val="single" w:sz="4" w:space="0" w:color="auto"/>
            </w:tcBorders>
            <w:shd w:val="clear" w:color="auto" w:fill="EDE2D3"/>
            <w:noWrap/>
            <w:vAlign w:val="center"/>
          </w:tcPr>
          <w:p w14:paraId="36E52C6D" w14:textId="77777777" w:rsidR="00B74FFA" w:rsidRPr="001C0357" w:rsidRDefault="00B74FFA" w:rsidP="00AC4FED">
            <w:pPr>
              <w:spacing w:before="0" w:after="0"/>
              <w:ind w:firstLine="0"/>
              <w:contextualSpacing/>
              <w:jc w:val="center"/>
              <w:rPr>
                <w:b/>
                <w:bCs/>
                <w:noProof/>
                <w:sz w:val="18"/>
                <w:szCs w:val="18"/>
              </w:rPr>
            </w:pPr>
            <w:r w:rsidRPr="001C0357">
              <w:rPr>
                <w:b/>
                <w:bCs/>
                <w:noProof/>
                <w:sz w:val="18"/>
                <w:szCs w:val="18"/>
              </w:rPr>
              <w:t>-1,8</w:t>
            </w:r>
          </w:p>
        </w:tc>
        <w:tc>
          <w:tcPr>
            <w:tcW w:w="1110" w:type="dxa"/>
            <w:shd w:val="clear" w:color="auto" w:fill="EDE2D3"/>
            <w:noWrap/>
            <w:vAlign w:val="center"/>
          </w:tcPr>
          <w:p w14:paraId="10E61423" w14:textId="77777777" w:rsidR="00B74FFA" w:rsidRPr="001C0357" w:rsidRDefault="00B74FFA" w:rsidP="00AC4FED">
            <w:pPr>
              <w:spacing w:before="0" w:after="0"/>
              <w:ind w:firstLine="0"/>
              <w:contextualSpacing/>
              <w:jc w:val="center"/>
              <w:rPr>
                <w:b/>
                <w:bCs/>
                <w:noProof/>
                <w:sz w:val="18"/>
                <w:szCs w:val="18"/>
              </w:rPr>
            </w:pPr>
            <w:r w:rsidRPr="001C0357">
              <w:rPr>
                <w:b/>
                <w:bCs/>
                <w:noProof/>
                <w:sz w:val="18"/>
                <w:szCs w:val="18"/>
              </w:rPr>
              <w:t>-2,9</w:t>
            </w:r>
          </w:p>
        </w:tc>
        <w:tc>
          <w:tcPr>
            <w:tcW w:w="860" w:type="dxa"/>
            <w:shd w:val="clear" w:color="auto" w:fill="EDE2D3"/>
            <w:noWrap/>
            <w:vAlign w:val="center"/>
          </w:tcPr>
          <w:p w14:paraId="659F4194" w14:textId="77777777" w:rsidR="00B74FFA" w:rsidRPr="001C0357" w:rsidRDefault="00B74FFA" w:rsidP="00AC4FED">
            <w:pPr>
              <w:spacing w:before="0" w:after="0"/>
              <w:ind w:firstLine="0"/>
              <w:contextualSpacing/>
              <w:jc w:val="center"/>
              <w:rPr>
                <w:b/>
                <w:bCs/>
                <w:noProof/>
                <w:sz w:val="18"/>
                <w:szCs w:val="18"/>
              </w:rPr>
            </w:pPr>
            <w:r w:rsidRPr="001C0357">
              <w:rPr>
                <w:b/>
                <w:bCs/>
                <w:noProof/>
                <w:sz w:val="18"/>
                <w:szCs w:val="18"/>
              </w:rPr>
              <w:t>-3,0</w:t>
            </w:r>
          </w:p>
        </w:tc>
        <w:tc>
          <w:tcPr>
            <w:tcW w:w="860" w:type="dxa"/>
            <w:shd w:val="clear" w:color="auto" w:fill="EDE2D3"/>
            <w:noWrap/>
            <w:vAlign w:val="center"/>
          </w:tcPr>
          <w:p w14:paraId="29A3B3D1" w14:textId="77777777" w:rsidR="00B74FFA" w:rsidRPr="001C0357" w:rsidRDefault="00B74FFA" w:rsidP="00AC4FED">
            <w:pPr>
              <w:spacing w:before="0" w:after="0"/>
              <w:ind w:firstLine="0"/>
              <w:contextualSpacing/>
              <w:jc w:val="center"/>
              <w:rPr>
                <w:b/>
                <w:bCs/>
                <w:noProof/>
                <w:sz w:val="18"/>
                <w:szCs w:val="18"/>
              </w:rPr>
            </w:pPr>
            <w:r w:rsidRPr="001C0357">
              <w:rPr>
                <w:b/>
                <w:bCs/>
                <w:noProof/>
                <w:sz w:val="18"/>
                <w:szCs w:val="18"/>
              </w:rPr>
              <w:t>-4,1</w:t>
            </w:r>
          </w:p>
        </w:tc>
        <w:tc>
          <w:tcPr>
            <w:tcW w:w="879" w:type="dxa"/>
            <w:shd w:val="clear" w:color="auto" w:fill="EDE2D3"/>
            <w:noWrap/>
            <w:vAlign w:val="center"/>
          </w:tcPr>
          <w:p w14:paraId="083625BB" w14:textId="77777777" w:rsidR="00B74FFA" w:rsidRPr="001C0357" w:rsidRDefault="00B74FFA" w:rsidP="00AC4FED">
            <w:pPr>
              <w:spacing w:before="0" w:after="0"/>
              <w:ind w:firstLine="0"/>
              <w:contextualSpacing/>
              <w:jc w:val="center"/>
              <w:rPr>
                <w:b/>
                <w:bCs/>
                <w:noProof/>
                <w:sz w:val="18"/>
                <w:szCs w:val="18"/>
              </w:rPr>
            </w:pPr>
            <w:r w:rsidRPr="001C0357">
              <w:rPr>
                <w:b/>
                <w:bCs/>
                <w:noProof/>
                <w:sz w:val="18"/>
                <w:szCs w:val="18"/>
              </w:rPr>
              <w:t>-3,7</w:t>
            </w:r>
          </w:p>
        </w:tc>
        <w:tc>
          <w:tcPr>
            <w:tcW w:w="879" w:type="dxa"/>
            <w:shd w:val="clear" w:color="auto" w:fill="EDE2D3"/>
            <w:vAlign w:val="center"/>
          </w:tcPr>
          <w:p w14:paraId="20523161" w14:textId="77777777" w:rsidR="00B74FFA" w:rsidRPr="001C0357" w:rsidRDefault="00B74FFA" w:rsidP="00AC4FED">
            <w:pPr>
              <w:spacing w:before="0" w:after="0"/>
              <w:ind w:firstLine="0"/>
              <w:contextualSpacing/>
              <w:jc w:val="center"/>
              <w:rPr>
                <w:b/>
                <w:bCs/>
                <w:noProof/>
                <w:sz w:val="18"/>
                <w:szCs w:val="18"/>
              </w:rPr>
            </w:pPr>
            <w:r w:rsidRPr="001C0357">
              <w:rPr>
                <w:b/>
                <w:bCs/>
                <w:noProof/>
                <w:sz w:val="18"/>
                <w:szCs w:val="18"/>
              </w:rPr>
              <w:t>-3,9</w:t>
            </w:r>
          </w:p>
        </w:tc>
      </w:tr>
      <w:tr w:rsidR="00B74FFA" w:rsidRPr="001C0357" w14:paraId="5093E82F" w14:textId="77777777" w:rsidTr="00AC4FED">
        <w:trPr>
          <w:trHeight w:val="103"/>
          <w:tblHeader/>
          <w:jc w:val="center"/>
        </w:trPr>
        <w:tc>
          <w:tcPr>
            <w:tcW w:w="2972" w:type="dxa"/>
            <w:shd w:val="clear" w:color="auto" w:fill="EDE2D3"/>
            <w:noWrap/>
          </w:tcPr>
          <w:p w14:paraId="2092D626" w14:textId="77777777" w:rsidR="00B74FFA" w:rsidRPr="001C0357" w:rsidRDefault="00B74FFA" w:rsidP="00AC4FED">
            <w:pPr>
              <w:spacing w:before="0" w:after="0"/>
              <w:ind w:firstLine="0"/>
              <w:contextualSpacing/>
              <w:jc w:val="left"/>
              <w:rPr>
                <w:rFonts w:eastAsia="Times New Roman"/>
                <w:b/>
                <w:bCs/>
                <w:noProof/>
                <w:sz w:val="18"/>
                <w:szCs w:val="18"/>
              </w:rPr>
            </w:pPr>
            <w:r w:rsidRPr="001C0357">
              <w:rPr>
                <w:rFonts w:eastAsia="Times New Roman"/>
                <w:b/>
                <w:bCs/>
                <w:noProof/>
                <w:sz w:val="18"/>
                <w:szCs w:val="18"/>
              </w:rPr>
              <w:t>VISPĀRĒJĀS VALDĪBAS IEŅĒMUMI</w:t>
            </w:r>
          </w:p>
        </w:tc>
        <w:tc>
          <w:tcPr>
            <w:tcW w:w="851" w:type="dxa"/>
            <w:tcBorders>
              <w:top w:val="single" w:sz="4" w:space="0" w:color="auto"/>
              <w:left w:val="nil"/>
              <w:bottom w:val="single" w:sz="4" w:space="0" w:color="auto"/>
              <w:right w:val="single" w:sz="4" w:space="0" w:color="auto"/>
            </w:tcBorders>
            <w:shd w:val="clear" w:color="auto" w:fill="EDE2D3"/>
            <w:noWrap/>
            <w:vAlign w:val="center"/>
          </w:tcPr>
          <w:p w14:paraId="3C2E3A82"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14 211,1</w:t>
            </w:r>
          </w:p>
        </w:tc>
        <w:tc>
          <w:tcPr>
            <w:tcW w:w="850" w:type="dxa"/>
            <w:tcBorders>
              <w:top w:val="single" w:sz="4" w:space="0" w:color="auto"/>
              <w:left w:val="nil"/>
              <w:bottom w:val="single" w:sz="4" w:space="0" w:color="auto"/>
              <w:right w:val="single" w:sz="4" w:space="0" w:color="auto"/>
            </w:tcBorders>
            <w:shd w:val="clear" w:color="auto" w:fill="EDE2D3"/>
            <w:noWrap/>
            <w:vAlign w:val="center"/>
          </w:tcPr>
          <w:p w14:paraId="54876ABC"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16 255,7</w:t>
            </w:r>
          </w:p>
        </w:tc>
        <w:tc>
          <w:tcPr>
            <w:tcW w:w="851" w:type="dxa"/>
            <w:tcBorders>
              <w:top w:val="nil"/>
              <w:left w:val="nil"/>
              <w:bottom w:val="single" w:sz="4" w:space="0" w:color="auto"/>
              <w:right w:val="single" w:sz="4" w:space="0" w:color="auto"/>
            </w:tcBorders>
            <w:shd w:val="clear" w:color="auto" w:fill="EDE2D3"/>
            <w:noWrap/>
            <w:vAlign w:val="center"/>
          </w:tcPr>
          <w:p w14:paraId="6A16A282"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17 660,3</w:t>
            </w:r>
          </w:p>
        </w:tc>
        <w:tc>
          <w:tcPr>
            <w:tcW w:w="1110" w:type="dxa"/>
            <w:tcBorders>
              <w:top w:val="single" w:sz="4" w:space="0" w:color="auto"/>
              <w:left w:val="nil"/>
              <w:bottom w:val="single" w:sz="4" w:space="0" w:color="auto"/>
              <w:right w:val="single" w:sz="4" w:space="0" w:color="auto"/>
            </w:tcBorders>
            <w:shd w:val="clear" w:color="auto" w:fill="EDE2D3"/>
            <w:noWrap/>
            <w:vAlign w:val="center"/>
          </w:tcPr>
          <w:p w14:paraId="01654ADE"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18 739,8</w:t>
            </w:r>
          </w:p>
        </w:tc>
        <w:tc>
          <w:tcPr>
            <w:tcW w:w="860" w:type="dxa"/>
            <w:tcBorders>
              <w:top w:val="single" w:sz="4" w:space="0" w:color="auto"/>
              <w:left w:val="nil"/>
              <w:bottom w:val="single" w:sz="4" w:space="0" w:color="auto"/>
              <w:right w:val="single" w:sz="4" w:space="0" w:color="auto"/>
            </w:tcBorders>
            <w:shd w:val="clear" w:color="auto" w:fill="EDE2D3"/>
            <w:noWrap/>
            <w:vAlign w:val="center"/>
          </w:tcPr>
          <w:p w14:paraId="25F5E0DF"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19 135,0</w:t>
            </w:r>
          </w:p>
        </w:tc>
        <w:tc>
          <w:tcPr>
            <w:tcW w:w="860" w:type="dxa"/>
            <w:tcBorders>
              <w:top w:val="single" w:sz="4" w:space="0" w:color="auto"/>
              <w:left w:val="nil"/>
              <w:bottom w:val="single" w:sz="4" w:space="0" w:color="auto"/>
              <w:right w:val="single" w:sz="4" w:space="0" w:color="auto"/>
            </w:tcBorders>
            <w:shd w:val="clear" w:color="auto" w:fill="EDE2D3"/>
            <w:noWrap/>
            <w:vAlign w:val="center"/>
          </w:tcPr>
          <w:p w14:paraId="64C083A8"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19 511,4</w:t>
            </w:r>
          </w:p>
        </w:tc>
        <w:tc>
          <w:tcPr>
            <w:tcW w:w="879" w:type="dxa"/>
            <w:tcBorders>
              <w:top w:val="single" w:sz="4" w:space="0" w:color="auto"/>
              <w:left w:val="nil"/>
              <w:bottom w:val="single" w:sz="4" w:space="0" w:color="auto"/>
              <w:right w:val="single" w:sz="4" w:space="0" w:color="auto"/>
            </w:tcBorders>
            <w:shd w:val="clear" w:color="auto" w:fill="EDE2D3"/>
            <w:noWrap/>
            <w:vAlign w:val="center"/>
          </w:tcPr>
          <w:p w14:paraId="4887B5A9"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20 063,4</w:t>
            </w:r>
          </w:p>
        </w:tc>
        <w:tc>
          <w:tcPr>
            <w:tcW w:w="879" w:type="dxa"/>
            <w:tcBorders>
              <w:top w:val="single" w:sz="4" w:space="0" w:color="auto"/>
              <w:left w:val="nil"/>
              <w:bottom w:val="single" w:sz="4" w:space="0" w:color="auto"/>
              <w:right w:val="single" w:sz="4" w:space="0" w:color="auto"/>
            </w:tcBorders>
            <w:shd w:val="clear" w:color="auto" w:fill="EDE2D3"/>
            <w:vAlign w:val="center"/>
          </w:tcPr>
          <w:p w14:paraId="1950ECAA"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20 464,0</w:t>
            </w:r>
          </w:p>
        </w:tc>
      </w:tr>
      <w:tr w:rsidR="00B74FFA" w:rsidRPr="001C0357" w14:paraId="0DEE3969" w14:textId="77777777" w:rsidTr="00AC4FED">
        <w:trPr>
          <w:trHeight w:val="103"/>
          <w:tblHeader/>
          <w:jc w:val="center"/>
        </w:trPr>
        <w:tc>
          <w:tcPr>
            <w:tcW w:w="2972" w:type="dxa"/>
            <w:shd w:val="clear" w:color="auto" w:fill="EDE2D3"/>
            <w:noWrap/>
          </w:tcPr>
          <w:p w14:paraId="553F3647" w14:textId="77777777" w:rsidR="00B74FFA" w:rsidRPr="001C0357" w:rsidRDefault="00B74FFA" w:rsidP="00AC4FED">
            <w:pPr>
              <w:spacing w:before="0" w:after="0"/>
              <w:ind w:firstLine="0"/>
              <w:contextualSpacing/>
              <w:jc w:val="left"/>
              <w:rPr>
                <w:rFonts w:eastAsia="Times New Roman"/>
                <w:b/>
                <w:bCs/>
                <w:noProof/>
                <w:sz w:val="18"/>
                <w:szCs w:val="18"/>
              </w:rPr>
            </w:pPr>
            <w:r w:rsidRPr="001C0357">
              <w:rPr>
                <w:rFonts w:eastAsia="Times New Roman"/>
                <w:b/>
                <w:bCs/>
                <w:noProof/>
                <w:sz w:val="18"/>
                <w:szCs w:val="18"/>
              </w:rPr>
              <w:t>VISPĀRĒJĀS VALDĪBAS IZDEVUMI</w:t>
            </w:r>
          </w:p>
        </w:tc>
        <w:tc>
          <w:tcPr>
            <w:tcW w:w="851" w:type="dxa"/>
            <w:tcBorders>
              <w:top w:val="nil"/>
              <w:left w:val="nil"/>
              <w:bottom w:val="single" w:sz="4" w:space="0" w:color="auto"/>
              <w:right w:val="single" w:sz="4" w:space="0" w:color="auto"/>
            </w:tcBorders>
            <w:shd w:val="clear" w:color="auto" w:fill="EDE2D3"/>
            <w:noWrap/>
            <w:vAlign w:val="center"/>
          </w:tcPr>
          <w:p w14:paraId="75122E83"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15 964,7</w:t>
            </w:r>
          </w:p>
        </w:tc>
        <w:tc>
          <w:tcPr>
            <w:tcW w:w="850" w:type="dxa"/>
            <w:tcBorders>
              <w:top w:val="nil"/>
              <w:left w:val="nil"/>
              <w:bottom w:val="single" w:sz="4" w:space="0" w:color="auto"/>
              <w:right w:val="single" w:sz="4" w:space="0" w:color="auto"/>
            </w:tcBorders>
            <w:shd w:val="clear" w:color="auto" w:fill="EDE2D3"/>
            <w:noWrap/>
            <w:vAlign w:val="center"/>
          </w:tcPr>
          <w:p w14:paraId="558F46EF"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17 187,3</w:t>
            </w:r>
          </w:p>
        </w:tc>
        <w:tc>
          <w:tcPr>
            <w:tcW w:w="851" w:type="dxa"/>
            <w:tcBorders>
              <w:top w:val="nil"/>
              <w:left w:val="nil"/>
              <w:bottom w:val="single" w:sz="4" w:space="0" w:color="auto"/>
              <w:right w:val="single" w:sz="4" w:space="0" w:color="auto"/>
            </w:tcBorders>
            <w:shd w:val="clear" w:color="auto" w:fill="EDE2D3"/>
            <w:noWrap/>
            <w:vAlign w:val="center"/>
          </w:tcPr>
          <w:p w14:paraId="74A115AA"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18 366,4</w:t>
            </w:r>
          </w:p>
        </w:tc>
        <w:tc>
          <w:tcPr>
            <w:tcW w:w="1110" w:type="dxa"/>
            <w:tcBorders>
              <w:top w:val="nil"/>
              <w:left w:val="nil"/>
              <w:bottom w:val="single" w:sz="4" w:space="0" w:color="auto"/>
              <w:right w:val="single" w:sz="4" w:space="0" w:color="auto"/>
            </w:tcBorders>
            <w:shd w:val="clear" w:color="auto" w:fill="EDE2D3"/>
            <w:noWrap/>
            <w:vAlign w:val="center"/>
          </w:tcPr>
          <w:p w14:paraId="62C9089A"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19 960,6</w:t>
            </w:r>
          </w:p>
        </w:tc>
        <w:tc>
          <w:tcPr>
            <w:tcW w:w="860" w:type="dxa"/>
            <w:tcBorders>
              <w:top w:val="nil"/>
              <w:left w:val="nil"/>
              <w:bottom w:val="single" w:sz="4" w:space="0" w:color="auto"/>
              <w:right w:val="single" w:sz="4" w:space="0" w:color="auto"/>
            </w:tcBorders>
            <w:shd w:val="clear" w:color="auto" w:fill="EDE2D3"/>
            <w:noWrap/>
            <w:vAlign w:val="center"/>
          </w:tcPr>
          <w:p w14:paraId="555BE0DF"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20 461,2</w:t>
            </w:r>
          </w:p>
        </w:tc>
        <w:tc>
          <w:tcPr>
            <w:tcW w:w="860" w:type="dxa"/>
            <w:tcBorders>
              <w:top w:val="nil"/>
              <w:left w:val="nil"/>
              <w:bottom w:val="single" w:sz="4" w:space="0" w:color="auto"/>
              <w:right w:val="single" w:sz="4" w:space="0" w:color="auto"/>
            </w:tcBorders>
            <w:shd w:val="clear" w:color="auto" w:fill="EDE2D3"/>
            <w:noWrap/>
            <w:vAlign w:val="center"/>
          </w:tcPr>
          <w:p w14:paraId="40CEBE8D"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21 375,5</w:t>
            </w:r>
          </w:p>
        </w:tc>
        <w:tc>
          <w:tcPr>
            <w:tcW w:w="879" w:type="dxa"/>
            <w:tcBorders>
              <w:top w:val="nil"/>
              <w:left w:val="nil"/>
              <w:bottom w:val="single" w:sz="4" w:space="0" w:color="auto"/>
              <w:right w:val="single" w:sz="4" w:space="0" w:color="auto"/>
            </w:tcBorders>
            <w:shd w:val="clear" w:color="auto" w:fill="EDE2D3"/>
            <w:noWrap/>
            <w:vAlign w:val="center"/>
          </w:tcPr>
          <w:p w14:paraId="56710482"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21 863,8</w:t>
            </w:r>
          </w:p>
        </w:tc>
        <w:tc>
          <w:tcPr>
            <w:tcW w:w="879" w:type="dxa"/>
            <w:tcBorders>
              <w:top w:val="nil"/>
              <w:left w:val="nil"/>
              <w:bottom w:val="single" w:sz="4" w:space="0" w:color="auto"/>
              <w:right w:val="single" w:sz="4" w:space="0" w:color="auto"/>
            </w:tcBorders>
            <w:shd w:val="clear" w:color="auto" w:fill="EDE2D3"/>
            <w:vAlign w:val="center"/>
          </w:tcPr>
          <w:p w14:paraId="48C6CE89"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22 416,7</w:t>
            </w:r>
          </w:p>
        </w:tc>
      </w:tr>
      <w:tr w:rsidR="00B74FFA" w:rsidRPr="001C0357" w14:paraId="679185F7" w14:textId="77777777" w:rsidTr="00AC4FED">
        <w:trPr>
          <w:trHeight w:val="65"/>
          <w:tblHeader/>
          <w:jc w:val="center"/>
        </w:trPr>
        <w:tc>
          <w:tcPr>
            <w:tcW w:w="2972" w:type="dxa"/>
            <w:shd w:val="clear" w:color="auto" w:fill="EDE2D3"/>
            <w:noWrap/>
            <w:hideMark/>
          </w:tcPr>
          <w:p w14:paraId="071D2A3E" w14:textId="77777777" w:rsidR="00B74FFA" w:rsidRPr="001C0357" w:rsidRDefault="00B74FFA" w:rsidP="00AC4FED">
            <w:pPr>
              <w:spacing w:before="0" w:after="0"/>
              <w:ind w:firstLine="0"/>
              <w:contextualSpacing/>
              <w:jc w:val="left"/>
              <w:rPr>
                <w:rFonts w:eastAsia="Times New Roman"/>
                <w:b/>
                <w:bCs/>
                <w:noProof/>
                <w:sz w:val="18"/>
                <w:szCs w:val="18"/>
              </w:rPr>
            </w:pPr>
            <w:r w:rsidRPr="001C0357">
              <w:rPr>
                <w:rFonts w:eastAsia="Times New Roman"/>
                <w:b/>
                <w:bCs/>
                <w:noProof/>
                <w:sz w:val="18"/>
                <w:szCs w:val="18"/>
              </w:rPr>
              <w:t>Vispārējās valdības budžeta bilance</w:t>
            </w:r>
            <w:r w:rsidRPr="001C0357">
              <w:rPr>
                <w:rStyle w:val="FootnoteReference"/>
                <w:rFonts w:eastAsia="Times New Roman"/>
                <w:noProof/>
                <w:sz w:val="18"/>
                <w:szCs w:val="18"/>
              </w:rPr>
              <w:footnoteReference w:id="1"/>
            </w:r>
          </w:p>
        </w:tc>
        <w:tc>
          <w:tcPr>
            <w:tcW w:w="851" w:type="dxa"/>
            <w:shd w:val="clear" w:color="auto" w:fill="EDE2D3"/>
            <w:noWrap/>
            <w:vAlign w:val="center"/>
          </w:tcPr>
          <w:p w14:paraId="04EA4FBD" w14:textId="77777777" w:rsidR="00B74FFA" w:rsidRPr="001C0357" w:rsidRDefault="00B74FFA" w:rsidP="00AC4FED">
            <w:pPr>
              <w:spacing w:before="0" w:after="0"/>
              <w:ind w:firstLine="0"/>
              <w:contextualSpacing/>
              <w:jc w:val="center"/>
              <w:rPr>
                <w:rFonts w:eastAsia="Times New Roman"/>
                <w:b/>
                <w:bCs/>
                <w:noProof/>
                <w:sz w:val="18"/>
                <w:szCs w:val="18"/>
              </w:rPr>
            </w:pPr>
            <w:r w:rsidRPr="001C0357">
              <w:rPr>
                <w:noProof/>
                <w:sz w:val="18"/>
                <w:szCs w:val="18"/>
              </w:rPr>
              <w:t>-1 753,6</w:t>
            </w:r>
          </w:p>
        </w:tc>
        <w:tc>
          <w:tcPr>
            <w:tcW w:w="850" w:type="dxa"/>
            <w:shd w:val="clear" w:color="auto" w:fill="EDE2D3"/>
            <w:noWrap/>
            <w:vAlign w:val="center"/>
          </w:tcPr>
          <w:p w14:paraId="2C01B684" w14:textId="77777777" w:rsidR="00B74FFA" w:rsidRPr="001C0357" w:rsidRDefault="00B74FFA" w:rsidP="00AC4FED">
            <w:pPr>
              <w:spacing w:before="0" w:after="0"/>
              <w:ind w:firstLine="0"/>
              <w:contextualSpacing/>
              <w:jc w:val="center"/>
              <w:rPr>
                <w:noProof/>
                <w:sz w:val="18"/>
                <w:szCs w:val="18"/>
              </w:rPr>
            </w:pPr>
            <w:r w:rsidRPr="001C0357">
              <w:rPr>
                <w:noProof/>
              </w:rPr>
              <w:t xml:space="preserve">-931,6 </w:t>
            </w:r>
          </w:p>
        </w:tc>
        <w:tc>
          <w:tcPr>
            <w:tcW w:w="851" w:type="dxa"/>
            <w:shd w:val="clear" w:color="auto" w:fill="EDE2D3"/>
            <w:noWrap/>
            <w:vAlign w:val="center"/>
          </w:tcPr>
          <w:p w14:paraId="58C3A9E9"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-706,2</w:t>
            </w:r>
          </w:p>
        </w:tc>
        <w:tc>
          <w:tcPr>
            <w:tcW w:w="1110" w:type="dxa"/>
            <w:shd w:val="clear" w:color="auto" w:fill="EDE2D3"/>
            <w:noWrap/>
            <w:vAlign w:val="center"/>
          </w:tcPr>
          <w:p w14:paraId="655A462E"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-1 220,8</w:t>
            </w:r>
          </w:p>
        </w:tc>
        <w:tc>
          <w:tcPr>
            <w:tcW w:w="860" w:type="dxa"/>
            <w:shd w:val="clear" w:color="auto" w:fill="EDE2D3"/>
            <w:noWrap/>
            <w:vAlign w:val="center"/>
          </w:tcPr>
          <w:p w14:paraId="53433A30"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-1 326,1</w:t>
            </w:r>
          </w:p>
        </w:tc>
        <w:tc>
          <w:tcPr>
            <w:tcW w:w="860" w:type="dxa"/>
            <w:shd w:val="clear" w:color="auto" w:fill="EDE2D3"/>
            <w:noWrap/>
            <w:vAlign w:val="center"/>
          </w:tcPr>
          <w:p w14:paraId="551C175B"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-1 864,1</w:t>
            </w:r>
          </w:p>
        </w:tc>
        <w:tc>
          <w:tcPr>
            <w:tcW w:w="879" w:type="dxa"/>
            <w:shd w:val="clear" w:color="auto" w:fill="EDE2D3"/>
            <w:noWrap/>
            <w:vAlign w:val="center"/>
          </w:tcPr>
          <w:p w14:paraId="31B8E8AF"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-1 800,4</w:t>
            </w:r>
          </w:p>
        </w:tc>
        <w:tc>
          <w:tcPr>
            <w:tcW w:w="879" w:type="dxa"/>
            <w:shd w:val="clear" w:color="auto" w:fill="EDE2D3"/>
            <w:vAlign w:val="center"/>
          </w:tcPr>
          <w:p w14:paraId="1DC34743"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-1 952,6</w:t>
            </w:r>
          </w:p>
        </w:tc>
      </w:tr>
      <w:tr w:rsidR="00B74FFA" w:rsidRPr="001C0357" w14:paraId="50FDA545" w14:textId="77777777" w:rsidTr="00AC4FED">
        <w:trPr>
          <w:trHeight w:val="65"/>
          <w:tblHeader/>
          <w:jc w:val="center"/>
        </w:trPr>
        <w:tc>
          <w:tcPr>
            <w:tcW w:w="2972" w:type="dxa"/>
            <w:noWrap/>
            <w:hideMark/>
          </w:tcPr>
          <w:p w14:paraId="54CD5083" w14:textId="77777777" w:rsidR="00B74FFA" w:rsidRPr="001C0357" w:rsidRDefault="00B74FFA" w:rsidP="00AC4FED">
            <w:pPr>
              <w:spacing w:before="0" w:after="0"/>
              <w:ind w:firstLine="0"/>
              <w:contextualSpacing/>
              <w:jc w:val="left"/>
              <w:rPr>
                <w:rFonts w:eastAsia="Times New Roman"/>
                <w:noProof/>
                <w:sz w:val="18"/>
                <w:szCs w:val="18"/>
              </w:rPr>
            </w:pPr>
            <w:r w:rsidRPr="001C0357">
              <w:rPr>
                <w:rFonts w:eastAsia="Times New Roman"/>
                <w:noProof/>
                <w:sz w:val="18"/>
                <w:szCs w:val="18"/>
              </w:rPr>
              <w:t>EKS KOREKCIJAS, tai skaitā</w:t>
            </w:r>
          </w:p>
        </w:tc>
        <w:tc>
          <w:tcPr>
            <w:tcW w:w="851" w:type="dxa"/>
            <w:noWrap/>
            <w:vAlign w:val="center"/>
          </w:tcPr>
          <w:p w14:paraId="63968E20" w14:textId="77777777" w:rsidR="00B74FFA" w:rsidRPr="001C0357" w:rsidRDefault="00B74FFA" w:rsidP="00AC4FED">
            <w:pPr>
              <w:spacing w:before="0" w:after="0"/>
              <w:ind w:firstLine="0"/>
              <w:contextualSpacing/>
              <w:jc w:val="center"/>
              <w:rPr>
                <w:rFonts w:eastAsia="Times New Roman"/>
                <w:noProof/>
                <w:sz w:val="18"/>
                <w:szCs w:val="18"/>
              </w:rPr>
            </w:pPr>
            <w:r w:rsidRPr="001C0357">
              <w:rPr>
                <w:noProof/>
                <w:sz w:val="18"/>
                <w:szCs w:val="18"/>
              </w:rPr>
              <w:t>-329,7</w:t>
            </w:r>
          </w:p>
        </w:tc>
        <w:tc>
          <w:tcPr>
            <w:tcW w:w="850" w:type="dxa"/>
            <w:noWrap/>
            <w:vAlign w:val="center"/>
          </w:tcPr>
          <w:p w14:paraId="21D747FB" w14:textId="77777777" w:rsidR="00B74FFA" w:rsidRPr="001C0357" w:rsidRDefault="00B74FFA" w:rsidP="00AC4FED">
            <w:pPr>
              <w:spacing w:before="0" w:after="0"/>
              <w:ind w:firstLine="0"/>
              <w:contextualSpacing/>
              <w:jc w:val="center"/>
              <w:rPr>
                <w:noProof/>
                <w:sz w:val="18"/>
                <w:szCs w:val="18"/>
              </w:rPr>
            </w:pPr>
            <w:r w:rsidRPr="001C0357">
              <w:rPr>
                <w:noProof/>
              </w:rPr>
              <w:t>398,3</w:t>
            </w:r>
          </w:p>
        </w:tc>
        <w:tc>
          <w:tcPr>
            <w:tcW w:w="851" w:type="dxa"/>
            <w:noWrap/>
            <w:vAlign w:val="center"/>
          </w:tcPr>
          <w:p w14:paraId="5AF1204E"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27,0</w:t>
            </w:r>
          </w:p>
        </w:tc>
        <w:tc>
          <w:tcPr>
            <w:tcW w:w="1110" w:type="dxa"/>
            <w:noWrap/>
            <w:vAlign w:val="center"/>
          </w:tcPr>
          <w:p w14:paraId="6F712C0C"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506,9</w:t>
            </w:r>
          </w:p>
        </w:tc>
        <w:tc>
          <w:tcPr>
            <w:tcW w:w="860" w:type="dxa"/>
            <w:noWrap/>
            <w:vAlign w:val="center"/>
          </w:tcPr>
          <w:p w14:paraId="63B3AEC9"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267,5</w:t>
            </w:r>
          </w:p>
        </w:tc>
        <w:tc>
          <w:tcPr>
            <w:tcW w:w="860" w:type="dxa"/>
            <w:noWrap/>
            <w:vAlign w:val="center"/>
          </w:tcPr>
          <w:p w14:paraId="7F453A8B"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90,0</w:t>
            </w:r>
          </w:p>
        </w:tc>
        <w:tc>
          <w:tcPr>
            <w:tcW w:w="879" w:type="dxa"/>
            <w:noWrap/>
            <w:vAlign w:val="center"/>
          </w:tcPr>
          <w:p w14:paraId="1DE3EB6C"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88,6</w:t>
            </w:r>
          </w:p>
        </w:tc>
        <w:tc>
          <w:tcPr>
            <w:tcW w:w="879" w:type="dxa"/>
            <w:vAlign w:val="center"/>
          </w:tcPr>
          <w:p w14:paraId="4BCB4AB3"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5,6</w:t>
            </w:r>
          </w:p>
        </w:tc>
      </w:tr>
      <w:tr w:rsidR="00B74FFA" w:rsidRPr="001C0357" w14:paraId="004EFC9F" w14:textId="77777777" w:rsidTr="00AC4FED">
        <w:trPr>
          <w:trHeight w:val="65"/>
          <w:tblHeader/>
          <w:jc w:val="center"/>
        </w:trPr>
        <w:tc>
          <w:tcPr>
            <w:tcW w:w="2972" w:type="dxa"/>
            <w:noWrap/>
          </w:tcPr>
          <w:p w14:paraId="2DBA25A7" w14:textId="77777777" w:rsidR="00B74FFA" w:rsidRPr="001C0357" w:rsidRDefault="00B74FFA" w:rsidP="00AC4FED">
            <w:pPr>
              <w:spacing w:before="0" w:after="0"/>
              <w:ind w:firstLine="0"/>
              <w:contextualSpacing/>
              <w:jc w:val="left"/>
              <w:rPr>
                <w:rFonts w:eastAsia="Times New Roman"/>
                <w:noProof/>
                <w:sz w:val="18"/>
                <w:szCs w:val="18"/>
                <w:highlight w:val="yellow"/>
              </w:rPr>
            </w:pPr>
            <w:r w:rsidRPr="001C0357">
              <w:rPr>
                <w:rFonts w:eastAsia="Times New Roman"/>
                <w:noProof/>
                <w:sz w:val="18"/>
                <w:szCs w:val="18"/>
              </w:rPr>
              <w:t xml:space="preserve">    Pieklasificēto komersantu bilance</w:t>
            </w:r>
          </w:p>
        </w:tc>
        <w:tc>
          <w:tcPr>
            <w:tcW w:w="851" w:type="dxa"/>
            <w:noWrap/>
            <w:vAlign w:val="center"/>
          </w:tcPr>
          <w:p w14:paraId="59434C7C" w14:textId="77777777" w:rsidR="00B74FFA" w:rsidRPr="001C0357" w:rsidRDefault="00B74FFA" w:rsidP="00AC4FED">
            <w:pPr>
              <w:spacing w:before="0" w:after="0"/>
              <w:ind w:firstLine="0"/>
              <w:contextualSpacing/>
              <w:jc w:val="center"/>
              <w:rPr>
                <w:noProof/>
                <w:sz w:val="18"/>
                <w:szCs w:val="18"/>
                <w:highlight w:val="yellow"/>
              </w:rPr>
            </w:pPr>
            <w:r w:rsidRPr="001C0357">
              <w:rPr>
                <w:noProof/>
              </w:rPr>
              <w:t>-38,7</w:t>
            </w:r>
          </w:p>
        </w:tc>
        <w:tc>
          <w:tcPr>
            <w:tcW w:w="850" w:type="dxa"/>
            <w:noWrap/>
            <w:vAlign w:val="center"/>
          </w:tcPr>
          <w:p w14:paraId="05DA2291" w14:textId="77777777" w:rsidR="00B74FFA" w:rsidRPr="001C0357" w:rsidRDefault="00B74FFA" w:rsidP="00AC4FED">
            <w:pPr>
              <w:spacing w:before="0" w:after="0"/>
              <w:ind w:firstLine="0"/>
              <w:contextualSpacing/>
              <w:jc w:val="center"/>
              <w:rPr>
                <w:noProof/>
                <w:sz w:val="18"/>
                <w:szCs w:val="18"/>
                <w:highlight w:val="yellow"/>
              </w:rPr>
            </w:pPr>
            <w:r w:rsidRPr="001C0357">
              <w:rPr>
                <w:noProof/>
              </w:rPr>
              <w:t>-162,9</w:t>
            </w:r>
          </w:p>
        </w:tc>
        <w:tc>
          <w:tcPr>
            <w:tcW w:w="851" w:type="dxa"/>
            <w:noWrap/>
            <w:vAlign w:val="center"/>
          </w:tcPr>
          <w:p w14:paraId="1C6CCF46" w14:textId="77777777" w:rsidR="00B74FFA" w:rsidRPr="001C0357" w:rsidRDefault="00B74FFA" w:rsidP="00AC4FED">
            <w:pPr>
              <w:spacing w:before="0" w:after="0"/>
              <w:ind w:firstLine="0"/>
              <w:contextualSpacing/>
              <w:jc w:val="center"/>
              <w:rPr>
                <w:noProof/>
                <w:sz w:val="18"/>
                <w:szCs w:val="18"/>
                <w:highlight w:val="yellow"/>
              </w:rPr>
            </w:pPr>
            <w:r w:rsidRPr="001C0357">
              <w:rPr>
                <w:noProof/>
              </w:rPr>
              <w:t>-81,7</w:t>
            </w:r>
          </w:p>
        </w:tc>
        <w:tc>
          <w:tcPr>
            <w:tcW w:w="1110" w:type="dxa"/>
            <w:noWrap/>
            <w:vAlign w:val="center"/>
          </w:tcPr>
          <w:p w14:paraId="1558658F" w14:textId="77777777" w:rsidR="00B74FFA" w:rsidRPr="001C0357" w:rsidRDefault="00B74FFA" w:rsidP="00AC4FED">
            <w:pPr>
              <w:spacing w:before="0" w:after="0"/>
              <w:ind w:firstLine="0"/>
              <w:contextualSpacing/>
              <w:jc w:val="center"/>
              <w:rPr>
                <w:noProof/>
                <w:sz w:val="18"/>
                <w:szCs w:val="18"/>
                <w:highlight w:val="yellow"/>
              </w:rPr>
            </w:pPr>
            <w:r w:rsidRPr="001C0357">
              <w:rPr>
                <w:noProof/>
                <w:sz w:val="18"/>
                <w:szCs w:val="18"/>
              </w:rPr>
              <w:t>-65,9</w:t>
            </w:r>
          </w:p>
        </w:tc>
        <w:tc>
          <w:tcPr>
            <w:tcW w:w="860" w:type="dxa"/>
            <w:noWrap/>
            <w:vAlign w:val="center"/>
          </w:tcPr>
          <w:p w14:paraId="7B3CCA1B" w14:textId="77777777" w:rsidR="00B74FFA" w:rsidRPr="001C0357" w:rsidRDefault="00B74FFA" w:rsidP="00AC4FED">
            <w:pPr>
              <w:spacing w:before="0" w:after="0"/>
              <w:ind w:firstLine="0"/>
              <w:contextualSpacing/>
              <w:jc w:val="center"/>
              <w:rPr>
                <w:noProof/>
                <w:sz w:val="18"/>
                <w:szCs w:val="18"/>
                <w:highlight w:val="yellow"/>
              </w:rPr>
            </w:pPr>
            <w:r w:rsidRPr="001C0357">
              <w:rPr>
                <w:noProof/>
                <w:sz w:val="18"/>
                <w:szCs w:val="18"/>
              </w:rPr>
              <w:t>-57,9</w:t>
            </w:r>
          </w:p>
        </w:tc>
        <w:tc>
          <w:tcPr>
            <w:tcW w:w="860" w:type="dxa"/>
            <w:noWrap/>
            <w:vAlign w:val="center"/>
          </w:tcPr>
          <w:p w14:paraId="66225F9F" w14:textId="77777777" w:rsidR="00B74FFA" w:rsidRPr="001C0357" w:rsidRDefault="00B74FFA" w:rsidP="00AC4FED">
            <w:pPr>
              <w:spacing w:before="0" w:after="0"/>
              <w:ind w:firstLine="0"/>
              <w:contextualSpacing/>
              <w:jc w:val="center"/>
              <w:rPr>
                <w:noProof/>
                <w:sz w:val="18"/>
                <w:szCs w:val="18"/>
                <w:highlight w:val="yellow"/>
              </w:rPr>
            </w:pPr>
            <w:r w:rsidRPr="001C0357">
              <w:rPr>
                <w:noProof/>
                <w:sz w:val="18"/>
                <w:szCs w:val="18"/>
              </w:rPr>
              <w:t>-44,1</w:t>
            </w:r>
          </w:p>
        </w:tc>
        <w:tc>
          <w:tcPr>
            <w:tcW w:w="879" w:type="dxa"/>
            <w:noWrap/>
            <w:vAlign w:val="center"/>
          </w:tcPr>
          <w:p w14:paraId="4FBB53AB" w14:textId="77777777" w:rsidR="00B74FFA" w:rsidRPr="001C0357" w:rsidRDefault="00B74FFA" w:rsidP="00AC4FED">
            <w:pPr>
              <w:spacing w:before="0" w:after="0"/>
              <w:ind w:firstLine="0"/>
              <w:contextualSpacing/>
              <w:jc w:val="center"/>
              <w:rPr>
                <w:noProof/>
                <w:sz w:val="18"/>
                <w:szCs w:val="18"/>
                <w:highlight w:val="yellow"/>
              </w:rPr>
            </w:pPr>
            <w:r w:rsidRPr="001C0357">
              <w:rPr>
                <w:noProof/>
                <w:sz w:val="18"/>
                <w:szCs w:val="18"/>
              </w:rPr>
              <w:t>-34,0</w:t>
            </w:r>
          </w:p>
        </w:tc>
        <w:tc>
          <w:tcPr>
            <w:tcW w:w="879" w:type="dxa"/>
            <w:vAlign w:val="center"/>
          </w:tcPr>
          <w:p w14:paraId="60859917" w14:textId="77777777" w:rsidR="00B74FFA" w:rsidRPr="001C0357" w:rsidRDefault="00B74FFA" w:rsidP="00AC4FED">
            <w:pPr>
              <w:spacing w:before="0" w:after="0"/>
              <w:ind w:firstLine="0"/>
              <w:contextualSpacing/>
              <w:jc w:val="center"/>
              <w:rPr>
                <w:noProof/>
                <w:sz w:val="18"/>
                <w:szCs w:val="18"/>
                <w:highlight w:val="yellow"/>
              </w:rPr>
            </w:pPr>
            <w:r w:rsidRPr="001C0357">
              <w:rPr>
                <w:noProof/>
                <w:sz w:val="18"/>
                <w:szCs w:val="18"/>
              </w:rPr>
              <w:t>-25,9</w:t>
            </w:r>
          </w:p>
        </w:tc>
      </w:tr>
      <w:tr w:rsidR="00B74FFA" w:rsidRPr="001C0357" w14:paraId="710BCD2E" w14:textId="77777777" w:rsidTr="00AC4FED">
        <w:trPr>
          <w:trHeight w:val="65"/>
          <w:tblHeader/>
          <w:jc w:val="center"/>
        </w:trPr>
        <w:tc>
          <w:tcPr>
            <w:tcW w:w="2972" w:type="dxa"/>
            <w:shd w:val="clear" w:color="auto" w:fill="F0E7DA"/>
            <w:noWrap/>
            <w:hideMark/>
          </w:tcPr>
          <w:p w14:paraId="713E1D80" w14:textId="77777777" w:rsidR="00B74FFA" w:rsidRPr="001C0357" w:rsidRDefault="00B74FFA" w:rsidP="00AC4FED">
            <w:pPr>
              <w:spacing w:before="0" w:after="0"/>
              <w:ind w:firstLine="0"/>
              <w:contextualSpacing/>
              <w:jc w:val="left"/>
              <w:rPr>
                <w:rFonts w:eastAsia="Times New Roman"/>
                <w:b/>
                <w:bCs/>
                <w:noProof/>
                <w:sz w:val="18"/>
                <w:szCs w:val="18"/>
              </w:rPr>
            </w:pPr>
            <w:r w:rsidRPr="001C0357">
              <w:rPr>
                <w:rFonts w:eastAsia="Times New Roman"/>
                <w:b/>
                <w:bCs/>
                <w:noProof/>
                <w:sz w:val="18"/>
                <w:szCs w:val="18"/>
              </w:rPr>
              <w:t>KOPBUDŽETA BILANCE</w:t>
            </w:r>
            <w:r w:rsidRPr="001C0357">
              <w:rPr>
                <w:rStyle w:val="FootnoteReference"/>
                <w:rFonts w:eastAsia="Times New Roman"/>
                <w:noProof/>
                <w:sz w:val="18"/>
                <w:szCs w:val="18"/>
              </w:rPr>
              <w:footnoteReference w:id="2"/>
            </w:r>
          </w:p>
        </w:tc>
        <w:tc>
          <w:tcPr>
            <w:tcW w:w="851" w:type="dxa"/>
            <w:shd w:val="clear" w:color="auto" w:fill="F0E7DA"/>
            <w:noWrap/>
            <w:vAlign w:val="center"/>
          </w:tcPr>
          <w:p w14:paraId="76FEAB1D"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-1 423,9</w:t>
            </w:r>
          </w:p>
        </w:tc>
        <w:tc>
          <w:tcPr>
            <w:tcW w:w="850" w:type="dxa"/>
            <w:shd w:val="clear" w:color="auto" w:fill="F0E7DA"/>
            <w:noWrap/>
            <w:vAlign w:val="center"/>
          </w:tcPr>
          <w:p w14:paraId="22F76A41"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-1 330,0</w:t>
            </w:r>
          </w:p>
        </w:tc>
        <w:tc>
          <w:tcPr>
            <w:tcW w:w="851" w:type="dxa"/>
            <w:shd w:val="clear" w:color="auto" w:fill="F0E7DA"/>
            <w:noWrap/>
            <w:vAlign w:val="center"/>
          </w:tcPr>
          <w:p w14:paraId="08B3F6B0"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-733,1</w:t>
            </w:r>
          </w:p>
        </w:tc>
        <w:tc>
          <w:tcPr>
            <w:tcW w:w="1110" w:type="dxa"/>
            <w:shd w:val="clear" w:color="auto" w:fill="F0E7DA"/>
            <w:noWrap/>
            <w:vAlign w:val="center"/>
          </w:tcPr>
          <w:p w14:paraId="7B0B84D1"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-1 727,7</w:t>
            </w:r>
          </w:p>
        </w:tc>
        <w:tc>
          <w:tcPr>
            <w:tcW w:w="860" w:type="dxa"/>
            <w:shd w:val="clear" w:color="auto" w:fill="F0E7DA"/>
            <w:noWrap/>
            <w:vAlign w:val="center"/>
          </w:tcPr>
          <w:p w14:paraId="03F33FB0"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-1 593,7</w:t>
            </w:r>
          </w:p>
        </w:tc>
        <w:tc>
          <w:tcPr>
            <w:tcW w:w="860" w:type="dxa"/>
            <w:shd w:val="clear" w:color="auto" w:fill="F0E7DA"/>
            <w:noWrap/>
            <w:vAlign w:val="center"/>
          </w:tcPr>
          <w:p w14:paraId="25DEFCDC"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-1 954,1</w:t>
            </w:r>
          </w:p>
        </w:tc>
        <w:tc>
          <w:tcPr>
            <w:tcW w:w="879" w:type="dxa"/>
            <w:shd w:val="clear" w:color="auto" w:fill="F0E7DA"/>
            <w:noWrap/>
            <w:vAlign w:val="center"/>
          </w:tcPr>
          <w:p w14:paraId="7697470E"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-1 888,9</w:t>
            </w:r>
          </w:p>
        </w:tc>
        <w:tc>
          <w:tcPr>
            <w:tcW w:w="879" w:type="dxa"/>
            <w:shd w:val="clear" w:color="auto" w:fill="F0E7DA"/>
            <w:vAlign w:val="center"/>
          </w:tcPr>
          <w:p w14:paraId="248DDAB3"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-1 958,2</w:t>
            </w:r>
          </w:p>
        </w:tc>
      </w:tr>
      <w:tr w:rsidR="00B74FFA" w:rsidRPr="001C0357" w14:paraId="5D51D8F6" w14:textId="77777777" w:rsidTr="00AC4FED">
        <w:trPr>
          <w:trHeight w:val="65"/>
          <w:tblHeader/>
          <w:jc w:val="center"/>
        </w:trPr>
        <w:tc>
          <w:tcPr>
            <w:tcW w:w="2972" w:type="dxa"/>
            <w:noWrap/>
            <w:hideMark/>
          </w:tcPr>
          <w:p w14:paraId="6CCB5AD7" w14:textId="77777777" w:rsidR="00B74FFA" w:rsidRPr="001C0357" w:rsidRDefault="00B74FFA" w:rsidP="00AC4FED">
            <w:pPr>
              <w:spacing w:before="0" w:after="0"/>
              <w:ind w:firstLine="0"/>
              <w:contextualSpacing/>
              <w:jc w:val="left"/>
              <w:rPr>
                <w:rFonts w:eastAsia="Times New Roman"/>
                <w:noProof/>
                <w:sz w:val="18"/>
                <w:szCs w:val="18"/>
              </w:rPr>
            </w:pPr>
            <w:r w:rsidRPr="001C0357">
              <w:rPr>
                <w:rFonts w:eastAsia="Times New Roman"/>
                <w:noProof/>
                <w:sz w:val="18"/>
                <w:szCs w:val="18"/>
              </w:rPr>
              <w:t>Ieņēmumi</w:t>
            </w:r>
          </w:p>
        </w:tc>
        <w:tc>
          <w:tcPr>
            <w:tcW w:w="851" w:type="dxa"/>
            <w:noWrap/>
            <w:vAlign w:val="center"/>
          </w:tcPr>
          <w:p w14:paraId="5068D122"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14 294,4</w:t>
            </w:r>
          </w:p>
        </w:tc>
        <w:tc>
          <w:tcPr>
            <w:tcW w:w="850" w:type="dxa"/>
            <w:noWrap/>
            <w:vAlign w:val="center"/>
          </w:tcPr>
          <w:p w14:paraId="602BD5E6"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15 628,0</w:t>
            </w:r>
          </w:p>
        </w:tc>
        <w:tc>
          <w:tcPr>
            <w:tcW w:w="851" w:type="dxa"/>
            <w:noWrap/>
            <w:vAlign w:val="center"/>
          </w:tcPr>
          <w:p w14:paraId="0CB9BC83"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17 145,7</w:t>
            </w:r>
          </w:p>
        </w:tc>
        <w:tc>
          <w:tcPr>
            <w:tcW w:w="1110" w:type="dxa"/>
            <w:noWrap/>
            <w:vAlign w:val="center"/>
          </w:tcPr>
          <w:p w14:paraId="4C81ACE7"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17 896,7</w:t>
            </w:r>
          </w:p>
        </w:tc>
        <w:tc>
          <w:tcPr>
            <w:tcW w:w="860" w:type="dxa"/>
            <w:noWrap/>
            <w:vAlign w:val="center"/>
          </w:tcPr>
          <w:p w14:paraId="25D3066B"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18 972,4</w:t>
            </w:r>
          </w:p>
        </w:tc>
        <w:tc>
          <w:tcPr>
            <w:tcW w:w="860" w:type="dxa"/>
            <w:noWrap/>
            <w:vAlign w:val="center"/>
          </w:tcPr>
          <w:p w14:paraId="2BA9EAF3"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18 914,7</w:t>
            </w:r>
          </w:p>
        </w:tc>
        <w:tc>
          <w:tcPr>
            <w:tcW w:w="879" w:type="dxa"/>
            <w:noWrap/>
            <w:vAlign w:val="center"/>
          </w:tcPr>
          <w:p w14:paraId="30A728F8"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19 105,7</w:t>
            </w:r>
          </w:p>
        </w:tc>
        <w:tc>
          <w:tcPr>
            <w:tcW w:w="879" w:type="dxa"/>
            <w:vAlign w:val="center"/>
          </w:tcPr>
          <w:p w14:paraId="17DB90E1"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19 535,0</w:t>
            </w:r>
          </w:p>
        </w:tc>
      </w:tr>
      <w:tr w:rsidR="00B74FFA" w:rsidRPr="001C0357" w14:paraId="6F09971D" w14:textId="77777777" w:rsidTr="00AC4FED">
        <w:trPr>
          <w:trHeight w:val="65"/>
          <w:tblHeader/>
          <w:jc w:val="center"/>
        </w:trPr>
        <w:tc>
          <w:tcPr>
            <w:tcW w:w="2972" w:type="dxa"/>
            <w:noWrap/>
            <w:hideMark/>
          </w:tcPr>
          <w:p w14:paraId="27FD2B50" w14:textId="77777777" w:rsidR="00B74FFA" w:rsidRPr="001C0357" w:rsidRDefault="00B74FFA" w:rsidP="00AC4FED">
            <w:pPr>
              <w:spacing w:before="0" w:after="0"/>
              <w:ind w:firstLineChars="100" w:firstLine="180"/>
              <w:contextualSpacing/>
              <w:jc w:val="left"/>
              <w:rPr>
                <w:rFonts w:eastAsia="Times New Roman"/>
                <w:noProof/>
                <w:sz w:val="18"/>
                <w:szCs w:val="18"/>
              </w:rPr>
            </w:pPr>
            <w:r w:rsidRPr="001C0357">
              <w:rPr>
                <w:rFonts w:eastAsia="Times New Roman"/>
                <w:noProof/>
                <w:sz w:val="18"/>
                <w:szCs w:val="18"/>
              </w:rPr>
              <w:t>Nodokļu ieņēmumi</w:t>
            </w:r>
          </w:p>
        </w:tc>
        <w:tc>
          <w:tcPr>
            <w:tcW w:w="851" w:type="dxa"/>
            <w:noWrap/>
            <w:vAlign w:val="center"/>
          </w:tcPr>
          <w:p w14:paraId="36735CA7"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11 557,3</w:t>
            </w:r>
          </w:p>
        </w:tc>
        <w:tc>
          <w:tcPr>
            <w:tcW w:w="850" w:type="dxa"/>
            <w:noWrap/>
            <w:vAlign w:val="center"/>
          </w:tcPr>
          <w:p w14:paraId="02B63C2D"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12 600,4</w:t>
            </w:r>
          </w:p>
        </w:tc>
        <w:tc>
          <w:tcPr>
            <w:tcW w:w="851" w:type="dxa"/>
            <w:noWrap/>
            <w:vAlign w:val="center"/>
          </w:tcPr>
          <w:p w14:paraId="242F4518"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13 583,5</w:t>
            </w:r>
          </w:p>
        </w:tc>
        <w:tc>
          <w:tcPr>
            <w:tcW w:w="1110" w:type="dxa"/>
            <w:noWrap/>
            <w:vAlign w:val="center"/>
          </w:tcPr>
          <w:p w14:paraId="447A6CC8"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14 440,8</w:t>
            </w:r>
          </w:p>
        </w:tc>
        <w:tc>
          <w:tcPr>
            <w:tcW w:w="860" w:type="dxa"/>
            <w:noWrap/>
            <w:vAlign w:val="center"/>
          </w:tcPr>
          <w:p w14:paraId="27AC14F1"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15 204,2</w:t>
            </w:r>
          </w:p>
        </w:tc>
        <w:tc>
          <w:tcPr>
            <w:tcW w:w="860" w:type="dxa"/>
            <w:noWrap/>
            <w:vAlign w:val="center"/>
          </w:tcPr>
          <w:p w14:paraId="0FAC24B1"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15 885,1</w:t>
            </w:r>
          </w:p>
        </w:tc>
        <w:tc>
          <w:tcPr>
            <w:tcW w:w="879" w:type="dxa"/>
            <w:noWrap/>
            <w:vAlign w:val="center"/>
          </w:tcPr>
          <w:p w14:paraId="5A08442F"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16 524,8</w:t>
            </w:r>
          </w:p>
        </w:tc>
        <w:tc>
          <w:tcPr>
            <w:tcW w:w="879" w:type="dxa"/>
            <w:vAlign w:val="center"/>
          </w:tcPr>
          <w:p w14:paraId="0A2CAD86"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17 076,8</w:t>
            </w:r>
          </w:p>
        </w:tc>
      </w:tr>
      <w:tr w:rsidR="00B74FFA" w:rsidRPr="001C0357" w14:paraId="06E633EE" w14:textId="77777777" w:rsidTr="00AC4FED">
        <w:trPr>
          <w:trHeight w:val="65"/>
          <w:tblHeader/>
          <w:jc w:val="center"/>
        </w:trPr>
        <w:tc>
          <w:tcPr>
            <w:tcW w:w="2972" w:type="dxa"/>
            <w:noWrap/>
            <w:hideMark/>
          </w:tcPr>
          <w:p w14:paraId="5DF71E88" w14:textId="77777777" w:rsidR="00B74FFA" w:rsidRPr="001C0357" w:rsidRDefault="00B74FFA" w:rsidP="00AC4FED">
            <w:pPr>
              <w:spacing w:before="0" w:after="0"/>
              <w:ind w:firstLineChars="100" w:firstLine="180"/>
              <w:contextualSpacing/>
              <w:jc w:val="left"/>
              <w:rPr>
                <w:rFonts w:eastAsia="Times New Roman"/>
                <w:noProof/>
                <w:sz w:val="18"/>
                <w:szCs w:val="18"/>
              </w:rPr>
            </w:pPr>
            <w:r w:rsidRPr="001C0357">
              <w:rPr>
                <w:rFonts w:eastAsia="Times New Roman"/>
                <w:noProof/>
                <w:sz w:val="18"/>
                <w:szCs w:val="18"/>
              </w:rPr>
              <w:t>Nenodokļu ieņēmumi</w:t>
            </w:r>
          </w:p>
        </w:tc>
        <w:tc>
          <w:tcPr>
            <w:tcW w:w="851" w:type="dxa"/>
            <w:noWrap/>
            <w:vAlign w:val="center"/>
          </w:tcPr>
          <w:p w14:paraId="6C5B2FEE"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845,0</w:t>
            </w:r>
          </w:p>
        </w:tc>
        <w:tc>
          <w:tcPr>
            <w:tcW w:w="850" w:type="dxa"/>
            <w:noWrap/>
            <w:vAlign w:val="center"/>
          </w:tcPr>
          <w:p w14:paraId="014AA637"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1 063,6</w:t>
            </w:r>
          </w:p>
        </w:tc>
        <w:tc>
          <w:tcPr>
            <w:tcW w:w="851" w:type="dxa"/>
            <w:noWrap/>
            <w:vAlign w:val="center"/>
          </w:tcPr>
          <w:p w14:paraId="27D73D0F"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1 220,0</w:t>
            </w:r>
          </w:p>
        </w:tc>
        <w:tc>
          <w:tcPr>
            <w:tcW w:w="1110" w:type="dxa"/>
            <w:noWrap/>
            <w:vAlign w:val="center"/>
          </w:tcPr>
          <w:p w14:paraId="074E4152"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1 074,4</w:t>
            </w:r>
          </w:p>
        </w:tc>
        <w:tc>
          <w:tcPr>
            <w:tcW w:w="860" w:type="dxa"/>
            <w:noWrap/>
            <w:vAlign w:val="center"/>
          </w:tcPr>
          <w:p w14:paraId="602C8FBC"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996,4</w:t>
            </w:r>
          </w:p>
        </w:tc>
        <w:tc>
          <w:tcPr>
            <w:tcW w:w="860" w:type="dxa"/>
            <w:noWrap/>
            <w:vAlign w:val="center"/>
          </w:tcPr>
          <w:p w14:paraId="2893168C"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980,8</w:t>
            </w:r>
          </w:p>
        </w:tc>
        <w:tc>
          <w:tcPr>
            <w:tcW w:w="879" w:type="dxa"/>
            <w:noWrap/>
            <w:vAlign w:val="center"/>
          </w:tcPr>
          <w:p w14:paraId="2DD4C297"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989,4</w:t>
            </w:r>
          </w:p>
        </w:tc>
        <w:tc>
          <w:tcPr>
            <w:tcW w:w="879" w:type="dxa"/>
            <w:vAlign w:val="center"/>
          </w:tcPr>
          <w:p w14:paraId="5639EA81"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967,8</w:t>
            </w:r>
          </w:p>
        </w:tc>
      </w:tr>
      <w:tr w:rsidR="00B74FFA" w:rsidRPr="001C0357" w14:paraId="6E9499BD" w14:textId="77777777" w:rsidTr="00AC4FED">
        <w:trPr>
          <w:trHeight w:val="65"/>
          <w:tblHeader/>
          <w:jc w:val="center"/>
        </w:trPr>
        <w:tc>
          <w:tcPr>
            <w:tcW w:w="2972" w:type="dxa"/>
            <w:noWrap/>
            <w:hideMark/>
          </w:tcPr>
          <w:p w14:paraId="4862D580" w14:textId="77777777" w:rsidR="00B74FFA" w:rsidRPr="001C0357" w:rsidRDefault="00B74FFA" w:rsidP="00AC4FED">
            <w:pPr>
              <w:spacing w:before="0" w:after="0"/>
              <w:ind w:firstLineChars="100" w:firstLine="180"/>
              <w:contextualSpacing/>
              <w:jc w:val="left"/>
              <w:rPr>
                <w:rFonts w:eastAsia="Times New Roman"/>
                <w:noProof/>
                <w:sz w:val="18"/>
                <w:szCs w:val="18"/>
              </w:rPr>
            </w:pPr>
            <w:r w:rsidRPr="001C0357">
              <w:rPr>
                <w:rFonts w:eastAsia="Times New Roman"/>
                <w:noProof/>
                <w:sz w:val="18"/>
                <w:szCs w:val="18"/>
              </w:rPr>
              <w:t>Pašu ieņēmumi</w:t>
            </w:r>
          </w:p>
        </w:tc>
        <w:tc>
          <w:tcPr>
            <w:tcW w:w="851" w:type="dxa"/>
            <w:noWrap/>
            <w:vAlign w:val="center"/>
          </w:tcPr>
          <w:p w14:paraId="12A57781"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424,9</w:t>
            </w:r>
          </w:p>
        </w:tc>
        <w:tc>
          <w:tcPr>
            <w:tcW w:w="850" w:type="dxa"/>
            <w:noWrap/>
            <w:vAlign w:val="center"/>
          </w:tcPr>
          <w:p w14:paraId="70E647D5"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483,8</w:t>
            </w:r>
          </w:p>
        </w:tc>
        <w:tc>
          <w:tcPr>
            <w:tcW w:w="851" w:type="dxa"/>
            <w:noWrap/>
            <w:vAlign w:val="center"/>
          </w:tcPr>
          <w:p w14:paraId="4D5EAA84"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538,6</w:t>
            </w:r>
          </w:p>
        </w:tc>
        <w:tc>
          <w:tcPr>
            <w:tcW w:w="1110" w:type="dxa"/>
            <w:noWrap/>
            <w:vAlign w:val="center"/>
          </w:tcPr>
          <w:p w14:paraId="43C078C6"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558,4</w:t>
            </w:r>
          </w:p>
        </w:tc>
        <w:tc>
          <w:tcPr>
            <w:tcW w:w="860" w:type="dxa"/>
            <w:noWrap/>
            <w:vAlign w:val="center"/>
          </w:tcPr>
          <w:p w14:paraId="49E61035"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529,4</w:t>
            </w:r>
          </w:p>
        </w:tc>
        <w:tc>
          <w:tcPr>
            <w:tcW w:w="860" w:type="dxa"/>
            <w:noWrap/>
            <w:vAlign w:val="center"/>
          </w:tcPr>
          <w:p w14:paraId="1A0897A6"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537,8</w:t>
            </w:r>
          </w:p>
        </w:tc>
        <w:tc>
          <w:tcPr>
            <w:tcW w:w="879" w:type="dxa"/>
            <w:noWrap/>
            <w:vAlign w:val="center"/>
          </w:tcPr>
          <w:p w14:paraId="56AE7F57"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545,9</w:t>
            </w:r>
          </w:p>
        </w:tc>
        <w:tc>
          <w:tcPr>
            <w:tcW w:w="879" w:type="dxa"/>
            <w:vAlign w:val="center"/>
          </w:tcPr>
          <w:p w14:paraId="7F5803BE"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555,4</w:t>
            </w:r>
          </w:p>
        </w:tc>
      </w:tr>
      <w:tr w:rsidR="00B74FFA" w:rsidRPr="001C0357" w14:paraId="18DC733A" w14:textId="77777777" w:rsidTr="00AC4FED">
        <w:trPr>
          <w:trHeight w:val="65"/>
          <w:tblHeader/>
          <w:jc w:val="center"/>
        </w:trPr>
        <w:tc>
          <w:tcPr>
            <w:tcW w:w="2972" w:type="dxa"/>
            <w:noWrap/>
            <w:hideMark/>
          </w:tcPr>
          <w:p w14:paraId="55DAE277" w14:textId="77777777" w:rsidR="00B74FFA" w:rsidRPr="001C0357" w:rsidRDefault="00B74FFA" w:rsidP="00AC4FED">
            <w:pPr>
              <w:spacing w:before="0" w:after="0"/>
              <w:ind w:firstLineChars="100" w:firstLine="180"/>
              <w:contextualSpacing/>
              <w:jc w:val="left"/>
              <w:rPr>
                <w:rFonts w:eastAsia="Times New Roman"/>
                <w:noProof/>
                <w:sz w:val="18"/>
                <w:szCs w:val="18"/>
              </w:rPr>
            </w:pPr>
            <w:r w:rsidRPr="001C0357">
              <w:rPr>
                <w:rFonts w:eastAsia="Times New Roman"/>
                <w:noProof/>
                <w:sz w:val="18"/>
                <w:szCs w:val="18"/>
              </w:rPr>
              <w:t>Ārvalstu finanšu palīdzība</w:t>
            </w:r>
          </w:p>
        </w:tc>
        <w:tc>
          <w:tcPr>
            <w:tcW w:w="851" w:type="dxa"/>
            <w:noWrap/>
            <w:vAlign w:val="center"/>
          </w:tcPr>
          <w:p w14:paraId="492EE458"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1 465,5</w:t>
            </w:r>
          </w:p>
        </w:tc>
        <w:tc>
          <w:tcPr>
            <w:tcW w:w="850" w:type="dxa"/>
            <w:noWrap/>
            <w:vAlign w:val="center"/>
          </w:tcPr>
          <w:p w14:paraId="26FADA23"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1 478,2</w:t>
            </w:r>
          </w:p>
        </w:tc>
        <w:tc>
          <w:tcPr>
            <w:tcW w:w="851" w:type="dxa"/>
            <w:noWrap/>
            <w:vAlign w:val="center"/>
          </w:tcPr>
          <w:p w14:paraId="008F4636"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1 801,5</w:t>
            </w:r>
          </w:p>
        </w:tc>
        <w:tc>
          <w:tcPr>
            <w:tcW w:w="1110" w:type="dxa"/>
            <w:noWrap/>
            <w:vAlign w:val="center"/>
          </w:tcPr>
          <w:p w14:paraId="138542C3"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1 822,0</w:t>
            </w:r>
          </w:p>
        </w:tc>
        <w:tc>
          <w:tcPr>
            <w:tcW w:w="860" w:type="dxa"/>
            <w:noWrap/>
            <w:vAlign w:val="center"/>
          </w:tcPr>
          <w:p w14:paraId="7A5EEEB5"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2 241,5</w:t>
            </w:r>
          </w:p>
        </w:tc>
        <w:tc>
          <w:tcPr>
            <w:tcW w:w="860" w:type="dxa"/>
            <w:noWrap/>
            <w:vAlign w:val="center"/>
          </w:tcPr>
          <w:p w14:paraId="26F8801E"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1 510,1</w:t>
            </w:r>
          </w:p>
        </w:tc>
        <w:tc>
          <w:tcPr>
            <w:tcW w:w="879" w:type="dxa"/>
            <w:noWrap/>
            <w:vAlign w:val="center"/>
          </w:tcPr>
          <w:p w14:paraId="2657BF6A"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1 044,6</w:t>
            </w:r>
          </w:p>
        </w:tc>
        <w:tc>
          <w:tcPr>
            <w:tcW w:w="879" w:type="dxa"/>
            <w:vAlign w:val="center"/>
          </w:tcPr>
          <w:p w14:paraId="0F57080C"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934,0</w:t>
            </w:r>
          </w:p>
        </w:tc>
      </w:tr>
      <w:tr w:rsidR="00B74FFA" w:rsidRPr="001C0357" w14:paraId="3A688B48" w14:textId="77777777" w:rsidTr="00AC4FED">
        <w:trPr>
          <w:trHeight w:val="65"/>
          <w:tblHeader/>
          <w:jc w:val="center"/>
        </w:trPr>
        <w:tc>
          <w:tcPr>
            <w:tcW w:w="2972" w:type="dxa"/>
            <w:noWrap/>
            <w:hideMark/>
          </w:tcPr>
          <w:p w14:paraId="5C3D3AC1" w14:textId="77777777" w:rsidR="00B74FFA" w:rsidRPr="001C0357" w:rsidRDefault="00B74FFA" w:rsidP="00AC4FED">
            <w:pPr>
              <w:spacing w:before="0" w:after="0"/>
              <w:ind w:firstLineChars="100" w:firstLine="180"/>
              <w:contextualSpacing/>
              <w:jc w:val="left"/>
              <w:rPr>
                <w:rFonts w:eastAsia="Times New Roman"/>
                <w:noProof/>
                <w:sz w:val="18"/>
                <w:szCs w:val="18"/>
              </w:rPr>
            </w:pPr>
            <w:r w:rsidRPr="001C0357">
              <w:rPr>
                <w:rFonts w:eastAsia="Times New Roman"/>
                <w:noProof/>
                <w:sz w:val="18"/>
                <w:szCs w:val="18"/>
              </w:rPr>
              <w:t>Pārējie ieņēmumi</w:t>
            </w:r>
          </w:p>
        </w:tc>
        <w:tc>
          <w:tcPr>
            <w:tcW w:w="851" w:type="dxa"/>
            <w:noWrap/>
            <w:vAlign w:val="center"/>
          </w:tcPr>
          <w:p w14:paraId="3403F147"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1,6</w:t>
            </w:r>
          </w:p>
        </w:tc>
        <w:tc>
          <w:tcPr>
            <w:tcW w:w="850" w:type="dxa"/>
            <w:noWrap/>
            <w:vAlign w:val="center"/>
          </w:tcPr>
          <w:p w14:paraId="164C119A"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2,0</w:t>
            </w:r>
          </w:p>
        </w:tc>
        <w:tc>
          <w:tcPr>
            <w:tcW w:w="851" w:type="dxa"/>
            <w:noWrap/>
            <w:vAlign w:val="center"/>
          </w:tcPr>
          <w:p w14:paraId="7F4C0E7E"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2,2</w:t>
            </w:r>
          </w:p>
        </w:tc>
        <w:tc>
          <w:tcPr>
            <w:tcW w:w="1110" w:type="dxa"/>
            <w:noWrap/>
            <w:vAlign w:val="center"/>
          </w:tcPr>
          <w:p w14:paraId="23D4F7E7"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1,0</w:t>
            </w:r>
          </w:p>
        </w:tc>
        <w:tc>
          <w:tcPr>
            <w:tcW w:w="860" w:type="dxa"/>
            <w:noWrap/>
            <w:vAlign w:val="center"/>
          </w:tcPr>
          <w:p w14:paraId="3C3723C6"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1,0</w:t>
            </w:r>
          </w:p>
        </w:tc>
        <w:tc>
          <w:tcPr>
            <w:tcW w:w="860" w:type="dxa"/>
            <w:noWrap/>
            <w:vAlign w:val="center"/>
          </w:tcPr>
          <w:p w14:paraId="2A642804"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1,0</w:t>
            </w:r>
          </w:p>
        </w:tc>
        <w:tc>
          <w:tcPr>
            <w:tcW w:w="879" w:type="dxa"/>
            <w:noWrap/>
            <w:vAlign w:val="center"/>
          </w:tcPr>
          <w:p w14:paraId="5F5FE70F"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1,0</w:t>
            </w:r>
          </w:p>
        </w:tc>
        <w:tc>
          <w:tcPr>
            <w:tcW w:w="879" w:type="dxa"/>
            <w:vAlign w:val="center"/>
          </w:tcPr>
          <w:p w14:paraId="7D3020D5"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1,0</w:t>
            </w:r>
          </w:p>
        </w:tc>
      </w:tr>
      <w:tr w:rsidR="00B74FFA" w:rsidRPr="001C0357" w14:paraId="5BB70D8D" w14:textId="77777777" w:rsidTr="00AC4FED">
        <w:trPr>
          <w:trHeight w:val="65"/>
          <w:tblHeader/>
          <w:jc w:val="center"/>
        </w:trPr>
        <w:tc>
          <w:tcPr>
            <w:tcW w:w="2972" w:type="dxa"/>
            <w:noWrap/>
            <w:hideMark/>
          </w:tcPr>
          <w:p w14:paraId="57B42564" w14:textId="77777777" w:rsidR="00B74FFA" w:rsidRPr="001C0357" w:rsidRDefault="00B74FFA" w:rsidP="00AC4FED">
            <w:pPr>
              <w:spacing w:before="0" w:after="0"/>
              <w:ind w:firstLine="0"/>
              <w:contextualSpacing/>
              <w:jc w:val="left"/>
              <w:rPr>
                <w:rFonts w:eastAsia="Times New Roman"/>
                <w:noProof/>
                <w:sz w:val="18"/>
                <w:szCs w:val="18"/>
              </w:rPr>
            </w:pPr>
            <w:r w:rsidRPr="001C0357">
              <w:rPr>
                <w:rFonts w:eastAsia="Times New Roman"/>
                <w:noProof/>
                <w:sz w:val="18"/>
                <w:szCs w:val="18"/>
              </w:rPr>
              <w:t>Izdevumi</w:t>
            </w:r>
          </w:p>
        </w:tc>
        <w:tc>
          <w:tcPr>
            <w:tcW w:w="851" w:type="dxa"/>
            <w:noWrap/>
            <w:vAlign w:val="center"/>
          </w:tcPr>
          <w:p w14:paraId="350B5E2C"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15 718,3</w:t>
            </w:r>
          </w:p>
        </w:tc>
        <w:tc>
          <w:tcPr>
            <w:tcW w:w="850" w:type="dxa"/>
            <w:noWrap/>
            <w:vAlign w:val="center"/>
          </w:tcPr>
          <w:p w14:paraId="10288698"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16 958,0</w:t>
            </w:r>
          </w:p>
        </w:tc>
        <w:tc>
          <w:tcPr>
            <w:tcW w:w="851" w:type="dxa"/>
            <w:noWrap/>
            <w:vAlign w:val="center"/>
          </w:tcPr>
          <w:p w14:paraId="7DC02911"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17 878,8</w:t>
            </w:r>
          </w:p>
        </w:tc>
        <w:tc>
          <w:tcPr>
            <w:tcW w:w="1110" w:type="dxa"/>
            <w:noWrap/>
            <w:vAlign w:val="center"/>
          </w:tcPr>
          <w:p w14:paraId="4FF465B0"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19 624,4</w:t>
            </w:r>
          </w:p>
        </w:tc>
        <w:tc>
          <w:tcPr>
            <w:tcW w:w="860" w:type="dxa"/>
            <w:noWrap/>
            <w:vAlign w:val="center"/>
          </w:tcPr>
          <w:p w14:paraId="6DEDFC28"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20 566,0</w:t>
            </w:r>
          </w:p>
        </w:tc>
        <w:tc>
          <w:tcPr>
            <w:tcW w:w="860" w:type="dxa"/>
            <w:noWrap/>
            <w:vAlign w:val="center"/>
          </w:tcPr>
          <w:p w14:paraId="5DEF87F6"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20 868,8</w:t>
            </w:r>
          </w:p>
        </w:tc>
        <w:tc>
          <w:tcPr>
            <w:tcW w:w="879" w:type="dxa"/>
            <w:noWrap/>
            <w:vAlign w:val="center"/>
          </w:tcPr>
          <w:p w14:paraId="493FC4E7"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20 994,6</w:t>
            </w:r>
          </w:p>
        </w:tc>
        <w:tc>
          <w:tcPr>
            <w:tcW w:w="879" w:type="dxa"/>
            <w:vAlign w:val="center"/>
          </w:tcPr>
          <w:p w14:paraId="2E71B845"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21 493,3</w:t>
            </w:r>
          </w:p>
        </w:tc>
      </w:tr>
      <w:tr w:rsidR="00B74FFA" w:rsidRPr="001C0357" w14:paraId="5859B85F" w14:textId="77777777" w:rsidTr="00AC4FED">
        <w:trPr>
          <w:trHeight w:val="65"/>
          <w:tblHeader/>
          <w:jc w:val="center"/>
        </w:trPr>
        <w:tc>
          <w:tcPr>
            <w:tcW w:w="2972" w:type="dxa"/>
            <w:noWrap/>
            <w:hideMark/>
          </w:tcPr>
          <w:p w14:paraId="188FB5F0" w14:textId="77777777" w:rsidR="00B74FFA" w:rsidRPr="001C0357" w:rsidRDefault="00B74FFA" w:rsidP="00AC4FED">
            <w:pPr>
              <w:spacing w:before="0" w:after="0"/>
              <w:ind w:firstLine="0"/>
              <w:contextualSpacing/>
              <w:jc w:val="left"/>
              <w:rPr>
                <w:rFonts w:eastAsia="Times New Roman"/>
                <w:noProof/>
                <w:sz w:val="18"/>
                <w:szCs w:val="18"/>
              </w:rPr>
            </w:pPr>
            <w:r w:rsidRPr="001C0357">
              <w:rPr>
                <w:rFonts w:eastAsia="Times New Roman"/>
                <w:noProof/>
                <w:sz w:val="18"/>
                <w:szCs w:val="18"/>
              </w:rPr>
              <w:t xml:space="preserve">    Atlīdzība</w:t>
            </w:r>
          </w:p>
        </w:tc>
        <w:tc>
          <w:tcPr>
            <w:tcW w:w="851" w:type="dxa"/>
            <w:noWrap/>
            <w:vAlign w:val="center"/>
          </w:tcPr>
          <w:p w14:paraId="5C437840"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3 120,1</w:t>
            </w:r>
          </w:p>
        </w:tc>
        <w:tc>
          <w:tcPr>
            <w:tcW w:w="850" w:type="dxa"/>
            <w:noWrap/>
            <w:vAlign w:val="center"/>
          </w:tcPr>
          <w:p w14:paraId="236914B4"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3 601,4</w:t>
            </w:r>
          </w:p>
        </w:tc>
        <w:tc>
          <w:tcPr>
            <w:tcW w:w="851" w:type="dxa"/>
            <w:noWrap/>
            <w:vAlign w:val="center"/>
          </w:tcPr>
          <w:p w14:paraId="114C14FC"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4 083,9</w:t>
            </w:r>
          </w:p>
        </w:tc>
        <w:tc>
          <w:tcPr>
            <w:tcW w:w="1110" w:type="dxa"/>
            <w:noWrap/>
            <w:vAlign w:val="center"/>
          </w:tcPr>
          <w:p w14:paraId="2ECDC7FD"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4 362,7</w:t>
            </w:r>
          </w:p>
        </w:tc>
        <w:tc>
          <w:tcPr>
            <w:tcW w:w="860" w:type="dxa"/>
            <w:noWrap/>
            <w:vAlign w:val="center"/>
          </w:tcPr>
          <w:p w14:paraId="277DF07B"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4 474,1</w:t>
            </w:r>
          </w:p>
        </w:tc>
        <w:tc>
          <w:tcPr>
            <w:tcW w:w="860" w:type="dxa"/>
            <w:noWrap/>
            <w:vAlign w:val="center"/>
          </w:tcPr>
          <w:p w14:paraId="257F61AC"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4 563,9</w:t>
            </w:r>
          </w:p>
        </w:tc>
        <w:tc>
          <w:tcPr>
            <w:tcW w:w="879" w:type="dxa"/>
            <w:noWrap/>
            <w:vAlign w:val="center"/>
          </w:tcPr>
          <w:p w14:paraId="22D2C5CC"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4 667,3</w:t>
            </w:r>
          </w:p>
        </w:tc>
        <w:tc>
          <w:tcPr>
            <w:tcW w:w="879" w:type="dxa"/>
            <w:vAlign w:val="center"/>
          </w:tcPr>
          <w:p w14:paraId="0AFAF370"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4 762,0</w:t>
            </w:r>
          </w:p>
        </w:tc>
      </w:tr>
      <w:tr w:rsidR="00B74FFA" w:rsidRPr="001C0357" w14:paraId="27C32455" w14:textId="77777777" w:rsidTr="00AC4FED">
        <w:trPr>
          <w:trHeight w:val="65"/>
          <w:tblHeader/>
          <w:jc w:val="center"/>
        </w:trPr>
        <w:tc>
          <w:tcPr>
            <w:tcW w:w="2972" w:type="dxa"/>
            <w:noWrap/>
            <w:hideMark/>
          </w:tcPr>
          <w:p w14:paraId="0503068E" w14:textId="77777777" w:rsidR="00B74FFA" w:rsidRPr="001C0357" w:rsidRDefault="00B74FFA" w:rsidP="00AC4FED">
            <w:pPr>
              <w:spacing w:before="0" w:after="0"/>
              <w:ind w:firstLineChars="100" w:firstLine="180"/>
              <w:contextualSpacing/>
              <w:jc w:val="left"/>
              <w:rPr>
                <w:rFonts w:eastAsia="Times New Roman"/>
                <w:noProof/>
                <w:sz w:val="18"/>
                <w:szCs w:val="18"/>
              </w:rPr>
            </w:pPr>
            <w:r w:rsidRPr="001C0357">
              <w:rPr>
                <w:rFonts w:eastAsia="Times New Roman"/>
                <w:noProof/>
                <w:sz w:val="18"/>
                <w:szCs w:val="18"/>
              </w:rPr>
              <w:t>Preces un pakalpojumi</w:t>
            </w:r>
          </w:p>
        </w:tc>
        <w:tc>
          <w:tcPr>
            <w:tcW w:w="851" w:type="dxa"/>
            <w:noWrap/>
            <w:vAlign w:val="center"/>
          </w:tcPr>
          <w:p w14:paraId="601F3A98"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2 309,0</w:t>
            </w:r>
          </w:p>
        </w:tc>
        <w:tc>
          <w:tcPr>
            <w:tcW w:w="850" w:type="dxa"/>
            <w:noWrap/>
            <w:vAlign w:val="center"/>
          </w:tcPr>
          <w:p w14:paraId="2917BE39"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2 312,9</w:t>
            </w:r>
          </w:p>
        </w:tc>
        <w:tc>
          <w:tcPr>
            <w:tcW w:w="851" w:type="dxa"/>
            <w:noWrap/>
            <w:vAlign w:val="center"/>
          </w:tcPr>
          <w:p w14:paraId="0EE964DB"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2 135,9</w:t>
            </w:r>
          </w:p>
        </w:tc>
        <w:tc>
          <w:tcPr>
            <w:tcW w:w="1110" w:type="dxa"/>
            <w:noWrap/>
            <w:vAlign w:val="center"/>
          </w:tcPr>
          <w:p w14:paraId="2ACED85D"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2 447,0</w:t>
            </w:r>
          </w:p>
        </w:tc>
        <w:tc>
          <w:tcPr>
            <w:tcW w:w="860" w:type="dxa"/>
            <w:noWrap/>
            <w:vAlign w:val="center"/>
          </w:tcPr>
          <w:p w14:paraId="5C4F211B"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2 238,4</w:t>
            </w:r>
          </w:p>
        </w:tc>
        <w:tc>
          <w:tcPr>
            <w:tcW w:w="860" w:type="dxa"/>
            <w:noWrap/>
            <w:vAlign w:val="center"/>
          </w:tcPr>
          <w:p w14:paraId="62B5E0EC"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2 310,8</w:t>
            </w:r>
          </w:p>
        </w:tc>
        <w:tc>
          <w:tcPr>
            <w:tcW w:w="879" w:type="dxa"/>
            <w:noWrap/>
            <w:vAlign w:val="center"/>
          </w:tcPr>
          <w:p w14:paraId="7682AEF3"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2 269,0</w:t>
            </w:r>
          </w:p>
        </w:tc>
        <w:tc>
          <w:tcPr>
            <w:tcW w:w="879" w:type="dxa"/>
            <w:vAlign w:val="center"/>
          </w:tcPr>
          <w:p w14:paraId="0E7E8BBA"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2 317,5</w:t>
            </w:r>
          </w:p>
        </w:tc>
      </w:tr>
      <w:tr w:rsidR="00B74FFA" w:rsidRPr="001C0357" w14:paraId="7DD7EB67" w14:textId="77777777" w:rsidTr="00AC4FED">
        <w:trPr>
          <w:trHeight w:val="65"/>
          <w:tblHeader/>
          <w:jc w:val="center"/>
        </w:trPr>
        <w:tc>
          <w:tcPr>
            <w:tcW w:w="2972" w:type="dxa"/>
            <w:noWrap/>
            <w:hideMark/>
          </w:tcPr>
          <w:p w14:paraId="0455887B" w14:textId="77777777" w:rsidR="00B74FFA" w:rsidRPr="001C0357" w:rsidRDefault="00B74FFA" w:rsidP="00AC4FED">
            <w:pPr>
              <w:spacing w:before="0" w:after="0"/>
              <w:ind w:firstLineChars="100" w:firstLine="180"/>
              <w:contextualSpacing/>
              <w:jc w:val="left"/>
              <w:rPr>
                <w:rFonts w:eastAsia="Times New Roman"/>
                <w:noProof/>
                <w:sz w:val="18"/>
                <w:szCs w:val="18"/>
              </w:rPr>
            </w:pPr>
            <w:r w:rsidRPr="001C0357">
              <w:rPr>
                <w:rFonts w:eastAsia="Times New Roman"/>
                <w:noProof/>
                <w:sz w:val="18"/>
                <w:szCs w:val="18"/>
              </w:rPr>
              <w:t>Procentu izdevumi</w:t>
            </w:r>
          </w:p>
        </w:tc>
        <w:tc>
          <w:tcPr>
            <w:tcW w:w="851" w:type="dxa"/>
            <w:noWrap/>
            <w:vAlign w:val="center"/>
          </w:tcPr>
          <w:p w14:paraId="6061819E"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196,5</w:t>
            </w:r>
          </w:p>
        </w:tc>
        <w:tc>
          <w:tcPr>
            <w:tcW w:w="850" w:type="dxa"/>
            <w:noWrap/>
            <w:vAlign w:val="center"/>
          </w:tcPr>
          <w:p w14:paraId="17B66750"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228,9</w:t>
            </w:r>
          </w:p>
        </w:tc>
        <w:tc>
          <w:tcPr>
            <w:tcW w:w="851" w:type="dxa"/>
            <w:noWrap/>
            <w:vAlign w:val="center"/>
          </w:tcPr>
          <w:p w14:paraId="4BA62487"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372,0</w:t>
            </w:r>
          </w:p>
        </w:tc>
        <w:tc>
          <w:tcPr>
            <w:tcW w:w="1110" w:type="dxa"/>
            <w:noWrap/>
            <w:vAlign w:val="center"/>
          </w:tcPr>
          <w:p w14:paraId="3FD43F49"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435,9</w:t>
            </w:r>
          </w:p>
        </w:tc>
        <w:tc>
          <w:tcPr>
            <w:tcW w:w="860" w:type="dxa"/>
            <w:noWrap/>
            <w:vAlign w:val="center"/>
          </w:tcPr>
          <w:p w14:paraId="4C8CB11B"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589,0</w:t>
            </w:r>
          </w:p>
        </w:tc>
        <w:tc>
          <w:tcPr>
            <w:tcW w:w="860" w:type="dxa"/>
            <w:noWrap/>
            <w:vAlign w:val="center"/>
          </w:tcPr>
          <w:p w14:paraId="4C732DA1"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658,8</w:t>
            </w:r>
          </w:p>
        </w:tc>
        <w:tc>
          <w:tcPr>
            <w:tcW w:w="879" w:type="dxa"/>
            <w:noWrap/>
            <w:vAlign w:val="center"/>
          </w:tcPr>
          <w:p w14:paraId="79AA44A3"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750,9</w:t>
            </w:r>
          </w:p>
        </w:tc>
        <w:tc>
          <w:tcPr>
            <w:tcW w:w="879" w:type="dxa"/>
            <w:vAlign w:val="center"/>
          </w:tcPr>
          <w:p w14:paraId="1418288A"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849,3</w:t>
            </w:r>
          </w:p>
        </w:tc>
      </w:tr>
      <w:tr w:rsidR="00B74FFA" w:rsidRPr="001C0357" w14:paraId="031B5391" w14:textId="77777777" w:rsidTr="00AC4FED">
        <w:trPr>
          <w:trHeight w:val="65"/>
          <w:tblHeader/>
          <w:jc w:val="center"/>
        </w:trPr>
        <w:tc>
          <w:tcPr>
            <w:tcW w:w="2972" w:type="dxa"/>
            <w:noWrap/>
            <w:hideMark/>
          </w:tcPr>
          <w:p w14:paraId="5F6ED43D" w14:textId="77777777" w:rsidR="00B74FFA" w:rsidRPr="001C0357" w:rsidRDefault="00B74FFA" w:rsidP="00AC4FED">
            <w:pPr>
              <w:spacing w:before="0" w:after="0"/>
              <w:ind w:firstLineChars="100" w:firstLine="180"/>
              <w:contextualSpacing/>
              <w:jc w:val="left"/>
              <w:rPr>
                <w:rFonts w:eastAsia="Times New Roman"/>
                <w:noProof/>
                <w:sz w:val="18"/>
                <w:szCs w:val="18"/>
              </w:rPr>
            </w:pPr>
            <w:r w:rsidRPr="001C0357">
              <w:rPr>
                <w:rFonts w:eastAsia="Times New Roman"/>
                <w:noProof/>
                <w:sz w:val="18"/>
                <w:szCs w:val="18"/>
              </w:rPr>
              <w:t>Subsīdijas un dotācijas</w:t>
            </w:r>
          </w:p>
        </w:tc>
        <w:tc>
          <w:tcPr>
            <w:tcW w:w="851" w:type="dxa"/>
            <w:noWrap/>
            <w:vAlign w:val="center"/>
          </w:tcPr>
          <w:p w14:paraId="39D111E2"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3 840,8</w:t>
            </w:r>
          </w:p>
        </w:tc>
        <w:tc>
          <w:tcPr>
            <w:tcW w:w="850" w:type="dxa"/>
            <w:noWrap/>
            <w:vAlign w:val="center"/>
          </w:tcPr>
          <w:p w14:paraId="24A7F042"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4 036,1</w:t>
            </w:r>
          </w:p>
        </w:tc>
        <w:tc>
          <w:tcPr>
            <w:tcW w:w="851" w:type="dxa"/>
            <w:noWrap/>
            <w:vAlign w:val="center"/>
          </w:tcPr>
          <w:p w14:paraId="59B8CFB1"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4 050,2</w:t>
            </w:r>
          </w:p>
        </w:tc>
        <w:tc>
          <w:tcPr>
            <w:tcW w:w="1110" w:type="dxa"/>
            <w:noWrap/>
            <w:vAlign w:val="center"/>
          </w:tcPr>
          <w:p w14:paraId="2204B097"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4 088,7</w:t>
            </w:r>
          </w:p>
        </w:tc>
        <w:tc>
          <w:tcPr>
            <w:tcW w:w="860" w:type="dxa"/>
            <w:noWrap/>
            <w:vAlign w:val="center"/>
          </w:tcPr>
          <w:p w14:paraId="28F74AED"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5 073,4</w:t>
            </w:r>
          </w:p>
        </w:tc>
        <w:tc>
          <w:tcPr>
            <w:tcW w:w="860" w:type="dxa"/>
            <w:noWrap/>
            <w:vAlign w:val="center"/>
          </w:tcPr>
          <w:p w14:paraId="3202372C"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4 820,3</w:t>
            </w:r>
          </w:p>
        </w:tc>
        <w:tc>
          <w:tcPr>
            <w:tcW w:w="879" w:type="dxa"/>
            <w:noWrap/>
            <w:vAlign w:val="center"/>
          </w:tcPr>
          <w:p w14:paraId="1A0B5AFE"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4 379,9</w:t>
            </w:r>
          </w:p>
        </w:tc>
        <w:tc>
          <w:tcPr>
            <w:tcW w:w="879" w:type="dxa"/>
            <w:vAlign w:val="center"/>
          </w:tcPr>
          <w:p w14:paraId="40AE8B1B"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4 396,8</w:t>
            </w:r>
          </w:p>
        </w:tc>
      </w:tr>
      <w:tr w:rsidR="00B74FFA" w:rsidRPr="001C0357" w14:paraId="2A0A3EEB" w14:textId="77777777" w:rsidTr="00AC4FED">
        <w:trPr>
          <w:trHeight w:val="65"/>
          <w:tblHeader/>
          <w:jc w:val="center"/>
        </w:trPr>
        <w:tc>
          <w:tcPr>
            <w:tcW w:w="2972" w:type="dxa"/>
            <w:noWrap/>
            <w:hideMark/>
          </w:tcPr>
          <w:p w14:paraId="4A61A376" w14:textId="77777777" w:rsidR="00B74FFA" w:rsidRPr="001C0357" w:rsidRDefault="00B74FFA" w:rsidP="00AC4FED">
            <w:pPr>
              <w:spacing w:before="0" w:after="0"/>
              <w:ind w:firstLineChars="100" w:firstLine="180"/>
              <w:contextualSpacing/>
              <w:jc w:val="left"/>
              <w:rPr>
                <w:rFonts w:eastAsia="Times New Roman"/>
                <w:noProof/>
                <w:sz w:val="18"/>
                <w:szCs w:val="18"/>
              </w:rPr>
            </w:pPr>
            <w:r w:rsidRPr="001C0357">
              <w:rPr>
                <w:rFonts w:eastAsia="Times New Roman"/>
                <w:noProof/>
                <w:sz w:val="18"/>
                <w:szCs w:val="18"/>
              </w:rPr>
              <w:t>Sociālie pabalsti</w:t>
            </w:r>
          </w:p>
        </w:tc>
        <w:tc>
          <w:tcPr>
            <w:tcW w:w="851" w:type="dxa"/>
            <w:noWrap/>
            <w:vAlign w:val="center"/>
          </w:tcPr>
          <w:p w14:paraId="1EC8D225"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4 521,8</w:t>
            </w:r>
          </w:p>
        </w:tc>
        <w:tc>
          <w:tcPr>
            <w:tcW w:w="850" w:type="dxa"/>
            <w:noWrap/>
            <w:vAlign w:val="center"/>
          </w:tcPr>
          <w:p w14:paraId="19328B9E"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4 829,5</w:t>
            </w:r>
          </w:p>
        </w:tc>
        <w:tc>
          <w:tcPr>
            <w:tcW w:w="851" w:type="dxa"/>
            <w:noWrap/>
            <w:vAlign w:val="center"/>
          </w:tcPr>
          <w:p w14:paraId="4322EC63"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5 207,3</w:t>
            </w:r>
          </w:p>
        </w:tc>
        <w:tc>
          <w:tcPr>
            <w:tcW w:w="1110" w:type="dxa"/>
            <w:noWrap/>
            <w:vAlign w:val="center"/>
          </w:tcPr>
          <w:p w14:paraId="2DD37073"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5 670,9</w:t>
            </w:r>
          </w:p>
        </w:tc>
        <w:tc>
          <w:tcPr>
            <w:tcW w:w="860" w:type="dxa"/>
            <w:noWrap/>
            <w:vAlign w:val="center"/>
          </w:tcPr>
          <w:p w14:paraId="238DC77E"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5 982,9</w:t>
            </w:r>
          </w:p>
        </w:tc>
        <w:tc>
          <w:tcPr>
            <w:tcW w:w="860" w:type="dxa"/>
            <w:noWrap/>
            <w:vAlign w:val="center"/>
          </w:tcPr>
          <w:p w14:paraId="112AECD7"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6 421,0</w:t>
            </w:r>
          </w:p>
        </w:tc>
        <w:tc>
          <w:tcPr>
            <w:tcW w:w="879" w:type="dxa"/>
            <w:noWrap/>
            <w:vAlign w:val="center"/>
          </w:tcPr>
          <w:p w14:paraId="36CCB332"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6 818,2</w:t>
            </w:r>
          </w:p>
        </w:tc>
        <w:tc>
          <w:tcPr>
            <w:tcW w:w="879" w:type="dxa"/>
            <w:vAlign w:val="center"/>
          </w:tcPr>
          <w:p w14:paraId="66035CC1"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7 217,6</w:t>
            </w:r>
          </w:p>
        </w:tc>
      </w:tr>
      <w:tr w:rsidR="00B74FFA" w:rsidRPr="001C0357" w14:paraId="1E4A8D0A" w14:textId="77777777" w:rsidTr="00AC4FED">
        <w:trPr>
          <w:trHeight w:val="65"/>
          <w:tblHeader/>
          <w:jc w:val="center"/>
        </w:trPr>
        <w:tc>
          <w:tcPr>
            <w:tcW w:w="2972" w:type="dxa"/>
            <w:noWrap/>
            <w:hideMark/>
          </w:tcPr>
          <w:p w14:paraId="661C78F0" w14:textId="77777777" w:rsidR="00B74FFA" w:rsidRPr="001C0357" w:rsidRDefault="00B74FFA" w:rsidP="00AC4FED">
            <w:pPr>
              <w:spacing w:before="0" w:after="0"/>
              <w:ind w:firstLineChars="100" w:firstLine="180"/>
              <w:contextualSpacing/>
              <w:jc w:val="left"/>
              <w:rPr>
                <w:rFonts w:eastAsia="Times New Roman"/>
                <w:noProof/>
                <w:sz w:val="18"/>
                <w:szCs w:val="18"/>
              </w:rPr>
            </w:pPr>
            <w:r w:rsidRPr="001C0357">
              <w:rPr>
                <w:rFonts w:eastAsia="Times New Roman"/>
                <w:noProof/>
                <w:sz w:val="18"/>
                <w:szCs w:val="18"/>
              </w:rPr>
              <w:t>Iemaksas ES budžetā</w:t>
            </w:r>
          </w:p>
        </w:tc>
        <w:tc>
          <w:tcPr>
            <w:tcW w:w="851" w:type="dxa"/>
            <w:noWrap/>
            <w:vAlign w:val="center"/>
          </w:tcPr>
          <w:p w14:paraId="6D587889"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391,9</w:t>
            </w:r>
          </w:p>
        </w:tc>
        <w:tc>
          <w:tcPr>
            <w:tcW w:w="850" w:type="dxa"/>
            <w:noWrap/>
            <w:vAlign w:val="center"/>
          </w:tcPr>
          <w:p w14:paraId="76150871"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385,0</w:t>
            </w:r>
          </w:p>
        </w:tc>
        <w:tc>
          <w:tcPr>
            <w:tcW w:w="851" w:type="dxa"/>
            <w:noWrap/>
            <w:vAlign w:val="center"/>
          </w:tcPr>
          <w:p w14:paraId="1FF1CDD0"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360,9</w:t>
            </w:r>
          </w:p>
        </w:tc>
        <w:tc>
          <w:tcPr>
            <w:tcW w:w="1110" w:type="dxa"/>
            <w:noWrap/>
            <w:vAlign w:val="center"/>
          </w:tcPr>
          <w:p w14:paraId="1A717AA8"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379,6</w:t>
            </w:r>
          </w:p>
        </w:tc>
        <w:tc>
          <w:tcPr>
            <w:tcW w:w="860" w:type="dxa"/>
            <w:noWrap/>
            <w:vAlign w:val="center"/>
          </w:tcPr>
          <w:p w14:paraId="0E7B4D8F"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365,3</w:t>
            </w:r>
          </w:p>
        </w:tc>
        <w:tc>
          <w:tcPr>
            <w:tcW w:w="860" w:type="dxa"/>
            <w:noWrap/>
            <w:vAlign w:val="center"/>
          </w:tcPr>
          <w:p w14:paraId="2B5B2837"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466,9</w:t>
            </w:r>
          </w:p>
        </w:tc>
        <w:tc>
          <w:tcPr>
            <w:tcW w:w="879" w:type="dxa"/>
            <w:noWrap/>
            <w:vAlign w:val="center"/>
          </w:tcPr>
          <w:p w14:paraId="63228179"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549,7</w:t>
            </w:r>
          </w:p>
        </w:tc>
        <w:tc>
          <w:tcPr>
            <w:tcW w:w="879" w:type="dxa"/>
            <w:vAlign w:val="center"/>
          </w:tcPr>
          <w:p w14:paraId="3DCDE157"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593,2</w:t>
            </w:r>
          </w:p>
        </w:tc>
      </w:tr>
      <w:tr w:rsidR="00B74FFA" w:rsidRPr="001C0357" w14:paraId="2D274D4D" w14:textId="77777777" w:rsidTr="00AC4FED">
        <w:trPr>
          <w:trHeight w:val="65"/>
          <w:tblHeader/>
          <w:jc w:val="center"/>
        </w:trPr>
        <w:tc>
          <w:tcPr>
            <w:tcW w:w="2972" w:type="dxa"/>
            <w:noWrap/>
            <w:hideMark/>
          </w:tcPr>
          <w:p w14:paraId="2D118895" w14:textId="77777777" w:rsidR="00B74FFA" w:rsidRPr="001C0357" w:rsidRDefault="00B74FFA" w:rsidP="00AC4FED">
            <w:pPr>
              <w:spacing w:before="0" w:after="0"/>
              <w:ind w:firstLineChars="100" w:firstLine="180"/>
              <w:contextualSpacing/>
              <w:jc w:val="left"/>
              <w:rPr>
                <w:rFonts w:eastAsia="Times New Roman"/>
                <w:noProof/>
                <w:sz w:val="18"/>
                <w:szCs w:val="18"/>
              </w:rPr>
            </w:pPr>
            <w:r w:rsidRPr="001C0357">
              <w:rPr>
                <w:rFonts w:eastAsia="Times New Roman"/>
                <w:noProof/>
                <w:sz w:val="18"/>
                <w:szCs w:val="18"/>
              </w:rPr>
              <w:t>Kapitālie izdevumi</w:t>
            </w:r>
          </w:p>
        </w:tc>
        <w:tc>
          <w:tcPr>
            <w:tcW w:w="851" w:type="dxa"/>
            <w:noWrap/>
            <w:vAlign w:val="center"/>
          </w:tcPr>
          <w:p w14:paraId="14B18EB4"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1 280,3</w:t>
            </w:r>
          </w:p>
        </w:tc>
        <w:tc>
          <w:tcPr>
            <w:tcW w:w="850" w:type="dxa"/>
            <w:noWrap/>
            <w:vAlign w:val="center"/>
          </w:tcPr>
          <w:p w14:paraId="7ABC494F"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1 457,5</w:t>
            </w:r>
          </w:p>
        </w:tc>
        <w:tc>
          <w:tcPr>
            <w:tcW w:w="851" w:type="dxa"/>
            <w:noWrap/>
            <w:vAlign w:val="center"/>
          </w:tcPr>
          <w:p w14:paraId="24554533"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1 549,9</w:t>
            </w:r>
          </w:p>
        </w:tc>
        <w:tc>
          <w:tcPr>
            <w:tcW w:w="1110" w:type="dxa"/>
            <w:noWrap/>
            <w:vAlign w:val="center"/>
          </w:tcPr>
          <w:p w14:paraId="764C85C6"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2 144,6</w:t>
            </w:r>
          </w:p>
        </w:tc>
        <w:tc>
          <w:tcPr>
            <w:tcW w:w="860" w:type="dxa"/>
            <w:noWrap/>
            <w:vAlign w:val="center"/>
          </w:tcPr>
          <w:p w14:paraId="70B4EB5F"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1 765,3</w:t>
            </w:r>
          </w:p>
        </w:tc>
        <w:tc>
          <w:tcPr>
            <w:tcW w:w="860" w:type="dxa"/>
            <w:noWrap/>
            <w:vAlign w:val="center"/>
          </w:tcPr>
          <w:p w14:paraId="67B691D2"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1 557,0</w:t>
            </w:r>
          </w:p>
        </w:tc>
        <w:tc>
          <w:tcPr>
            <w:tcW w:w="879" w:type="dxa"/>
            <w:noWrap/>
            <w:vAlign w:val="center"/>
          </w:tcPr>
          <w:p w14:paraId="62051E4C"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1 493,0</w:t>
            </w:r>
          </w:p>
        </w:tc>
        <w:tc>
          <w:tcPr>
            <w:tcW w:w="879" w:type="dxa"/>
            <w:vAlign w:val="center"/>
          </w:tcPr>
          <w:p w14:paraId="796830DB"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1 293,4</w:t>
            </w:r>
          </w:p>
        </w:tc>
      </w:tr>
      <w:tr w:rsidR="00B74FFA" w:rsidRPr="001C0357" w14:paraId="49C85443" w14:textId="77777777" w:rsidTr="00AC4FED">
        <w:trPr>
          <w:trHeight w:val="65"/>
          <w:tblHeader/>
          <w:jc w:val="center"/>
        </w:trPr>
        <w:tc>
          <w:tcPr>
            <w:tcW w:w="2972" w:type="dxa"/>
            <w:noWrap/>
            <w:hideMark/>
          </w:tcPr>
          <w:p w14:paraId="57CD53AB" w14:textId="77777777" w:rsidR="00B74FFA" w:rsidRPr="001C0357" w:rsidRDefault="00B74FFA" w:rsidP="00AC4FED">
            <w:pPr>
              <w:spacing w:before="0" w:after="0"/>
              <w:ind w:firstLineChars="100" w:firstLine="180"/>
              <w:contextualSpacing/>
              <w:jc w:val="left"/>
              <w:rPr>
                <w:rFonts w:eastAsia="Times New Roman"/>
                <w:noProof/>
                <w:sz w:val="18"/>
                <w:szCs w:val="18"/>
              </w:rPr>
            </w:pPr>
            <w:r w:rsidRPr="001C0357">
              <w:rPr>
                <w:rFonts w:eastAsia="Times New Roman"/>
                <w:noProof/>
                <w:sz w:val="18"/>
                <w:szCs w:val="18"/>
              </w:rPr>
              <w:t>Pārējie izdevumi</w:t>
            </w:r>
          </w:p>
        </w:tc>
        <w:tc>
          <w:tcPr>
            <w:tcW w:w="851" w:type="dxa"/>
            <w:noWrap/>
            <w:vAlign w:val="center"/>
          </w:tcPr>
          <w:p w14:paraId="7B0FB902"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57,8</w:t>
            </w:r>
          </w:p>
        </w:tc>
        <w:tc>
          <w:tcPr>
            <w:tcW w:w="850" w:type="dxa"/>
            <w:noWrap/>
            <w:vAlign w:val="center"/>
          </w:tcPr>
          <w:p w14:paraId="25398587"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106,6</w:t>
            </w:r>
          </w:p>
        </w:tc>
        <w:tc>
          <w:tcPr>
            <w:tcW w:w="851" w:type="dxa"/>
            <w:noWrap/>
            <w:vAlign w:val="center"/>
          </w:tcPr>
          <w:p w14:paraId="2AC45300"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118,7</w:t>
            </w:r>
          </w:p>
        </w:tc>
        <w:tc>
          <w:tcPr>
            <w:tcW w:w="1110" w:type="dxa"/>
            <w:noWrap/>
            <w:vAlign w:val="center"/>
          </w:tcPr>
          <w:p w14:paraId="48B1015D"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95,1</w:t>
            </w:r>
          </w:p>
        </w:tc>
        <w:tc>
          <w:tcPr>
            <w:tcW w:w="860" w:type="dxa"/>
            <w:noWrap/>
            <w:vAlign w:val="center"/>
          </w:tcPr>
          <w:p w14:paraId="498E28DF"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77,5</w:t>
            </w:r>
          </w:p>
        </w:tc>
        <w:tc>
          <w:tcPr>
            <w:tcW w:w="860" w:type="dxa"/>
            <w:noWrap/>
            <w:vAlign w:val="center"/>
          </w:tcPr>
          <w:p w14:paraId="6DC2D5EA"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70,0</w:t>
            </w:r>
          </w:p>
        </w:tc>
        <w:tc>
          <w:tcPr>
            <w:tcW w:w="879" w:type="dxa"/>
            <w:noWrap/>
            <w:vAlign w:val="center"/>
          </w:tcPr>
          <w:p w14:paraId="66956937"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66,6</w:t>
            </w:r>
          </w:p>
        </w:tc>
        <w:tc>
          <w:tcPr>
            <w:tcW w:w="879" w:type="dxa"/>
            <w:vAlign w:val="center"/>
          </w:tcPr>
          <w:p w14:paraId="0CF262E3"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63,5</w:t>
            </w:r>
          </w:p>
        </w:tc>
      </w:tr>
      <w:tr w:rsidR="00B74FFA" w:rsidRPr="001C0357" w14:paraId="6913075B" w14:textId="77777777" w:rsidTr="00AC4FED">
        <w:trPr>
          <w:trHeight w:val="321"/>
          <w:tblHeader/>
          <w:jc w:val="center"/>
        </w:trPr>
        <w:tc>
          <w:tcPr>
            <w:tcW w:w="2972" w:type="dxa"/>
            <w:shd w:val="clear" w:color="auto" w:fill="F0E7DA"/>
            <w:noWrap/>
            <w:hideMark/>
          </w:tcPr>
          <w:p w14:paraId="25557837" w14:textId="77777777" w:rsidR="00B74FFA" w:rsidRPr="001C0357" w:rsidRDefault="00B74FFA" w:rsidP="00AC4FED">
            <w:pPr>
              <w:spacing w:before="0" w:after="0"/>
              <w:ind w:firstLine="0"/>
              <w:contextualSpacing/>
              <w:jc w:val="left"/>
              <w:rPr>
                <w:rFonts w:eastAsia="Times New Roman"/>
                <w:b/>
                <w:bCs/>
                <w:noProof/>
                <w:sz w:val="18"/>
                <w:szCs w:val="18"/>
              </w:rPr>
            </w:pPr>
            <w:r w:rsidRPr="001C0357">
              <w:rPr>
                <w:rFonts w:eastAsia="Times New Roman"/>
                <w:b/>
                <w:bCs/>
                <w:noProof/>
                <w:sz w:val="18"/>
                <w:szCs w:val="18"/>
              </w:rPr>
              <w:t>VALSTS BUDŽETA BILANCE (ieskaitot atvasinātās publ  pers.)</w:t>
            </w:r>
          </w:p>
        </w:tc>
        <w:tc>
          <w:tcPr>
            <w:tcW w:w="851" w:type="dxa"/>
            <w:shd w:val="clear" w:color="auto" w:fill="F0E7DA"/>
            <w:noWrap/>
            <w:vAlign w:val="center"/>
          </w:tcPr>
          <w:p w14:paraId="5AF1A2B5"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-1 486,8</w:t>
            </w:r>
          </w:p>
        </w:tc>
        <w:tc>
          <w:tcPr>
            <w:tcW w:w="850" w:type="dxa"/>
            <w:shd w:val="clear" w:color="auto" w:fill="F0E7DA"/>
            <w:noWrap/>
            <w:vAlign w:val="center"/>
          </w:tcPr>
          <w:p w14:paraId="02FBD399"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-1 174,0</w:t>
            </w:r>
          </w:p>
        </w:tc>
        <w:tc>
          <w:tcPr>
            <w:tcW w:w="851" w:type="dxa"/>
            <w:shd w:val="clear" w:color="auto" w:fill="F0E7DA"/>
            <w:noWrap/>
            <w:vAlign w:val="center"/>
          </w:tcPr>
          <w:p w14:paraId="11F13FE5"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-684,8</w:t>
            </w:r>
          </w:p>
        </w:tc>
        <w:tc>
          <w:tcPr>
            <w:tcW w:w="1110" w:type="dxa"/>
            <w:shd w:val="clear" w:color="auto" w:fill="F0E7DA"/>
            <w:noWrap/>
            <w:vAlign w:val="center"/>
          </w:tcPr>
          <w:p w14:paraId="6F2CE738"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-1 756,5</w:t>
            </w:r>
          </w:p>
        </w:tc>
        <w:tc>
          <w:tcPr>
            <w:tcW w:w="860" w:type="dxa"/>
            <w:shd w:val="clear" w:color="auto" w:fill="F0E7DA"/>
            <w:noWrap/>
            <w:vAlign w:val="center"/>
          </w:tcPr>
          <w:p w14:paraId="28AF3493"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-1 659,3</w:t>
            </w:r>
          </w:p>
        </w:tc>
        <w:tc>
          <w:tcPr>
            <w:tcW w:w="860" w:type="dxa"/>
            <w:shd w:val="clear" w:color="auto" w:fill="F0E7DA"/>
            <w:noWrap/>
            <w:vAlign w:val="center"/>
          </w:tcPr>
          <w:p w14:paraId="6480AE29"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-2 022,7</w:t>
            </w:r>
          </w:p>
        </w:tc>
        <w:tc>
          <w:tcPr>
            <w:tcW w:w="879" w:type="dxa"/>
            <w:shd w:val="clear" w:color="auto" w:fill="F0E7DA"/>
            <w:noWrap/>
            <w:vAlign w:val="center"/>
          </w:tcPr>
          <w:p w14:paraId="37A65507"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-1 963,8</w:t>
            </w:r>
          </w:p>
        </w:tc>
        <w:tc>
          <w:tcPr>
            <w:tcW w:w="879" w:type="dxa"/>
            <w:shd w:val="clear" w:color="auto" w:fill="F0E7DA"/>
            <w:vAlign w:val="center"/>
          </w:tcPr>
          <w:p w14:paraId="0318CA3C"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-2 058,0</w:t>
            </w:r>
          </w:p>
        </w:tc>
      </w:tr>
      <w:tr w:rsidR="00B74FFA" w:rsidRPr="001C0357" w14:paraId="71AC2FD7" w14:textId="77777777" w:rsidTr="00AC4FED">
        <w:trPr>
          <w:trHeight w:val="65"/>
          <w:tblHeader/>
          <w:jc w:val="center"/>
        </w:trPr>
        <w:tc>
          <w:tcPr>
            <w:tcW w:w="2972" w:type="dxa"/>
            <w:noWrap/>
            <w:hideMark/>
          </w:tcPr>
          <w:p w14:paraId="1A0E2AAB" w14:textId="77777777" w:rsidR="00B74FFA" w:rsidRPr="001C0357" w:rsidRDefault="00B74FFA" w:rsidP="00AC4FED">
            <w:pPr>
              <w:spacing w:before="0" w:after="0"/>
              <w:ind w:firstLine="0"/>
              <w:contextualSpacing/>
              <w:jc w:val="left"/>
              <w:rPr>
                <w:rFonts w:eastAsia="Times New Roman"/>
                <w:noProof/>
                <w:sz w:val="18"/>
                <w:szCs w:val="18"/>
              </w:rPr>
            </w:pPr>
            <w:r w:rsidRPr="001C0357">
              <w:rPr>
                <w:rFonts w:eastAsia="Times New Roman"/>
                <w:noProof/>
                <w:sz w:val="18"/>
                <w:szCs w:val="18"/>
              </w:rPr>
              <w:t>Ieņēmumi</w:t>
            </w:r>
          </w:p>
        </w:tc>
        <w:tc>
          <w:tcPr>
            <w:tcW w:w="851" w:type="dxa"/>
            <w:noWrap/>
            <w:vAlign w:val="center"/>
          </w:tcPr>
          <w:p w14:paraId="2C87AF39"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12 134,8</w:t>
            </w:r>
          </w:p>
        </w:tc>
        <w:tc>
          <w:tcPr>
            <w:tcW w:w="850" w:type="dxa"/>
            <w:noWrap/>
            <w:vAlign w:val="center"/>
          </w:tcPr>
          <w:p w14:paraId="6C59F406"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13 306,8</w:t>
            </w:r>
          </w:p>
        </w:tc>
        <w:tc>
          <w:tcPr>
            <w:tcW w:w="851" w:type="dxa"/>
            <w:noWrap/>
            <w:vAlign w:val="center"/>
          </w:tcPr>
          <w:p w14:paraId="51F36D9C"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14 575,3</w:t>
            </w:r>
          </w:p>
        </w:tc>
        <w:tc>
          <w:tcPr>
            <w:tcW w:w="1110" w:type="dxa"/>
            <w:noWrap/>
            <w:vAlign w:val="center"/>
          </w:tcPr>
          <w:p w14:paraId="02C0D503"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15 213,8</w:t>
            </w:r>
          </w:p>
        </w:tc>
        <w:tc>
          <w:tcPr>
            <w:tcW w:w="860" w:type="dxa"/>
            <w:noWrap/>
            <w:vAlign w:val="center"/>
          </w:tcPr>
          <w:p w14:paraId="3AB897AD"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16 174,4</w:t>
            </w:r>
          </w:p>
        </w:tc>
        <w:tc>
          <w:tcPr>
            <w:tcW w:w="860" w:type="dxa"/>
            <w:noWrap/>
            <w:vAlign w:val="center"/>
          </w:tcPr>
          <w:p w14:paraId="569F9B8B"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16 002,1</w:t>
            </w:r>
          </w:p>
        </w:tc>
        <w:tc>
          <w:tcPr>
            <w:tcW w:w="879" w:type="dxa"/>
            <w:noWrap/>
            <w:vAlign w:val="center"/>
          </w:tcPr>
          <w:p w14:paraId="441F1038"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16 058,6</w:t>
            </w:r>
          </w:p>
        </w:tc>
        <w:tc>
          <w:tcPr>
            <w:tcW w:w="879" w:type="dxa"/>
            <w:vAlign w:val="center"/>
          </w:tcPr>
          <w:p w14:paraId="76BDFD52"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16 342,5</w:t>
            </w:r>
          </w:p>
        </w:tc>
      </w:tr>
      <w:tr w:rsidR="00B74FFA" w:rsidRPr="001C0357" w14:paraId="625713F4" w14:textId="77777777" w:rsidTr="00AC4FED">
        <w:trPr>
          <w:trHeight w:val="65"/>
          <w:tblHeader/>
          <w:jc w:val="center"/>
        </w:trPr>
        <w:tc>
          <w:tcPr>
            <w:tcW w:w="2972" w:type="dxa"/>
            <w:noWrap/>
            <w:hideMark/>
          </w:tcPr>
          <w:p w14:paraId="75B45173" w14:textId="77777777" w:rsidR="00B74FFA" w:rsidRPr="001C0357" w:rsidRDefault="00B74FFA" w:rsidP="00AC4FED">
            <w:pPr>
              <w:spacing w:before="0" w:after="0"/>
              <w:ind w:firstLine="0"/>
              <w:contextualSpacing/>
              <w:jc w:val="left"/>
              <w:rPr>
                <w:rFonts w:eastAsia="Times New Roman"/>
                <w:noProof/>
                <w:sz w:val="18"/>
                <w:szCs w:val="18"/>
              </w:rPr>
            </w:pPr>
            <w:r w:rsidRPr="001C0357">
              <w:rPr>
                <w:rFonts w:eastAsia="Times New Roman"/>
                <w:noProof/>
                <w:sz w:val="18"/>
                <w:szCs w:val="18"/>
              </w:rPr>
              <w:t>Izdevumi</w:t>
            </w:r>
          </w:p>
        </w:tc>
        <w:tc>
          <w:tcPr>
            <w:tcW w:w="851" w:type="dxa"/>
            <w:noWrap/>
            <w:vAlign w:val="center"/>
          </w:tcPr>
          <w:p w14:paraId="21A59CD8"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13 621,5</w:t>
            </w:r>
          </w:p>
        </w:tc>
        <w:tc>
          <w:tcPr>
            <w:tcW w:w="850" w:type="dxa"/>
            <w:noWrap/>
            <w:vAlign w:val="center"/>
          </w:tcPr>
          <w:p w14:paraId="697ECBE1"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14 480,8</w:t>
            </w:r>
          </w:p>
        </w:tc>
        <w:tc>
          <w:tcPr>
            <w:tcW w:w="851" w:type="dxa"/>
            <w:noWrap/>
            <w:vAlign w:val="center"/>
          </w:tcPr>
          <w:p w14:paraId="40606688"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15 260,1</w:t>
            </w:r>
          </w:p>
        </w:tc>
        <w:tc>
          <w:tcPr>
            <w:tcW w:w="1110" w:type="dxa"/>
            <w:noWrap/>
            <w:vAlign w:val="center"/>
          </w:tcPr>
          <w:p w14:paraId="4D4A498B"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16 970,3</w:t>
            </w:r>
          </w:p>
        </w:tc>
        <w:tc>
          <w:tcPr>
            <w:tcW w:w="860" w:type="dxa"/>
            <w:noWrap/>
            <w:vAlign w:val="center"/>
          </w:tcPr>
          <w:p w14:paraId="35F4470B"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17 833,7</w:t>
            </w:r>
          </w:p>
        </w:tc>
        <w:tc>
          <w:tcPr>
            <w:tcW w:w="860" w:type="dxa"/>
            <w:noWrap/>
            <w:vAlign w:val="center"/>
          </w:tcPr>
          <w:p w14:paraId="775639E6"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18 024,8</w:t>
            </w:r>
          </w:p>
        </w:tc>
        <w:tc>
          <w:tcPr>
            <w:tcW w:w="879" w:type="dxa"/>
            <w:noWrap/>
            <w:vAlign w:val="center"/>
          </w:tcPr>
          <w:p w14:paraId="41F822A4"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18 022,4</w:t>
            </w:r>
          </w:p>
        </w:tc>
        <w:tc>
          <w:tcPr>
            <w:tcW w:w="879" w:type="dxa"/>
            <w:vAlign w:val="center"/>
          </w:tcPr>
          <w:p w14:paraId="6755D19B"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18 400,5</w:t>
            </w:r>
          </w:p>
        </w:tc>
      </w:tr>
      <w:tr w:rsidR="00B74FFA" w:rsidRPr="001C0357" w14:paraId="5D044800" w14:textId="77777777" w:rsidTr="00AC4FED">
        <w:trPr>
          <w:trHeight w:val="332"/>
          <w:tblHeader/>
          <w:jc w:val="center"/>
        </w:trPr>
        <w:tc>
          <w:tcPr>
            <w:tcW w:w="2972" w:type="dxa"/>
            <w:shd w:val="clear" w:color="auto" w:fill="F0E7DA"/>
            <w:noWrap/>
            <w:hideMark/>
          </w:tcPr>
          <w:p w14:paraId="41A56004" w14:textId="77777777" w:rsidR="00B74FFA" w:rsidRPr="001C0357" w:rsidRDefault="00B74FFA" w:rsidP="00AC4FED">
            <w:pPr>
              <w:spacing w:before="0" w:after="0"/>
              <w:ind w:firstLine="0"/>
              <w:contextualSpacing/>
              <w:jc w:val="left"/>
              <w:rPr>
                <w:rFonts w:eastAsia="Times New Roman"/>
                <w:b/>
                <w:bCs/>
                <w:noProof/>
                <w:sz w:val="18"/>
                <w:szCs w:val="18"/>
              </w:rPr>
            </w:pPr>
            <w:r w:rsidRPr="001C0357">
              <w:rPr>
                <w:rFonts w:eastAsia="Times New Roman"/>
                <w:b/>
                <w:bCs/>
                <w:noProof/>
                <w:sz w:val="18"/>
                <w:szCs w:val="18"/>
              </w:rPr>
              <w:t>VALSTS BUDŽETA BILANCE (pamatbudžets un speciālais b.)</w:t>
            </w:r>
          </w:p>
        </w:tc>
        <w:tc>
          <w:tcPr>
            <w:tcW w:w="851" w:type="dxa"/>
            <w:shd w:val="clear" w:color="auto" w:fill="F0E7DA"/>
            <w:noWrap/>
            <w:vAlign w:val="center"/>
          </w:tcPr>
          <w:p w14:paraId="00615445"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-1 518,9</w:t>
            </w:r>
          </w:p>
        </w:tc>
        <w:tc>
          <w:tcPr>
            <w:tcW w:w="850" w:type="dxa"/>
            <w:shd w:val="clear" w:color="auto" w:fill="F0E7DA"/>
            <w:noWrap/>
            <w:vAlign w:val="center"/>
          </w:tcPr>
          <w:p w14:paraId="30EA943D"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-1 186,7</w:t>
            </w:r>
          </w:p>
        </w:tc>
        <w:tc>
          <w:tcPr>
            <w:tcW w:w="851" w:type="dxa"/>
            <w:shd w:val="clear" w:color="auto" w:fill="F0E7DA"/>
            <w:noWrap/>
            <w:vAlign w:val="center"/>
          </w:tcPr>
          <w:p w14:paraId="3245B257"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-745,5</w:t>
            </w:r>
          </w:p>
        </w:tc>
        <w:tc>
          <w:tcPr>
            <w:tcW w:w="1110" w:type="dxa"/>
            <w:shd w:val="clear" w:color="auto" w:fill="F0E7DA"/>
            <w:noWrap/>
            <w:vAlign w:val="center"/>
          </w:tcPr>
          <w:p w14:paraId="36D79517"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-1 817,7</w:t>
            </w:r>
          </w:p>
        </w:tc>
        <w:tc>
          <w:tcPr>
            <w:tcW w:w="860" w:type="dxa"/>
            <w:shd w:val="clear" w:color="auto" w:fill="F0E7DA"/>
            <w:noWrap/>
            <w:vAlign w:val="center"/>
          </w:tcPr>
          <w:p w14:paraId="077F52E6"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-1 686,4</w:t>
            </w:r>
          </w:p>
        </w:tc>
        <w:tc>
          <w:tcPr>
            <w:tcW w:w="860" w:type="dxa"/>
            <w:shd w:val="clear" w:color="auto" w:fill="F0E7DA"/>
            <w:noWrap/>
            <w:vAlign w:val="center"/>
          </w:tcPr>
          <w:p w14:paraId="3A9BF63B"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-2 027,0</w:t>
            </w:r>
          </w:p>
        </w:tc>
        <w:tc>
          <w:tcPr>
            <w:tcW w:w="879" w:type="dxa"/>
            <w:shd w:val="clear" w:color="auto" w:fill="F0E7DA"/>
            <w:noWrap/>
            <w:vAlign w:val="center"/>
          </w:tcPr>
          <w:p w14:paraId="0C420383"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-1 959,8</w:t>
            </w:r>
          </w:p>
        </w:tc>
        <w:tc>
          <w:tcPr>
            <w:tcW w:w="879" w:type="dxa"/>
            <w:shd w:val="clear" w:color="auto" w:fill="F0E7DA"/>
            <w:vAlign w:val="center"/>
          </w:tcPr>
          <w:p w14:paraId="5B8D7668"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-2 052,9</w:t>
            </w:r>
          </w:p>
        </w:tc>
      </w:tr>
      <w:tr w:rsidR="00B74FFA" w:rsidRPr="001C0357" w14:paraId="5C71FA97" w14:textId="77777777" w:rsidTr="00AC4FED">
        <w:trPr>
          <w:trHeight w:val="65"/>
          <w:tblHeader/>
          <w:jc w:val="center"/>
        </w:trPr>
        <w:tc>
          <w:tcPr>
            <w:tcW w:w="2972" w:type="dxa"/>
            <w:noWrap/>
            <w:hideMark/>
          </w:tcPr>
          <w:p w14:paraId="084B0823" w14:textId="77777777" w:rsidR="00B74FFA" w:rsidRPr="001C0357" w:rsidRDefault="00B74FFA" w:rsidP="00AC4FED">
            <w:pPr>
              <w:spacing w:before="0" w:after="0"/>
              <w:ind w:firstLine="0"/>
              <w:contextualSpacing/>
              <w:jc w:val="left"/>
              <w:rPr>
                <w:rFonts w:eastAsia="Times New Roman"/>
                <w:noProof/>
                <w:sz w:val="18"/>
                <w:szCs w:val="18"/>
              </w:rPr>
            </w:pPr>
            <w:r w:rsidRPr="001C0357">
              <w:rPr>
                <w:rFonts w:eastAsia="Times New Roman"/>
                <w:noProof/>
                <w:sz w:val="18"/>
                <w:szCs w:val="18"/>
              </w:rPr>
              <w:t>Ieņēmumi</w:t>
            </w:r>
          </w:p>
        </w:tc>
        <w:tc>
          <w:tcPr>
            <w:tcW w:w="851" w:type="dxa"/>
            <w:noWrap/>
            <w:vAlign w:val="center"/>
          </w:tcPr>
          <w:p w14:paraId="4183DBEA"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11 953,0</w:t>
            </w:r>
          </w:p>
        </w:tc>
        <w:tc>
          <w:tcPr>
            <w:tcW w:w="850" w:type="dxa"/>
            <w:noWrap/>
            <w:vAlign w:val="center"/>
          </w:tcPr>
          <w:p w14:paraId="7A98787F"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13 096,8</w:t>
            </w:r>
          </w:p>
        </w:tc>
        <w:tc>
          <w:tcPr>
            <w:tcW w:w="851" w:type="dxa"/>
            <w:noWrap/>
            <w:vAlign w:val="center"/>
          </w:tcPr>
          <w:p w14:paraId="46538DD5"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14 365,8</w:t>
            </w:r>
          </w:p>
        </w:tc>
        <w:tc>
          <w:tcPr>
            <w:tcW w:w="1110" w:type="dxa"/>
            <w:noWrap/>
            <w:vAlign w:val="center"/>
          </w:tcPr>
          <w:p w14:paraId="0E74FB39"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15 061,3</w:t>
            </w:r>
          </w:p>
        </w:tc>
        <w:tc>
          <w:tcPr>
            <w:tcW w:w="860" w:type="dxa"/>
            <w:noWrap/>
            <w:vAlign w:val="center"/>
          </w:tcPr>
          <w:p w14:paraId="38D68130"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15 983,6</w:t>
            </w:r>
          </w:p>
        </w:tc>
        <w:tc>
          <w:tcPr>
            <w:tcW w:w="860" w:type="dxa"/>
            <w:noWrap/>
            <w:vAlign w:val="center"/>
          </w:tcPr>
          <w:p w14:paraId="1826F338"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15 792,2</w:t>
            </w:r>
          </w:p>
        </w:tc>
        <w:tc>
          <w:tcPr>
            <w:tcW w:w="879" w:type="dxa"/>
            <w:noWrap/>
            <w:vAlign w:val="center"/>
          </w:tcPr>
          <w:p w14:paraId="294D6A96"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15 817,8</w:t>
            </w:r>
          </w:p>
        </w:tc>
        <w:tc>
          <w:tcPr>
            <w:tcW w:w="879" w:type="dxa"/>
            <w:vAlign w:val="center"/>
          </w:tcPr>
          <w:p w14:paraId="19FEBBA9"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16 095,2</w:t>
            </w:r>
          </w:p>
        </w:tc>
      </w:tr>
      <w:tr w:rsidR="00B74FFA" w:rsidRPr="001C0357" w14:paraId="79E377D7" w14:textId="77777777" w:rsidTr="00AC4FED">
        <w:trPr>
          <w:trHeight w:val="65"/>
          <w:tblHeader/>
          <w:jc w:val="center"/>
        </w:trPr>
        <w:tc>
          <w:tcPr>
            <w:tcW w:w="2972" w:type="dxa"/>
            <w:noWrap/>
            <w:hideMark/>
          </w:tcPr>
          <w:p w14:paraId="1BA7558A" w14:textId="77777777" w:rsidR="00B74FFA" w:rsidRPr="001C0357" w:rsidRDefault="00B74FFA" w:rsidP="00AC4FED">
            <w:pPr>
              <w:spacing w:before="0" w:after="0"/>
              <w:ind w:firstLine="0"/>
              <w:contextualSpacing/>
              <w:jc w:val="left"/>
              <w:rPr>
                <w:rFonts w:eastAsia="Times New Roman"/>
                <w:noProof/>
                <w:sz w:val="18"/>
                <w:szCs w:val="18"/>
              </w:rPr>
            </w:pPr>
            <w:r w:rsidRPr="001C0357">
              <w:rPr>
                <w:rFonts w:eastAsia="Times New Roman"/>
                <w:noProof/>
                <w:sz w:val="18"/>
                <w:szCs w:val="18"/>
              </w:rPr>
              <w:t>Izdevumi</w:t>
            </w:r>
          </w:p>
        </w:tc>
        <w:tc>
          <w:tcPr>
            <w:tcW w:w="851" w:type="dxa"/>
            <w:noWrap/>
            <w:vAlign w:val="center"/>
          </w:tcPr>
          <w:p w14:paraId="7D894B12"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13 471,9</w:t>
            </w:r>
          </w:p>
        </w:tc>
        <w:tc>
          <w:tcPr>
            <w:tcW w:w="850" w:type="dxa"/>
            <w:noWrap/>
            <w:vAlign w:val="center"/>
          </w:tcPr>
          <w:p w14:paraId="1711FDBC"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14 283,5</w:t>
            </w:r>
          </w:p>
        </w:tc>
        <w:tc>
          <w:tcPr>
            <w:tcW w:w="851" w:type="dxa"/>
            <w:noWrap/>
            <w:vAlign w:val="center"/>
          </w:tcPr>
          <w:p w14:paraId="283FC314"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15 111,3</w:t>
            </w:r>
          </w:p>
        </w:tc>
        <w:tc>
          <w:tcPr>
            <w:tcW w:w="1110" w:type="dxa"/>
            <w:noWrap/>
            <w:vAlign w:val="center"/>
          </w:tcPr>
          <w:p w14:paraId="312BAF6E"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16 879,0</w:t>
            </w:r>
          </w:p>
        </w:tc>
        <w:tc>
          <w:tcPr>
            <w:tcW w:w="860" w:type="dxa"/>
            <w:noWrap/>
            <w:vAlign w:val="center"/>
          </w:tcPr>
          <w:p w14:paraId="73F5EEA4"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17 670,0</w:t>
            </w:r>
          </w:p>
        </w:tc>
        <w:tc>
          <w:tcPr>
            <w:tcW w:w="860" w:type="dxa"/>
            <w:noWrap/>
            <w:vAlign w:val="center"/>
          </w:tcPr>
          <w:p w14:paraId="3CD1080F"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17 819,2</w:t>
            </w:r>
          </w:p>
        </w:tc>
        <w:tc>
          <w:tcPr>
            <w:tcW w:w="879" w:type="dxa"/>
            <w:noWrap/>
            <w:vAlign w:val="center"/>
          </w:tcPr>
          <w:p w14:paraId="3A2EF24E"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17 777,5</w:t>
            </w:r>
          </w:p>
        </w:tc>
        <w:tc>
          <w:tcPr>
            <w:tcW w:w="879" w:type="dxa"/>
            <w:vAlign w:val="center"/>
          </w:tcPr>
          <w:p w14:paraId="36125F6C"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18 148,1</w:t>
            </w:r>
          </w:p>
        </w:tc>
      </w:tr>
      <w:tr w:rsidR="00B74FFA" w:rsidRPr="001C0357" w14:paraId="445FF7EA" w14:textId="77777777" w:rsidTr="00AC4FED">
        <w:trPr>
          <w:trHeight w:val="65"/>
          <w:tblHeader/>
          <w:jc w:val="center"/>
        </w:trPr>
        <w:tc>
          <w:tcPr>
            <w:tcW w:w="2972" w:type="dxa"/>
            <w:noWrap/>
            <w:hideMark/>
          </w:tcPr>
          <w:p w14:paraId="2679697E" w14:textId="77777777" w:rsidR="00B74FFA" w:rsidRPr="001C0357" w:rsidRDefault="00B74FFA" w:rsidP="00AC4FED">
            <w:pPr>
              <w:spacing w:before="0" w:after="0"/>
              <w:ind w:firstLine="0"/>
              <w:contextualSpacing/>
              <w:jc w:val="left"/>
              <w:rPr>
                <w:rFonts w:eastAsia="Times New Roman"/>
                <w:b/>
                <w:bCs/>
                <w:noProof/>
                <w:sz w:val="18"/>
                <w:szCs w:val="18"/>
              </w:rPr>
            </w:pPr>
            <w:r w:rsidRPr="001C0357">
              <w:rPr>
                <w:rFonts w:eastAsia="Times New Roman"/>
                <w:b/>
                <w:bCs/>
                <w:noProof/>
                <w:sz w:val="18"/>
                <w:szCs w:val="18"/>
              </w:rPr>
              <w:t>VALSTS PAMATBUDŽETA BILANCE</w:t>
            </w:r>
          </w:p>
        </w:tc>
        <w:tc>
          <w:tcPr>
            <w:tcW w:w="851" w:type="dxa"/>
            <w:noWrap/>
            <w:vAlign w:val="center"/>
          </w:tcPr>
          <w:p w14:paraId="1AD0E051"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-1 862,5</w:t>
            </w:r>
          </w:p>
        </w:tc>
        <w:tc>
          <w:tcPr>
            <w:tcW w:w="850" w:type="dxa"/>
            <w:noWrap/>
            <w:vAlign w:val="center"/>
          </w:tcPr>
          <w:p w14:paraId="5A3A3939"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-1 438,1</w:t>
            </w:r>
          </w:p>
        </w:tc>
        <w:tc>
          <w:tcPr>
            <w:tcW w:w="851" w:type="dxa"/>
            <w:noWrap/>
            <w:vAlign w:val="center"/>
          </w:tcPr>
          <w:p w14:paraId="06B22996"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-1 082,6</w:t>
            </w:r>
          </w:p>
        </w:tc>
        <w:tc>
          <w:tcPr>
            <w:tcW w:w="1110" w:type="dxa"/>
            <w:noWrap/>
            <w:vAlign w:val="center"/>
          </w:tcPr>
          <w:p w14:paraId="7BF205DA"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-2 217,6</w:t>
            </w:r>
          </w:p>
        </w:tc>
        <w:tc>
          <w:tcPr>
            <w:tcW w:w="860" w:type="dxa"/>
            <w:noWrap/>
            <w:vAlign w:val="center"/>
          </w:tcPr>
          <w:p w14:paraId="0ED77C67"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-2 131,8</w:t>
            </w:r>
          </w:p>
        </w:tc>
        <w:tc>
          <w:tcPr>
            <w:tcW w:w="860" w:type="dxa"/>
            <w:noWrap/>
            <w:vAlign w:val="center"/>
          </w:tcPr>
          <w:p w14:paraId="7BCC26CC"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-2 386,5</w:t>
            </w:r>
          </w:p>
        </w:tc>
        <w:tc>
          <w:tcPr>
            <w:tcW w:w="879" w:type="dxa"/>
            <w:noWrap/>
            <w:vAlign w:val="center"/>
          </w:tcPr>
          <w:p w14:paraId="61F966D4"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-2 256,1</w:t>
            </w:r>
          </w:p>
        </w:tc>
        <w:tc>
          <w:tcPr>
            <w:tcW w:w="879" w:type="dxa"/>
            <w:vAlign w:val="center"/>
          </w:tcPr>
          <w:p w14:paraId="37EAC3A2"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-2 176,4</w:t>
            </w:r>
          </w:p>
        </w:tc>
      </w:tr>
      <w:tr w:rsidR="00B74FFA" w:rsidRPr="001C0357" w14:paraId="08E3B09C" w14:textId="77777777" w:rsidTr="00AC4FED">
        <w:trPr>
          <w:trHeight w:val="65"/>
          <w:tblHeader/>
          <w:jc w:val="center"/>
        </w:trPr>
        <w:tc>
          <w:tcPr>
            <w:tcW w:w="2972" w:type="dxa"/>
            <w:noWrap/>
            <w:hideMark/>
          </w:tcPr>
          <w:p w14:paraId="30B6B296" w14:textId="77777777" w:rsidR="00B74FFA" w:rsidRPr="001C0357" w:rsidRDefault="00B74FFA" w:rsidP="00AC4FED">
            <w:pPr>
              <w:spacing w:before="0" w:after="0"/>
              <w:ind w:firstLine="0"/>
              <w:contextualSpacing/>
              <w:jc w:val="left"/>
              <w:rPr>
                <w:rFonts w:eastAsia="Times New Roman"/>
                <w:noProof/>
                <w:sz w:val="18"/>
                <w:szCs w:val="18"/>
              </w:rPr>
            </w:pPr>
            <w:r w:rsidRPr="001C0357">
              <w:rPr>
                <w:rFonts w:eastAsia="Times New Roman"/>
                <w:noProof/>
                <w:sz w:val="18"/>
                <w:szCs w:val="18"/>
              </w:rPr>
              <w:t>Ieņēmumi</w:t>
            </w:r>
          </w:p>
        </w:tc>
        <w:tc>
          <w:tcPr>
            <w:tcW w:w="851" w:type="dxa"/>
            <w:noWrap/>
            <w:vAlign w:val="center"/>
          </w:tcPr>
          <w:p w14:paraId="6BEDF184"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8 312,5</w:t>
            </w:r>
          </w:p>
        </w:tc>
        <w:tc>
          <w:tcPr>
            <w:tcW w:w="850" w:type="dxa"/>
            <w:noWrap/>
            <w:vAlign w:val="center"/>
          </w:tcPr>
          <w:p w14:paraId="22574AAB"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9 129,4</w:t>
            </w:r>
          </w:p>
        </w:tc>
        <w:tc>
          <w:tcPr>
            <w:tcW w:w="851" w:type="dxa"/>
            <w:noWrap/>
            <w:vAlign w:val="center"/>
          </w:tcPr>
          <w:p w14:paraId="09D84363"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10 003,4</w:t>
            </w:r>
          </w:p>
        </w:tc>
        <w:tc>
          <w:tcPr>
            <w:tcW w:w="1110" w:type="dxa"/>
            <w:noWrap/>
            <w:vAlign w:val="center"/>
          </w:tcPr>
          <w:p w14:paraId="489DE875"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10 224,8</w:t>
            </w:r>
          </w:p>
        </w:tc>
        <w:tc>
          <w:tcPr>
            <w:tcW w:w="860" w:type="dxa"/>
            <w:noWrap/>
            <w:vAlign w:val="center"/>
          </w:tcPr>
          <w:p w14:paraId="6CEBB2E2"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10 834,5</w:t>
            </w:r>
          </w:p>
        </w:tc>
        <w:tc>
          <w:tcPr>
            <w:tcW w:w="860" w:type="dxa"/>
            <w:noWrap/>
            <w:vAlign w:val="center"/>
          </w:tcPr>
          <w:p w14:paraId="293A74E6"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10 371,8</w:t>
            </w:r>
          </w:p>
        </w:tc>
        <w:tc>
          <w:tcPr>
            <w:tcW w:w="879" w:type="dxa"/>
            <w:noWrap/>
            <w:vAlign w:val="center"/>
          </w:tcPr>
          <w:p w14:paraId="42A36B81"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10 149,7</w:t>
            </w:r>
          </w:p>
        </w:tc>
        <w:tc>
          <w:tcPr>
            <w:tcW w:w="879" w:type="dxa"/>
            <w:vAlign w:val="center"/>
          </w:tcPr>
          <w:p w14:paraId="12600670"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10 284,7</w:t>
            </w:r>
          </w:p>
        </w:tc>
      </w:tr>
      <w:tr w:rsidR="00B74FFA" w:rsidRPr="001C0357" w14:paraId="5A062ACB" w14:textId="77777777" w:rsidTr="00AC4FED">
        <w:trPr>
          <w:trHeight w:val="65"/>
          <w:tblHeader/>
          <w:jc w:val="center"/>
        </w:trPr>
        <w:tc>
          <w:tcPr>
            <w:tcW w:w="2972" w:type="dxa"/>
            <w:noWrap/>
            <w:hideMark/>
          </w:tcPr>
          <w:p w14:paraId="21FB13CF" w14:textId="77777777" w:rsidR="00B74FFA" w:rsidRPr="001C0357" w:rsidRDefault="00B74FFA" w:rsidP="00AC4FED">
            <w:pPr>
              <w:spacing w:before="0" w:after="0"/>
              <w:ind w:firstLine="0"/>
              <w:contextualSpacing/>
              <w:jc w:val="left"/>
              <w:rPr>
                <w:rFonts w:eastAsia="Times New Roman"/>
                <w:noProof/>
                <w:sz w:val="18"/>
                <w:szCs w:val="18"/>
              </w:rPr>
            </w:pPr>
            <w:r w:rsidRPr="001C0357">
              <w:rPr>
                <w:rFonts w:eastAsia="Times New Roman"/>
                <w:noProof/>
                <w:sz w:val="18"/>
                <w:szCs w:val="18"/>
              </w:rPr>
              <w:t>Izdevumi</w:t>
            </w:r>
          </w:p>
        </w:tc>
        <w:tc>
          <w:tcPr>
            <w:tcW w:w="851" w:type="dxa"/>
            <w:noWrap/>
            <w:vAlign w:val="center"/>
          </w:tcPr>
          <w:p w14:paraId="3833BC73"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10 175,0</w:t>
            </w:r>
          </w:p>
        </w:tc>
        <w:tc>
          <w:tcPr>
            <w:tcW w:w="850" w:type="dxa"/>
            <w:noWrap/>
            <w:vAlign w:val="center"/>
          </w:tcPr>
          <w:p w14:paraId="33D14FDC"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10 567,5</w:t>
            </w:r>
          </w:p>
        </w:tc>
        <w:tc>
          <w:tcPr>
            <w:tcW w:w="851" w:type="dxa"/>
            <w:noWrap/>
            <w:vAlign w:val="center"/>
          </w:tcPr>
          <w:p w14:paraId="7FF17AB8"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11 086,0</w:t>
            </w:r>
          </w:p>
        </w:tc>
        <w:tc>
          <w:tcPr>
            <w:tcW w:w="1110" w:type="dxa"/>
            <w:noWrap/>
            <w:vAlign w:val="center"/>
          </w:tcPr>
          <w:p w14:paraId="6DFDCFD7"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12 442,4</w:t>
            </w:r>
          </w:p>
        </w:tc>
        <w:tc>
          <w:tcPr>
            <w:tcW w:w="860" w:type="dxa"/>
            <w:noWrap/>
            <w:vAlign w:val="center"/>
          </w:tcPr>
          <w:p w14:paraId="3D1B53A2"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12 966,3</w:t>
            </w:r>
          </w:p>
        </w:tc>
        <w:tc>
          <w:tcPr>
            <w:tcW w:w="860" w:type="dxa"/>
            <w:noWrap/>
            <w:vAlign w:val="center"/>
          </w:tcPr>
          <w:p w14:paraId="5C643050"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12 758,3</w:t>
            </w:r>
          </w:p>
        </w:tc>
        <w:tc>
          <w:tcPr>
            <w:tcW w:w="879" w:type="dxa"/>
            <w:noWrap/>
            <w:vAlign w:val="center"/>
          </w:tcPr>
          <w:p w14:paraId="0A9E4B53"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12 405,8</w:t>
            </w:r>
          </w:p>
        </w:tc>
        <w:tc>
          <w:tcPr>
            <w:tcW w:w="879" w:type="dxa"/>
            <w:vAlign w:val="center"/>
          </w:tcPr>
          <w:p w14:paraId="75BC75F5"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12 461,1</w:t>
            </w:r>
          </w:p>
        </w:tc>
      </w:tr>
      <w:tr w:rsidR="00B74FFA" w:rsidRPr="001C0357" w14:paraId="4D966E89" w14:textId="77777777" w:rsidTr="00AC4FED">
        <w:trPr>
          <w:trHeight w:val="65"/>
          <w:tblHeader/>
          <w:jc w:val="center"/>
        </w:trPr>
        <w:tc>
          <w:tcPr>
            <w:tcW w:w="2972" w:type="dxa"/>
            <w:noWrap/>
            <w:hideMark/>
          </w:tcPr>
          <w:p w14:paraId="39A49213" w14:textId="77777777" w:rsidR="00B74FFA" w:rsidRPr="001C0357" w:rsidRDefault="00B74FFA" w:rsidP="00AC4FED">
            <w:pPr>
              <w:spacing w:before="0" w:after="0"/>
              <w:ind w:firstLineChars="300" w:firstLine="540"/>
              <w:contextualSpacing/>
              <w:jc w:val="left"/>
              <w:rPr>
                <w:rFonts w:eastAsia="Times New Roman"/>
                <w:i/>
                <w:iCs/>
                <w:noProof/>
                <w:sz w:val="18"/>
                <w:szCs w:val="18"/>
              </w:rPr>
            </w:pPr>
            <w:r w:rsidRPr="001C0357">
              <w:rPr>
                <w:rFonts w:eastAsia="Times New Roman"/>
                <w:i/>
                <w:iCs/>
                <w:noProof/>
                <w:sz w:val="18"/>
                <w:szCs w:val="18"/>
              </w:rPr>
              <w:t>Pamatfunkciju daļa</w:t>
            </w:r>
          </w:p>
        </w:tc>
        <w:tc>
          <w:tcPr>
            <w:tcW w:w="851" w:type="dxa"/>
            <w:noWrap/>
            <w:vAlign w:val="center"/>
          </w:tcPr>
          <w:p w14:paraId="7984C50E"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8 791,0</w:t>
            </w:r>
          </w:p>
        </w:tc>
        <w:tc>
          <w:tcPr>
            <w:tcW w:w="850" w:type="dxa"/>
            <w:noWrap/>
            <w:vAlign w:val="center"/>
          </w:tcPr>
          <w:p w14:paraId="7588A856"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8 624,4</w:t>
            </w:r>
          </w:p>
        </w:tc>
        <w:tc>
          <w:tcPr>
            <w:tcW w:w="851" w:type="dxa"/>
            <w:noWrap/>
            <w:vAlign w:val="center"/>
          </w:tcPr>
          <w:p w14:paraId="16AEEDFF"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9 269,3</w:t>
            </w:r>
          </w:p>
        </w:tc>
        <w:tc>
          <w:tcPr>
            <w:tcW w:w="1110" w:type="dxa"/>
            <w:noWrap/>
            <w:vAlign w:val="center"/>
          </w:tcPr>
          <w:p w14:paraId="4FED01C3"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9 894,5</w:t>
            </w:r>
          </w:p>
        </w:tc>
        <w:tc>
          <w:tcPr>
            <w:tcW w:w="860" w:type="dxa"/>
            <w:noWrap/>
            <w:vAlign w:val="center"/>
          </w:tcPr>
          <w:p w14:paraId="52698389"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10 267,4</w:t>
            </w:r>
          </w:p>
        </w:tc>
        <w:tc>
          <w:tcPr>
            <w:tcW w:w="860" w:type="dxa"/>
            <w:noWrap/>
            <w:vAlign w:val="center"/>
          </w:tcPr>
          <w:p w14:paraId="34E7F59D"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10 647,8</w:t>
            </w:r>
          </w:p>
        </w:tc>
        <w:tc>
          <w:tcPr>
            <w:tcW w:w="879" w:type="dxa"/>
            <w:noWrap/>
            <w:vAlign w:val="center"/>
          </w:tcPr>
          <w:p w14:paraId="41C64F84"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10 892,2</w:t>
            </w:r>
          </w:p>
        </w:tc>
        <w:tc>
          <w:tcPr>
            <w:tcW w:w="879" w:type="dxa"/>
            <w:vAlign w:val="center"/>
          </w:tcPr>
          <w:p w14:paraId="6FE55FBB"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11 195,9</w:t>
            </w:r>
          </w:p>
        </w:tc>
      </w:tr>
      <w:tr w:rsidR="00B74FFA" w:rsidRPr="001C0357" w14:paraId="15C8D043" w14:textId="77777777" w:rsidTr="00AC4FED">
        <w:trPr>
          <w:trHeight w:val="65"/>
          <w:tblHeader/>
          <w:jc w:val="center"/>
        </w:trPr>
        <w:tc>
          <w:tcPr>
            <w:tcW w:w="2972" w:type="dxa"/>
            <w:noWrap/>
            <w:hideMark/>
          </w:tcPr>
          <w:p w14:paraId="1F1B634D" w14:textId="77777777" w:rsidR="00B74FFA" w:rsidRPr="001C0357" w:rsidRDefault="00B74FFA" w:rsidP="00AC4FED">
            <w:pPr>
              <w:spacing w:before="0" w:after="0"/>
              <w:ind w:firstLineChars="300" w:firstLine="540"/>
              <w:contextualSpacing/>
              <w:jc w:val="left"/>
              <w:rPr>
                <w:rFonts w:eastAsia="Times New Roman"/>
                <w:i/>
                <w:iCs/>
                <w:noProof/>
                <w:sz w:val="18"/>
                <w:szCs w:val="18"/>
              </w:rPr>
            </w:pPr>
            <w:r w:rsidRPr="001C0357">
              <w:rPr>
                <w:rFonts w:eastAsia="Times New Roman"/>
                <w:i/>
                <w:iCs/>
                <w:noProof/>
                <w:sz w:val="18"/>
                <w:szCs w:val="18"/>
              </w:rPr>
              <w:t>ĀFP daļa</w:t>
            </w:r>
          </w:p>
        </w:tc>
        <w:tc>
          <w:tcPr>
            <w:tcW w:w="851" w:type="dxa"/>
            <w:noWrap/>
            <w:vAlign w:val="center"/>
          </w:tcPr>
          <w:p w14:paraId="78BD392A"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1 384,0</w:t>
            </w:r>
          </w:p>
        </w:tc>
        <w:tc>
          <w:tcPr>
            <w:tcW w:w="850" w:type="dxa"/>
            <w:noWrap/>
            <w:vAlign w:val="center"/>
          </w:tcPr>
          <w:p w14:paraId="0E47094E"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1 943,1</w:t>
            </w:r>
          </w:p>
        </w:tc>
        <w:tc>
          <w:tcPr>
            <w:tcW w:w="851" w:type="dxa"/>
            <w:noWrap/>
            <w:vAlign w:val="center"/>
          </w:tcPr>
          <w:p w14:paraId="563CB15A"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1 816,7</w:t>
            </w:r>
          </w:p>
        </w:tc>
        <w:tc>
          <w:tcPr>
            <w:tcW w:w="1110" w:type="dxa"/>
            <w:noWrap/>
            <w:vAlign w:val="center"/>
          </w:tcPr>
          <w:p w14:paraId="716CB67D"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2 547,9</w:t>
            </w:r>
          </w:p>
        </w:tc>
        <w:tc>
          <w:tcPr>
            <w:tcW w:w="860" w:type="dxa"/>
            <w:noWrap/>
            <w:vAlign w:val="center"/>
          </w:tcPr>
          <w:p w14:paraId="72A1CFB8"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2 698,9</w:t>
            </w:r>
          </w:p>
        </w:tc>
        <w:tc>
          <w:tcPr>
            <w:tcW w:w="860" w:type="dxa"/>
            <w:noWrap/>
            <w:vAlign w:val="center"/>
          </w:tcPr>
          <w:p w14:paraId="44AABEDA"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2 110,5</w:t>
            </w:r>
          </w:p>
        </w:tc>
        <w:tc>
          <w:tcPr>
            <w:tcW w:w="879" w:type="dxa"/>
            <w:noWrap/>
            <w:vAlign w:val="center"/>
          </w:tcPr>
          <w:p w14:paraId="65689885"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1 513,6</w:t>
            </w:r>
          </w:p>
        </w:tc>
        <w:tc>
          <w:tcPr>
            <w:tcW w:w="879" w:type="dxa"/>
            <w:vAlign w:val="center"/>
          </w:tcPr>
          <w:p w14:paraId="78B012A9"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1 265,2</w:t>
            </w:r>
          </w:p>
        </w:tc>
      </w:tr>
      <w:tr w:rsidR="00B74FFA" w:rsidRPr="001C0357" w14:paraId="50FF2A7E" w14:textId="77777777" w:rsidTr="00AC4FED">
        <w:trPr>
          <w:trHeight w:val="65"/>
          <w:tblHeader/>
          <w:jc w:val="center"/>
        </w:trPr>
        <w:tc>
          <w:tcPr>
            <w:tcW w:w="2972" w:type="dxa"/>
            <w:noWrap/>
            <w:hideMark/>
          </w:tcPr>
          <w:p w14:paraId="53EA5F59" w14:textId="77777777" w:rsidR="00B74FFA" w:rsidRPr="001C0357" w:rsidRDefault="00B74FFA" w:rsidP="00AC4FED">
            <w:pPr>
              <w:spacing w:before="0" w:after="0"/>
              <w:ind w:firstLine="0"/>
              <w:contextualSpacing/>
              <w:jc w:val="left"/>
              <w:rPr>
                <w:rFonts w:eastAsia="Times New Roman"/>
                <w:b/>
                <w:bCs/>
                <w:noProof/>
                <w:sz w:val="18"/>
                <w:szCs w:val="18"/>
              </w:rPr>
            </w:pPr>
            <w:r w:rsidRPr="001C0357">
              <w:rPr>
                <w:rFonts w:eastAsia="Times New Roman"/>
                <w:b/>
                <w:bCs/>
                <w:noProof/>
                <w:sz w:val="18"/>
                <w:szCs w:val="18"/>
              </w:rPr>
              <w:t>VALSTS SPECIĀLĀ BUDŽETA BILANCE</w:t>
            </w:r>
          </w:p>
        </w:tc>
        <w:tc>
          <w:tcPr>
            <w:tcW w:w="851" w:type="dxa"/>
            <w:noWrap/>
            <w:vAlign w:val="center"/>
          </w:tcPr>
          <w:p w14:paraId="6158BE55"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343,5</w:t>
            </w:r>
          </w:p>
        </w:tc>
        <w:tc>
          <w:tcPr>
            <w:tcW w:w="850" w:type="dxa"/>
            <w:noWrap/>
            <w:vAlign w:val="center"/>
          </w:tcPr>
          <w:p w14:paraId="248ABD63"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251,4</w:t>
            </w:r>
          </w:p>
        </w:tc>
        <w:tc>
          <w:tcPr>
            <w:tcW w:w="851" w:type="dxa"/>
            <w:noWrap/>
            <w:vAlign w:val="center"/>
          </w:tcPr>
          <w:p w14:paraId="79905820"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337,1</w:t>
            </w:r>
          </w:p>
        </w:tc>
        <w:tc>
          <w:tcPr>
            <w:tcW w:w="1110" w:type="dxa"/>
            <w:noWrap/>
            <w:vAlign w:val="center"/>
          </w:tcPr>
          <w:p w14:paraId="3191C9AC"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399,9</w:t>
            </w:r>
          </w:p>
        </w:tc>
        <w:tc>
          <w:tcPr>
            <w:tcW w:w="860" w:type="dxa"/>
            <w:noWrap/>
            <w:vAlign w:val="center"/>
          </w:tcPr>
          <w:p w14:paraId="40F2A3AD"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445,4</w:t>
            </w:r>
          </w:p>
        </w:tc>
        <w:tc>
          <w:tcPr>
            <w:tcW w:w="860" w:type="dxa"/>
            <w:noWrap/>
            <w:vAlign w:val="center"/>
          </w:tcPr>
          <w:p w14:paraId="377DF5AC"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359,5</w:t>
            </w:r>
          </w:p>
        </w:tc>
        <w:tc>
          <w:tcPr>
            <w:tcW w:w="879" w:type="dxa"/>
            <w:noWrap/>
            <w:vAlign w:val="center"/>
          </w:tcPr>
          <w:p w14:paraId="76468872"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296,3</w:t>
            </w:r>
          </w:p>
        </w:tc>
        <w:tc>
          <w:tcPr>
            <w:tcW w:w="879" w:type="dxa"/>
            <w:vAlign w:val="center"/>
          </w:tcPr>
          <w:p w14:paraId="0AED69C4"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123,6</w:t>
            </w:r>
          </w:p>
        </w:tc>
      </w:tr>
      <w:tr w:rsidR="00B74FFA" w:rsidRPr="001C0357" w14:paraId="626FC8DC" w14:textId="77777777" w:rsidTr="00AC4FED">
        <w:trPr>
          <w:trHeight w:val="65"/>
          <w:tblHeader/>
          <w:jc w:val="center"/>
        </w:trPr>
        <w:tc>
          <w:tcPr>
            <w:tcW w:w="2972" w:type="dxa"/>
            <w:noWrap/>
            <w:hideMark/>
          </w:tcPr>
          <w:p w14:paraId="680DF6A4" w14:textId="77777777" w:rsidR="00B74FFA" w:rsidRPr="001C0357" w:rsidRDefault="00B74FFA" w:rsidP="00AC4FED">
            <w:pPr>
              <w:spacing w:before="0" w:after="0"/>
              <w:ind w:firstLine="0"/>
              <w:contextualSpacing/>
              <w:jc w:val="left"/>
              <w:rPr>
                <w:rFonts w:eastAsia="Times New Roman"/>
                <w:noProof/>
                <w:sz w:val="18"/>
                <w:szCs w:val="18"/>
              </w:rPr>
            </w:pPr>
            <w:r w:rsidRPr="001C0357">
              <w:rPr>
                <w:rFonts w:eastAsia="Times New Roman"/>
                <w:noProof/>
                <w:sz w:val="18"/>
                <w:szCs w:val="18"/>
              </w:rPr>
              <w:t>Ieņēmumi</w:t>
            </w:r>
          </w:p>
        </w:tc>
        <w:tc>
          <w:tcPr>
            <w:tcW w:w="851" w:type="dxa"/>
            <w:noWrap/>
            <w:vAlign w:val="center"/>
          </w:tcPr>
          <w:p w14:paraId="7ABBEDBB"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3 933,2</w:t>
            </w:r>
          </w:p>
        </w:tc>
        <w:tc>
          <w:tcPr>
            <w:tcW w:w="850" w:type="dxa"/>
            <w:noWrap/>
            <w:vAlign w:val="center"/>
          </w:tcPr>
          <w:p w14:paraId="169C1E51"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4 239,7</w:t>
            </w:r>
          </w:p>
        </w:tc>
        <w:tc>
          <w:tcPr>
            <w:tcW w:w="851" w:type="dxa"/>
            <w:noWrap/>
            <w:vAlign w:val="center"/>
          </w:tcPr>
          <w:p w14:paraId="7E43B4CE"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4 649,0</w:t>
            </w:r>
          </w:p>
        </w:tc>
        <w:tc>
          <w:tcPr>
            <w:tcW w:w="1110" w:type="dxa"/>
            <w:noWrap/>
            <w:vAlign w:val="center"/>
          </w:tcPr>
          <w:p w14:paraId="067C4990"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5 162,2</w:t>
            </w:r>
          </w:p>
        </w:tc>
        <w:tc>
          <w:tcPr>
            <w:tcW w:w="860" w:type="dxa"/>
            <w:noWrap/>
            <w:vAlign w:val="center"/>
          </w:tcPr>
          <w:p w14:paraId="691EBD33"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5 514,6</w:t>
            </w:r>
          </w:p>
        </w:tc>
        <w:tc>
          <w:tcPr>
            <w:tcW w:w="860" w:type="dxa"/>
            <w:noWrap/>
            <w:vAlign w:val="center"/>
          </w:tcPr>
          <w:p w14:paraId="5B4D4DF4"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5 836,2</w:t>
            </w:r>
          </w:p>
        </w:tc>
        <w:tc>
          <w:tcPr>
            <w:tcW w:w="879" w:type="dxa"/>
            <w:noWrap/>
            <w:vAlign w:val="center"/>
          </w:tcPr>
          <w:p w14:paraId="3FB47038"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6 138,0</w:t>
            </w:r>
          </w:p>
        </w:tc>
        <w:tc>
          <w:tcPr>
            <w:tcW w:w="879" w:type="dxa"/>
            <w:vAlign w:val="center"/>
          </w:tcPr>
          <w:p w14:paraId="0841E160"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6 333,4</w:t>
            </w:r>
          </w:p>
        </w:tc>
      </w:tr>
      <w:tr w:rsidR="00B74FFA" w:rsidRPr="001C0357" w14:paraId="17231798" w14:textId="77777777" w:rsidTr="00AC4FED">
        <w:trPr>
          <w:trHeight w:val="65"/>
          <w:tblHeader/>
          <w:jc w:val="center"/>
        </w:trPr>
        <w:tc>
          <w:tcPr>
            <w:tcW w:w="2972" w:type="dxa"/>
            <w:noWrap/>
            <w:hideMark/>
          </w:tcPr>
          <w:p w14:paraId="75798778" w14:textId="77777777" w:rsidR="00B74FFA" w:rsidRPr="001C0357" w:rsidRDefault="00B74FFA" w:rsidP="00AC4FED">
            <w:pPr>
              <w:spacing w:before="0" w:after="0"/>
              <w:ind w:firstLine="0"/>
              <w:contextualSpacing/>
              <w:jc w:val="left"/>
              <w:rPr>
                <w:rFonts w:eastAsia="Times New Roman"/>
                <w:noProof/>
                <w:sz w:val="18"/>
                <w:szCs w:val="18"/>
              </w:rPr>
            </w:pPr>
            <w:r w:rsidRPr="001C0357">
              <w:rPr>
                <w:rFonts w:eastAsia="Times New Roman"/>
                <w:noProof/>
                <w:sz w:val="18"/>
                <w:szCs w:val="18"/>
              </w:rPr>
              <w:t>Izdevumi</w:t>
            </w:r>
          </w:p>
        </w:tc>
        <w:tc>
          <w:tcPr>
            <w:tcW w:w="851" w:type="dxa"/>
            <w:noWrap/>
            <w:vAlign w:val="center"/>
          </w:tcPr>
          <w:p w14:paraId="524F07D8"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3 589,6</w:t>
            </w:r>
          </w:p>
        </w:tc>
        <w:tc>
          <w:tcPr>
            <w:tcW w:w="850" w:type="dxa"/>
            <w:noWrap/>
            <w:vAlign w:val="center"/>
          </w:tcPr>
          <w:p w14:paraId="3CECD00C"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3 988,3</w:t>
            </w:r>
          </w:p>
        </w:tc>
        <w:tc>
          <w:tcPr>
            <w:tcW w:w="851" w:type="dxa"/>
            <w:noWrap/>
            <w:vAlign w:val="center"/>
          </w:tcPr>
          <w:p w14:paraId="63F62962"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4 311,9</w:t>
            </w:r>
          </w:p>
        </w:tc>
        <w:tc>
          <w:tcPr>
            <w:tcW w:w="1110" w:type="dxa"/>
            <w:noWrap/>
            <w:vAlign w:val="center"/>
          </w:tcPr>
          <w:p w14:paraId="759E8A50"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4 762,3</w:t>
            </w:r>
          </w:p>
        </w:tc>
        <w:tc>
          <w:tcPr>
            <w:tcW w:w="860" w:type="dxa"/>
            <w:noWrap/>
            <w:vAlign w:val="center"/>
          </w:tcPr>
          <w:p w14:paraId="5E2D069D"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5 069,2</w:t>
            </w:r>
          </w:p>
        </w:tc>
        <w:tc>
          <w:tcPr>
            <w:tcW w:w="860" w:type="dxa"/>
            <w:noWrap/>
            <w:vAlign w:val="center"/>
          </w:tcPr>
          <w:p w14:paraId="00639014"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5 476,7</w:t>
            </w:r>
          </w:p>
        </w:tc>
        <w:tc>
          <w:tcPr>
            <w:tcW w:w="879" w:type="dxa"/>
            <w:noWrap/>
            <w:vAlign w:val="center"/>
          </w:tcPr>
          <w:p w14:paraId="069AF6FB"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5 841,7</w:t>
            </w:r>
          </w:p>
        </w:tc>
        <w:tc>
          <w:tcPr>
            <w:tcW w:w="879" w:type="dxa"/>
            <w:vAlign w:val="center"/>
          </w:tcPr>
          <w:p w14:paraId="0201B901"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6 209,8</w:t>
            </w:r>
          </w:p>
        </w:tc>
      </w:tr>
      <w:tr w:rsidR="00B74FFA" w:rsidRPr="001C0357" w14:paraId="43131D8B" w14:textId="77777777" w:rsidTr="00AC4FED">
        <w:trPr>
          <w:trHeight w:val="65"/>
          <w:tblHeader/>
          <w:jc w:val="center"/>
        </w:trPr>
        <w:tc>
          <w:tcPr>
            <w:tcW w:w="2972" w:type="dxa"/>
            <w:hideMark/>
          </w:tcPr>
          <w:p w14:paraId="384CE6AC" w14:textId="77777777" w:rsidR="00B74FFA" w:rsidRPr="001C0357" w:rsidRDefault="00B74FFA" w:rsidP="00AC4FED">
            <w:pPr>
              <w:spacing w:before="0" w:after="0"/>
              <w:ind w:firstLine="0"/>
              <w:contextualSpacing/>
              <w:jc w:val="left"/>
              <w:rPr>
                <w:rFonts w:eastAsia="Times New Roman"/>
                <w:b/>
                <w:bCs/>
                <w:noProof/>
                <w:sz w:val="18"/>
                <w:szCs w:val="18"/>
              </w:rPr>
            </w:pPr>
            <w:r w:rsidRPr="001C0357">
              <w:rPr>
                <w:rFonts w:eastAsia="Times New Roman"/>
                <w:b/>
                <w:bCs/>
                <w:noProof/>
                <w:sz w:val="18"/>
                <w:szCs w:val="18"/>
              </w:rPr>
              <w:t>ATVAS. PUBL. PERS. BUDŽETA BILANCE</w:t>
            </w:r>
          </w:p>
        </w:tc>
        <w:tc>
          <w:tcPr>
            <w:tcW w:w="851" w:type="dxa"/>
            <w:noWrap/>
            <w:vAlign w:val="center"/>
          </w:tcPr>
          <w:p w14:paraId="793A3708"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32,2</w:t>
            </w:r>
          </w:p>
        </w:tc>
        <w:tc>
          <w:tcPr>
            <w:tcW w:w="850" w:type="dxa"/>
            <w:noWrap/>
            <w:vAlign w:val="center"/>
          </w:tcPr>
          <w:p w14:paraId="495E20C5"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12,6</w:t>
            </w:r>
          </w:p>
        </w:tc>
        <w:tc>
          <w:tcPr>
            <w:tcW w:w="851" w:type="dxa"/>
            <w:noWrap/>
            <w:vAlign w:val="center"/>
          </w:tcPr>
          <w:p w14:paraId="3B1C10F0"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60,6</w:t>
            </w:r>
          </w:p>
        </w:tc>
        <w:tc>
          <w:tcPr>
            <w:tcW w:w="1110" w:type="dxa"/>
            <w:noWrap/>
            <w:vAlign w:val="center"/>
          </w:tcPr>
          <w:p w14:paraId="3EC2AC31"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61,3</w:t>
            </w:r>
          </w:p>
        </w:tc>
        <w:tc>
          <w:tcPr>
            <w:tcW w:w="860" w:type="dxa"/>
            <w:noWrap/>
            <w:vAlign w:val="center"/>
          </w:tcPr>
          <w:p w14:paraId="4D54A7F2"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27,0</w:t>
            </w:r>
          </w:p>
        </w:tc>
        <w:tc>
          <w:tcPr>
            <w:tcW w:w="860" w:type="dxa"/>
            <w:noWrap/>
            <w:vAlign w:val="center"/>
          </w:tcPr>
          <w:p w14:paraId="43BBC814"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4,3</w:t>
            </w:r>
          </w:p>
        </w:tc>
        <w:tc>
          <w:tcPr>
            <w:tcW w:w="879" w:type="dxa"/>
            <w:noWrap/>
            <w:vAlign w:val="center"/>
          </w:tcPr>
          <w:p w14:paraId="15F786F4"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-4,0</w:t>
            </w:r>
          </w:p>
        </w:tc>
        <w:tc>
          <w:tcPr>
            <w:tcW w:w="879" w:type="dxa"/>
            <w:vAlign w:val="center"/>
          </w:tcPr>
          <w:p w14:paraId="5400F064"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-5,1</w:t>
            </w:r>
          </w:p>
        </w:tc>
      </w:tr>
      <w:tr w:rsidR="00B74FFA" w:rsidRPr="001C0357" w14:paraId="14040C6A" w14:textId="77777777" w:rsidTr="00AC4FED">
        <w:trPr>
          <w:trHeight w:val="65"/>
          <w:tblHeader/>
          <w:jc w:val="center"/>
        </w:trPr>
        <w:tc>
          <w:tcPr>
            <w:tcW w:w="2972" w:type="dxa"/>
            <w:noWrap/>
            <w:hideMark/>
          </w:tcPr>
          <w:p w14:paraId="4F6148F1" w14:textId="77777777" w:rsidR="00B74FFA" w:rsidRPr="001C0357" w:rsidRDefault="00B74FFA" w:rsidP="00AC4FED">
            <w:pPr>
              <w:spacing w:before="0" w:after="0"/>
              <w:ind w:firstLine="0"/>
              <w:contextualSpacing/>
              <w:jc w:val="left"/>
              <w:rPr>
                <w:rFonts w:eastAsia="Times New Roman"/>
                <w:noProof/>
                <w:sz w:val="18"/>
                <w:szCs w:val="18"/>
              </w:rPr>
            </w:pPr>
            <w:r w:rsidRPr="001C0357">
              <w:rPr>
                <w:rFonts w:eastAsia="Times New Roman"/>
                <w:noProof/>
                <w:sz w:val="18"/>
                <w:szCs w:val="18"/>
              </w:rPr>
              <w:t>Ieņēmumi</w:t>
            </w:r>
          </w:p>
        </w:tc>
        <w:tc>
          <w:tcPr>
            <w:tcW w:w="851" w:type="dxa"/>
            <w:noWrap/>
            <w:vAlign w:val="center"/>
          </w:tcPr>
          <w:p w14:paraId="62383185"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563,8</w:t>
            </w:r>
          </w:p>
        </w:tc>
        <w:tc>
          <w:tcPr>
            <w:tcW w:w="850" w:type="dxa"/>
            <w:noWrap/>
            <w:vAlign w:val="center"/>
          </w:tcPr>
          <w:p w14:paraId="20D0B1B5"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603,6</w:t>
            </w:r>
          </w:p>
        </w:tc>
        <w:tc>
          <w:tcPr>
            <w:tcW w:w="851" w:type="dxa"/>
            <w:noWrap/>
            <w:vAlign w:val="center"/>
          </w:tcPr>
          <w:p w14:paraId="013E1FEF"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677,5</w:t>
            </w:r>
          </w:p>
        </w:tc>
        <w:tc>
          <w:tcPr>
            <w:tcW w:w="1110" w:type="dxa"/>
            <w:noWrap/>
            <w:vAlign w:val="center"/>
          </w:tcPr>
          <w:p w14:paraId="475BC99F"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717,9</w:t>
            </w:r>
          </w:p>
        </w:tc>
        <w:tc>
          <w:tcPr>
            <w:tcW w:w="860" w:type="dxa"/>
            <w:noWrap/>
            <w:vAlign w:val="center"/>
          </w:tcPr>
          <w:p w14:paraId="2752C2A3"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694,3</w:t>
            </w:r>
          </w:p>
        </w:tc>
        <w:tc>
          <w:tcPr>
            <w:tcW w:w="860" w:type="dxa"/>
            <w:noWrap/>
            <w:vAlign w:val="center"/>
          </w:tcPr>
          <w:p w14:paraId="2D01BF68"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673,9</w:t>
            </w:r>
          </w:p>
        </w:tc>
        <w:tc>
          <w:tcPr>
            <w:tcW w:w="879" w:type="dxa"/>
            <w:noWrap/>
            <w:vAlign w:val="center"/>
          </w:tcPr>
          <w:p w14:paraId="3718CA9B"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667,6</w:t>
            </w:r>
          </w:p>
        </w:tc>
        <w:tc>
          <w:tcPr>
            <w:tcW w:w="879" w:type="dxa"/>
            <w:vAlign w:val="center"/>
          </w:tcPr>
          <w:p w14:paraId="4D215D45"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670,4</w:t>
            </w:r>
          </w:p>
        </w:tc>
      </w:tr>
      <w:tr w:rsidR="00B74FFA" w:rsidRPr="001C0357" w14:paraId="64C6E382" w14:textId="77777777" w:rsidTr="00AC4FED">
        <w:trPr>
          <w:trHeight w:val="65"/>
          <w:tblHeader/>
          <w:jc w:val="center"/>
        </w:trPr>
        <w:tc>
          <w:tcPr>
            <w:tcW w:w="2972" w:type="dxa"/>
            <w:noWrap/>
            <w:hideMark/>
          </w:tcPr>
          <w:p w14:paraId="7A5D0B02" w14:textId="77777777" w:rsidR="00B74FFA" w:rsidRPr="001C0357" w:rsidRDefault="00B74FFA" w:rsidP="00AC4FED">
            <w:pPr>
              <w:spacing w:before="0" w:after="0"/>
              <w:ind w:firstLine="0"/>
              <w:contextualSpacing/>
              <w:jc w:val="left"/>
              <w:rPr>
                <w:rFonts w:eastAsia="Times New Roman"/>
                <w:i/>
                <w:iCs/>
                <w:noProof/>
                <w:sz w:val="18"/>
                <w:szCs w:val="18"/>
              </w:rPr>
            </w:pPr>
            <w:r w:rsidRPr="001C0357">
              <w:rPr>
                <w:rFonts w:eastAsia="Times New Roman"/>
                <w:i/>
                <w:iCs/>
                <w:noProof/>
                <w:sz w:val="18"/>
                <w:szCs w:val="18"/>
              </w:rPr>
              <w:t>Izdevumi</w:t>
            </w:r>
          </w:p>
        </w:tc>
        <w:tc>
          <w:tcPr>
            <w:tcW w:w="851" w:type="dxa"/>
            <w:noWrap/>
            <w:vAlign w:val="center"/>
          </w:tcPr>
          <w:p w14:paraId="5E7C3706"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531,7</w:t>
            </w:r>
          </w:p>
        </w:tc>
        <w:tc>
          <w:tcPr>
            <w:tcW w:w="850" w:type="dxa"/>
            <w:noWrap/>
            <w:vAlign w:val="center"/>
          </w:tcPr>
          <w:p w14:paraId="5E57BF37"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590,9</w:t>
            </w:r>
          </w:p>
        </w:tc>
        <w:tc>
          <w:tcPr>
            <w:tcW w:w="851" w:type="dxa"/>
            <w:noWrap/>
            <w:vAlign w:val="center"/>
          </w:tcPr>
          <w:p w14:paraId="674F793E"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616,8</w:t>
            </w:r>
          </w:p>
        </w:tc>
        <w:tc>
          <w:tcPr>
            <w:tcW w:w="1110" w:type="dxa"/>
            <w:noWrap/>
            <w:vAlign w:val="center"/>
          </w:tcPr>
          <w:p w14:paraId="6EEB3EAD"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656,6</w:t>
            </w:r>
          </w:p>
        </w:tc>
        <w:tc>
          <w:tcPr>
            <w:tcW w:w="860" w:type="dxa"/>
            <w:noWrap/>
            <w:vAlign w:val="center"/>
          </w:tcPr>
          <w:p w14:paraId="51D0560D"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667,2</w:t>
            </w:r>
          </w:p>
        </w:tc>
        <w:tc>
          <w:tcPr>
            <w:tcW w:w="860" w:type="dxa"/>
            <w:noWrap/>
            <w:vAlign w:val="center"/>
          </w:tcPr>
          <w:p w14:paraId="40821D72"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669,6</w:t>
            </w:r>
          </w:p>
        </w:tc>
        <w:tc>
          <w:tcPr>
            <w:tcW w:w="879" w:type="dxa"/>
            <w:noWrap/>
            <w:vAlign w:val="center"/>
          </w:tcPr>
          <w:p w14:paraId="5AB06765"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671,6</w:t>
            </w:r>
          </w:p>
        </w:tc>
        <w:tc>
          <w:tcPr>
            <w:tcW w:w="879" w:type="dxa"/>
            <w:vAlign w:val="center"/>
          </w:tcPr>
          <w:p w14:paraId="3C7B6462"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675,5</w:t>
            </w:r>
          </w:p>
        </w:tc>
      </w:tr>
      <w:tr w:rsidR="00B74FFA" w:rsidRPr="001C0357" w14:paraId="185979B5" w14:textId="77777777" w:rsidTr="00AC4FED">
        <w:trPr>
          <w:trHeight w:val="383"/>
          <w:tblHeader/>
          <w:jc w:val="center"/>
        </w:trPr>
        <w:tc>
          <w:tcPr>
            <w:tcW w:w="2972" w:type="dxa"/>
            <w:shd w:val="clear" w:color="auto" w:fill="F0E7DA"/>
            <w:noWrap/>
            <w:vAlign w:val="center"/>
            <w:hideMark/>
          </w:tcPr>
          <w:p w14:paraId="3D12DF3F" w14:textId="77777777" w:rsidR="00B74FFA" w:rsidRPr="001C0357" w:rsidRDefault="00B74FFA" w:rsidP="00AC4FED">
            <w:pPr>
              <w:spacing w:before="0" w:after="0"/>
              <w:ind w:firstLine="0"/>
              <w:contextualSpacing/>
              <w:jc w:val="left"/>
              <w:rPr>
                <w:rFonts w:eastAsia="Times New Roman"/>
                <w:b/>
                <w:bCs/>
                <w:noProof/>
                <w:sz w:val="18"/>
                <w:szCs w:val="18"/>
              </w:rPr>
            </w:pPr>
            <w:r w:rsidRPr="001C0357">
              <w:rPr>
                <w:rFonts w:eastAsia="Times New Roman"/>
                <w:b/>
                <w:bCs/>
                <w:noProof/>
                <w:sz w:val="18"/>
                <w:szCs w:val="18"/>
              </w:rPr>
              <w:t>PAŠVALDĪBU BUDŽETA BILANCE</w:t>
            </w:r>
          </w:p>
        </w:tc>
        <w:tc>
          <w:tcPr>
            <w:tcW w:w="851" w:type="dxa"/>
            <w:shd w:val="clear" w:color="auto" w:fill="F0E7DA"/>
            <w:noWrap/>
            <w:vAlign w:val="center"/>
          </w:tcPr>
          <w:p w14:paraId="180B58BE"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62,9</w:t>
            </w:r>
          </w:p>
        </w:tc>
        <w:tc>
          <w:tcPr>
            <w:tcW w:w="850" w:type="dxa"/>
            <w:shd w:val="clear" w:color="auto" w:fill="F0E7DA"/>
            <w:noWrap/>
            <w:vAlign w:val="center"/>
          </w:tcPr>
          <w:p w14:paraId="0658373C"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-155,9</w:t>
            </w:r>
          </w:p>
        </w:tc>
        <w:tc>
          <w:tcPr>
            <w:tcW w:w="851" w:type="dxa"/>
            <w:shd w:val="clear" w:color="auto" w:fill="F0E7DA"/>
            <w:noWrap/>
            <w:vAlign w:val="center"/>
          </w:tcPr>
          <w:p w14:paraId="014BB3D8"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-48,3</w:t>
            </w:r>
          </w:p>
        </w:tc>
        <w:tc>
          <w:tcPr>
            <w:tcW w:w="1110" w:type="dxa"/>
            <w:shd w:val="clear" w:color="auto" w:fill="F0E7DA"/>
            <w:noWrap/>
            <w:vAlign w:val="center"/>
          </w:tcPr>
          <w:p w14:paraId="503F1E0A"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28,7</w:t>
            </w:r>
          </w:p>
        </w:tc>
        <w:tc>
          <w:tcPr>
            <w:tcW w:w="860" w:type="dxa"/>
            <w:shd w:val="clear" w:color="auto" w:fill="F0E7DA"/>
            <w:noWrap/>
            <w:vAlign w:val="center"/>
          </w:tcPr>
          <w:p w14:paraId="207044CC"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65,7</w:t>
            </w:r>
          </w:p>
        </w:tc>
        <w:tc>
          <w:tcPr>
            <w:tcW w:w="860" w:type="dxa"/>
            <w:shd w:val="clear" w:color="auto" w:fill="F0E7DA"/>
            <w:noWrap/>
            <w:vAlign w:val="center"/>
          </w:tcPr>
          <w:p w14:paraId="0E0BF8EA"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68,6</w:t>
            </w:r>
          </w:p>
        </w:tc>
        <w:tc>
          <w:tcPr>
            <w:tcW w:w="879" w:type="dxa"/>
            <w:shd w:val="clear" w:color="auto" w:fill="F0E7DA"/>
            <w:noWrap/>
            <w:vAlign w:val="center"/>
          </w:tcPr>
          <w:p w14:paraId="7C58E253"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74,8</w:t>
            </w:r>
          </w:p>
        </w:tc>
        <w:tc>
          <w:tcPr>
            <w:tcW w:w="879" w:type="dxa"/>
            <w:shd w:val="clear" w:color="auto" w:fill="F0E7DA"/>
            <w:vAlign w:val="center"/>
          </w:tcPr>
          <w:p w14:paraId="78EF88A1"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99,7</w:t>
            </w:r>
          </w:p>
        </w:tc>
      </w:tr>
      <w:tr w:rsidR="00B74FFA" w:rsidRPr="001C0357" w14:paraId="7ED1C2F9" w14:textId="77777777" w:rsidTr="00AC4FED">
        <w:trPr>
          <w:trHeight w:val="65"/>
          <w:tblHeader/>
          <w:jc w:val="center"/>
        </w:trPr>
        <w:tc>
          <w:tcPr>
            <w:tcW w:w="2972" w:type="dxa"/>
            <w:noWrap/>
            <w:hideMark/>
          </w:tcPr>
          <w:p w14:paraId="3B9ED9EA" w14:textId="77777777" w:rsidR="00B74FFA" w:rsidRPr="001C0357" w:rsidRDefault="00B74FFA" w:rsidP="00AC4FED">
            <w:pPr>
              <w:spacing w:before="0" w:after="0"/>
              <w:ind w:firstLine="0"/>
              <w:contextualSpacing/>
              <w:jc w:val="left"/>
              <w:rPr>
                <w:rFonts w:eastAsia="Times New Roman"/>
                <w:noProof/>
                <w:sz w:val="18"/>
                <w:szCs w:val="18"/>
              </w:rPr>
            </w:pPr>
            <w:r w:rsidRPr="001C0357">
              <w:rPr>
                <w:rFonts w:eastAsia="Times New Roman"/>
                <w:noProof/>
                <w:sz w:val="18"/>
                <w:szCs w:val="18"/>
              </w:rPr>
              <w:t>Ieņēmumi</w:t>
            </w:r>
          </w:p>
        </w:tc>
        <w:tc>
          <w:tcPr>
            <w:tcW w:w="851" w:type="dxa"/>
            <w:noWrap/>
            <w:vAlign w:val="center"/>
          </w:tcPr>
          <w:p w14:paraId="581AB295"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3 251,2</w:t>
            </w:r>
          </w:p>
        </w:tc>
        <w:tc>
          <w:tcPr>
            <w:tcW w:w="850" w:type="dxa"/>
            <w:noWrap/>
            <w:vAlign w:val="center"/>
          </w:tcPr>
          <w:p w14:paraId="1341F066"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3 479,1</w:t>
            </w:r>
          </w:p>
        </w:tc>
        <w:tc>
          <w:tcPr>
            <w:tcW w:w="851" w:type="dxa"/>
            <w:noWrap/>
            <w:vAlign w:val="center"/>
          </w:tcPr>
          <w:p w14:paraId="63B02C9A"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3 750,9</w:t>
            </w:r>
          </w:p>
        </w:tc>
        <w:tc>
          <w:tcPr>
            <w:tcW w:w="1110" w:type="dxa"/>
            <w:noWrap/>
            <w:vAlign w:val="center"/>
          </w:tcPr>
          <w:p w14:paraId="78AC0EF2"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4 094,3</w:t>
            </w:r>
          </w:p>
        </w:tc>
        <w:tc>
          <w:tcPr>
            <w:tcW w:w="860" w:type="dxa"/>
            <w:noWrap/>
            <w:vAlign w:val="center"/>
          </w:tcPr>
          <w:p w14:paraId="7BC6558B"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4 206,0</w:t>
            </w:r>
          </w:p>
        </w:tc>
        <w:tc>
          <w:tcPr>
            <w:tcW w:w="860" w:type="dxa"/>
            <w:noWrap/>
            <w:vAlign w:val="center"/>
          </w:tcPr>
          <w:p w14:paraId="02CCAA9D"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4 296,5</w:t>
            </w:r>
          </w:p>
        </w:tc>
        <w:tc>
          <w:tcPr>
            <w:tcW w:w="879" w:type="dxa"/>
            <w:noWrap/>
            <w:vAlign w:val="center"/>
          </w:tcPr>
          <w:p w14:paraId="00B9F8EB"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4 412,3</w:t>
            </w:r>
          </w:p>
        </w:tc>
        <w:tc>
          <w:tcPr>
            <w:tcW w:w="879" w:type="dxa"/>
            <w:vAlign w:val="center"/>
          </w:tcPr>
          <w:p w14:paraId="798F0578"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4 570,7</w:t>
            </w:r>
          </w:p>
        </w:tc>
      </w:tr>
      <w:tr w:rsidR="00B74FFA" w:rsidRPr="001C0357" w14:paraId="7F9D57A5" w14:textId="77777777" w:rsidTr="00AC4FED">
        <w:trPr>
          <w:trHeight w:val="65"/>
          <w:tblHeader/>
          <w:jc w:val="center"/>
        </w:trPr>
        <w:tc>
          <w:tcPr>
            <w:tcW w:w="2972" w:type="dxa"/>
            <w:noWrap/>
            <w:hideMark/>
          </w:tcPr>
          <w:p w14:paraId="5031B754" w14:textId="77777777" w:rsidR="00B74FFA" w:rsidRPr="001C0357" w:rsidRDefault="00B74FFA" w:rsidP="00AC4FED">
            <w:pPr>
              <w:spacing w:before="0" w:after="0"/>
              <w:ind w:firstLine="0"/>
              <w:contextualSpacing/>
              <w:jc w:val="left"/>
              <w:rPr>
                <w:rFonts w:eastAsia="Times New Roman"/>
                <w:noProof/>
                <w:sz w:val="18"/>
                <w:szCs w:val="18"/>
              </w:rPr>
            </w:pPr>
            <w:r w:rsidRPr="001C0357">
              <w:rPr>
                <w:rFonts w:eastAsia="Times New Roman"/>
                <w:noProof/>
                <w:sz w:val="18"/>
                <w:szCs w:val="18"/>
              </w:rPr>
              <w:t>Izdevumi</w:t>
            </w:r>
          </w:p>
        </w:tc>
        <w:tc>
          <w:tcPr>
            <w:tcW w:w="851" w:type="dxa"/>
            <w:noWrap/>
            <w:vAlign w:val="center"/>
          </w:tcPr>
          <w:p w14:paraId="1E52E882"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3 188,3</w:t>
            </w:r>
          </w:p>
        </w:tc>
        <w:tc>
          <w:tcPr>
            <w:tcW w:w="850" w:type="dxa"/>
            <w:noWrap/>
            <w:vAlign w:val="center"/>
          </w:tcPr>
          <w:p w14:paraId="6DAE98A4"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3 635,0</w:t>
            </w:r>
          </w:p>
        </w:tc>
        <w:tc>
          <w:tcPr>
            <w:tcW w:w="851" w:type="dxa"/>
            <w:noWrap/>
            <w:vAlign w:val="center"/>
          </w:tcPr>
          <w:p w14:paraId="5E22CE7A"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3 799,2</w:t>
            </w:r>
          </w:p>
        </w:tc>
        <w:tc>
          <w:tcPr>
            <w:tcW w:w="1110" w:type="dxa"/>
            <w:noWrap/>
            <w:vAlign w:val="center"/>
          </w:tcPr>
          <w:p w14:paraId="785804BF"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4 065,6</w:t>
            </w:r>
          </w:p>
        </w:tc>
        <w:tc>
          <w:tcPr>
            <w:tcW w:w="860" w:type="dxa"/>
            <w:noWrap/>
            <w:vAlign w:val="center"/>
          </w:tcPr>
          <w:p w14:paraId="63BAF8D6"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4 140,3</w:t>
            </w:r>
          </w:p>
        </w:tc>
        <w:tc>
          <w:tcPr>
            <w:tcW w:w="860" w:type="dxa"/>
            <w:noWrap/>
            <w:vAlign w:val="center"/>
          </w:tcPr>
          <w:p w14:paraId="16E927D9"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4 227,9</w:t>
            </w:r>
          </w:p>
        </w:tc>
        <w:tc>
          <w:tcPr>
            <w:tcW w:w="879" w:type="dxa"/>
            <w:noWrap/>
            <w:vAlign w:val="center"/>
          </w:tcPr>
          <w:p w14:paraId="09AA7E36"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4 337,4</w:t>
            </w:r>
          </w:p>
        </w:tc>
        <w:tc>
          <w:tcPr>
            <w:tcW w:w="879" w:type="dxa"/>
            <w:vAlign w:val="center"/>
          </w:tcPr>
          <w:p w14:paraId="6CB890F1"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4 470,9</w:t>
            </w:r>
          </w:p>
        </w:tc>
      </w:tr>
      <w:tr w:rsidR="00B74FFA" w:rsidRPr="001C0357" w14:paraId="312FB6EE" w14:textId="77777777" w:rsidTr="00AC4FED">
        <w:trPr>
          <w:trHeight w:val="65"/>
          <w:tblHeader/>
          <w:jc w:val="center"/>
        </w:trPr>
        <w:tc>
          <w:tcPr>
            <w:tcW w:w="2972" w:type="dxa"/>
            <w:noWrap/>
            <w:hideMark/>
          </w:tcPr>
          <w:p w14:paraId="52385CEF" w14:textId="77777777" w:rsidR="00B74FFA" w:rsidRPr="001C0357" w:rsidRDefault="00B74FFA" w:rsidP="00AC4FED">
            <w:pPr>
              <w:spacing w:before="0" w:after="0"/>
              <w:ind w:firstLineChars="300" w:firstLine="540"/>
              <w:contextualSpacing/>
              <w:jc w:val="left"/>
              <w:rPr>
                <w:rFonts w:eastAsia="Times New Roman"/>
                <w:i/>
                <w:iCs/>
                <w:noProof/>
                <w:sz w:val="18"/>
                <w:szCs w:val="18"/>
              </w:rPr>
            </w:pPr>
            <w:r w:rsidRPr="001C0357">
              <w:rPr>
                <w:rFonts w:eastAsia="Times New Roman"/>
                <w:i/>
                <w:iCs/>
                <w:noProof/>
                <w:sz w:val="18"/>
                <w:szCs w:val="18"/>
              </w:rPr>
              <w:t>Pamatfunkciju daļa</w:t>
            </w:r>
          </w:p>
        </w:tc>
        <w:tc>
          <w:tcPr>
            <w:tcW w:w="851" w:type="dxa"/>
            <w:tcBorders>
              <w:bottom w:val="single" w:sz="4" w:space="0" w:color="auto"/>
            </w:tcBorders>
            <w:noWrap/>
            <w:vAlign w:val="center"/>
          </w:tcPr>
          <w:p w14:paraId="575230BD"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2 937,3</w:t>
            </w:r>
          </w:p>
        </w:tc>
        <w:tc>
          <w:tcPr>
            <w:tcW w:w="850" w:type="dxa"/>
            <w:noWrap/>
            <w:vAlign w:val="center"/>
          </w:tcPr>
          <w:p w14:paraId="07249C6E"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3 329,7</w:t>
            </w:r>
          </w:p>
        </w:tc>
        <w:tc>
          <w:tcPr>
            <w:tcW w:w="851" w:type="dxa"/>
            <w:noWrap/>
            <w:vAlign w:val="center"/>
          </w:tcPr>
          <w:p w14:paraId="2291CC4E"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3 676,7</w:t>
            </w:r>
          </w:p>
        </w:tc>
        <w:tc>
          <w:tcPr>
            <w:tcW w:w="1110" w:type="dxa"/>
            <w:noWrap/>
            <w:vAlign w:val="center"/>
          </w:tcPr>
          <w:p w14:paraId="4E57837C"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3 705,0</w:t>
            </w:r>
          </w:p>
        </w:tc>
        <w:tc>
          <w:tcPr>
            <w:tcW w:w="860" w:type="dxa"/>
            <w:noWrap/>
            <w:vAlign w:val="center"/>
          </w:tcPr>
          <w:p w14:paraId="0E5BF9E7"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3 832,8</w:t>
            </w:r>
          </w:p>
        </w:tc>
        <w:tc>
          <w:tcPr>
            <w:tcW w:w="860" w:type="dxa"/>
            <w:noWrap/>
            <w:vAlign w:val="center"/>
          </w:tcPr>
          <w:p w14:paraId="798EBBD3"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3 972,1</w:t>
            </w:r>
          </w:p>
        </w:tc>
        <w:tc>
          <w:tcPr>
            <w:tcW w:w="879" w:type="dxa"/>
            <w:noWrap/>
            <w:vAlign w:val="center"/>
          </w:tcPr>
          <w:p w14:paraId="73C89498"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4 080,3</w:t>
            </w:r>
          </w:p>
        </w:tc>
        <w:tc>
          <w:tcPr>
            <w:tcW w:w="879" w:type="dxa"/>
            <w:vAlign w:val="center"/>
          </w:tcPr>
          <w:p w14:paraId="70F990AA"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4 191,6</w:t>
            </w:r>
          </w:p>
        </w:tc>
      </w:tr>
      <w:tr w:rsidR="00B74FFA" w:rsidRPr="001C0357" w14:paraId="5731898A" w14:textId="77777777" w:rsidTr="00AC4FED">
        <w:trPr>
          <w:trHeight w:val="65"/>
          <w:tblHeader/>
          <w:jc w:val="center"/>
        </w:trPr>
        <w:tc>
          <w:tcPr>
            <w:tcW w:w="2972" w:type="dxa"/>
            <w:noWrap/>
            <w:hideMark/>
          </w:tcPr>
          <w:p w14:paraId="0E8994F7" w14:textId="77777777" w:rsidR="00B74FFA" w:rsidRPr="001C0357" w:rsidRDefault="00B74FFA" w:rsidP="00AC4FED">
            <w:pPr>
              <w:spacing w:before="0" w:after="0"/>
              <w:ind w:firstLineChars="300" w:firstLine="540"/>
              <w:contextualSpacing/>
              <w:jc w:val="left"/>
              <w:rPr>
                <w:rFonts w:eastAsia="Times New Roman"/>
                <w:i/>
                <w:iCs/>
                <w:noProof/>
                <w:sz w:val="18"/>
                <w:szCs w:val="18"/>
              </w:rPr>
            </w:pPr>
            <w:r w:rsidRPr="001C0357">
              <w:rPr>
                <w:rFonts w:eastAsia="Times New Roman"/>
                <w:i/>
                <w:iCs/>
                <w:noProof/>
                <w:sz w:val="18"/>
                <w:szCs w:val="18"/>
              </w:rPr>
              <w:t>ĀFP daļa</w:t>
            </w:r>
          </w:p>
        </w:tc>
        <w:tc>
          <w:tcPr>
            <w:tcW w:w="851" w:type="dxa"/>
            <w:tcBorders>
              <w:bottom w:val="single" w:sz="4" w:space="0" w:color="auto"/>
            </w:tcBorders>
            <w:noWrap/>
            <w:vAlign w:val="center"/>
          </w:tcPr>
          <w:p w14:paraId="4F248CAA" w14:textId="77777777" w:rsidR="00B74FFA" w:rsidRPr="001C0357" w:rsidRDefault="00B74FFA" w:rsidP="00AC4FED">
            <w:pPr>
              <w:spacing w:before="0" w:after="0"/>
              <w:ind w:firstLine="0"/>
              <w:contextualSpacing/>
              <w:jc w:val="center"/>
              <w:rPr>
                <w:noProof/>
                <w:sz w:val="18"/>
                <w:szCs w:val="18"/>
              </w:rPr>
            </w:pPr>
            <w:r w:rsidRPr="001C0357">
              <w:rPr>
                <w:noProof/>
              </w:rPr>
              <w:t>251,0</w:t>
            </w:r>
          </w:p>
        </w:tc>
        <w:tc>
          <w:tcPr>
            <w:tcW w:w="850" w:type="dxa"/>
            <w:noWrap/>
            <w:vAlign w:val="center"/>
          </w:tcPr>
          <w:p w14:paraId="483533CB" w14:textId="77777777" w:rsidR="00B74FFA" w:rsidRPr="001C0357" w:rsidRDefault="00B74FFA" w:rsidP="00AC4FED">
            <w:pPr>
              <w:spacing w:before="0" w:after="0"/>
              <w:ind w:firstLine="0"/>
              <w:contextualSpacing/>
              <w:jc w:val="center"/>
              <w:rPr>
                <w:noProof/>
                <w:sz w:val="18"/>
                <w:szCs w:val="18"/>
              </w:rPr>
            </w:pPr>
            <w:r w:rsidRPr="001C0357">
              <w:rPr>
                <w:noProof/>
              </w:rPr>
              <w:t>305,3</w:t>
            </w:r>
          </w:p>
        </w:tc>
        <w:tc>
          <w:tcPr>
            <w:tcW w:w="851" w:type="dxa"/>
            <w:noWrap/>
            <w:vAlign w:val="center"/>
          </w:tcPr>
          <w:p w14:paraId="3C10CB03"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122,8</w:t>
            </w:r>
          </w:p>
        </w:tc>
        <w:tc>
          <w:tcPr>
            <w:tcW w:w="1110" w:type="dxa"/>
            <w:noWrap/>
            <w:vAlign w:val="center"/>
          </w:tcPr>
          <w:p w14:paraId="6B490AE1"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360,5</w:t>
            </w:r>
          </w:p>
        </w:tc>
        <w:tc>
          <w:tcPr>
            <w:tcW w:w="860" w:type="dxa"/>
            <w:noWrap/>
            <w:vAlign w:val="center"/>
          </w:tcPr>
          <w:p w14:paraId="6C333CF1"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307,5</w:t>
            </w:r>
          </w:p>
        </w:tc>
        <w:tc>
          <w:tcPr>
            <w:tcW w:w="860" w:type="dxa"/>
            <w:noWrap/>
            <w:vAlign w:val="center"/>
          </w:tcPr>
          <w:p w14:paraId="04B5D647"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255,8</w:t>
            </w:r>
          </w:p>
        </w:tc>
        <w:tc>
          <w:tcPr>
            <w:tcW w:w="879" w:type="dxa"/>
            <w:noWrap/>
            <w:vAlign w:val="center"/>
          </w:tcPr>
          <w:p w14:paraId="4EEA047C"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257,2</w:t>
            </w:r>
          </w:p>
        </w:tc>
        <w:tc>
          <w:tcPr>
            <w:tcW w:w="879" w:type="dxa"/>
            <w:vAlign w:val="center"/>
          </w:tcPr>
          <w:p w14:paraId="02BAE6B6" w14:textId="77777777" w:rsidR="00B74FFA" w:rsidRPr="001C0357" w:rsidRDefault="00B74FFA" w:rsidP="00AC4FED">
            <w:pPr>
              <w:spacing w:before="0" w:after="0"/>
              <w:ind w:firstLine="0"/>
              <w:contextualSpacing/>
              <w:jc w:val="center"/>
              <w:rPr>
                <w:noProof/>
                <w:sz w:val="18"/>
                <w:szCs w:val="18"/>
              </w:rPr>
            </w:pPr>
            <w:r w:rsidRPr="001C0357">
              <w:rPr>
                <w:noProof/>
                <w:sz w:val="18"/>
                <w:szCs w:val="18"/>
              </w:rPr>
              <w:t>279,4</w:t>
            </w:r>
          </w:p>
        </w:tc>
      </w:tr>
      <w:bookmarkEnd w:id="8"/>
    </w:tbl>
    <w:p w14:paraId="50E02478" w14:textId="77777777" w:rsidR="00B74FFA" w:rsidRDefault="00B74FFA">
      <w:pPr>
        <w:spacing w:before="0" w:after="0"/>
        <w:ind w:firstLine="0"/>
        <w:jc w:val="left"/>
        <w:rPr>
          <w:noProof/>
        </w:rPr>
      </w:pPr>
      <w:r>
        <w:rPr>
          <w:noProof/>
        </w:rPr>
        <w:br w:type="page"/>
      </w:r>
    </w:p>
    <w:p w14:paraId="784D7CB8" w14:textId="77777777" w:rsidR="00B74FFA" w:rsidRPr="001C0357" w:rsidRDefault="00B74FFA" w:rsidP="00B74FFA">
      <w:pPr>
        <w:rPr>
          <w:noProof/>
        </w:rPr>
      </w:pPr>
      <w:bookmarkStart w:id="9" w:name="_Hlk205807393"/>
      <w:r w:rsidRPr="001C0357">
        <w:rPr>
          <w:bCs/>
          <w:noProof/>
          <w:color w:val="000000" w:themeColor="text1"/>
        </w:rPr>
        <w:lastRenderedPageBreak/>
        <w:t>Deficīts pēc EKS metodoloģijas pamatā</w:t>
      </w:r>
      <w:r w:rsidRPr="001C0357">
        <w:rPr>
          <w:b/>
          <w:noProof/>
          <w:color w:val="000000" w:themeColor="text1"/>
        </w:rPr>
        <w:t xml:space="preserve"> </w:t>
      </w:r>
      <w:r w:rsidRPr="001C0357">
        <w:rPr>
          <w:bCs/>
          <w:noProof/>
          <w:color w:val="000000" w:themeColor="text1"/>
        </w:rPr>
        <w:t>veidojas centrālās valdības līmenī, no kura tiek finansēta aizsardzība un citas valdības prioritātes, kamēr vietējās valdības jeb pašvaldību līmenī tiek prognozēts neliels pārpalikums. Savukārt sociālās nodrošināšanas fondos jau ilgstoši vērojams stabils pārpalikums, tomēr vidējā termiņā tas samazināsies un 2029. gadā šajā budžeta līmenī veidosies neliels deficīts. 2029. gada prognozē pie nemainīgas politikas ir ņemts vērā, ka iemaksu likme 2. pensiju līmenī atjaunosies sākotnējā apmērā jeb palielināsies no 5% uz 6%, attiecīgi paredzot mazākus ieņēmumus 1. pensiju līmenī jeb valsts speciālajā budžetā.</w:t>
      </w:r>
    </w:p>
    <w:p w14:paraId="69DF6B9B" w14:textId="7DC8CCE7" w:rsidR="00E7284B" w:rsidRPr="001C0357" w:rsidRDefault="00E7284B" w:rsidP="00E7284B">
      <w:pPr>
        <w:rPr>
          <w:noProof/>
          <w:color w:val="000000" w:themeColor="text1"/>
        </w:rPr>
      </w:pPr>
      <w:r w:rsidRPr="001C0357">
        <w:rPr>
          <w:noProof/>
          <w:color w:val="000000" w:themeColor="text1"/>
        </w:rPr>
        <w:t>Galvenā</w:t>
      </w:r>
      <w:r w:rsidR="00617938" w:rsidRPr="001C0357">
        <w:rPr>
          <w:noProof/>
          <w:color w:val="000000" w:themeColor="text1"/>
        </w:rPr>
        <w:t>s</w:t>
      </w:r>
      <w:r w:rsidRPr="001C0357">
        <w:rPr>
          <w:noProof/>
          <w:color w:val="000000" w:themeColor="text1"/>
        </w:rPr>
        <w:t xml:space="preserve"> izmaiņas aktualizētajās vispārējās valdības budžeta bilancēs vidējam termiņam salīdzinājumā ar 2025. gada Progresa ziņojumu ir skaidrojamas ar šādiem faktoriem:</w:t>
      </w:r>
    </w:p>
    <w:p w14:paraId="3B3017B7" w14:textId="43065BC0" w:rsidR="00E7284B" w:rsidRPr="001C0357" w:rsidRDefault="00E7284B" w:rsidP="00156F9D">
      <w:pPr>
        <w:pStyle w:val="ListParagraph"/>
        <w:numPr>
          <w:ilvl w:val="0"/>
          <w:numId w:val="38"/>
        </w:numPr>
        <w:ind w:left="714" w:hanging="357"/>
        <w:contextualSpacing w:val="0"/>
        <w:rPr>
          <w:noProof/>
          <w:color w:val="000000" w:themeColor="text1"/>
        </w:rPr>
      </w:pPr>
      <w:r w:rsidRPr="001C0357">
        <w:rPr>
          <w:noProof/>
          <w:color w:val="000000" w:themeColor="text1"/>
        </w:rPr>
        <w:t>Atbilstoši valdības šā gada jūnijā un jūlijā lemtajam valsts pamatbudžeta 74.</w:t>
      </w:r>
      <w:r w:rsidR="0080205B" w:rsidRPr="001C0357">
        <w:rPr>
          <w:noProof/>
          <w:color w:val="000000" w:themeColor="text1"/>
        </w:rPr>
        <w:t> </w:t>
      </w:r>
      <w:r w:rsidRPr="001C0357">
        <w:rPr>
          <w:noProof/>
          <w:color w:val="000000" w:themeColor="text1"/>
        </w:rPr>
        <w:t>resorā izveidota jauna apakšprogramma 24.00.00 “</w:t>
      </w:r>
      <w:r w:rsidRPr="001C0357">
        <w:rPr>
          <w:b/>
          <w:bCs/>
          <w:noProof/>
          <w:color w:val="000000" w:themeColor="text1"/>
        </w:rPr>
        <w:t>Valsts aizsardzības un drošības fonds</w:t>
      </w:r>
      <w:r w:rsidRPr="001C0357">
        <w:rPr>
          <w:noProof/>
          <w:color w:val="000000" w:themeColor="text1"/>
        </w:rPr>
        <w:t xml:space="preserve">”. </w:t>
      </w:r>
      <w:r w:rsidR="00972F54" w:rsidRPr="001C0357">
        <w:rPr>
          <w:noProof/>
          <w:color w:val="000000" w:themeColor="text1"/>
        </w:rPr>
        <w:t xml:space="preserve">Tajā </w:t>
      </w:r>
      <w:r w:rsidRPr="001C0357">
        <w:rPr>
          <w:noProof/>
          <w:color w:val="000000" w:themeColor="text1"/>
        </w:rPr>
        <w:t xml:space="preserve">paredzēts finansējums, lai Latvija varētu virzīties uz aizsardzības izdevumu palielināšanu līdz 5% no IKP. Minētajā programmā šobrīd ieplānots šāds papildu finansējums pa gadiem: 2026. gadā 296,5 milj. </w:t>
      </w:r>
      <w:r w:rsidRPr="001C0357">
        <w:rPr>
          <w:i/>
          <w:iCs/>
          <w:noProof/>
          <w:color w:val="000000" w:themeColor="text1"/>
        </w:rPr>
        <w:t>euro</w:t>
      </w:r>
      <w:r w:rsidRPr="001C0357">
        <w:rPr>
          <w:noProof/>
          <w:color w:val="000000" w:themeColor="text1"/>
        </w:rPr>
        <w:t xml:space="preserve">, 2027. gadā 434,0 milj. </w:t>
      </w:r>
      <w:r w:rsidRPr="001C0357">
        <w:rPr>
          <w:i/>
          <w:iCs/>
          <w:noProof/>
          <w:color w:val="000000" w:themeColor="text1"/>
        </w:rPr>
        <w:t>euro</w:t>
      </w:r>
      <w:r w:rsidRPr="001C0357">
        <w:rPr>
          <w:noProof/>
          <w:color w:val="000000" w:themeColor="text1"/>
        </w:rPr>
        <w:t>, 2028.</w:t>
      </w:r>
      <w:r w:rsidR="0080205B" w:rsidRPr="001C0357">
        <w:rPr>
          <w:noProof/>
          <w:color w:val="000000" w:themeColor="text1"/>
        </w:rPr>
        <w:t> </w:t>
      </w:r>
      <w:r w:rsidRPr="001C0357">
        <w:rPr>
          <w:noProof/>
          <w:color w:val="000000" w:themeColor="text1"/>
        </w:rPr>
        <w:t xml:space="preserve">gadā 652,0 milj. </w:t>
      </w:r>
      <w:r w:rsidRPr="001C0357">
        <w:rPr>
          <w:i/>
          <w:iCs/>
          <w:noProof/>
          <w:color w:val="000000" w:themeColor="text1"/>
        </w:rPr>
        <w:t>euro</w:t>
      </w:r>
      <w:r w:rsidRPr="001C0357">
        <w:rPr>
          <w:noProof/>
          <w:color w:val="000000" w:themeColor="text1"/>
        </w:rPr>
        <w:t xml:space="preserve"> un 2029. gadā 806,0 milj. </w:t>
      </w:r>
      <w:r w:rsidRPr="001C0357">
        <w:rPr>
          <w:i/>
          <w:iCs/>
          <w:noProof/>
          <w:color w:val="000000" w:themeColor="text1"/>
        </w:rPr>
        <w:t>euro</w:t>
      </w:r>
      <w:r w:rsidR="0080205B" w:rsidRPr="001C0357">
        <w:rPr>
          <w:noProof/>
          <w:color w:val="000000" w:themeColor="text1"/>
        </w:rPr>
        <w:t xml:space="preserve">, kas </w:t>
      </w:r>
      <w:r w:rsidRPr="001C0357">
        <w:rPr>
          <w:noProof/>
          <w:color w:val="000000" w:themeColor="text1"/>
        </w:rPr>
        <w:t>būtiski pasliktina vispārējās valdības budžeta bilanc</w:t>
      </w:r>
      <w:r w:rsidR="0080205B" w:rsidRPr="001C0357">
        <w:rPr>
          <w:noProof/>
          <w:color w:val="000000" w:themeColor="text1"/>
        </w:rPr>
        <w:t>es</w:t>
      </w:r>
      <w:r w:rsidRPr="001C0357">
        <w:rPr>
          <w:noProof/>
          <w:color w:val="000000" w:themeColor="text1"/>
        </w:rPr>
        <w:t xml:space="preserve"> vidējā termiņā</w:t>
      </w:r>
      <w:r w:rsidR="0080205B" w:rsidRPr="001C0357">
        <w:rPr>
          <w:noProof/>
          <w:color w:val="000000" w:themeColor="text1"/>
        </w:rPr>
        <w:t xml:space="preserve"> salīdzinājumā ar pavasara prognozēm.</w:t>
      </w:r>
      <w:r w:rsidRPr="001C0357">
        <w:rPr>
          <w:noProof/>
          <w:color w:val="000000" w:themeColor="text1"/>
        </w:rPr>
        <w:t xml:space="preserve"> Finanšu ministrija atbilstoši Aizsardzības ministrijas sniegtajai informācijai ir veikusi avansa maksājumu un </w:t>
      </w:r>
      <w:r w:rsidR="00BF1C2F" w:rsidRPr="001C0357">
        <w:rPr>
          <w:noProof/>
          <w:color w:val="000000" w:themeColor="text1"/>
        </w:rPr>
        <w:t xml:space="preserve">reālo preču, pakalpojumu vai pamatlīdzekļu </w:t>
      </w:r>
      <w:r w:rsidRPr="001C0357">
        <w:rPr>
          <w:noProof/>
          <w:color w:val="000000" w:themeColor="text1"/>
        </w:rPr>
        <w:t>piegāžu apmēru novērtējumu, at</w:t>
      </w:r>
      <w:r w:rsidR="0080205B" w:rsidRPr="001C0357">
        <w:rPr>
          <w:noProof/>
          <w:color w:val="000000" w:themeColor="text1"/>
        </w:rPr>
        <w:t>tiecīgi koriģējot</w:t>
      </w:r>
      <w:r w:rsidRPr="001C0357">
        <w:rPr>
          <w:noProof/>
          <w:color w:val="000000" w:themeColor="text1"/>
        </w:rPr>
        <w:t xml:space="preserve"> vispārējās valdības budžeta bilances</w:t>
      </w:r>
      <w:r w:rsidR="00BF1C2F" w:rsidRPr="001C0357">
        <w:rPr>
          <w:noProof/>
          <w:color w:val="000000" w:themeColor="text1"/>
        </w:rPr>
        <w:t xml:space="preserve"> pēc EKS.</w:t>
      </w:r>
    </w:p>
    <w:p w14:paraId="12915E5B" w14:textId="48F6DAE2" w:rsidR="00E7284B" w:rsidRPr="001C0357" w:rsidRDefault="00E7284B" w:rsidP="00E7284B">
      <w:pPr>
        <w:pStyle w:val="ListParagraph"/>
        <w:numPr>
          <w:ilvl w:val="0"/>
          <w:numId w:val="38"/>
        </w:numPr>
        <w:ind w:left="714" w:hanging="357"/>
        <w:contextualSpacing w:val="0"/>
        <w:rPr>
          <w:noProof/>
          <w:color w:val="000000" w:themeColor="text1"/>
        </w:rPr>
      </w:pPr>
      <w:r w:rsidRPr="001C0357">
        <w:rPr>
          <w:noProof/>
          <w:color w:val="000000" w:themeColor="text1"/>
        </w:rPr>
        <w:t>Gan 2025.</w:t>
      </w:r>
      <w:r w:rsidR="00456E7F" w:rsidRPr="001C0357">
        <w:rPr>
          <w:noProof/>
          <w:color w:val="000000" w:themeColor="text1"/>
        </w:rPr>
        <w:t> </w:t>
      </w:r>
      <w:r w:rsidRPr="001C0357">
        <w:rPr>
          <w:noProof/>
          <w:color w:val="000000" w:themeColor="text1"/>
        </w:rPr>
        <w:t xml:space="preserve">gadā, gan vidējā termiņā valsts pamatbudžetā tiek prognozēti lielāki </w:t>
      </w:r>
      <w:r w:rsidRPr="001C0357">
        <w:rPr>
          <w:b/>
          <w:bCs/>
          <w:noProof/>
          <w:color w:val="000000" w:themeColor="text1"/>
        </w:rPr>
        <w:t>izdevumi ĀFP līdzfinansēto projektu īstenošanai</w:t>
      </w:r>
      <w:r w:rsidRPr="001C0357">
        <w:rPr>
          <w:noProof/>
          <w:color w:val="000000" w:themeColor="text1"/>
        </w:rPr>
        <w:t xml:space="preserve"> salīdzinājumā ar 2025.</w:t>
      </w:r>
      <w:r w:rsidR="00456E7F" w:rsidRPr="001C0357">
        <w:rPr>
          <w:noProof/>
          <w:color w:val="000000" w:themeColor="text1"/>
        </w:rPr>
        <w:t> </w:t>
      </w:r>
      <w:r w:rsidRPr="001C0357">
        <w:rPr>
          <w:noProof/>
          <w:color w:val="000000" w:themeColor="text1"/>
        </w:rPr>
        <w:t>gada Progresa ziņojumu</w:t>
      </w:r>
      <w:r w:rsidR="00456E7F" w:rsidRPr="001C0357">
        <w:rPr>
          <w:noProof/>
          <w:color w:val="000000" w:themeColor="text1"/>
        </w:rPr>
        <w:t>, kopumā ĀFP izdevumus prognozējot 2025. gadā 2,5 </w:t>
      </w:r>
      <w:r w:rsidR="00F57A86" w:rsidRPr="00F57A86">
        <w:rPr>
          <w:noProof/>
          <w:color w:val="000000" w:themeColor="text1"/>
        </w:rPr>
        <w:t>mljrd.</w:t>
      </w:r>
      <w:r w:rsidR="00F57A86">
        <w:rPr>
          <w:noProof/>
          <w:color w:val="000000" w:themeColor="text1"/>
        </w:rPr>
        <w:t xml:space="preserve"> </w:t>
      </w:r>
      <w:r w:rsidR="00456E7F" w:rsidRPr="001C0357">
        <w:rPr>
          <w:i/>
          <w:iCs/>
          <w:noProof/>
          <w:color w:val="000000" w:themeColor="text1"/>
        </w:rPr>
        <w:t>euro</w:t>
      </w:r>
      <w:r w:rsidRPr="001C0357">
        <w:rPr>
          <w:noProof/>
          <w:color w:val="000000" w:themeColor="text1"/>
        </w:rPr>
        <w:t xml:space="preserve"> </w:t>
      </w:r>
      <w:r w:rsidR="00456E7F" w:rsidRPr="001C0357">
        <w:rPr>
          <w:noProof/>
          <w:color w:val="000000" w:themeColor="text1"/>
        </w:rPr>
        <w:t>(</w:t>
      </w:r>
      <w:r w:rsidR="00F44678" w:rsidRPr="001C0357">
        <w:rPr>
          <w:noProof/>
          <w:color w:val="000000" w:themeColor="text1"/>
        </w:rPr>
        <w:t xml:space="preserve">tai skaitā </w:t>
      </w:r>
      <w:r w:rsidR="00456E7F" w:rsidRPr="001C0357">
        <w:rPr>
          <w:noProof/>
          <w:color w:val="000000" w:themeColor="text1"/>
        </w:rPr>
        <w:t>1,</w:t>
      </w:r>
      <w:r w:rsidR="007D611B">
        <w:rPr>
          <w:noProof/>
          <w:color w:val="000000" w:themeColor="text1"/>
        </w:rPr>
        <w:t>4</w:t>
      </w:r>
      <w:r w:rsidR="00456E7F" w:rsidRPr="001C0357">
        <w:rPr>
          <w:noProof/>
          <w:color w:val="000000" w:themeColor="text1"/>
        </w:rPr>
        <w:t> </w:t>
      </w:r>
      <w:r w:rsidR="00F57A86" w:rsidRPr="00F57A86">
        <w:rPr>
          <w:noProof/>
          <w:color w:val="000000" w:themeColor="text1"/>
        </w:rPr>
        <w:t>mljrd.</w:t>
      </w:r>
      <w:r w:rsidR="00F57A86">
        <w:rPr>
          <w:noProof/>
          <w:color w:val="000000" w:themeColor="text1"/>
        </w:rPr>
        <w:t xml:space="preserve"> </w:t>
      </w:r>
      <w:r w:rsidR="00456E7F" w:rsidRPr="001C0357">
        <w:rPr>
          <w:i/>
          <w:iCs/>
          <w:noProof/>
          <w:color w:val="000000" w:themeColor="text1"/>
        </w:rPr>
        <w:t>euro</w:t>
      </w:r>
      <w:r w:rsidR="00456E7F" w:rsidRPr="001C0357">
        <w:rPr>
          <w:noProof/>
          <w:color w:val="000000" w:themeColor="text1"/>
        </w:rPr>
        <w:t xml:space="preserve"> Kohēzijas politikas </w:t>
      </w:r>
      <w:r w:rsidR="000414FA">
        <w:rPr>
          <w:noProof/>
          <w:color w:val="000000" w:themeColor="text1"/>
        </w:rPr>
        <w:t xml:space="preserve">fondos </w:t>
      </w:r>
      <w:r w:rsidR="00456E7F" w:rsidRPr="001C0357">
        <w:rPr>
          <w:noProof/>
          <w:color w:val="000000" w:themeColor="text1"/>
        </w:rPr>
        <w:t xml:space="preserve">(KP) un Atveseļošanas </w:t>
      </w:r>
      <w:r w:rsidR="000414FA">
        <w:rPr>
          <w:noProof/>
          <w:color w:val="000000" w:themeColor="text1"/>
        </w:rPr>
        <w:t>un noturības mehānismā</w:t>
      </w:r>
      <w:r w:rsidR="00456E7F" w:rsidRPr="001C0357">
        <w:rPr>
          <w:noProof/>
          <w:color w:val="000000" w:themeColor="text1"/>
        </w:rPr>
        <w:t xml:space="preserve"> (A</w:t>
      </w:r>
      <w:r w:rsidR="000414FA">
        <w:rPr>
          <w:noProof/>
          <w:color w:val="000000" w:themeColor="text1"/>
        </w:rPr>
        <w:t>NM</w:t>
      </w:r>
      <w:r w:rsidR="00456E7F" w:rsidRPr="001C0357">
        <w:rPr>
          <w:noProof/>
          <w:color w:val="000000" w:themeColor="text1"/>
        </w:rPr>
        <w:t>))</w:t>
      </w:r>
      <w:r w:rsidR="00F44678" w:rsidRPr="001C0357">
        <w:rPr>
          <w:noProof/>
          <w:color w:val="000000" w:themeColor="text1"/>
        </w:rPr>
        <w:t>,</w:t>
      </w:r>
      <w:r w:rsidR="00456E7F" w:rsidRPr="001C0357">
        <w:rPr>
          <w:noProof/>
          <w:color w:val="000000" w:themeColor="text1"/>
        </w:rPr>
        <w:t xml:space="preserve"> 2026. gadā 2,7 </w:t>
      </w:r>
      <w:r w:rsidR="00F57A86" w:rsidRPr="00F57A86">
        <w:rPr>
          <w:noProof/>
          <w:color w:val="000000" w:themeColor="text1"/>
        </w:rPr>
        <w:t>mljrd.</w:t>
      </w:r>
      <w:r w:rsidR="00456E7F" w:rsidRPr="001C0357">
        <w:rPr>
          <w:noProof/>
          <w:color w:val="000000" w:themeColor="text1"/>
        </w:rPr>
        <w:t xml:space="preserve"> </w:t>
      </w:r>
      <w:r w:rsidR="00456E7F" w:rsidRPr="001C0357">
        <w:rPr>
          <w:i/>
          <w:iCs/>
          <w:noProof/>
          <w:color w:val="000000" w:themeColor="text1"/>
        </w:rPr>
        <w:t>euro</w:t>
      </w:r>
      <w:r w:rsidR="00456E7F" w:rsidRPr="001C0357">
        <w:rPr>
          <w:noProof/>
          <w:color w:val="000000" w:themeColor="text1"/>
        </w:rPr>
        <w:t xml:space="preserve"> (</w:t>
      </w:r>
      <w:r w:rsidR="00F44678" w:rsidRPr="001C0357">
        <w:rPr>
          <w:noProof/>
          <w:color w:val="000000" w:themeColor="text1"/>
        </w:rPr>
        <w:t xml:space="preserve">tai skaitā </w:t>
      </w:r>
      <w:r w:rsidR="007D611B">
        <w:rPr>
          <w:noProof/>
          <w:color w:val="000000" w:themeColor="text1"/>
        </w:rPr>
        <w:t>1,5</w:t>
      </w:r>
      <w:r w:rsidR="00456E7F" w:rsidRPr="001C0357">
        <w:rPr>
          <w:noProof/>
          <w:color w:val="000000" w:themeColor="text1"/>
        </w:rPr>
        <w:t> </w:t>
      </w:r>
      <w:r w:rsidR="00F57A86" w:rsidRPr="00F57A86">
        <w:rPr>
          <w:noProof/>
          <w:color w:val="000000" w:themeColor="text1"/>
        </w:rPr>
        <w:t>mljrd.</w:t>
      </w:r>
      <w:r w:rsidR="00456E7F" w:rsidRPr="001C0357">
        <w:rPr>
          <w:noProof/>
          <w:color w:val="000000" w:themeColor="text1"/>
        </w:rPr>
        <w:t xml:space="preserve"> </w:t>
      </w:r>
      <w:r w:rsidR="00456E7F" w:rsidRPr="007D611B">
        <w:rPr>
          <w:i/>
          <w:iCs/>
          <w:noProof/>
          <w:color w:val="000000" w:themeColor="text1"/>
        </w:rPr>
        <w:t>euro</w:t>
      </w:r>
      <w:r w:rsidR="00456E7F" w:rsidRPr="001C0357">
        <w:rPr>
          <w:noProof/>
          <w:color w:val="000000" w:themeColor="text1"/>
        </w:rPr>
        <w:t xml:space="preserve"> KP un </w:t>
      </w:r>
      <w:r w:rsidR="000414FA" w:rsidRPr="001C0357">
        <w:rPr>
          <w:noProof/>
          <w:color w:val="000000" w:themeColor="text1"/>
        </w:rPr>
        <w:t>A</w:t>
      </w:r>
      <w:r w:rsidR="000414FA">
        <w:rPr>
          <w:noProof/>
          <w:color w:val="000000" w:themeColor="text1"/>
        </w:rPr>
        <w:t>NM</w:t>
      </w:r>
      <w:r w:rsidR="00456E7F" w:rsidRPr="001C0357">
        <w:rPr>
          <w:noProof/>
          <w:color w:val="000000" w:themeColor="text1"/>
        </w:rPr>
        <w:t>), 2027. gadā 2,1</w:t>
      </w:r>
      <w:r w:rsidR="00F44678" w:rsidRPr="001C0357">
        <w:rPr>
          <w:noProof/>
          <w:color w:val="000000" w:themeColor="text1"/>
        </w:rPr>
        <w:t> </w:t>
      </w:r>
      <w:r w:rsidR="00F57A86" w:rsidRPr="00F57A86">
        <w:rPr>
          <w:noProof/>
          <w:color w:val="000000" w:themeColor="text1"/>
        </w:rPr>
        <w:t>mljrd.</w:t>
      </w:r>
      <w:r w:rsidR="00456E7F" w:rsidRPr="001C0357">
        <w:rPr>
          <w:noProof/>
          <w:color w:val="000000" w:themeColor="text1"/>
        </w:rPr>
        <w:t xml:space="preserve"> </w:t>
      </w:r>
      <w:r w:rsidR="00456E7F" w:rsidRPr="001C0357">
        <w:rPr>
          <w:i/>
          <w:iCs/>
          <w:noProof/>
          <w:color w:val="000000" w:themeColor="text1"/>
        </w:rPr>
        <w:t>euro</w:t>
      </w:r>
      <w:r w:rsidR="00456E7F" w:rsidRPr="001C0357">
        <w:rPr>
          <w:noProof/>
          <w:color w:val="000000" w:themeColor="text1"/>
        </w:rPr>
        <w:t xml:space="preserve"> (</w:t>
      </w:r>
      <w:r w:rsidR="00F44678" w:rsidRPr="001C0357">
        <w:rPr>
          <w:noProof/>
          <w:color w:val="000000" w:themeColor="text1"/>
        </w:rPr>
        <w:t xml:space="preserve">tai skaitā </w:t>
      </w:r>
      <w:r w:rsidR="007D611B">
        <w:rPr>
          <w:noProof/>
          <w:color w:val="000000" w:themeColor="text1"/>
        </w:rPr>
        <w:t>0,9</w:t>
      </w:r>
      <w:r w:rsidR="00456E7F" w:rsidRPr="001C0357">
        <w:rPr>
          <w:noProof/>
          <w:color w:val="000000" w:themeColor="text1"/>
        </w:rPr>
        <w:t> </w:t>
      </w:r>
      <w:r w:rsidR="00F57A86" w:rsidRPr="00F57A86">
        <w:rPr>
          <w:noProof/>
          <w:color w:val="000000" w:themeColor="text1"/>
        </w:rPr>
        <w:t>mljrd.</w:t>
      </w:r>
      <w:r w:rsidR="00F57A86">
        <w:rPr>
          <w:noProof/>
          <w:color w:val="000000" w:themeColor="text1"/>
        </w:rPr>
        <w:t xml:space="preserve"> </w:t>
      </w:r>
      <w:r w:rsidR="00456E7F" w:rsidRPr="001C0357">
        <w:rPr>
          <w:i/>
          <w:iCs/>
          <w:noProof/>
          <w:color w:val="000000" w:themeColor="text1"/>
        </w:rPr>
        <w:t>euro</w:t>
      </w:r>
      <w:r w:rsidR="00456E7F" w:rsidRPr="001C0357">
        <w:rPr>
          <w:noProof/>
          <w:color w:val="000000" w:themeColor="text1"/>
        </w:rPr>
        <w:t xml:space="preserve"> KP) </w:t>
      </w:r>
      <w:r w:rsidR="00F44678" w:rsidRPr="001C0357">
        <w:rPr>
          <w:noProof/>
          <w:color w:val="000000" w:themeColor="text1"/>
        </w:rPr>
        <w:t xml:space="preserve">apmērā </w:t>
      </w:r>
      <w:r w:rsidR="00456E7F" w:rsidRPr="001C0357">
        <w:rPr>
          <w:noProof/>
          <w:color w:val="000000" w:themeColor="text1"/>
        </w:rPr>
        <w:t xml:space="preserve">ar samazinājumu turpmākajos gados </w:t>
      </w:r>
      <w:r w:rsidRPr="001C0357">
        <w:rPr>
          <w:noProof/>
          <w:color w:val="000000" w:themeColor="text1"/>
        </w:rPr>
        <w:t>(skat. 3.</w:t>
      </w:r>
      <w:r w:rsidR="00456E7F" w:rsidRPr="001C0357">
        <w:rPr>
          <w:noProof/>
          <w:color w:val="000000" w:themeColor="text1"/>
        </w:rPr>
        <w:t> </w:t>
      </w:r>
      <w:r w:rsidRPr="001C0357">
        <w:rPr>
          <w:noProof/>
          <w:color w:val="000000" w:themeColor="text1"/>
        </w:rPr>
        <w:t xml:space="preserve">attēlu). </w:t>
      </w:r>
      <w:r w:rsidR="00456E7F" w:rsidRPr="001C0357">
        <w:rPr>
          <w:noProof/>
          <w:color w:val="000000" w:themeColor="text1"/>
        </w:rPr>
        <w:t>Salīdzinot ar pavasara prognozēm, a</w:t>
      </w:r>
      <w:r w:rsidRPr="001C0357">
        <w:rPr>
          <w:noProof/>
          <w:color w:val="000000" w:themeColor="text1"/>
        </w:rPr>
        <w:t xml:space="preserve">ugstākā līmenī plānots finansējums </w:t>
      </w:r>
      <w:r w:rsidRPr="001C0357">
        <w:rPr>
          <w:i/>
          <w:iCs/>
          <w:noProof/>
          <w:color w:val="000000" w:themeColor="text1"/>
        </w:rPr>
        <w:t>Rail Baltica</w:t>
      </w:r>
      <w:r w:rsidRPr="001C0357">
        <w:rPr>
          <w:noProof/>
          <w:color w:val="000000" w:themeColor="text1"/>
        </w:rPr>
        <w:t xml:space="preserve"> projekta īstenošanai, tomēr tā apmērs tālākajos gados budžetā tiek paredzēts tikai tām projekta aktivitātēm, kam finansējums no Eiropas Komisijas jau ir ticis apstiprināts. </w:t>
      </w:r>
      <w:r w:rsidR="00F44678" w:rsidRPr="001C0357">
        <w:rPr>
          <w:noProof/>
          <w:color w:val="000000" w:themeColor="text1"/>
        </w:rPr>
        <w:t>Lī</w:t>
      </w:r>
      <w:r w:rsidRPr="001C0357">
        <w:rPr>
          <w:noProof/>
          <w:color w:val="000000" w:themeColor="text1"/>
        </w:rPr>
        <w:t>dz ar kopējo izdevumu pieaugumu palielināta arī prognoze par nacionālajam līdzfinansējumam nepieciešamo apmēru, kas pasliktina vispārējās valdības budžeta bilanci.</w:t>
      </w:r>
    </w:p>
    <w:p w14:paraId="67A8A6CA" w14:textId="57693F8F" w:rsidR="00E7284B" w:rsidRPr="001C0357" w:rsidRDefault="00C03C1D" w:rsidP="007C62E3">
      <w:pPr>
        <w:spacing w:after="0"/>
        <w:ind w:firstLine="0"/>
        <w:jc w:val="center"/>
        <w:rPr>
          <w:noProof/>
          <w:color w:val="000000" w:themeColor="text1"/>
        </w:rPr>
      </w:pPr>
      <w:r w:rsidRPr="00C03C1D">
        <w:rPr>
          <w:noProof/>
        </w:rPr>
        <w:drawing>
          <wp:anchor distT="0" distB="0" distL="114300" distR="114300" simplePos="0" relativeHeight="251677696" behindDoc="0" locked="0" layoutInCell="1" allowOverlap="1" wp14:anchorId="669E1DA6" wp14:editId="718D9BFC">
            <wp:simplePos x="0" y="0"/>
            <wp:positionH relativeFrom="margin">
              <wp:align>right</wp:align>
            </wp:positionH>
            <wp:positionV relativeFrom="page">
              <wp:posOffset>6464300</wp:posOffset>
            </wp:positionV>
            <wp:extent cx="5321300" cy="3059430"/>
            <wp:effectExtent l="0" t="0" r="0" b="0"/>
            <wp:wrapSquare wrapText="bothSides"/>
            <wp:docPr id="5700931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21300" cy="3059430"/>
                    </a:xfrm>
                    <a:prstGeom prst="rect">
                      <a:avLst/>
                    </a:prstGeom>
                    <a:noFill/>
                    <a:ln>
                      <a:noFill/>
                    </a:ln>
                  </pic:spPr>
                </pic:pic>
              </a:graphicData>
            </a:graphic>
          </wp:anchor>
        </w:drawing>
      </w:r>
    </w:p>
    <w:p w14:paraId="6D51FFA2" w14:textId="7532499B" w:rsidR="00617938" w:rsidRPr="001C0357" w:rsidRDefault="00617938" w:rsidP="007C62E3">
      <w:pPr>
        <w:jc w:val="center"/>
        <w:rPr>
          <w:rFonts w:eastAsia="Calibri"/>
          <w:b/>
          <w:iCs/>
          <w:noProof/>
        </w:rPr>
      </w:pPr>
      <w:r w:rsidRPr="001C0357">
        <w:rPr>
          <w:rFonts w:eastAsia="Calibri"/>
          <w:b/>
          <w:iCs/>
          <w:noProof/>
        </w:rPr>
        <w:t xml:space="preserve">3. attēls. </w:t>
      </w:r>
      <w:r w:rsidR="00BF1C2F" w:rsidRPr="001C0357">
        <w:rPr>
          <w:rFonts w:eastAsia="Calibri"/>
          <w:b/>
          <w:iCs/>
          <w:noProof/>
        </w:rPr>
        <w:t>Valsts pamatbudžeta ā</w:t>
      </w:r>
      <w:r w:rsidRPr="001C0357">
        <w:rPr>
          <w:rFonts w:eastAsia="Calibri"/>
          <w:b/>
          <w:iCs/>
          <w:noProof/>
        </w:rPr>
        <w:t xml:space="preserve">rvalstu finanšu palīdzības izdevumi, milj. </w:t>
      </w:r>
      <w:r w:rsidRPr="001C0357">
        <w:rPr>
          <w:rFonts w:eastAsia="Calibri"/>
          <w:b/>
          <w:i/>
          <w:noProof/>
        </w:rPr>
        <w:t>euro</w:t>
      </w:r>
    </w:p>
    <w:p w14:paraId="3F4BEC8E" w14:textId="106E3D01" w:rsidR="00456E7F" w:rsidRPr="001C0357" w:rsidRDefault="00456E7F" w:rsidP="00456E7F">
      <w:pPr>
        <w:pStyle w:val="ListParagraph"/>
        <w:numPr>
          <w:ilvl w:val="0"/>
          <w:numId w:val="38"/>
        </w:numPr>
        <w:ind w:left="714" w:hanging="357"/>
        <w:contextualSpacing w:val="0"/>
        <w:rPr>
          <w:noProof/>
          <w:color w:val="000000" w:themeColor="text1"/>
        </w:rPr>
      </w:pPr>
      <w:r w:rsidRPr="001C0357">
        <w:rPr>
          <w:noProof/>
          <w:color w:val="000000" w:themeColor="text1"/>
        </w:rPr>
        <w:lastRenderedPageBreak/>
        <w:t xml:space="preserve">Līdz ar jauno Eiropas Komisijas priekšlikumu nākamā </w:t>
      </w:r>
      <w:r w:rsidR="00C03C1D">
        <w:rPr>
          <w:noProof/>
          <w:color w:val="000000" w:themeColor="text1"/>
        </w:rPr>
        <w:t xml:space="preserve">plānošanas </w:t>
      </w:r>
      <w:r w:rsidRPr="001C0357">
        <w:rPr>
          <w:noProof/>
          <w:color w:val="000000" w:themeColor="text1"/>
        </w:rPr>
        <w:t xml:space="preserve">perioda ES daudzgadu budžetam, Finanšu ministrija ir aplēsusi, ka 2028. gadā un 2029. gadā </w:t>
      </w:r>
      <w:r w:rsidRPr="001C0357">
        <w:rPr>
          <w:b/>
          <w:bCs/>
          <w:noProof/>
          <w:color w:val="000000" w:themeColor="text1"/>
        </w:rPr>
        <w:t>iemaksām ES budžetā</w:t>
      </w:r>
      <w:r w:rsidRPr="001C0357">
        <w:rPr>
          <w:noProof/>
          <w:color w:val="000000" w:themeColor="text1"/>
        </w:rPr>
        <w:t xml:space="preserve"> pēc naudas plūsmas būs nepieciešams attiecīgi par 69,3 milj. </w:t>
      </w:r>
      <w:r w:rsidRPr="001C0357">
        <w:rPr>
          <w:i/>
          <w:iCs/>
          <w:noProof/>
          <w:color w:val="000000" w:themeColor="text1"/>
        </w:rPr>
        <w:t>euro</w:t>
      </w:r>
      <w:r w:rsidRPr="001C0357">
        <w:rPr>
          <w:noProof/>
          <w:color w:val="000000" w:themeColor="text1"/>
        </w:rPr>
        <w:t xml:space="preserve"> un 24,6 milj. </w:t>
      </w:r>
      <w:r w:rsidRPr="001C0357">
        <w:rPr>
          <w:i/>
          <w:iCs/>
          <w:noProof/>
          <w:color w:val="000000" w:themeColor="text1"/>
        </w:rPr>
        <w:t>euro</w:t>
      </w:r>
      <w:r w:rsidRPr="001C0357">
        <w:rPr>
          <w:noProof/>
          <w:color w:val="000000" w:themeColor="text1"/>
        </w:rPr>
        <w:t xml:space="preserve"> lielāks finansējums nekā prognozēts 2025. gada Progresa ziņojuma sagatavošanas laikā. Šobrīd jaunā ES daudzgadu budžeta izstrāde ir tikai sākuma stadijā, tādēļ prognozētais finansējuma apjoms aplēsts, balstoties uz ekspertu vērtējumu par potenciāli iespējamo ES budžeta kopapjomu nākamajā periodā.</w:t>
      </w:r>
    </w:p>
    <w:p w14:paraId="3E85021D" w14:textId="5A259B40" w:rsidR="00CE5E81" w:rsidRPr="001C0357" w:rsidRDefault="00CE5E81" w:rsidP="00CE5E81">
      <w:pPr>
        <w:pStyle w:val="ListParagraph"/>
        <w:numPr>
          <w:ilvl w:val="0"/>
          <w:numId w:val="38"/>
        </w:numPr>
        <w:ind w:left="717"/>
        <w:contextualSpacing w:val="0"/>
        <w:rPr>
          <w:rFonts w:cs="Times New Roman"/>
          <w:noProof/>
        </w:rPr>
      </w:pPr>
      <w:r w:rsidRPr="001C0357">
        <w:rPr>
          <w:rFonts w:cs="Times New Roman"/>
          <w:noProof/>
        </w:rPr>
        <w:t>Atbilstoši Labklājības ministrijas iesniegtajai informācijai v</w:t>
      </w:r>
      <w:r w:rsidR="00E7284B" w:rsidRPr="001C0357">
        <w:rPr>
          <w:rFonts w:cs="Times New Roman"/>
          <w:noProof/>
        </w:rPr>
        <w:t xml:space="preserve">alsts speciālā budžeta </w:t>
      </w:r>
      <w:r w:rsidR="00E7284B" w:rsidRPr="001C0357">
        <w:rPr>
          <w:rFonts w:cs="Times New Roman"/>
          <w:b/>
          <w:bCs/>
          <w:noProof/>
        </w:rPr>
        <w:t xml:space="preserve">izdevumu </w:t>
      </w:r>
      <w:r w:rsidRPr="001C0357">
        <w:rPr>
          <w:rFonts w:cs="Times New Roman"/>
          <w:b/>
          <w:bCs/>
          <w:noProof/>
        </w:rPr>
        <w:t>vecuma</w:t>
      </w:r>
      <w:r w:rsidR="00E7284B" w:rsidRPr="001C0357">
        <w:rPr>
          <w:rFonts w:cs="Times New Roman"/>
          <w:b/>
          <w:bCs/>
          <w:noProof/>
        </w:rPr>
        <w:t xml:space="preserve"> pensijām</w:t>
      </w:r>
      <w:r w:rsidR="00E7284B" w:rsidRPr="001C0357">
        <w:rPr>
          <w:rFonts w:cs="Times New Roman"/>
          <w:noProof/>
        </w:rPr>
        <w:t xml:space="preserve"> </w:t>
      </w:r>
      <w:r w:rsidRPr="001C0357">
        <w:rPr>
          <w:rFonts w:cs="Times New Roman"/>
          <w:noProof/>
        </w:rPr>
        <w:t xml:space="preserve">prognozes salīdzinājumā ar pavasari ir palielinātas </w:t>
      </w:r>
      <w:r w:rsidR="00E7284B" w:rsidRPr="001C0357">
        <w:rPr>
          <w:rFonts w:cs="Times New Roman"/>
          <w:noProof/>
        </w:rPr>
        <w:t>2025.</w:t>
      </w:r>
      <w:r w:rsidRPr="001C0357">
        <w:rPr>
          <w:rFonts w:cs="Times New Roman"/>
          <w:noProof/>
        </w:rPr>
        <w:t> </w:t>
      </w:r>
      <w:r w:rsidR="00E7284B" w:rsidRPr="001C0357">
        <w:rPr>
          <w:rFonts w:cs="Times New Roman"/>
          <w:noProof/>
        </w:rPr>
        <w:t>gadā</w:t>
      </w:r>
      <w:r w:rsidRPr="001C0357">
        <w:rPr>
          <w:rFonts w:cs="Times New Roman"/>
          <w:noProof/>
        </w:rPr>
        <w:t xml:space="preserve">, </w:t>
      </w:r>
      <w:r w:rsidR="00E7284B" w:rsidRPr="001C0357">
        <w:rPr>
          <w:rFonts w:cs="Times New Roman"/>
          <w:noProof/>
        </w:rPr>
        <w:t>pamatā dēļ nobīdēm darba dienās (darba diena no 2026. gada 2. janvāra pārcelta uz 17.</w:t>
      </w:r>
      <w:r w:rsidRPr="001C0357">
        <w:rPr>
          <w:rFonts w:cs="Times New Roman"/>
          <w:noProof/>
        </w:rPr>
        <w:t> </w:t>
      </w:r>
      <w:r w:rsidR="00E7284B" w:rsidRPr="001C0357">
        <w:rPr>
          <w:rFonts w:cs="Times New Roman"/>
          <w:noProof/>
        </w:rPr>
        <w:t>janvāri)</w:t>
      </w:r>
      <w:r w:rsidRPr="001C0357">
        <w:rPr>
          <w:rFonts w:cs="Times New Roman"/>
          <w:noProof/>
        </w:rPr>
        <w:t xml:space="preserve">, nodrošinot maksājumus jau šā gada beigās. Taču tas </w:t>
      </w:r>
      <w:r w:rsidR="00E7284B" w:rsidRPr="001C0357">
        <w:rPr>
          <w:rFonts w:cs="Times New Roman"/>
          <w:noProof/>
        </w:rPr>
        <w:t>nozīmē, ka 2026.</w:t>
      </w:r>
      <w:r w:rsidRPr="001C0357">
        <w:rPr>
          <w:rFonts w:cs="Times New Roman"/>
          <w:noProof/>
        </w:rPr>
        <w:t> </w:t>
      </w:r>
      <w:r w:rsidR="00E7284B" w:rsidRPr="001C0357">
        <w:rPr>
          <w:rFonts w:cs="Times New Roman"/>
          <w:noProof/>
        </w:rPr>
        <w:t xml:space="preserve">gadā izdevumi vecuma pensijām būs mazāki, jo daļa maksājumu tiks veikta </w:t>
      </w:r>
      <w:r w:rsidRPr="001C0357">
        <w:rPr>
          <w:rFonts w:cs="Times New Roman"/>
          <w:noProof/>
        </w:rPr>
        <w:t xml:space="preserve">šogad. </w:t>
      </w:r>
      <w:r w:rsidR="00E7284B" w:rsidRPr="001C0357">
        <w:rPr>
          <w:rFonts w:cs="Times New Roman"/>
          <w:noProof/>
        </w:rPr>
        <w:t>Vienlaikus, samazinoties dzimstības rādītājiem, ir sarucis gan faktiskais, gan prognozētais maternitātes un vecāku pabalstu saņēmēju skaits</w:t>
      </w:r>
      <w:r w:rsidRPr="001C0357">
        <w:rPr>
          <w:rFonts w:cs="Times New Roman"/>
          <w:noProof/>
        </w:rPr>
        <w:t xml:space="preserve">, attiecīgi tika samazināta </w:t>
      </w:r>
      <w:r w:rsidRPr="001C0357">
        <w:rPr>
          <w:rFonts w:cs="Times New Roman"/>
          <w:b/>
          <w:bCs/>
          <w:noProof/>
        </w:rPr>
        <w:t>maternitātes un vecāku pabalstu izdevumu</w:t>
      </w:r>
      <w:r w:rsidRPr="001C0357">
        <w:rPr>
          <w:rFonts w:cs="Times New Roman"/>
          <w:noProof/>
        </w:rPr>
        <w:t xml:space="preserve"> prognoze vidējam termiņam. </w:t>
      </w:r>
      <w:r w:rsidR="00E7284B" w:rsidRPr="001C0357">
        <w:rPr>
          <w:noProof/>
          <w:color w:val="000000" w:themeColor="text1"/>
        </w:rPr>
        <w:t xml:space="preserve">Atbilstoši prognozēm pie nemainīgas politikas </w:t>
      </w:r>
      <w:r w:rsidR="009E4F28" w:rsidRPr="001C0357">
        <w:rPr>
          <w:noProof/>
          <w:color w:val="000000" w:themeColor="text1"/>
        </w:rPr>
        <w:t xml:space="preserve">kopumā </w:t>
      </w:r>
      <w:r w:rsidR="00E7284B" w:rsidRPr="001C0357">
        <w:rPr>
          <w:noProof/>
          <w:color w:val="000000" w:themeColor="text1"/>
        </w:rPr>
        <w:t>valsts speciālā budžeta izdevumi</w:t>
      </w:r>
      <w:r w:rsidR="009E4F28" w:rsidRPr="001C0357">
        <w:rPr>
          <w:noProof/>
          <w:color w:val="000000" w:themeColor="text1"/>
        </w:rPr>
        <w:t xml:space="preserve"> </w:t>
      </w:r>
      <w:r w:rsidR="00E7284B" w:rsidRPr="001C0357">
        <w:rPr>
          <w:noProof/>
          <w:color w:val="000000" w:themeColor="text1"/>
        </w:rPr>
        <w:t>2025. gadā būs par 10,4% augstāki kā 2024. gadā, 202</w:t>
      </w:r>
      <w:r w:rsidRPr="001C0357">
        <w:rPr>
          <w:noProof/>
          <w:color w:val="000000" w:themeColor="text1"/>
        </w:rPr>
        <w:t>6</w:t>
      </w:r>
      <w:r w:rsidR="00E7284B" w:rsidRPr="001C0357">
        <w:rPr>
          <w:noProof/>
          <w:color w:val="000000" w:themeColor="text1"/>
        </w:rPr>
        <w:t xml:space="preserve">. gadā tie palielināsies par 6,4%, 2027. gadā par 8,0%, 2028. gadā par 6,7% un 2029. gadā par 6,3%. </w:t>
      </w:r>
    </w:p>
    <w:p w14:paraId="5B6A2AD8" w14:textId="364BEDE9" w:rsidR="00B74FFA" w:rsidRDefault="00E7284B" w:rsidP="00B74FFA">
      <w:pPr>
        <w:pStyle w:val="ListParagraph"/>
        <w:numPr>
          <w:ilvl w:val="0"/>
          <w:numId w:val="38"/>
        </w:numPr>
        <w:ind w:left="717"/>
        <w:contextualSpacing w:val="0"/>
        <w:rPr>
          <w:rFonts w:cs="Times New Roman"/>
          <w:noProof/>
        </w:rPr>
      </w:pPr>
      <w:r w:rsidRPr="001C0357">
        <w:rPr>
          <w:rFonts w:cs="Times New Roman"/>
          <w:noProof/>
        </w:rPr>
        <w:t xml:space="preserve">Salīdzinot ar 2025. gada Progresa ziņojumu, pārskatīta </w:t>
      </w:r>
      <w:r w:rsidRPr="001C0357">
        <w:rPr>
          <w:rFonts w:cs="Times New Roman"/>
          <w:b/>
          <w:bCs/>
          <w:noProof/>
        </w:rPr>
        <w:t>pašvaldību budžeta izdevumu</w:t>
      </w:r>
      <w:r w:rsidRPr="001C0357">
        <w:rPr>
          <w:rFonts w:cs="Times New Roman"/>
          <w:noProof/>
        </w:rPr>
        <w:t xml:space="preserve"> prognoze. </w:t>
      </w:r>
      <w:r w:rsidR="009E4F28" w:rsidRPr="001C0357">
        <w:rPr>
          <w:rFonts w:cs="Times New Roman"/>
          <w:noProof/>
        </w:rPr>
        <w:t>Atbilstoši prognozēm pie nemainīgas politikas pašvaldību budžeta izdevumi 2026. gadā būs par 1,8% augstāki kā 2025. gadā, 2027. gadā tie palielināsies par 2,1% un turpmākajos divos gados par 2,6% un 3,1%</w:t>
      </w:r>
      <w:r w:rsidR="001C0357">
        <w:rPr>
          <w:rFonts w:cs="Times New Roman"/>
          <w:noProof/>
        </w:rPr>
        <w:t xml:space="preserve"> pret iepriekšējo gadu</w:t>
      </w:r>
      <w:r w:rsidR="009E4F28" w:rsidRPr="001C0357">
        <w:rPr>
          <w:rFonts w:cs="Times New Roman"/>
          <w:noProof/>
        </w:rPr>
        <w:t xml:space="preserve">. </w:t>
      </w:r>
      <w:r w:rsidRPr="001C0357">
        <w:rPr>
          <w:rFonts w:cs="Times New Roman"/>
          <w:noProof/>
        </w:rPr>
        <w:t>Atbilstoši faktiskajai izpildei šā gada sešos mēnešos tika veiktas nelielas korekcijas pamatfunkciju izdevumos</w:t>
      </w:r>
      <w:r w:rsidR="00B4724C" w:rsidRPr="001C0357">
        <w:rPr>
          <w:rFonts w:cs="Times New Roman"/>
          <w:noProof/>
        </w:rPr>
        <w:t xml:space="preserve">. Koriģējot gan šo gadu, gan vidējo termiņu, tika samazināti izdevumi precēm un pakalpojumiem, ņemot vērā šā gada sešu mēnešu izpildi, kur vērojams būtisks kritums izdevumos par siltumenerģiju, kurināmo un degvielu, mazāki nekā šā gada martā tiek prognozēti izdevumi ĀFP projektiem, </w:t>
      </w:r>
      <w:r w:rsidR="00B403FD" w:rsidRPr="001C0357">
        <w:rPr>
          <w:rFonts w:cs="Times New Roman"/>
          <w:noProof/>
        </w:rPr>
        <w:t>izvērtējot investīciju plūsmas un pārceļot tēriņus uz 2029. gadu</w:t>
      </w:r>
      <w:r w:rsidR="00B4724C" w:rsidRPr="001C0357">
        <w:rPr>
          <w:rFonts w:cs="Times New Roman"/>
          <w:noProof/>
        </w:rPr>
        <w:t>. Savukārt, ņemot vērā faktisko izpildi, ti</w:t>
      </w:r>
      <w:r w:rsidR="00CE1A2F" w:rsidRPr="001C0357">
        <w:rPr>
          <w:rFonts w:cs="Times New Roman"/>
          <w:noProof/>
        </w:rPr>
        <w:t>ka</w:t>
      </w:r>
      <w:r w:rsidR="00B4724C" w:rsidRPr="001C0357">
        <w:rPr>
          <w:rFonts w:cs="Times New Roman"/>
          <w:noProof/>
        </w:rPr>
        <w:t xml:space="preserve"> palielināta izdevumu prognoze sociālā rakstura maksājumiem, strauji pieaugot samaksai par sociālo aprūpi mājās un ilgstošas sociālas aprūpes un rehabilitācijas iestādēs. Attiecīgi tika paaugstināta šo izdevumu prognoze vidējā termiņā.</w:t>
      </w:r>
      <w:r w:rsidR="00CE1A2F" w:rsidRPr="001C0357">
        <w:rPr>
          <w:rFonts w:cs="Times New Roman"/>
          <w:noProof/>
        </w:rPr>
        <w:t xml:space="preserve"> P</w:t>
      </w:r>
      <w:r w:rsidRPr="001C0357">
        <w:rPr>
          <w:rFonts w:cs="Times New Roman"/>
          <w:noProof/>
        </w:rPr>
        <w:t>ašvaldību budžeta izdevum</w:t>
      </w:r>
      <w:r w:rsidR="00CE1A2F" w:rsidRPr="001C0357">
        <w:rPr>
          <w:rFonts w:cs="Times New Roman"/>
          <w:noProof/>
        </w:rPr>
        <w:t>i</w:t>
      </w:r>
      <w:r w:rsidRPr="001C0357">
        <w:rPr>
          <w:rFonts w:cs="Times New Roman"/>
          <w:noProof/>
        </w:rPr>
        <w:t xml:space="preserve"> atlīdzībai (ieskaitot darba devēja VSAOI iemaksas) </w:t>
      </w:r>
      <w:r w:rsidR="00CE1A2F" w:rsidRPr="001C0357">
        <w:rPr>
          <w:rFonts w:cs="Times New Roman"/>
          <w:noProof/>
        </w:rPr>
        <w:t xml:space="preserve">šogad tiek prognozēti ar 4,5% </w:t>
      </w:r>
      <w:r w:rsidRPr="001C0357">
        <w:rPr>
          <w:rFonts w:cs="Times New Roman"/>
          <w:noProof/>
        </w:rPr>
        <w:t>pieaugum</w:t>
      </w:r>
      <w:r w:rsidR="00CE1A2F" w:rsidRPr="001C0357">
        <w:rPr>
          <w:rFonts w:cs="Times New Roman"/>
          <w:noProof/>
        </w:rPr>
        <w:t>u</w:t>
      </w:r>
      <w:r w:rsidR="001C0357" w:rsidRPr="001C0357">
        <w:rPr>
          <w:rFonts w:cs="Times New Roman"/>
          <w:noProof/>
        </w:rPr>
        <w:t xml:space="preserve"> pret 2024. gadu</w:t>
      </w:r>
      <w:r w:rsidR="00CE1A2F" w:rsidRPr="001C0357">
        <w:rPr>
          <w:rFonts w:cs="Times New Roman"/>
          <w:noProof/>
        </w:rPr>
        <w:t>, savukārt 2026. gadā atlīdzības pieaugums tiek prognozēts 3,8%, 2027. gadā 3,6%, 2028. gadā 3,2% un 2029. gadā 3,1%</w:t>
      </w:r>
      <w:r w:rsidR="009E4F28" w:rsidRPr="001C0357">
        <w:rPr>
          <w:rFonts w:cs="Times New Roman"/>
          <w:noProof/>
        </w:rPr>
        <w:t xml:space="preserve"> apmērā</w:t>
      </w:r>
      <w:r w:rsidR="001C0357" w:rsidRPr="001C0357">
        <w:rPr>
          <w:rFonts w:cs="Times New Roman"/>
          <w:noProof/>
        </w:rPr>
        <w:t xml:space="preserve"> pret iepriekšējo gadu</w:t>
      </w:r>
      <w:r w:rsidR="00CE1A2F" w:rsidRPr="001C0357">
        <w:rPr>
          <w:rFonts w:cs="Times New Roman"/>
          <w:noProof/>
        </w:rPr>
        <w:t>, ņemot vērā mē</w:t>
      </w:r>
      <w:r w:rsidR="009E4F28" w:rsidRPr="001C0357">
        <w:rPr>
          <w:rFonts w:cs="Times New Roman"/>
          <w:noProof/>
        </w:rPr>
        <w:t>r</w:t>
      </w:r>
      <w:r w:rsidR="00CE1A2F" w:rsidRPr="001C0357">
        <w:rPr>
          <w:rFonts w:cs="Times New Roman"/>
          <w:noProof/>
        </w:rPr>
        <w:t>ķdotāciju pašval</w:t>
      </w:r>
      <w:r w:rsidR="009E4F28" w:rsidRPr="001C0357">
        <w:rPr>
          <w:rFonts w:cs="Times New Roman"/>
          <w:noProof/>
        </w:rPr>
        <w:t>dī</w:t>
      </w:r>
      <w:r w:rsidR="00CE1A2F" w:rsidRPr="001C0357">
        <w:rPr>
          <w:rFonts w:cs="Times New Roman"/>
          <w:noProof/>
        </w:rPr>
        <w:t xml:space="preserve">bām pedagogu </w:t>
      </w:r>
      <w:r w:rsidR="009E4F28" w:rsidRPr="001C0357">
        <w:rPr>
          <w:rFonts w:cs="Times New Roman"/>
          <w:noProof/>
        </w:rPr>
        <w:t>atlīdzībai saglabāšanos vidējā termiņā 2024. gada līmenī un ikgadēju minimālās algas pieaugumu aptuveni 40 </w:t>
      </w:r>
      <w:r w:rsidR="009E4F28" w:rsidRPr="001C0357">
        <w:rPr>
          <w:rFonts w:cs="Times New Roman"/>
          <w:i/>
          <w:iCs/>
          <w:noProof/>
        </w:rPr>
        <w:t>euro</w:t>
      </w:r>
      <w:r w:rsidR="009E4F28" w:rsidRPr="001C0357">
        <w:rPr>
          <w:rFonts w:cs="Times New Roman"/>
          <w:noProof/>
        </w:rPr>
        <w:t xml:space="preserve"> apmērā atbilstoši likumdošanā noteiktajam.</w:t>
      </w:r>
      <w:bookmarkStart w:id="10" w:name="_Toc48048101"/>
      <w:bookmarkEnd w:id="9"/>
    </w:p>
    <w:p w14:paraId="27634596" w14:textId="44E334B7" w:rsidR="00B74FFA" w:rsidRPr="00B74FFA" w:rsidRDefault="00B74FFA" w:rsidP="00B74FFA">
      <w:pPr>
        <w:pStyle w:val="ListParagraph"/>
        <w:numPr>
          <w:ilvl w:val="0"/>
          <w:numId w:val="38"/>
        </w:numPr>
        <w:ind w:left="717"/>
        <w:contextualSpacing w:val="0"/>
        <w:rPr>
          <w:rFonts w:cs="Times New Roman"/>
          <w:noProof/>
        </w:rPr>
      </w:pPr>
      <w:r w:rsidRPr="00B74FFA">
        <w:rPr>
          <w:rFonts w:cs="Times New Roman"/>
          <w:noProof/>
        </w:rPr>
        <w:t xml:space="preserve">Šā gada jūnijā un jūlijā Finanšu ministrija veica </w:t>
      </w:r>
      <w:r w:rsidRPr="00B74FFA">
        <w:rPr>
          <w:rFonts w:cs="Times New Roman"/>
          <w:b/>
          <w:bCs/>
          <w:noProof/>
        </w:rPr>
        <w:t>vispārējās valdības sektorā klasificēto institucionālo vienību</w:t>
      </w:r>
      <w:r w:rsidRPr="001C0357">
        <w:rPr>
          <w:rStyle w:val="FootnoteReference"/>
          <w:rFonts w:cs="Times New Roman"/>
          <w:noProof/>
        </w:rPr>
        <w:footnoteReference w:id="3"/>
      </w:r>
      <w:r w:rsidRPr="00B74FFA">
        <w:rPr>
          <w:rFonts w:cs="Times New Roman"/>
          <w:noProof/>
        </w:rPr>
        <w:t xml:space="preserve"> anketēšanu, aicinot tās sniegt darbības prognozes. Aptauja aptvēra:</w:t>
      </w:r>
    </w:p>
    <w:p w14:paraId="267156F2" w14:textId="77777777" w:rsidR="00B74FFA" w:rsidRPr="001C0357" w:rsidRDefault="00B74FFA" w:rsidP="00B74FFA">
      <w:pPr>
        <w:pStyle w:val="ListParagraph"/>
        <w:numPr>
          <w:ilvl w:val="1"/>
          <w:numId w:val="44"/>
        </w:numPr>
        <w:spacing w:before="0" w:after="0"/>
        <w:contextualSpacing w:val="0"/>
        <w:rPr>
          <w:rFonts w:eastAsia="Calibri"/>
          <w:b/>
          <w:i/>
          <w:noProof/>
        </w:rPr>
      </w:pPr>
      <w:r w:rsidRPr="001C0357">
        <w:rPr>
          <w:rFonts w:cs="Times New Roman"/>
          <w:noProof/>
        </w:rPr>
        <w:t>61 centrālās valdības apakšsektora institucionālās vienības (</w:t>
      </w:r>
      <w:r w:rsidRPr="001C0357">
        <w:rPr>
          <w:rFonts w:cs="Times New Roman"/>
          <w:i/>
          <w:iCs/>
          <w:noProof/>
        </w:rPr>
        <w:t>100% atbilstoši CSP institucionālajai klasifikācijai</w:t>
      </w:r>
      <w:r w:rsidRPr="001C0357">
        <w:rPr>
          <w:rFonts w:cs="Times New Roman"/>
          <w:noProof/>
        </w:rPr>
        <w:t>);</w:t>
      </w:r>
    </w:p>
    <w:p w14:paraId="65215861" w14:textId="77777777" w:rsidR="00B74FFA" w:rsidRPr="001C0357" w:rsidRDefault="00B74FFA" w:rsidP="00B74FFA">
      <w:pPr>
        <w:pStyle w:val="ListParagraph"/>
        <w:numPr>
          <w:ilvl w:val="1"/>
          <w:numId w:val="44"/>
        </w:numPr>
        <w:spacing w:before="0" w:after="0"/>
        <w:contextualSpacing w:val="0"/>
        <w:rPr>
          <w:rFonts w:eastAsia="Calibri"/>
          <w:b/>
          <w:i/>
          <w:noProof/>
        </w:rPr>
      </w:pPr>
      <w:r w:rsidRPr="001C0357">
        <w:rPr>
          <w:rFonts w:cs="Times New Roman"/>
          <w:noProof/>
        </w:rPr>
        <w:t>26 vietējās valdības (</w:t>
      </w:r>
      <w:r w:rsidRPr="001C0357">
        <w:rPr>
          <w:rFonts w:cs="Times New Roman"/>
          <w:i/>
          <w:iCs/>
          <w:noProof/>
        </w:rPr>
        <w:t>pašvaldību</w:t>
      </w:r>
      <w:r w:rsidRPr="001C0357">
        <w:rPr>
          <w:rFonts w:cs="Times New Roman"/>
          <w:noProof/>
        </w:rPr>
        <w:t>) apakšsektora institucionālās vienības (</w:t>
      </w:r>
      <w:r w:rsidRPr="001C0357">
        <w:rPr>
          <w:rFonts w:cs="Times New Roman"/>
          <w:i/>
          <w:iCs/>
          <w:noProof/>
        </w:rPr>
        <w:t>aptuveni 30% no kopējā skaita</w:t>
      </w:r>
      <w:r w:rsidRPr="001C0357">
        <w:rPr>
          <w:rFonts w:cs="Times New Roman"/>
          <w:noProof/>
        </w:rPr>
        <w:t xml:space="preserve">). </w:t>
      </w:r>
    </w:p>
    <w:p w14:paraId="4B48729B" w14:textId="77777777" w:rsidR="00B74FFA" w:rsidRDefault="00B74FFA" w:rsidP="00B74FFA">
      <w:pPr>
        <w:ind w:left="720" w:firstLine="0"/>
        <w:rPr>
          <w:rFonts w:cs="Times New Roman"/>
          <w:noProof/>
        </w:rPr>
      </w:pPr>
      <w:r w:rsidRPr="001C0357">
        <w:rPr>
          <w:rFonts w:cs="Times New Roman"/>
          <w:noProof/>
        </w:rPr>
        <w:t>Aktuālās prognoz</w:t>
      </w:r>
      <w:r>
        <w:rPr>
          <w:rFonts w:cs="Times New Roman"/>
          <w:noProof/>
        </w:rPr>
        <w:t>e</w:t>
      </w:r>
      <w:r w:rsidRPr="001C0357">
        <w:rPr>
          <w:rFonts w:cs="Times New Roman"/>
          <w:noProof/>
        </w:rPr>
        <w:t>s liecina, ka pieklasificēto vienību saimnieciskās un finanšu darbības negatīvās ietekmes</w:t>
      </w:r>
      <w:r w:rsidRPr="001C0357">
        <w:rPr>
          <w:rStyle w:val="FootnoteReference"/>
          <w:rFonts w:cs="Times New Roman"/>
          <w:noProof/>
        </w:rPr>
        <w:footnoteReference w:id="4"/>
      </w:r>
      <w:r w:rsidRPr="001C0357">
        <w:rPr>
          <w:rFonts w:cs="Times New Roman"/>
          <w:noProof/>
        </w:rPr>
        <w:t xml:space="preserve"> dinamika vidējā termiņā pakāpeniski samazināsies – no -65,9 milj. </w:t>
      </w:r>
      <w:r w:rsidRPr="001C0357">
        <w:rPr>
          <w:rFonts w:cs="Times New Roman"/>
          <w:i/>
          <w:iCs/>
          <w:noProof/>
        </w:rPr>
        <w:t xml:space="preserve">euro </w:t>
      </w:r>
      <w:r w:rsidRPr="001C0357">
        <w:rPr>
          <w:rFonts w:cs="Times New Roman"/>
          <w:noProof/>
        </w:rPr>
        <w:t>2025.</w:t>
      </w:r>
      <w:r>
        <w:rPr>
          <w:rFonts w:cs="Times New Roman"/>
          <w:noProof/>
        </w:rPr>
        <w:t> </w:t>
      </w:r>
      <w:r w:rsidRPr="001C0357">
        <w:rPr>
          <w:rFonts w:cs="Times New Roman"/>
          <w:noProof/>
        </w:rPr>
        <w:t xml:space="preserve">gadā līdz -25,9 milj. </w:t>
      </w:r>
      <w:r w:rsidRPr="001C0357">
        <w:rPr>
          <w:rFonts w:cs="Times New Roman"/>
          <w:i/>
          <w:iCs/>
          <w:noProof/>
        </w:rPr>
        <w:t xml:space="preserve">euro </w:t>
      </w:r>
      <w:r w:rsidRPr="001C0357">
        <w:rPr>
          <w:rFonts w:cs="Times New Roman"/>
          <w:noProof/>
        </w:rPr>
        <w:t>2029.</w:t>
      </w:r>
      <w:r>
        <w:rPr>
          <w:rFonts w:cs="Times New Roman"/>
          <w:noProof/>
        </w:rPr>
        <w:t> </w:t>
      </w:r>
      <w:r w:rsidRPr="001C0357">
        <w:rPr>
          <w:rFonts w:cs="Times New Roman"/>
          <w:noProof/>
        </w:rPr>
        <w:t>gadā</w:t>
      </w:r>
      <w:r w:rsidRPr="001C0357">
        <w:rPr>
          <w:rFonts w:cs="Times New Roman"/>
          <w:i/>
          <w:iCs/>
          <w:noProof/>
        </w:rPr>
        <w:t>.</w:t>
      </w:r>
      <w:r w:rsidRPr="001C0357">
        <w:rPr>
          <w:rFonts w:cs="Times New Roman"/>
          <w:noProof/>
        </w:rPr>
        <w:t xml:space="preserve"> Būtiskāko negatīvo ietekmi uz kopējo </w:t>
      </w:r>
      <w:r w:rsidRPr="001C0357">
        <w:rPr>
          <w:rFonts w:cs="Times New Roman"/>
          <w:noProof/>
        </w:rPr>
        <w:lastRenderedPageBreak/>
        <w:t>pieklasificēto vienību bilanci rada tādas centrālās valdības apakšsektora kapitālsabiedrības kā SIA “Enerģijas publiskais tirgotājs”, VAS “Latvijas dzelzceļš”, VSIA “Paula Stradiņa klīniskā universitātes slimnīca” un VAS “Valsts nekustamie īpašumi”, bet vietējās valdības apakšsektorā – SIA “Rīgas satiksme”.</w:t>
      </w:r>
      <w:r>
        <w:rPr>
          <w:rFonts w:cs="Times New Roman"/>
          <w:noProof/>
        </w:rPr>
        <w:t xml:space="preserve"> </w:t>
      </w:r>
      <w:r w:rsidRPr="001C0357">
        <w:rPr>
          <w:rFonts w:cs="Times New Roman"/>
          <w:noProof/>
        </w:rPr>
        <w:t>Salīdzinot ar 2025.</w:t>
      </w:r>
      <w:r>
        <w:rPr>
          <w:rFonts w:cs="Times New Roman"/>
          <w:noProof/>
        </w:rPr>
        <w:t> </w:t>
      </w:r>
      <w:r w:rsidRPr="001C0357">
        <w:rPr>
          <w:rFonts w:cs="Times New Roman"/>
          <w:noProof/>
        </w:rPr>
        <w:t>gada Progresa ziņojumā iekļautajām prognozēm, vasaras anketēšanas rezultāti neuzrāda būtiskas izmaiņas pieklasificēto vienību bilancē</w:t>
      </w:r>
      <w:r>
        <w:rPr>
          <w:rFonts w:cs="Times New Roman"/>
          <w:noProof/>
        </w:rPr>
        <w:t xml:space="preserve">. </w:t>
      </w:r>
      <w:r w:rsidRPr="001C0357">
        <w:rPr>
          <w:rFonts w:cs="Times New Roman"/>
          <w:noProof/>
        </w:rPr>
        <w:t>Attiecībā uz 2025.</w:t>
      </w:r>
      <w:r>
        <w:rPr>
          <w:rFonts w:cs="Times New Roman"/>
          <w:noProof/>
        </w:rPr>
        <w:t> </w:t>
      </w:r>
      <w:r w:rsidRPr="001C0357">
        <w:rPr>
          <w:rFonts w:cs="Times New Roman"/>
          <w:noProof/>
        </w:rPr>
        <w:t xml:space="preserve">gadu prognozes rāda, ka finansiālā situācija pasliktināsies atsevišķās slimnīcās, ņemot vērā Nacionālā veselības dienesta finanšu paziņojumus par dotā gada finansējumu. Šo bilances pasliktinājumu kompensē </w:t>
      </w:r>
      <w:r>
        <w:rPr>
          <w:rFonts w:cs="Times New Roman"/>
          <w:noProof/>
        </w:rPr>
        <w:t xml:space="preserve">uzlabojums </w:t>
      </w:r>
      <w:r w:rsidRPr="001C0357">
        <w:rPr>
          <w:rFonts w:cs="Times New Roman"/>
          <w:noProof/>
        </w:rPr>
        <w:t>satiksmes nozares uzņēmum</w:t>
      </w:r>
      <w:r>
        <w:rPr>
          <w:rFonts w:cs="Times New Roman"/>
          <w:noProof/>
        </w:rPr>
        <w:t>os</w:t>
      </w:r>
      <w:r w:rsidRPr="001C0357">
        <w:rPr>
          <w:rFonts w:cs="Times New Roman"/>
          <w:noProof/>
        </w:rPr>
        <w:t xml:space="preserve"> </w:t>
      </w:r>
      <w:r>
        <w:rPr>
          <w:rFonts w:cs="Times New Roman"/>
          <w:noProof/>
        </w:rPr>
        <w:t>–</w:t>
      </w:r>
      <w:r w:rsidRPr="001C0357">
        <w:rPr>
          <w:rFonts w:cs="Times New Roman"/>
          <w:noProof/>
        </w:rPr>
        <w:t xml:space="preserve"> galvenokārt VAS “Latvijas dzelzceļš”, kas, reaģējot uz kravu pārvadājumu kritumu, veic procesu pārskatīšanu, optimizē darbību un samazina izmaksas. </w:t>
      </w:r>
      <w:r>
        <w:rPr>
          <w:rFonts w:cs="Times New Roman"/>
          <w:noProof/>
        </w:rPr>
        <w:t>Līdzīgas tendences tiek prognozētas arī vidējā termiņā.</w:t>
      </w:r>
    </w:p>
    <w:p w14:paraId="5D9B28A0" w14:textId="761E349A" w:rsidR="00F57DAB" w:rsidRPr="001C0357" w:rsidRDefault="00F57DAB">
      <w:pPr>
        <w:spacing w:before="0" w:after="0"/>
        <w:ind w:firstLine="0"/>
        <w:jc w:val="left"/>
        <w:rPr>
          <w:rFonts w:eastAsiaTheme="majorEastAsia" w:cstheme="majorBidi"/>
          <w:b/>
          <w:noProof/>
          <w:sz w:val="28"/>
          <w:szCs w:val="28"/>
        </w:rPr>
      </w:pPr>
      <w:r w:rsidRPr="001C0357">
        <w:rPr>
          <w:noProof/>
          <w:sz w:val="28"/>
          <w:szCs w:val="28"/>
        </w:rPr>
        <w:br w:type="page"/>
      </w:r>
    </w:p>
    <w:p w14:paraId="3AD7147A" w14:textId="3085F0BD" w:rsidR="00F57DAB" w:rsidRPr="001C0357" w:rsidRDefault="00F57DAB" w:rsidP="00655992">
      <w:pPr>
        <w:pStyle w:val="Heading1"/>
        <w:spacing w:after="120"/>
        <w:ind w:left="360"/>
        <w:rPr>
          <w:noProof/>
          <w:sz w:val="28"/>
          <w:szCs w:val="28"/>
        </w:rPr>
      </w:pPr>
      <w:bookmarkStart w:id="11" w:name="_Toc205905374"/>
      <w:r w:rsidRPr="001C0357">
        <w:rPr>
          <w:noProof/>
          <w:sz w:val="28"/>
          <w:szCs w:val="28"/>
        </w:rPr>
        <w:lastRenderedPageBreak/>
        <w:t>Vi</w:t>
      </w:r>
      <w:r w:rsidR="003B1933" w:rsidRPr="001C0357">
        <w:rPr>
          <w:noProof/>
          <w:sz w:val="28"/>
          <w:szCs w:val="28"/>
        </w:rPr>
        <w:t>spārējās valdības parāda prognoze 202</w:t>
      </w:r>
      <w:r w:rsidR="004B00B6" w:rsidRPr="001C0357">
        <w:rPr>
          <w:noProof/>
          <w:sz w:val="28"/>
          <w:szCs w:val="28"/>
        </w:rPr>
        <w:t>5</w:t>
      </w:r>
      <w:r w:rsidR="003B1933" w:rsidRPr="001C0357">
        <w:rPr>
          <w:noProof/>
          <w:sz w:val="28"/>
          <w:szCs w:val="28"/>
        </w:rPr>
        <w:t>.-202</w:t>
      </w:r>
      <w:r w:rsidR="004B00B6" w:rsidRPr="001C0357">
        <w:rPr>
          <w:noProof/>
          <w:sz w:val="28"/>
          <w:szCs w:val="28"/>
        </w:rPr>
        <w:t>9</w:t>
      </w:r>
      <w:r w:rsidR="008E0FFD" w:rsidRPr="001C0357">
        <w:rPr>
          <w:noProof/>
          <w:sz w:val="28"/>
          <w:szCs w:val="28"/>
        </w:rPr>
        <w:t>.</w:t>
      </w:r>
      <w:r w:rsidR="003B1933" w:rsidRPr="001C0357">
        <w:rPr>
          <w:noProof/>
          <w:sz w:val="28"/>
          <w:szCs w:val="28"/>
        </w:rPr>
        <w:t> gadam</w:t>
      </w:r>
      <w:bookmarkEnd w:id="11"/>
    </w:p>
    <w:p w14:paraId="2D0868C0" w14:textId="7B1A4BB3" w:rsidR="004B00B6" w:rsidRPr="001C0357" w:rsidRDefault="004B00B6" w:rsidP="00655992">
      <w:pPr>
        <w:spacing w:before="240"/>
        <w:rPr>
          <w:rFonts w:eastAsia="Calibri" w:cs="Times New Roman"/>
          <w:noProof/>
          <w:color w:val="000000"/>
          <w:szCs w:val="24"/>
        </w:rPr>
      </w:pPr>
      <w:r w:rsidRPr="001C0357">
        <w:rPr>
          <w:rFonts w:eastAsia="Calibri" w:cs="Times New Roman"/>
          <w:noProof/>
          <w:color w:val="000000"/>
          <w:szCs w:val="24"/>
        </w:rPr>
        <w:t xml:space="preserve">Vispārējās valdības parāda prognoze sagatavota, ņemot vērā Finanšu ministrijas aktualizētās valsts budžeta finansiālās bilances prognozes pie nemainīgas valdības politikas, kā arī aktualizētas iekšzemes kopprodukta </w:t>
      </w:r>
      <w:r w:rsidR="00617938" w:rsidRPr="001C0357">
        <w:rPr>
          <w:rFonts w:eastAsia="Calibri" w:cs="Times New Roman"/>
          <w:noProof/>
          <w:color w:val="000000"/>
          <w:szCs w:val="24"/>
        </w:rPr>
        <w:t>(</w:t>
      </w:r>
      <w:r w:rsidRPr="001C0357">
        <w:rPr>
          <w:rFonts w:eastAsia="Calibri" w:cs="Times New Roman"/>
          <w:noProof/>
          <w:color w:val="000000"/>
          <w:szCs w:val="24"/>
        </w:rPr>
        <w:t>faktiskajās cenās</w:t>
      </w:r>
      <w:r w:rsidR="00617938" w:rsidRPr="001C0357">
        <w:rPr>
          <w:rFonts w:eastAsia="Calibri" w:cs="Times New Roman"/>
          <w:noProof/>
          <w:color w:val="000000"/>
          <w:szCs w:val="24"/>
        </w:rPr>
        <w:t>)</w:t>
      </w:r>
      <w:r w:rsidRPr="001C0357">
        <w:rPr>
          <w:rFonts w:eastAsia="Calibri" w:cs="Times New Roman"/>
          <w:noProof/>
          <w:color w:val="000000"/>
          <w:szCs w:val="24"/>
        </w:rPr>
        <w:t xml:space="preserve"> prognozes. </w:t>
      </w:r>
    </w:p>
    <w:p w14:paraId="36A76617" w14:textId="112725CA" w:rsidR="004B00B6" w:rsidRPr="001C0357" w:rsidRDefault="004B00B6" w:rsidP="004B00B6">
      <w:pPr>
        <w:rPr>
          <w:rFonts w:eastAsia="Calibri" w:cs="Times New Roman"/>
          <w:noProof/>
          <w:color w:val="000000"/>
          <w:szCs w:val="24"/>
        </w:rPr>
      </w:pPr>
      <w:r w:rsidRPr="001C0357">
        <w:rPr>
          <w:rFonts w:eastAsia="Calibri" w:cs="Times New Roman"/>
          <w:noProof/>
          <w:color w:val="000000"/>
          <w:szCs w:val="24"/>
        </w:rPr>
        <w:t>Vispārējās valdības parāda prognoze 2025.-2029. gadam ir ar pieaugumu, salīdzinot ar 2025.</w:t>
      </w:r>
      <w:r w:rsidR="00617938" w:rsidRPr="001C0357">
        <w:rPr>
          <w:rFonts w:eastAsia="Calibri" w:cs="Times New Roman"/>
          <w:noProof/>
          <w:color w:val="000000"/>
          <w:szCs w:val="24"/>
        </w:rPr>
        <w:t> </w:t>
      </w:r>
      <w:r w:rsidRPr="001C0357">
        <w:rPr>
          <w:rFonts w:eastAsia="Calibri" w:cs="Times New Roman"/>
          <w:noProof/>
          <w:color w:val="000000"/>
          <w:szCs w:val="24"/>
        </w:rPr>
        <w:t>gada Progresa ziņojum</w:t>
      </w:r>
      <w:r w:rsidR="00F8697B" w:rsidRPr="001C0357">
        <w:rPr>
          <w:rFonts w:eastAsia="Calibri" w:cs="Times New Roman"/>
          <w:noProof/>
          <w:color w:val="000000"/>
          <w:szCs w:val="24"/>
        </w:rPr>
        <w:t>a</w:t>
      </w:r>
      <w:r w:rsidRPr="001C0357">
        <w:rPr>
          <w:rFonts w:eastAsia="Calibri" w:cs="Times New Roman"/>
          <w:noProof/>
          <w:color w:val="000000"/>
          <w:szCs w:val="24"/>
        </w:rPr>
        <w:t xml:space="preserve"> iekļauto prognozi (skat. </w:t>
      </w:r>
      <w:r w:rsidR="00617938" w:rsidRPr="001C0357">
        <w:rPr>
          <w:rFonts w:eastAsia="Calibri" w:cs="Times New Roman"/>
          <w:noProof/>
          <w:color w:val="000000"/>
          <w:szCs w:val="24"/>
        </w:rPr>
        <w:t>4. </w:t>
      </w:r>
      <w:r w:rsidRPr="001C0357">
        <w:rPr>
          <w:rFonts w:eastAsia="Calibri" w:cs="Times New Roman"/>
          <w:noProof/>
          <w:color w:val="000000"/>
          <w:szCs w:val="24"/>
        </w:rPr>
        <w:t xml:space="preserve">tabulu). </w:t>
      </w:r>
    </w:p>
    <w:p w14:paraId="4F04601D" w14:textId="3622E4C5" w:rsidR="004B00B6" w:rsidRPr="001C0357" w:rsidRDefault="00617938" w:rsidP="004B00B6">
      <w:pPr>
        <w:ind w:left="720" w:hanging="720"/>
        <w:jc w:val="center"/>
        <w:rPr>
          <w:rFonts w:eastAsia="Calibri" w:cs="Times New Roman"/>
          <w:b/>
          <w:bCs/>
          <w:noProof/>
          <w:szCs w:val="24"/>
        </w:rPr>
      </w:pPr>
      <w:r w:rsidRPr="001C0357">
        <w:rPr>
          <w:rFonts w:eastAsia="Calibri" w:cs="Times New Roman"/>
          <w:b/>
          <w:bCs/>
          <w:noProof/>
          <w:szCs w:val="24"/>
        </w:rPr>
        <w:t>4</w:t>
      </w:r>
      <w:r w:rsidR="004B00B6" w:rsidRPr="001C0357">
        <w:rPr>
          <w:rFonts w:eastAsia="Calibri" w:cs="Times New Roman"/>
          <w:b/>
          <w:bCs/>
          <w:noProof/>
          <w:szCs w:val="24"/>
        </w:rPr>
        <w:t>.</w:t>
      </w:r>
      <w:r w:rsidRPr="001C0357">
        <w:rPr>
          <w:rFonts w:eastAsia="Calibri" w:cs="Times New Roman"/>
          <w:b/>
          <w:bCs/>
          <w:noProof/>
          <w:szCs w:val="24"/>
        </w:rPr>
        <w:t> </w:t>
      </w:r>
      <w:r w:rsidR="004B00B6" w:rsidRPr="001C0357">
        <w:rPr>
          <w:rFonts w:eastAsia="Calibri" w:cs="Times New Roman"/>
          <w:b/>
          <w:bCs/>
          <w:noProof/>
          <w:szCs w:val="24"/>
        </w:rPr>
        <w:t xml:space="preserve">tabula. Vispārējās valdības parāda prognožu salīdzinājums, % no IKP </w:t>
      </w:r>
    </w:p>
    <w:tbl>
      <w:tblPr>
        <w:tblW w:w="9105" w:type="dxa"/>
        <w:tblLook w:val="04A0" w:firstRow="1" w:lastRow="0" w:firstColumn="1" w:lastColumn="0" w:noHBand="0" w:noVBand="1"/>
      </w:tblPr>
      <w:tblGrid>
        <w:gridCol w:w="3256"/>
        <w:gridCol w:w="992"/>
        <w:gridCol w:w="992"/>
        <w:gridCol w:w="992"/>
        <w:gridCol w:w="993"/>
        <w:gridCol w:w="992"/>
        <w:gridCol w:w="888"/>
      </w:tblGrid>
      <w:tr w:rsidR="004B00B6" w:rsidRPr="001C0357" w14:paraId="2ECDA232" w14:textId="77777777" w:rsidTr="006E0DF3">
        <w:trPr>
          <w:trHeight w:val="300"/>
        </w:trPr>
        <w:tc>
          <w:tcPr>
            <w:tcW w:w="3256" w:type="dxa"/>
            <w:vMerge w:val="restart"/>
            <w:tcBorders>
              <w:top w:val="single" w:sz="4" w:space="0" w:color="auto"/>
              <w:left w:val="single" w:sz="4" w:space="0" w:color="auto"/>
              <w:bottom w:val="single" w:sz="4" w:space="0" w:color="000000"/>
              <w:right w:val="single" w:sz="4" w:space="0" w:color="auto"/>
            </w:tcBorders>
            <w:noWrap/>
            <w:vAlign w:val="center"/>
            <w:hideMark/>
          </w:tcPr>
          <w:p w14:paraId="75E8179E" w14:textId="77777777" w:rsidR="004B00B6" w:rsidRPr="001C0357" w:rsidRDefault="004B00B6">
            <w:pPr>
              <w:rPr>
                <w:rFonts w:eastAsia="Calibri" w:cs="Times New Roman"/>
                <w:b/>
                <w:bCs/>
                <w:noProof/>
                <w:sz w:val="20"/>
                <w:szCs w:val="20"/>
              </w:rPr>
            </w:pPr>
          </w:p>
        </w:tc>
        <w:tc>
          <w:tcPr>
            <w:tcW w:w="992" w:type="dxa"/>
            <w:tcBorders>
              <w:top w:val="single" w:sz="4" w:space="0" w:color="auto"/>
              <w:left w:val="nil"/>
              <w:bottom w:val="single" w:sz="4" w:space="0" w:color="auto"/>
              <w:right w:val="single" w:sz="4" w:space="0" w:color="auto"/>
            </w:tcBorders>
            <w:noWrap/>
            <w:vAlign w:val="center"/>
            <w:hideMark/>
          </w:tcPr>
          <w:p w14:paraId="63DEF57E" w14:textId="77777777" w:rsidR="004B00B6" w:rsidRPr="001C0357" w:rsidRDefault="004B00B6">
            <w:pPr>
              <w:spacing w:before="0" w:after="0" w:line="256" w:lineRule="auto"/>
              <w:ind w:firstLine="0"/>
              <w:jc w:val="center"/>
              <w:rPr>
                <w:rFonts w:eastAsia="Times New Roman" w:cs="Times New Roman"/>
                <w:noProof/>
                <w:kern w:val="2"/>
                <w:sz w:val="20"/>
                <w:szCs w:val="20"/>
                <w:lang w:eastAsia="lv-LV"/>
                <w14:ligatures w14:val="standardContextual"/>
              </w:rPr>
            </w:pPr>
            <w:r w:rsidRPr="001C0357">
              <w:rPr>
                <w:rFonts w:eastAsia="Times New Roman" w:cs="Times New Roman"/>
                <w:b/>
                <w:bCs/>
                <w:noProof/>
                <w:kern w:val="2"/>
                <w:sz w:val="20"/>
                <w:szCs w:val="20"/>
                <w:lang w:eastAsia="lv-LV"/>
                <w14:ligatures w14:val="standardContextual"/>
              </w:rPr>
              <w:t>2024</w:t>
            </w:r>
          </w:p>
        </w:tc>
        <w:tc>
          <w:tcPr>
            <w:tcW w:w="992" w:type="dxa"/>
            <w:tcBorders>
              <w:top w:val="single" w:sz="4" w:space="0" w:color="auto"/>
              <w:left w:val="nil"/>
              <w:bottom w:val="single" w:sz="4" w:space="0" w:color="auto"/>
              <w:right w:val="single" w:sz="4" w:space="0" w:color="auto"/>
            </w:tcBorders>
            <w:shd w:val="clear" w:color="auto" w:fill="F0E7DA"/>
            <w:vAlign w:val="center"/>
            <w:hideMark/>
          </w:tcPr>
          <w:p w14:paraId="7B7CCE98" w14:textId="77777777" w:rsidR="004B00B6" w:rsidRPr="001C0357" w:rsidRDefault="004B00B6">
            <w:pPr>
              <w:spacing w:before="0" w:after="0" w:line="256" w:lineRule="auto"/>
              <w:ind w:firstLine="0"/>
              <w:jc w:val="center"/>
              <w:rPr>
                <w:rFonts w:eastAsia="Times New Roman" w:cs="Times New Roman"/>
                <w:noProof/>
                <w:kern w:val="2"/>
                <w:sz w:val="20"/>
                <w:szCs w:val="20"/>
                <w:lang w:eastAsia="lv-LV"/>
                <w14:ligatures w14:val="standardContextual"/>
              </w:rPr>
            </w:pPr>
            <w:r w:rsidRPr="001C0357">
              <w:rPr>
                <w:rFonts w:eastAsia="Times New Roman" w:cs="Times New Roman"/>
                <w:b/>
                <w:bCs/>
                <w:noProof/>
                <w:kern w:val="2"/>
                <w:sz w:val="20"/>
                <w:szCs w:val="20"/>
                <w:lang w:eastAsia="lv-LV"/>
                <w14:ligatures w14:val="standardContextual"/>
              </w:rPr>
              <w:t>2025</w:t>
            </w:r>
          </w:p>
        </w:tc>
        <w:tc>
          <w:tcPr>
            <w:tcW w:w="992" w:type="dxa"/>
            <w:tcBorders>
              <w:top w:val="single" w:sz="4" w:space="0" w:color="auto"/>
              <w:left w:val="nil"/>
              <w:bottom w:val="single" w:sz="4" w:space="0" w:color="auto"/>
              <w:right w:val="single" w:sz="4" w:space="0" w:color="auto"/>
            </w:tcBorders>
            <w:shd w:val="clear" w:color="auto" w:fill="F0E7DA"/>
            <w:vAlign w:val="center"/>
            <w:hideMark/>
          </w:tcPr>
          <w:p w14:paraId="7E0E85AA" w14:textId="77777777" w:rsidR="004B00B6" w:rsidRPr="001C0357" w:rsidRDefault="004B00B6">
            <w:pPr>
              <w:spacing w:before="0" w:after="0" w:line="256" w:lineRule="auto"/>
              <w:ind w:firstLine="0"/>
              <w:jc w:val="center"/>
              <w:rPr>
                <w:rFonts w:eastAsia="Times New Roman" w:cs="Times New Roman"/>
                <w:noProof/>
                <w:kern w:val="2"/>
                <w:sz w:val="20"/>
                <w:szCs w:val="20"/>
                <w:lang w:eastAsia="lv-LV"/>
                <w14:ligatures w14:val="standardContextual"/>
              </w:rPr>
            </w:pPr>
            <w:r w:rsidRPr="001C0357">
              <w:rPr>
                <w:rFonts w:eastAsia="Times New Roman" w:cs="Times New Roman"/>
                <w:b/>
                <w:bCs/>
                <w:noProof/>
                <w:kern w:val="2"/>
                <w:sz w:val="20"/>
                <w:szCs w:val="20"/>
                <w:lang w:eastAsia="lv-LV"/>
                <w14:ligatures w14:val="standardContextual"/>
              </w:rPr>
              <w:t>2026</w:t>
            </w:r>
          </w:p>
        </w:tc>
        <w:tc>
          <w:tcPr>
            <w:tcW w:w="993" w:type="dxa"/>
            <w:tcBorders>
              <w:top w:val="single" w:sz="4" w:space="0" w:color="auto"/>
              <w:left w:val="nil"/>
              <w:bottom w:val="single" w:sz="4" w:space="0" w:color="auto"/>
              <w:right w:val="single" w:sz="4" w:space="0" w:color="auto"/>
            </w:tcBorders>
            <w:shd w:val="clear" w:color="auto" w:fill="F0E7DA"/>
            <w:vAlign w:val="center"/>
            <w:hideMark/>
          </w:tcPr>
          <w:p w14:paraId="0E2AD30E" w14:textId="77777777" w:rsidR="004B00B6" w:rsidRPr="001C0357" w:rsidRDefault="004B00B6">
            <w:pPr>
              <w:spacing w:before="0" w:after="0" w:line="256" w:lineRule="auto"/>
              <w:ind w:firstLine="0"/>
              <w:jc w:val="center"/>
              <w:rPr>
                <w:rFonts w:eastAsia="Times New Roman" w:cs="Times New Roman"/>
                <w:noProof/>
                <w:kern w:val="2"/>
                <w:sz w:val="20"/>
                <w:szCs w:val="20"/>
                <w:lang w:eastAsia="lv-LV"/>
                <w14:ligatures w14:val="standardContextual"/>
              </w:rPr>
            </w:pPr>
            <w:r w:rsidRPr="001C0357">
              <w:rPr>
                <w:rFonts w:eastAsia="Times New Roman" w:cs="Times New Roman"/>
                <w:b/>
                <w:bCs/>
                <w:noProof/>
                <w:kern w:val="2"/>
                <w:sz w:val="20"/>
                <w:szCs w:val="20"/>
                <w:lang w:eastAsia="lv-LV"/>
                <w14:ligatures w14:val="standardContextual"/>
              </w:rPr>
              <w:t>2027</w:t>
            </w:r>
          </w:p>
        </w:tc>
        <w:tc>
          <w:tcPr>
            <w:tcW w:w="992" w:type="dxa"/>
            <w:tcBorders>
              <w:top w:val="single" w:sz="4" w:space="0" w:color="auto"/>
              <w:left w:val="nil"/>
              <w:bottom w:val="single" w:sz="4" w:space="0" w:color="auto"/>
              <w:right w:val="single" w:sz="4" w:space="0" w:color="auto"/>
            </w:tcBorders>
            <w:shd w:val="clear" w:color="auto" w:fill="F0E7DA"/>
            <w:vAlign w:val="center"/>
            <w:hideMark/>
          </w:tcPr>
          <w:p w14:paraId="1BEF8326" w14:textId="77777777" w:rsidR="004B00B6" w:rsidRPr="001C0357" w:rsidRDefault="004B00B6">
            <w:pPr>
              <w:spacing w:before="0" w:after="0" w:line="256" w:lineRule="auto"/>
              <w:ind w:firstLine="0"/>
              <w:jc w:val="center"/>
              <w:rPr>
                <w:rFonts w:eastAsia="Times New Roman" w:cs="Times New Roman"/>
                <w:noProof/>
                <w:kern w:val="2"/>
                <w:sz w:val="20"/>
                <w:szCs w:val="20"/>
                <w:lang w:eastAsia="lv-LV"/>
                <w14:ligatures w14:val="standardContextual"/>
              </w:rPr>
            </w:pPr>
            <w:r w:rsidRPr="001C0357">
              <w:rPr>
                <w:rFonts w:eastAsia="Times New Roman" w:cs="Times New Roman"/>
                <w:b/>
                <w:bCs/>
                <w:noProof/>
                <w:kern w:val="2"/>
                <w:sz w:val="20"/>
                <w:szCs w:val="20"/>
                <w:lang w:eastAsia="lv-LV"/>
                <w14:ligatures w14:val="standardContextual"/>
              </w:rPr>
              <w:t>2028</w:t>
            </w:r>
          </w:p>
        </w:tc>
        <w:tc>
          <w:tcPr>
            <w:tcW w:w="888" w:type="dxa"/>
            <w:tcBorders>
              <w:top w:val="single" w:sz="4" w:space="0" w:color="auto"/>
              <w:left w:val="nil"/>
              <w:bottom w:val="single" w:sz="4" w:space="0" w:color="auto"/>
              <w:right w:val="single" w:sz="4" w:space="0" w:color="auto"/>
            </w:tcBorders>
            <w:shd w:val="clear" w:color="auto" w:fill="F0E7DA"/>
            <w:vAlign w:val="center"/>
            <w:hideMark/>
          </w:tcPr>
          <w:p w14:paraId="4E871216" w14:textId="77777777" w:rsidR="004B00B6" w:rsidRPr="001C0357" w:rsidRDefault="004B00B6">
            <w:pPr>
              <w:spacing w:before="0" w:after="0" w:line="256" w:lineRule="auto"/>
              <w:ind w:firstLine="0"/>
              <w:jc w:val="center"/>
              <w:rPr>
                <w:rFonts w:eastAsia="Times New Roman" w:cs="Times New Roman"/>
                <w:b/>
                <w:bCs/>
                <w:noProof/>
                <w:kern w:val="2"/>
                <w:sz w:val="20"/>
                <w:szCs w:val="20"/>
                <w:lang w:eastAsia="lv-LV"/>
                <w14:ligatures w14:val="standardContextual"/>
              </w:rPr>
            </w:pPr>
            <w:r w:rsidRPr="001C0357">
              <w:rPr>
                <w:rFonts w:eastAsia="Times New Roman" w:cs="Times New Roman"/>
                <w:b/>
                <w:bCs/>
                <w:noProof/>
                <w:kern w:val="2"/>
                <w:sz w:val="20"/>
                <w:szCs w:val="20"/>
                <w:lang w:eastAsia="lv-LV"/>
                <w14:ligatures w14:val="standardContextual"/>
              </w:rPr>
              <w:t>2029</w:t>
            </w:r>
          </w:p>
        </w:tc>
      </w:tr>
      <w:tr w:rsidR="004B00B6" w:rsidRPr="001C0357" w14:paraId="3EC6716F" w14:textId="77777777" w:rsidTr="006E0DF3">
        <w:trPr>
          <w:trHeight w:val="30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1D42797" w14:textId="77777777" w:rsidR="004B00B6" w:rsidRPr="001C0357" w:rsidRDefault="004B00B6">
            <w:pPr>
              <w:spacing w:before="0" w:after="0" w:line="256" w:lineRule="auto"/>
              <w:ind w:firstLine="0"/>
              <w:jc w:val="left"/>
              <w:rPr>
                <w:rFonts w:eastAsia="Calibri" w:cs="Times New Roman"/>
                <w:b/>
                <w:bCs/>
                <w:noProof/>
                <w:sz w:val="20"/>
                <w:szCs w:val="20"/>
              </w:rPr>
            </w:pPr>
          </w:p>
        </w:tc>
        <w:tc>
          <w:tcPr>
            <w:tcW w:w="992" w:type="dxa"/>
            <w:tcBorders>
              <w:top w:val="nil"/>
              <w:left w:val="nil"/>
              <w:bottom w:val="single" w:sz="4" w:space="0" w:color="auto"/>
              <w:right w:val="single" w:sz="4" w:space="0" w:color="auto"/>
            </w:tcBorders>
            <w:noWrap/>
            <w:vAlign w:val="center"/>
            <w:hideMark/>
          </w:tcPr>
          <w:p w14:paraId="62FF9402" w14:textId="77777777" w:rsidR="004B00B6" w:rsidRPr="001C0357" w:rsidRDefault="004B00B6">
            <w:pPr>
              <w:spacing w:before="0" w:after="0" w:line="256" w:lineRule="auto"/>
              <w:ind w:firstLine="0"/>
              <w:jc w:val="center"/>
              <w:rPr>
                <w:rFonts w:eastAsia="Times New Roman" w:cs="Times New Roman"/>
                <w:b/>
                <w:bCs/>
                <w:noProof/>
                <w:kern w:val="2"/>
                <w:sz w:val="20"/>
                <w:szCs w:val="20"/>
                <w:lang w:eastAsia="lv-LV"/>
                <w14:ligatures w14:val="standardContextual"/>
              </w:rPr>
            </w:pPr>
            <w:r w:rsidRPr="001C0357">
              <w:rPr>
                <w:rFonts w:eastAsia="Times New Roman" w:cs="Times New Roman"/>
                <w:b/>
                <w:bCs/>
                <w:noProof/>
                <w:kern w:val="2"/>
                <w:sz w:val="20"/>
                <w:szCs w:val="20"/>
                <w:lang w:eastAsia="lv-LV"/>
                <w14:ligatures w14:val="standardContextual"/>
              </w:rPr>
              <w:t>fakts</w:t>
            </w:r>
          </w:p>
        </w:tc>
        <w:tc>
          <w:tcPr>
            <w:tcW w:w="4857" w:type="dxa"/>
            <w:gridSpan w:val="5"/>
            <w:tcBorders>
              <w:top w:val="nil"/>
              <w:left w:val="nil"/>
              <w:bottom w:val="single" w:sz="4" w:space="0" w:color="auto"/>
              <w:right w:val="single" w:sz="4" w:space="0" w:color="auto"/>
            </w:tcBorders>
            <w:shd w:val="clear" w:color="auto" w:fill="F0E7DA"/>
            <w:noWrap/>
            <w:vAlign w:val="center"/>
            <w:hideMark/>
          </w:tcPr>
          <w:p w14:paraId="01DE0DDC" w14:textId="77777777" w:rsidR="004B00B6" w:rsidRPr="001C0357" w:rsidRDefault="004B00B6">
            <w:pPr>
              <w:pStyle w:val="ListParagraph"/>
              <w:spacing w:before="0" w:after="0" w:line="256" w:lineRule="auto"/>
              <w:ind w:firstLine="0"/>
              <w:jc w:val="center"/>
              <w:rPr>
                <w:rFonts w:eastAsia="Times New Roman" w:cs="Times New Roman"/>
                <w:b/>
                <w:bCs/>
                <w:noProof/>
                <w:kern w:val="2"/>
                <w:sz w:val="20"/>
                <w:szCs w:val="20"/>
                <w:lang w:eastAsia="lv-LV"/>
                <w14:ligatures w14:val="standardContextual"/>
              </w:rPr>
            </w:pPr>
            <w:r w:rsidRPr="001C0357">
              <w:rPr>
                <w:rFonts w:eastAsia="Times New Roman" w:cs="Times New Roman"/>
                <w:b/>
                <w:bCs/>
                <w:noProof/>
                <w:kern w:val="2"/>
                <w:sz w:val="20"/>
                <w:szCs w:val="20"/>
                <w:lang w:eastAsia="lv-LV"/>
                <w14:ligatures w14:val="standardContextual"/>
              </w:rPr>
              <w:t>prognoze</w:t>
            </w:r>
          </w:p>
        </w:tc>
      </w:tr>
      <w:tr w:rsidR="004B00B6" w:rsidRPr="001C0357" w14:paraId="3EA65021" w14:textId="77777777" w:rsidTr="00F1215C">
        <w:trPr>
          <w:trHeight w:val="336"/>
        </w:trPr>
        <w:tc>
          <w:tcPr>
            <w:tcW w:w="3256" w:type="dxa"/>
            <w:tcBorders>
              <w:top w:val="nil"/>
              <w:left w:val="single" w:sz="4" w:space="0" w:color="auto"/>
              <w:bottom w:val="single" w:sz="4" w:space="0" w:color="auto"/>
              <w:right w:val="single" w:sz="4" w:space="0" w:color="auto"/>
            </w:tcBorders>
            <w:vAlign w:val="center"/>
            <w:hideMark/>
          </w:tcPr>
          <w:p w14:paraId="5DFA983A" w14:textId="5A2C9343" w:rsidR="004B00B6" w:rsidRPr="001C0357" w:rsidRDefault="004B00B6" w:rsidP="00F57DAB">
            <w:pPr>
              <w:spacing w:before="0" w:after="0" w:line="257" w:lineRule="auto"/>
              <w:ind w:firstLine="0"/>
              <w:rPr>
                <w:rFonts w:eastAsia="Times New Roman" w:cs="Times New Roman"/>
                <w:noProof/>
                <w:kern w:val="2"/>
                <w:sz w:val="20"/>
                <w:szCs w:val="20"/>
                <w:lang w:eastAsia="lv-LV"/>
                <w14:ligatures w14:val="standardContextual"/>
              </w:rPr>
            </w:pPr>
            <w:r w:rsidRPr="001C0357">
              <w:rPr>
                <w:rFonts w:eastAsia="Times New Roman" w:cs="Times New Roman"/>
                <w:noProof/>
                <w:kern w:val="2"/>
                <w:sz w:val="20"/>
                <w:szCs w:val="20"/>
                <w:lang w:eastAsia="lv-LV"/>
                <w14:ligatures w14:val="standardContextual"/>
              </w:rPr>
              <w:t>2025.</w:t>
            </w:r>
            <w:r w:rsidR="00F57DAB" w:rsidRPr="001C0357">
              <w:rPr>
                <w:rFonts w:eastAsia="Times New Roman" w:cs="Times New Roman"/>
                <w:noProof/>
                <w:kern w:val="2"/>
                <w:sz w:val="20"/>
                <w:szCs w:val="20"/>
                <w:lang w:eastAsia="lv-LV"/>
                <w14:ligatures w14:val="standardContextual"/>
              </w:rPr>
              <w:t> </w:t>
            </w:r>
            <w:r w:rsidRPr="001C0357">
              <w:rPr>
                <w:rFonts w:eastAsia="Times New Roman" w:cs="Times New Roman"/>
                <w:noProof/>
                <w:kern w:val="2"/>
                <w:sz w:val="20"/>
                <w:szCs w:val="20"/>
                <w:lang w:eastAsia="lv-LV"/>
                <w14:ligatures w14:val="standardContextual"/>
              </w:rPr>
              <w:t>gada Progresa ziņojums</w:t>
            </w:r>
          </w:p>
        </w:tc>
        <w:tc>
          <w:tcPr>
            <w:tcW w:w="992" w:type="dxa"/>
            <w:tcBorders>
              <w:top w:val="nil"/>
              <w:left w:val="nil"/>
              <w:bottom w:val="single" w:sz="4" w:space="0" w:color="auto"/>
              <w:right w:val="single" w:sz="4" w:space="0" w:color="auto"/>
            </w:tcBorders>
            <w:noWrap/>
            <w:vAlign w:val="center"/>
            <w:hideMark/>
          </w:tcPr>
          <w:p w14:paraId="71AEBEEF" w14:textId="77777777" w:rsidR="004B00B6" w:rsidRPr="001C0357" w:rsidRDefault="004B00B6" w:rsidP="00F8697B">
            <w:pPr>
              <w:spacing w:before="0" w:after="0" w:line="257" w:lineRule="auto"/>
              <w:ind w:firstLine="0"/>
              <w:jc w:val="center"/>
              <w:rPr>
                <w:rFonts w:eastAsia="Times New Roman" w:cs="Times New Roman"/>
                <w:noProof/>
                <w:kern w:val="2"/>
                <w:sz w:val="20"/>
                <w:szCs w:val="20"/>
                <w:lang w:eastAsia="lv-LV"/>
                <w14:ligatures w14:val="standardContextual"/>
              </w:rPr>
            </w:pPr>
            <w:r w:rsidRPr="001C0357">
              <w:rPr>
                <w:rFonts w:eastAsia="Times New Roman" w:cs="Times New Roman"/>
                <w:noProof/>
                <w:kern w:val="2"/>
                <w:sz w:val="20"/>
                <w:szCs w:val="20"/>
                <w:lang w:eastAsia="lv-LV"/>
                <w14:ligatures w14:val="standardContextual"/>
              </w:rPr>
              <w:t>47,1%</w:t>
            </w:r>
          </w:p>
        </w:tc>
        <w:tc>
          <w:tcPr>
            <w:tcW w:w="992" w:type="dxa"/>
            <w:tcBorders>
              <w:top w:val="nil"/>
              <w:left w:val="nil"/>
              <w:bottom w:val="single" w:sz="4" w:space="0" w:color="auto"/>
              <w:right w:val="single" w:sz="4" w:space="0" w:color="auto"/>
            </w:tcBorders>
            <w:shd w:val="clear" w:color="auto" w:fill="F0E7DA"/>
            <w:noWrap/>
            <w:vAlign w:val="center"/>
            <w:hideMark/>
          </w:tcPr>
          <w:p w14:paraId="57DFDD2B" w14:textId="77777777" w:rsidR="004B00B6" w:rsidRPr="001C0357" w:rsidRDefault="004B00B6" w:rsidP="00F8697B">
            <w:pPr>
              <w:spacing w:before="0" w:after="0" w:line="257" w:lineRule="auto"/>
              <w:ind w:firstLine="0"/>
              <w:jc w:val="center"/>
              <w:rPr>
                <w:rFonts w:eastAsia="Times New Roman" w:cs="Times New Roman"/>
                <w:noProof/>
                <w:kern w:val="2"/>
                <w:sz w:val="20"/>
                <w:szCs w:val="20"/>
                <w:lang w:eastAsia="lv-LV"/>
                <w14:ligatures w14:val="standardContextual"/>
              </w:rPr>
            </w:pPr>
            <w:r w:rsidRPr="001C0357">
              <w:rPr>
                <w:rFonts w:eastAsia="Times New Roman" w:cs="Times New Roman"/>
                <w:noProof/>
                <w:kern w:val="2"/>
                <w:sz w:val="20"/>
                <w:szCs w:val="20"/>
                <w:lang w:eastAsia="lv-LV"/>
                <w14:ligatures w14:val="standardContextual"/>
              </w:rPr>
              <w:t>49,0%</w:t>
            </w:r>
          </w:p>
        </w:tc>
        <w:tc>
          <w:tcPr>
            <w:tcW w:w="992" w:type="dxa"/>
            <w:tcBorders>
              <w:top w:val="nil"/>
              <w:left w:val="nil"/>
              <w:bottom w:val="single" w:sz="4" w:space="0" w:color="auto"/>
              <w:right w:val="single" w:sz="4" w:space="0" w:color="auto"/>
            </w:tcBorders>
            <w:shd w:val="clear" w:color="auto" w:fill="F0E7DA"/>
            <w:noWrap/>
            <w:vAlign w:val="center"/>
            <w:hideMark/>
          </w:tcPr>
          <w:p w14:paraId="4234AEAF" w14:textId="2D89C504" w:rsidR="004B00B6" w:rsidRPr="001C0357" w:rsidRDefault="004B00B6" w:rsidP="00F8697B">
            <w:pPr>
              <w:spacing w:before="0" w:after="0" w:line="257" w:lineRule="auto"/>
              <w:ind w:firstLine="0"/>
              <w:jc w:val="center"/>
              <w:rPr>
                <w:rFonts w:eastAsia="Times New Roman" w:cs="Times New Roman"/>
                <w:noProof/>
                <w:kern w:val="2"/>
                <w:sz w:val="20"/>
                <w:szCs w:val="20"/>
                <w:lang w:eastAsia="lv-LV"/>
                <w14:ligatures w14:val="standardContextual"/>
              </w:rPr>
            </w:pPr>
            <w:r w:rsidRPr="001C0357">
              <w:rPr>
                <w:rFonts w:eastAsia="Times New Roman" w:cs="Times New Roman"/>
                <w:noProof/>
                <w:kern w:val="2"/>
                <w:sz w:val="20"/>
                <w:szCs w:val="20"/>
                <w:lang w:eastAsia="lv-LV"/>
                <w14:ligatures w14:val="standardContextual"/>
              </w:rPr>
              <w:t>49,5</w:t>
            </w:r>
            <w:r w:rsidR="00F57DAB" w:rsidRPr="001C0357">
              <w:rPr>
                <w:rFonts w:eastAsia="Times New Roman" w:cs="Times New Roman"/>
                <w:noProof/>
                <w:kern w:val="2"/>
                <w:sz w:val="20"/>
                <w:szCs w:val="20"/>
                <w:lang w:eastAsia="lv-LV"/>
                <w14:ligatures w14:val="standardContextual"/>
              </w:rPr>
              <w:t>%</w:t>
            </w:r>
          </w:p>
        </w:tc>
        <w:tc>
          <w:tcPr>
            <w:tcW w:w="993" w:type="dxa"/>
            <w:tcBorders>
              <w:top w:val="nil"/>
              <w:left w:val="nil"/>
              <w:bottom w:val="single" w:sz="4" w:space="0" w:color="auto"/>
              <w:right w:val="single" w:sz="4" w:space="0" w:color="auto"/>
            </w:tcBorders>
            <w:shd w:val="clear" w:color="auto" w:fill="F0E7DA"/>
            <w:noWrap/>
            <w:vAlign w:val="center"/>
            <w:hideMark/>
          </w:tcPr>
          <w:p w14:paraId="7A1E5746" w14:textId="77777777" w:rsidR="004B00B6" w:rsidRPr="001C0357" w:rsidRDefault="004B00B6" w:rsidP="00F8697B">
            <w:pPr>
              <w:spacing w:before="0" w:after="0" w:line="257" w:lineRule="auto"/>
              <w:ind w:firstLine="0"/>
              <w:jc w:val="center"/>
              <w:rPr>
                <w:rFonts w:eastAsia="Times New Roman" w:cs="Times New Roman"/>
                <w:noProof/>
                <w:kern w:val="2"/>
                <w:sz w:val="20"/>
                <w:szCs w:val="20"/>
                <w:lang w:eastAsia="lv-LV"/>
                <w14:ligatures w14:val="standardContextual"/>
              </w:rPr>
            </w:pPr>
            <w:r w:rsidRPr="001C0357">
              <w:rPr>
                <w:rFonts w:eastAsia="Times New Roman" w:cs="Times New Roman"/>
                <w:noProof/>
                <w:kern w:val="2"/>
                <w:sz w:val="20"/>
                <w:szCs w:val="20"/>
                <w:lang w:eastAsia="lv-LV"/>
                <w14:ligatures w14:val="standardContextual"/>
              </w:rPr>
              <w:t>52,8%</w:t>
            </w:r>
          </w:p>
        </w:tc>
        <w:tc>
          <w:tcPr>
            <w:tcW w:w="992" w:type="dxa"/>
            <w:tcBorders>
              <w:top w:val="nil"/>
              <w:left w:val="nil"/>
              <w:bottom w:val="single" w:sz="4" w:space="0" w:color="auto"/>
              <w:right w:val="single" w:sz="4" w:space="0" w:color="auto"/>
            </w:tcBorders>
            <w:shd w:val="clear" w:color="auto" w:fill="F0E7DA"/>
            <w:noWrap/>
            <w:vAlign w:val="center"/>
            <w:hideMark/>
          </w:tcPr>
          <w:p w14:paraId="79070140" w14:textId="77777777" w:rsidR="004B00B6" w:rsidRPr="001C0357" w:rsidRDefault="004B00B6" w:rsidP="00F8697B">
            <w:pPr>
              <w:spacing w:before="0" w:after="0" w:line="257" w:lineRule="auto"/>
              <w:ind w:firstLine="0"/>
              <w:jc w:val="center"/>
              <w:rPr>
                <w:rFonts w:eastAsia="Times New Roman" w:cs="Times New Roman"/>
                <w:noProof/>
                <w:kern w:val="2"/>
                <w:sz w:val="20"/>
                <w:szCs w:val="20"/>
                <w:lang w:eastAsia="lv-LV"/>
                <w14:ligatures w14:val="standardContextual"/>
              </w:rPr>
            </w:pPr>
            <w:r w:rsidRPr="001C0357">
              <w:rPr>
                <w:rFonts w:eastAsia="Times New Roman" w:cs="Times New Roman"/>
                <w:noProof/>
                <w:kern w:val="2"/>
                <w:sz w:val="20"/>
                <w:szCs w:val="20"/>
                <w:lang w:eastAsia="lv-LV"/>
                <w14:ligatures w14:val="standardContextual"/>
              </w:rPr>
              <w:t>52,2%</w:t>
            </w:r>
          </w:p>
        </w:tc>
        <w:tc>
          <w:tcPr>
            <w:tcW w:w="888" w:type="dxa"/>
            <w:tcBorders>
              <w:top w:val="nil"/>
              <w:left w:val="nil"/>
              <w:bottom w:val="single" w:sz="4" w:space="0" w:color="auto"/>
              <w:right w:val="single" w:sz="4" w:space="0" w:color="auto"/>
            </w:tcBorders>
            <w:shd w:val="clear" w:color="auto" w:fill="F0E7DA"/>
            <w:vAlign w:val="center"/>
            <w:hideMark/>
          </w:tcPr>
          <w:p w14:paraId="1CC7F8F3" w14:textId="77777777" w:rsidR="004B00B6" w:rsidRPr="001C0357" w:rsidRDefault="004B00B6" w:rsidP="00F8697B">
            <w:pPr>
              <w:spacing w:before="0" w:after="0" w:line="257" w:lineRule="auto"/>
              <w:ind w:firstLine="0"/>
              <w:jc w:val="center"/>
              <w:rPr>
                <w:rFonts w:eastAsia="Times New Roman" w:cs="Times New Roman"/>
                <w:noProof/>
                <w:kern w:val="2"/>
                <w:sz w:val="20"/>
                <w:szCs w:val="20"/>
                <w:lang w:eastAsia="lv-LV"/>
                <w14:ligatures w14:val="standardContextual"/>
              </w:rPr>
            </w:pPr>
            <w:r w:rsidRPr="001C0357">
              <w:rPr>
                <w:rFonts w:eastAsia="Times New Roman" w:cs="Times New Roman"/>
                <w:noProof/>
                <w:kern w:val="2"/>
                <w:sz w:val="20"/>
                <w:szCs w:val="20"/>
                <w:lang w:eastAsia="lv-LV"/>
                <w14:ligatures w14:val="standardContextual"/>
              </w:rPr>
              <w:t>51,3%</w:t>
            </w:r>
          </w:p>
        </w:tc>
      </w:tr>
      <w:tr w:rsidR="004B00B6" w:rsidRPr="001C0357" w14:paraId="7D4F376B" w14:textId="77777777" w:rsidTr="00F57DAB">
        <w:trPr>
          <w:trHeight w:val="300"/>
        </w:trPr>
        <w:tc>
          <w:tcPr>
            <w:tcW w:w="3256" w:type="dxa"/>
            <w:tcBorders>
              <w:top w:val="nil"/>
              <w:left w:val="single" w:sz="4" w:space="0" w:color="auto"/>
              <w:bottom w:val="nil"/>
              <w:right w:val="single" w:sz="4" w:space="0" w:color="auto"/>
            </w:tcBorders>
            <w:noWrap/>
            <w:hideMark/>
          </w:tcPr>
          <w:p w14:paraId="0D5CD144" w14:textId="77777777" w:rsidR="004B00B6" w:rsidRPr="001C0357" w:rsidRDefault="004B00B6">
            <w:pPr>
              <w:spacing w:before="0" w:after="0" w:line="256" w:lineRule="auto"/>
              <w:ind w:firstLine="0"/>
              <w:jc w:val="left"/>
              <w:rPr>
                <w:rFonts w:eastAsia="Times New Roman" w:cs="Times New Roman"/>
                <w:b/>
                <w:bCs/>
                <w:noProof/>
                <w:kern w:val="2"/>
                <w:sz w:val="20"/>
                <w:szCs w:val="20"/>
                <w:lang w:eastAsia="lv-LV"/>
                <w14:ligatures w14:val="standardContextual"/>
              </w:rPr>
            </w:pPr>
            <w:r w:rsidRPr="001C0357">
              <w:rPr>
                <w:rFonts w:eastAsia="Times New Roman" w:cs="Times New Roman"/>
                <w:b/>
                <w:bCs/>
                <w:noProof/>
                <w:kern w:val="2"/>
                <w:sz w:val="20"/>
                <w:szCs w:val="20"/>
                <w:lang w:eastAsia="lv-LV"/>
                <w14:ligatures w14:val="standardContextual"/>
              </w:rPr>
              <w:t>Aktuālais bāzes scenārijs</w:t>
            </w:r>
          </w:p>
        </w:tc>
        <w:tc>
          <w:tcPr>
            <w:tcW w:w="992" w:type="dxa"/>
            <w:tcBorders>
              <w:top w:val="nil"/>
              <w:left w:val="nil"/>
              <w:bottom w:val="nil"/>
              <w:right w:val="single" w:sz="4" w:space="0" w:color="auto"/>
            </w:tcBorders>
            <w:noWrap/>
            <w:hideMark/>
          </w:tcPr>
          <w:p w14:paraId="3CD4D7EC" w14:textId="77777777" w:rsidR="004B00B6" w:rsidRPr="001C0357" w:rsidRDefault="004B00B6">
            <w:pPr>
              <w:spacing w:before="0" w:after="0" w:line="256" w:lineRule="auto"/>
              <w:ind w:firstLine="0"/>
              <w:jc w:val="center"/>
              <w:rPr>
                <w:rFonts w:eastAsia="Times New Roman" w:cs="Times New Roman"/>
                <w:b/>
                <w:bCs/>
                <w:noProof/>
                <w:kern w:val="2"/>
                <w:sz w:val="20"/>
                <w:szCs w:val="20"/>
                <w:lang w:eastAsia="lv-LV"/>
                <w14:ligatures w14:val="standardContextual"/>
              </w:rPr>
            </w:pPr>
            <w:r w:rsidRPr="001C0357">
              <w:rPr>
                <w:rFonts w:eastAsia="Times New Roman" w:cs="Times New Roman"/>
                <w:b/>
                <w:bCs/>
                <w:noProof/>
                <w:kern w:val="2"/>
                <w:sz w:val="20"/>
                <w:szCs w:val="20"/>
                <w:lang w:eastAsia="lv-LV"/>
                <w14:ligatures w14:val="standardContextual"/>
              </w:rPr>
              <w:t>46,8%</w:t>
            </w:r>
          </w:p>
        </w:tc>
        <w:tc>
          <w:tcPr>
            <w:tcW w:w="992" w:type="dxa"/>
            <w:tcBorders>
              <w:top w:val="nil"/>
              <w:left w:val="nil"/>
              <w:bottom w:val="nil"/>
              <w:right w:val="single" w:sz="4" w:space="0" w:color="auto"/>
            </w:tcBorders>
            <w:shd w:val="clear" w:color="auto" w:fill="F0E7DA"/>
            <w:noWrap/>
            <w:hideMark/>
          </w:tcPr>
          <w:p w14:paraId="4C6C57BE" w14:textId="77777777" w:rsidR="004B00B6" w:rsidRPr="001C0357" w:rsidRDefault="004B00B6">
            <w:pPr>
              <w:spacing w:before="0" w:after="0" w:line="256" w:lineRule="auto"/>
              <w:ind w:firstLine="0"/>
              <w:jc w:val="center"/>
              <w:rPr>
                <w:rFonts w:eastAsia="Times New Roman" w:cs="Times New Roman"/>
                <w:b/>
                <w:bCs/>
                <w:noProof/>
                <w:kern w:val="2"/>
                <w:sz w:val="20"/>
                <w:szCs w:val="20"/>
                <w:lang w:eastAsia="lv-LV"/>
                <w14:ligatures w14:val="standardContextual"/>
              </w:rPr>
            </w:pPr>
            <w:r w:rsidRPr="001C0357">
              <w:rPr>
                <w:rFonts w:eastAsia="Times New Roman" w:cs="Times New Roman"/>
                <w:b/>
                <w:bCs/>
                <w:noProof/>
                <w:kern w:val="2"/>
                <w:sz w:val="20"/>
                <w:szCs w:val="20"/>
                <w:lang w:eastAsia="lv-LV"/>
                <w14:ligatures w14:val="standardContextual"/>
              </w:rPr>
              <w:t>48,9%</w:t>
            </w:r>
          </w:p>
        </w:tc>
        <w:tc>
          <w:tcPr>
            <w:tcW w:w="992" w:type="dxa"/>
            <w:tcBorders>
              <w:top w:val="nil"/>
              <w:left w:val="nil"/>
              <w:bottom w:val="nil"/>
              <w:right w:val="single" w:sz="4" w:space="0" w:color="auto"/>
            </w:tcBorders>
            <w:shd w:val="clear" w:color="auto" w:fill="F0E7DA"/>
            <w:noWrap/>
            <w:hideMark/>
          </w:tcPr>
          <w:p w14:paraId="736EFA26" w14:textId="77777777" w:rsidR="004B00B6" w:rsidRPr="001C0357" w:rsidRDefault="004B00B6">
            <w:pPr>
              <w:spacing w:before="0" w:after="0" w:line="256" w:lineRule="auto"/>
              <w:ind w:firstLine="0"/>
              <w:jc w:val="center"/>
              <w:rPr>
                <w:rFonts w:eastAsia="Times New Roman" w:cs="Times New Roman"/>
                <w:b/>
                <w:bCs/>
                <w:noProof/>
                <w:kern w:val="2"/>
                <w:sz w:val="20"/>
                <w:szCs w:val="20"/>
                <w:lang w:eastAsia="lv-LV"/>
                <w14:ligatures w14:val="standardContextual"/>
              </w:rPr>
            </w:pPr>
            <w:r w:rsidRPr="001C0357">
              <w:rPr>
                <w:rFonts w:eastAsia="Times New Roman" w:cs="Times New Roman"/>
                <w:b/>
                <w:bCs/>
                <w:noProof/>
                <w:kern w:val="2"/>
                <w:sz w:val="20"/>
                <w:szCs w:val="20"/>
                <w:lang w:eastAsia="lv-LV"/>
                <w14:ligatures w14:val="standardContextual"/>
              </w:rPr>
              <w:t>50,6%</w:t>
            </w:r>
          </w:p>
        </w:tc>
        <w:tc>
          <w:tcPr>
            <w:tcW w:w="993" w:type="dxa"/>
            <w:tcBorders>
              <w:top w:val="nil"/>
              <w:left w:val="nil"/>
              <w:bottom w:val="nil"/>
              <w:right w:val="single" w:sz="4" w:space="0" w:color="auto"/>
            </w:tcBorders>
            <w:shd w:val="clear" w:color="auto" w:fill="F0E7DA"/>
            <w:noWrap/>
            <w:hideMark/>
          </w:tcPr>
          <w:p w14:paraId="037F73C0" w14:textId="77777777" w:rsidR="004B00B6" w:rsidRPr="001C0357" w:rsidRDefault="004B00B6">
            <w:pPr>
              <w:spacing w:before="0" w:after="0" w:line="256" w:lineRule="auto"/>
              <w:ind w:firstLine="0"/>
              <w:jc w:val="center"/>
              <w:rPr>
                <w:rFonts w:eastAsia="Times New Roman" w:cs="Times New Roman"/>
                <w:b/>
                <w:bCs/>
                <w:noProof/>
                <w:kern w:val="2"/>
                <w:sz w:val="20"/>
                <w:szCs w:val="20"/>
                <w:lang w:eastAsia="lv-LV"/>
                <w14:ligatures w14:val="standardContextual"/>
              </w:rPr>
            </w:pPr>
            <w:r w:rsidRPr="001C0357">
              <w:rPr>
                <w:rFonts w:eastAsia="Times New Roman" w:cs="Times New Roman"/>
                <w:b/>
                <w:bCs/>
                <w:noProof/>
                <w:kern w:val="2"/>
                <w:sz w:val="20"/>
                <w:szCs w:val="20"/>
                <w:lang w:eastAsia="lv-LV"/>
                <w14:ligatures w14:val="standardContextual"/>
              </w:rPr>
              <w:t>54,7%</w:t>
            </w:r>
          </w:p>
        </w:tc>
        <w:tc>
          <w:tcPr>
            <w:tcW w:w="992" w:type="dxa"/>
            <w:tcBorders>
              <w:top w:val="nil"/>
              <w:left w:val="nil"/>
              <w:bottom w:val="nil"/>
              <w:right w:val="single" w:sz="4" w:space="0" w:color="auto"/>
            </w:tcBorders>
            <w:shd w:val="clear" w:color="auto" w:fill="F0E7DA"/>
            <w:noWrap/>
            <w:hideMark/>
          </w:tcPr>
          <w:p w14:paraId="4B884E9D" w14:textId="77777777" w:rsidR="004B00B6" w:rsidRPr="001C0357" w:rsidRDefault="004B00B6">
            <w:pPr>
              <w:spacing w:before="0" w:after="0" w:line="256" w:lineRule="auto"/>
              <w:ind w:firstLine="0"/>
              <w:jc w:val="center"/>
              <w:rPr>
                <w:rFonts w:eastAsia="Times New Roman" w:cs="Times New Roman"/>
                <w:b/>
                <w:bCs/>
                <w:noProof/>
                <w:kern w:val="2"/>
                <w:sz w:val="20"/>
                <w:szCs w:val="20"/>
                <w:lang w:eastAsia="lv-LV"/>
                <w14:ligatures w14:val="standardContextual"/>
              </w:rPr>
            </w:pPr>
            <w:r w:rsidRPr="001C0357">
              <w:rPr>
                <w:rFonts w:eastAsia="Times New Roman" w:cs="Times New Roman"/>
                <w:b/>
                <w:bCs/>
                <w:noProof/>
                <w:kern w:val="2"/>
                <w:sz w:val="20"/>
                <w:szCs w:val="20"/>
                <w:lang w:eastAsia="lv-LV"/>
                <w14:ligatures w14:val="standardContextual"/>
              </w:rPr>
              <w:t>55,4%</w:t>
            </w:r>
          </w:p>
        </w:tc>
        <w:tc>
          <w:tcPr>
            <w:tcW w:w="888" w:type="dxa"/>
            <w:tcBorders>
              <w:top w:val="nil"/>
              <w:left w:val="nil"/>
              <w:bottom w:val="nil"/>
              <w:right w:val="single" w:sz="4" w:space="0" w:color="auto"/>
            </w:tcBorders>
            <w:shd w:val="clear" w:color="auto" w:fill="F0E7DA"/>
            <w:hideMark/>
          </w:tcPr>
          <w:p w14:paraId="473CA9E9" w14:textId="77777777" w:rsidR="004B00B6" w:rsidRPr="001C0357" w:rsidRDefault="004B00B6">
            <w:pPr>
              <w:spacing w:before="0" w:after="0" w:line="256" w:lineRule="auto"/>
              <w:ind w:firstLine="0"/>
              <w:jc w:val="center"/>
              <w:rPr>
                <w:rFonts w:eastAsia="Times New Roman" w:cs="Times New Roman"/>
                <w:b/>
                <w:bCs/>
                <w:noProof/>
                <w:kern w:val="2"/>
                <w:sz w:val="20"/>
                <w:szCs w:val="20"/>
                <w:lang w:eastAsia="lv-LV"/>
                <w14:ligatures w14:val="standardContextual"/>
              </w:rPr>
            </w:pPr>
            <w:r w:rsidRPr="001C0357">
              <w:rPr>
                <w:rFonts w:eastAsia="Times New Roman" w:cs="Times New Roman"/>
                <w:b/>
                <w:bCs/>
                <w:noProof/>
                <w:kern w:val="2"/>
                <w:sz w:val="20"/>
                <w:szCs w:val="20"/>
                <w:lang w:eastAsia="lv-LV"/>
                <w14:ligatures w14:val="standardContextual"/>
              </w:rPr>
              <w:t>56,4%</w:t>
            </w:r>
          </w:p>
        </w:tc>
      </w:tr>
      <w:tr w:rsidR="004B00B6" w:rsidRPr="001C0357" w14:paraId="2B6F71CE" w14:textId="77777777" w:rsidTr="00F57DAB">
        <w:trPr>
          <w:trHeight w:val="293"/>
        </w:trPr>
        <w:tc>
          <w:tcPr>
            <w:tcW w:w="3256" w:type="dxa"/>
            <w:tcBorders>
              <w:top w:val="nil"/>
              <w:left w:val="single" w:sz="4" w:space="0" w:color="auto"/>
              <w:bottom w:val="single" w:sz="4" w:space="0" w:color="auto"/>
              <w:right w:val="single" w:sz="4" w:space="0" w:color="auto"/>
            </w:tcBorders>
            <w:noWrap/>
            <w:hideMark/>
          </w:tcPr>
          <w:p w14:paraId="630DF3AA" w14:textId="77777777" w:rsidR="004B00B6" w:rsidRPr="001C0357" w:rsidRDefault="004B00B6">
            <w:pPr>
              <w:spacing w:before="0" w:after="0" w:line="256" w:lineRule="auto"/>
              <w:ind w:firstLine="0"/>
              <w:jc w:val="right"/>
              <w:rPr>
                <w:rFonts w:eastAsia="Times New Roman" w:cs="Times New Roman"/>
                <w:i/>
                <w:iCs/>
                <w:noProof/>
                <w:kern w:val="2"/>
                <w:sz w:val="20"/>
                <w:szCs w:val="20"/>
                <w:lang w:eastAsia="lv-LV"/>
                <w14:ligatures w14:val="standardContextual"/>
              </w:rPr>
            </w:pPr>
            <w:r w:rsidRPr="001C0357">
              <w:rPr>
                <w:rFonts w:eastAsia="Times New Roman" w:cs="Times New Roman"/>
                <w:i/>
                <w:iCs/>
                <w:noProof/>
                <w:kern w:val="2"/>
                <w:sz w:val="20"/>
                <w:szCs w:val="20"/>
                <w:lang w:eastAsia="lv-LV"/>
                <w14:ligatures w14:val="standardContextual"/>
              </w:rPr>
              <w:t>samazinājums (-)/pieaugums (+)*</w:t>
            </w:r>
          </w:p>
        </w:tc>
        <w:tc>
          <w:tcPr>
            <w:tcW w:w="992" w:type="dxa"/>
            <w:tcBorders>
              <w:top w:val="nil"/>
              <w:left w:val="nil"/>
              <w:bottom w:val="single" w:sz="4" w:space="0" w:color="auto"/>
              <w:right w:val="single" w:sz="4" w:space="0" w:color="auto"/>
            </w:tcBorders>
            <w:noWrap/>
            <w:hideMark/>
          </w:tcPr>
          <w:p w14:paraId="29499AE6" w14:textId="77777777" w:rsidR="004B00B6" w:rsidRPr="001C0357" w:rsidRDefault="004B00B6">
            <w:pPr>
              <w:rPr>
                <w:rFonts w:eastAsia="Times New Roman" w:cs="Times New Roman"/>
                <w:i/>
                <w:iCs/>
                <w:noProof/>
                <w:kern w:val="2"/>
                <w:sz w:val="20"/>
                <w:szCs w:val="20"/>
                <w:lang w:eastAsia="lv-LV"/>
                <w14:ligatures w14:val="standardContextual"/>
              </w:rPr>
            </w:pPr>
          </w:p>
        </w:tc>
        <w:tc>
          <w:tcPr>
            <w:tcW w:w="992" w:type="dxa"/>
            <w:tcBorders>
              <w:top w:val="nil"/>
              <w:left w:val="nil"/>
              <w:bottom w:val="single" w:sz="4" w:space="0" w:color="auto"/>
              <w:right w:val="single" w:sz="4" w:space="0" w:color="auto"/>
            </w:tcBorders>
            <w:shd w:val="clear" w:color="auto" w:fill="F0E7DA"/>
            <w:noWrap/>
            <w:hideMark/>
          </w:tcPr>
          <w:p w14:paraId="07C830BE" w14:textId="77777777" w:rsidR="004B00B6" w:rsidRPr="001C0357" w:rsidRDefault="004B00B6">
            <w:pPr>
              <w:spacing w:before="0" w:after="0" w:line="256" w:lineRule="auto"/>
              <w:ind w:firstLine="0"/>
              <w:jc w:val="center"/>
              <w:rPr>
                <w:rFonts w:eastAsia="Times New Roman" w:cs="Times New Roman"/>
                <w:i/>
                <w:iCs/>
                <w:noProof/>
                <w:kern w:val="2"/>
                <w:sz w:val="20"/>
                <w:szCs w:val="20"/>
                <w:lang w:eastAsia="lv-LV"/>
                <w14:ligatures w14:val="standardContextual"/>
              </w:rPr>
            </w:pPr>
            <w:r w:rsidRPr="001C0357">
              <w:rPr>
                <w:rFonts w:eastAsia="Times New Roman" w:cs="Times New Roman"/>
                <w:i/>
                <w:iCs/>
                <w:noProof/>
                <w:kern w:val="2"/>
                <w:sz w:val="20"/>
                <w:szCs w:val="20"/>
                <w:lang w:eastAsia="lv-LV"/>
                <w14:ligatures w14:val="standardContextual"/>
              </w:rPr>
              <w:t>-0,1%</w:t>
            </w:r>
          </w:p>
        </w:tc>
        <w:tc>
          <w:tcPr>
            <w:tcW w:w="992" w:type="dxa"/>
            <w:tcBorders>
              <w:top w:val="nil"/>
              <w:left w:val="nil"/>
              <w:bottom w:val="single" w:sz="4" w:space="0" w:color="auto"/>
              <w:right w:val="single" w:sz="4" w:space="0" w:color="auto"/>
            </w:tcBorders>
            <w:shd w:val="clear" w:color="auto" w:fill="F0E7DA"/>
            <w:noWrap/>
            <w:hideMark/>
          </w:tcPr>
          <w:p w14:paraId="26028B91" w14:textId="1957F71C" w:rsidR="004B00B6" w:rsidRPr="001C0357" w:rsidRDefault="00F57DAB">
            <w:pPr>
              <w:spacing w:before="0" w:after="0" w:line="256" w:lineRule="auto"/>
              <w:ind w:firstLine="0"/>
              <w:jc w:val="center"/>
              <w:rPr>
                <w:rFonts w:eastAsia="Times New Roman" w:cs="Times New Roman"/>
                <w:i/>
                <w:iCs/>
                <w:noProof/>
                <w:kern w:val="2"/>
                <w:sz w:val="20"/>
                <w:szCs w:val="20"/>
                <w:lang w:eastAsia="lv-LV"/>
                <w14:ligatures w14:val="standardContextual"/>
              </w:rPr>
            </w:pPr>
            <w:r w:rsidRPr="001C0357">
              <w:rPr>
                <w:rFonts w:eastAsia="Times New Roman" w:cs="Times New Roman"/>
                <w:i/>
                <w:iCs/>
                <w:noProof/>
                <w:kern w:val="2"/>
                <w:sz w:val="20"/>
                <w:szCs w:val="20"/>
                <w:lang w:eastAsia="lv-LV"/>
                <w14:ligatures w14:val="standardContextual"/>
              </w:rPr>
              <w:t>+</w:t>
            </w:r>
            <w:r w:rsidR="004B00B6" w:rsidRPr="001C0357">
              <w:rPr>
                <w:rFonts w:eastAsia="Times New Roman" w:cs="Times New Roman"/>
                <w:i/>
                <w:iCs/>
                <w:noProof/>
                <w:kern w:val="2"/>
                <w:sz w:val="20"/>
                <w:szCs w:val="20"/>
                <w:lang w:eastAsia="lv-LV"/>
                <w14:ligatures w14:val="standardContextual"/>
              </w:rPr>
              <w:t>1,1%</w:t>
            </w:r>
          </w:p>
        </w:tc>
        <w:tc>
          <w:tcPr>
            <w:tcW w:w="993" w:type="dxa"/>
            <w:tcBorders>
              <w:top w:val="nil"/>
              <w:left w:val="nil"/>
              <w:bottom w:val="single" w:sz="4" w:space="0" w:color="auto"/>
              <w:right w:val="single" w:sz="4" w:space="0" w:color="auto"/>
            </w:tcBorders>
            <w:shd w:val="clear" w:color="auto" w:fill="F0E7DA"/>
            <w:noWrap/>
            <w:hideMark/>
          </w:tcPr>
          <w:p w14:paraId="4AB10966" w14:textId="5EAF99AE" w:rsidR="004B00B6" w:rsidRPr="001C0357" w:rsidRDefault="00F57DAB">
            <w:pPr>
              <w:spacing w:before="0" w:after="0" w:line="256" w:lineRule="auto"/>
              <w:ind w:firstLine="0"/>
              <w:jc w:val="center"/>
              <w:rPr>
                <w:rFonts w:eastAsia="Times New Roman" w:cs="Times New Roman"/>
                <w:i/>
                <w:iCs/>
                <w:noProof/>
                <w:kern w:val="2"/>
                <w:sz w:val="20"/>
                <w:szCs w:val="20"/>
                <w:lang w:eastAsia="lv-LV"/>
                <w14:ligatures w14:val="standardContextual"/>
              </w:rPr>
            </w:pPr>
            <w:r w:rsidRPr="001C0357">
              <w:rPr>
                <w:rFonts w:eastAsia="Times New Roman" w:cs="Times New Roman"/>
                <w:i/>
                <w:iCs/>
                <w:noProof/>
                <w:kern w:val="2"/>
                <w:sz w:val="20"/>
                <w:szCs w:val="20"/>
                <w:lang w:eastAsia="lv-LV"/>
                <w14:ligatures w14:val="standardContextual"/>
              </w:rPr>
              <w:t>+</w:t>
            </w:r>
            <w:r w:rsidR="004B00B6" w:rsidRPr="001C0357">
              <w:rPr>
                <w:rFonts w:eastAsia="Times New Roman" w:cs="Times New Roman"/>
                <w:i/>
                <w:iCs/>
                <w:noProof/>
                <w:kern w:val="2"/>
                <w:sz w:val="20"/>
                <w:szCs w:val="20"/>
                <w:lang w:eastAsia="lv-LV"/>
                <w14:ligatures w14:val="standardContextual"/>
              </w:rPr>
              <w:t>1,9%</w:t>
            </w:r>
          </w:p>
        </w:tc>
        <w:tc>
          <w:tcPr>
            <w:tcW w:w="992" w:type="dxa"/>
            <w:tcBorders>
              <w:top w:val="nil"/>
              <w:left w:val="nil"/>
              <w:bottom w:val="single" w:sz="4" w:space="0" w:color="auto"/>
              <w:right w:val="single" w:sz="4" w:space="0" w:color="auto"/>
            </w:tcBorders>
            <w:shd w:val="clear" w:color="auto" w:fill="F0E7DA"/>
            <w:noWrap/>
            <w:hideMark/>
          </w:tcPr>
          <w:p w14:paraId="04C27217" w14:textId="11A77E02" w:rsidR="004B00B6" w:rsidRPr="001C0357" w:rsidRDefault="00F57DAB">
            <w:pPr>
              <w:spacing w:before="0" w:after="0" w:line="256" w:lineRule="auto"/>
              <w:ind w:firstLine="0"/>
              <w:jc w:val="center"/>
              <w:rPr>
                <w:rFonts w:eastAsia="Times New Roman" w:cs="Times New Roman"/>
                <w:i/>
                <w:iCs/>
                <w:noProof/>
                <w:kern w:val="2"/>
                <w:sz w:val="20"/>
                <w:szCs w:val="20"/>
                <w:lang w:eastAsia="lv-LV"/>
                <w14:ligatures w14:val="standardContextual"/>
              </w:rPr>
            </w:pPr>
            <w:r w:rsidRPr="001C0357">
              <w:rPr>
                <w:rFonts w:eastAsia="Times New Roman" w:cs="Times New Roman"/>
                <w:i/>
                <w:iCs/>
                <w:noProof/>
                <w:kern w:val="2"/>
                <w:sz w:val="20"/>
                <w:szCs w:val="20"/>
                <w:lang w:eastAsia="lv-LV"/>
                <w14:ligatures w14:val="standardContextual"/>
              </w:rPr>
              <w:t>+</w:t>
            </w:r>
            <w:r w:rsidR="004B00B6" w:rsidRPr="001C0357">
              <w:rPr>
                <w:rFonts w:eastAsia="Times New Roman" w:cs="Times New Roman"/>
                <w:i/>
                <w:iCs/>
                <w:noProof/>
                <w:kern w:val="2"/>
                <w:sz w:val="20"/>
                <w:szCs w:val="20"/>
                <w:lang w:eastAsia="lv-LV"/>
                <w14:ligatures w14:val="standardContextual"/>
              </w:rPr>
              <w:t>3,2%</w:t>
            </w:r>
          </w:p>
        </w:tc>
        <w:tc>
          <w:tcPr>
            <w:tcW w:w="888" w:type="dxa"/>
            <w:tcBorders>
              <w:top w:val="nil"/>
              <w:left w:val="nil"/>
              <w:bottom w:val="single" w:sz="4" w:space="0" w:color="auto"/>
              <w:right w:val="single" w:sz="4" w:space="0" w:color="auto"/>
            </w:tcBorders>
            <w:shd w:val="clear" w:color="auto" w:fill="F0E7DA"/>
            <w:hideMark/>
          </w:tcPr>
          <w:p w14:paraId="329F7C47" w14:textId="6199C560" w:rsidR="004B00B6" w:rsidRPr="001C0357" w:rsidRDefault="00F57DAB">
            <w:pPr>
              <w:spacing w:before="0" w:after="0" w:line="256" w:lineRule="auto"/>
              <w:ind w:firstLine="0"/>
              <w:jc w:val="center"/>
              <w:rPr>
                <w:rFonts w:eastAsia="Times New Roman" w:cs="Times New Roman"/>
                <w:i/>
                <w:iCs/>
                <w:noProof/>
                <w:kern w:val="2"/>
                <w:sz w:val="20"/>
                <w:szCs w:val="20"/>
                <w:lang w:eastAsia="lv-LV"/>
                <w14:ligatures w14:val="standardContextual"/>
              </w:rPr>
            </w:pPr>
            <w:r w:rsidRPr="001C0357">
              <w:rPr>
                <w:rFonts w:eastAsia="Times New Roman" w:cs="Times New Roman"/>
                <w:i/>
                <w:iCs/>
                <w:noProof/>
                <w:kern w:val="2"/>
                <w:sz w:val="20"/>
                <w:szCs w:val="20"/>
                <w:lang w:eastAsia="lv-LV"/>
                <w14:ligatures w14:val="standardContextual"/>
              </w:rPr>
              <w:t>+</w:t>
            </w:r>
            <w:r w:rsidR="004B00B6" w:rsidRPr="001C0357">
              <w:rPr>
                <w:rFonts w:eastAsia="Times New Roman" w:cs="Times New Roman"/>
                <w:i/>
                <w:iCs/>
                <w:noProof/>
                <w:kern w:val="2"/>
                <w:sz w:val="20"/>
                <w:szCs w:val="20"/>
                <w:lang w:eastAsia="lv-LV"/>
                <w14:ligatures w14:val="standardContextual"/>
              </w:rPr>
              <w:t>5,1%</w:t>
            </w:r>
          </w:p>
        </w:tc>
      </w:tr>
    </w:tbl>
    <w:p w14:paraId="6D6DC6A6" w14:textId="75F91772" w:rsidR="004B00B6" w:rsidRPr="001C0357" w:rsidRDefault="004B00B6" w:rsidP="004B00B6">
      <w:pPr>
        <w:spacing w:before="0"/>
        <w:ind w:firstLine="0"/>
        <w:rPr>
          <w:rFonts w:eastAsia="Calibri" w:cs="Times New Roman"/>
          <w:iCs/>
          <w:noProof/>
          <w:sz w:val="18"/>
          <w:szCs w:val="18"/>
        </w:rPr>
      </w:pPr>
      <w:r w:rsidRPr="001C0357">
        <w:rPr>
          <w:rFonts w:eastAsia="Calibri" w:cs="Times New Roman"/>
          <w:iCs/>
          <w:noProof/>
          <w:sz w:val="18"/>
          <w:szCs w:val="18"/>
        </w:rPr>
        <w:t>* salīdzinot ar 2025.</w:t>
      </w:r>
      <w:r w:rsidR="00F57DAB" w:rsidRPr="001C0357">
        <w:rPr>
          <w:rFonts w:eastAsia="Calibri" w:cs="Times New Roman"/>
          <w:iCs/>
          <w:noProof/>
          <w:sz w:val="18"/>
          <w:szCs w:val="18"/>
        </w:rPr>
        <w:t> </w:t>
      </w:r>
      <w:r w:rsidRPr="001C0357">
        <w:rPr>
          <w:rFonts w:eastAsia="Calibri" w:cs="Times New Roman"/>
          <w:iCs/>
          <w:noProof/>
          <w:sz w:val="18"/>
          <w:szCs w:val="18"/>
        </w:rPr>
        <w:t xml:space="preserve">gada Progresa ziņojuma prognozi </w:t>
      </w:r>
    </w:p>
    <w:p w14:paraId="276AADD7" w14:textId="77777777" w:rsidR="004B00B6" w:rsidRPr="001C0357" w:rsidRDefault="004B00B6" w:rsidP="004B00B6">
      <w:pPr>
        <w:rPr>
          <w:rFonts w:eastAsia="Calibri" w:cs="Times New Roman"/>
          <w:noProof/>
          <w:color w:val="000000"/>
          <w:szCs w:val="24"/>
        </w:rPr>
      </w:pPr>
      <w:r w:rsidRPr="001C0357">
        <w:rPr>
          <w:rFonts w:eastAsia="Calibri" w:cs="Times New Roman"/>
          <w:noProof/>
          <w:color w:val="000000"/>
          <w:szCs w:val="24"/>
        </w:rPr>
        <w:t>Izmaiņas noteica galvenokārt šādi faktori:</w:t>
      </w:r>
    </w:p>
    <w:p w14:paraId="429BDB5C" w14:textId="09A253C6" w:rsidR="004B00B6" w:rsidRPr="001C0357" w:rsidRDefault="004B00B6" w:rsidP="00F57DAB">
      <w:pPr>
        <w:pStyle w:val="ListParagraph"/>
        <w:numPr>
          <w:ilvl w:val="0"/>
          <w:numId w:val="41"/>
        </w:numPr>
        <w:rPr>
          <w:rFonts w:eastAsia="Calibri" w:cs="Times New Roman"/>
          <w:noProof/>
          <w:color w:val="000000"/>
          <w:szCs w:val="24"/>
        </w:rPr>
      </w:pPr>
      <w:r w:rsidRPr="001C0357">
        <w:rPr>
          <w:rFonts w:eastAsia="Calibri" w:cs="Times New Roman"/>
          <w:noProof/>
          <w:color w:val="000000"/>
          <w:szCs w:val="24"/>
        </w:rPr>
        <w:t>lielāks prognozētais valsts budžeta deficīts vidējā termiņā galvenokārt dēļ lielākajiem aizsardzības aizdevumiem, kā rezultātā tika pārskatīti aizņemšanās apjomi</w:t>
      </w:r>
      <w:r w:rsidR="00F57DAB" w:rsidRPr="001C0357">
        <w:rPr>
          <w:rFonts w:eastAsia="Calibri" w:cs="Times New Roman"/>
          <w:noProof/>
          <w:color w:val="000000"/>
          <w:szCs w:val="24"/>
        </w:rPr>
        <w:t>;</w:t>
      </w:r>
    </w:p>
    <w:p w14:paraId="703B327C" w14:textId="33749B9C" w:rsidR="004B00B6" w:rsidRPr="001C0357" w:rsidRDefault="004B00B6" w:rsidP="004B00B6">
      <w:pPr>
        <w:pStyle w:val="ListParagraph"/>
        <w:numPr>
          <w:ilvl w:val="0"/>
          <w:numId w:val="41"/>
        </w:numPr>
        <w:rPr>
          <w:rFonts w:eastAsia="Calibri" w:cs="Times New Roman"/>
          <w:noProof/>
          <w:color w:val="000000"/>
          <w:szCs w:val="24"/>
        </w:rPr>
      </w:pPr>
      <w:r w:rsidRPr="001C0357">
        <w:rPr>
          <w:rFonts w:eastAsia="Calibri" w:cs="Times New Roman"/>
          <w:noProof/>
          <w:color w:val="000000"/>
          <w:szCs w:val="24"/>
        </w:rPr>
        <w:t>aktualizētās IKP prognozes, atbilstoši kurām nominālais IKP apjoms 2026.-2029. gadā ir mazāks, salīdzinot ar 2025.</w:t>
      </w:r>
      <w:r w:rsidR="00F57DAB" w:rsidRPr="001C0357">
        <w:rPr>
          <w:rFonts w:eastAsia="Calibri" w:cs="Times New Roman"/>
          <w:noProof/>
          <w:color w:val="000000"/>
          <w:szCs w:val="24"/>
        </w:rPr>
        <w:t> </w:t>
      </w:r>
      <w:r w:rsidRPr="001C0357">
        <w:rPr>
          <w:rFonts w:eastAsia="Calibri" w:cs="Times New Roman"/>
          <w:noProof/>
          <w:color w:val="000000"/>
          <w:szCs w:val="24"/>
        </w:rPr>
        <w:t>gada Progresa ziņojuma prognozi, kas tādējādi ietekmēja vispārējās valdības parāda līmeņu nelielu palielināšanos attiecībā pret IKP vidējā termiņā.</w:t>
      </w:r>
    </w:p>
    <w:p w14:paraId="2A0CA5A0" w14:textId="16513260" w:rsidR="004B00B6" w:rsidRPr="001C0357" w:rsidRDefault="004B00B6" w:rsidP="004B00B6">
      <w:pPr>
        <w:rPr>
          <w:rFonts w:eastAsia="Calibri" w:cs="Times New Roman"/>
          <w:noProof/>
          <w:color w:val="000000"/>
          <w:szCs w:val="24"/>
        </w:rPr>
      </w:pPr>
      <w:r w:rsidRPr="001C0357">
        <w:rPr>
          <w:rFonts w:eastAsia="Calibri" w:cs="Times New Roman"/>
          <w:noProof/>
          <w:color w:val="000000"/>
          <w:szCs w:val="24"/>
        </w:rPr>
        <w:t>Atbilstoši aktuālajām prognozēm sagaidāms</w:t>
      </w:r>
      <w:r w:rsidRPr="001C0357">
        <w:rPr>
          <w:noProof/>
        </w:rPr>
        <w:t xml:space="preserve"> </w:t>
      </w:r>
      <w:r w:rsidRPr="001C0357">
        <w:rPr>
          <w:rFonts w:eastAsia="Calibri" w:cs="Times New Roman"/>
          <w:noProof/>
          <w:color w:val="000000"/>
          <w:szCs w:val="24"/>
        </w:rPr>
        <w:t>pakāpenisks vispārējās valdības parāda līmeņa pieaugums līdz 55-56% no IKP</w:t>
      </w:r>
      <w:r w:rsidR="00A01C2E">
        <w:rPr>
          <w:rFonts w:eastAsia="Calibri" w:cs="Times New Roman"/>
          <w:noProof/>
          <w:color w:val="000000"/>
          <w:szCs w:val="24"/>
        </w:rPr>
        <w:t>.</w:t>
      </w:r>
    </w:p>
    <w:p w14:paraId="36F88C99" w14:textId="19F1B048" w:rsidR="003B1933" w:rsidRPr="001C0357" w:rsidRDefault="003B1933">
      <w:pPr>
        <w:spacing w:before="0" w:after="0"/>
        <w:ind w:firstLine="0"/>
        <w:jc w:val="left"/>
        <w:rPr>
          <w:rFonts w:eastAsiaTheme="majorEastAsia" w:cstheme="majorBidi"/>
          <w:b/>
          <w:noProof/>
          <w:sz w:val="28"/>
          <w:szCs w:val="28"/>
          <w:highlight w:val="yellow"/>
        </w:rPr>
      </w:pPr>
      <w:r w:rsidRPr="001C0357">
        <w:rPr>
          <w:noProof/>
          <w:sz w:val="28"/>
          <w:szCs w:val="28"/>
          <w:highlight w:val="yellow"/>
        </w:rPr>
        <w:br w:type="page"/>
      </w:r>
    </w:p>
    <w:p w14:paraId="05566D70" w14:textId="497ADDD6" w:rsidR="00AA4CC2" w:rsidRPr="001C0357" w:rsidRDefault="00B008E5" w:rsidP="00655992">
      <w:pPr>
        <w:pStyle w:val="Heading1"/>
        <w:spacing w:after="120"/>
        <w:ind w:left="360"/>
        <w:rPr>
          <w:noProof/>
          <w:sz w:val="28"/>
          <w:szCs w:val="28"/>
        </w:rPr>
      </w:pPr>
      <w:bookmarkStart w:id="12" w:name="_Toc205905375"/>
      <w:bookmarkStart w:id="13" w:name="_Toc16665007"/>
      <w:bookmarkStart w:id="14" w:name="_Toc403038748"/>
      <w:bookmarkEnd w:id="10"/>
      <w:r w:rsidRPr="001C0357">
        <w:rPr>
          <w:noProof/>
          <w:sz w:val="28"/>
          <w:szCs w:val="28"/>
        </w:rPr>
        <w:lastRenderedPageBreak/>
        <w:t>Fiskālās politikas nosacījumi</w:t>
      </w:r>
      <w:r w:rsidR="004B6B5C" w:rsidRPr="001C0357">
        <w:rPr>
          <w:noProof/>
          <w:sz w:val="28"/>
          <w:szCs w:val="28"/>
        </w:rPr>
        <w:t xml:space="preserve"> un</w:t>
      </w:r>
      <w:r w:rsidR="00E73727" w:rsidRPr="001C0357">
        <w:rPr>
          <w:noProof/>
          <w:sz w:val="28"/>
          <w:szCs w:val="28"/>
        </w:rPr>
        <w:t xml:space="preserve"> </w:t>
      </w:r>
      <w:r w:rsidR="004B6B5C" w:rsidRPr="001C0357">
        <w:rPr>
          <w:noProof/>
          <w:sz w:val="28"/>
          <w:szCs w:val="28"/>
        </w:rPr>
        <w:t>fiskālā telpa</w:t>
      </w:r>
      <w:r w:rsidR="005E2E80" w:rsidRPr="001C0357">
        <w:rPr>
          <w:noProof/>
          <w:sz w:val="28"/>
          <w:szCs w:val="28"/>
        </w:rPr>
        <w:t xml:space="preserve"> </w:t>
      </w:r>
      <w:r w:rsidR="004B6B5C" w:rsidRPr="001C0357">
        <w:rPr>
          <w:noProof/>
          <w:sz w:val="28"/>
          <w:szCs w:val="28"/>
        </w:rPr>
        <w:t>202</w:t>
      </w:r>
      <w:r w:rsidR="00915B97" w:rsidRPr="001C0357">
        <w:rPr>
          <w:noProof/>
          <w:sz w:val="28"/>
          <w:szCs w:val="28"/>
        </w:rPr>
        <w:t>6</w:t>
      </w:r>
      <w:r w:rsidR="004B6B5C" w:rsidRPr="001C0357">
        <w:rPr>
          <w:noProof/>
          <w:sz w:val="28"/>
          <w:szCs w:val="28"/>
        </w:rPr>
        <w:t>.-202</w:t>
      </w:r>
      <w:r w:rsidR="00915B97" w:rsidRPr="001C0357">
        <w:rPr>
          <w:noProof/>
          <w:sz w:val="28"/>
          <w:szCs w:val="28"/>
        </w:rPr>
        <w:t>9</w:t>
      </w:r>
      <w:r w:rsidR="004B6B5C" w:rsidRPr="001C0357">
        <w:rPr>
          <w:noProof/>
          <w:sz w:val="28"/>
          <w:szCs w:val="28"/>
        </w:rPr>
        <w:t>.</w:t>
      </w:r>
      <w:r w:rsidR="006A7261" w:rsidRPr="001C0357">
        <w:rPr>
          <w:noProof/>
          <w:sz w:val="28"/>
          <w:szCs w:val="28"/>
        </w:rPr>
        <w:t> </w:t>
      </w:r>
      <w:r w:rsidR="004B6B5C" w:rsidRPr="001C0357">
        <w:rPr>
          <w:noProof/>
          <w:sz w:val="28"/>
          <w:szCs w:val="28"/>
        </w:rPr>
        <w:t>gadam</w:t>
      </w:r>
      <w:bookmarkEnd w:id="12"/>
      <w:r w:rsidRPr="001C0357">
        <w:rPr>
          <w:noProof/>
          <w:sz w:val="28"/>
          <w:szCs w:val="28"/>
        </w:rPr>
        <w:t xml:space="preserve"> </w:t>
      </w:r>
      <w:bookmarkEnd w:id="13"/>
    </w:p>
    <w:p w14:paraId="20024294" w14:textId="5A4D3911" w:rsidR="00F1215C" w:rsidRPr="001C0357" w:rsidRDefault="00F1215C" w:rsidP="00655992">
      <w:pPr>
        <w:spacing w:before="240"/>
        <w:rPr>
          <w:noProof/>
          <w:color w:val="000000" w:themeColor="text1"/>
          <w:szCs w:val="24"/>
        </w:rPr>
      </w:pPr>
      <w:r w:rsidRPr="001C0357">
        <w:rPr>
          <w:noProof/>
          <w:color w:val="000000" w:themeColor="text1"/>
          <w:szCs w:val="24"/>
        </w:rPr>
        <w:t>2024. gada 30. aprīlī stājās spēkā jaunais ES ekonomikas pārvaldības ietvars, ko veido divas regulas un viena direktīva</w:t>
      </w:r>
      <w:r w:rsidRPr="001C0357">
        <w:rPr>
          <w:rStyle w:val="FootnoteReference"/>
          <w:noProof/>
          <w:color w:val="000000" w:themeColor="text1"/>
          <w:szCs w:val="24"/>
        </w:rPr>
        <w:footnoteReference w:id="5"/>
      </w:r>
      <w:r w:rsidRPr="001C0357">
        <w:rPr>
          <w:noProof/>
          <w:color w:val="000000" w:themeColor="text1"/>
          <w:szCs w:val="24"/>
        </w:rPr>
        <w:t xml:space="preserve">. Atbilstoši šim regulējumam </w:t>
      </w:r>
      <w:r w:rsidRPr="001C0357">
        <w:rPr>
          <w:rFonts w:cs="Times New Roman"/>
          <w:noProof/>
          <w:szCs w:val="24"/>
        </w:rPr>
        <w:t xml:space="preserve">Latvija 2024. gada rudenī izstrādāja un </w:t>
      </w:r>
      <w:r w:rsidRPr="001C0357">
        <w:rPr>
          <w:rFonts w:eastAsia="Times New Roman" w:cs="Times New Roman"/>
          <w:noProof/>
          <w:color w:val="212529"/>
          <w:szCs w:val="24"/>
        </w:rPr>
        <w:t>ES Padome 2025. gada 21. janvārī apstiprināja pirmo Latvijas Fiskāli strukturālo plānu 2025. – 2028. gadam</w:t>
      </w:r>
      <w:r w:rsidRPr="001C0357">
        <w:rPr>
          <w:rStyle w:val="FootnoteReference"/>
          <w:rFonts w:eastAsia="Times New Roman" w:cs="Times New Roman"/>
          <w:noProof/>
          <w:color w:val="212529"/>
          <w:szCs w:val="24"/>
        </w:rPr>
        <w:footnoteReference w:id="6"/>
      </w:r>
      <w:r w:rsidRPr="001C0357">
        <w:rPr>
          <w:rFonts w:eastAsia="Times New Roman" w:cs="Times New Roman"/>
          <w:noProof/>
          <w:color w:val="212529"/>
          <w:szCs w:val="24"/>
        </w:rPr>
        <w:t xml:space="preserve">, kurā noteikta saistoša </w:t>
      </w:r>
      <w:r w:rsidRPr="001C0357">
        <w:rPr>
          <w:rFonts w:eastAsia="Times New Roman" w:cs="Times New Roman"/>
          <w:b/>
          <w:bCs/>
          <w:noProof/>
          <w:color w:val="212529"/>
          <w:szCs w:val="24"/>
        </w:rPr>
        <w:t xml:space="preserve">neto nacionāli finansēto primāro izdevumu (turpmāk – NNFPI) pieauguma </w:t>
      </w:r>
      <w:r w:rsidRPr="001C0357">
        <w:rPr>
          <w:rFonts w:eastAsia="Times New Roman" w:cs="Times New Roman"/>
          <w:noProof/>
          <w:color w:val="212529"/>
          <w:szCs w:val="24"/>
        </w:rPr>
        <w:t>trajektorija</w:t>
      </w:r>
      <w:r w:rsidRPr="001C0357">
        <w:rPr>
          <w:rFonts w:eastAsia="Times New Roman" w:cs="Times New Roman"/>
          <w:i/>
          <w:iCs/>
          <w:noProof/>
          <w:color w:val="212529"/>
          <w:szCs w:val="24"/>
        </w:rPr>
        <w:t xml:space="preserve"> </w:t>
      </w:r>
      <w:r w:rsidRPr="001C0357">
        <w:rPr>
          <w:rFonts w:eastAsia="Times New Roman" w:cs="Times New Roman"/>
          <w:noProof/>
          <w:color w:val="212529"/>
          <w:szCs w:val="24"/>
        </w:rPr>
        <w:t xml:space="preserve">(fiskālā trajektorija). </w:t>
      </w:r>
      <w:r w:rsidRPr="001C0357">
        <w:rPr>
          <w:noProof/>
          <w:color w:val="000000" w:themeColor="text1"/>
          <w:szCs w:val="24"/>
        </w:rPr>
        <w:t>Fiskālā trajektorijā ir noteikts pieļaujamais valsts finansēto neto primāro izdevumu</w:t>
      </w:r>
      <w:r w:rsidRPr="001C0357">
        <w:rPr>
          <w:rStyle w:val="FootnoteReference"/>
          <w:noProof/>
          <w:color w:val="000000" w:themeColor="text1"/>
          <w:szCs w:val="24"/>
        </w:rPr>
        <w:footnoteReference w:id="7"/>
      </w:r>
      <w:r w:rsidRPr="001C0357">
        <w:rPr>
          <w:noProof/>
          <w:color w:val="000000" w:themeColor="text1"/>
          <w:szCs w:val="24"/>
        </w:rPr>
        <w:t xml:space="preserve"> pieauguma līmenis, kas noteikts tādā veidā, lai gan Fiskāli strukturālā plāna darbības laikā, gan 10 gadus pēc tā, prognozētais vispārējās valdības budžeta deficīts un parāds nepārsniedz 3% un 60% no IKP attiecīgi.</w:t>
      </w:r>
    </w:p>
    <w:p w14:paraId="11C0F997" w14:textId="77777777" w:rsidR="00F1215C" w:rsidRPr="001C0357" w:rsidRDefault="00F1215C" w:rsidP="00F1215C">
      <w:pPr>
        <w:rPr>
          <w:noProof/>
          <w:color w:val="000000" w:themeColor="text1"/>
          <w:szCs w:val="24"/>
        </w:rPr>
      </w:pPr>
      <w:r w:rsidRPr="001C0357">
        <w:rPr>
          <w:noProof/>
          <w:color w:val="000000" w:themeColor="text1"/>
          <w:szCs w:val="24"/>
        </w:rPr>
        <w:t xml:space="preserve">Fiskālā trajektorija jāievēro likumprojekta "Par valsts budžetu 2026. gadam un budžeta ietvaru 2026., 2027. un 2028. gadam" sagatavošanā, savukārt, novērtējot Latvijas iesniegto Vispārējās valdības budžeta plāna projektu 2026. gadam, EK pārbaudīs fiskālo rādītāju atbilstību Fiskāli strukturālā plāna ierobežojumiem. </w:t>
      </w:r>
    </w:p>
    <w:p w14:paraId="3333D6D2" w14:textId="77777777" w:rsidR="00F1215C" w:rsidRPr="001C0357" w:rsidRDefault="00F1215C" w:rsidP="00F1215C">
      <w:pPr>
        <w:rPr>
          <w:noProof/>
          <w:color w:val="000000" w:themeColor="text1"/>
          <w:szCs w:val="24"/>
        </w:rPr>
      </w:pPr>
      <w:r w:rsidRPr="001C0357">
        <w:rPr>
          <w:noProof/>
          <w:color w:val="000000" w:themeColor="text1"/>
          <w:szCs w:val="24"/>
        </w:rPr>
        <w:t>2025. gadā, ņemot vērā ģeopolitiskās situācijas attīstību, EK aicināja ES dalībvalstis izmantot jaunā ES ekonomikas pārvaldības ietvara piedāvātās elastības iespējas un aktivizēt valsts izņēmuma klauzulu, lai maksimāli atvieglotu pāreju uz pastāvīgi augstāku aizsardzības izdevumu līmeni. 2025. gada jūlijā Padome iedarbināja valsts izņēmuma klauzulu 15 dalībvalstīm, t.sk. Latvijai</w:t>
      </w:r>
      <w:r w:rsidRPr="001C0357">
        <w:rPr>
          <w:noProof/>
          <w:color w:val="000000" w:themeColor="text1"/>
          <w:szCs w:val="24"/>
          <w:vertAlign w:val="superscript"/>
        </w:rPr>
        <w:footnoteReference w:id="8"/>
      </w:r>
      <w:r w:rsidRPr="001C0357">
        <w:rPr>
          <w:noProof/>
          <w:color w:val="000000" w:themeColor="text1"/>
          <w:szCs w:val="24"/>
        </w:rPr>
        <w:t>, tā ļauj novirzīties no Padomes apstiprinātā izdevumu pieauguma laika perioda no 2025. līdz 2028. gadam attiecībā uz aizsardzības izdevumu pieaugumu, pieaļaujot atkāpi arī piegādēm, kas tiks nodrošinātas pēc 2028. gada, tomēr nepārsniedzot kopējo valsts izņēmuma klauzulas apjomu.</w:t>
      </w:r>
    </w:p>
    <w:p w14:paraId="66C4FC45" w14:textId="77777777" w:rsidR="00F1215C" w:rsidRPr="001C0357" w:rsidRDefault="00F1215C" w:rsidP="00F1215C">
      <w:pPr>
        <w:rPr>
          <w:noProof/>
          <w:color w:val="000000" w:themeColor="text1"/>
          <w:szCs w:val="24"/>
        </w:rPr>
      </w:pPr>
      <w:r w:rsidRPr="001C0357">
        <w:rPr>
          <w:noProof/>
          <w:color w:val="000000" w:themeColor="text1"/>
          <w:szCs w:val="24"/>
        </w:rPr>
        <w:t>Eiropas Parlamenta un Padomes Regula (ES) 2024/1263 (2024. gada 29. aprīlis) par ekonomikas politikas efektīvu koordināciju un budžeta daudzpusēju uzraudzību un ar ko atceļ Padomes Regulu (EK) Nr. 1466/97 ļauj dalībvalstīm noteikt savus valstu budžeta mērķus dažādu rādītāju izteiksmē, piemēram, kā strukturālā bilance, ja tas paredzēts to valstu tiesību aktos.</w:t>
      </w:r>
    </w:p>
    <w:p w14:paraId="2E0ED5EF" w14:textId="53F9937A" w:rsidR="00F1215C" w:rsidRPr="001C0357" w:rsidRDefault="00F1215C" w:rsidP="00F1215C">
      <w:pPr>
        <w:rPr>
          <w:bCs/>
          <w:noProof/>
          <w:color w:val="000000" w:themeColor="text1"/>
          <w:szCs w:val="24"/>
        </w:rPr>
      </w:pPr>
      <w:r w:rsidRPr="001C0357">
        <w:rPr>
          <w:noProof/>
          <w:color w:val="000000" w:themeColor="text1"/>
          <w:szCs w:val="24"/>
        </w:rPr>
        <w:t>Fiskālas telpas aprēķins veicams</w:t>
      </w:r>
      <w:r w:rsidR="00BD386C">
        <w:rPr>
          <w:noProof/>
          <w:color w:val="000000" w:themeColor="text1"/>
          <w:szCs w:val="24"/>
        </w:rPr>
        <w:t>,</w:t>
      </w:r>
      <w:r w:rsidRPr="001C0357">
        <w:rPr>
          <w:noProof/>
          <w:color w:val="000000" w:themeColor="text1"/>
          <w:szCs w:val="24"/>
        </w:rPr>
        <w:t xml:space="preserve"> </w:t>
      </w:r>
      <w:r w:rsidRPr="001C0357">
        <w:rPr>
          <w:bCs/>
          <w:noProof/>
          <w:color w:val="000000" w:themeColor="text1"/>
          <w:szCs w:val="24"/>
        </w:rPr>
        <w:t>ņemot vērā gan Fiskālās disciplīnas likuma (turpmāk – FDL) normas, gan ES fiskālos noteikumus</w:t>
      </w:r>
      <w:r w:rsidRPr="001C0357">
        <w:rPr>
          <w:noProof/>
          <w:color w:val="000000" w:themeColor="text1"/>
          <w:szCs w:val="24"/>
        </w:rPr>
        <w:t>.</w:t>
      </w:r>
      <w:r w:rsidRPr="001C0357">
        <w:rPr>
          <w:bCs/>
          <w:noProof/>
          <w:color w:val="000000" w:themeColor="text1"/>
          <w:szCs w:val="24"/>
        </w:rPr>
        <w:t xml:space="preserve"> Fiskālās telpas aprēķins </w:t>
      </w:r>
      <w:r w:rsidRPr="001C0357">
        <w:rPr>
          <w:noProof/>
          <w:color w:val="000000" w:themeColor="text1"/>
          <w:szCs w:val="24"/>
        </w:rPr>
        <w:t>likumprojekta "Par valsts budžetu 2026. gadam un budžeta ietvaru 2026., 2027. un 2028. gadam" sagatavošanas ietvaros tiek papildināts ar indikatīvo fiskālo telpu 2029.</w:t>
      </w:r>
      <w:r w:rsidR="00BD386C">
        <w:rPr>
          <w:noProof/>
          <w:color w:val="000000" w:themeColor="text1"/>
          <w:szCs w:val="24"/>
        </w:rPr>
        <w:t> </w:t>
      </w:r>
      <w:r w:rsidRPr="001C0357">
        <w:rPr>
          <w:noProof/>
          <w:color w:val="000000" w:themeColor="text1"/>
          <w:szCs w:val="24"/>
        </w:rPr>
        <w:t>gadam.</w:t>
      </w:r>
      <w:r w:rsidRPr="001C0357" w:rsidDel="00D34ADD">
        <w:rPr>
          <w:noProof/>
          <w:color w:val="000000" w:themeColor="text1"/>
          <w:szCs w:val="24"/>
        </w:rPr>
        <w:t xml:space="preserve"> </w:t>
      </w:r>
      <w:r w:rsidRPr="001C0357">
        <w:rPr>
          <w:bCs/>
          <w:noProof/>
          <w:color w:val="000000" w:themeColor="text1"/>
          <w:szCs w:val="24"/>
        </w:rPr>
        <w:t>Jāatzīmē, nav paredzēta jaunu izdevumu pasākumu atzīšana par vienreizējiem (papildus jau apstiprinātajiem</w:t>
      </w:r>
      <w:r w:rsidRPr="001C0357">
        <w:rPr>
          <w:bCs/>
          <w:noProof/>
          <w:color w:val="000000" w:themeColor="text1"/>
          <w:szCs w:val="24"/>
          <w:vertAlign w:val="superscript"/>
        </w:rPr>
        <w:footnoteReference w:id="9"/>
      </w:r>
      <w:r w:rsidRPr="001C0357">
        <w:rPr>
          <w:bCs/>
          <w:noProof/>
          <w:color w:val="000000" w:themeColor="text1"/>
          <w:szCs w:val="24"/>
        </w:rPr>
        <w:t>).</w:t>
      </w:r>
    </w:p>
    <w:p w14:paraId="0A31F6C3" w14:textId="65C20C59" w:rsidR="00F1215C" w:rsidRPr="001C0357" w:rsidRDefault="00F1215C" w:rsidP="00F1215C">
      <w:pPr>
        <w:rPr>
          <w:bCs/>
          <w:noProof/>
          <w:color w:val="000000" w:themeColor="text1"/>
          <w:szCs w:val="24"/>
        </w:rPr>
      </w:pPr>
      <w:r w:rsidRPr="001C0357">
        <w:rPr>
          <w:bCs/>
          <w:noProof/>
          <w:color w:val="000000" w:themeColor="text1"/>
          <w:szCs w:val="24"/>
        </w:rPr>
        <w:t>Ņemot vērā minēto, nosakot fiskālās telpas apmēru tiek pielietoti vairāki fiskālie nosacījumi:</w:t>
      </w:r>
    </w:p>
    <w:p w14:paraId="39D44E83" w14:textId="77777777" w:rsidR="00F1215C" w:rsidRPr="001C0357" w:rsidRDefault="00F1215C" w:rsidP="00F1215C">
      <w:pPr>
        <w:numPr>
          <w:ilvl w:val="0"/>
          <w:numId w:val="32"/>
        </w:numPr>
        <w:ind w:left="0" w:firstLine="720"/>
        <w:rPr>
          <w:bCs/>
          <w:noProof/>
          <w:color w:val="000000" w:themeColor="text1"/>
          <w:szCs w:val="24"/>
        </w:rPr>
      </w:pPr>
      <w:r w:rsidRPr="001C0357">
        <w:rPr>
          <w:bCs/>
          <w:noProof/>
          <w:color w:val="000000" w:themeColor="text1"/>
          <w:szCs w:val="24"/>
        </w:rPr>
        <w:t>FDL strukturālās bilances nosacījums;</w:t>
      </w:r>
    </w:p>
    <w:p w14:paraId="20D4CFDC" w14:textId="77777777" w:rsidR="00F1215C" w:rsidRPr="001C0357" w:rsidRDefault="00F1215C" w:rsidP="00F1215C">
      <w:pPr>
        <w:numPr>
          <w:ilvl w:val="0"/>
          <w:numId w:val="32"/>
        </w:numPr>
        <w:ind w:left="0" w:firstLine="720"/>
        <w:rPr>
          <w:bCs/>
          <w:noProof/>
          <w:color w:val="000000" w:themeColor="text1"/>
          <w:szCs w:val="24"/>
        </w:rPr>
      </w:pPr>
      <w:r w:rsidRPr="001C0357">
        <w:rPr>
          <w:bCs/>
          <w:noProof/>
          <w:color w:val="000000" w:themeColor="text1"/>
          <w:szCs w:val="24"/>
        </w:rPr>
        <w:t>ES strukturālās primārās bilances nosacījums;</w:t>
      </w:r>
    </w:p>
    <w:p w14:paraId="1F36DD5A" w14:textId="77777777" w:rsidR="00F1215C" w:rsidRPr="001C0357" w:rsidRDefault="00F1215C" w:rsidP="00F1215C">
      <w:pPr>
        <w:numPr>
          <w:ilvl w:val="0"/>
          <w:numId w:val="32"/>
        </w:numPr>
        <w:ind w:left="0" w:firstLine="720"/>
        <w:rPr>
          <w:bCs/>
          <w:noProof/>
          <w:color w:val="000000" w:themeColor="text1"/>
          <w:szCs w:val="24"/>
        </w:rPr>
      </w:pPr>
      <w:r w:rsidRPr="001C0357">
        <w:rPr>
          <w:bCs/>
          <w:noProof/>
          <w:color w:val="000000" w:themeColor="text1"/>
          <w:szCs w:val="24"/>
        </w:rPr>
        <w:lastRenderedPageBreak/>
        <w:t xml:space="preserve">ES valsts finansēto neto primāro izdevumu pieauguma nosacījums; </w:t>
      </w:r>
    </w:p>
    <w:p w14:paraId="16D6828A" w14:textId="77777777" w:rsidR="00F1215C" w:rsidRPr="001C0357" w:rsidRDefault="00F1215C" w:rsidP="00047028">
      <w:pPr>
        <w:numPr>
          <w:ilvl w:val="0"/>
          <w:numId w:val="32"/>
        </w:numPr>
        <w:ind w:left="0" w:firstLine="720"/>
        <w:rPr>
          <w:bCs/>
          <w:noProof/>
          <w:color w:val="000000" w:themeColor="text1"/>
          <w:szCs w:val="24"/>
        </w:rPr>
      </w:pPr>
      <w:r w:rsidRPr="001C0357">
        <w:rPr>
          <w:bCs/>
          <w:noProof/>
          <w:color w:val="000000" w:themeColor="text1"/>
          <w:szCs w:val="24"/>
        </w:rPr>
        <w:t>Nominālās bilances nosacījums.</w:t>
      </w:r>
    </w:p>
    <w:p w14:paraId="3E5AAE7E" w14:textId="3131BF61" w:rsidR="00F1215C" w:rsidRPr="001C0357" w:rsidRDefault="00F1215C" w:rsidP="00047028">
      <w:pPr>
        <w:rPr>
          <w:bCs/>
          <w:noProof/>
          <w:color w:val="000000" w:themeColor="text1"/>
          <w:szCs w:val="24"/>
        </w:rPr>
      </w:pPr>
      <w:r w:rsidRPr="001C0357">
        <w:rPr>
          <w:bCs/>
          <w:noProof/>
          <w:color w:val="000000" w:themeColor="text1"/>
          <w:szCs w:val="24"/>
        </w:rPr>
        <w:t xml:space="preserve">Katrs no fiskālajiem nosacījumiem attiecas uz citu fiskālo rādītāju, bet, lai nodrošinātu salīdzināmību un noteiktu, kurš no fiskālajiem nosacījumiem ir dominējošais, fiskālie rādītāji tiek </w:t>
      </w:r>
      <w:r w:rsidR="00BD386C">
        <w:rPr>
          <w:bCs/>
          <w:noProof/>
          <w:color w:val="000000" w:themeColor="text1"/>
          <w:szCs w:val="24"/>
        </w:rPr>
        <w:t xml:space="preserve">izteikti ar vienu </w:t>
      </w:r>
      <w:r w:rsidRPr="00BD386C">
        <w:rPr>
          <w:bCs/>
          <w:noProof/>
          <w:color w:val="000000" w:themeColor="text1"/>
          <w:szCs w:val="24"/>
        </w:rPr>
        <w:t>fiskāl</w:t>
      </w:r>
      <w:r w:rsidR="00BD386C" w:rsidRPr="00BD386C">
        <w:rPr>
          <w:bCs/>
          <w:noProof/>
          <w:color w:val="000000" w:themeColor="text1"/>
          <w:szCs w:val="24"/>
        </w:rPr>
        <w:t>o</w:t>
      </w:r>
      <w:r w:rsidRPr="00BD386C">
        <w:rPr>
          <w:bCs/>
          <w:noProof/>
          <w:color w:val="000000" w:themeColor="text1"/>
          <w:szCs w:val="24"/>
        </w:rPr>
        <w:t xml:space="preserve"> rādītāj</w:t>
      </w:r>
      <w:r w:rsidR="00BD386C" w:rsidRPr="00BD386C">
        <w:rPr>
          <w:bCs/>
          <w:noProof/>
          <w:color w:val="000000" w:themeColor="text1"/>
          <w:szCs w:val="24"/>
        </w:rPr>
        <w:t>u</w:t>
      </w:r>
      <w:r w:rsidRPr="00BD386C">
        <w:rPr>
          <w:bCs/>
          <w:noProof/>
          <w:color w:val="000000" w:themeColor="text1"/>
          <w:szCs w:val="24"/>
        </w:rPr>
        <w:t>.</w:t>
      </w:r>
      <w:r w:rsidRPr="001C0357">
        <w:rPr>
          <w:bCs/>
          <w:noProof/>
          <w:color w:val="000000" w:themeColor="text1"/>
          <w:szCs w:val="24"/>
        </w:rPr>
        <w:t xml:space="preserve"> Šim nolūkam sākot ar Stabilitātes programmu 2024. – 2028. gadam</w:t>
      </w:r>
      <w:r w:rsidRPr="001C0357">
        <w:rPr>
          <w:rStyle w:val="FootnoteReference"/>
          <w:bCs/>
          <w:noProof/>
          <w:color w:val="000000" w:themeColor="text1"/>
          <w:szCs w:val="24"/>
        </w:rPr>
        <w:footnoteReference w:id="10"/>
      </w:r>
      <w:r w:rsidRPr="001C0357">
        <w:rPr>
          <w:bCs/>
          <w:noProof/>
          <w:color w:val="000000" w:themeColor="text1"/>
          <w:szCs w:val="24"/>
        </w:rPr>
        <w:t xml:space="preserve"> tiek izmantots </w:t>
      </w:r>
      <w:r w:rsidRPr="001C0357">
        <w:rPr>
          <w:b/>
          <w:noProof/>
          <w:color w:val="000000" w:themeColor="text1"/>
          <w:szCs w:val="24"/>
        </w:rPr>
        <w:t>FDL strukturālās bilances rādītājs</w:t>
      </w:r>
      <w:r w:rsidRPr="001C0357">
        <w:rPr>
          <w:bCs/>
          <w:noProof/>
          <w:color w:val="000000" w:themeColor="text1"/>
          <w:szCs w:val="24"/>
        </w:rPr>
        <w:t>.</w:t>
      </w:r>
    </w:p>
    <w:p w14:paraId="06B41A7F" w14:textId="77777777" w:rsidR="00E05396" w:rsidRDefault="00E05396" w:rsidP="00F1215C">
      <w:pPr>
        <w:widowControl w:val="0"/>
        <w:rPr>
          <w:rFonts w:eastAsia="Times New Roman" w:cs="Times New Roman"/>
          <w:b/>
          <w:noProof/>
        </w:rPr>
      </w:pPr>
    </w:p>
    <w:p w14:paraId="37E4E0C1" w14:textId="5EC35581" w:rsidR="00F1215C" w:rsidRPr="001C0357" w:rsidRDefault="00F1215C" w:rsidP="00F1215C">
      <w:pPr>
        <w:widowControl w:val="0"/>
        <w:rPr>
          <w:rFonts w:eastAsia="Times New Roman" w:cs="Times New Roman"/>
          <w:b/>
          <w:noProof/>
        </w:rPr>
      </w:pPr>
      <w:r w:rsidRPr="001C0357">
        <w:rPr>
          <w:rFonts w:eastAsia="Times New Roman" w:cs="Times New Roman"/>
          <w:b/>
          <w:noProof/>
        </w:rPr>
        <w:t>FDL strukturālās bilances nosacījums (1)</w:t>
      </w:r>
    </w:p>
    <w:p w14:paraId="628F22CE" w14:textId="77777777" w:rsidR="00F1215C" w:rsidRPr="001C0357" w:rsidRDefault="00F1215C" w:rsidP="00F1215C">
      <w:pPr>
        <w:widowControl w:val="0"/>
        <w:rPr>
          <w:rFonts w:eastAsia="Times New Roman" w:cs="Times New Roman"/>
          <w:bCs/>
          <w:noProof/>
        </w:rPr>
      </w:pPr>
      <w:r w:rsidRPr="001C0357">
        <w:rPr>
          <w:rFonts w:eastAsia="Times New Roman" w:cs="Times New Roman"/>
          <w:bCs/>
          <w:noProof/>
        </w:rPr>
        <w:t>Atbilstoši aktualizētajām vispārējās valdības budžeta bilances prognozēm pie nemainīgas politikas, 2025. gadā vispārējās valdības budžeta deficīts tiek novērtēts 2,9% no IKP apmērā.</w:t>
      </w:r>
    </w:p>
    <w:p w14:paraId="283718BF" w14:textId="1BA24507" w:rsidR="00F1215C" w:rsidRPr="001C0357" w:rsidRDefault="00F1215C" w:rsidP="00F1215C">
      <w:pPr>
        <w:widowControl w:val="0"/>
        <w:rPr>
          <w:rFonts w:eastAsia="Times New Roman" w:cs="Times New Roman"/>
          <w:bCs/>
          <w:noProof/>
        </w:rPr>
      </w:pPr>
      <w:r w:rsidRPr="001C0357">
        <w:rPr>
          <w:rFonts w:eastAsia="Times New Roman" w:cs="Times New Roman"/>
          <w:bCs/>
          <w:noProof/>
        </w:rPr>
        <w:t>Ņemot vērā izlaižu starpību un vienreizējo pasākumu apmēru 2025. gada vispārējās valdības strukturālais deficīts tiek prognozēts 0,6% no IKP</w:t>
      </w:r>
      <w:r w:rsidR="0075450B">
        <w:rPr>
          <w:rFonts w:eastAsia="Times New Roman" w:cs="Times New Roman"/>
          <w:bCs/>
          <w:noProof/>
        </w:rPr>
        <w:t xml:space="preserve">. </w:t>
      </w:r>
      <w:r w:rsidRPr="001C0357">
        <w:rPr>
          <w:rFonts w:eastAsia="Times New Roman" w:cs="Times New Roman"/>
          <w:bCs/>
          <w:noProof/>
        </w:rPr>
        <w:t xml:space="preserve">Līdz ar to tas ir zemāks par jauno FDL 10. pantā noteikto vidēja termiņa mērķi, kas ir 1,0% no IKP. </w:t>
      </w:r>
    </w:p>
    <w:p w14:paraId="64BD1E0B" w14:textId="5F00806B" w:rsidR="00F1215C" w:rsidRPr="001C0357" w:rsidRDefault="00F1215C" w:rsidP="00F1215C">
      <w:pPr>
        <w:widowControl w:val="0"/>
        <w:rPr>
          <w:rFonts w:eastAsia="Times New Roman" w:cs="Times New Roman"/>
          <w:b/>
          <w:bCs/>
          <w:noProof/>
        </w:rPr>
      </w:pPr>
      <w:r w:rsidRPr="001C0357">
        <w:rPr>
          <w:rFonts w:eastAsia="Times New Roman" w:cs="Times New Roman"/>
          <w:bCs/>
          <w:noProof/>
        </w:rPr>
        <w:t>Tomēr, ņemot vērā aktivizēto ES valsts izņēmuma klauzulu</w:t>
      </w:r>
      <w:r w:rsidRPr="00BD386C">
        <w:rPr>
          <w:rFonts w:eastAsia="Times New Roman" w:cs="Times New Roman"/>
          <w:bCs/>
          <w:noProof/>
        </w:rPr>
        <w:t xml:space="preserve">, ir pamats </w:t>
      </w:r>
      <w:r w:rsidR="00BD386C">
        <w:rPr>
          <w:rFonts w:eastAsia="Times New Roman" w:cs="Times New Roman"/>
          <w:bCs/>
          <w:noProof/>
        </w:rPr>
        <w:t>aktivizēt</w:t>
      </w:r>
      <w:r w:rsidRPr="00BD386C">
        <w:rPr>
          <w:rFonts w:eastAsia="Times New Roman" w:cs="Times New Roman"/>
          <w:bCs/>
          <w:noProof/>
        </w:rPr>
        <w:t xml:space="preserve"> atkāpi no FDL</w:t>
      </w:r>
      <w:r w:rsidR="0075450B">
        <w:rPr>
          <w:rFonts w:eastAsia="Times New Roman" w:cs="Times New Roman"/>
          <w:bCs/>
          <w:noProof/>
        </w:rPr>
        <w:t xml:space="preserve"> </w:t>
      </w:r>
      <w:r w:rsidRPr="00BD386C">
        <w:rPr>
          <w:rFonts w:eastAsia="Times New Roman" w:cs="Times New Roman"/>
          <w:bCs/>
          <w:noProof/>
        </w:rPr>
        <w:t>10.</w:t>
      </w:r>
      <w:r w:rsidR="00BD386C">
        <w:rPr>
          <w:rFonts w:eastAsia="Times New Roman" w:cs="Times New Roman"/>
          <w:bCs/>
          <w:noProof/>
        </w:rPr>
        <w:t> </w:t>
      </w:r>
      <w:r w:rsidRPr="00BD386C">
        <w:rPr>
          <w:rFonts w:eastAsia="Times New Roman" w:cs="Times New Roman"/>
          <w:bCs/>
          <w:noProof/>
        </w:rPr>
        <w:t>pant</w:t>
      </w:r>
      <w:r w:rsidR="00BD386C">
        <w:rPr>
          <w:rFonts w:eastAsia="Times New Roman" w:cs="Times New Roman"/>
          <w:bCs/>
          <w:noProof/>
        </w:rPr>
        <w:t xml:space="preserve">ā noteiktā bilances </w:t>
      </w:r>
      <w:r w:rsidRPr="00BD386C">
        <w:rPr>
          <w:rFonts w:eastAsia="Times New Roman" w:cs="Times New Roman"/>
          <w:bCs/>
          <w:noProof/>
        </w:rPr>
        <w:t>nosacījuma saskaņā ar FDL 12.</w:t>
      </w:r>
      <w:r w:rsidR="00BD386C">
        <w:rPr>
          <w:rFonts w:eastAsia="Times New Roman" w:cs="Times New Roman"/>
          <w:bCs/>
          <w:noProof/>
        </w:rPr>
        <w:t> </w:t>
      </w:r>
      <w:r w:rsidRPr="00BD386C">
        <w:rPr>
          <w:rFonts w:eastAsia="Times New Roman" w:cs="Times New Roman"/>
          <w:bCs/>
          <w:noProof/>
        </w:rPr>
        <w:t>panta pirmās daļas 2.</w:t>
      </w:r>
      <w:r w:rsidR="00BD386C">
        <w:rPr>
          <w:rFonts w:eastAsia="Times New Roman" w:cs="Times New Roman"/>
          <w:bCs/>
          <w:noProof/>
        </w:rPr>
        <w:t> </w:t>
      </w:r>
      <w:r w:rsidRPr="00BD386C">
        <w:rPr>
          <w:rFonts w:eastAsia="Times New Roman" w:cs="Times New Roman"/>
          <w:bCs/>
          <w:noProof/>
        </w:rPr>
        <w:t>punktu</w:t>
      </w:r>
      <w:r w:rsidR="00BD386C">
        <w:rPr>
          <w:rFonts w:eastAsia="Times New Roman" w:cs="Times New Roman"/>
          <w:bCs/>
          <w:noProof/>
        </w:rPr>
        <w:t xml:space="preserve">. </w:t>
      </w:r>
      <w:r w:rsidRPr="00BD386C">
        <w:rPr>
          <w:rFonts w:eastAsia="Times New Roman" w:cs="Times New Roman"/>
          <w:bCs/>
          <w:noProof/>
        </w:rPr>
        <w:t xml:space="preserve">Attiecīgi, nosakot </w:t>
      </w:r>
      <w:r w:rsidRPr="00BD386C">
        <w:rPr>
          <w:rFonts w:eastAsia="Times New Roman" w:cs="Times New Roman"/>
          <w:b/>
          <w:noProof/>
        </w:rPr>
        <w:t>v</w:t>
      </w:r>
      <w:r w:rsidRPr="00BD386C">
        <w:rPr>
          <w:rFonts w:eastAsia="Times New Roman" w:cs="Times New Roman"/>
          <w:b/>
          <w:bCs/>
          <w:noProof/>
        </w:rPr>
        <w:t>ispārējās valdības struktur</w:t>
      </w:r>
      <w:r w:rsidRPr="001C0357">
        <w:rPr>
          <w:rFonts w:eastAsia="Times New Roman" w:cs="Times New Roman"/>
          <w:b/>
          <w:bCs/>
          <w:noProof/>
        </w:rPr>
        <w:t>ālās bilances mērķi, tiek ņemta vērā valsts izņēmuma klauzulas attiecīgā gada fiskālā ietekme</w:t>
      </w:r>
      <w:r w:rsidR="0075450B">
        <w:rPr>
          <w:rFonts w:eastAsia="Times New Roman" w:cs="Times New Roman"/>
          <w:b/>
          <w:bCs/>
          <w:noProof/>
        </w:rPr>
        <w:t xml:space="preserve"> </w:t>
      </w:r>
      <w:r w:rsidR="0075450B" w:rsidRPr="0075450B">
        <w:rPr>
          <w:rFonts w:eastAsia="Times New Roman" w:cs="Times New Roman"/>
          <w:noProof/>
        </w:rPr>
        <w:t>(</w:t>
      </w:r>
      <w:r w:rsidR="00C13C29" w:rsidRPr="00C13C29">
        <w:rPr>
          <w:rFonts w:eastAsia="Times New Roman" w:cs="Times New Roman"/>
          <w:noProof/>
        </w:rPr>
        <w:t>skat. 5. un 6. tabulu</w:t>
      </w:r>
      <w:r w:rsidR="0075450B" w:rsidRPr="0075450B">
        <w:rPr>
          <w:rFonts w:eastAsia="Times New Roman" w:cs="Times New Roman"/>
          <w:noProof/>
        </w:rPr>
        <w:t>).</w:t>
      </w:r>
      <w:r w:rsidRPr="001C0357">
        <w:rPr>
          <w:rFonts w:eastAsia="Times New Roman" w:cs="Times New Roman"/>
          <w:b/>
          <w:bCs/>
          <w:noProof/>
        </w:rPr>
        <w:t xml:space="preserve"> </w:t>
      </w:r>
    </w:p>
    <w:p w14:paraId="463670D9" w14:textId="77777777" w:rsidR="00F1215C" w:rsidRPr="001C0357" w:rsidRDefault="00F1215C" w:rsidP="00F1215C">
      <w:pPr>
        <w:widowControl w:val="0"/>
        <w:jc w:val="center"/>
        <w:rPr>
          <w:rFonts w:eastAsia="Times New Roman" w:cs="Times New Roman"/>
          <w:b/>
          <w:noProof/>
        </w:rPr>
      </w:pPr>
      <w:r w:rsidRPr="001C0357">
        <w:rPr>
          <w:rFonts w:eastAsia="Times New Roman" w:cs="Times New Roman"/>
          <w:b/>
          <w:noProof/>
          <w:szCs w:val="24"/>
        </w:rPr>
        <w:t>5. tabula.</w:t>
      </w:r>
      <w:r w:rsidRPr="001C0357">
        <w:rPr>
          <w:rFonts w:eastAsia="Times New Roman" w:cs="Times New Roman"/>
          <w:b/>
          <w:noProof/>
        </w:rPr>
        <w:t xml:space="preserve"> V</w:t>
      </w:r>
      <w:r w:rsidRPr="001C0357">
        <w:rPr>
          <w:rFonts w:eastAsia="Times New Roman" w:cs="Times New Roman"/>
          <w:b/>
          <w:noProof/>
          <w:szCs w:val="24"/>
        </w:rPr>
        <w:t>ispārējās valdības strukturālās bilances mērķi,</w:t>
      </w:r>
      <w:r w:rsidRPr="001C0357">
        <w:rPr>
          <w:rFonts w:eastAsia="Times New Roman" w:cs="Times New Roman"/>
          <w:b/>
          <w:noProof/>
        </w:rPr>
        <w:t xml:space="preserve"> </w:t>
      </w:r>
      <w:r w:rsidRPr="001C0357">
        <w:rPr>
          <w:rFonts w:eastAsia="Times New Roman" w:cs="Times New Roman"/>
          <w:b/>
          <w:noProof/>
          <w:szCs w:val="24"/>
        </w:rPr>
        <w:t xml:space="preserve">balstoties uz FDL </w:t>
      </w:r>
      <w:r w:rsidRPr="001C0357">
        <w:rPr>
          <w:rFonts w:eastAsia="Times New Roman" w:cs="Times New Roman"/>
          <w:b/>
          <w:noProof/>
        </w:rPr>
        <w:t>strukturālās bilances nosacījumu</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1560"/>
        <w:gridCol w:w="961"/>
        <w:gridCol w:w="788"/>
        <w:gridCol w:w="789"/>
        <w:gridCol w:w="789"/>
        <w:gridCol w:w="789"/>
      </w:tblGrid>
      <w:tr w:rsidR="00F1215C" w:rsidRPr="00DA1615" w14:paraId="4AEB544A" w14:textId="77777777" w:rsidTr="00DA1615">
        <w:trPr>
          <w:trHeight w:val="20"/>
          <w:tblHeader/>
          <w:jc w:val="center"/>
        </w:trPr>
        <w:tc>
          <w:tcPr>
            <w:tcW w:w="3397" w:type="dxa"/>
            <w:noWrap/>
            <w:vAlign w:val="bottom"/>
            <w:hideMark/>
          </w:tcPr>
          <w:p w14:paraId="31942168" w14:textId="77777777" w:rsidR="00F1215C" w:rsidRPr="00DA1615" w:rsidRDefault="00F1215C" w:rsidP="00CA0F29">
            <w:pPr>
              <w:spacing w:before="60" w:after="0"/>
              <w:ind w:firstLine="0"/>
              <w:jc w:val="left"/>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 </w:t>
            </w:r>
          </w:p>
        </w:tc>
        <w:tc>
          <w:tcPr>
            <w:tcW w:w="1560" w:type="dxa"/>
            <w:noWrap/>
            <w:vAlign w:val="bottom"/>
            <w:hideMark/>
          </w:tcPr>
          <w:p w14:paraId="1AD24DD4" w14:textId="77777777" w:rsidR="00F1215C" w:rsidRPr="00DA1615" w:rsidRDefault="00F1215C" w:rsidP="00CA0F29">
            <w:pPr>
              <w:spacing w:before="60" w:after="0"/>
              <w:ind w:firstLine="0"/>
              <w:jc w:val="left"/>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 </w:t>
            </w:r>
          </w:p>
        </w:tc>
        <w:tc>
          <w:tcPr>
            <w:tcW w:w="961" w:type="dxa"/>
            <w:shd w:val="clear" w:color="auto" w:fill="EBE2D1"/>
            <w:noWrap/>
            <w:vAlign w:val="center"/>
            <w:hideMark/>
          </w:tcPr>
          <w:p w14:paraId="11007697" w14:textId="77777777" w:rsidR="00F1215C" w:rsidRPr="00DA1615" w:rsidRDefault="00F1215C" w:rsidP="00CA0F29">
            <w:pPr>
              <w:spacing w:before="60" w:after="0"/>
              <w:ind w:firstLine="0"/>
              <w:jc w:val="center"/>
              <w:rPr>
                <w:rFonts w:eastAsia="Times New Roman" w:cs="Times New Roman"/>
                <w:b/>
                <w:bCs/>
                <w:noProof/>
                <w:color w:val="000000"/>
                <w:sz w:val="19"/>
                <w:szCs w:val="19"/>
                <w:lang w:eastAsia="lv-LV"/>
              </w:rPr>
            </w:pPr>
            <w:r w:rsidRPr="00DA1615">
              <w:rPr>
                <w:rFonts w:eastAsia="Times New Roman" w:cs="Times New Roman"/>
                <w:b/>
                <w:bCs/>
                <w:noProof/>
                <w:color w:val="000000"/>
                <w:sz w:val="19"/>
                <w:szCs w:val="19"/>
                <w:lang w:eastAsia="lv-LV"/>
              </w:rPr>
              <w:t>2025</w:t>
            </w:r>
          </w:p>
        </w:tc>
        <w:tc>
          <w:tcPr>
            <w:tcW w:w="788" w:type="dxa"/>
            <w:shd w:val="clear" w:color="auto" w:fill="EBE2D1"/>
            <w:noWrap/>
            <w:vAlign w:val="center"/>
            <w:hideMark/>
          </w:tcPr>
          <w:p w14:paraId="59D237A6" w14:textId="77777777" w:rsidR="00F1215C" w:rsidRPr="00DA1615" w:rsidRDefault="00F1215C" w:rsidP="00CA0F29">
            <w:pPr>
              <w:spacing w:before="60" w:after="0"/>
              <w:ind w:firstLine="0"/>
              <w:jc w:val="center"/>
              <w:rPr>
                <w:rFonts w:eastAsia="Times New Roman" w:cs="Times New Roman"/>
                <w:b/>
                <w:bCs/>
                <w:noProof/>
                <w:color w:val="000000"/>
                <w:sz w:val="19"/>
                <w:szCs w:val="19"/>
                <w:lang w:eastAsia="lv-LV"/>
              </w:rPr>
            </w:pPr>
            <w:r w:rsidRPr="00DA1615">
              <w:rPr>
                <w:rFonts w:eastAsia="Times New Roman" w:cs="Times New Roman"/>
                <w:b/>
                <w:bCs/>
                <w:noProof/>
                <w:color w:val="000000"/>
                <w:sz w:val="19"/>
                <w:szCs w:val="19"/>
                <w:lang w:eastAsia="lv-LV"/>
              </w:rPr>
              <w:t>2026</w:t>
            </w:r>
          </w:p>
        </w:tc>
        <w:tc>
          <w:tcPr>
            <w:tcW w:w="789" w:type="dxa"/>
            <w:shd w:val="clear" w:color="auto" w:fill="EBE2D1"/>
            <w:noWrap/>
            <w:vAlign w:val="center"/>
            <w:hideMark/>
          </w:tcPr>
          <w:p w14:paraId="70ADCF5E" w14:textId="77777777" w:rsidR="00F1215C" w:rsidRPr="00DA1615" w:rsidRDefault="00F1215C" w:rsidP="00CA0F29">
            <w:pPr>
              <w:spacing w:before="60" w:after="0"/>
              <w:ind w:firstLine="0"/>
              <w:jc w:val="center"/>
              <w:rPr>
                <w:rFonts w:eastAsia="Times New Roman" w:cs="Times New Roman"/>
                <w:b/>
                <w:bCs/>
                <w:noProof/>
                <w:color w:val="000000"/>
                <w:sz w:val="19"/>
                <w:szCs w:val="19"/>
                <w:lang w:eastAsia="lv-LV"/>
              </w:rPr>
            </w:pPr>
            <w:r w:rsidRPr="00DA1615">
              <w:rPr>
                <w:rFonts w:eastAsia="Times New Roman" w:cs="Times New Roman"/>
                <w:b/>
                <w:bCs/>
                <w:noProof/>
                <w:color w:val="000000"/>
                <w:sz w:val="19"/>
                <w:szCs w:val="19"/>
                <w:lang w:eastAsia="lv-LV"/>
              </w:rPr>
              <w:t>2027</w:t>
            </w:r>
          </w:p>
        </w:tc>
        <w:tc>
          <w:tcPr>
            <w:tcW w:w="789" w:type="dxa"/>
            <w:shd w:val="clear" w:color="auto" w:fill="EBE2D1"/>
            <w:vAlign w:val="center"/>
          </w:tcPr>
          <w:p w14:paraId="56F930D9" w14:textId="77777777" w:rsidR="00F1215C" w:rsidRPr="00DA1615" w:rsidRDefault="00F1215C" w:rsidP="00CA0F29">
            <w:pPr>
              <w:spacing w:before="60" w:after="0"/>
              <w:ind w:firstLine="0"/>
              <w:jc w:val="center"/>
              <w:rPr>
                <w:rFonts w:eastAsia="Times New Roman" w:cs="Times New Roman"/>
                <w:b/>
                <w:bCs/>
                <w:noProof/>
                <w:color w:val="000000"/>
                <w:sz w:val="19"/>
                <w:szCs w:val="19"/>
                <w:lang w:eastAsia="lv-LV"/>
              </w:rPr>
            </w:pPr>
            <w:r w:rsidRPr="00DA1615">
              <w:rPr>
                <w:rFonts w:eastAsia="Times New Roman" w:cs="Times New Roman"/>
                <w:b/>
                <w:bCs/>
                <w:noProof/>
                <w:color w:val="000000"/>
                <w:sz w:val="19"/>
                <w:szCs w:val="19"/>
                <w:lang w:eastAsia="lv-LV"/>
              </w:rPr>
              <w:t>2028</w:t>
            </w:r>
          </w:p>
        </w:tc>
        <w:tc>
          <w:tcPr>
            <w:tcW w:w="789" w:type="dxa"/>
            <w:shd w:val="clear" w:color="auto" w:fill="EBE2D1"/>
            <w:noWrap/>
            <w:vAlign w:val="center"/>
            <w:hideMark/>
          </w:tcPr>
          <w:p w14:paraId="30D3DDA8" w14:textId="77777777" w:rsidR="00F1215C" w:rsidRPr="00DA1615" w:rsidRDefault="00F1215C" w:rsidP="00CA0F29">
            <w:pPr>
              <w:spacing w:before="60" w:after="0"/>
              <w:ind w:firstLine="0"/>
              <w:jc w:val="center"/>
              <w:rPr>
                <w:rFonts w:eastAsia="Times New Roman" w:cs="Times New Roman"/>
                <w:b/>
                <w:bCs/>
                <w:noProof/>
                <w:color w:val="000000"/>
                <w:sz w:val="19"/>
                <w:szCs w:val="19"/>
                <w:lang w:eastAsia="lv-LV"/>
              </w:rPr>
            </w:pPr>
            <w:r w:rsidRPr="00DA1615">
              <w:rPr>
                <w:rFonts w:eastAsia="Times New Roman" w:cs="Times New Roman"/>
                <w:b/>
                <w:bCs/>
                <w:noProof/>
                <w:color w:val="000000"/>
                <w:sz w:val="19"/>
                <w:szCs w:val="19"/>
                <w:lang w:eastAsia="lv-LV"/>
              </w:rPr>
              <w:t>2029</w:t>
            </w:r>
          </w:p>
        </w:tc>
      </w:tr>
      <w:tr w:rsidR="00F1215C" w:rsidRPr="00DA1615" w14:paraId="7A5C1DBD" w14:textId="77777777" w:rsidTr="00DA1615">
        <w:trPr>
          <w:trHeight w:val="345"/>
          <w:jc w:val="center"/>
        </w:trPr>
        <w:tc>
          <w:tcPr>
            <w:tcW w:w="3397" w:type="dxa"/>
            <w:noWrap/>
            <w:vAlign w:val="center"/>
          </w:tcPr>
          <w:p w14:paraId="410D880E" w14:textId="77777777" w:rsidR="00F1215C" w:rsidRPr="00DA1615" w:rsidRDefault="00F1215C" w:rsidP="00CA0F29">
            <w:pPr>
              <w:spacing w:before="60" w:after="60"/>
              <w:ind w:firstLine="0"/>
              <w:jc w:val="left"/>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 xml:space="preserve">IKP prognoze, milj. </w:t>
            </w:r>
            <w:r w:rsidRPr="00DA1615">
              <w:rPr>
                <w:rFonts w:eastAsia="Times New Roman" w:cs="Times New Roman"/>
                <w:i/>
                <w:iCs/>
                <w:noProof/>
                <w:color w:val="000000"/>
                <w:sz w:val="19"/>
                <w:szCs w:val="19"/>
                <w:lang w:eastAsia="lv-LV"/>
              </w:rPr>
              <w:t>euro</w:t>
            </w:r>
          </w:p>
        </w:tc>
        <w:tc>
          <w:tcPr>
            <w:tcW w:w="1560" w:type="dxa"/>
            <w:noWrap/>
            <w:vAlign w:val="center"/>
            <w:hideMark/>
          </w:tcPr>
          <w:p w14:paraId="3F294D83"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(1)</w:t>
            </w:r>
          </w:p>
        </w:tc>
        <w:tc>
          <w:tcPr>
            <w:tcW w:w="961" w:type="dxa"/>
            <w:shd w:val="clear" w:color="auto" w:fill="EBE2D1"/>
            <w:noWrap/>
            <w:vAlign w:val="center"/>
          </w:tcPr>
          <w:p w14:paraId="2E8F7EEC"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41 985</w:t>
            </w:r>
          </w:p>
        </w:tc>
        <w:tc>
          <w:tcPr>
            <w:tcW w:w="788" w:type="dxa"/>
            <w:shd w:val="clear" w:color="auto" w:fill="EBE2D1"/>
            <w:noWrap/>
            <w:vAlign w:val="center"/>
            <w:hideMark/>
          </w:tcPr>
          <w:p w14:paraId="5204DF87"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noWrap/>
            <w:vAlign w:val="center"/>
            <w:hideMark/>
          </w:tcPr>
          <w:p w14:paraId="200015F0"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vAlign w:val="center"/>
          </w:tcPr>
          <w:p w14:paraId="3E564E23"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noWrap/>
            <w:vAlign w:val="center"/>
            <w:hideMark/>
          </w:tcPr>
          <w:p w14:paraId="1000662A" w14:textId="77777777" w:rsidR="00F1215C" w:rsidRPr="00DA1615" w:rsidRDefault="00F1215C" w:rsidP="00CA0F29">
            <w:pPr>
              <w:spacing w:before="60" w:after="60"/>
              <w:ind w:firstLine="0"/>
              <w:jc w:val="center"/>
              <w:rPr>
                <w:rFonts w:eastAsia="Times New Roman" w:cs="Times New Roman"/>
                <w:noProof/>
                <w:color w:val="000000"/>
                <w:sz w:val="19"/>
                <w:szCs w:val="19"/>
                <w:highlight w:val="darkGray"/>
                <w:lang w:eastAsia="lv-LV"/>
              </w:rPr>
            </w:pPr>
          </w:p>
        </w:tc>
      </w:tr>
      <w:tr w:rsidR="00F1215C" w:rsidRPr="00DA1615" w14:paraId="300ABEB4" w14:textId="77777777" w:rsidTr="00DA1615">
        <w:trPr>
          <w:trHeight w:val="505"/>
          <w:jc w:val="center"/>
        </w:trPr>
        <w:tc>
          <w:tcPr>
            <w:tcW w:w="3397" w:type="dxa"/>
            <w:noWrap/>
            <w:vAlign w:val="center"/>
          </w:tcPr>
          <w:p w14:paraId="3AEDDC9D" w14:textId="77777777" w:rsidR="00F1215C" w:rsidRPr="00DA1615" w:rsidRDefault="00F1215C" w:rsidP="00CA0F29">
            <w:pPr>
              <w:spacing w:before="60" w:after="60"/>
              <w:ind w:firstLine="0"/>
              <w:jc w:val="left"/>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 xml:space="preserve">2025. gada vispārējās valdības budžeta bilance, milj. </w:t>
            </w:r>
            <w:r w:rsidRPr="00DA1615">
              <w:rPr>
                <w:rFonts w:eastAsia="Times New Roman" w:cs="Times New Roman"/>
                <w:i/>
                <w:iCs/>
                <w:noProof/>
                <w:color w:val="000000"/>
                <w:sz w:val="19"/>
                <w:szCs w:val="19"/>
                <w:lang w:eastAsia="lv-LV"/>
              </w:rPr>
              <w:t>euro</w:t>
            </w:r>
          </w:p>
        </w:tc>
        <w:tc>
          <w:tcPr>
            <w:tcW w:w="1560" w:type="dxa"/>
            <w:noWrap/>
            <w:vAlign w:val="center"/>
            <w:hideMark/>
          </w:tcPr>
          <w:p w14:paraId="52353DBD"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(2)</w:t>
            </w:r>
          </w:p>
        </w:tc>
        <w:tc>
          <w:tcPr>
            <w:tcW w:w="961" w:type="dxa"/>
            <w:shd w:val="clear" w:color="auto" w:fill="EBE2D1"/>
            <w:noWrap/>
            <w:vAlign w:val="center"/>
          </w:tcPr>
          <w:p w14:paraId="5F8E592B"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-1 220,8</w:t>
            </w:r>
          </w:p>
        </w:tc>
        <w:tc>
          <w:tcPr>
            <w:tcW w:w="788" w:type="dxa"/>
            <w:shd w:val="clear" w:color="auto" w:fill="EBE2D1"/>
            <w:noWrap/>
            <w:vAlign w:val="center"/>
            <w:hideMark/>
          </w:tcPr>
          <w:p w14:paraId="72FFBAD5"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noWrap/>
            <w:vAlign w:val="center"/>
            <w:hideMark/>
          </w:tcPr>
          <w:p w14:paraId="57AF7304"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vAlign w:val="center"/>
          </w:tcPr>
          <w:p w14:paraId="00DC4131"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noWrap/>
            <w:vAlign w:val="center"/>
            <w:hideMark/>
          </w:tcPr>
          <w:p w14:paraId="1CBD9506" w14:textId="77777777" w:rsidR="00F1215C" w:rsidRPr="00DA1615" w:rsidRDefault="00F1215C" w:rsidP="00CA0F29">
            <w:pPr>
              <w:spacing w:before="60" w:after="60"/>
              <w:ind w:firstLine="0"/>
              <w:jc w:val="center"/>
              <w:rPr>
                <w:rFonts w:eastAsia="Times New Roman" w:cs="Times New Roman"/>
                <w:noProof/>
                <w:color w:val="000000"/>
                <w:sz w:val="19"/>
                <w:szCs w:val="19"/>
                <w:highlight w:val="darkGray"/>
                <w:lang w:eastAsia="lv-LV"/>
              </w:rPr>
            </w:pPr>
          </w:p>
        </w:tc>
      </w:tr>
      <w:tr w:rsidR="00F1215C" w:rsidRPr="00DA1615" w14:paraId="50E3E4EA" w14:textId="77777777" w:rsidTr="00DA1615">
        <w:trPr>
          <w:trHeight w:val="583"/>
          <w:jc w:val="center"/>
        </w:trPr>
        <w:tc>
          <w:tcPr>
            <w:tcW w:w="3397" w:type="dxa"/>
            <w:noWrap/>
            <w:vAlign w:val="center"/>
          </w:tcPr>
          <w:p w14:paraId="2742D539" w14:textId="77777777" w:rsidR="00F1215C" w:rsidRPr="00DA1615" w:rsidRDefault="00F1215C" w:rsidP="00CA0F29">
            <w:pPr>
              <w:spacing w:before="60" w:after="60"/>
              <w:ind w:firstLine="0"/>
              <w:jc w:val="left"/>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2025. gada vispārējās valdības budžeta bilance, % IKP</w:t>
            </w:r>
          </w:p>
        </w:tc>
        <w:tc>
          <w:tcPr>
            <w:tcW w:w="1560" w:type="dxa"/>
            <w:noWrap/>
            <w:vAlign w:val="center"/>
            <w:hideMark/>
          </w:tcPr>
          <w:p w14:paraId="49FAB506"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(3)=(2)/(1)*100</w:t>
            </w:r>
          </w:p>
        </w:tc>
        <w:tc>
          <w:tcPr>
            <w:tcW w:w="961" w:type="dxa"/>
            <w:shd w:val="clear" w:color="auto" w:fill="EBE2D1"/>
            <w:noWrap/>
            <w:vAlign w:val="center"/>
          </w:tcPr>
          <w:p w14:paraId="31FF8A0C"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-2,9</w:t>
            </w:r>
          </w:p>
        </w:tc>
        <w:tc>
          <w:tcPr>
            <w:tcW w:w="788" w:type="dxa"/>
            <w:shd w:val="clear" w:color="auto" w:fill="EBE2D1"/>
            <w:noWrap/>
            <w:vAlign w:val="center"/>
            <w:hideMark/>
          </w:tcPr>
          <w:p w14:paraId="335FCEDE"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noWrap/>
            <w:vAlign w:val="center"/>
            <w:hideMark/>
          </w:tcPr>
          <w:p w14:paraId="7D8FF2B0"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vAlign w:val="center"/>
          </w:tcPr>
          <w:p w14:paraId="165E3430"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noWrap/>
            <w:vAlign w:val="center"/>
            <w:hideMark/>
          </w:tcPr>
          <w:p w14:paraId="3704DECB" w14:textId="77777777" w:rsidR="00F1215C" w:rsidRPr="00DA1615" w:rsidRDefault="00F1215C" w:rsidP="00CA0F29">
            <w:pPr>
              <w:spacing w:before="60" w:after="60"/>
              <w:ind w:firstLine="0"/>
              <w:jc w:val="center"/>
              <w:rPr>
                <w:rFonts w:eastAsia="Times New Roman" w:cs="Times New Roman"/>
                <w:noProof/>
                <w:color w:val="000000"/>
                <w:sz w:val="19"/>
                <w:szCs w:val="19"/>
                <w:highlight w:val="darkGray"/>
                <w:lang w:eastAsia="lv-LV"/>
              </w:rPr>
            </w:pPr>
          </w:p>
        </w:tc>
      </w:tr>
      <w:tr w:rsidR="00F1215C" w:rsidRPr="00DA1615" w14:paraId="3BA37120" w14:textId="77777777" w:rsidTr="00DA1615">
        <w:trPr>
          <w:trHeight w:val="391"/>
          <w:jc w:val="center"/>
        </w:trPr>
        <w:tc>
          <w:tcPr>
            <w:tcW w:w="3397" w:type="dxa"/>
            <w:noWrap/>
            <w:vAlign w:val="center"/>
          </w:tcPr>
          <w:p w14:paraId="51D1D6AC" w14:textId="59F74A83" w:rsidR="00F1215C" w:rsidRPr="00DA1615" w:rsidRDefault="00DA1615" w:rsidP="00CA0F29">
            <w:pPr>
              <w:spacing w:before="60" w:after="60"/>
              <w:ind w:firstLine="0"/>
              <w:jc w:val="left"/>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I</w:t>
            </w:r>
            <w:r w:rsidR="00F1215C" w:rsidRPr="00DA1615">
              <w:rPr>
                <w:rFonts w:eastAsia="Times New Roman" w:cs="Times New Roman"/>
                <w:noProof/>
                <w:color w:val="000000"/>
                <w:sz w:val="19"/>
                <w:szCs w:val="19"/>
                <w:lang w:eastAsia="lv-LV"/>
              </w:rPr>
              <w:t>zlaižu starpība, % no potenciālā IKP</w:t>
            </w:r>
          </w:p>
        </w:tc>
        <w:tc>
          <w:tcPr>
            <w:tcW w:w="1560" w:type="dxa"/>
            <w:noWrap/>
            <w:vAlign w:val="center"/>
            <w:hideMark/>
          </w:tcPr>
          <w:p w14:paraId="7A257360"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(4)</w:t>
            </w:r>
          </w:p>
        </w:tc>
        <w:tc>
          <w:tcPr>
            <w:tcW w:w="961" w:type="dxa"/>
            <w:shd w:val="clear" w:color="auto" w:fill="EBE2D1"/>
            <w:noWrap/>
            <w:vAlign w:val="center"/>
          </w:tcPr>
          <w:p w14:paraId="09C8237D"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-1,3</w:t>
            </w:r>
          </w:p>
        </w:tc>
        <w:tc>
          <w:tcPr>
            <w:tcW w:w="788" w:type="dxa"/>
            <w:shd w:val="clear" w:color="auto" w:fill="EBE2D1"/>
            <w:noWrap/>
            <w:vAlign w:val="center"/>
            <w:hideMark/>
          </w:tcPr>
          <w:p w14:paraId="5E061E64"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noWrap/>
            <w:vAlign w:val="center"/>
            <w:hideMark/>
          </w:tcPr>
          <w:p w14:paraId="2BC8D412"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vAlign w:val="center"/>
          </w:tcPr>
          <w:p w14:paraId="527C860A"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noWrap/>
            <w:vAlign w:val="center"/>
            <w:hideMark/>
          </w:tcPr>
          <w:p w14:paraId="0E2EFCC3" w14:textId="77777777" w:rsidR="00F1215C" w:rsidRPr="00DA1615" w:rsidRDefault="00F1215C" w:rsidP="00CA0F29">
            <w:pPr>
              <w:spacing w:before="60" w:after="60"/>
              <w:ind w:firstLine="0"/>
              <w:jc w:val="center"/>
              <w:rPr>
                <w:rFonts w:eastAsia="Times New Roman" w:cs="Times New Roman"/>
                <w:noProof/>
                <w:color w:val="000000"/>
                <w:sz w:val="19"/>
                <w:szCs w:val="19"/>
                <w:highlight w:val="darkGray"/>
                <w:lang w:eastAsia="lv-LV"/>
              </w:rPr>
            </w:pPr>
          </w:p>
        </w:tc>
      </w:tr>
      <w:tr w:rsidR="00F1215C" w:rsidRPr="00DA1615" w14:paraId="60FCEAFA" w14:textId="77777777" w:rsidTr="00DA1615">
        <w:trPr>
          <w:trHeight w:val="396"/>
          <w:jc w:val="center"/>
        </w:trPr>
        <w:tc>
          <w:tcPr>
            <w:tcW w:w="3397" w:type="dxa"/>
            <w:noWrap/>
            <w:vAlign w:val="center"/>
          </w:tcPr>
          <w:p w14:paraId="08379984" w14:textId="33DA2C6B" w:rsidR="00F1215C" w:rsidRPr="00DA1615" w:rsidRDefault="00DA1615" w:rsidP="00CA0F29">
            <w:pPr>
              <w:spacing w:before="60" w:after="60"/>
              <w:ind w:firstLine="0"/>
              <w:jc w:val="left"/>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B</w:t>
            </w:r>
            <w:r w:rsidR="00F1215C" w:rsidRPr="00DA1615">
              <w:rPr>
                <w:rFonts w:eastAsia="Times New Roman" w:cs="Times New Roman"/>
                <w:noProof/>
                <w:color w:val="000000"/>
                <w:sz w:val="19"/>
                <w:szCs w:val="19"/>
                <w:lang w:eastAsia="lv-LV"/>
              </w:rPr>
              <w:t>ilances cikliskā komponente, % no IKP</w:t>
            </w:r>
          </w:p>
        </w:tc>
        <w:tc>
          <w:tcPr>
            <w:tcW w:w="1560" w:type="dxa"/>
            <w:noWrap/>
            <w:vAlign w:val="center"/>
            <w:hideMark/>
          </w:tcPr>
          <w:p w14:paraId="58091BF7"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(5)=0,378*(4)</w:t>
            </w:r>
          </w:p>
        </w:tc>
        <w:tc>
          <w:tcPr>
            <w:tcW w:w="961" w:type="dxa"/>
            <w:shd w:val="clear" w:color="auto" w:fill="EBE2D1"/>
            <w:noWrap/>
            <w:vAlign w:val="center"/>
          </w:tcPr>
          <w:p w14:paraId="7082C9B7"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-0,5</w:t>
            </w:r>
          </w:p>
        </w:tc>
        <w:tc>
          <w:tcPr>
            <w:tcW w:w="788" w:type="dxa"/>
            <w:shd w:val="clear" w:color="auto" w:fill="EBE2D1"/>
            <w:noWrap/>
            <w:vAlign w:val="center"/>
            <w:hideMark/>
          </w:tcPr>
          <w:p w14:paraId="64815C67"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noWrap/>
            <w:vAlign w:val="center"/>
            <w:hideMark/>
          </w:tcPr>
          <w:p w14:paraId="51C2BD0C"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vAlign w:val="center"/>
          </w:tcPr>
          <w:p w14:paraId="36DB6933"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noWrap/>
            <w:vAlign w:val="center"/>
            <w:hideMark/>
          </w:tcPr>
          <w:p w14:paraId="1A5F9C53" w14:textId="77777777" w:rsidR="00F1215C" w:rsidRPr="00DA1615" w:rsidRDefault="00F1215C" w:rsidP="00CA0F29">
            <w:pPr>
              <w:spacing w:before="60" w:after="60"/>
              <w:ind w:firstLine="0"/>
              <w:jc w:val="center"/>
              <w:rPr>
                <w:rFonts w:eastAsia="Times New Roman" w:cs="Times New Roman"/>
                <w:noProof/>
                <w:color w:val="000000"/>
                <w:sz w:val="19"/>
                <w:szCs w:val="19"/>
                <w:highlight w:val="darkGray"/>
                <w:lang w:eastAsia="lv-LV"/>
              </w:rPr>
            </w:pPr>
          </w:p>
        </w:tc>
      </w:tr>
      <w:tr w:rsidR="00F1215C" w:rsidRPr="00DA1615" w14:paraId="42E4D7D0" w14:textId="77777777" w:rsidTr="00DA1615">
        <w:trPr>
          <w:trHeight w:val="20"/>
          <w:jc w:val="center"/>
        </w:trPr>
        <w:tc>
          <w:tcPr>
            <w:tcW w:w="3397" w:type="dxa"/>
            <w:noWrap/>
            <w:vAlign w:val="center"/>
          </w:tcPr>
          <w:p w14:paraId="61CF55F4" w14:textId="42C62E40" w:rsidR="00F1215C" w:rsidRPr="00DA1615" w:rsidRDefault="00581B2D" w:rsidP="00CA0F29">
            <w:pPr>
              <w:spacing w:before="60" w:after="60"/>
              <w:ind w:firstLine="0"/>
              <w:jc w:val="left"/>
              <w:rPr>
                <w:rFonts w:eastAsia="Times New Roman" w:cs="Times New Roman"/>
                <w:noProof/>
                <w:color w:val="000000"/>
                <w:sz w:val="19"/>
                <w:szCs w:val="19"/>
                <w:lang w:eastAsia="lv-LV"/>
              </w:rPr>
            </w:pPr>
            <w:bookmarkStart w:id="15" w:name="_Hlk173746415"/>
            <w:r>
              <w:rPr>
                <w:rFonts w:eastAsia="Times New Roman" w:cs="Times New Roman"/>
                <w:noProof/>
                <w:color w:val="000000"/>
                <w:sz w:val="19"/>
                <w:szCs w:val="19"/>
                <w:lang w:eastAsia="lv-LV"/>
              </w:rPr>
              <w:t>Vienreizējie</w:t>
            </w:r>
            <w:r w:rsidR="00F1215C" w:rsidRPr="00DA1615">
              <w:rPr>
                <w:rFonts w:eastAsia="Times New Roman" w:cs="Times New Roman"/>
                <w:noProof/>
                <w:color w:val="000000"/>
                <w:sz w:val="19"/>
                <w:szCs w:val="19"/>
                <w:lang w:eastAsia="lv-LV"/>
              </w:rPr>
              <w:t xml:space="preserve"> pasākumi</w:t>
            </w:r>
            <w:bookmarkEnd w:id="15"/>
            <w:r w:rsidR="00F1215C" w:rsidRPr="00DA1615">
              <w:rPr>
                <w:rFonts w:eastAsia="Times New Roman" w:cs="Times New Roman"/>
                <w:noProof/>
                <w:color w:val="000000"/>
                <w:sz w:val="19"/>
                <w:szCs w:val="19"/>
                <w:lang w:eastAsia="lv-LV"/>
              </w:rPr>
              <w:t>, % no IKP,</w:t>
            </w:r>
            <w:r w:rsidR="002D2CD4">
              <w:rPr>
                <w:rFonts w:eastAsia="Times New Roman" w:cs="Times New Roman"/>
                <w:noProof/>
                <w:color w:val="000000"/>
                <w:sz w:val="19"/>
                <w:szCs w:val="19"/>
                <w:lang w:eastAsia="lv-LV"/>
              </w:rPr>
              <w:br/>
            </w:r>
            <w:r w:rsidR="00F1215C" w:rsidRPr="00DA1615">
              <w:rPr>
                <w:rFonts w:eastAsia="Times New Roman" w:cs="Times New Roman"/>
                <w:noProof/>
                <w:color w:val="000000"/>
                <w:sz w:val="19"/>
                <w:szCs w:val="19"/>
                <w:lang w:eastAsia="lv-LV"/>
              </w:rPr>
              <w:t>tai skaitā</w:t>
            </w:r>
          </w:p>
        </w:tc>
        <w:tc>
          <w:tcPr>
            <w:tcW w:w="1560" w:type="dxa"/>
            <w:noWrap/>
            <w:vAlign w:val="center"/>
            <w:hideMark/>
          </w:tcPr>
          <w:p w14:paraId="6A216960"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(6)=(7)+(8)+(9)</w:t>
            </w:r>
          </w:p>
          <w:p w14:paraId="1ED46BC2"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+(10)+(11)</w:t>
            </w:r>
          </w:p>
        </w:tc>
        <w:tc>
          <w:tcPr>
            <w:tcW w:w="961" w:type="dxa"/>
            <w:shd w:val="clear" w:color="auto" w:fill="EBE2D1"/>
            <w:noWrap/>
            <w:vAlign w:val="center"/>
          </w:tcPr>
          <w:p w14:paraId="5636A9D2"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-1,8</w:t>
            </w:r>
          </w:p>
        </w:tc>
        <w:tc>
          <w:tcPr>
            <w:tcW w:w="788" w:type="dxa"/>
            <w:shd w:val="clear" w:color="auto" w:fill="EBE2D1"/>
            <w:noWrap/>
            <w:vAlign w:val="center"/>
            <w:hideMark/>
          </w:tcPr>
          <w:p w14:paraId="0A1DCDE9"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noWrap/>
            <w:vAlign w:val="center"/>
            <w:hideMark/>
          </w:tcPr>
          <w:p w14:paraId="34711759"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vAlign w:val="center"/>
          </w:tcPr>
          <w:p w14:paraId="7199718B"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noWrap/>
            <w:vAlign w:val="center"/>
            <w:hideMark/>
          </w:tcPr>
          <w:p w14:paraId="26A5D4E3" w14:textId="77777777" w:rsidR="00F1215C" w:rsidRPr="00DA1615" w:rsidRDefault="00F1215C" w:rsidP="00CA0F29">
            <w:pPr>
              <w:spacing w:before="60" w:after="60"/>
              <w:ind w:firstLine="0"/>
              <w:jc w:val="center"/>
              <w:rPr>
                <w:rFonts w:eastAsia="Times New Roman" w:cs="Times New Roman"/>
                <w:noProof/>
                <w:color w:val="000000"/>
                <w:sz w:val="19"/>
                <w:szCs w:val="19"/>
                <w:highlight w:val="darkGray"/>
                <w:lang w:eastAsia="lv-LV"/>
              </w:rPr>
            </w:pPr>
          </w:p>
        </w:tc>
      </w:tr>
      <w:tr w:rsidR="00F1215C" w:rsidRPr="00DA1615" w14:paraId="47CC0F90" w14:textId="77777777" w:rsidTr="00DA1615">
        <w:trPr>
          <w:trHeight w:val="20"/>
          <w:jc w:val="center"/>
        </w:trPr>
        <w:tc>
          <w:tcPr>
            <w:tcW w:w="3397" w:type="dxa"/>
            <w:noWrap/>
            <w:vAlign w:val="center"/>
          </w:tcPr>
          <w:p w14:paraId="60382E1D" w14:textId="77777777" w:rsidR="00F1215C" w:rsidRPr="00DA1615" w:rsidRDefault="00F1215C" w:rsidP="00CA0F29">
            <w:pPr>
              <w:spacing w:before="60" w:after="60"/>
              <w:ind w:left="167" w:firstLine="0"/>
              <w:jc w:val="left"/>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COVID -19 pandēmijas mazināšanas pasākumi</w:t>
            </w:r>
          </w:p>
        </w:tc>
        <w:tc>
          <w:tcPr>
            <w:tcW w:w="1560" w:type="dxa"/>
            <w:noWrap/>
            <w:vAlign w:val="center"/>
            <w:hideMark/>
          </w:tcPr>
          <w:p w14:paraId="664DE96C"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(7)</w:t>
            </w:r>
          </w:p>
        </w:tc>
        <w:tc>
          <w:tcPr>
            <w:tcW w:w="961" w:type="dxa"/>
            <w:shd w:val="clear" w:color="auto" w:fill="EBE2D1"/>
            <w:noWrap/>
            <w:vAlign w:val="center"/>
          </w:tcPr>
          <w:p w14:paraId="5600BABC"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0,0</w:t>
            </w:r>
          </w:p>
        </w:tc>
        <w:tc>
          <w:tcPr>
            <w:tcW w:w="788" w:type="dxa"/>
            <w:shd w:val="clear" w:color="auto" w:fill="EBE2D1"/>
            <w:noWrap/>
            <w:vAlign w:val="center"/>
            <w:hideMark/>
          </w:tcPr>
          <w:p w14:paraId="7508AAB7"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noWrap/>
            <w:vAlign w:val="center"/>
            <w:hideMark/>
          </w:tcPr>
          <w:p w14:paraId="688A2850"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vAlign w:val="center"/>
          </w:tcPr>
          <w:p w14:paraId="17396C64"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noWrap/>
            <w:vAlign w:val="center"/>
            <w:hideMark/>
          </w:tcPr>
          <w:p w14:paraId="10FFFE50" w14:textId="77777777" w:rsidR="00F1215C" w:rsidRPr="00DA1615" w:rsidRDefault="00F1215C" w:rsidP="00CA0F29">
            <w:pPr>
              <w:spacing w:before="60" w:after="60"/>
              <w:ind w:firstLine="0"/>
              <w:jc w:val="center"/>
              <w:rPr>
                <w:rFonts w:eastAsia="Times New Roman" w:cs="Times New Roman"/>
                <w:noProof/>
                <w:color w:val="000000"/>
                <w:sz w:val="19"/>
                <w:szCs w:val="19"/>
                <w:highlight w:val="darkGray"/>
                <w:lang w:eastAsia="lv-LV"/>
              </w:rPr>
            </w:pPr>
          </w:p>
        </w:tc>
      </w:tr>
      <w:tr w:rsidR="00F1215C" w:rsidRPr="00DA1615" w14:paraId="192FBE7D" w14:textId="77777777" w:rsidTr="00DA1615">
        <w:trPr>
          <w:trHeight w:val="20"/>
          <w:jc w:val="center"/>
        </w:trPr>
        <w:tc>
          <w:tcPr>
            <w:tcW w:w="3397" w:type="dxa"/>
            <w:noWrap/>
            <w:vAlign w:val="center"/>
          </w:tcPr>
          <w:p w14:paraId="7A7DF29B" w14:textId="29F831A7" w:rsidR="00F1215C" w:rsidRPr="00DA1615" w:rsidRDefault="00DA1615" w:rsidP="00CA0F29">
            <w:pPr>
              <w:spacing w:before="60" w:after="60"/>
              <w:ind w:left="167" w:firstLine="0"/>
              <w:jc w:val="left"/>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E</w:t>
            </w:r>
            <w:r w:rsidR="00F1215C" w:rsidRPr="00DA1615">
              <w:rPr>
                <w:rFonts w:eastAsia="Times New Roman" w:cs="Times New Roman"/>
                <w:noProof/>
                <w:color w:val="000000"/>
                <w:sz w:val="19"/>
                <w:szCs w:val="19"/>
                <w:lang w:eastAsia="lv-LV"/>
              </w:rPr>
              <w:t>nerģijas cenas pieauguma mazināšanas pasākumi</w:t>
            </w:r>
          </w:p>
        </w:tc>
        <w:tc>
          <w:tcPr>
            <w:tcW w:w="1560" w:type="dxa"/>
            <w:noWrap/>
            <w:vAlign w:val="center"/>
            <w:hideMark/>
          </w:tcPr>
          <w:p w14:paraId="4CD128B5"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(8)</w:t>
            </w:r>
          </w:p>
        </w:tc>
        <w:tc>
          <w:tcPr>
            <w:tcW w:w="961" w:type="dxa"/>
            <w:shd w:val="clear" w:color="auto" w:fill="EBE2D1"/>
            <w:noWrap/>
            <w:vAlign w:val="center"/>
          </w:tcPr>
          <w:p w14:paraId="0F138019"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8" w:type="dxa"/>
            <w:shd w:val="clear" w:color="auto" w:fill="EBE2D1"/>
            <w:noWrap/>
            <w:vAlign w:val="center"/>
            <w:hideMark/>
          </w:tcPr>
          <w:p w14:paraId="7A25F879"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noWrap/>
            <w:vAlign w:val="center"/>
            <w:hideMark/>
          </w:tcPr>
          <w:p w14:paraId="1DBA3F68"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vAlign w:val="center"/>
          </w:tcPr>
          <w:p w14:paraId="0D1F3F98"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noWrap/>
            <w:vAlign w:val="center"/>
            <w:hideMark/>
          </w:tcPr>
          <w:p w14:paraId="02D75049" w14:textId="77777777" w:rsidR="00F1215C" w:rsidRPr="00DA1615" w:rsidRDefault="00F1215C" w:rsidP="00CA0F29">
            <w:pPr>
              <w:spacing w:before="60" w:after="60"/>
              <w:ind w:firstLine="0"/>
              <w:jc w:val="center"/>
              <w:rPr>
                <w:rFonts w:eastAsia="Times New Roman" w:cs="Times New Roman"/>
                <w:noProof/>
                <w:color w:val="000000"/>
                <w:sz w:val="19"/>
                <w:szCs w:val="19"/>
                <w:highlight w:val="darkGray"/>
                <w:lang w:eastAsia="lv-LV"/>
              </w:rPr>
            </w:pPr>
          </w:p>
        </w:tc>
      </w:tr>
      <w:tr w:rsidR="00F1215C" w:rsidRPr="00DA1615" w14:paraId="66413AE8" w14:textId="77777777" w:rsidTr="00DA1615">
        <w:trPr>
          <w:trHeight w:val="20"/>
          <w:jc w:val="center"/>
        </w:trPr>
        <w:tc>
          <w:tcPr>
            <w:tcW w:w="3397" w:type="dxa"/>
            <w:noWrap/>
            <w:vAlign w:val="center"/>
          </w:tcPr>
          <w:p w14:paraId="57AB7D34" w14:textId="55E92900" w:rsidR="00F1215C" w:rsidRPr="00DA1615" w:rsidRDefault="00DA1615" w:rsidP="00CA0F29">
            <w:pPr>
              <w:spacing w:before="60" w:after="60"/>
              <w:ind w:left="167" w:firstLine="0"/>
              <w:jc w:val="left"/>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A</w:t>
            </w:r>
            <w:r w:rsidR="00F1215C" w:rsidRPr="00DA1615">
              <w:rPr>
                <w:rFonts w:eastAsia="Times New Roman" w:cs="Times New Roman"/>
                <w:noProof/>
                <w:color w:val="000000"/>
                <w:sz w:val="19"/>
                <w:szCs w:val="19"/>
                <w:lang w:eastAsia="lv-LV"/>
              </w:rPr>
              <w:t>izsardzības un iekšējās drošības finansējums</w:t>
            </w:r>
          </w:p>
        </w:tc>
        <w:tc>
          <w:tcPr>
            <w:tcW w:w="1560" w:type="dxa"/>
            <w:noWrap/>
            <w:vAlign w:val="center"/>
          </w:tcPr>
          <w:p w14:paraId="68EF22C8"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(9)</w:t>
            </w:r>
          </w:p>
        </w:tc>
        <w:tc>
          <w:tcPr>
            <w:tcW w:w="961" w:type="dxa"/>
            <w:shd w:val="clear" w:color="auto" w:fill="EBE2D1"/>
            <w:noWrap/>
            <w:vAlign w:val="center"/>
          </w:tcPr>
          <w:p w14:paraId="39164C44"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-1,1</w:t>
            </w:r>
          </w:p>
        </w:tc>
        <w:tc>
          <w:tcPr>
            <w:tcW w:w="788" w:type="dxa"/>
            <w:shd w:val="clear" w:color="auto" w:fill="EBE2D1"/>
            <w:noWrap/>
            <w:vAlign w:val="center"/>
          </w:tcPr>
          <w:p w14:paraId="27789EFA"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noWrap/>
            <w:vAlign w:val="center"/>
          </w:tcPr>
          <w:p w14:paraId="5977A13B"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vAlign w:val="center"/>
          </w:tcPr>
          <w:p w14:paraId="5D71280D"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noWrap/>
            <w:vAlign w:val="center"/>
          </w:tcPr>
          <w:p w14:paraId="591A6FD6" w14:textId="77777777" w:rsidR="00F1215C" w:rsidRPr="00DA1615" w:rsidRDefault="00F1215C" w:rsidP="00CA0F29">
            <w:pPr>
              <w:spacing w:before="60" w:after="60"/>
              <w:ind w:firstLine="0"/>
              <w:jc w:val="center"/>
              <w:rPr>
                <w:rFonts w:eastAsia="Times New Roman" w:cs="Times New Roman"/>
                <w:noProof/>
                <w:color w:val="000000"/>
                <w:sz w:val="19"/>
                <w:szCs w:val="19"/>
                <w:highlight w:val="darkGray"/>
                <w:lang w:eastAsia="lv-LV"/>
              </w:rPr>
            </w:pPr>
          </w:p>
        </w:tc>
      </w:tr>
      <w:tr w:rsidR="00F1215C" w:rsidRPr="00DA1615" w14:paraId="6CE5DC09" w14:textId="77777777" w:rsidTr="00DA1615">
        <w:trPr>
          <w:trHeight w:val="20"/>
          <w:jc w:val="center"/>
        </w:trPr>
        <w:tc>
          <w:tcPr>
            <w:tcW w:w="3397" w:type="dxa"/>
            <w:noWrap/>
            <w:vAlign w:val="center"/>
          </w:tcPr>
          <w:p w14:paraId="6F7DD223" w14:textId="08A5AA47" w:rsidR="00F1215C" w:rsidRPr="00DA1615" w:rsidRDefault="00DA1615" w:rsidP="00CA0F29">
            <w:pPr>
              <w:spacing w:before="60" w:after="60"/>
              <w:ind w:left="167" w:firstLine="0"/>
              <w:jc w:val="left"/>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A</w:t>
            </w:r>
            <w:r w:rsidR="00F1215C" w:rsidRPr="00DA1615">
              <w:rPr>
                <w:rFonts w:eastAsia="Times New Roman" w:cs="Times New Roman"/>
                <w:noProof/>
                <w:color w:val="000000"/>
                <w:sz w:val="19"/>
                <w:szCs w:val="19"/>
                <w:lang w:eastAsia="lv-LV"/>
              </w:rPr>
              <w:t>tbalsts bēgļiem no Ukrainas</w:t>
            </w:r>
          </w:p>
        </w:tc>
        <w:tc>
          <w:tcPr>
            <w:tcW w:w="1560" w:type="dxa"/>
            <w:noWrap/>
            <w:vAlign w:val="center"/>
          </w:tcPr>
          <w:p w14:paraId="48F36C38"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(10)</w:t>
            </w:r>
          </w:p>
        </w:tc>
        <w:tc>
          <w:tcPr>
            <w:tcW w:w="961" w:type="dxa"/>
            <w:shd w:val="clear" w:color="auto" w:fill="EBE2D1"/>
            <w:noWrap/>
            <w:vAlign w:val="center"/>
          </w:tcPr>
          <w:p w14:paraId="3D8B8293"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8" w:type="dxa"/>
            <w:shd w:val="clear" w:color="auto" w:fill="EBE2D1"/>
            <w:noWrap/>
            <w:vAlign w:val="center"/>
          </w:tcPr>
          <w:p w14:paraId="2C1D2043"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noWrap/>
            <w:vAlign w:val="center"/>
          </w:tcPr>
          <w:p w14:paraId="746B8287"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vAlign w:val="center"/>
          </w:tcPr>
          <w:p w14:paraId="5B7B6D3A"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noWrap/>
            <w:vAlign w:val="center"/>
          </w:tcPr>
          <w:p w14:paraId="291A3166" w14:textId="77777777" w:rsidR="00F1215C" w:rsidRPr="00DA1615" w:rsidRDefault="00F1215C" w:rsidP="00CA0F29">
            <w:pPr>
              <w:spacing w:before="60" w:after="60"/>
              <w:ind w:firstLine="0"/>
              <w:jc w:val="center"/>
              <w:rPr>
                <w:rFonts w:eastAsia="Times New Roman" w:cs="Times New Roman"/>
                <w:noProof/>
                <w:color w:val="000000"/>
                <w:sz w:val="19"/>
                <w:szCs w:val="19"/>
                <w:highlight w:val="darkGray"/>
                <w:lang w:eastAsia="lv-LV"/>
              </w:rPr>
            </w:pPr>
          </w:p>
        </w:tc>
      </w:tr>
      <w:tr w:rsidR="00F1215C" w:rsidRPr="00DA1615" w14:paraId="5197BB2C" w14:textId="77777777" w:rsidTr="00DA1615">
        <w:trPr>
          <w:trHeight w:val="20"/>
          <w:jc w:val="center"/>
        </w:trPr>
        <w:tc>
          <w:tcPr>
            <w:tcW w:w="3397" w:type="dxa"/>
            <w:noWrap/>
            <w:vAlign w:val="center"/>
          </w:tcPr>
          <w:p w14:paraId="49373822" w14:textId="571EC89A" w:rsidR="00F1215C" w:rsidRPr="00DA1615" w:rsidRDefault="00DA1615" w:rsidP="00CA0F29">
            <w:pPr>
              <w:spacing w:before="60" w:after="60"/>
              <w:ind w:left="167" w:firstLine="0"/>
              <w:jc w:val="left"/>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C</w:t>
            </w:r>
            <w:r w:rsidR="00F1215C" w:rsidRPr="00DA1615">
              <w:rPr>
                <w:rFonts w:eastAsia="Times New Roman" w:cs="Times New Roman"/>
                <w:noProof/>
                <w:color w:val="000000"/>
                <w:sz w:val="19"/>
                <w:szCs w:val="19"/>
                <w:lang w:eastAsia="lv-LV"/>
              </w:rPr>
              <w:t>iti/vienreizējie izdevumi valsts aizsardzībai un iekšējai drošībai</w:t>
            </w:r>
          </w:p>
        </w:tc>
        <w:tc>
          <w:tcPr>
            <w:tcW w:w="1560" w:type="dxa"/>
            <w:noWrap/>
            <w:vAlign w:val="center"/>
          </w:tcPr>
          <w:p w14:paraId="66715BB9"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(11)</w:t>
            </w:r>
          </w:p>
        </w:tc>
        <w:tc>
          <w:tcPr>
            <w:tcW w:w="961" w:type="dxa"/>
            <w:shd w:val="clear" w:color="auto" w:fill="EBE2D1"/>
            <w:noWrap/>
            <w:vAlign w:val="center"/>
          </w:tcPr>
          <w:p w14:paraId="25D8AD36"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-0,8</w:t>
            </w:r>
          </w:p>
        </w:tc>
        <w:tc>
          <w:tcPr>
            <w:tcW w:w="788" w:type="dxa"/>
            <w:shd w:val="clear" w:color="auto" w:fill="EBE2D1"/>
            <w:noWrap/>
            <w:vAlign w:val="center"/>
          </w:tcPr>
          <w:p w14:paraId="0479C4C4"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noWrap/>
            <w:vAlign w:val="center"/>
          </w:tcPr>
          <w:p w14:paraId="4E7E4601"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vAlign w:val="center"/>
          </w:tcPr>
          <w:p w14:paraId="5D50740C"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9" w:type="dxa"/>
            <w:shd w:val="clear" w:color="auto" w:fill="EBE2D1"/>
            <w:noWrap/>
            <w:vAlign w:val="center"/>
          </w:tcPr>
          <w:p w14:paraId="7280C879" w14:textId="77777777" w:rsidR="00F1215C" w:rsidRPr="00DA1615" w:rsidRDefault="00F1215C" w:rsidP="00CA0F29">
            <w:pPr>
              <w:spacing w:before="60" w:after="60"/>
              <w:ind w:firstLine="0"/>
              <w:jc w:val="center"/>
              <w:rPr>
                <w:rFonts w:eastAsia="Times New Roman" w:cs="Times New Roman"/>
                <w:noProof/>
                <w:color w:val="000000"/>
                <w:sz w:val="19"/>
                <w:szCs w:val="19"/>
                <w:highlight w:val="darkGray"/>
                <w:lang w:eastAsia="lv-LV"/>
              </w:rPr>
            </w:pPr>
          </w:p>
        </w:tc>
      </w:tr>
      <w:tr w:rsidR="00F1215C" w:rsidRPr="00DA1615" w14:paraId="71D2CC51" w14:textId="77777777" w:rsidTr="00DA1615">
        <w:trPr>
          <w:trHeight w:val="20"/>
          <w:jc w:val="center"/>
        </w:trPr>
        <w:tc>
          <w:tcPr>
            <w:tcW w:w="3397" w:type="dxa"/>
            <w:noWrap/>
            <w:vAlign w:val="center"/>
          </w:tcPr>
          <w:p w14:paraId="70D9B1CD" w14:textId="4AC9280B" w:rsidR="00F1215C" w:rsidRPr="00DA1615" w:rsidRDefault="00F1215C" w:rsidP="00CA0F29">
            <w:pPr>
              <w:spacing w:before="60" w:after="60"/>
              <w:ind w:firstLine="0"/>
              <w:jc w:val="left"/>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Valsts iznēmuma klauzulas fiskālā ietekme,</w:t>
            </w:r>
            <w:r w:rsidR="00DA1615" w:rsidRPr="00DA1615">
              <w:rPr>
                <w:rFonts w:eastAsia="Times New Roman" w:cs="Times New Roman"/>
                <w:noProof/>
                <w:color w:val="000000"/>
                <w:sz w:val="19"/>
                <w:szCs w:val="19"/>
                <w:lang w:eastAsia="lv-LV"/>
              </w:rPr>
              <w:t xml:space="preserve"> </w:t>
            </w:r>
            <w:r w:rsidRPr="00DA1615">
              <w:rPr>
                <w:rFonts w:eastAsia="Times New Roman" w:cs="Times New Roman"/>
                <w:noProof/>
                <w:color w:val="000000"/>
                <w:sz w:val="19"/>
                <w:szCs w:val="19"/>
                <w:lang w:eastAsia="lv-LV"/>
              </w:rPr>
              <w:t>% no IKP</w:t>
            </w:r>
          </w:p>
        </w:tc>
        <w:tc>
          <w:tcPr>
            <w:tcW w:w="1560" w:type="dxa"/>
            <w:noWrap/>
            <w:vAlign w:val="center"/>
          </w:tcPr>
          <w:p w14:paraId="6A86F7BC"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(12)</w:t>
            </w:r>
          </w:p>
        </w:tc>
        <w:tc>
          <w:tcPr>
            <w:tcW w:w="961" w:type="dxa"/>
            <w:shd w:val="clear" w:color="auto" w:fill="EBE2D1"/>
            <w:noWrap/>
            <w:vAlign w:val="center"/>
          </w:tcPr>
          <w:p w14:paraId="56DAE7A6"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p>
        </w:tc>
        <w:tc>
          <w:tcPr>
            <w:tcW w:w="788" w:type="dxa"/>
            <w:shd w:val="clear" w:color="auto" w:fill="EBE2D1"/>
            <w:noWrap/>
            <w:vAlign w:val="center"/>
          </w:tcPr>
          <w:p w14:paraId="26F5AAEA"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0,245</w:t>
            </w:r>
          </w:p>
        </w:tc>
        <w:tc>
          <w:tcPr>
            <w:tcW w:w="789" w:type="dxa"/>
            <w:shd w:val="clear" w:color="auto" w:fill="EBE2D1"/>
            <w:noWrap/>
            <w:vAlign w:val="center"/>
          </w:tcPr>
          <w:p w14:paraId="39AAA428"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0,971</w:t>
            </w:r>
          </w:p>
        </w:tc>
        <w:tc>
          <w:tcPr>
            <w:tcW w:w="789" w:type="dxa"/>
            <w:shd w:val="clear" w:color="auto" w:fill="EBE2D1"/>
            <w:vAlign w:val="center"/>
          </w:tcPr>
          <w:p w14:paraId="62686181"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0,8667</w:t>
            </w:r>
          </w:p>
        </w:tc>
        <w:tc>
          <w:tcPr>
            <w:tcW w:w="789" w:type="dxa"/>
            <w:shd w:val="clear" w:color="auto" w:fill="EBE2D1"/>
            <w:noWrap/>
            <w:vAlign w:val="center"/>
          </w:tcPr>
          <w:p w14:paraId="59717CEF" w14:textId="77777777" w:rsidR="00F1215C" w:rsidRPr="00DA1615" w:rsidRDefault="00F1215C" w:rsidP="00CA0F29">
            <w:pPr>
              <w:spacing w:before="60" w:after="60"/>
              <w:ind w:firstLine="0"/>
              <w:jc w:val="center"/>
              <w:rPr>
                <w:rFonts w:eastAsia="Times New Roman" w:cs="Times New Roman"/>
                <w:noProof/>
                <w:color w:val="000000"/>
                <w:sz w:val="19"/>
                <w:szCs w:val="19"/>
                <w:lang w:eastAsia="lv-LV"/>
              </w:rPr>
            </w:pPr>
            <w:r w:rsidRPr="00DA1615">
              <w:rPr>
                <w:rFonts w:eastAsia="Times New Roman" w:cs="Times New Roman"/>
                <w:noProof/>
                <w:color w:val="000000"/>
                <w:sz w:val="19"/>
                <w:szCs w:val="19"/>
                <w:lang w:eastAsia="lv-LV"/>
              </w:rPr>
              <w:t>1,429</w:t>
            </w:r>
          </w:p>
        </w:tc>
      </w:tr>
      <w:tr w:rsidR="00F1215C" w:rsidRPr="00DA1615" w14:paraId="64099144" w14:textId="77777777" w:rsidTr="00DA1615">
        <w:trPr>
          <w:trHeight w:val="20"/>
          <w:jc w:val="center"/>
        </w:trPr>
        <w:tc>
          <w:tcPr>
            <w:tcW w:w="3397" w:type="dxa"/>
            <w:shd w:val="clear" w:color="auto" w:fill="EBE2D1"/>
            <w:noWrap/>
            <w:vAlign w:val="center"/>
            <w:hideMark/>
          </w:tcPr>
          <w:p w14:paraId="3EF5240E" w14:textId="71746FFF" w:rsidR="00F1215C" w:rsidRPr="00DA1615" w:rsidRDefault="00F1215C" w:rsidP="00CA0F29">
            <w:pPr>
              <w:spacing w:before="60" w:after="60"/>
              <w:ind w:firstLine="0"/>
              <w:jc w:val="left"/>
              <w:rPr>
                <w:rFonts w:eastAsia="Times New Roman" w:cs="Times New Roman"/>
                <w:b/>
                <w:bCs/>
                <w:noProof/>
                <w:color w:val="000000"/>
                <w:sz w:val="19"/>
                <w:szCs w:val="19"/>
                <w:lang w:eastAsia="lv-LV"/>
              </w:rPr>
            </w:pPr>
            <w:r w:rsidRPr="00DA1615">
              <w:rPr>
                <w:rFonts w:eastAsia="Times New Roman" w:cs="Times New Roman"/>
                <w:b/>
                <w:bCs/>
                <w:noProof/>
                <w:color w:val="000000"/>
                <w:sz w:val="19"/>
                <w:szCs w:val="19"/>
                <w:lang w:eastAsia="lv-LV"/>
              </w:rPr>
              <w:t>Vispārējās valdības strukturālās bilances prognoze un mērķi, % no IKP</w:t>
            </w:r>
          </w:p>
        </w:tc>
        <w:tc>
          <w:tcPr>
            <w:tcW w:w="1560" w:type="dxa"/>
            <w:shd w:val="clear" w:color="auto" w:fill="EBE2D1"/>
            <w:noWrap/>
            <w:vAlign w:val="center"/>
            <w:hideMark/>
          </w:tcPr>
          <w:p w14:paraId="5D7504D3" w14:textId="77777777" w:rsidR="00F1215C" w:rsidRPr="00DA1615" w:rsidRDefault="00F1215C" w:rsidP="00CA0F29">
            <w:pPr>
              <w:spacing w:before="60" w:after="60"/>
              <w:ind w:firstLine="0"/>
              <w:jc w:val="center"/>
              <w:rPr>
                <w:rFonts w:eastAsia="Times New Roman" w:cs="Times New Roman"/>
                <w:b/>
                <w:bCs/>
                <w:noProof/>
                <w:color w:val="000000"/>
                <w:sz w:val="19"/>
                <w:szCs w:val="19"/>
                <w:lang w:eastAsia="lv-LV"/>
              </w:rPr>
            </w:pPr>
            <w:r w:rsidRPr="00DA1615">
              <w:rPr>
                <w:rFonts w:eastAsia="Times New Roman" w:cs="Times New Roman"/>
                <w:b/>
                <w:bCs/>
                <w:noProof/>
                <w:color w:val="000000"/>
                <w:sz w:val="19"/>
                <w:szCs w:val="19"/>
                <w:lang w:eastAsia="lv-LV"/>
              </w:rPr>
              <w:t>(13)=(3)-(5)-(6)-(12)</w:t>
            </w:r>
          </w:p>
        </w:tc>
        <w:tc>
          <w:tcPr>
            <w:tcW w:w="961" w:type="dxa"/>
            <w:shd w:val="clear" w:color="auto" w:fill="EBE2D1"/>
            <w:noWrap/>
            <w:vAlign w:val="center"/>
          </w:tcPr>
          <w:p w14:paraId="6D470763" w14:textId="77777777" w:rsidR="00F1215C" w:rsidRPr="00DA1615" w:rsidRDefault="00F1215C" w:rsidP="00CA0F29">
            <w:pPr>
              <w:spacing w:before="60" w:after="60"/>
              <w:ind w:firstLine="0"/>
              <w:jc w:val="center"/>
              <w:rPr>
                <w:rFonts w:eastAsia="Times New Roman" w:cs="Times New Roman"/>
                <w:b/>
                <w:bCs/>
                <w:noProof/>
                <w:color w:val="000000"/>
                <w:sz w:val="19"/>
                <w:szCs w:val="19"/>
                <w:lang w:eastAsia="lv-LV"/>
              </w:rPr>
            </w:pPr>
            <w:r w:rsidRPr="00DA1615">
              <w:rPr>
                <w:rFonts w:eastAsia="Times New Roman" w:cs="Times New Roman"/>
                <w:b/>
                <w:bCs/>
                <w:noProof/>
                <w:color w:val="000000"/>
                <w:sz w:val="19"/>
                <w:szCs w:val="19"/>
                <w:lang w:eastAsia="lv-LV"/>
              </w:rPr>
              <w:t>-0,6</w:t>
            </w:r>
          </w:p>
        </w:tc>
        <w:tc>
          <w:tcPr>
            <w:tcW w:w="788" w:type="dxa"/>
            <w:shd w:val="clear" w:color="auto" w:fill="EBE2D1"/>
            <w:noWrap/>
            <w:vAlign w:val="center"/>
          </w:tcPr>
          <w:p w14:paraId="58F36104" w14:textId="77777777" w:rsidR="00F1215C" w:rsidRPr="00DA1615" w:rsidRDefault="00F1215C" w:rsidP="00CA0F29">
            <w:pPr>
              <w:spacing w:before="60" w:after="60"/>
              <w:ind w:firstLine="0"/>
              <w:jc w:val="center"/>
              <w:rPr>
                <w:rFonts w:eastAsia="Times New Roman" w:cs="Times New Roman"/>
                <w:b/>
                <w:bCs/>
                <w:noProof/>
                <w:color w:val="000000"/>
                <w:sz w:val="19"/>
                <w:szCs w:val="19"/>
                <w:lang w:eastAsia="lv-LV"/>
              </w:rPr>
            </w:pPr>
            <w:r w:rsidRPr="00DA1615">
              <w:rPr>
                <w:rFonts w:eastAsia="Times New Roman" w:cs="Times New Roman"/>
                <w:b/>
                <w:bCs/>
                <w:noProof/>
                <w:color w:val="000000"/>
                <w:sz w:val="19"/>
                <w:szCs w:val="19"/>
                <w:lang w:eastAsia="lv-LV"/>
              </w:rPr>
              <w:t>-1,245</w:t>
            </w:r>
          </w:p>
        </w:tc>
        <w:tc>
          <w:tcPr>
            <w:tcW w:w="789" w:type="dxa"/>
            <w:shd w:val="clear" w:color="auto" w:fill="EBE2D1"/>
            <w:noWrap/>
            <w:vAlign w:val="center"/>
          </w:tcPr>
          <w:p w14:paraId="0BDDC0A1" w14:textId="77777777" w:rsidR="00F1215C" w:rsidRPr="00DA1615" w:rsidRDefault="00F1215C" w:rsidP="00CA0F29">
            <w:pPr>
              <w:spacing w:before="60" w:after="60"/>
              <w:ind w:firstLine="0"/>
              <w:jc w:val="center"/>
              <w:rPr>
                <w:rFonts w:eastAsia="Times New Roman" w:cs="Times New Roman"/>
                <w:b/>
                <w:bCs/>
                <w:noProof/>
                <w:color w:val="000000"/>
                <w:sz w:val="19"/>
                <w:szCs w:val="19"/>
                <w:lang w:eastAsia="lv-LV"/>
              </w:rPr>
            </w:pPr>
            <w:r w:rsidRPr="00DA1615">
              <w:rPr>
                <w:rFonts w:eastAsia="Times New Roman" w:cs="Times New Roman"/>
                <w:b/>
                <w:bCs/>
                <w:noProof/>
                <w:color w:val="000000"/>
                <w:sz w:val="19"/>
                <w:szCs w:val="19"/>
                <w:lang w:eastAsia="lv-LV"/>
              </w:rPr>
              <w:t>-1,971</w:t>
            </w:r>
          </w:p>
        </w:tc>
        <w:tc>
          <w:tcPr>
            <w:tcW w:w="789" w:type="dxa"/>
            <w:shd w:val="clear" w:color="auto" w:fill="EBE2D1"/>
            <w:vAlign w:val="center"/>
          </w:tcPr>
          <w:p w14:paraId="5533A2B9" w14:textId="77777777" w:rsidR="00F1215C" w:rsidRPr="00DA1615" w:rsidRDefault="00F1215C" w:rsidP="00CA0F29">
            <w:pPr>
              <w:spacing w:before="60" w:after="60"/>
              <w:ind w:firstLine="0"/>
              <w:jc w:val="center"/>
              <w:rPr>
                <w:rFonts w:eastAsia="Times New Roman" w:cs="Times New Roman"/>
                <w:b/>
                <w:bCs/>
                <w:noProof/>
                <w:color w:val="000000"/>
                <w:sz w:val="19"/>
                <w:szCs w:val="19"/>
                <w:lang w:eastAsia="lv-LV"/>
              </w:rPr>
            </w:pPr>
            <w:r w:rsidRPr="00DA1615">
              <w:rPr>
                <w:rFonts w:eastAsia="Times New Roman" w:cs="Times New Roman"/>
                <w:b/>
                <w:bCs/>
                <w:noProof/>
                <w:color w:val="000000"/>
                <w:sz w:val="19"/>
                <w:szCs w:val="19"/>
                <w:lang w:eastAsia="lv-LV"/>
              </w:rPr>
              <w:t>-1,866</w:t>
            </w:r>
          </w:p>
        </w:tc>
        <w:tc>
          <w:tcPr>
            <w:tcW w:w="789" w:type="dxa"/>
            <w:shd w:val="clear" w:color="auto" w:fill="EBE2D1"/>
            <w:noWrap/>
            <w:vAlign w:val="center"/>
          </w:tcPr>
          <w:p w14:paraId="38F682ED" w14:textId="77777777" w:rsidR="00F1215C" w:rsidRPr="00DA1615" w:rsidRDefault="00F1215C" w:rsidP="00CA0F29">
            <w:pPr>
              <w:spacing w:before="60" w:after="60"/>
              <w:ind w:firstLine="0"/>
              <w:jc w:val="center"/>
              <w:rPr>
                <w:rFonts w:eastAsia="Times New Roman" w:cs="Times New Roman"/>
                <w:b/>
                <w:bCs/>
                <w:noProof/>
                <w:color w:val="000000"/>
                <w:sz w:val="19"/>
                <w:szCs w:val="19"/>
                <w:lang w:eastAsia="lv-LV"/>
              </w:rPr>
            </w:pPr>
            <w:r w:rsidRPr="00DA1615">
              <w:rPr>
                <w:rFonts w:eastAsia="Times New Roman" w:cs="Times New Roman"/>
                <w:b/>
                <w:bCs/>
                <w:noProof/>
                <w:color w:val="000000"/>
                <w:sz w:val="19"/>
                <w:szCs w:val="19"/>
                <w:lang w:eastAsia="lv-LV"/>
              </w:rPr>
              <w:t>-2,429</w:t>
            </w:r>
          </w:p>
        </w:tc>
      </w:tr>
    </w:tbl>
    <w:p w14:paraId="1E58D13E" w14:textId="77777777" w:rsidR="00F1215C" w:rsidRPr="001C0357" w:rsidRDefault="00F1215C" w:rsidP="00F1215C">
      <w:pPr>
        <w:widowControl w:val="0"/>
        <w:jc w:val="center"/>
        <w:rPr>
          <w:rFonts w:eastAsia="Times New Roman" w:cs="Times New Roman"/>
          <w:bCs/>
          <w:i/>
          <w:iCs/>
          <w:noProof/>
          <w:szCs w:val="28"/>
        </w:rPr>
      </w:pPr>
      <w:r w:rsidRPr="001C0357">
        <w:rPr>
          <w:rFonts w:cs="Times New Roman"/>
          <w:b/>
          <w:bCs/>
          <w:noProof/>
          <w:szCs w:val="24"/>
          <w:lang w:eastAsia="lv-LV"/>
        </w:rPr>
        <w:lastRenderedPageBreak/>
        <w:t xml:space="preserve">6. </w:t>
      </w:r>
      <w:r w:rsidRPr="001C0357">
        <w:rPr>
          <w:rFonts w:eastAsia="Times New Roman" w:cs="Times New Roman"/>
          <w:b/>
          <w:bCs/>
          <w:noProof/>
          <w:szCs w:val="24"/>
        </w:rPr>
        <w:t>tabula.</w:t>
      </w:r>
      <w:r w:rsidRPr="001C0357">
        <w:rPr>
          <w:rFonts w:eastAsia="Times New Roman" w:cs="Times New Roman"/>
          <w:b/>
          <w:i/>
          <w:iCs/>
          <w:noProof/>
          <w:szCs w:val="24"/>
        </w:rPr>
        <w:t xml:space="preserve"> </w:t>
      </w:r>
      <w:r w:rsidRPr="001C0357">
        <w:rPr>
          <w:rFonts w:eastAsia="Times New Roman" w:cs="Times New Roman"/>
          <w:b/>
          <w:noProof/>
          <w:lang w:eastAsia="lv-LV"/>
        </w:rPr>
        <w:t>Fiskālā telpa</w:t>
      </w:r>
      <w:r w:rsidRPr="001C0357">
        <w:rPr>
          <w:rFonts w:eastAsia="Times New Roman" w:cs="Times New Roman"/>
          <w:b/>
          <w:noProof/>
          <w:szCs w:val="24"/>
          <w:lang w:eastAsia="lv-LV"/>
        </w:rPr>
        <w:t>,</w:t>
      </w:r>
      <w:r w:rsidRPr="001C0357">
        <w:rPr>
          <w:rFonts w:eastAsia="Times New Roman" w:cs="Times New Roman"/>
          <w:b/>
          <w:noProof/>
          <w:lang w:eastAsia="lv-LV"/>
        </w:rPr>
        <w:t xml:space="preserve"> </w:t>
      </w:r>
      <w:r w:rsidRPr="001C0357">
        <w:rPr>
          <w:rFonts w:eastAsia="Times New Roman" w:cs="Times New Roman"/>
          <w:b/>
          <w:noProof/>
          <w:szCs w:val="24"/>
          <w:lang w:eastAsia="lv-LV"/>
        </w:rPr>
        <w:t xml:space="preserve">balstoties uz FDL </w:t>
      </w:r>
      <w:r w:rsidRPr="001C0357">
        <w:rPr>
          <w:rFonts w:eastAsia="Times New Roman" w:cs="Times New Roman"/>
          <w:b/>
          <w:noProof/>
          <w:lang w:eastAsia="lv-LV"/>
        </w:rPr>
        <w:t>strukturālās bilances nosacījumu</w:t>
      </w:r>
    </w:p>
    <w:tbl>
      <w:tblPr>
        <w:tblW w:w="7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9"/>
        <w:gridCol w:w="1291"/>
        <w:gridCol w:w="754"/>
        <w:gridCol w:w="754"/>
        <w:gridCol w:w="754"/>
        <w:gridCol w:w="754"/>
      </w:tblGrid>
      <w:tr w:rsidR="00F1215C" w:rsidRPr="001C0357" w14:paraId="25717ABB" w14:textId="77777777" w:rsidTr="00352EDD">
        <w:trPr>
          <w:trHeight w:val="20"/>
          <w:tblHeader/>
          <w:jc w:val="center"/>
        </w:trPr>
        <w:tc>
          <w:tcPr>
            <w:tcW w:w="3059" w:type="dxa"/>
            <w:noWrap/>
            <w:vAlign w:val="bottom"/>
            <w:hideMark/>
          </w:tcPr>
          <w:p w14:paraId="506009CB" w14:textId="77777777" w:rsidR="00F1215C" w:rsidRPr="001C0357" w:rsidRDefault="00F1215C" w:rsidP="00CA0F29">
            <w:pPr>
              <w:spacing w:before="60"/>
              <w:ind w:firstLine="0"/>
              <w:jc w:val="left"/>
              <w:rPr>
                <w:rFonts w:eastAsia="Times New Roman" w:cs="Times New Roman"/>
                <w:noProof/>
                <w:color w:val="000000"/>
                <w:sz w:val="20"/>
                <w:szCs w:val="20"/>
                <w:lang w:eastAsia="lv-LV"/>
              </w:rPr>
            </w:pPr>
            <w:r w:rsidRPr="001C0357">
              <w:rPr>
                <w:rFonts w:eastAsia="Times New Roman" w:cs="Times New Roman"/>
                <w:noProof/>
                <w:color w:val="000000"/>
                <w:sz w:val="20"/>
                <w:szCs w:val="20"/>
                <w:lang w:eastAsia="lv-LV"/>
              </w:rPr>
              <w:t> </w:t>
            </w:r>
          </w:p>
        </w:tc>
        <w:tc>
          <w:tcPr>
            <w:tcW w:w="1291" w:type="dxa"/>
          </w:tcPr>
          <w:p w14:paraId="0F649B86" w14:textId="77777777" w:rsidR="00F1215C" w:rsidRPr="001C0357" w:rsidRDefault="00F1215C" w:rsidP="00CA0F29">
            <w:pPr>
              <w:spacing w:before="60"/>
              <w:ind w:firstLine="0"/>
              <w:jc w:val="center"/>
              <w:rPr>
                <w:rFonts w:eastAsia="Times New Roman" w:cs="Times New Roman"/>
                <w:noProof/>
                <w:color w:val="000000"/>
                <w:sz w:val="20"/>
                <w:szCs w:val="20"/>
                <w:lang w:eastAsia="lv-LV"/>
              </w:rPr>
            </w:pPr>
          </w:p>
        </w:tc>
        <w:tc>
          <w:tcPr>
            <w:tcW w:w="754" w:type="dxa"/>
            <w:tcBorders>
              <w:bottom w:val="single" w:sz="4" w:space="0" w:color="auto"/>
            </w:tcBorders>
            <w:shd w:val="clear" w:color="auto" w:fill="EBE2D1"/>
            <w:noWrap/>
            <w:vAlign w:val="center"/>
            <w:hideMark/>
          </w:tcPr>
          <w:p w14:paraId="21AF10F0" w14:textId="77777777" w:rsidR="00F1215C" w:rsidRPr="001C0357" w:rsidRDefault="00F1215C" w:rsidP="00CA0F29">
            <w:pPr>
              <w:spacing w:before="60"/>
              <w:ind w:firstLine="0"/>
              <w:jc w:val="center"/>
              <w:rPr>
                <w:rFonts w:eastAsia="Times New Roman" w:cs="Times New Roman"/>
                <w:b/>
                <w:bCs/>
                <w:noProof/>
                <w:color w:val="000000"/>
                <w:sz w:val="20"/>
                <w:szCs w:val="20"/>
                <w:lang w:eastAsia="lv-LV"/>
              </w:rPr>
            </w:pPr>
            <w:r w:rsidRPr="001C0357">
              <w:rPr>
                <w:rFonts w:eastAsia="Times New Roman" w:cs="Times New Roman"/>
                <w:b/>
                <w:bCs/>
                <w:noProof/>
                <w:color w:val="000000"/>
                <w:sz w:val="20"/>
                <w:szCs w:val="20"/>
                <w:lang w:eastAsia="lv-LV"/>
              </w:rPr>
              <w:t>2026</w:t>
            </w:r>
          </w:p>
        </w:tc>
        <w:tc>
          <w:tcPr>
            <w:tcW w:w="754" w:type="dxa"/>
            <w:tcBorders>
              <w:bottom w:val="single" w:sz="4" w:space="0" w:color="auto"/>
            </w:tcBorders>
            <w:shd w:val="clear" w:color="auto" w:fill="EBE2D1"/>
            <w:noWrap/>
            <w:vAlign w:val="center"/>
            <w:hideMark/>
          </w:tcPr>
          <w:p w14:paraId="542995F0" w14:textId="77777777" w:rsidR="00F1215C" w:rsidRPr="001C0357" w:rsidRDefault="00F1215C" w:rsidP="00CA0F29">
            <w:pPr>
              <w:spacing w:before="60"/>
              <w:ind w:firstLine="0"/>
              <w:jc w:val="center"/>
              <w:rPr>
                <w:rFonts w:eastAsia="Times New Roman" w:cs="Times New Roman"/>
                <w:b/>
                <w:bCs/>
                <w:noProof/>
                <w:color w:val="000000"/>
                <w:sz w:val="20"/>
                <w:szCs w:val="20"/>
                <w:lang w:eastAsia="lv-LV"/>
              </w:rPr>
            </w:pPr>
            <w:r w:rsidRPr="001C0357">
              <w:rPr>
                <w:rFonts w:eastAsia="Times New Roman" w:cs="Times New Roman"/>
                <w:b/>
                <w:bCs/>
                <w:noProof/>
                <w:color w:val="000000"/>
                <w:sz w:val="20"/>
                <w:szCs w:val="20"/>
                <w:lang w:eastAsia="lv-LV"/>
              </w:rPr>
              <w:t>2027</w:t>
            </w:r>
          </w:p>
        </w:tc>
        <w:tc>
          <w:tcPr>
            <w:tcW w:w="754" w:type="dxa"/>
            <w:tcBorders>
              <w:bottom w:val="single" w:sz="4" w:space="0" w:color="auto"/>
            </w:tcBorders>
            <w:shd w:val="clear" w:color="auto" w:fill="EBE2D1"/>
            <w:vAlign w:val="center"/>
          </w:tcPr>
          <w:p w14:paraId="5A69EE5B" w14:textId="77777777" w:rsidR="00F1215C" w:rsidRPr="001C0357" w:rsidRDefault="00F1215C" w:rsidP="00CA0F29">
            <w:pPr>
              <w:spacing w:before="60"/>
              <w:ind w:firstLine="0"/>
              <w:jc w:val="center"/>
              <w:rPr>
                <w:rFonts w:eastAsia="Times New Roman" w:cs="Times New Roman"/>
                <w:b/>
                <w:bCs/>
                <w:noProof/>
                <w:color w:val="000000"/>
                <w:sz w:val="20"/>
                <w:szCs w:val="20"/>
                <w:lang w:eastAsia="lv-LV"/>
              </w:rPr>
            </w:pPr>
            <w:r w:rsidRPr="001C0357">
              <w:rPr>
                <w:rFonts w:eastAsia="Times New Roman" w:cs="Times New Roman"/>
                <w:b/>
                <w:bCs/>
                <w:noProof/>
                <w:color w:val="000000"/>
                <w:sz w:val="20"/>
                <w:szCs w:val="20"/>
                <w:lang w:eastAsia="lv-LV"/>
              </w:rPr>
              <w:t>2028</w:t>
            </w:r>
          </w:p>
        </w:tc>
        <w:tc>
          <w:tcPr>
            <w:tcW w:w="754" w:type="dxa"/>
            <w:tcBorders>
              <w:bottom w:val="single" w:sz="4" w:space="0" w:color="auto"/>
            </w:tcBorders>
            <w:shd w:val="clear" w:color="auto" w:fill="EBE2D1"/>
            <w:noWrap/>
            <w:vAlign w:val="center"/>
            <w:hideMark/>
          </w:tcPr>
          <w:p w14:paraId="2CE9EE8E" w14:textId="77777777" w:rsidR="00F1215C" w:rsidRPr="001C0357" w:rsidRDefault="00F1215C" w:rsidP="00CA0F29">
            <w:pPr>
              <w:spacing w:before="60"/>
              <w:ind w:firstLine="0"/>
              <w:jc w:val="center"/>
              <w:rPr>
                <w:rFonts w:eastAsia="Times New Roman" w:cs="Times New Roman"/>
                <w:b/>
                <w:bCs/>
                <w:noProof/>
                <w:color w:val="000000"/>
                <w:sz w:val="20"/>
                <w:szCs w:val="20"/>
                <w:lang w:eastAsia="lv-LV"/>
              </w:rPr>
            </w:pPr>
            <w:r w:rsidRPr="001C0357">
              <w:rPr>
                <w:rFonts w:eastAsia="Times New Roman" w:cs="Times New Roman"/>
                <w:b/>
                <w:bCs/>
                <w:noProof/>
                <w:color w:val="000000"/>
                <w:sz w:val="20"/>
                <w:szCs w:val="20"/>
                <w:lang w:eastAsia="lv-LV"/>
              </w:rPr>
              <w:t>2029</w:t>
            </w:r>
          </w:p>
        </w:tc>
      </w:tr>
      <w:tr w:rsidR="00F1215C" w:rsidRPr="001C0357" w14:paraId="37282B69" w14:textId="77777777" w:rsidTr="00352EDD">
        <w:trPr>
          <w:trHeight w:val="20"/>
          <w:jc w:val="center"/>
        </w:trPr>
        <w:tc>
          <w:tcPr>
            <w:tcW w:w="3059" w:type="dxa"/>
            <w:noWrap/>
            <w:vAlign w:val="center"/>
            <w:hideMark/>
          </w:tcPr>
          <w:p w14:paraId="0D7E13CE" w14:textId="70246621" w:rsidR="00F1215C" w:rsidRPr="001C0357" w:rsidRDefault="00F1215C" w:rsidP="00CA0F29">
            <w:pPr>
              <w:spacing w:before="60" w:after="60"/>
              <w:ind w:firstLine="0"/>
              <w:jc w:val="left"/>
              <w:rPr>
                <w:rFonts w:eastAsia="Times New Roman" w:cs="Times New Roman"/>
                <w:b/>
                <w:bCs/>
                <w:noProof/>
                <w:color w:val="000000"/>
                <w:sz w:val="20"/>
                <w:szCs w:val="20"/>
                <w:lang w:eastAsia="lv-LV"/>
              </w:rPr>
            </w:pPr>
            <w:r w:rsidRPr="001C0357">
              <w:rPr>
                <w:rFonts w:eastAsia="Times New Roman" w:cs="Times New Roman"/>
                <w:b/>
                <w:bCs/>
                <w:noProof/>
                <w:color w:val="000000"/>
                <w:sz w:val="20"/>
                <w:szCs w:val="20"/>
                <w:lang w:eastAsia="lv-LV"/>
              </w:rPr>
              <w:t xml:space="preserve">Vispārējās valdības budžeta strukturālās bilances mērķi, </w:t>
            </w:r>
          </w:p>
          <w:p w14:paraId="38CA7E55" w14:textId="77777777" w:rsidR="00F1215C" w:rsidRPr="001C0357" w:rsidRDefault="00F1215C" w:rsidP="00CA0F29">
            <w:pPr>
              <w:spacing w:before="60" w:after="60"/>
              <w:ind w:firstLine="0"/>
              <w:jc w:val="left"/>
              <w:rPr>
                <w:rFonts w:eastAsia="Times New Roman" w:cs="Times New Roman"/>
                <w:b/>
                <w:bCs/>
                <w:noProof/>
                <w:color w:val="000000"/>
                <w:sz w:val="20"/>
                <w:szCs w:val="20"/>
                <w:lang w:eastAsia="lv-LV"/>
              </w:rPr>
            </w:pPr>
            <w:r w:rsidRPr="001C0357">
              <w:rPr>
                <w:rFonts w:eastAsia="Times New Roman" w:cs="Times New Roman"/>
                <w:b/>
                <w:bCs/>
                <w:noProof/>
                <w:color w:val="000000"/>
                <w:sz w:val="20"/>
                <w:szCs w:val="20"/>
                <w:lang w:eastAsia="lv-LV"/>
              </w:rPr>
              <w:t>% no IKP</w:t>
            </w:r>
          </w:p>
        </w:tc>
        <w:tc>
          <w:tcPr>
            <w:tcW w:w="1291" w:type="dxa"/>
            <w:vAlign w:val="center"/>
          </w:tcPr>
          <w:p w14:paraId="4B5D5B12" w14:textId="77777777" w:rsidR="00F1215C" w:rsidRPr="001C0357" w:rsidRDefault="00F1215C" w:rsidP="00CA0F29">
            <w:pPr>
              <w:spacing w:before="60" w:after="60"/>
              <w:ind w:firstLine="0"/>
              <w:jc w:val="center"/>
              <w:rPr>
                <w:rFonts w:eastAsia="Times New Roman" w:cs="Times New Roman"/>
                <w:b/>
                <w:bCs/>
                <w:noProof/>
                <w:color w:val="000000"/>
                <w:sz w:val="20"/>
                <w:szCs w:val="20"/>
                <w:lang w:eastAsia="lv-LV"/>
              </w:rPr>
            </w:pPr>
            <w:r w:rsidRPr="001C0357">
              <w:rPr>
                <w:rFonts w:eastAsia="Times New Roman" w:cs="Times New Roman"/>
                <w:b/>
                <w:bCs/>
                <w:noProof/>
                <w:color w:val="000000"/>
                <w:sz w:val="20"/>
                <w:szCs w:val="20"/>
                <w:lang w:eastAsia="lv-LV"/>
              </w:rPr>
              <w:t>(1)</w:t>
            </w:r>
          </w:p>
        </w:tc>
        <w:tc>
          <w:tcPr>
            <w:tcW w:w="754" w:type="dxa"/>
            <w:shd w:val="clear" w:color="auto" w:fill="EBE2D1"/>
            <w:noWrap/>
            <w:vAlign w:val="center"/>
          </w:tcPr>
          <w:p w14:paraId="577B935C" w14:textId="77777777" w:rsidR="00F1215C" w:rsidRPr="001C0357" w:rsidRDefault="00F1215C" w:rsidP="00CA0F29">
            <w:pPr>
              <w:spacing w:before="60" w:after="60"/>
              <w:ind w:firstLine="0"/>
              <w:jc w:val="center"/>
              <w:rPr>
                <w:rFonts w:eastAsia="Times New Roman" w:cs="Times New Roman"/>
                <w:b/>
                <w:bCs/>
                <w:noProof/>
                <w:color w:val="000000" w:themeColor="text1"/>
                <w:sz w:val="20"/>
                <w:szCs w:val="20"/>
                <w:lang w:eastAsia="lv-LV"/>
              </w:rPr>
            </w:pPr>
            <w:r w:rsidRPr="001C0357">
              <w:rPr>
                <w:rFonts w:eastAsia="Times New Roman" w:cs="Times New Roman"/>
                <w:b/>
                <w:bCs/>
                <w:noProof/>
                <w:color w:val="000000" w:themeColor="text1"/>
                <w:sz w:val="20"/>
                <w:szCs w:val="20"/>
                <w:lang w:eastAsia="lv-LV"/>
              </w:rPr>
              <w:t>-1,245</w:t>
            </w:r>
          </w:p>
        </w:tc>
        <w:tc>
          <w:tcPr>
            <w:tcW w:w="754" w:type="dxa"/>
            <w:shd w:val="clear" w:color="auto" w:fill="EBE2D1"/>
            <w:noWrap/>
            <w:vAlign w:val="center"/>
          </w:tcPr>
          <w:p w14:paraId="3AD117C0" w14:textId="77777777" w:rsidR="00F1215C" w:rsidRPr="001C0357" w:rsidRDefault="00F1215C" w:rsidP="00CA0F29">
            <w:pPr>
              <w:spacing w:before="60" w:after="60"/>
              <w:ind w:firstLine="0"/>
              <w:jc w:val="center"/>
              <w:rPr>
                <w:rFonts w:eastAsia="Times New Roman" w:cs="Times New Roman"/>
                <w:b/>
                <w:bCs/>
                <w:noProof/>
                <w:color w:val="000000" w:themeColor="text1"/>
                <w:sz w:val="20"/>
                <w:szCs w:val="20"/>
                <w:lang w:eastAsia="lv-LV"/>
              </w:rPr>
            </w:pPr>
            <w:r w:rsidRPr="001C0357">
              <w:rPr>
                <w:rFonts w:eastAsia="Times New Roman" w:cs="Times New Roman"/>
                <w:b/>
                <w:bCs/>
                <w:noProof/>
                <w:color w:val="000000" w:themeColor="text1"/>
                <w:sz w:val="20"/>
                <w:szCs w:val="20"/>
                <w:lang w:eastAsia="lv-LV"/>
              </w:rPr>
              <w:t>-1,971</w:t>
            </w:r>
          </w:p>
        </w:tc>
        <w:tc>
          <w:tcPr>
            <w:tcW w:w="754" w:type="dxa"/>
            <w:shd w:val="clear" w:color="auto" w:fill="EBE2D1"/>
            <w:vAlign w:val="center"/>
          </w:tcPr>
          <w:p w14:paraId="0288E6BD" w14:textId="77777777" w:rsidR="00F1215C" w:rsidRPr="001C0357" w:rsidRDefault="00F1215C" w:rsidP="00CA0F29">
            <w:pPr>
              <w:spacing w:before="60" w:after="60"/>
              <w:ind w:firstLine="0"/>
              <w:jc w:val="center"/>
              <w:rPr>
                <w:rFonts w:eastAsia="Times New Roman" w:cs="Times New Roman"/>
                <w:b/>
                <w:bCs/>
                <w:noProof/>
                <w:color w:val="000000" w:themeColor="text1"/>
                <w:sz w:val="20"/>
                <w:szCs w:val="20"/>
                <w:lang w:eastAsia="lv-LV"/>
              </w:rPr>
            </w:pPr>
            <w:r w:rsidRPr="001C0357">
              <w:rPr>
                <w:rFonts w:eastAsia="Times New Roman" w:cs="Times New Roman"/>
                <w:b/>
                <w:bCs/>
                <w:noProof/>
                <w:color w:val="000000" w:themeColor="text1"/>
                <w:sz w:val="20"/>
                <w:szCs w:val="20"/>
                <w:lang w:eastAsia="lv-LV"/>
              </w:rPr>
              <w:t>-1,866</w:t>
            </w:r>
          </w:p>
        </w:tc>
        <w:tc>
          <w:tcPr>
            <w:tcW w:w="754" w:type="dxa"/>
            <w:shd w:val="clear" w:color="auto" w:fill="EBE2D1"/>
            <w:noWrap/>
            <w:vAlign w:val="center"/>
          </w:tcPr>
          <w:p w14:paraId="590886CC" w14:textId="77777777" w:rsidR="00F1215C" w:rsidRPr="001C0357" w:rsidRDefault="00F1215C" w:rsidP="00CA0F29">
            <w:pPr>
              <w:spacing w:before="60" w:after="60"/>
              <w:ind w:firstLine="0"/>
              <w:jc w:val="center"/>
              <w:rPr>
                <w:rFonts w:eastAsia="Times New Roman" w:cs="Times New Roman"/>
                <w:b/>
                <w:bCs/>
                <w:noProof/>
                <w:color w:val="000000" w:themeColor="text1"/>
                <w:sz w:val="20"/>
                <w:szCs w:val="20"/>
                <w:lang w:eastAsia="lv-LV"/>
              </w:rPr>
            </w:pPr>
            <w:r w:rsidRPr="001C0357">
              <w:rPr>
                <w:rFonts w:eastAsia="Times New Roman" w:cs="Times New Roman"/>
                <w:b/>
                <w:bCs/>
                <w:noProof/>
                <w:color w:val="000000" w:themeColor="text1"/>
                <w:sz w:val="20"/>
                <w:szCs w:val="20"/>
                <w:lang w:eastAsia="lv-LV"/>
              </w:rPr>
              <w:t>-2,429</w:t>
            </w:r>
          </w:p>
        </w:tc>
      </w:tr>
      <w:tr w:rsidR="00F1215C" w:rsidRPr="001C0357" w14:paraId="0FE31DD8" w14:textId="77777777" w:rsidTr="00352EDD">
        <w:trPr>
          <w:trHeight w:val="20"/>
          <w:jc w:val="center"/>
        </w:trPr>
        <w:tc>
          <w:tcPr>
            <w:tcW w:w="3059" w:type="dxa"/>
            <w:noWrap/>
            <w:vAlign w:val="center"/>
          </w:tcPr>
          <w:p w14:paraId="1B1629D2" w14:textId="1D8FEA58" w:rsidR="00F1215C" w:rsidRPr="001C0357" w:rsidRDefault="00F1215C" w:rsidP="00CA0F29">
            <w:pPr>
              <w:spacing w:before="60" w:after="60"/>
              <w:ind w:firstLine="0"/>
              <w:jc w:val="left"/>
              <w:rPr>
                <w:rFonts w:eastAsia="Times New Roman" w:cs="Times New Roman"/>
                <w:noProof/>
                <w:color w:val="000000"/>
                <w:sz w:val="20"/>
                <w:szCs w:val="20"/>
                <w:lang w:eastAsia="lv-LV"/>
              </w:rPr>
            </w:pPr>
            <w:r w:rsidRPr="001C0357">
              <w:rPr>
                <w:rFonts w:eastAsia="Times New Roman" w:cs="Times New Roman"/>
                <w:noProof/>
                <w:color w:val="000000"/>
                <w:sz w:val="20"/>
                <w:szCs w:val="20"/>
                <w:lang w:eastAsia="lv-LV"/>
              </w:rPr>
              <w:t>Vispārējās valdības budžeta nominālā bilance</w:t>
            </w:r>
            <w:r w:rsidRPr="001C0357">
              <w:rPr>
                <w:noProof/>
              </w:rPr>
              <w:t xml:space="preserve"> </w:t>
            </w:r>
            <w:r w:rsidRPr="001C0357">
              <w:rPr>
                <w:rFonts w:eastAsia="Times New Roman" w:cs="Times New Roman"/>
                <w:noProof/>
                <w:color w:val="000000"/>
                <w:sz w:val="20"/>
                <w:szCs w:val="20"/>
                <w:lang w:eastAsia="lv-LV"/>
              </w:rPr>
              <w:t>pie nemainīgas politikas, % no IKP</w:t>
            </w:r>
          </w:p>
        </w:tc>
        <w:tc>
          <w:tcPr>
            <w:tcW w:w="1291" w:type="dxa"/>
            <w:vAlign w:val="center"/>
          </w:tcPr>
          <w:p w14:paraId="3C4F2C7D" w14:textId="77777777" w:rsidR="00F1215C" w:rsidRPr="001C0357" w:rsidRDefault="00F1215C" w:rsidP="00CA0F29">
            <w:pPr>
              <w:spacing w:before="60" w:after="60"/>
              <w:ind w:firstLine="0"/>
              <w:jc w:val="center"/>
              <w:rPr>
                <w:rFonts w:cs="Times New Roman"/>
                <w:noProof/>
                <w:color w:val="000000"/>
                <w:sz w:val="20"/>
                <w:szCs w:val="20"/>
              </w:rPr>
            </w:pPr>
            <w:r w:rsidRPr="001C0357">
              <w:rPr>
                <w:rFonts w:cs="Times New Roman"/>
                <w:noProof/>
                <w:color w:val="000000"/>
                <w:sz w:val="20"/>
                <w:szCs w:val="20"/>
              </w:rPr>
              <w:t>(2)</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446A9106" w14:textId="77777777" w:rsidR="00F1215C" w:rsidRPr="001C0357" w:rsidRDefault="00F1215C" w:rsidP="00CA0F29">
            <w:pPr>
              <w:spacing w:before="60" w:after="60"/>
              <w:ind w:firstLine="0"/>
              <w:jc w:val="center"/>
              <w:rPr>
                <w:rFonts w:eastAsia="Times New Roman" w:cs="Times New Roman"/>
                <w:noProof/>
                <w:color w:val="000000" w:themeColor="text1"/>
                <w:sz w:val="20"/>
                <w:szCs w:val="20"/>
                <w:lang w:eastAsia="lv-LV"/>
              </w:rPr>
            </w:pPr>
            <w:r w:rsidRPr="001C0357">
              <w:rPr>
                <w:rFonts w:cs="Times New Roman"/>
                <w:noProof/>
                <w:color w:val="000000" w:themeColor="text1"/>
                <w:sz w:val="20"/>
                <w:szCs w:val="20"/>
              </w:rPr>
              <w:t>-3,0</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474A764F" w14:textId="77777777" w:rsidR="00F1215C" w:rsidRPr="001C0357" w:rsidRDefault="00F1215C" w:rsidP="00CA0F29">
            <w:pPr>
              <w:spacing w:before="60" w:after="60"/>
              <w:ind w:firstLine="0"/>
              <w:jc w:val="center"/>
              <w:rPr>
                <w:rFonts w:eastAsia="Times New Roman" w:cs="Times New Roman"/>
                <w:noProof/>
                <w:color w:val="000000" w:themeColor="text1"/>
                <w:sz w:val="20"/>
                <w:szCs w:val="20"/>
                <w:lang w:eastAsia="lv-LV"/>
              </w:rPr>
            </w:pPr>
            <w:r w:rsidRPr="001C0357">
              <w:rPr>
                <w:rFonts w:cs="Times New Roman"/>
                <w:noProof/>
                <w:color w:val="000000" w:themeColor="text1"/>
                <w:sz w:val="20"/>
                <w:szCs w:val="20"/>
              </w:rPr>
              <w:t>-4,1</w:t>
            </w:r>
          </w:p>
        </w:tc>
        <w:tc>
          <w:tcPr>
            <w:tcW w:w="754" w:type="dxa"/>
            <w:tcBorders>
              <w:top w:val="single" w:sz="4" w:space="0" w:color="auto"/>
              <w:left w:val="single" w:sz="4" w:space="0" w:color="auto"/>
              <w:bottom w:val="single" w:sz="4" w:space="0" w:color="auto"/>
              <w:right w:val="single" w:sz="4" w:space="0" w:color="auto"/>
            </w:tcBorders>
            <w:shd w:val="clear" w:color="auto" w:fill="EBE2D1"/>
            <w:vAlign w:val="center"/>
          </w:tcPr>
          <w:p w14:paraId="0EA99A75" w14:textId="77777777" w:rsidR="00F1215C" w:rsidRPr="001C0357" w:rsidRDefault="00F1215C" w:rsidP="00CA0F29">
            <w:pPr>
              <w:spacing w:before="60" w:after="60"/>
              <w:ind w:firstLine="0"/>
              <w:jc w:val="center"/>
              <w:rPr>
                <w:rFonts w:eastAsia="Times New Roman" w:cs="Times New Roman"/>
                <w:noProof/>
                <w:color w:val="000000" w:themeColor="text1"/>
                <w:sz w:val="20"/>
                <w:szCs w:val="20"/>
                <w:lang w:eastAsia="lv-LV"/>
              </w:rPr>
            </w:pPr>
            <w:r w:rsidRPr="001C0357">
              <w:rPr>
                <w:rFonts w:cs="Times New Roman"/>
                <w:noProof/>
                <w:color w:val="000000" w:themeColor="text1"/>
                <w:sz w:val="20"/>
                <w:szCs w:val="20"/>
              </w:rPr>
              <w:t>-3,7</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1B97213F" w14:textId="77777777" w:rsidR="00F1215C" w:rsidRPr="001C0357" w:rsidRDefault="00F1215C" w:rsidP="00CA0F29">
            <w:pPr>
              <w:spacing w:before="60" w:after="60"/>
              <w:ind w:firstLine="0"/>
              <w:jc w:val="center"/>
              <w:rPr>
                <w:rFonts w:eastAsia="Times New Roman" w:cs="Times New Roman"/>
                <w:noProof/>
                <w:color w:val="000000" w:themeColor="text1"/>
                <w:sz w:val="20"/>
                <w:szCs w:val="20"/>
                <w:lang w:eastAsia="lv-LV"/>
              </w:rPr>
            </w:pPr>
            <w:r w:rsidRPr="001C0357">
              <w:rPr>
                <w:rFonts w:cs="Times New Roman"/>
                <w:noProof/>
                <w:color w:val="000000" w:themeColor="text1"/>
                <w:sz w:val="20"/>
                <w:szCs w:val="20"/>
              </w:rPr>
              <w:t>-3,9</w:t>
            </w:r>
          </w:p>
        </w:tc>
      </w:tr>
      <w:tr w:rsidR="00F1215C" w:rsidRPr="001C0357" w14:paraId="79F0DEC8" w14:textId="77777777" w:rsidTr="00352EDD">
        <w:trPr>
          <w:trHeight w:val="20"/>
          <w:jc w:val="center"/>
        </w:trPr>
        <w:tc>
          <w:tcPr>
            <w:tcW w:w="3059" w:type="dxa"/>
            <w:noWrap/>
            <w:vAlign w:val="center"/>
          </w:tcPr>
          <w:p w14:paraId="16FCA48A" w14:textId="5A03150A" w:rsidR="00F1215C" w:rsidRPr="001C0357" w:rsidRDefault="00F1215C" w:rsidP="00CA0F29">
            <w:pPr>
              <w:spacing w:before="60" w:after="60"/>
              <w:ind w:firstLine="0"/>
              <w:jc w:val="left"/>
              <w:rPr>
                <w:rFonts w:eastAsia="Times New Roman" w:cs="Times New Roman"/>
                <w:noProof/>
                <w:color w:val="000000"/>
                <w:sz w:val="20"/>
                <w:szCs w:val="20"/>
                <w:lang w:eastAsia="lv-LV"/>
              </w:rPr>
            </w:pPr>
            <w:r w:rsidRPr="001C0357">
              <w:rPr>
                <w:rFonts w:eastAsia="Times New Roman" w:cs="Times New Roman"/>
                <w:noProof/>
                <w:color w:val="000000"/>
                <w:sz w:val="20"/>
                <w:szCs w:val="20"/>
                <w:lang w:eastAsia="lv-LV"/>
              </w:rPr>
              <w:t xml:space="preserve">Bilances cikliskā komponente, </w:t>
            </w:r>
          </w:p>
          <w:p w14:paraId="7540F707" w14:textId="77777777" w:rsidR="00F1215C" w:rsidRPr="001C0357" w:rsidRDefault="00F1215C" w:rsidP="00CA0F29">
            <w:pPr>
              <w:spacing w:before="60" w:after="60"/>
              <w:ind w:firstLine="0"/>
              <w:jc w:val="left"/>
              <w:rPr>
                <w:rFonts w:eastAsia="Times New Roman" w:cs="Times New Roman"/>
                <w:noProof/>
                <w:color w:val="000000"/>
                <w:sz w:val="20"/>
                <w:szCs w:val="20"/>
                <w:lang w:eastAsia="lv-LV"/>
              </w:rPr>
            </w:pPr>
            <w:r w:rsidRPr="001C0357">
              <w:rPr>
                <w:rFonts w:eastAsia="Times New Roman" w:cs="Times New Roman"/>
                <w:noProof/>
                <w:color w:val="000000"/>
                <w:sz w:val="20"/>
                <w:szCs w:val="20"/>
                <w:lang w:eastAsia="lv-LV"/>
              </w:rPr>
              <w:t>% no IKP</w:t>
            </w:r>
          </w:p>
        </w:tc>
        <w:tc>
          <w:tcPr>
            <w:tcW w:w="1291" w:type="dxa"/>
            <w:vAlign w:val="center"/>
          </w:tcPr>
          <w:p w14:paraId="5851D0E3" w14:textId="77777777" w:rsidR="00F1215C" w:rsidRPr="001C0357" w:rsidRDefault="00F1215C" w:rsidP="00CA0F29">
            <w:pPr>
              <w:spacing w:before="60" w:after="60"/>
              <w:ind w:firstLine="0"/>
              <w:jc w:val="center"/>
              <w:rPr>
                <w:rFonts w:cs="Times New Roman"/>
                <w:noProof/>
                <w:color w:val="000000"/>
                <w:sz w:val="20"/>
                <w:szCs w:val="20"/>
              </w:rPr>
            </w:pPr>
            <w:r w:rsidRPr="001C0357">
              <w:rPr>
                <w:rFonts w:cs="Times New Roman"/>
                <w:noProof/>
                <w:color w:val="000000"/>
                <w:sz w:val="20"/>
                <w:szCs w:val="20"/>
              </w:rPr>
              <w:t>(3)</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55C76C5B" w14:textId="77777777" w:rsidR="00F1215C" w:rsidRPr="001C0357" w:rsidRDefault="00F1215C" w:rsidP="00CA0F29">
            <w:pPr>
              <w:spacing w:before="60" w:after="60"/>
              <w:ind w:firstLine="0"/>
              <w:jc w:val="center"/>
              <w:rPr>
                <w:rFonts w:cs="Times New Roman"/>
                <w:noProof/>
                <w:color w:val="000000" w:themeColor="text1"/>
                <w:sz w:val="20"/>
                <w:szCs w:val="20"/>
              </w:rPr>
            </w:pPr>
            <w:r w:rsidRPr="001C0357">
              <w:rPr>
                <w:rFonts w:cs="Times New Roman"/>
                <w:noProof/>
                <w:color w:val="000000" w:themeColor="text1"/>
                <w:sz w:val="20"/>
                <w:szCs w:val="20"/>
              </w:rPr>
              <w:t>-0,3</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5E94BB5E" w14:textId="77777777" w:rsidR="00F1215C" w:rsidRPr="001C0357" w:rsidRDefault="00F1215C" w:rsidP="00CA0F29">
            <w:pPr>
              <w:spacing w:before="60" w:after="60"/>
              <w:ind w:firstLine="0"/>
              <w:jc w:val="center"/>
              <w:rPr>
                <w:rFonts w:cs="Times New Roman"/>
                <w:noProof/>
                <w:color w:val="000000" w:themeColor="text1"/>
                <w:sz w:val="20"/>
                <w:szCs w:val="20"/>
              </w:rPr>
            </w:pPr>
            <w:r w:rsidRPr="001C0357">
              <w:rPr>
                <w:rFonts w:cs="Times New Roman"/>
                <w:noProof/>
                <w:color w:val="000000" w:themeColor="text1"/>
                <w:sz w:val="20"/>
                <w:szCs w:val="20"/>
              </w:rPr>
              <w:t>-0,2</w:t>
            </w:r>
          </w:p>
        </w:tc>
        <w:tc>
          <w:tcPr>
            <w:tcW w:w="754" w:type="dxa"/>
            <w:tcBorders>
              <w:top w:val="single" w:sz="4" w:space="0" w:color="auto"/>
              <w:left w:val="single" w:sz="4" w:space="0" w:color="auto"/>
              <w:bottom w:val="single" w:sz="4" w:space="0" w:color="auto"/>
              <w:right w:val="single" w:sz="4" w:space="0" w:color="auto"/>
            </w:tcBorders>
            <w:shd w:val="clear" w:color="auto" w:fill="EBE2D1"/>
            <w:vAlign w:val="center"/>
          </w:tcPr>
          <w:p w14:paraId="0AE4FCF6" w14:textId="77777777" w:rsidR="00F1215C" w:rsidRPr="001C0357" w:rsidRDefault="00F1215C" w:rsidP="00CA0F29">
            <w:pPr>
              <w:spacing w:before="60" w:after="60"/>
              <w:ind w:firstLine="0"/>
              <w:jc w:val="center"/>
              <w:rPr>
                <w:rFonts w:cs="Times New Roman"/>
                <w:noProof/>
                <w:color w:val="000000" w:themeColor="text1"/>
                <w:sz w:val="20"/>
                <w:szCs w:val="20"/>
              </w:rPr>
            </w:pPr>
            <w:r w:rsidRPr="001C0357">
              <w:rPr>
                <w:rFonts w:cs="Times New Roman"/>
                <w:noProof/>
                <w:color w:val="000000" w:themeColor="text1"/>
                <w:sz w:val="20"/>
                <w:szCs w:val="20"/>
              </w:rPr>
              <w:t>-0,1</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0DC92DDB" w14:textId="77777777" w:rsidR="00F1215C" w:rsidRPr="001C0357" w:rsidRDefault="00F1215C" w:rsidP="00CA0F29">
            <w:pPr>
              <w:spacing w:before="60" w:after="60"/>
              <w:ind w:firstLine="0"/>
              <w:jc w:val="center"/>
              <w:rPr>
                <w:rFonts w:cs="Times New Roman"/>
                <w:noProof/>
                <w:color w:val="000000" w:themeColor="text1"/>
                <w:sz w:val="20"/>
                <w:szCs w:val="20"/>
              </w:rPr>
            </w:pPr>
            <w:r w:rsidRPr="001C0357">
              <w:rPr>
                <w:rFonts w:cs="Times New Roman"/>
                <w:noProof/>
                <w:color w:val="000000" w:themeColor="text1"/>
                <w:sz w:val="20"/>
                <w:szCs w:val="20"/>
              </w:rPr>
              <w:t>0,0</w:t>
            </w:r>
          </w:p>
        </w:tc>
      </w:tr>
      <w:tr w:rsidR="00DA1615" w:rsidRPr="001C0357" w14:paraId="019D3624" w14:textId="77777777" w:rsidTr="00352EDD">
        <w:trPr>
          <w:trHeight w:val="20"/>
          <w:jc w:val="center"/>
        </w:trPr>
        <w:tc>
          <w:tcPr>
            <w:tcW w:w="3059" w:type="dxa"/>
            <w:noWrap/>
            <w:vAlign w:val="center"/>
          </w:tcPr>
          <w:p w14:paraId="289F8FA6" w14:textId="253E001F" w:rsidR="00DA1615" w:rsidRPr="001C0357" w:rsidRDefault="00DA1615" w:rsidP="00DA1615">
            <w:pPr>
              <w:spacing w:before="60" w:after="60"/>
              <w:ind w:firstLine="0"/>
              <w:jc w:val="left"/>
              <w:rPr>
                <w:rFonts w:eastAsia="Times New Roman" w:cs="Times New Roman"/>
                <w:noProof/>
                <w:color w:val="000000"/>
                <w:sz w:val="20"/>
                <w:szCs w:val="20"/>
                <w:lang w:eastAsia="lv-LV"/>
              </w:rPr>
            </w:pPr>
            <w:r w:rsidRPr="001C0357">
              <w:rPr>
                <w:rFonts w:eastAsia="Times New Roman" w:cs="Times New Roman"/>
                <w:noProof/>
                <w:color w:val="000000"/>
                <w:sz w:val="20"/>
                <w:szCs w:val="20"/>
                <w:lang w:eastAsia="lv-LV"/>
              </w:rPr>
              <w:t>Vienreizējie pasākumi, % no IKP</w:t>
            </w:r>
            <w:r w:rsidR="002D2CD4">
              <w:rPr>
                <w:rFonts w:eastAsia="Times New Roman" w:cs="Times New Roman"/>
                <w:noProof/>
                <w:color w:val="000000"/>
                <w:sz w:val="20"/>
                <w:szCs w:val="20"/>
                <w:lang w:eastAsia="lv-LV"/>
              </w:rPr>
              <w:t>, tai skaitā</w:t>
            </w:r>
          </w:p>
        </w:tc>
        <w:tc>
          <w:tcPr>
            <w:tcW w:w="1291" w:type="dxa"/>
            <w:vAlign w:val="center"/>
          </w:tcPr>
          <w:p w14:paraId="0C56A9DA" w14:textId="2A5005A1" w:rsidR="00DA1615" w:rsidRPr="001C0357" w:rsidRDefault="00DA1615" w:rsidP="00DA1615">
            <w:pPr>
              <w:spacing w:before="60" w:after="60"/>
              <w:ind w:firstLine="0"/>
              <w:jc w:val="center"/>
              <w:rPr>
                <w:rFonts w:cs="Times New Roman"/>
                <w:noProof/>
                <w:color w:val="000000"/>
                <w:sz w:val="20"/>
                <w:szCs w:val="20"/>
              </w:rPr>
            </w:pPr>
            <w:r w:rsidRPr="001C0357">
              <w:rPr>
                <w:rFonts w:cs="Times New Roman"/>
                <w:noProof/>
                <w:color w:val="000000"/>
                <w:sz w:val="20"/>
                <w:szCs w:val="20"/>
              </w:rPr>
              <w:t>(4)</w:t>
            </w:r>
            <w:r>
              <w:rPr>
                <w:rFonts w:cs="Times New Roman"/>
                <w:noProof/>
                <w:color w:val="000000"/>
                <w:sz w:val="20"/>
                <w:szCs w:val="20"/>
              </w:rPr>
              <w:t>=(5)+(6)+(7)+(8)+(9)</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73BEBBCD" w14:textId="77777777" w:rsidR="00DA1615" w:rsidRPr="001C0357" w:rsidRDefault="00DA1615" w:rsidP="00DA1615">
            <w:pPr>
              <w:spacing w:before="60" w:after="60"/>
              <w:ind w:firstLine="0"/>
              <w:jc w:val="center"/>
              <w:rPr>
                <w:rFonts w:cs="Times New Roman"/>
                <w:noProof/>
                <w:color w:val="000000" w:themeColor="text1"/>
                <w:sz w:val="20"/>
                <w:szCs w:val="20"/>
              </w:rPr>
            </w:pPr>
            <w:r w:rsidRPr="001C0357">
              <w:rPr>
                <w:rFonts w:cs="Times New Roman"/>
                <w:noProof/>
                <w:color w:val="000000" w:themeColor="text1"/>
                <w:sz w:val="20"/>
                <w:szCs w:val="20"/>
              </w:rPr>
              <w:t>-1,6</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77379CBB" w14:textId="77777777" w:rsidR="00DA1615" w:rsidRPr="001C0357" w:rsidRDefault="00DA1615" w:rsidP="00DA1615">
            <w:pPr>
              <w:spacing w:before="60" w:after="60"/>
              <w:ind w:firstLine="0"/>
              <w:jc w:val="center"/>
              <w:rPr>
                <w:rFonts w:cs="Times New Roman"/>
                <w:noProof/>
                <w:color w:val="000000" w:themeColor="text1"/>
                <w:sz w:val="20"/>
                <w:szCs w:val="20"/>
              </w:rPr>
            </w:pPr>
            <w:r w:rsidRPr="001C0357">
              <w:rPr>
                <w:rFonts w:cs="Times New Roman"/>
                <w:noProof/>
                <w:color w:val="000000" w:themeColor="text1"/>
                <w:sz w:val="20"/>
                <w:szCs w:val="20"/>
              </w:rPr>
              <w:t>-1,7</w:t>
            </w:r>
          </w:p>
        </w:tc>
        <w:tc>
          <w:tcPr>
            <w:tcW w:w="754" w:type="dxa"/>
            <w:tcBorders>
              <w:top w:val="single" w:sz="4" w:space="0" w:color="auto"/>
              <w:left w:val="single" w:sz="4" w:space="0" w:color="auto"/>
              <w:bottom w:val="single" w:sz="4" w:space="0" w:color="auto"/>
              <w:right w:val="single" w:sz="4" w:space="0" w:color="auto"/>
            </w:tcBorders>
            <w:shd w:val="clear" w:color="auto" w:fill="EBE2D1"/>
            <w:vAlign w:val="center"/>
          </w:tcPr>
          <w:p w14:paraId="2B84BC7A" w14:textId="77777777" w:rsidR="00DA1615" w:rsidRPr="001C0357" w:rsidRDefault="00DA1615" w:rsidP="00DA1615">
            <w:pPr>
              <w:spacing w:before="60" w:after="60"/>
              <w:ind w:firstLine="0"/>
              <w:jc w:val="center"/>
              <w:rPr>
                <w:rFonts w:cs="Times New Roman"/>
                <w:noProof/>
                <w:color w:val="000000" w:themeColor="text1"/>
                <w:sz w:val="20"/>
                <w:szCs w:val="20"/>
              </w:rPr>
            </w:pPr>
            <w:r w:rsidRPr="001C0357">
              <w:rPr>
                <w:rFonts w:cs="Times New Roman"/>
                <w:noProof/>
                <w:color w:val="000000" w:themeColor="text1"/>
                <w:sz w:val="20"/>
                <w:szCs w:val="20"/>
              </w:rPr>
              <w:t>-1,6</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1E3F689E" w14:textId="77777777" w:rsidR="00DA1615" w:rsidRPr="001C0357" w:rsidRDefault="00DA1615" w:rsidP="00DA1615">
            <w:pPr>
              <w:spacing w:before="60" w:after="60"/>
              <w:ind w:firstLine="0"/>
              <w:jc w:val="center"/>
              <w:rPr>
                <w:rFonts w:cs="Times New Roman"/>
                <w:noProof/>
                <w:color w:val="000000" w:themeColor="text1"/>
                <w:sz w:val="20"/>
                <w:szCs w:val="20"/>
              </w:rPr>
            </w:pPr>
            <w:r w:rsidRPr="001C0357">
              <w:rPr>
                <w:rFonts w:cs="Times New Roman"/>
                <w:noProof/>
                <w:color w:val="000000" w:themeColor="text1"/>
                <w:sz w:val="20"/>
                <w:szCs w:val="20"/>
              </w:rPr>
              <w:t>-0,9</w:t>
            </w:r>
          </w:p>
        </w:tc>
      </w:tr>
      <w:tr w:rsidR="00DA1615" w:rsidRPr="001C0357" w14:paraId="10BDC0C9" w14:textId="77777777" w:rsidTr="00352EDD">
        <w:trPr>
          <w:trHeight w:val="20"/>
          <w:jc w:val="center"/>
        </w:trPr>
        <w:tc>
          <w:tcPr>
            <w:tcW w:w="3059" w:type="dxa"/>
            <w:noWrap/>
            <w:vAlign w:val="center"/>
          </w:tcPr>
          <w:p w14:paraId="13A2ECB8" w14:textId="5804F275" w:rsidR="00DA1615" w:rsidRPr="001C0357" w:rsidRDefault="00DA1615" w:rsidP="002D2CD4">
            <w:pPr>
              <w:spacing w:before="60" w:after="60"/>
              <w:ind w:firstLine="0"/>
              <w:jc w:val="left"/>
              <w:rPr>
                <w:rFonts w:eastAsia="Times New Roman" w:cs="Times New Roman"/>
                <w:noProof/>
                <w:color w:val="000000"/>
                <w:sz w:val="20"/>
                <w:szCs w:val="20"/>
                <w:lang w:eastAsia="lv-LV"/>
              </w:rPr>
            </w:pPr>
            <w:r w:rsidRPr="00D00067">
              <w:rPr>
                <w:rFonts w:eastAsia="Times New Roman" w:cs="Times New Roman"/>
                <w:noProof/>
                <w:color w:val="000000"/>
                <w:sz w:val="20"/>
                <w:szCs w:val="20"/>
                <w:lang w:eastAsia="lv-LV"/>
              </w:rPr>
              <w:t>COVID -19 pandēmijas mazināšanas pasākumi</w:t>
            </w:r>
          </w:p>
        </w:tc>
        <w:tc>
          <w:tcPr>
            <w:tcW w:w="1291" w:type="dxa"/>
            <w:vAlign w:val="center"/>
          </w:tcPr>
          <w:p w14:paraId="6C6015A6" w14:textId="623A6FEC" w:rsidR="00DA1615" w:rsidRPr="001C0357" w:rsidRDefault="00DA1615" w:rsidP="00DA1615">
            <w:pPr>
              <w:spacing w:before="60" w:after="60"/>
              <w:ind w:firstLine="0"/>
              <w:jc w:val="center"/>
              <w:rPr>
                <w:rFonts w:cs="Times New Roman"/>
                <w:noProof/>
                <w:color w:val="000000"/>
                <w:sz w:val="20"/>
                <w:szCs w:val="20"/>
              </w:rPr>
            </w:pPr>
            <w:r>
              <w:rPr>
                <w:rFonts w:cs="Times New Roman"/>
                <w:noProof/>
                <w:color w:val="000000"/>
                <w:sz w:val="20"/>
                <w:szCs w:val="20"/>
              </w:rPr>
              <w:t>(5)</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3D2B7418" w14:textId="76E48BEB" w:rsidR="00DA1615" w:rsidRPr="001C0357" w:rsidRDefault="00DA1615" w:rsidP="00DA1615">
            <w:pPr>
              <w:spacing w:before="60" w:after="60"/>
              <w:ind w:firstLine="0"/>
              <w:jc w:val="center"/>
              <w:rPr>
                <w:rFonts w:cs="Times New Roman"/>
                <w:noProof/>
                <w:color w:val="000000" w:themeColor="text1"/>
                <w:sz w:val="20"/>
                <w:szCs w:val="20"/>
              </w:rPr>
            </w:pPr>
            <w:r w:rsidRPr="002E7D99">
              <w:rPr>
                <w:sz w:val="20"/>
                <w:szCs w:val="20"/>
              </w:rPr>
              <w:t>0,0</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4711A10C" w14:textId="38D8B8BF" w:rsidR="00DA1615" w:rsidRPr="001C0357" w:rsidRDefault="00DA1615" w:rsidP="00DA1615">
            <w:pPr>
              <w:spacing w:before="60" w:after="60"/>
              <w:ind w:firstLine="0"/>
              <w:jc w:val="center"/>
              <w:rPr>
                <w:rFonts w:cs="Times New Roman"/>
                <w:noProof/>
                <w:color w:val="000000" w:themeColor="text1"/>
                <w:sz w:val="20"/>
                <w:szCs w:val="20"/>
              </w:rPr>
            </w:pPr>
            <w:r w:rsidRPr="002E7D99">
              <w:rPr>
                <w:sz w:val="20"/>
                <w:szCs w:val="20"/>
              </w:rPr>
              <w:t>0,0</w:t>
            </w:r>
          </w:p>
        </w:tc>
        <w:tc>
          <w:tcPr>
            <w:tcW w:w="754" w:type="dxa"/>
            <w:tcBorders>
              <w:top w:val="single" w:sz="4" w:space="0" w:color="auto"/>
              <w:left w:val="single" w:sz="4" w:space="0" w:color="auto"/>
              <w:bottom w:val="single" w:sz="4" w:space="0" w:color="auto"/>
              <w:right w:val="single" w:sz="4" w:space="0" w:color="auto"/>
            </w:tcBorders>
            <w:shd w:val="clear" w:color="auto" w:fill="EBE2D1"/>
            <w:vAlign w:val="center"/>
          </w:tcPr>
          <w:p w14:paraId="0A5C2B85" w14:textId="6D345352" w:rsidR="00DA1615" w:rsidRPr="001C0357" w:rsidRDefault="00DA1615" w:rsidP="00DA1615">
            <w:pPr>
              <w:spacing w:before="60" w:after="60"/>
              <w:ind w:firstLine="0"/>
              <w:jc w:val="center"/>
              <w:rPr>
                <w:rFonts w:cs="Times New Roman"/>
                <w:noProof/>
                <w:color w:val="000000" w:themeColor="text1"/>
                <w:sz w:val="20"/>
                <w:szCs w:val="20"/>
              </w:rPr>
            </w:pPr>
            <w:r w:rsidRPr="002E7D99">
              <w:rPr>
                <w:sz w:val="20"/>
                <w:szCs w:val="20"/>
              </w:rPr>
              <w:t>0,0</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0CFE3ED9" w14:textId="0B6D6C20" w:rsidR="00DA1615" w:rsidRPr="001C0357" w:rsidRDefault="00DA1615" w:rsidP="00DA1615">
            <w:pPr>
              <w:spacing w:before="60" w:after="60"/>
              <w:ind w:firstLine="0"/>
              <w:jc w:val="center"/>
              <w:rPr>
                <w:rFonts w:cs="Times New Roman"/>
                <w:noProof/>
                <w:color w:val="000000" w:themeColor="text1"/>
                <w:sz w:val="20"/>
                <w:szCs w:val="20"/>
              </w:rPr>
            </w:pPr>
            <w:r w:rsidRPr="002E7D99">
              <w:rPr>
                <w:sz w:val="20"/>
                <w:szCs w:val="20"/>
              </w:rPr>
              <w:t>0,0</w:t>
            </w:r>
          </w:p>
        </w:tc>
      </w:tr>
      <w:tr w:rsidR="00DA1615" w:rsidRPr="001C0357" w14:paraId="4911C611" w14:textId="77777777" w:rsidTr="00352EDD">
        <w:trPr>
          <w:trHeight w:val="20"/>
          <w:jc w:val="center"/>
        </w:trPr>
        <w:tc>
          <w:tcPr>
            <w:tcW w:w="3059" w:type="dxa"/>
            <w:noWrap/>
            <w:vAlign w:val="center"/>
          </w:tcPr>
          <w:p w14:paraId="13CB8AF3" w14:textId="7FD9BA7F" w:rsidR="00DA1615" w:rsidRPr="001C0357" w:rsidRDefault="00DA1615" w:rsidP="00DA1615">
            <w:pPr>
              <w:spacing w:before="60" w:after="60"/>
              <w:ind w:firstLine="0"/>
              <w:jc w:val="left"/>
              <w:rPr>
                <w:rFonts w:eastAsia="Times New Roman" w:cs="Times New Roman"/>
                <w:noProof/>
                <w:color w:val="000000"/>
                <w:sz w:val="20"/>
                <w:szCs w:val="20"/>
                <w:lang w:eastAsia="lv-LV"/>
              </w:rPr>
            </w:pPr>
            <w:r>
              <w:rPr>
                <w:rFonts w:eastAsia="Times New Roman" w:cs="Times New Roman"/>
                <w:noProof/>
                <w:color w:val="000000"/>
                <w:sz w:val="20"/>
                <w:szCs w:val="20"/>
                <w:lang w:eastAsia="lv-LV"/>
              </w:rPr>
              <w:t>E</w:t>
            </w:r>
            <w:r w:rsidRPr="00D00067">
              <w:rPr>
                <w:rFonts w:eastAsia="Times New Roman" w:cs="Times New Roman"/>
                <w:noProof/>
                <w:color w:val="000000"/>
                <w:sz w:val="20"/>
                <w:szCs w:val="20"/>
                <w:lang w:eastAsia="lv-LV"/>
              </w:rPr>
              <w:t>nerģijas cenas pieauguma mazināšanas pasākumi</w:t>
            </w:r>
          </w:p>
        </w:tc>
        <w:tc>
          <w:tcPr>
            <w:tcW w:w="1291" w:type="dxa"/>
            <w:vAlign w:val="center"/>
          </w:tcPr>
          <w:p w14:paraId="029E460D" w14:textId="5ED4A726" w:rsidR="00DA1615" w:rsidRPr="001C0357" w:rsidRDefault="00DA1615" w:rsidP="00DA1615">
            <w:pPr>
              <w:spacing w:before="60" w:after="60"/>
              <w:ind w:firstLine="0"/>
              <w:jc w:val="center"/>
              <w:rPr>
                <w:rFonts w:cs="Times New Roman"/>
                <w:noProof/>
                <w:color w:val="000000"/>
                <w:sz w:val="20"/>
                <w:szCs w:val="20"/>
              </w:rPr>
            </w:pPr>
            <w:r>
              <w:rPr>
                <w:rFonts w:cs="Times New Roman"/>
                <w:noProof/>
                <w:color w:val="000000"/>
                <w:sz w:val="20"/>
                <w:szCs w:val="20"/>
              </w:rPr>
              <w:t>(6)</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0CF215ED" w14:textId="1F1D5751" w:rsidR="00DA1615" w:rsidRPr="001C0357" w:rsidRDefault="00DA1615" w:rsidP="00DA1615">
            <w:pPr>
              <w:spacing w:before="60" w:after="60"/>
              <w:ind w:firstLine="0"/>
              <w:jc w:val="center"/>
              <w:rPr>
                <w:rFonts w:cs="Times New Roman"/>
                <w:noProof/>
                <w:color w:val="000000" w:themeColor="text1"/>
                <w:sz w:val="20"/>
                <w:szCs w:val="20"/>
              </w:rPr>
            </w:pPr>
            <w:r w:rsidRPr="00D00067">
              <w:rPr>
                <w:rFonts w:cs="Times New Roman"/>
                <w:noProof/>
                <w:color w:val="000000" w:themeColor="text1"/>
                <w:sz w:val="20"/>
                <w:szCs w:val="20"/>
              </w:rPr>
              <w:t>0,0</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3E3FD73A" w14:textId="43AB713A" w:rsidR="00DA1615" w:rsidRPr="001C0357" w:rsidRDefault="00DA1615" w:rsidP="00DA1615">
            <w:pPr>
              <w:spacing w:before="60" w:after="60"/>
              <w:ind w:firstLine="0"/>
              <w:jc w:val="center"/>
              <w:rPr>
                <w:rFonts w:cs="Times New Roman"/>
                <w:noProof/>
                <w:color w:val="000000" w:themeColor="text1"/>
                <w:sz w:val="20"/>
                <w:szCs w:val="20"/>
              </w:rPr>
            </w:pPr>
            <w:r w:rsidRPr="00D00067">
              <w:rPr>
                <w:rFonts w:cs="Times New Roman"/>
                <w:noProof/>
                <w:color w:val="000000" w:themeColor="text1"/>
                <w:sz w:val="20"/>
                <w:szCs w:val="20"/>
              </w:rPr>
              <w:t>0,0</w:t>
            </w:r>
          </w:p>
        </w:tc>
        <w:tc>
          <w:tcPr>
            <w:tcW w:w="754" w:type="dxa"/>
            <w:tcBorders>
              <w:top w:val="single" w:sz="4" w:space="0" w:color="auto"/>
              <w:left w:val="single" w:sz="4" w:space="0" w:color="auto"/>
              <w:bottom w:val="single" w:sz="4" w:space="0" w:color="auto"/>
              <w:right w:val="single" w:sz="4" w:space="0" w:color="auto"/>
            </w:tcBorders>
            <w:shd w:val="clear" w:color="auto" w:fill="EBE2D1"/>
            <w:vAlign w:val="center"/>
          </w:tcPr>
          <w:p w14:paraId="3230AA66" w14:textId="23239DC1" w:rsidR="00DA1615" w:rsidRPr="001C0357" w:rsidRDefault="00DA1615" w:rsidP="00DA1615">
            <w:pPr>
              <w:spacing w:before="60" w:after="60"/>
              <w:ind w:firstLine="0"/>
              <w:jc w:val="center"/>
              <w:rPr>
                <w:rFonts w:cs="Times New Roman"/>
                <w:noProof/>
                <w:color w:val="000000" w:themeColor="text1"/>
                <w:sz w:val="20"/>
                <w:szCs w:val="20"/>
              </w:rPr>
            </w:pPr>
            <w:r w:rsidRPr="00D00067">
              <w:rPr>
                <w:rFonts w:cs="Times New Roman"/>
                <w:noProof/>
                <w:color w:val="000000" w:themeColor="text1"/>
                <w:sz w:val="20"/>
                <w:szCs w:val="20"/>
              </w:rPr>
              <w:t>0,0</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1005C98C" w14:textId="2867CD3B" w:rsidR="00DA1615" w:rsidRPr="001C0357" w:rsidRDefault="00DA1615" w:rsidP="00DA1615">
            <w:pPr>
              <w:spacing w:before="60" w:after="60"/>
              <w:ind w:firstLine="0"/>
              <w:jc w:val="center"/>
              <w:rPr>
                <w:rFonts w:cs="Times New Roman"/>
                <w:noProof/>
                <w:color w:val="000000" w:themeColor="text1"/>
                <w:sz w:val="20"/>
                <w:szCs w:val="20"/>
              </w:rPr>
            </w:pPr>
            <w:r w:rsidRPr="00D00067">
              <w:rPr>
                <w:rFonts w:cs="Times New Roman"/>
                <w:noProof/>
                <w:color w:val="000000" w:themeColor="text1"/>
                <w:sz w:val="20"/>
                <w:szCs w:val="20"/>
              </w:rPr>
              <w:t>0,0</w:t>
            </w:r>
          </w:p>
        </w:tc>
      </w:tr>
      <w:tr w:rsidR="00DA1615" w:rsidRPr="001C0357" w14:paraId="174529DF" w14:textId="77777777" w:rsidTr="00352EDD">
        <w:trPr>
          <w:trHeight w:val="20"/>
          <w:jc w:val="center"/>
        </w:trPr>
        <w:tc>
          <w:tcPr>
            <w:tcW w:w="3059" w:type="dxa"/>
            <w:noWrap/>
            <w:vAlign w:val="center"/>
          </w:tcPr>
          <w:p w14:paraId="34EABCA1" w14:textId="31391B4A" w:rsidR="00DA1615" w:rsidRPr="001C0357" w:rsidRDefault="00DA1615" w:rsidP="00DA1615">
            <w:pPr>
              <w:spacing w:before="60" w:after="60"/>
              <w:ind w:firstLine="0"/>
              <w:jc w:val="left"/>
              <w:rPr>
                <w:rFonts w:eastAsia="Times New Roman" w:cs="Times New Roman"/>
                <w:noProof/>
                <w:color w:val="000000"/>
                <w:sz w:val="20"/>
                <w:szCs w:val="20"/>
                <w:lang w:eastAsia="lv-LV"/>
              </w:rPr>
            </w:pPr>
            <w:r>
              <w:rPr>
                <w:rFonts w:eastAsia="Times New Roman" w:cs="Times New Roman"/>
                <w:noProof/>
                <w:color w:val="000000"/>
                <w:sz w:val="20"/>
                <w:szCs w:val="20"/>
                <w:lang w:eastAsia="lv-LV"/>
              </w:rPr>
              <w:t>A</w:t>
            </w:r>
            <w:r w:rsidRPr="00D00067">
              <w:rPr>
                <w:rFonts w:eastAsia="Times New Roman" w:cs="Times New Roman"/>
                <w:noProof/>
                <w:color w:val="000000"/>
                <w:sz w:val="20"/>
                <w:szCs w:val="20"/>
                <w:lang w:eastAsia="lv-LV"/>
              </w:rPr>
              <w:t>izsardzības un iekšējās drošības finansējums</w:t>
            </w:r>
          </w:p>
        </w:tc>
        <w:tc>
          <w:tcPr>
            <w:tcW w:w="1291" w:type="dxa"/>
            <w:vAlign w:val="center"/>
          </w:tcPr>
          <w:p w14:paraId="2C533BD7" w14:textId="76D8AAF7" w:rsidR="00DA1615" w:rsidRPr="001C0357" w:rsidRDefault="00DA1615" w:rsidP="00DA1615">
            <w:pPr>
              <w:spacing w:before="60" w:after="60"/>
              <w:ind w:firstLine="0"/>
              <w:jc w:val="center"/>
              <w:rPr>
                <w:rFonts w:cs="Times New Roman"/>
                <w:noProof/>
                <w:color w:val="000000"/>
                <w:sz w:val="20"/>
                <w:szCs w:val="20"/>
              </w:rPr>
            </w:pPr>
            <w:r>
              <w:rPr>
                <w:rFonts w:cs="Times New Roman"/>
                <w:noProof/>
                <w:color w:val="000000"/>
                <w:sz w:val="20"/>
                <w:szCs w:val="20"/>
              </w:rPr>
              <w:t>(7)</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102B684C" w14:textId="7123B1B3" w:rsidR="00DA1615" w:rsidRPr="001C0357" w:rsidRDefault="00DA1615" w:rsidP="00DA1615">
            <w:pPr>
              <w:spacing w:before="60" w:after="60"/>
              <w:ind w:firstLine="0"/>
              <w:jc w:val="center"/>
              <w:rPr>
                <w:rFonts w:cs="Times New Roman"/>
                <w:noProof/>
                <w:color w:val="000000" w:themeColor="text1"/>
                <w:sz w:val="20"/>
                <w:szCs w:val="20"/>
              </w:rPr>
            </w:pPr>
            <w:r w:rsidRPr="002E7D99">
              <w:rPr>
                <w:sz w:val="20"/>
                <w:szCs w:val="20"/>
              </w:rPr>
              <w:t>-1,1</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6C4CE022" w14:textId="0165167E" w:rsidR="00DA1615" w:rsidRPr="001C0357" w:rsidRDefault="00DA1615" w:rsidP="00DA1615">
            <w:pPr>
              <w:spacing w:before="60" w:after="60"/>
              <w:ind w:firstLine="0"/>
              <w:jc w:val="center"/>
              <w:rPr>
                <w:rFonts w:cs="Times New Roman"/>
                <w:noProof/>
                <w:color w:val="000000" w:themeColor="text1"/>
                <w:sz w:val="20"/>
                <w:szCs w:val="20"/>
              </w:rPr>
            </w:pPr>
            <w:r w:rsidRPr="002E7D99">
              <w:rPr>
                <w:sz w:val="20"/>
                <w:szCs w:val="20"/>
              </w:rPr>
              <w:t>-1,1</w:t>
            </w:r>
          </w:p>
        </w:tc>
        <w:tc>
          <w:tcPr>
            <w:tcW w:w="754" w:type="dxa"/>
            <w:tcBorders>
              <w:top w:val="single" w:sz="4" w:space="0" w:color="auto"/>
              <w:left w:val="single" w:sz="4" w:space="0" w:color="auto"/>
              <w:bottom w:val="single" w:sz="4" w:space="0" w:color="auto"/>
              <w:right w:val="single" w:sz="4" w:space="0" w:color="auto"/>
            </w:tcBorders>
            <w:shd w:val="clear" w:color="auto" w:fill="EBE2D1"/>
            <w:vAlign w:val="center"/>
          </w:tcPr>
          <w:p w14:paraId="5C3F5EDA" w14:textId="1E1C99FF" w:rsidR="00DA1615" w:rsidRPr="001C0357" w:rsidRDefault="00DA1615" w:rsidP="00DA1615">
            <w:pPr>
              <w:spacing w:before="60" w:after="60"/>
              <w:ind w:firstLine="0"/>
              <w:jc w:val="center"/>
              <w:rPr>
                <w:rFonts w:cs="Times New Roman"/>
                <w:noProof/>
                <w:color w:val="000000" w:themeColor="text1"/>
                <w:sz w:val="20"/>
                <w:szCs w:val="20"/>
              </w:rPr>
            </w:pPr>
            <w:r w:rsidRPr="002E7D99">
              <w:rPr>
                <w:sz w:val="20"/>
                <w:szCs w:val="20"/>
              </w:rPr>
              <w:t>-0,7</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0626BD9F" w14:textId="4A4C8449" w:rsidR="00DA1615" w:rsidRPr="001C0357" w:rsidRDefault="00DA1615" w:rsidP="00DA1615">
            <w:pPr>
              <w:spacing w:before="60" w:after="60"/>
              <w:ind w:firstLine="0"/>
              <w:jc w:val="center"/>
              <w:rPr>
                <w:rFonts w:cs="Times New Roman"/>
                <w:noProof/>
                <w:color w:val="000000" w:themeColor="text1"/>
                <w:sz w:val="20"/>
                <w:szCs w:val="20"/>
              </w:rPr>
            </w:pPr>
            <w:r w:rsidRPr="002E7D99">
              <w:rPr>
                <w:sz w:val="20"/>
                <w:szCs w:val="20"/>
              </w:rPr>
              <w:t>-0,4</w:t>
            </w:r>
          </w:p>
        </w:tc>
      </w:tr>
      <w:tr w:rsidR="00DA1615" w:rsidRPr="001C0357" w14:paraId="3C537E3B" w14:textId="77777777" w:rsidTr="00352EDD">
        <w:trPr>
          <w:trHeight w:val="20"/>
          <w:jc w:val="center"/>
        </w:trPr>
        <w:tc>
          <w:tcPr>
            <w:tcW w:w="3059" w:type="dxa"/>
            <w:noWrap/>
            <w:vAlign w:val="center"/>
          </w:tcPr>
          <w:p w14:paraId="5D2120DB" w14:textId="18E88241" w:rsidR="00DA1615" w:rsidRPr="001C0357" w:rsidRDefault="00DA1615" w:rsidP="00DA1615">
            <w:pPr>
              <w:spacing w:before="60" w:after="60"/>
              <w:ind w:firstLine="0"/>
              <w:jc w:val="left"/>
              <w:rPr>
                <w:rFonts w:eastAsia="Times New Roman" w:cs="Times New Roman"/>
                <w:noProof/>
                <w:color w:val="000000"/>
                <w:sz w:val="20"/>
                <w:szCs w:val="20"/>
                <w:lang w:eastAsia="lv-LV"/>
              </w:rPr>
            </w:pPr>
            <w:r>
              <w:rPr>
                <w:rFonts w:eastAsia="Times New Roman" w:cs="Times New Roman"/>
                <w:noProof/>
                <w:color w:val="000000"/>
                <w:sz w:val="20"/>
                <w:szCs w:val="20"/>
                <w:lang w:eastAsia="lv-LV"/>
              </w:rPr>
              <w:t>A</w:t>
            </w:r>
            <w:r w:rsidRPr="00D00067">
              <w:rPr>
                <w:rFonts w:eastAsia="Times New Roman" w:cs="Times New Roman"/>
                <w:noProof/>
                <w:color w:val="000000"/>
                <w:sz w:val="20"/>
                <w:szCs w:val="20"/>
                <w:lang w:eastAsia="lv-LV"/>
              </w:rPr>
              <w:t>tbalsts bēgļiem no Ukrainas</w:t>
            </w:r>
          </w:p>
        </w:tc>
        <w:tc>
          <w:tcPr>
            <w:tcW w:w="1291" w:type="dxa"/>
            <w:vAlign w:val="center"/>
          </w:tcPr>
          <w:p w14:paraId="5AF65FB4" w14:textId="48138A49" w:rsidR="00DA1615" w:rsidRPr="001C0357" w:rsidRDefault="00DA1615" w:rsidP="00DA1615">
            <w:pPr>
              <w:spacing w:before="60" w:after="60"/>
              <w:ind w:firstLine="0"/>
              <w:jc w:val="center"/>
              <w:rPr>
                <w:rFonts w:cs="Times New Roman"/>
                <w:noProof/>
                <w:color w:val="000000"/>
                <w:sz w:val="20"/>
                <w:szCs w:val="20"/>
              </w:rPr>
            </w:pPr>
            <w:r>
              <w:rPr>
                <w:rFonts w:cs="Times New Roman"/>
                <w:noProof/>
                <w:color w:val="000000"/>
                <w:sz w:val="20"/>
                <w:szCs w:val="20"/>
              </w:rPr>
              <w:t>(8)</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38C256AE" w14:textId="30ACEB76" w:rsidR="00DA1615" w:rsidRPr="001C0357" w:rsidRDefault="00DA1615" w:rsidP="00DA1615">
            <w:pPr>
              <w:spacing w:before="60" w:after="60"/>
              <w:ind w:firstLine="0"/>
              <w:jc w:val="center"/>
              <w:rPr>
                <w:rFonts w:cs="Times New Roman"/>
                <w:noProof/>
                <w:color w:val="000000" w:themeColor="text1"/>
                <w:sz w:val="20"/>
                <w:szCs w:val="20"/>
              </w:rPr>
            </w:pPr>
            <w:r w:rsidRPr="00D00067">
              <w:rPr>
                <w:rFonts w:cs="Times New Roman"/>
                <w:noProof/>
                <w:color w:val="000000" w:themeColor="text1"/>
                <w:sz w:val="20"/>
                <w:szCs w:val="20"/>
              </w:rPr>
              <w:t>0,0</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12842655" w14:textId="74D1D8A5" w:rsidR="00DA1615" w:rsidRPr="001C0357" w:rsidRDefault="00DA1615" w:rsidP="00DA1615">
            <w:pPr>
              <w:spacing w:before="60" w:after="60"/>
              <w:ind w:firstLine="0"/>
              <w:jc w:val="center"/>
              <w:rPr>
                <w:rFonts w:cs="Times New Roman"/>
                <w:noProof/>
                <w:color w:val="000000" w:themeColor="text1"/>
                <w:sz w:val="20"/>
                <w:szCs w:val="20"/>
              </w:rPr>
            </w:pPr>
            <w:r w:rsidRPr="00D00067">
              <w:rPr>
                <w:rFonts w:cs="Times New Roman"/>
                <w:noProof/>
                <w:color w:val="000000" w:themeColor="text1"/>
                <w:sz w:val="20"/>
                <w:szCs w:val="20"/>
              </w:rPr>
              <w:t>0,0</w:t>
            </w:r>
          </w:p>
        </w:tc>
        <w:tc>
          <w:tcPr>
            <w:tcW w:w="754" w:type="dxa"/>
            <w:tcBorders>
              <w:top w:val="single" w:sz="4" w:space="0" w:color="auto"/>
              <w:left w:val="single" w:sz="4" w:space="0" w:color="auto"/>
              <w:bottom w:val="single" w:sz="4" w:space="0" w:color="auto"/>
              <w:right w:val="single" w:sz="4" w:space="0" w:color="auto"/>
            </w:tcBorders>
            <w:shd w:val="clear" w:color="auto" w:fill="EBE2D1"/>
            <w:vAlign w:val="center"/>
          </w:tcPr>
          <w:p w14:paraId="72BF4B8A" w14:textId="3171166C" w:rsidR="00DA1615" w:rsidRPr="001C0357" w:rsidRDefault="00DA1615" w:rsidP="00DA1615">
            <w:pPr>
              <w:spacing w:before="60" w:after="60"/>
              <w:ind w:firstLine="0"/>
              <w:jc w:val="center"/>
              <w:rPr>
                <w:rFonts w:cs="Times New Roman"/>
                <w:noProof/>
                <w:color w:val="000000" w:themeColor="text1"/>
                <w:sz w:val="20"/>
                <w:szCs w:val="20"/>
              </w:rPr>
            </w:pPr>
            <w:r w:rsidRPr="00D00067">
              <w:rPr>
                <w:rFonts w:cs="Times New Roman"/>
                <w:noProof/>
                <w:color w:val="000000" w:themeColor="text1"/>
                <w:sz w:val="20"/>
                <w:szCs w:val="20"/>
              </w:rPr>
              <w:t>0,0</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2FC1E3F8" w14:textId="5A75F70A" w:rsidR="00DA1615" w:rsidRPr="001C0357" w:rsidRDefault="00DA1615" w:rsidP="00DA1615">
            <w:pPr>
              <w:spacing w:before="60" w:after="60"/>
              <w:ind w:firstLine="0"/>
              <w:jc w:val="center"/>
              <w:rPr>
                <w:rFonts w:cs="Times New Roman"/>
                <w:noProof/>
                <w:color w:val="000000" w:themeColor="text1"/>
                <w:sz w:val="20"/>
                <w:szCs w:val="20"/>
              </w:rPr>
            </w:pPr>
            <w:r w:rsidRPr="00D00067">
              <w:rPr>
                <w:rFonts w:cs="Times New Roman"/>
                <w:noProof/>
                <w:color w:val="000000" w:themeColor="text1"/>
                <w:sz w:val="20"/>
                <w:szCs w:val="20"/>
              </w:rPr>
              <w:t>0,0</w:t>
            </w:r>
          </w:p>
        </w:tc>
      </w:tr>
      <w:tr w:rsidR="00DA1615" w:rsidRPr="001C0357" w14:paraId="5E0E8AF3" w14:textId="77777777" w:rsidTr="00352EDD">
        <w:trPr>
          <w:trHeight w:val="20"/>
          <w:jc w:val="center"/>
        </w:trPr>
        <w:tc>
          <w:tcPr>
            <w:tcW w:w="3059" w:type="dxa"/>
            <w:noWrap/>
            <w:vAlign w:val="center"/>
          </w:tcPr>
          <w:p w14:paraId="38514FF2" w14:textId="7A93113F" w:rsidR="00DA1615" w:rsidRPr="001C0357" w:rsidRDefault="00DA1615" w:rsidP="00DA1615">
            <w:pPr>
              <w:spacing w:before="60" w:after="60"/>
              <w:ind w:firstLine="0"/>
              <w:jc w:val="left"/>
              <w:rPr>
                <w:rFonts w:eastAsia="Times New Roman" w:cs="Times New Roman"/>
                <w:noProof/>
                <w:color w:val="000000"/>
                <w:sz w:val="20"/>
                <w:szCs w:val="20"/>
                <w:lang w:eastAsia="lv-LV"/>
              </w:rPr>
            </w:pPr>
            <w:r>
              <w:rPr>
                <w:rFonts w:eastAsia="Times New Roman" w:cs="Times New Roman"/>
                <w:noProof/>
                <w:color w:val="000000"/>
                <w:sz w:val="20"/>
                <w:szCs w:val="20"/>
                <w:lang w:eastAsia="lv-LV"/>
              </w:rPr>
              <w:t>C</w:t>
            </w:r>
            <w:r w:rsidRPr="00D00067">
              <w:rPr>
                <w:rFonts w:eastAsia="Times New Roman" w:cs="Times New Roman"/>
                <w:noProof/>
                <w:color w:val="000000"/>
                <w:sz w:val="20"/>
                <w:szCs w:val="20"/>
                <w:lang w:eastAsia="lv-LV"/>
              </w:rPr>
              <w:t>iti/vienreizējie izdevumi valsts aizsardzībai un iekšējai drošībai</w:t>
            </w:r>
          </w:p>
        </w:tc>
        <w:tc>
          <w:tcPr>
            <w:tcW w:w="1291" w:type="dxa"/>
            <w:vAlign w:val="center"/>
          </w:tcPr>
          <w:p w14:paraId="2274C059" w14:textId="77099D30" w:rsidR="00DA1615" w:rsidRPr="001C0357" w:rsidRDefault="00DA1615" w:rsidP="00DA1615">
            <w:pPr>
              <w:spacing w:before="60" w:after="60"/>
              <w:ind w:firstLine="0"/>
              <w:jc w:val="center"/>
              <w:rPr>
                <w:rFonts w:cs="Times New Roman"/>
                <w:noProof/>
                <w:color w:val="000000"/>
                <w:sz w:val="20"/>
                <w:szCs w:val="20"/>
              </w:rPr>
            </w:pPr>
            <w:r>
              <w:rPr>
                <w:rFonts w:cs="Times New Roman"/>
                <w:noProof/>
                <w:color w:val="000000"/>
                <w:sz w:val="20"/>
                <w:szCs w:val="20"/>
              </w:rPr>
              <w:t>(9)</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7403CA1B" w14:textId="46E02BA7" w:rsidR="00DA1615" w:rsidRPr="001C0357" w:rsidRDefault="00DA1615" w:rsidP="00DA1615">
            <w:pPr>
              <w:spacing w:before="60" w:after="60"/>
              <w:ind w:firstLine="0"/>
              <w:jc w:val="center"/>
              <w:rPr>
                <w:rFonts w:cs="Times New Roman"/>
                <w:noProof/>
                <w:color w:val="000000" w:themeColor="text1"/>
                <w:sz w:val="20"/>
                <w:szCs w:val="20"/>
              </w:rPr>
            </w:pPr>
            <w:r w:rsidRPr="002E7D99">
              <w:rPr>
                <w:sz w:val="20"/>
                <w:szCs w:val="20"/>
              </w:rPr>
              <w:t>-0,5</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506D5B5A" w14:textId="20F79131" w:rsidR="00DA1615" w:rsidRPr="001C0357" w:rsidRDefault="00DA1615" w:rsidP="00DA1615">
            <w:pPr>
              <w:spacing w:before="60" w:after="60"/>
              <w:ind w:firstLine="0"/>
              <w:jc w:val="center"/>
              <w:rPr>
                <w:rFonts w:cs="Times New Roman"/>
                <w:noProof/>
                <w:color w:val="000000" w:themeColor="text1"/>
                <w:sz w:val="20"/>
                <w:szCs w:val="20"/>
              </w:rPr>
            </w:pPr>
            <w:r w:rsidRPr="002E7D99">
              <w:rPr>
                <w:sz w:val="20"/>
                <w:szCs w:val="20"/>
              </w:rPr>
              <w:t>-0,5</w:t>
            </w:r>
          </w:p>
        </w:tc>
        <w:tc>
          <w:tcPr>
            <w:tcW w:w="754" w:type="dxa"/>
            <w:tcBorders>
              <w:top w:val="single" w:sz="4" w:space="0" w:color="auto"/>
              <w:left w:val="single" w:sz="4" w:space="0" w:color="auto"/>
              <w:bottom w:val="single" w:sz="4" w:space="0" w:color="auto"/>
              <w:right w:val="single" w:sz="4" w:space="0" w:color="auto"/>
            </w:tcBorders>
            <w:shd w:val="clear" w:color="auto" w:fill="EBE2D1"/>
            <w:vAlign w:val="center"/>
          </w:tcPr>
          <w:p w14:paraId="0E567B1E" w14:textId="5489D160" w:rsidR="00DA1615" w:rsidRPr="001C0357" w:rsidRDefault="00DA1615" w:rsidP="00DA1615">
            <w:pPr>
              <w:spacing w:before="60" w:after="60"/>
              <w:ind w:firstLine="0"/>
              <w:jc w:val="center"/>
              <w:rPr>
                <w:rFonts w:cs="Times New Roman"/>
                <w:noProof/>
                <w:color w:val="000000" w:themeColor="text1"/>
                <w:sz w:val="20"/>
                <w:szCs w:val="20"/>
              </w:rPr>
            </w:pPr>
            <w:r w:rsidRPr="002E7D99">
              <w:rPr>
                <w:sz w:val="20"/>
                <w:szCs w:val="20"/>
              </w:rPr>
              <w:t>-0,8</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26BDE533" w14:textId="46324224" w:rsidR="00DA1615" w:rsidRPr="001C0357" w:rsidRDefault="00DA1615" w:rsidP="00DA1615">
            <w:pPr>
              <w:spacing w:before="60" w:after="60"/>
              <w:ind w:firstLine="0"/>
              <w:jc w:val="center"/>
              <w:rPr>
                <w:rFonts w:cs="Times New Roman"/>
                <w:noProof/>
                <w:color w:val="000000" w:themeColor="text1"/>
                <w:sz w:val="20"/>
                <w:szCs w:val="20"/>
              </w:rPr>
            </w:pPr>
            <w:r w:rsidRPr="002E7D99">
              <w:rPr>
                <w:sz w:val="20"/>
                <w:szCs w:val="20"/>
              </w:rPr>
              <w:t>-0,5</w:t>
            </w:r>
          </w:p>
        </w:tc>
      </w:tr>
      <w:tr w:rsidR="00DA1615" w:rsidRPr="001C0357" w14:paraId="6C5F8269" w14:textId="77777777" w:rsidTr="00352EDD">
        <w:trPr>
          <w:trHeight w:val="20"/>
          <w:jc w:val="center"/>
        </w:trPr>
        <w:tc>
          <w:tcPr>
            <w:tcW w:w="3059" w:type="dxa"/>
            <w:noWrap/>
            <w:vAlign w:val="center"/>
          </w:tcPr>
          <w:p w14:paraId="0732B429" w14:textId="0845EB31" w:rsidR="00DA1615" w:rsidRPr="001C0357" w:rsidRDefault="00DA1615" w:rsidP="00DA1615">
            <w:pPr>
              <w:spacing w:before="60" w:after="60"/>
              <w:ind w:firstLine="0"/>
              <w:jc w:val="left"/>
              <w:rPr>
                <w:rFonts w:eastAsia="Times New Roman" w:cs="Times New Roman"/>
                <w:noProof/>
                <w:color w:val="000000"/>
                <w:sz w:val="20"/>
                <w:szCs w:val="20"/>
                <w:lang w:eastAsia="lv-LV"/>
              </w:rPr>
            </w:pPr>
            <w:r w:rsidRPr="001C0357">
              <w:rPr>
                <w:rFonts w:eastAsia="Times New Roman" w:cs="Times New Roman"/>
                <w:noProof/>
                <w:color w:val="000000"/>
                <w:sz w:val="20"/>
                <w:szCs w:val="20"/>
                <w:lang w:eastAsia="lv-LV"/>
              </w:rPr>
              <w:t>Vispārējās valdības budžeta strukturālā bilance</w:t>
            </w:r>
            <w:r w:rsidRPr="001C0357">
              <w:rPr>
                <w:noProof/>
              </w:rPr>
              <w:t xml:space="preserve"> </w:t>
            </w:r>
            <w:r w:rsidRPr="001C0357">
              <w:rPr>
                <w:rFonts w:eastAsia="Times New Roman" w:cs="Times New Roman"/>
                <w:noProof/>
                <w:color w:val="000000"/>
                <w:sz w:val="20"/>
                <w:szCs w:val="20"/>
                <w:lang w:eastAsia="lv-LV"/>
              </w:rPr>
              <w:t>pie nemainīgas politikas, % no IKP</w:t>
            </w:r>
          </w:p>
        </w:tc>
        <w:tc>
          <w:tcPr>
            <w:tcW w:w="1291" w:type="dxa"/>
            <w:vAlign w:val="center"/>
          </w:tcPr>
          <w:p w14:paraId="3F363B66" w14:textId="1C07035B" w:rsidR="00DA1615" w:rsidRPr="001C0357" w:rsidRDefault="00DA1615" w:rsidP="00DA1615">
            <w:pPr>
              <w:spacing w:before="60" w:after="60"/>
              <w:ind w:firstLine="0"/>
              <w:jc w:val="center"/>
              <w:rPr>
                <w:rFonts w:cs="Times New Roman"/>
                <w:noProof/>
                <w:color w:val="000000"/>
                <w:sz w:val="20"/>
                <w:szCs w:val="20"/>
              </w:rPr>
            </w:pPr>
            <w:r w:rsidRPr="001C0357">
              <w:rPr>
                <w:rFonts w:cs="Times New Roman"/>
                <w:noProof/>
                <w:color w:val="000000"/>
                <w:sz w:val="20"/>
                <w:szCs w:val="20"/>
              </w:rPr>
              <w:t>(</w:t>
            </w:r>
            <w:r>
              <w:rPr>
                <w:rFonts w:cs="Times New Roman"/>
                <w:noProof/>
                <w:color w:val="000000"/>
                <w:sz w:val="20"/>
                <w:szCs w:val="20"/>
              </w:rPr>
              <w:t>10</w:t>
            </w:r>
            <w:r w:rsidRPr="001C0357">
              <w:rPr>
                <w:rFonts w:cs="Times New Roman"/>
                <w:noProof/>
                <w:color w:val="000000"/>
                <w:sz w:val="20"/>
                <w:szCs w:val="20"/>
              </w:rPr>
              <w:t>)=(2)-(3)-(4)</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1E91875E" w14:textId="77777777" w:rsidR="00DA1615" w:rsidRPr="001C0357" w:rsidRDefault="00DA1615" w:rsidP="00DA1615">
            <w:pPr>
              <w:spacing w:before="60" w:after="60"/>
              <w:ind w:firstLine="0"/>
              <w:jc w:val="center"/>
              <w:rPr>
                <w:rFonts w:cs="Times New Roman"/>
                <w:noProof/>
                <w:color w:val="000000" w:themeColor="text1"/>
                <w:sz w:val="20"/>
                <w:szCs w:val="20"/>
              </w:rPr>
            </w:pPr>
            <w:r w:rsidRPr="001C0357">
              <w:rPr>
                <w:rFonts w:cs="Times New Roman"/>
                <w:noProof/>
                <w:color w:val="000000" w:themeColor="text1"/>
                <w:sz w:val="20"/>
                <w:szCs w:val="20"/>
              </w:rPr>
              <w:t>-1,1</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5002F212" w14:textId="77777777" w:rsidR="00DA1615" w:rsidRPr="001C0357" w:rsidRDefault="00DA1615" w:rsidP="00DA1615">
            <w:pPr>
              <w:spacing w:before="60" w:after="60"/>
              <w:ind w:firstLine="0"/>
              <w:jc w:val="center"/>
              <w:rPr>
                <w:rFonts w:cs="Times New Roman"/>
                <w:noProof/>
                <w:color w:val="000000" w:themeColor="text1"/>
                <w:sz w:val="20"/>
                <w:szCs w:val="20"/>
              </w:rPr>
            </w:pPr>
            <w:r w:rsidRPr="001C0357">
              <w:rPr>
                <w:rFonts w:cs="Times New Roman"/>
                <w:noProof/>
                <w:color w:val="000000" w:themeColor="text1"/>
                <w:sz w:val="20"/>
                <w:szCs w:val="20"/>
              </w:rPr>
              <w:t>-2,2</w:t>
            </w:r>
          </w:p>
        </w:tc>
        <w:tc>
          <w:tcPr>
            <w:tcW w:w="754" w:type="dxa"/>
            <w:tcBorders>
              <w:top w:val="single" w:sz="4" w:space="0" w:color="auto"/>
              <w:left w:val="single" w:sz="4" w:space="0" w:color="auto"/>
              <w:bottom w:val="single" w:sz="4" w:space="0" w:color="auto"/>
              <w:right w:val="single" w:sz="4" w:space="0" w:color="auto"/>
            </w:tcBorders>
            <w:shd w:val="clear" w:color="auto" w:fill="EBE2D1"/>
            <w:vAlign w:val="center"/>
          </w:tcPr>
          <w:p w14:paraId="1C0D7CF9" w14:textId="77777777" w:rsidR="00DA1615" w:rsidRPr="001C0357" w:rsidRDefault="00DA1615" w:rsidP="00DA1615">
            <w:pPr>
              <w:spacing w:before="60" w:after="60"/>
              <w:ind w:firstLine="0"/>
              <w:jc w:val="center"/>
              <w:rPr>
                <w:rFonts w:cs="Times New Roman"/>
                <w:noProof/>
                <w:color w:val="000000" w:themeColor="text1"/>
                <w:sz w:val="20"/>
                <w:szCs w:val="20"/>
              </w:rPr>
            </w:pPr>
            <w:r w:rsidRPr="001C0357">
              <w:rPr>
                <w:rFonts w:cs="Times New Roman"/>
                <w:noProof/>
                <w:color w:val="000000" w:themeColor="text1"/>
                <w:sz w:val="20"/>
                <w:szCs w:val="20"/>
              </w:rPr>
              <w:t>-2,1</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4C802D87" w14:textId="77777777" w:rsidR="00DA1615" w:rsidRPr="001C0357" w:rsidRDefault="00DA1615" w:rsidP="00DA1615">
            <w:pPr>
              <w:spacing w:before="60" w:after="60"/>
              <w:ind w:firstLine="0"/>
              <w:jc w:val="center"/>
              <w:rPr>
                <w:rFonts w:cs="Times New Roman"/>
                <w:noProof/>
                <w:color w:val="000000" w:themeColor="text1"/>
                <w:sz w:val="20"/>
                <w:szCs w:val="20"/>
              </w:rPr>
            </w:pPr>
            <w:r w:rsidRPr="001C0357">
              <w:rPr>
                <w:rFonts w:cs="Times New Roman"/>
                <w:noProof/>
                <w:color w:val="000000" w:themeColor="text1"/>
                <w:sz w:val="20"/>
                <w:szCs w:val="20"/>
              </w:rPr>
              <w:t>-3,0</w:t>
            </w:r>
          </w:p>
        </w:tc>
      </w:tr>
      <w:tr w:rsidR="00DA1615" w:rsidRPr="001C0357" w14:paraId="3FC5842A" w14:textId="77777777" w:rsidTr="00352EDD">
        <w:trPr>
          <w:trHeight w:val="20"/>
          <w:jc w:val="center"/>
        </w:trPr>
        <w:tc>
          <w:tcPr>
            <w:tcW w:w="3059" w:type="dxa"/>
            <w:noWrap/>
            <w:vAlign w:val="center"/>
          </w:tcPr>
          <w:p w14:paraId="271AE557" w14:textId="5FCA3BEB" w:rsidR="00DA1615" w:rsidRPr="001C0357" w:rsidRDefault="00DA1615" w:rsidP="00DA1615">
            <w:pPr>
              <w:spacing w:before="60" w:after="60"/>
              <w:ind w:firstLine="0"/>
              <w:jc w:val="left"/>
              <w:rPr>
                <w:rFonts w:eastAsia="Times New Roman" w:cs="Times New Roman"/>
                <w:noProof/>
                <w:color w:val="000000"/>
                <w:sz w:val="20"/>
                <w:szCs w:val="20"/>
                <w:lang w:eastAsia="lv-LV"/>
              </w:rPr>
            </w:pPr>
            <w:r w:rsidRPr="001C0357">
              <w:rPr>
                <w:rFonts w:eastAsia="Times New Roman" w:cs="Times New Roman"/>
                <w:noProof/>
                <w:color w:val="000000"/>
                <w:sz w:val="20"/>
                <w:szCs w:val="20"/>
                <w:lang w:eastAsia="lv-LV"/>
              </w:rPr>
              <w:t xml:space="preserve">Fiskālā nodrošinājuma rezerve, </w:t>
            </w:r>
          </w:p>
          <w:p w14:paraId="4DDD035C" w14:textId="77777777" w:rsidR="00DA1615" w:rsidRPr="001C0357" w:rsidRDefault="00DA1615" w:rsidP="00DA1615">
            <w:pPr>
              <w:spacing w:before="60" w:after="60"/>
              <w:ind w:firstLine="0"/>
              <w:jc w:val="left"/>
              <w:rPr>
                <w:rFonts w:eastAsia="Times New Roman" w:cs="Times New Roman"/>
                <w:noProof/>
                <w:color w:val="000000"/>
                <w:sz w:val="20"/>
                <w:szCs w:val="20"/>
                <w:lang w:eastAsia="lv-LV"/>
              </w:rPr>
            </w:pPr>
            <w:r w:rsidRPr="001C0357">
              <w:rPr>
                <w:rFonts w:eastAsia="Times New Roman" w:cs="Times New Roman"/>
                <w:noProof/>
                <w:color w:val="000000"/>
                <w:sz w:val="20"/>
                <w:szCs w:val="20"/>
                <w:lang w:eastAsia="lv-LV"/>
              </w:rPr>
              <w:t>% no IKP</w:t>
            </w:r>
          </w:p>
        </w:tc>
        <w:tc>
          <w:tcPr>
            <w:tcW w:w="1291" w:type="dxa"/>
            <w:vAlign w:val="center"/>
          </w:tcPr>
          <w:p w14:paraId="32D6C893" w14:textId="3C641D81" w:rsidR="00DA1615" w:rsidRPr="001C0357" w:rsidRDefault="00DA1615" w:rsidP="00DA1615">
            <w:pPr>
              <w:spacing w:before="60" w:after="60"/>
              <w:ind w:firstLine="0"/>
              <w:jc w:val="center"/>
              <w:rPr>
                <w:rFonts w:cs="Times New Roman"/>
                <w:noProof/>
                <w:color w:val="000000"/>
                <w:sz w:val="20"/>
                <w:szCs w:val="20"/>
              </w:rPr>
            </w:pPr>
            <w:r w:rsidRPr="001C0357">
              <w:rPr>
                <w:rFonts w:cs="Times New Roman"/>
                <w:noProof/>
                <w:color w:val="000000"/>
                <w:sz w:val="20"/>
                <w:szCs w:val="20"/>
              </w:rPr>
              <w:t>(</w:t>
            </w:r>
            <w:r>
              <w:rPr>
                <w:rFonts w:cs="Times New Roman"/>
                <w:noProof/>
                <w:color w:val="000000"/>
                <w:sz w:val="20"/>
                <w:szCs w:val="20"/>
              </w:rPr>
              <w:t>11</w:t>
            </w:r>
            <w:r w:rsidRPr="001C0357">
              <w:rPr>
                <w:rFonts w:cs="Times New Roman"/>
                <w:noProof/>
                <w:color w:val="000000"/>
                <w:sz w:val="20"/>
                <w:szCs w:val="20"/>
              </w:rPr>
              <w:t>)</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74D9754F" w14:textId="77777777" w:rsidR="00DA1615" w:rsidRPr="001C0357" w:rsidRDefault="00DA1615" w:rsidP="00DA1615">
            <w:pPr>
              <w:spacing w:before="60" w:after="60"/>
              <w:ind w:firstLine="0"/>
              <w:jc w:val="center"/>
              <w:rPr>
                <w:rFonts w:cs="Times New Roman"/>
                <w:noProof/>
                <w:color w:val="000000" w:themeColor="text1"/>
                <w:sz w:val="20"/>
                <w:szCs w:val="20"/>
              </w:rPr>
            </w:pPr>
            <w:r w:rsidRPr="001C0357">
              <w:rPr>
                <w:rFonts w:cs="Times New Roman"/>
                <w:noProof/>
                <w:color w:val="000000" w:themeColor="text1"/>
                <w:sz w:val="20"/>
                <w:szCs w:val="20"/>
              </w:rPr>
              <w:t>0,1</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55764398" w14:textId="77777777" w:rsidR="00DA1615" w:rsidRPr="001C0357" w:rsidRDefault="00DA1615" w:rsidP="00DA1615">
            <w:pPr>
              <w:spacing w:before="60" w:after="60"/>
              <w:ind w:firstLine="0"/>
              <w:jc w:val="center"/>
              <w:rPr>
                <w:rFonts w:cs="Times New Roman"/>
                <w:noProof/>
                <w:color w:val="000000" w:themeColor="text1"/>
                <w:sz w:val="20"/>
                <w:szCs w:val="20"/>
              </w:rPr>
            </w:pPr>
            <w:r w:rsidRPr="001C0357">
              <w:rPr>
                <w:rFonts w:cs="Times New Roman"/>
                <w:noProof/>
                <w:color w:val="000000" w:themeColor="text1"/>
                <w:sz w:val="20"/>
                <w:szCs w:val="20"/>
              </w:rPr>
              <w:t>0,1</w:t>
            </w:r>
          </w:p>
        </w:tc>
        <w:tc>
          <w:tcPr>
            <w:tcW w:w="754" w:type="dxa"/>
            <w:tcBorders>
              <w:top w:val="single" w:sz="4" w:space="0" w:color="auto"/>
              <w:left w:val="single" w:sz="4" w:space="0" w:color="auto"/>
              <w:bottom w:val="single" w:sz="4" w:space="0" w:color="auto"/>
              <w:right w:val="single" w:sz="4" w:space="0" w:color="auto"/>
            </w:tcBorders>
            <w:shd w:val="clear" w:color="auto" w:fill="EBE2D1"/>
            <w:vAlign w:val="center"/>
          </w:tcPr>
          <w:p w14:paraId="350C0DA3" w14:textId="77777777" w:rsidR="00DA1615" w:rsidRPr="001C0357" w:rsidRDefault="00DA1615" w:rsidP="00DA1615">
            <w:pPr>
              <w:spacing w:before="60" w:after="60"/>
              <w:ind w:firstLine="0"/>
              <w:jc w:val="center"/>
              <w:rPr>
                <w:rFonts w:cs="Times New Roman"/>
                <w:noProof/>
                <w:color w:val="000000" w:themeColor="text1"/>
                <w:sz w:val="20"/>
                <w:szCs w:val="20"/>
              </w:rPr>
            </w:pPr>
            <w:r w:rsidRPr="001C0357">
              <w:rPr>
                <w:rFonts w:cs="Times New Roman"/>
                <w:noProof/>
                <w:color w:val="000000" w:themeColor="text1"/>
                <w:sz w:val="20"/>
                <w:szCs w:val="20"/>
              </w:rPr>
              <w:t>0,1</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2A7403E0" w14:textId="77777777" w:rsidR="00DA1615" w:rsidRPr="001C0357" w:rsidRDefault="00DA1615" w:rsidP="00DA1615">
            <w:pPr>
              <w:spacing w:before="60" w:after="60"/>
              <w:ind w:firstLine="0"/>
              <w:jc w:val="center"/>
              <w:rPr>
                <w:rFonts w:cs="Times New Roman"/>
                <w:noProof/>
                <w:color w:val="000000" w:themeColor="text1"/>
                <w:sz w:val="20"/>
                <w:szCs w:val="20"/>
              </w:rPr>
            </w:pPr>
            <w:r w:rsidRPr="001C0357">
              <w:rPr>
                <w:rFonts w:cs="Times New Roman"/>
                <w:noProof/>
                <w:color w:val="000000" w:themeColor="text1"/>
                <w:sz w:val="20"/>
                <w:szCs w:val="20"/>
              </w:rPr>
              <w:t>0,1</w:t>
            </w:r>
          </w:p>
        </w:tc>
      </w:tr>
      <w:tr w:rsidR="00DA1615" w:rsidRPr="001C0357" w14:paraId="126A64EC" w14:textId="77777777" w:rsidTr="00352EDD">
        <w:trPr>
          <w:trHeight w:val="20"/>
          <w:jc w:val="center"/>
        </w:trPr>
        <w:tc>
          <w:tcPr>
            <w:tcW w:w="3059" w:type="dxa"/>
            <w:noWrap/>
            <w:vAlign w:val="center"/>
          </w:tcPr>
          <w:p w14:paraId="176C064B" w14:textId="591D064C" w:rsidR="00DA1615" w:rsidRPr="001C0357" w:rsidRDefault="00DA1615" w:rsidP="00DA1615">
            <w:pPr>
              <w:spacing w:before="60" w:after="60"/>
              <w:ind w:firstLine="0"/>
              <w:jc w:val="left"/>
              <w:rPr>
                <w:rFonts w:eastAsia="Times New Roman" w:cs="Times New Roman"/>
                <w:b/>
                <w:bCs/>
                <w:noProof/>
                <w:color w:val="000000"/>
                <w:sz w:val="20"/>
                <w:szCs w:val="20"/>
                <w:lang w:eastAsia="lv-LV"/>
              </w:rPr>
            </w:pPr>
            <w:r w:rsidRPr="001C0357">
              <w:rPr>
                <w:rFonts w:eastAsia="Times New Roman" w:cs="Times New Roman"/>
                <w:b/>
                <w:bCs/>
                <w:noProof/>
                <w:color w:val="000000"/>
                <w:sz w:val="20"/>
                <w:szCs w:val="20"/>
                <w:lang w:eastAsia="lv-LV"/>
              </w:rPr>
              <w:t xml:space="preserve">Fiskālā telpa atbilstoši </w:t>
            </w:r>
            <w:r>
              <w:rPr>
                <w:rFonts w:eastAsia="Times New Roman" w:cs="Times New Roman"/>
                <w:b/>
                <w:bCs/>
                <w:noProof/>
                <w:color w:val="000000"/>
                <w:sz w:val="20"/>
                <w:szCs w:val="20"/>
                <w:lang w:eastAsia="lv-LV"/>
              </w:rPr>
              <w:t xml:space="preserve">FDL </w:t>
            </w:r>
            <w:r w:rsidRPr="001C0357">
              <w:rPr>
                <w:rFonts w:eastAsia="Times New Roman" w:cs="Times New Roman"/>
                <w:b/>
                <w:bCs/>
                <w:noProof/>
                <w:color w:val="000000"/>
                <w:sz w:val="20"/>
                <w:szCs w:val="20"/>
                <w:lang w:eastAsia="lv-LV"/>
              </w:rPr>
              <w:t>strukturālās bilances nosacījumam, % no IKP</w:t>
            </w:r>
          </w:p>
        </w:tc>
        <w:tc>
          <w:tcPr>
            <w:tcW w:w="1291" w:type="dxa"/>
            <w:vAlign w:val="center"/>
          </w:tcPr>
          <w:p w14:paraId="263A2637" w14:textId="7D183AE2" w:rsidR="00DA1615" w:rsidRPr="001C0357" w:rsidRDefault="00DA1615" w:rsidP="00DA1615">
            <w:pPr>
              <w:spacing w:before="60" w:after="60"/>
              <w:ind w:firstLine="0"/>
              <w:jc w:val="center"/>
              <w:rPr>
                <w:rFonts w:cs="Times New Roman"/>
                <w:b/>
                <w:bCs/>
                <w:noProof/>
                <w:color w:val="000000"/>
                <w:sz w:val="20"/>
                <w:szCs w:val="20"/>
              </w:rPr>
            </w:pPr>
            <w:r w:rsidRPr="001C0357">
              <w:rPr>
                <w:rFonts w:cs="Times New Roman"/>
                <w:b/>
                <w:bCs/>
                <w:noProof/>
                <w:color w:val="000000"/>
                <w:sz w:val="20"/>
                <w:szCs w:val="20"/>
              </w:rPr>
              <w:t>(</w:t>
            </w:r>
            <w:r>
              <w:rPr>
                <w:rFonts w:cs="Times New Roman"/>
                <w:b/>
                <w:bCs/>
                <w:noProof/>
                <w:color w:val="000000"/>
                <w:sz w:val="20"/>
                <w:szCs w:val="20"/>
              </w:rPr>
              <w:t>12</w:t>
            </w:r>
            <w:r w:rsidRPr="001C0357">
              <w:rPr>
                <w:rFonts w:cs="Times New Roman"/>
                <w:b/>
                <w:bCs/>
                <w:noProof/>
                <w:color w:val="000000"/>
                <w:sz w:val="20"/>
                <w:szCs w:val="20"/>
              </w:rPr>
              <w:t>)=(</w:t>
            </w:r>
            <w:r>
              <w:rPr>
                <w:rFonts w:cs="Times New Roman"/>
                <w:b/>
                <w:bCs/>
                <w:noProof/>
                <w:color w:val="000000"/>
                <w:sz w:val="20"/>
                <w:szCs w:val="20"/>
              </w:rPr>
              <w:t>10</w:t>
            </w:r>
            <w:r w:rsidRPr="001C0357">
              <w:rPr>
                <w:rFonts w:cs="Times New Roman"/>
                <w:b/>
                <w:bCs/>
                <w:noProof/>
                <w:color w:val="000000"/>
                <w:sz w:val="20"/>
                <w:szCs w:val="20"/>
              </w:rPr>
              <w:t>)-(</w:t>
            </w:r>
            <w:r>
              <w:rPr>
                <w:rFonts w:cs="Times New Roman"/>
                <w:b/>
                <w:bCs/>
                <w:noProof/>
                <w:color w:val="000000"/>
                <w:sz w:val="20"/>
                <w:szCs w:val="20"/>
              </w:rPr>
              <w:t>11</w:t>
            </w:r>
            <w:r w:rsidRPr="001C0357">
              <w:rPr>
                <w:rFonts w:cs="Times New Roman"/>
                <w:b/>
                <w:bCs/>
                <w:noProof/>
                <w:color w:val="000000"/>
                <w:sz w:val="20"/>
                <w:szCs w:val="20"/>
              </w:rPr>
              <w:t>)-(1)</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1FD8E3F3" w14:textId="77777777" w:rsidR="00DA1615" w:rsidRPr="001C0357" w:rsidRDefault="00DA1615" w:rsidP="00DA1615">
            <w:pPr>
              <w:spacing w:before="60" w:after="60"/>
              <w:ind w:firstLine="0"/>
              <w:jc w:val="center"/>
              <w:rPr>
                <w:rFonts w:cs="Times New Roman"/>
                <w:b/>
                <w:bCs/>
                <w:noProof/>
                <w:color w:val="000000" w:themeColor="text1"/>
                <w:sz w:val="20"/>
                <w:szCs w:val="20"/>
              </w:rPr>
            </w:pPr>
            <w:r w:rsidRPr="001C0357">
              <w:rPr>
                <w:rFonts w:cs="Times New Roman"/>
                <w:b/>
                <w:bCs/>
                <w:noProof/>
                <w:color w:val="00B050"/>
                <w:sz w:val="20"/>
                <w:szCs w:val="20"/>
              </w:rPr>
              <w:t>0,09</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5EAD9E31" w14:textId="77777777" w:rsidR="00DA1615" w:rsidRPr="001C0357" w:rsidRDefault="00DA1615" w:rsidP="00DA1615">
            <w:pPr>
              <w:spacing w:before="60" w:after="60"/>
              <w:ind w:firstLine="0"/>
              <w:jc w:val="center"/>
              <w:rPr>
                <w:rFonts w:cs="Times New Roman"/>
                <w:b/>
                <w:bCs/>
                <w:noProof/>
                <w:color w:val="FF0000"/>
                <w:sz w:val="20"/>
                <w:szCs w:val="20"/>
              </w:rPr>
            </w:pPr>
            <w:r w:rsidRPr="001C0357">
              <w:rPr>
                <w:rFonts w:cs="Times New Roman"/>
                <w:b/>
                <w:bCs/>
                <w:noProof/>
                <w:color w:val="FF0000"/>
                <w:sz w:val="20"/>
                <w:szCs w:val="20"/>
              </w:rPr>
              <w:t>-0,30</w:t>
            </w:r>
          </w:p>
        </w:tc>
        <w:tc>
          <w:tcPr>
            <w:tcW w:w="754" w:type="dxa"/>
            <w:tcBorders>
              <w:top w:val="single" w:sz="4" w:space="0" w:color="auto"/>
              <w:left w:val="single" w:sz="4" w:space="0" w:color="auto"/>
              <w:bottom w:val="single" w:sz="4" w:space="0" w:color="auto"/>
              <w:right w:val="single" w:sz="4" w:space="0" w:color="auto"/>
            </w:tcBorders>
            <w:shd w:val="clear" w:color="auto" w:fill="EBE2D1"/>
            <w:vAlign w:val="center"/>
          </w:tcPr>
          <w:p w14:paraId="459AB17D" w14:textId="77777777" w:rsidR="00DA1615" w:rsidRPr="001C0357" w:rsidRDefault="00DA1615" w:rsidP="00DA1615">
            <w:pPr>
              <w:spacing w:before="60" w:after="60"/>
              <w:ind w:firstLine="0"/>
              <w:jc w:val="center"/>
              <w:rPr>
                <w:rFonts w:cs="Times New Roman"/>
                <w:b/>
                <w:bCs/>
                <w:noProof/>
                <w:color w:val="FF0000"/>
                <w:sz w:val="20"/>
                <w:szCs w:val="20"/>
              </w:rPr>
            </w:pPr>
            <w:r w:rsidRPr="001C0357">
              <w:rPr>
                <w:rFonts w:cs="Times New Roman"/>
                <w:b/>
                <w:bCs/>
                <w:noProof/>
                <w:color w:val="FF0000"/>
                <w:sz w:val="20"/>
                <w:szCs w:val="20"/>
              </w:rPr>
              <w:t>-0,30</w:t>
            </w:r>
          </w:p>
        </w:tc>
        <w:tc>
          <w:tcPr>
            <w:tcW w:w="754"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5A97F3A2" w14:textId="77777777" w:rsidR="00DA1615" w:rsidRPr="001C0357" w:rsidRDefault="00DA1615" w:rsidP="00DA1615">
            <w:pPr>
              <w:spacing w:before="60" w:after="60"/>
              <w:ind w:firstLine="0"/>
              <w:jc w:val="center"/>
              <w:rPr>
                <w:rFonts w:cs="Times New Roman"/>
                <w:b/>
                <w:bCs/>
                <w:noProof/>
                <w:color w:val="FF0000"/>
                <w:sz w:val="20"/>
                <w:szCs w:val="20"/>
              </w:rPr>
            </w:pPr>
            <w:r w:rsidRPr="001C0357">
              <w:rPr>
                <w:rFonts w:cs="Times New Roman"/>
                <w:b/>
                <w:bCs/>
                <w:noProof/>
                <w:color w:val="FF0000"/>
                <w:sz w:val="20"/>
                <w:szCs w:val="20"/>
              </w:rPr>
              <w:t>-0,64</w:t>
            </w:r>
          </w:p>
        </w:tc>
      </w:tr>
    </w:tbl>
    <w:p w14:paraId="654337DF" w14:textId="77777777" w:rsidR="00E05396" w:rsidRDefault="00E05396" w:rsidP="00F1215C">
      <w:pPr>
        <w:widowControl w:val="0"/>
        <w:rPr>
          <w:rFonts w:eastAsia="Times New Roman" w:cs="Times New Roman"/>
          <w:b/>
          <w:noProof/>
          <w:szCs w:val="24"/>
        </w:rPr>
      </w:pPr>
    </w:p>
    <w:p w14:paraId="3BCF55E4" w14:textId="5D717931" w:rsidR="00F1215C" w:rsidRPr="001C0357" w:rsidRDefault="00F1215C" w:rsidP="00F1215C">
      <w:pPr>
        <w:widowControl w:val="0"/>
        <w:rPr>
          <w:rFonts w:eastAsia="Times New Roman" w:cs="Times New Roman"/>
          <w:b/>
          <w:noProof/>
        </w:rPr>
      </w:pPr>
      <w:r w:rsidRPr="001C0357">
        <w:rPr>
          <w:rFonts w:eastAsia="Times New Roman" w:cs="Times New Roman"/>
          <w:b/>
          <w:noProof/>
          <w:szCs w:val="24"/>
        </w:rPr>
        <w:t>ES strukturālās primārās bilances nosacījums (2)</w:t>
      </w:r>
    </w:p>
    <w:p w14:paraId="1C1EF28F" w14:textId="40C2E6B8" w:rsidR="00F1215C" w:rsidRPr="001C0357" w:rsidRDefault="00F1215C" w:rsidP="00F1215C">
      <w:pPr>
        <w:widowControl w:val="0"/>
        <w:rPr>
          <w:rFonts w:eastAsia="Times New Roman" w:cs="Times New Roman"/>
          <w:noProof/>
          <w:szCs w:val="24"/>
        </w:rPr>
      </w:pPr>
      <w:r w:rsidRPr="001C0357">
        <w:rPr>
          <w:rFonts w:eastAsia="Times New Roman" w:cs="Times New Roman"/>
          <w:noProof/>
          <w:szCs w:val="24"/>
        </w:rPr>
        <w:t>ES strukturālās primārās bilances nosacījums ir fiskālais nosacījums, kas izriet no jaunā ES ekonomikas pārvaldības ietvara. Tas kalpo kā starprezultāts, kurā tiek izteikts nepieciešamais fiskālās ekspansijas vai konsolidācijas apjoms, lai nodrošinātu, ka deficīts līdz 2038. gadam nepārsniedz 3% no IKP robežu. Tas balstās uz ES metodoloģijā izmantoto pieņēmumu, ka nemainīgas politikas gadījumā strukturālā primārā bilance laika gaitā nemainās. Ja strukturālais primārais deficīts 2024. gadā ir lielāks, nekā tam būtu jābūt 2028. gadā, to ir nepieciešams pakāpeniski samazināt, veicot konsolidācijas pasākumus. Savukārt, ja 2024. gadā tas ir mazāks, nekā to varētu atļauties 2028. gadā, valsts var veikt ekspansīvu fiskālo politiku, bet ne vairāk, kā 2028. gadā sasniedzot maksimāli pieļaujamo līmeni. Latvija kā valsts ar deficītu zem 3% no IKP un parādu zem 60% no IKP 2024.</w:t>
      </w:r>
      <w:r w:rsidR="002D2CD4">
        <w:rPr>
          <w:rFonts w:eastAsia="Times New Roman" w:cs="Times New Roman"/>
          <w:noProof/>
          <w:szCs w:val="24"/>
        </w:rPr>
        <w:t> </w:t>
      </w:r>
      <w:r w:rsidRPr="001C0357">
        <w:rPr>
          <w:rFonts w:eastAsia="Times New Roman" w:cs="Times New Roman"/>
          <w:noProof/>
          <w:szCs w:val="24"/>
        </w:rPr>
        <w:t>gadā saņēma no EK tehnisko informāciju</w:t>
      </w:r>
      <w:r w:rsidRPr="001C0357">
        <w:rPr>
          <w:rFonts w:eastAsia="Times New Roman" w:cs="Times New Roman"/>
          <w:noProof/>
          <w:szCs w:val="24"/>
          <w:vertAlign w:val="superscript"/>
        </w:rPr>
        <w:footnoteReference w:id="11"/>
      </w:r>
      <w:r w:rsidRPr="001C0357">
        <w:rPr>
          <w:rFonts w:eastAsia="Times New Roman" w:cs="Times New Roman"/>
          <w:noProof/>
          <w:szCs w:val="24"/>
        </w:rPr>
        <w:t>, kurā bija noteikts strukturālās primārās budžeta bilances līmenis, kurš jānodrošina 2028. gadā.</w:t>
      </w:r>
    </w:p>
    <w:p w14:paraId="6A4C0C8C" w14:textId="77777777" w:rsidR="00F1215C" w:rsidRPr="001C0357" w:rsidRDefault="00F1215C" w:rsidP="00F1215C">
      <w:pPr>
        <w:widowControl w:val="0"/>
        <w:rPr>
          <w:rFonts w:eastAsia="Times New Roman" w:cs="Times New Roman"/>
          <w:noProof/>
          <w:szCs w:val="24"/>
        </w:rPr>
      </w:pPr>
      <w:r w:rsidRPr="001C0357">
        <w:rPr>
          <w:rFonts w:eastAsia="Times New Roman" w:cs="Times New Roman"/>
          <w:noProof/>
          <w:szCs w:val="24"/>
        </w:rPr>
        <w:t xml:space="preserve">Ņemot vēra Latvijai saistošo fiskālo trajektoriju, atbilstība strukturālās primārās bilances nosacījumam tiek vērtēta salīdzinot faktisko strukturālo primāro bilanci ar strukturālo primāro bilances nosacījumu, kurš izriet no ES Padomes apstiprinātās fiskālās trajektorijas. </w:t>
      </w:r>
      <w:r w:rsidRPr="001C0357">
        <w:rPr>
          <w:rFonts w:eastAsia="Times New Roman" w:cs="Times New Roman"/>
          <w:noProof/>
          <w:szCs w:val="24"/>
        </w:rPr>
        <w:lastRenderedPageBreak/>
        <w:t xml:space="preserve">2029. gadam strukturālās primārās bilances mērķis tiek noteikts 2028. gada līmenī, kā to paredz EK vienotā metodoloģija. </w:t>
      </w:r>
    </w:p>
    <w:p w14:paraId="028A4455" w14:textId="5D70C874" w:rsidR="00F1215C" w:rsidRPr="001C0357" w:rsidRDefault="00F1215C" w:rsidP="00F1215C">
      <w:pPr>
        <w:widowControl w:val="0"/>
        <w:rPr>
          <w:rFonts w:eastAsia="Times New Roman" w:cs="Times New Roman"/>
          <w:bCs/>
          <w:noProof/>
        </w:rPr>
      </w:pPr>
      <w:r w:rsidRPr="001C0357">
        <w:rPr>
          <w:rFonts w:eastAsia="Times New Roman" w:cs="Times New Roman"/>
          <w:bCs/>
          <w:noProof/>
        </w:rPr>
        <w:t xml:space="preserve">Saskaņā ar šo fiskālo nosacījumu, pieļaujamā strukturālā primārā bilance ir norādīta </w:t>
      </w:r>
      <w:r w:rsidR="00DA1615">
        <w:rPr>
          <w:rFonts w:eastAsia="Times New Roman" w:cs="Times New Roman"/>
          <w:bCs/>
          <w:noProof/>
        </w:rPr>
        <w:t>7</w:t>
      </w:r>
      <w:r w:rsidRPr="001C0357">
        <w:rPr>
          <w:rFonts w:eastAsia="Times New Roman" w:cs="Times New Roman"/>
          <w:bCs/>
          <w:noProof/>
        </w:rPr>
        <w:t>.</w:t>
      </w:r>
      <w:r w:rsidR="00DA1615">
        <w:rPr>
          <w:rFonts w:eastAsia="Times New Roman" w:cs="Times New Roman"/>
          <w:bCs/>
          <w:noProof/>
        </w:rPr>
        <w:t> </w:t>
      </w:r>
      <w:r w:rsidRPr="001C0357">
        <w:rPr>
          <w:rFonts w:eastAsia="Times New Roman" w:cs="Times New Roman"/>
          <w:bCs/>
          <w:noProof/>
        </w:rPr>
        <w:t xml:space="preserve">tabulas 1. rindā. </w:t>
      </w:r>
    </w:p>
    <w:p w14:paraId="0AE64FC7" w14:textId="73E20631" w:rsidR="00F1215C" w:rsidRPr="001C0357" w:rsidRDefault="00F1215C" w:rsidP="00F1215C">
      <w:pPr>
        <w:widowControl w:val="0"/>
        <w:rPr>
          <w:rFonts w:eastAsia="Times New Roman" w:cs="Times New Roman"/>
          <w:bCs/>
          <w:noProof/>
        </w:rPr>
      </w:pPr>
      <w:r w:rsidRPr="001C0357">
        <w:rPr>
          <w:rFonts w:eastAsia="Times New Roman" w:cs="Times New Roman"/>
          <w:bCs/>
          <w:noProof/>
        </w:rPr>
        <w:t>7. tabulā ir veikts arī pārrēķins no pieļaujamās strukturālās primārās bilances uz FDL strukturālo bilanci. Saskaņā ar šo pārrēķinu, pieļaujamais FDL strukturālai deficīts 2026. gadā ir tuvu 1,4% no IKP, būtiski augstāks 2027. gadā un 2028. gadā un tad palielinās līdz sasniedz 3,4% no IKP 2029. gadā. Nosakot vispārējās valdības strukturālās bilances mērķi, tiek ņemta vērā valsts izņēmuma klauzulas attiecīgā gada fiskālā ietekme</w:t>
      </w:r>
      <w:r w:rsidR="00F2738B" w:rsidRPr="001C0357">
        <w:rPr>
          <w:rFonts w:eastAsia="Times New Roman" w:cs="Times New Roman"/>
          <w:bCs/>
          <w:noProof/>
        </w:rPr>
        <w:t xml:space="preserve"> (skatīt 8. tabulu).</w:t>
      </w:r>
    </w:p>
    <w:p w14:paraId="408F3339" w14:textId="09214C8C" w:rsidR="00F1215C" w:rsidRPr="001C0357" w:rsidRDefault="00F1215C" w:rsidP="00F1215C">
      <w:pPr>
        <w:widowControl w:val="0"/>
        <w:jc w:val="center"/>
        <w:rPr>
          <w:rFonts w:eastAsia="Times New Roman" w:cs="Times New Roman"/>
          <w:b/>
          <w:noProof/>
          <w:szCs w:val="24"/>
        </w:rPr>
      </w:pPr>
      <w:r w:rsidRPr="001C0357">
        <w:rPr>
          <w:rFonts w:eastAsia="Times New Roman" w:cs="Times New Roman"/>
          <w:b/>
          <w:noProof/>
          <w:szCs w:val="24"/>
        </w:rPr>
        <w:t>7. tabula. Vispārējās valdības strukturālās bilances mērķi, balstoties uz ES strukturālās primārās bilances nosacījumu</w:t>
      </w:r>
    </w:p>
    <w:tbl>
      <w:tblPr>
        <w:tblW w:w="78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134"/>
        <w:gridCol w:w="1049"/>
        <w:gridCol w:w="1049"/>
        <w:gridCol w:w="1049"/>
        <w:gridCol w:w="1049"/>
      </w:tblGrid>
      <w:tr w:rsidR="00F1215C" w:rsidRPr="001C0357" w14:paraId="152CA456" w14:textId="77777777" w:rsidTr="00F1215C">
        <w:trPr>
          <w:trHeight w:val="20"/>
          <w:jc w:val="center"/>
        </w:trPr>
        <w:tc>
          <w:tcPr>
            <w:tcW w:w="2547" w:type="dxa"/>
            <w:shd w:val="clear" w:color="auto" w:fill="EBE2D1"/>
            <w:noWrap/>
            <w:vAlign w:val="bottom"/>
            <w:hideMark/>
          </w:tcPr>
          <w:p w14:paraId="50ACF8CF" w14:textId="77777777" w:rsidR="00F1215C" w:rsidRPr="00F55ECD" w:rsidRDefault="00F1215C" w:rsidP="00CA0F29">
            <w:pPr>
              <w:spacing w:before="60" w:after="0"/>
              <w:ind w:firstLine="0"/>
              <w:jc w:val="left"/>
              <w:rPr>
                <w:rFonts w:eastAsia="Times New Roman" w:cs="Times New Roman"/>
                <w:noProof/>
                <w:color w:val="000000"/>
                <w:sz w:val="20"/>
                <w:szCs w:val="20"/>
                <w:lang w:eastAsia="lv-LV"/>
              </w:rPr>
            </w:pPr>
            <w:r w:rsidRPr="00F55ECD">
              <w:rPr>
                <w:rFonts w:eastAsia="Times New Roman" w:cs="Times New Roman"/>
                <w:noProof/>
                <w:color w:val="000000"/>
                <w:sz w:val="20"/>
                <w:szCs w:val="20"/>
                <w:lang w:eastAsia="lv-LV"/>
              </w:rPr>
              <w:t> </w:t>
            </w:r>
          </w:p>
        </w:tc>
        <w:tc>
          <w:tcPr>
            <w:tcW w:w="1134" w:type="dxa"/>
            <w:shd w:val="clear" w:color="auto" w:fill="EBE2D1"/>
          </w:tcPr>
          <w:p w14:paraId="16D1F4A5" w14:textId="77777777" w:rsidR="00F1215C" w:rsidRPr="00F55ECD" w:rsidRDefault="00F1215C" w:rsidP="00CA0F29">
            <w:pPr>
              <w:spacing w:before="60" w:after="0"/>
              <w:ind w:firstLine="0"/>
              <w:jc w:val="center"/>
              <w:rPr>
                <w:rFonts w:eastAsia="Times New Roman" w:cs="Times New Roman"/>
                <w:noProof/>
                <w:color w:val="000000"/>
                <w:sz w:val="20"/>
                <w:szCs w:val="20"/>
                <w:lang w:eastAsia="lv-LV"/>
              </w:rPr>
            </w:pPr>
          </w:p>
        </w:tc>
        <w:tc>
          <w:tcPr>
            <w:tcW w:w="1049" w:type="dxa"/>
            <w:shd w:val="clear" w:color="auto" w:fill="EBE2D1"/>
            <w:noWrap/>
            <w:vAlign w:val="center"/>
            <w:hideMark/>
          </w:tcPr>
          <w:p w14:paraId="0FA31072" w14:textId="77777777" w:rsidR="00F1215C" w:rsidRPr="00F55ECD" w:rsidRDefault="00F1215C" w:rsidP="00CA0F29">
            <w:pPr>
              <w:spacing w:before="60" w:after="0"/>
              <w:ind w:firstLine="0"/>
              <w:jc w:val="center"/>
              <w:rPr>
                <w:rFonts w:eastAsia="Times New Roman" w:cs="Times New Roman"/>
                <w:b/>
                <w:bCs/>
                <w:noProof/>
                <w:color w:val="000000"/>
                <w:sz w:val="20"/>
                <w:szCs w:val="20"/>
                <w:lang w:eastAsia="lv-LV"/>
              </w:rPr>
            </w:pPr>
            <w:r w:rsidRPr="00F55ECD">
              <w:rPr>
                <w:rFonts w:eastAsia="Times New Roman" w:cs="Times New Roman"/>
                <w:b/>
                <w:bCs/>
                <w:noProof/>
                <w:color w:val="000000"/>
                <w:sz w:val="20"/>
                <w:szCs w:val="20"/>
                <w:lang w:eastAsia="lv-LV"/>
              </w:rPr>
              <w:t>2026</w:t>
            </w:r>
          </w:p>
        </w:tc>
        <w:tc>
          <w:tcPr>
            <w:tcW w:w="1049" w:type="dxa"/>
            <w:shd w:val="clear" w:color="auto" w:fill="EBE2D1"/>
            <w:noWrap/>
            <w:vAlign w:val="center"/>
            <w:hideMark/>
          </w:tcPr>
          <w:p w14:paraId="7DBAA939" w14:textId="77777777" w:rsidR="00F1215C" w:rsidRPr="00F55ECD" w:rsidRDefault="00F1215C" w:rsidP="00CA0F29">
            <w:pPr>
              <w:spacing w:before="60" w:after="0"/>
              <w:ind w:firstLine="0"/>
              <w:jc w:val="center"/>
              <w:rPr>
                <w:rFonts w:eastAsia="Times New Roman" w:cs="Times New Roman"/>
                <w:b/>
                <w:bCs/>
                <w:noProof/>
                <w:color w:val="000000"/>
                <w:sz w:val="20"/>
                <w:szCs w:val="20"/>
                <w:lang w:eastAsia="lv-LV"/>
              </w:rPr>
            </w:pPr>
            <w:r w:rsidRPr="00F55ECD">
              <w:rPr>
                <w:rFonts w:eastAsia="Times New Roman" w:cs="Times New Roman"/>
                <w:b/>
                <w:bCs/>
                <w:noProof/>
                <w:color w:val="000000"/>
                <w:sz w:val="20"/>
                <w:szCs w:val="20"/>
                <w:lang w:eastAsia="lv-LV"/>
              </w:rPr>
              <w:t>2027</w:t>
            </w:r>
          </w:p>
        </w:tc>
        <w:tc>
          <w:tcPr>
            <w:tcW w:w="1049" w:type="dxa"/>
            <w:shd w:val="clear" w:color="auto" w:fill="EBE2D1"/>
            <w:noWrap/>
            <w:vAlign w:val="center"/>
            <w:hideMark/>
          </w:tcPr>
          <w:p w14:paraId="7CFAD84E" w14:textId="77777777" w:rsidR="00F1215C" w:rsidRPr="00F55ECD" w:rsidRDefault="00F1215C" w:rsidP="00CA0F29">
            <w:pPr>
              <w:spacing w:before="60" w:after="0"/>
              <w:ind w:firstLine="0"/>
              <w:jc w:val="center"/>
              <w:rPr>
                <w:rFonts w:eastAsia="Times New Roman" w:cs="Times New Roman"/>
                <w:b/>
                <w:bCs/>
                <w:noProof/>
                <w:color w:val="000000"/>
                <w:sz w:val="20"/>
                <w:szCs w:val="20"/>
                <w:lang w:eastAsia="lv-LV"/>
              </w:rPr>
            </w:pPr>
            <w:r w:rsidRPr="00F55ECD">
              <w:rPr>
                <w:rFonts w:eastAsia="Times New Roman" w:cs="Times New Roman"/>
                <w:b/>
                <w:bCs/>
                <w:noProof/>
                <w:color w:val="000000"/>
                <w:sz w:val="20"/>
                <w:szCs w:val="20"/>
                <w:lang w:eastAsia="lv-LV"/>
              </w:rPr>
              <w:t>2028</w:t>
            </w:r>
          </w:p>
        </w:tc>
        <w:tc>
          <w:tcPr>
            <w:tcW w:w="1049" w:type="dxa"/>
            <w:shd w:val="clear" w:color="auto" w:fill="EBE2D1"/>
            <w:noWrap/>
            <w:vAlign w:val="center"/>
            <w:hideMark/>
          </w:tcPr>
          <w:p w14:paraId="3E49180E" w14:textId="77777777" w:rsidR="00F1215C" w:rsidRPr="00F55ECD" w:rsidRDefault="00F1215C" w:rsidP="00CA0F29">
            <w:pPr>
              <w:spacing w:before="60" w:after="0"/>
              <w:ind w:firstLine="0"/>
              <w:jc w:val="center"/>
              <w:rPr>
                <w:rFonts w:eastAsia="Times New Roman" w:cs="Times New Roman"/>
                <w:b/>
                <w:bCs/>
                <w:noProof/>
                <w:color w:val="000000"/>
                <w:sz w:val="20"/>
                <w:szCs w:val="20"/>
                <w:lang w:eastAsia="lv-LV"/>
              </w:rPr>
            </w:pPr>
            <w:r w:rsidRPr="00F55ECD">
              <w:rPr>
                <w:rFonts w:eastAsia="Times New Roman" w:cs="Times New Roman"/>
                <w:b/>
                <w:bCs/>
                <w:noProof/>
                <w:color w:val="000000"/>
                <w:sz w:val="20"/>
                <w:szCs w:val="20"/>
                <w:lang w:eastAsia="lv-LV"/>
              </w:rPr>
              <w:t>2029</w:t>
            </w:r>
          </w:p>
        </w:tc>
      </w:tr>
      <w:tr w:rsidR="00F1215C" w:rsidRPr="001C0357" w14:paraId="05CFF823" w14:textId="77777777" w:rsidTr="00CA0F29">
        <w:trPr>
          <w:trHeight w:val="20"/>
          <w:jc w:val="center"/>
        </w:trPr>
        <w:tc>
          <w:tcPr>
            <w:tcW w:w="2547" w:type="dxa"/>
            <w:noWrap/>
            <w:vAlign w:val="center"/>
          </w:tcPr>
          <w:p w14:paraId="6CA92326" w14:textId="6436F716" w:rsidR="00F1215C" w:rsidRPr="00F55ECD" w:rsidRDefault="00F1215C" w:rsidP="00CA0F29">
            <w:pPr>
              <w:spacing w:before="60" w:after="60"/>
              <w:ind w:firstLine="0"/>
              <w:jc w:val="left"/>
              <w:rPr>
                <w:rFonts w:eastAsia="Times New Roman" w:cs="Times New Roman"/>
                <w:noProof/>
                <w:sz w:val="20"/>
                <w:szCs w:val="20"/>
                <w:lang w:eastAsia="lv-LV"/>
              </w:rPr>
            </w:pPr>
            <w:r w:rsidRPr="00F55ECD">
              <w:rPr>
                <w:rFonts w:eastAsia="Times New Roman" w:cs="Times New Roman"/>
                <w:noProof/>
                <w:sz w:val="20"/>
                <w:szCs w:val="20"/>
                <w:lang w:eastAsia="lv-LV"/>
              </w:rPr>
              <w:t>Strukturālās primārās bilances mērķis, % no IKP</w:t>
            </w:r>
          </w:p>
        </w:tc>
        <w:tc>
          <w:tcPr>
            <w:tcW w:w="1134" w:type="dxa"/>
            <w:vAlign w:val="center"/>
          </w:tcPr>
          <w:p w14:paraId="2FB65394" w14:textId="77777777" w:rsidR="00F1215C" w:rsidRPr="00F55ECD" w:rsidRDefault="00F1215C" w:rsidP="00CA0F29">
            <w:pPr>
              <w:spacing w:before="60" w:after="60"/>
              <w:ind w:firstLine="0"/>
              <w:jc w:val="center"/>
              <w:rPr>
                <w:rFonts w:eastAsia="Times New Roman" w:cs="Times New Roman"/>
                <w:noProof/>
                <w:sz w:val="20"/>
                <w:szCs w:val="20"/>
                <w:lang w:eastAsia="lv-LV"/>
              </w:rPr>
            </w:pPr>
            <w:r w:rsidRPr="00F55ECD">
              <w:rPr>
                <w:rFonts w:eastAsia="Times New Roman" w:cs="Times New Roman"/>
                <w:noProof/>
                <w:sz w:val="20"/>
                <w:szCs w:val="20"/>
                <w:lang w:eastAsia="lv-LV"/>
              </w:rPr>
              <w:t>(1)</w:t>
            </w:r>
          </w:p>
        </w:tc>
        <w:tc>
          <w:tcPr>
            <w:tcW w:w="1049" w:type="dxa"/>
            <w:noWrap/>
            <w:vAlign w:val="center"/>
          </w:tcPr>
          <w:p w14:paraId="00B12877" w14:textId="77777777" w:rsidR="00F1215C" w:rsidRPr="00F55ECD" w:rsidRDefault="00F1215C" w:rsidP="00CA0F29">
            <w:pPr>
              <w:spacing w:before="60" w:after="60"/>
              <w:ind w:firstLine="0"/>
              <w:jc w:val="center"/>
              <w:rPr>
                <w:rFonts w:eastAsia="Times New Roman" w:cs="Times New Roman"/>
                <w:noProof/>
                <w:sz w:val="20"/>
                <w:szCs w:val="20"/>
                <w:lang w:eastAsia="lv-LV"/>
              </w:rPr>
            </w:pPr>
            <w:r w:rsidRPr="00F55ECD">
              <w:rPr>
                <w:rFonts w:cs="Times New Roman"/>
                <w:noProof/>
                <w:sz w:val="20"/>
                <w:szCs w:val="20"/>
              </w:rPr>
              <w:t>-1,322</w:t>
            </w:r>
          </w:p>
        </w:tc>
        <w:tc>
          <w:tcPr>
            <w:tcW w:w="1049" w:type="dxa"/>
            <w:shd w:val="clear" w:color="auto" w:fill="FFFFFF" w:themeFill="background1"/>
            <w:noWrap/>
            <w:vAlign w:val="center"/>
            <w:hideMark/>
          </w:tcPr>
          <w:p w14:paraId="276A0C96" w14:textId="77777777" w:rsidR="00F1215C" w:rsidRPr="00F55ECD" w:rsidRDefault="00F1215C" w:rsidP="00CA0F29">
            <w:pPr>
              <w:spacing w:before="60" w:after="60"/>
              <w:ind w:firstLine="0"/>
              <w:jc w:val="center"/>
              <w:rPr>
                <w:rFonts w:eastAsia="Times New Roman" w:cs="Times New Roman"/>
                <w:noProof/>
                <w:sz w:val="20"/>
                <w:szCs w:val="20"/>
                <w:lang w:eastAsia="lv-LV"/>
              </w:rPr>
            </w:pPr>
            <w:r w:rsidRPr="00F55ECD">
              <w:rPr>
                <w:rFonts w:cs="Times New Roman"/>
                <w:noProof/>
                <w:sz w:val="20"/>
                <w:szCs w:val="20"/>
              </w:rPr>
              <w:t>-1,302</w:t>
            </w:r>
          </w:p>
        </w:tc>
        <w:tc>
          <w:tcPr>
            <w:tcW w:w="1049" w:type="dxa"/>
            <w:shd w:val="clear" w:color="auto" w:fill="FFFFFF" w:themeFill="background1"/>
            <w:noWrap/>
            <w:vAlign w:val="center"/>
            <w:hideMark/>
          </w:tcPr>
          <w:p w14:paraId="2A71A88B" w14:textId="77777777" w:rsidR="00F1215C" w:rsidRPr="00F55ECD" w:rsidRDefault="00F1215C" w:rsidP="00CA0F29">
            <w:pPr>
              <w:spacing w:before="60" w:after="60"/>
              <w:ind w:firstLine="0"/>
              <w:jc w:val="center"/>
              <w:rPr>
                <w:rFonts w:eastAsia="Times New Roman" w:cs="Times New Roman"/>
                <w:noProof/>
                <w:sz w:val="20"/>
                <w:szCs w:val="20"/>
                <w:lang w:eastAsia="lv-LV"/>
              </w:rPr>
            </w:pPr>
            <w:r w:rsidRPr="00F55ECD">
              <w:rPr>
                <w:rFonts w:cs="Times New Roman"/>
                <w:noProof/>
                <w:sz w:val="20"/>
                <w:szCs w:val="20"/>
              </w:rPr>
              <w:t>-1,257</w:t>
            </w:r>
          </w:p>
        </w:tc>
        <w:tc>
          <w:tcPr>
            <w:tcW w:w="1049" w:type="dxa"/>
            <w:shd w:val="clear" w:color="auto" w:fill="FFFFFF" w:themeFill="background1"/>
            <w:noWrap/>
            <w:vAlign w:val="center"/>
            <w:hideMark/>
          </w:tcPr>
          <w:p w14:paraId="655B9780" w14:textId="77777777" w:rsidR="00F1215C" w:rsidRPr="00F55ECD" w:rsidRDefault="00F1215C" w:rsidP="00CA0F29">
            <w:pPr>
              <w:spacing w:before="60" w:after="60"/>
              <w:ind w:firstLine="0"/>
              <w:jc w:val="center"/>
              <w:rPr>
                <w:rFonts w:eastAsia="Times New Roman" w:cs="Times New Roman"/>
                <w:noProof/>
                <w:sz w:val="20"/>
                <w:szCs w:val="20"/>
                <w:lang w:eastAsia="lv-LV"/>
              </w:rPr>
            </w:pPr>
            <w:r w:rsidRPr="00F55ECD">
              <w:rPr>
                <w:rFonts w:cs="Times New Roman"/>
                <w:noProof/>
                <w:sz w:val="20"/>
                <w:szCs w:val="20"/>
              </w:rPr>
              <w:t>-1,257</w:t>
            </w:r>
          </w:p>
        </w:tc>
      </w:tr>
      <w:tr w:rsidR="00F1215C" w:rsidRPr="001C0357" w14:paraId="70ADFEC7" w14:textId="77777777" w:rsidTr="00CA0F29">
        <w:trPr>
          <w:trHeight w:val="20"/>
          <w:jc w:val="center"/>
        </w:trPr>
        <w:tc>
          <w:tcPr>
            <w:tcW w:w="2547" w:type="dxa"/>
            <w:noWrap/>
            <w:vAlign w:val="center"/>
          </w:tcPr>
          <w:p w14:paraId="166EFE6E" w14:textId="6452A2CC" w:rsidR="00F1215C" w:rsidRPr="00F55ECD" w:rsidRDefault="00F1215C" w:rsidP="00CA0F29">
            <w:pPr>
              <w:spacing w:before="60" w:after="60"/>
              <w:ind w:firstLine="0"/>
              <w:jc w:val="left"/>
              <w:rPr>
                <w:rFonts w:eastAsia="Times New Roman" w:cs="Times New Roman"/>
                <w:noProof/>
                <w:sz w:val="20"/>
                <w:szCs w:val="20"/>
                <w:lang w:eastAsia="lv-LV"/>
              </w:rPr>
            </w:pPr>
            <w:r w:rsidRPr="00F55ECD">
              <w:rPr>
                <w:rFonts w:eastAsia="Times New Roman" w:cs="Times New Roman"/>
                <w:noProof/>
                <w:sz w:val="20"/>
                <w:szCs w:val="20"/>
                <w:lang w:eastAsia="lv-LV"/>
              </w:rPr>
              <w:t>Vispārējās valdības procentu izdevumi, % no IKP</w:t>
            </w:r>
          </w:p>
        </w:tc>
        <w:tc>
          <w:tcPr>
            <w:tcW w:w="1134" w:type="dxa"/>
            <w:vAlign w:val="center"/>
          </w:tcPr>
          <w:p w14:paraId="3B237FC7" w14:textId="77777777" w:rsidR="00F1215C" w:rsidRPr="00F55ECD" w:rsidRDefault="00F1215C" w:rsidP="00CA0F29">
            <w:pPr>
              <w:spacing w:before="60" w:after="60"/>
              <w:ind w:firstLine="0"/>
              <w:jc w:val="center"/>
              <w:rPr>
                <w:rFonts w:eastAsia="Times New Roman" w:cs="Times New Roman"/>
                <w:noProof/>
                <w:sz w:val="20"/>
                <w:szCs w:val="20"/>
                <w:lang w:eastAsia="lv-LV"/>
              </w:rPr>
            </w:pPr>
            <w:r w:rsidRPr="00F55ECD">
              <w:rPr>
                <w:rFonts w:eastAsia="Times New Roman" w:cs="Times New Roman"/>
                <w:noProof/>
                <w:sz w:val="20"/>
                <w:szCs w:val="20"/>
                <w:lang w:eastAsia="lv-LV"/>
              </w:rPr>
              <w:t>(2)</w:t>
            </w:r>
          </w:p>
        </w:tc>
        <w:tc>
          <w:tcPr>
            <w:tcW w:w="1049" w:type="dxa"/>
            <w:noWrap/>
            <w:vAlign w:val="center"/>
          </w:tcPr>
          <w:p w14:paraId="5BE9C983" w14:textId="77777777" w:rsidR="00F1215C" w:rsidRPr="00F55ECD" w:rsidRDefault="00F1215C" w:rsidP="00CA0F29">
            <w:pPr>
              <w:spacing w:before="60" w:after="60"/>
              <w:ind w:firstLine="0"/>
              <w:jc w:val="center"/>
              <w:rPr>
                <w:rFonts w:eastAsia="Times New Roman" w:cs="Times New Roman"/>
                <w:noProof/>
                <w:sz w:val="20"/>
                <w:szCs w:val="20"/>
                <w:lang w:eastAsia="lv-LV"/>
              </w:rPr>
            </w:pPr>
            <w:r w:rsidRPr="00F55ECD">
              <w:rPr>
                <w:noProof/>
                <w:sz w:val="20"/>
                <w:szCs w:val="20"/>
              </w:rPr>
              <w:t>1,4</w:t>
            </w:r>
          </w:p>
        </w:tc>
        <w:tc>
          <w:tcPr>
            <w:tcW w:w="1049" w:type="dxa"/>
            <w:shd w:val="clear" w:color="auto" w:fill="FFFFFF" w:themeFill="background1"/>
            <w:noWrap/>
            <w:vAlign w:val="center"/>
            <w:hideMark/>
          </w:tcPr>
          <w:p w14:paraId="32E486B9" w14:textId="77777777" w:rsidR="00F1215C" w:rsidRPr="00F55ECD" w:rsidRDefault="00F1215C" w:rsidP="00CA0F29">
            <w:pPr>
              <w:spacing w:before="60" w:after="60"/>
              <w:ind w:firstLine="0"/>
              <w:jc w:val="center"/>
              <w:rPr>
                <w:rFonts w:eastAsia="Times New Roman" w:cs="Times New Roman"/>
                <w:noProof/>
                <w:sz w:val="20"/>
                <w:szCs w:val="20"/>
                <w:lang w:eastAsia="lv-LV"/>
              </w:rPr>
            </w:pPr>
            <w:r w:rsidRPr="00F55ECD">
              <w:rPr>
                <w:noProof/>
                <w:sz w:val="20"/>
                <w:szCs w:val="20"/>
              </w:rPr>
              <w:t>1,6</w:t>
            </w:r>
          </w:p>
        </w:tc>
        <w:tc>
          <w:tcPr>
            <w:tcW w:w="1049" w:type="dxa"/>
            <w:shd w:val="clear" w:color="auto" w:fill="FFFFFF" w:themeFill="background1"/>
            <w:noWrap/>
            <w:vAlign w:val="center"/>
            <w:hideMark/>
          </w:tcPr>
          <w:p w14:paraId="041142C6" w14:textId="77777777" w:rsidR="00F1215C" w:rsidRPr="00F55ECD" w:rsidRDefault="00F1215C" w:rsidP="00CA0F29">
            <w:pPr>
              <w:spacing w:before="60" w:after="60"/>
              <w:ind w:firstLine="0"/>
              <w:jc w:val="center"/>
              <w:rPr>
                <w:rFonts w:eastAsia="Times New Roman" w:cs="Times New Roman"/>
                <w:noProof/>
                <w:sz w:val="20"/>
                <w:szCs w:val="20"/>
                <w:lang w:eastAsia="lv-LV"/>
              </w:rPr>
            </w:pPr>
            <w:r w:rsidRPr="00F55ECD">
              <w:rPr>
                <w:noProof/>
                <w:sz w:val="20"/>
                <w:szCs w:val="20"/>
              </w:rPr>
              <w:t>1,6</w:t>
            </w:r>
          </w:p>
        </w:tc>
        <w:tc>
          <w:tcPr>
            <w:tcW w:w="1049" w:type="dxa"/>
            <w:shd w:val="clear" w:color="auto" w:fill="FFFFFF" w:themeFill="background1"/>
            <w:noWrap/>
            <w:vAlign w:val="center"/>
            <w:hideMark/>
          </w:tcPr>
          <w:p w14:paraId="253B580F" w14:textId="77777777" w:rsidR="00F1215C" w:rsidRPr="00F55ECD" w:rsidRDefault="00F1215C" w:rsidP="00CA0F29">
            <w:pPr>
              <w:spacing w:before="60" w:after="60"/>
              <w:ind w:firstLine="0"/>
              <w:jc w:val="center"/>
              <w:rPr>
                <w:rFonts w:eastAsia="Times New Roman" w:cs="Times New Roman"/>
                <w:noProof/>
                <w:sz w:val="20"/>
                <w:szCs w:val="20"/>
                <w:lang w:eastAsia="lv-LV"/>
              </w:rPr>
            </w:pPr>
            <w:r w:rsidRPr="00F55ECD">
              <w:rPr>
                <w:noProof/>
                <w:sz w:val="20"/>
                <w:szCs w:val="20"/>
              </w:rPr>
              <w:t>1,7</w:t>
            </w:r>
          </w:p>
        </w:tc>
      </w:tr>
      <w:tr w:rsidR="00F1215C" w:rsidRPr="001C0357" w14:paraId="2AD3D961" w14:textId="77777777" w:rsidTr="00CA0F29">
        <w:trPr>
          <w:trHeight w:val="20"/>
          <w:jc w:val="center"/>
        </w:trPr>
        <w:tc>
          <w:tcPr>
            <w:tcW w:w="2547" w:type="dxa"/>
            <w:noWrap/>
            <w:vAlign w:val="center"/>
          </w:tcPr>
          <w:p w14:paraId="5E14157F" w14:textId="7E0BFA94" w:rsidR="00F1215C" w:rsidRPr="00F55ECD" w:rsidRDefault="00DA1615" w:rsidP="00CA0F29">
            <w:pPr>
              <w:spacing w:before="60" w:after="60"/>
              <w:ind w:firstLine="0"/>
              <w:jc w:val="left"/>
              <w:rPr>
                <w:rFonts w:eastAsia="Times New Roman" w:cs="Times New Roman"/>
                <w:noProof/>
                <w:sz w:val="20"/>
                <w:szCs w:val="20"/>
                <w:lang w:eastAsia="lv-LV"/>
              </w:rPr>
            </w:pPr>
            <w:r w:rsidRPr="00F55ECD">
              <w:rPr>
                <w:rFonts w:eastAsia="Times New Roman" w:cs="Times New Roman"/>
                <w:noProof/>
                <w:sz w:val="20"/>
                <w:szCs w:val="20"/>
                <w:lang w:eastAsia="lv-LV"/>
              </w:rPr>
              <w:t>Vienreizējie pasākumi, % no IKP</w:t>
            </w:r>
          </w:p>
        </w:tc>
        <w:tc>
          <w:tcPr>
            <w:tcW w:w="1134" w:type="dxa"/>
            <w:vAlign w:val="center"/>
          </w:tcPr>
          <w:p w14:paraId="4389970E" w14:textId="77777777" w:rsidR="00F1215C" w:rsidRPr="00F55ECD" w:rsidRDefault="00F1215C" w:rsidP="00CA0F29">
            <w:pPr>
              <w:spacing w:before="60" w:after="60"/>
              <w:ind w:firstLine="0"/>
              <w:jc w:val="center"/>
              <w:rPr>
                <w:rFonts w:eastAsia="Times New Roman" w:cs="Times New Roman"/>
                <w:noProof/>
                <w:sz w:val="20"/>
                <w:szCs w:val="20"/>
                <w:lang w:eastAsia="lv-LV"/>
              </w:rPr>
            </w:pPr>
            <w:r w:rsidRPr="00F55ECD">
              <w:rPr>
                <w:rFonts w:eastAsia="Times New Roman" w:cs="Times New Roman"/>
                <w:noProof/>
                <w:sz w:val="20"/>
                <w:szCs w:val="20"/>
                <w:lang w:eastAsia="lv-LV"/>
              </w:rPr>
              <w:t>(3)</w:t>
            </w:r>
          </w:p>
        </w:tc>
        <w:tc>
          <w:tcPr>
            <w:tcW w:w="1049" w:type="dxa"/>
            <w:noWrap/>
            <w:vAlign w:val="center"/>
          </w:tcPr>
          <w:p w14:paraId="1074DFD6" w14:textId="77777777" w:rsidR="00F1215C" w:rsidRPr="00F55ECD" w:rsidRDefault="00F1215C" w:rsidP="00CA0F29">
            <w:pPr>
              <w:spacing w:before="60" w:after="60"/>
              <w:ind w:firstLine="0"/>
              <w:jc w:val="center"/>
              <w:rPr>
                <w:rFonts w:eastAsia="Times New Roman" w:cs="Times New Roman"/>
                <w:noProof/>
                <w:sz w:val="20"/>
                <w:szCs w:val="20"/>
                <w:lang w:eastAsia="lv-LV"/>
              </w:rPr>
            </w:pPr>
            <w:r w:rsidRPr="00F55ECD">
              <w:rPr>
                <w:rFonts w:eastAsia="Times New Roman" w:cs="Times New Roman"/>
                <w:noProof/>
                <w:sz w:val="20"/>
                <w:szCs w:val="20"/>
                <w:lang w:eastAsia="lv-LV"/>
              </w:rPr>
              <w:t>-1,6</w:t>
            </w:r>
          </w:p>
        </w:tc>
        <w:tc>
          <w:tcPr>
            <w:tcW w:w="1049" w:type="dxa"/>
            <w:shd w:val="clear" w:color="auto" w:fill="FFFFFF" w:themeFill="background1"/>
            <w:noWrap/>
            <w:vAlign w:val="center"/>
            <w:hideMark/>
          </w:tcPr>
          <w:p w14:paraId="6EBBCFDC" w14:textId="77777777" w:rsidR="00F1215C" w:rsidRPr="00F55ECD" w:rsidRDefault="00F1215C" w:rsidP="00CA0F29">
            <w:pPr>
              <w:spacing w:before="60" w:after="60"/>
              <w:ind w:firstLine="0"/>
              <w:jc w:val="center"/>
              <w:rPr>
                <w:rFonts w:eastAsia="Times New Roman" w:cs="Times New Roman"/>
                <w:noProof/>
                <w:sz w:val="20"/>
                <w:szCs w:val="20"/>
                <w:lang w:eastAsia="lv-LV"/>
              </w:rPr>
            </w:pPr>
            <w:r w:rsidRPr="00F55ECD">
              <w:rPr>
                <w:rFonts w:eastAsia="Times New Roman" w:cs="Times New Roman"/>
                <w:noProof/>
                <w:sz w:val="20"/>
                <w:szCs w:val="20"/>
                <w:lang w:eastAsia="lv-LV"/>
              </w:rPr>
              <w:t>-1,7</w:t>
            </w:r>
          </w:p>
        </w:tc>
        <w:tc>
          <w:tcPr>
            <w:tcW w:w="1049" w:type="dxa"/>
            <w:shd w:val="clear" w:color="auto" w:fill="FFFFFF" w:themeFill="background1"/>
            <w:noWrap/>
            <w:vAlign w:val="center"/>
            <w:hideMark/>
          </w:tcPr>
          <w:p w14:paraId="362210D3" w14:textId="77777777" w:rsidR="00F1215C" w:rsidRPr="00F55ECD" w:rsidRDefault="00F1215C" w:rsidP="00CA0F29">
            <w:pPr>
              <w:spacing w:before="60" w:after="60"/>
              <w:ind w:firstLine="0"/>
              <w:jc w:val="center"/>
              <w:rPr>
                <w:rFonts w:eastAsia="Times New Roman" w:cs="Times New Roman"/>
                <w:noProof/>
                <w:sz w:val="20"/>
                <w:szCs w:val="20"/>
                <w:lang w:eastAsia="lv-LV"/>
              </w:rPr>
            </w:pPr>
            <w:r w:rsidRPr="00F55ECD">
              <w:rPr>
                <w:rFonts w:eastAsia="Times New Roman" w:cs="Times New Roman"/>
                <w:noProof/>
                <w:sz w:val="20"/>
                <w:szCs w:val="20"/>
                <w:lang w:eastAsia="lv-LV"/>
              </w:rPr>
              <w:t>-1,6</w:t>
            </w:r>
          </w:p>
        </w:tc>
        <w:tc>
          <w:tcPr>
            <w:tcW w:w="1049" w:type="dxa"/>
            <w:shd w:val="clear" w:color="auto" w:fill="FFFFFF" w:themeFill="background1"/>
            <w:noWrap/>
            <w:vAlign w:val="center"/>
            <w:hideMark/>
          </w:tcPr>
          <w:p w14:paraId="53EC49B0" w14:textId="77777777" w:rsidR="00F1215C" w:rsidRPr="00F55ECD" w:rsidRDefault="00F1215C" w:rsidP="00CA0F29">
            <w:pPr>
              <w:spacing w:before="60" w:after="60"/>
              <w:ind w:firstLine="0"/>
              <w:jc w:val="center"/>
              <w:rPr>
                <w:rFonts w:eastAsia="Times New Roman" w:cs="Times New Roman"/>
                <w:noProof/>
                <w:sz w:val="20"/>
                <w:szCs w:val="20"/>
                <w:lang w:eastAsia="lv-LV"/>
              </w:rPr>
            </w:pPr>
            <w:r w:rsidRPr="00F55ECD">
              <w:rPr>
                <w:rFonts w:eastAsia="Times New Roman" w:cs="Times New Roman"/>
                <w:noProof/>
                <w:sz w:val="20"/>
                <w:szCs w:val="20"/>
                <w:lang w:eastAsia="lv-LV"/>
              </w:rPr>
              <w:t>-0,9</w:t>
            </w:r>
          </w:p>
        </w:tc>
      </w:tr>
      <w:tr w:rsidR="00F1215C" w:rsidRPr="001C0357" w14:paraId="11B758A3" w14:textId="77777777" w:rsidTr="00CA0F29">
        <w:trPr>
          <w:trHeight w:val="20"/>
          <w:jc w:val="center"/>
        </w:trPr>
        <w:tc>
          <w:tcPr>
            <w:tcW w:w="2547" w:type="dxa"/>
            <w:noWrap/>
            <w:vAlign w:val="center"/>
          </w:tcPr>
          <w:p w14:paraId="1C471C0E" w14:textId="115FA0ED" w:rsidR="00F1215C" w:rsidRPr="00F55ECD" w:rsidRDefault="00F1215C" w:rsidP="00CA0F29">
            <w:pPr>
              <w:spacing w:before="60" w:after="60"/>
              <w:ind w:firstLine="0"/>
              <w:jc w:val="left"/>
              <w:rPr>
                <w:rFonts w:eastAsia="Times New Roman" w:cs="Times New Roman"/>
                <w:noProof/>
                <w:sz w:val="20"/>
                <w:szCs w:val="20"/>
                <w:lang w:eastAsia="lv-LV"/>
              </w:rPr>
            </w:pPr>
            <w:r w:rsidRPr="00F55ECD">
              <w:rPr>
                <w:rFonts w:eastAsia="Times New Roman" w:cs="Times New Roman"/>
                <w:noProof/>
                <w:sz w:val="20"/>
                <w:szCs w:val="20"/>
                <w:lang w:eastAsia="lv-LV"/>
              </w:rPr>
              <w:t>Valsts iznēmuma klauzulas fiskālā ietekme, % no IKP</w:t>
            </w:r>
          </w:p>
        </w:tc>
        <w:tc>
          <w:tcPr>
            <w:tcW w:w="1134" w:type="dxa"/>
            <w:vAlign w:val="center"/>
          </w:tcPr>
          <w:p w14:paraId="6F0C194E" w14:textId="77777777" w:rsidR="00F1215C" w:rsidRPr="00F55ECD" w:rsidRDefault="00F1215C" w:rsidP="00CA0F29">
            <w:pPr>
              <w:spacing w:before="60" w:after="60"/>
              <w:ind w:firstLine="0"/>
              <w:jc w:val="center"/>
              <w:rPr>
                <w:rFonts w:eastAsia="Times New Roman" w:cs="Times New Roman"/>
                <w:noProof/>
                <w:sz w:val="20"/>
                <w:szCs w:val="20"/>
                <w:lang w:eastAsia="lv-LV"/>
              </w:rPr>
            </w:pPr>
            <w:r w:rsidRPr="00F55ECD">
              <w:rPr>
                <w:rFonts w:eastAsia="Times New Roman" w:cs="Times New Roman"/>
                <w:noProof/>
                <w:sz w:val="20"/>
                <w:szCs w:val="20"/>
                <w:lang w:eastAsia="lv-LV"/>
              </w:rPr>
              <w:t>(4)</w:t>
            </w:r>
          </w:p>
        </w:tc>
        <w:tc>
          <w:tcPr>
            <w:tcW w:w="1049" w:type="dxa"/>
            <w:noWrap/>
            <w:vAlign w:val="center"/>
          </w:tcPr>
          <w:p w14:paraId="3E33A578" w14:textId="77777777" w:rsidR="00F1215C" w:rsidRPr="00F55ECD" w:rsidRDefault="00F1215C" w:rsidP="00CA0F29">
            <w:pPr>
              <w:spacing w:before="60" w:after="60"/>
              <w:ind w:firstLine="0"/>
              <w:jc w:val="center"/>
              <w:rPr>
                <w:rFonts w:eastAsia="Times New Roman" w:cs="Times New Roman"/>
                <w:noProof/>
                <w:sz w:val="20"/>
                <w:szCs w:val="20"/>
                <w:lang w:eastAsia="lv-LV"/>
              </w:rPr>
            </w:pPr>
            <w:r w:rsidRPr="00F55ECD">
              <w:rPr>
                <w:rFonts w:eastAsia="Times New Roman" w:cs="Times New Roman"/>
                <w:noProof/>
                <w:sz w:val="20"/>
                <w:szCs w:val="20"/>
                <w:lang w:eastAsia="lv-LV"/>
              </w:rPr>
              <w:t>0,24</w:t>
            </w:r>
          </w:p>
        </w:tc>
        <w:tc>
          <w:tcPr>
            <w:tcW w:w="1049" w:type="dxa"/>
            <w:shd w:val="clear" w:color="auto" w:fill="FFFFFF" w:themeFill="background1"/>
            <w:noWrap/>
            <w:vAlign w:val="center"/>
          </w:tcPr>
          <w:p w14:paraId="5E5FC83B" w14:textId="77777777" w:rsidR="00F1215C" w:rsidRPr="00F55ECD" w:rsidRDefault="00F1215C" w:rsidP="00CA0F29">
            <w:pPr>
              <w:spacing w:before="60" w:after="60"/>
              <w:ind w:firstLine="0"/>
              <w:jc w:val="center"/>
              <w:rPr>
                <w:rFonts w:eastAsia="Times New Roman" w:cs="Times New Roman"/>
                <w:noProof/>
                <w:sz w:val="20"/>
                <w:szCs w:val="20"/>
                <w:lang w:eastAsia="lv-LV"/>
              </w:rPr>
            </w:pPr>
            <w:r w:rsidRPr="00F55ECD">
              <w:rPr>
                <w:rFonts w:eastAsia="Times New Roman" w:cs="Times New Roman"/>
                <w:noProof/>
                <w:sz w:val="20"/>
                <w:szCs w:val="20"/>
                <w:lang w:eastAsia="lv-LV"/>
              </w:rPr>
              <w:t>0,97</w:t>
            </w:r>
          </w:p>
        </w:tc>
        <w:tc>
          <w:tcPr>
            <w:tcW w:w="1049" w:type="dxa"/>
            <w:shd w:val="clear" w:color="auto" w:fill="FFFFFF" w:themeFill="background1"/>
            <w:noWrap/>
            <w:vAlign w:val="center"/>
          </w:tcPr>
          <w:p w14:paraId="1B915EE5" w14:textId="77777777" w:rsidR="00F1215C" w:rsidRPr="00F55ECD" w:rsidRDefault="00F1215C" w:rsidP="00CA0F29">
            <w:pPr>
              <w:spacing w:before="60" w:after="60"/>
              <w:ind w:firstLine="0"/>
              <w:jc w:val="center"/>
              <w:rPr>
                <w:rFonts w:eastAsia="Times New Roman" w:cs="Times New Roman"/>
                <w:noProof/>
                <w:sz w:val="20"/>
                <w:szCs w:val="20"/>
                <w:lang w:eastAsia="lv-LV"/>
              </w:rPr>
            </w:pPr>
            <w:r w:rsidRPr="00F55ECD">
              <w:rPr>
                <w:rFonts w:eastAsia="Times New Roman" w:cs="Times New Roman"/>
                <w:noProof/>
                <w:sz w:val="20"/>
                <w:szCs w:val="20"/>
                <w:lang w:eastAsia="lv-LV"/>
              </w:rPr>
              <w:t>0,87</w:t>
            </w:r>
          </w:p>
        </w:tc>
        <w:tc>
          <w:tcPr>
            <w:tcW w:w="1049" w:type="dxa"/>
            <w:shd w:val="clear" w:color="auto" w:fill="FFFFFF" w:themeFill="background1"/>
            <w:noWrap/>
            <w:vAlign w:val="center"/>
          </w:tcPr>
          <w:p w14:paraId="32F23A67" w14:textId="77777777" w:rsidR="00F1215C" w:rsidRPr="00F55ECD" w:rsidRDefault="00F1215C" w:rsidP="00CA0F29">
            <w:pPr>
              <w:spacing w:before="60" w:after="60"/>
              <w:ind w:firstLine="0"/>
              <w:jc w:val="center"/>
              <w:rPr>
                <w:rFonts w:eastAsia="Times New Roman" w:cs="Times New Roman"/>
                <w:noProof/>
                <w:sz w:val="20"/>
                <w:szCs w:val="20"/>
                <w:lang w:eastAsia="lv-LV"/>
              </w:rPr>
            </w:pPr>
            <w:r w:rsidRPr="00F55ECD">
              <w:rPr>
                <w:rFonts w:eastAsia="Times New Roman" w:cs="Times New Roman"/>
                <w:noProof/>
                <w:sz w:val="20"/>
                <w:szCs w:val="20"/>
                <w:lang w:eastAsia="lv-LV"/>
              </w:rPr>
              <w:t>1,43</w:t>
            </w:r>
          </w:p>
        </w:tc>
      </w:tr>
      <w:tr w:rsidR="00F1215C" w:rsidRPr="001C0357" w14:paraId="52FF6383" w14:textId="77777777" w:rsidTr="00F1215C">
        <w:trPr>
          <w:trHeight w:val="20"/>
          <w:jc w:val="center"/>
        </w:trPr>
        <w:tc>
          <w:tcPr>
            <w:tcW w:w="2547" w:type="dxa"/>
            <w:shd w:val="clear" w:color="auto" w:fill="EBE2D1"/>
            <w:noWrap/>
            <w:vAlign w:val="center"/>
          </w:tcPr>
          <w:p w14:paraId="41D0292D" w14:textId="41029434" w:rsidR="00F1215C" w:rsidRPr="00F55ECD" w:rsidRDefault="00F1215C" w:rsidP="00CA0F29">
            <w:pPr>
              <w:spacing w:before="60" w:after="60"/>
              <w:ind w:firstLine="0"/>
              <w:jc w:val="left"/>
              <w:rPr>
                <w:rFonts w:eastAsia="Times New Roman" w:cs="Times New Roman"/>
                <w:b/>
                <w:bCs/>
                <w:noProof/>
                <w:sz w:val="20"/>
                <w:szCs w:val="20"/>
                <w:lang w:eastAsia="lv-LV"/>
              </w:rPr>
            </w:pPr>
            <w:r w:rsidRPr="00F55ECD">
              <w:rPr>
                <w:rFonts w:eastAsia="Times New Roman" w:cs="Times New Roman"/>
                <w:b/>
                <w:bCs/>
                <w:noProof/>
                <w:sz w:val="20"/>
                <w:szCs w:val="20"/>
                <w:lang w:eastAsia="lv-LV"/>
              </w:rPr>
              <w:t>Vispārējās valdības strukturālās bilances mērķi, % no IKP</w:t>
            </w:r>
          </w:p>
        </w:tc>
        <w:tc>
          <w:tcPr>
            <w:tcW w:w="1134" w:type="dxa"/>
            <w:shd w:val="clear" w:color="auto" w:fill="EBE2D1"/>
            <w:vAlign w:val="center"/>
          </w:tcPr>
          <w:p w14:paraId="69C87385" w14:textId="77777777" w:rsidR="00F1215C" w:rsidRPr="00F55ECD" w:rsidRDefault="00F1215C" w:rsidP="00CA0F29">
            <w:pPr>
              <w:spacing w:before="60" w:after="60"/>
              <w:ind w:firstLine="0"/>
              <w:jc w:val="center"/>
              <w:rPr>
                <w:rFonts w:eastAsia="Times New Roman" w:cs="Times New Roman"/>
                <w:b/>
                <w:bCs/>
                <w:noProof/>
                <w:sz w:val="20"/>
                <w:szCs w:val="20"/>
                <w:lang w:eastAsia="lv-LV"/>
              </w:rPr>
            </w:pPr>
            <w:r w:rsidRPr="00F55ECD">
              <w:rPr>
                <w:rFonts w:eastAsia="Times New Roman" w:cs="Times New Roman"/>
                <w:b/>
                <w:bCs/>
                <w:noProof/>
                <w:sz w:val="20"/>
                <w:szCs w:val="20"/>
                <w:lang w:eastAsia="lv-LV"/>
              </w:rPr>
              <w:t>(5)=(1)-(2)-(3)-(4)</w:t>
            </w:r>
          </w:p>
        </w:tc>
        <w:tc>
          <w:tcPr>
            <w:tcW w:w="1049" w:type="dxa"/>
            <w:shd w:val="clear" w:color="auto" w:fill="EBE2D1"/>
            <w:noWrap/>
            <w:vAlign w:val="center"/>
          </w:tcPr>
          <w:p w14:paraId="4A049CCB" w14:textId="77777777" w:rsidR="00F1215C" w:rsidRPr="00F55ECD" w:rsidRDefault="00F1215C" w:rsidP="00CA0F29">
            <w:pPr>
              <w:spacing w:before="60" w:after="60"/>
              <w:ind w:firstLine="0"/>
              <w:jc w:val="center"/>
              <w:rPr>
                <w:rFonts w:eastAsia="Times New Roman" w:cs="Times New Roman"/>
                <w:b/>
                <w:bCs/>
                <w:noProof/>
                <w:sz w:val="20"/>
                <w:szCs w:val="20"/>
                <w:lang w:eastAsia="lv-LV"/>
              </w:rPr>
            </w:pPr>
            <w:r w:rsidRPr="00F55ECD">
              <w:rPr>
                <w:rFonts w:eastAsia="Times New Roman" w:cs="Times New Roman"/>
                <w:b/>
                <w:bCs/>
                <w:noProof/>
                <w:sz w:val="20"/>
                <w:szCs w:val="20"/>
                <w:lang w:eastAsia="lv-LV"/>
              </w:rPr>
              <w:t>-1,379</w:t>
            </w:r>
          </w:p>
        </w:tc>
        <w:tc>
          <w:tcPr>
            <w:tcW w:w="1049" w:type="dxa"/>
            <w:shd w:val="clear" w:color="auto" w:fill="EBE2D1"/>
            <w:noWrap/>
            <w:vAlign w:val="center"/>
            <w:hideMark/>
          </w:tcPr>
          <w:p w14:paraId="2DFFEBAB" w14:textId="77777777" w:rsidR="00F1215C" w:rsidRPr="00F55ECD" w:rsidRDefault="00F1215C" w:rsidP="00CA0F29">
            <w:pPr>
              <w:spacing w:before="60" w:after="60"/>
              <w:ind w:firstLine="0"/>
              <w:jc w:val="center"/>
              <w:rPr>
                <w:rFonts w:eastAsia="Times New Roman" w:cs="Times New Roman"/>
                <w:b/>
                <w:bCs/>
                <w:noProof/>
                <w:sz w:val="20"/>
                <w:szCs w:val="20"/>
                <w:lang w:eastAsia="lv-LV"/>
              </w:rPr>
            </w:pPr>
            <w:r w:rsidRPr="00F55ECD">
              <w:rPr>
                <w:rFonts w:eastAsia="Times New Roman" w:cs="Times New Roman"/>
                <w:b/>
                <w:bCs/>
                <w:noProof/>
                <w:sz w:val="20"/>
                <w:szCs w:val="20"/>
                <w:lang w:eastAsia="lv-LV"/>
              </w:rPr>
              <w:t>-2,143</w:t>
            </w:r>
          </w:p>
        </w:tc>
        <w:tc>
          <w:tcPr>
            <w:tcW w:w="1049" w:type="dxa"/>
            <w:shd w:val="clear" w:color="auto" w:fill="EBE2D1"/>
            <w:noWrap/>
            <w:vAlign w:val="center"/>
            <w:hideMark/>
          </w:tcPr>
          <w:p w14:paraId="4E00C361" w14:textId="77777777" w:rsidR="00F1215C" w:rsidRPr="00F55ECD" w:rsidRDefault="00F1215C" w:rsidP="00CA0F29">
            <w:pPr>
              <w:spacing w:before="60" w:after="60"/>
              <w:ind w:firstLine="0"/>
              <w:jc w:val="center"/>
              <w:rPr>
                <w:rFonts w:eastAsia="Times New Roman" w:cs="Times New Roman"/>
                <w:b/>
                <w:bCs/>
                <w:noProof/>
                <w:sz w:val="20"/>
                <w:szCs w:val="20"/>
                <w:lang w:eastAsia="lv-LV"/>
              </w:rPr>
            </w:pPr>
            <w:r w:rsidRPr="00F55ECD">
              <w:rPr>
                <w:rFonts w:eastAsia="Times New Roman" w:cs="Times New Roman"/>
                <w:b/>
                <w:bCs/>
                <w:noProof/>
                <w:sz w:val="20"/>
                <w:szCs w:val="20"/>
                <w:lang w:eastAsia="lv-LV"/>
              </w:rPr>
              <w:t>-2,108</w:t>
            </w:r>
          </w:p>
        </w:tc>
        <w:tc>
          <w:tcPr>
            <w:tcW w:w="1049" w:type="dxa"/>
            <w:shd w:val="clear" w:color="auto" w:fill="EBE2D1"/>
            <w:noWrap/>
            <w:vAlign w:val="center"/>
            <w:hideMark/>
          </w:tcPr>
          <w:p w14:paraId="0E544C4A" w14:textId="77777777" w:rsidR="00F1215C" w:rsidRPr="00F55ECD" w:rsidRDefault="00F1215C" w:rsidP="00CA0F29">
            <w:pPr>
              <w:spacing w:before="60" w:after="60"/>
              <w:ind w:firstLine="0"/>
              <w:jc w:val="center"/>
              <w:rPr>
                <w:rFonts w:eastAsia="Times New Roman" w:cs="Times New Roman"/>
                <w:b/>
                <w:bCs/>
                <w:noProof/>
                <w:sz w:val="20"/>
                <w:szCs w:val="20"/>
                <w:lang w:eastAsia="lv-LV"/>
              </w:rPr>
            </w:pPr>
            <w:r w:rsidRPr="00F55ECD">
              <w:rPr>
                <w:rFonts w:eastAsia="Times New Roman" w:cs="Times New Roman"/>
                <w:b/>
                <w:bCs/>
                <w:noProof/>
                <w:sz w:val="20"/>
                <w:szCs w:val="20"/>
                <w:lang w:eastAsia="lv-LV"/>
              </w:rPr>
              <w:t>-3,432</w:t>
            </w:r>
          </w:p>
        </w:tc>
      </w:tr>
    </w:tbl>
    <w:p w14:paraId="2A996E02" w14:textId="77777777" w:rsidR="00F1215C" w:rsidRPr="001C0357" w:rsidRDefault="00F1215C" w:rsidP="00655992">
      <w:pPr>
        <w:widowControl w:val="0"/>
        <w:rPr>
          <w:b/>
          <w:bCs/>
          <w:noProof/>
          <w:szCs w:val="20"/>
          <w:highlight w:val="yellow"/>
          <w:lang w:eastAsia="lv-LV"/>
        </w:rPr>
      </w:pPr>
    </w:p>
    <w:p w14:paraId="5B1E1F43" w14:textId="77777777" w:rsidR="00F1215C" w:rsidRPr="001C0357" w:rsidRDefault="00F1215C" w:rsidP="00F1215C">
      <w:pPr>
        <w:widowControl w:val="0"/>
        <w:jc w:val="center"/>
        <w:rPr>
          <w:rFonts w:eastAsia="Times New Roman" w:cs="Times New Roman"/>
          <w:b/>
          <w:noProof/>
          <w:szCs w:val="24"/>
          <w:lang w:eastAsia="lv-LV"/>
        </w:rPr>
      </w:pPr>
      <w:r w:rsidRPr="001C0357">
        <w:rPr>
          <w:b/>
          <w:bCs/>
          <w:noProof/>
          <w:szCs w:val="20"/>
          <w:lang w:eastAsia="lv-LV"/>
        </w:rPr>
        <w:t>8. tabula.</w:t>
      </w:r>
      <w:r w:rsidRPr="001C0357">
        <w:rPr>
          <w:noProof/>
          <w:szCs w:val="20"/>
          <w:lang w:eastAsia="lv-LV"/>
        </w:rPr>
        <w:t xml:space="preserve"> </w:t>
      </w:r>
      <w:r w:rsidRPr="001C0357">
        <w:rPr>
          <w:rFonts w:eastAsia="Times New Roman" w:cs="Times New Roman"/>
          <w:b/>
          <w:noProof/>
          <w:szCs w:val="24"/>
          <w:lang w:eastAsia="lv-LV"/>
        </w:rPr>
        <w:t>Fiskālā telpa, balstoties uz ES strukturālās primārās bilances nosacījumu</w:t>
      </w:r>
    </w:p>
    <w:tbl>
      <w:tblPr>
        <w:tblW w:w="73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4"/>
        <w:gridCol w:w="1215"/>
        <w:gridCol w:w="753"/>
        <w:gridCol w:w="753"/>
        <w:gridCol w:w="753"/>
        <w:gridCol w:w="753"/>
      </w:tblGrid>
      <w:tr w:rsidR="00F1215C" w:rsidRPr="001C0357" w14:paraId="1C34166E" w14:textId="77777777" w:rsidTr="00352EDD">
        <w:trPr>
          <w:trHeight w:val="20"/>
          <w:tblHeader/>
          <w:jc w:val="center"/>
        </w:trPr>
        <w:tc>
          <w:tcPr>
            <w:tcW w:w="3144" w:type="dxa"/>
            <w:noWrap/>
            <w:vAlign w:val="center"/>
            <w:hideMark/>
          </w:tcPr>
          <w:p w14:paraId="2DA233B1" w14:textId="77777777" w:rsidR="00F1215C" w:rsidRPr="00F55ECD" w:rsidRDefault="00F1215C" w:rsidP="00CA0F29">
            <w:pPr>
              <w:spacing w:before="60"/>
              <w:ind w:firstLine="0"/>
              <w:jc w:val="center"/>
              <w:rPr>
                <w:rFonts w:eastAsia="Times New Roman" w:cs="Times New Roman"/>
                <w:noProof/>
                <w:color w:val="000000"/>
                <w:sz w:val="20"/>
                <w:szCs w:val="20"/>
                <w:lang w:eastAsia="lv-LV"/>
              </w:rPr>
            </w:pPr>
          </w:p>
        </w:tc>
        <w:tc>
          <w:tcPr>
            <w:tcW w:w="1215" w:type="dxa"/>
            <w:vAlign w:val="center"/>
          </w:tcPr>
          <w:p w14:paraId="42A5EBC9" w14:textId="77777777" w:rsidR="00F1215C" w:rsidRPr="00F55ECD" w:rsidRDefault="00F1215C" w:rsidP="00CA0F29">
            <w:pPr>
              <w:spacing w:before="60"/>
              <w:ind w:firstLine="0"/>
              <w:jc w:val="center"/>
              <w:rPr>
                <w:rFonts w:eastAsia="Times New Roman" w:cs="Times New Roman"/>
                <w:noProof/>
                <w:color w:val="000000"/>
                <w:sz w:val="20"/>
                <w:szCs w:val="20"/>
                <w:lang w:eastAsia="lv-LV"/>
              </w:rPr>
            </w:pPr>
          </w:p>
        </w:tc>
        <w:tc>
          <w:tcPr>
            <w:tcW w:w="753" w:type="dxa"/>
            <w:shd w:val="clear" w:color="auto" w:fill="EBE2D1"/>
            <w:noWrap/>
            <w:vAlign w:val="center"/>
            <w:hideMark/>
          </w:tcPr>
          <w:p w14:paraId="725359BB" w14:textId="77777777" w:rsidR="00F1215C" w:rsidRPr="00F55ECD" w:rsidRDefault="00F1215C" w:rsidP="00CA0F29">
            <w:pPr>
              <w:spacing w:before="60"/>
              <w:ind w:firstLine="0"/>
              <w:jc w:val="center"/>
              <w:rPr>
                <w:rFonts w:eastAsia="Times New Roman" w:cs="Times New Roman"/>
                <w:b/>
                <w:bCs/>
                <w:noProof/>
                <w:color w:val="000000"/>
                <w:sz w:val="20"/>
                <w:szCs w:val="20"/>
                <w:lang w:eastAsia="lv-LV"/>
              </w:rPr>
            </w:pPr>
            <w:r w:rsidRPr="00F55ECD">
              <w:rPr>
                <w:rFonts w:eastAsia="Times New Roman" w:cs="Times New Roman"/>
                <w:b/>
                <w:bCs/>
                <w:noProof/>
                <w:color w:val="000000"/>
                <w:sz w:val="20"/>
                <w:szCs w:val="20"/>
                <w:lang w:eastAsia="lv-LV"/>
              </w:rPr>
              <w:t>2026</w:t>
            </w:r>
          </w:p>
        </w:tc>
        <w:tc>
          <w:tcPr>
            <w:tcW w:w="753" w:type="dxa"/>
            <w:shd w:val="clear" w:color="auto" w:fill="EBE2D1"/>
            <w:noWrap/>
            <w:vAlign w:val="center"/>
            <w:hideMark/>
          </w:tcPr>
          <w:p w14:paraId="02A6415D" w14:textId="77777777" w:rsidR="00F1215C" w:rsidRPr="00F55ECD" w:rsidRDefault="00F1215C" w:rsidP="00CA0F29">
            <w:pPr>
              <w:spacing w:before="60"/>
              <w:ind w:firstLine="0"/>
              <w:jc w:val="center"/>
              <w:rPr>
                <w:rFonts w:eastAsia="Times New Roman" w:cs="Times New Roman"/>
                <w:b/>
                <w:bCs/>
                <w:noProof/>
                <w:color w:val="000000"/>
                <w:sz w:val="20"/>
                <w:szCs w:val="20"/>
                <w:lang w:eastAsia="lv-LV"/>
              </w:rPr>
            </w:pPr>
            <w:r w:rsidRPr="00F55ECD">
              <w:rPr>
                <w:rFonts w:eastAsia="Times New Roman" w:cs="Times New Roman"/>
                <w:b/>
                <w:bCs/>
                <w:noProof/>
                <w:color w:val="000000"/>
                <w:sz w:val="20"/>
                <w:szCs w:val="20"/>
                <w:lang w:eastAsia="lv-LV"/>
              </w:rPr>
              <w:t>2027</w:t>
            </w:r>
          </w:p>
        </w:tc>
        <w:tc>
          <w:tcPr>
            <w:tcW w:w="753" w:type="dxa"/>
            <w:shd w:val="clear" w:color="auto" w:fill="EBE2D1"/>
            <w:vAlign w:val="center"/>
          </w:tcPr>
          <w:p w14:paraId="3F264BF3" w14:textId="77777777" w:rsidR="00F1215C" w:rsidRPr="00F55ECD" w:rsidRDefault="00F1215C" w:rsidP="00CA0F29">
            <w:pPr>
              <w:spacing w:before="60"/>
              <w:ind w:firstLine="0"/>
              <w:jc w:val="center"/>
              <w:rPr>
                <w:rFonts w:eastAsia="Times New Roman" w:cs="Times New Roman"/>
                <w:b/>
                <w:bCs/>
                <w:noProof/>
                <w:color w:val="000000"/>
                <w:sz w:val="20"/>
                <w:szCs w:val="20"/>
                <w:lang w:eastAsia="lv-LV"/>
              </w:rPr>
            </w:pPr>
            <w:r w:rsidRPr="00F55ECD">
              <w:rPr>
                <w:rFonts w:eastAsia="Times New Roman" w:cs="Times New Roman"/>
                <w:b/>
                <w:bCs/>
                <w:noProof/>
                <w:color w:val="000000"/>
                <w:sz w:val="20"/>
                <w:szCs w:val="20"/>
                <w:lang w:eastAsia="lv-LV"/>
              </w:rPr>
              <w:t>2028</w:t>
            </w:r>
          </w:p>
        </w:tc>
        <w:tc>
          <w:tcPr>
            <w:tcW w:w="753" w:type="dxa"/>
            <w:shd w:val="clear" w:color="auto" w:fill="EBE2D1"/>
            <w:noWrap/>
            <w:vAlign w:val="center"/>
            <w:hideMark/>
          </w:tcPr>
          <w:p w14:paraId="3B3C87D7" w14:textId="77777777" w:rsidR="00F1215C" w:rsidRPr="00F55ECD" w:rsidRDefault="00F1215C" w:rsidP="00CA0F29">
            <w:pPr>
              <w:spacing w:before="60"/>
              <w:ind w:firstLine="0"/>
              <w:jc w:val="center"/>
              <w:rPr>
                <w:rFonts w:eastAsia="Times New Roman" w:cs="Times New Roman"/>
                <w:b/>
                <w:bCs/>
                <w:noProof/>
                <w:color w:val="000000"/>
                <w:sz w:val="20"/>
                <w:szCs w:val="20"/>
                <w:lang w:eastAsia="lv-LV"/>
              </w:rPr>
            </w:pPr>
            <w:r w:rsidRPr="00F55ECD">
              <w:rPr>
                <w:rFonts w:eastAsia="Times New Roman" w:cs="Times New Roman"/>
                <w:b/>
                <w:bCs/>
                <w:noProof/>
                <w:color w:val="000000"/>
                <w:sz w:val="20"/>
                <w:szCs w:val="20"/>
                <w:lang w:eastAsia="lv-LV"/>
              </w:rPr>
              <w:t>2029</w:t>
            </w:r>
          </w:p>
        </w:tc>
      </w:tr>
      <w:tr w:rsidR="00F1215C" w:rsidRPr="001C0357" w14:paraId="77D176F2" w14:textId="77777777" w:rsidTr="00352EDD">
        <w:trPr>
          <w:trHeight w:val="20"/>
          <w:jc w:val="center"/>
        </w:trPr>
        <w:tc>
          <w:tcPr>
            <w:tcW w:w="3144" w:type="dxa"/>
            <w:noWrap/>
            <w:vAlign w:val="center"/>
            <w:hideMark/>
          </w:tcPr>
          <w:p w14:paraId="154D2CD7" w14:textId="3B9F0C8B" w:rsidR="00F1215C" w:rsidRPr="00F55ECD" w:rsidRDefault="00F1215C" w:rsidP="00CA0F29">
            <w:pPr>
              <w:spacing w:before="60" w:after="60"/>
              <w:ind w:firstLine="0"/>
              <w:jc w:val="left"/>
              <w:rPr>
                <w:rFonts w:eastAsia="Times New Roman" w:cs="Times New Roman"/>
                <w:b/>
                <w:bCs/>
                <w:noProof/>
                <w:color w:val="000000"/>
                <w:sz w:val="20"/>
                <w:szCs w:val="20"/>
                <w:lang w:eastAsia="lv-LV"/>
              </w:rPr>
            </w:pPr>
            <w:r w:rsidRPr="00F55ECD">
              <w:rPr>
                <w:rFonts w:eastAsia="Times New Roman" w:cs="Times New Roman"/>
                <w:b/>
                <w:bCs/>
                <w:noProof/>
                <w:sz w:val="20"/>
                <w:szCs w:val="20"/>
                <w:lang w:eastAsia="lv-LV"/>
              </w:rPr>
              <w:t>Vispārējās valdības strukturālās bilances mērķi, kas izriet no ES strukturālās primārās bilances nosacījuma, % no IKP</w:t>
            </w:r>
          </w:p>
        </w:tc>
        <w:tc>
          <w:tcPr>
            <w:tcW w:w="1215" w:type="dxa"/>
            <w:vAlign w:val="center"/>
          </w:tcPr>
          <w:p w14:paraId="4CBDF465" w14:textId="77777777" w:rsidR="00F1215C" w:rsidRPr="00F55ECD" w:rsidRDefault="00F1215C" w:rsidP="00CA0F29">
            <w:pPr>
              <w:spacing w:before="60" w:after="60"/>
              <w:ind w:firstLine="0"/>
              <w:jc w:val="center"/>
              <w:rPr>
                <w:rFonts w:eastAsia="Times New Roman" w:cs="Times New Roman"/>
                <w:b/>
                <w:bCs/>
                <w:noProof/>
                <w:color w:val="000000"/>
                <w:sz w:val="20"/>
                <w:szCs w:val="20"/>
                <w:lang w:eastAsia="lv-LV"/>
              </w:rPr>
            </w:pPr>
            <w:r w:rsidRPr="00F55ECD">
              <w:rPr>
                <w:rFonts w:eastAsia="Times New Roman" w:cs="Times New Roman"/>
                <w:b/>
                <w:bCs/>
                <w:noProof/>
                <w:color w:val="000000"/>
                <w:sz w:val="20"/>
                <w:szCs w:val="20"/>
                <w:lang w:eastAsia="lv-LV"/>
              </w:rPr>
              <w:t>(1)</w:t>
            </w:r>
          </w:p>
        </w:tc>
        <w:tc>
          <w:tcPr>
            <w:tcW w:w="753" w:type="dxa"/>
            <w:shd w:val="clear" w:color="auto" w:fill="EBE2D1"/>
            <w:noWrap/>
            <w:vAlign w:val="center"/>
          </w:tcPr>
          <w:p w14:paraId="2E559AB0" w14:textId="77777777" w:rsidR="00F1215C" w:rsidRPr="00F55ECD" w:rsidRDefault="00F1215C" w:rsidP="00CA0F29">
            <w:pPr>
              <w:spacing w:before="60" w:after="60"/>
              <w:ind w:firstLine="0"/>
              <w:jc w:val="center"/>
              <w:rPr>
                <w:rFonts w:eastAsia="Times New Roman" w:cs="Times New Roman"/>
                <w:b/>
                <w:bCs/>
                <w:noProof/>
                <w:color w:val="000000" w:themeColor="text1"/>
                <w:sz w:val="20"/>
                <w:szCs w:val="20"/>
                <w:lang w:eastAsia="lv-LV"/>
              </w:rPr>
            </w:pPr>
            <w:r w:rsidRPr="00F55ECD">
              <w:rPr>
                <w:rFonts w:cs="Times New Roman"/>
                <w:b/>
                <w:bCs/>
                <w:noProof/>
                <w:sz w:val="20"/>
                <w:szCs w:val="20"/>
              </w:rPr>
              <w:t>-1,379</w:t>
            </w:r>
          </w:p>
        </w:tc>
        <w:tc>
          <w:tcPr>
            <w:tcW w:w="753" w:type="dxa"/>
            <w:shd w:val="clear" w:color="auto" w:fill="EBE2D1"/>
            <w:noWrap/>
            <w:vAlign w:val="center"/>
          </w:tcPr>
          <w:p w14:paraId="251C1D2B" w14:textId="77777777" w:rsidR="00F1215C" w:rsidRPr="00F55ECD" w:rsidRDefault="00F1215C" w:rsidP="00CA0F29">
            <w:pPr>
              <w:spacing w:before="60" w:after="60"/>
              <w:ind w:firstLine="0"/>
              <w:jc w:val="center"/>
              <w:rPr>
                <w:rFonts w:eastAsia="Times New Roman" w:cs="Times New Roman"/>
                <w:b/>
                <w:bCs/>
                <w:noProof/>
                <w:color w:val="000000" w:themeColor="text1"/>
                <w:sz w:val="20"/>
                <w:szCs w:val="20"/>
                <w:lang w:eastAsia="lv-LV"/>
              </w:rPr>
            </w:pPr>
            <w:r w:rsidRPr="00F55ECD">
              <w:rPr>
                <w:rFonts w:cs="Times New Roman"/>
                <w:b/>
                <w:bCs/>
                <w:noProof/>
                <w:sz w:val="20"/>
                <w:szCs w:val="20"/>
              </w:rPr>
              <w:t>-2,143</w:t>
            </w:r>
          </w:p>
        </w:tc>
        <w:tc>
          <w:tcPr>
            <w:tcW w:w="753" w:type="dxa"/>
            <w:shd w:val="clear" w:color="auto" w:fill="EBE2D1"/>
            <w:vAlign w:val="center"/>
          </w:tcPr>
          <w:p w14:paraId="4297BC2F" w14:textId="77777777" w:rsidR="00F1215C" w:rsidRPr="00F55ECD" w:rsidRDefault="00F1215C" w:rsidP="00CA0F29">
            <w:pPr>
              <w:spacing w:before="60" w:after="60"/>
              <w:ind w:firstLine="0"/>
              <w:jc w:val="center"/>
              <w:rPr>
                <w:rFonts w:eastAsia="Times New Roman" w:cs="Times New Roman"/>
                <w:b/>
                <w:bCs/>
                <w:noProof/>
                <w:color w:val="000000" w:themeColor="text1"/>
                <w:sz w:val="20"/>
                <w:szCs w:val="20"/>
                <w:lang w:eastAsia="lv-LV"/>
              </w:rPr>
            </w:pPr>
            <w:r w:rsidRPr="00F55ECD">
              <w:rPr>
                <w:rFonts w:cs="Times New Roman"/>
                <w:b/>
                <w:bCs/>
                <w:noProof/>
                <w:sz w:val="20"/>
                <w:szCs w:val="20"/>
              </w:rPr>
              <w:t>-2,108</w:t>
            </w:r>
          </w:p>
        </w:tc>
        <w:tc>
          <w:tcPr>
            <w:tcW w:w="753" w:type="dxa"/>
            <w:shd w:val="clear" w:color="auto" w:fill="EBE2D1"/>
            <w:noWrap/>
            <w:vAlign w:val="center"/>
          </w:tcPr>
          <w:p w14:paraId="521B2E71" w14:textId="77777777" w:rsidR="00F1215C" w:rsidRPr="00F55ECD" w:rsidRDefault="00F1215C" w:rsidP="00CA0F29">
            <w:pPr>
              <w:spacing w:before="60" w:after="60"/>
              <w:ind w:firstLine="0"/>
              <w:jc w:val="center"/>
              <w:rPr>
                <w:rFonts w:eastAsia="Times New Roman" w:cs="Times New Roman"/>
                <w:b/>
                <w:bCs/>
                <w:noProof/>
                <w:color w:val="000000" w:themeColor="text1"/>
                <w:sz w:val="20"/>
                <w:szCs w:val="20"/>
                <w:lang w:eastAsia="lv-LV"/>
              </w:rPr>
            </w:pPr>
            <w:r w:rsidRPr="00F55ECD">
              <w:rPr>
                <w:rFonts w:cs="Times New Roman"/>
                <w:b/>
                <w:bCs/>
                <w:noProof/>
                <w:sz w:val="20"/>
                <w:szCs w:val="20"/>
              </w:rPr>
              <w:t>-3,432</w:t>
            </w:r>
          </w:p>
        </w:tc>
      </w:tr>
      <w:tr w:rsidR="00F1215C" w:rsidRPr="001C0357" w14:paraId="35CA5843" w14:textId="77777777" w:rsidTr="00352EDD">
        <w:trPr>
          <w:trHeight w:val="20"/>
          <w:jc w:val="center"/>
        </w:trPr>
        <w:tc>
          <w:tcPr>
            <w:tcW w:w="3144" w:type="dxa"/>
            <w:noWrap/>
            <w:vAlign w:val="center"/>
          </w:tcPr>
          <w:p w14:paraId="39CD1036" w14:textId="237972DA" w:rsidR="00F1215C" w:rsidRPr="00F55ECD" w:rsidRDefault="00F1215C" w:rsidP="00CA0F29">
            <w:pPr>
              <w:spacing w:before="60" w:after="60"/>
              <w:ind w:firstLine="0"/>
              <w:jc w:val="left"/>
              <w:rPr>
                <w:rFonts w:eastAsia="Times New Roman" w:cs="Times New Roman"/>
                <w:noProof/>
                <w:color w:val="000000"/>
                <w:sz w:val="20"/>
                <w:szCs w:val="20"/>
                <w:lang w:eastAsia="lv-LV"/>
              </w:rPr>
            </w:pPr>
            <w:r w:rsidRPr="00F55ECD">
              <w:rPr>
                <w:rFonts w:eastAsia="Times New Roman" w:cs="Times New Roman"/>
                <w:noProof/>
                <w:color w:val="000000"/>
                <w:sz w:val="20"/>
                <w:szCs w:val="20"/>
                <w:lang w:eastAsia="lv-LV"/>
              </w:rPr>
              <w:t>Vispārējās valdības budžeta nominālā bilance</w:t>
            </w:r>
            <w:r w:rsidRPr="00F55ECD">
              <w:rPr>
                <w:noProof/>
                <w:sz w:val="20"/>
                <w:szCs w:val="20"/>
              </w:rPr>
              <w:t xml:space="preserve"> </w:t>
            </w:r>
            <w:r w:rsidRPr="00F55ECD">
              <w:rPr>
                <w:rFonts w:eastAsia="Times New Roman" w:cs="Times New Roman"/>
                <w:noProof/>
                <w:color w:val="000000"/>
                <w:sz w:val="20"/>
                <w:szCs w:val="20"/>
                <w:lang w:eastAsia="lv-LV"/>
              </w:rPr>
              <w:t>pie nemainīgas politikas, % no IKP</w:t>
            </w:r>
          </w:p>
        </w:tc>
        <w:tc>
          <w:tcPr>
            <w:tcW w:w="1215" w:type="dxa"/>
            <w:vAlign w:val="center"/>
          </w:tcPr>
          <w:p w14:paraId="0AF3A97C" w14:textId="77777777" w:rsidR="00F1215C" w:rsidRPr="00F55ECD" w:rsidRDefault="00F1215C" w:rsidP="00CA0F29">
            <w:pPr>
              <w:spacing w:before="60" w:after="60"/>
              <w:ind w:firstLine="0"/>
              <w:jc w:val="center"/>
              <w:rPr>
                <w:rFonts w:cs="Times New Roman"/>
                <w:noProof/>
                <w:color w:val="000000"/>
                <w:sz w:val="20"/>
                <w:szCs w:val="20"/>
              </w:rPr>
            </w:pPr>
            <w:r w:rsidRPr="00F55ECD">
              <w:rPr>
                <w:rFonts w:cs="Times New Roman"/>
                <w:noProof/>
                <w:color w:val="000000"/>
                <w:sz w:val="20"/>
                <w:szCs w:val="20"/>
              </w:rPr>
              <w:t>(2)</w:t>
            </w:r>
          </w:p>
        </w:tc>
        <w:tc>
          <w:tcPr>
            <w:tcW w:w="753" w:type="dxa"/>
            <w:shd w:val="clear" w:color="auto" w:fill="EBE2D1"/>
            <w:noWrap/>
            <w:vAlign w:val="center"/>
          </w:tcPr>
          <w:p w14:paraId="40B9A08F" w14:textId="77777777" w:rsidR="00F1215C" w:rsidRPr="00F55ECD" w:rsidRDefault="00F1215C" w:rsidP="00CA0F29">
            <w:pPr>
              <w:spacing w:before="60" w:after="60"/>
              <w:ind w:firstLine="0"/>
              <w:jc w:val="center"/>
              <w:rPr>
                <w:rFonts w:cs="Times New Roman"/>
                <w:noProof/>
                <w:color w:val="47D359"/>
                <w:sz w:val="20"/>
                <w:szCs w:val="20"/>
              </w:rPr>
            </w:pPr>
            <w:r w:rsidRPr="00F55ECD">
              <w:rPr>
                <w:rFonts w:cs="Times New Roman"/>
                <w:noProof/>
                <w:color w:val="000000" w:themeColor="text1"/>
                <w:sz w:val="20"/>
                <w:szCs w:val="20"/>
              </w:rPr>
              <w:t>-3,0</w:t>
            </w:r>
          </w:p>
        </w:tc>
        <w:tc>
          <w:tcPr>
            <w:tcW w:w="753" w:type="dxa"/>
            <w:shd w:val="clear" w:color="auto" w:fill="EBE2D1"/>
            <w:noWrap/>
            <w:vAlign w:val="center"/>
          </w:tcPr>
          <w:p w14:paraId="2C5175BA" w14:textId="77777777" w:rsidR="00F1215C" w:rsidRPr="00F55ECD" w:rsidRDefault="00F1215C" w:rsidP="00CA0F29">
            <w:pPr>
              <w:spacing w:before="60" w:after="60"/>
              <w:ind w:firstLine="0"/>
              <w:jc w:val="center"/>
              <w:rPr>
                <w:rFonts w:cs="Times New Roman"/>
                <w:noProof/>
                <w:color w:val="47D359"/>
                <w:sz w:val="20"/>
                <w:szCs w:val="20"/>
              </w:rPr>
            </w:pPr>
            <w:r w:rsidRPr="00F55ECD">
              <w:rPr>
                <w:rFonts w:cs="Times New Roman"/>
                <w:noProof/>
                <w:color w:val="000000" w:themeColor="text1"/>
                <w:sz w:val="20"/>
                <w:szCs w:val="20"/>
              </w:rPr>
              <w:t>-4,1</w:t>
            </w:r>
          </w:p>
        </w:tc>
        <w:tc>
          <w:tcPr>
            <w:tcW w:w="753" w:type="dxa"/>
            <w:shd w:val="clear" w:color="auto" w:fill="EBE2D1"/>
            <w:vAlign w:val="center"/>
          </w:tcPr>
          <w:p w14:paraId="4C1E2A00" w14:textId="77777777" w:rsidR="00F1215C" w:rsidRPr="00F55ECD" w:rsidRDefault="00F1215C" w:rsidP="00CA0F29">
            <w:pPr>
              <w:spacing w:before="60" w:after="60"/>
              <w:ind w:firstLine="0"/>
              <w:jc w:val="center"/>
              <w:rPr>
                <w:rFonts w:cs="Times New Roman"/>
                <w:noProof/>
                <w:color w:val="47D359"/>
                <w:sz w:val="20"/>
                <w:szCs w:val="20"/>
              </w:rPr>
            </w:pPr>
            <w:r w:rsidRPr="00F55ECD">
              <w:rPr>
                <w:rFonts w:cs="Times New Roman"/>
                <w:noProof/>
                <w:color w:val="000000" w:themeColor="text1"/>
                <w:sz w:val="20"/>
                <w:szCs w:val="20"/>
              </w:rPr>
              <w:t>-3,7</w:t>
            </w:r>
          </w:p>
        </w:tc>
        <w:tc>
          <w:tcPr>
            <w:tcW w:w="753" w:type="dxa"/>
            <w:shd w:val="clear" w:color="auto" w:fill="EBE2D1"/>
            <w:noWrap/>
            <w:vAlign w:val="center"/>
          </w:tcPr>
          <w:p w14:paraId="3C3E1C24" w14:textId="77777777" w:rsidR="00F1215C" w:rsidRPr="00F55ECD" w:rsidRDefault="00F1215C" w:rsidP="00CA0F29">
            <w:pPr>
              <w:spacing w:before="60" w:after="60"/>
              <w:ind w:firstLine="0"/>
              <w:jc w:val="center"/>
              <w:rPr>
                <w:rFonts w:cs="Times New Roman"/>
                <w:noProof/>
                <w:color w:val="47D359"/>
                <w:sz w:val="20"/>
                <w:szCs w:val="20"/>
              </w:rPr>
            </w:pPr>
            <w:r w:rsidRPr="00F55ECD">
              <w:rPr>
                <w:rFonts w:cs="Times New Roman"/>
                <w:noProof/>
                <w:color w:val="000000" w:themeColor="text1"/>
                <w:sz w:val="20"/>
                <w:szCs w:val="20"/>
              </w:rPr>
              <w:t>-3,9</w:t>
            </w:r>
          </w:p>
        </w:tc>
      </w:tr>
      <w:tr w:rsidR="00F1215C" w:rsidRPr="001C0357" w14:paraId="2D57199D" w14:textId="77777777" w:rsidTr="00352EDD">
        <w:trPr>
          <w:trHeight w:val="20"/>
          <w:jc w:val="center"/>
        </w:trPr>
        <w:tc>
          <w:tcPr>
            <w:tcW w:w="3144" w:type="dxa"/>
            <w:noWrap/>
            <w:vAlign w:val="center"/>
          </w:tcPr>
          <w:p w14:paraId="2EA8CB3F" w14:textId="4933F37B" w:rsidR="00F1215C" w:rsidRPr="00F55ECD" w:rsidRDefault="00F1215C" w:rsidP="00CA0F29">
            <w:pPr>
              <w:spacing w:before="60" w:after="60"/>
              <w:ind w:firstLine="0"/>
              <w:jc w:val="left"/>
              <w:rPr>
                <w:rFonts w:eastAsia="Times New Roman" w:cs="Times New Roman"/>
                <w:noProof/>
                <w:color w:val="000000"/>
                <w:sz w:val="20"/>
                <w:szCs w:val="20"/>
                <w:lang w:eastAsia="lv-LV"/>
              </w:rPr>
            </w:pPr>
            <w:r w:rsidRPr="00F55ECD">
              <w:rPr>
                <w:rFonts w:eastAsia="Times New Roman" w:cs="Times New Roman"/>
                <w:noProof/>
                <w:color w:val="000000"/>
                <w:sz w:val="20"/>
                <w:szCs w:val="20"/>
                <w:lang w:eastAsia="lv-LV"/>
              </w:rPr>
              <w:t>Vienreizējie pasākumi, % no IKP</w:t>
            </w:r>
          </w:p>
        </w:tc>
        <w:tc>
          <w:tcPr>
            <w:tcW w:w="1215" w:type="dxa"/>
            <w:vAlign w:val="center"/>
          </w:tcPr>
          <w:p w14:paraId="1C89FF9D" w14:textId="77777777" w:rsidR="00F1215C" w:rsidRPr="00F55ECD" w:rsidRDefault="00F1215C" w:rsidP="00CA0F29">
            <w:pPr>
              <w:spacing w:before="60" w:after="60"/>
              <w:ind w:firstLine="0"/>
              <w:jc w:val="center"/>
              <w:rPr>
                <w:rFonts w:cs="Times New Roman"/>
                <w:noProof/>
                <w:color w:val="000000"/>
                <w:sz w:val="20"/>
                <w:szCs w:val="20"/>
              </w:rPr>
            </w:pPr>
            <w:r w:rsidRPr="00F55ECD">
              <w:rPr>
                <w:rFonts w:cs="Times New Roman"/>
                <w:noProof/>
                <w:color w:val="000000"/>
                <w:sz w:val="20"/>
                <w:szCs w:val="20"/>
              </w:rPr>
              <w:t>(3)</w:t>
            </w:r>
          </w:p>
        </w:tc>
        <w:tc>
          <w:tcPr>
            <w:tcW w:w="753" w:type="dxa"/>
            <w:shd w:val="clear" w:color="auto" w:fill="EBE2D1"/>
            <w:noWrap/>
            <w:vAlign w:val="center"/>
          </w:tcPr>
          <w:p w14:paraId="751FE7B3" w14:textId="77777777" w:rsidR="00F1215C" w:rsidRPr="00F55ECD" w:rsidRDefault="00F1215C" w:rsidP="00CA0F29">
            <w:pPr>
              <w:spacing w:before="60" w:after="60"/>
              <w:ind w:firstLine="0"/>
              <w:jc w:val="center"/>
              <w:rPr>
                <w:rFonts w:cs="Times New Roman"/>
                <w:noProof/>
                <w:color w:val="000000" w:themeColor="text1"/>
                <w:sz w:val="20"/>
                <w:szCs w:val="20"/>
              </w:rPr>
            </w:pPr>
            <w:r w:rsidRPr="00F55ECD">
              <w:rPr>
                <w:rFonts w:eastAsia="Times New Roman" w:cs="Times New Roman"/>
                <w:noProof/>
                <w:sz w:val="20"/>
                <w:szCs w:val="20"/>
                <w:lang w:eastAsia="lv-LV"/>
              </w:rPr>
              <w:t>-1,6</w:t>
            </w:r>
          </w:p>
        </w:tc>
        <w:tc>
          <w:tcPr>
            <w:tcW w:w="753" w:type="dxa"/>
            <w:shd w:val="clear" w:color="auto" w:fill="EBE2D1"/>
            <w:noWrap/>
            <w:vAlign w:val="center"/>
          </w:tcPr>
          <w:p w14:paraId="6408AAAC" w14:textId="77777777" w:rsidR="00F1215C" w:rsidRPr="00F55ECD" w:rsidRDefault="00F1215C" w:rsidP="00CA0F29">
            <w:pPr>
              <w:spacing w:before="60" w:after="60"/>
              <w:ind w:firstLine="0"/>
              <w:jc w:val="center"/>
              <w:rPr>
                <w:rFonts w:cs="Times New Roman"/>
                <w:noProof/>
                <w:color w:val="000000" w:themeColor="text1"/>
                <w:sz w:val="20"/>
                <w:szCs w:val="20"/>
              </w:rPr>
            </w:pPr>
            <w:r w:rsidRPr="00F55ECD">
              <w:rPr>
                <w:rFonts w:eastAsia="Times New Roman" w:cs="Times New Roman"/>
                <w:noProof/>
                <w:sz w:val="20"/>
                <w:szCs w:val="20"/>
                <w:lang w:eastAsia="lv-LV"/>
              </w:rPr>
              <w:t>-1,7</w:t>
            </w:r>
          </w:p>
        </w:tc>
        <w:tc>
          <w:tcPr>
            <w:tcW w:w="753" w:type="dxa"/>
            <w:shd w:val="clear" w:color="auto" w:fill="EBE2D1"/>
            <w:vAlign w:val="center"/>
          </w:tcPr>
          <w:p w14:paraId="3B887103" w14:textId="77777777" w:rsidR="00F1215C" w:rsidRPr="00F55ECD" w:rsidRDefault="00F1215C" w:rsidP="00CA0F29">
            <w:pPr>
              <w:spacing w:before="60" w:after="60"/>
              <w:ind w:firstLine="0"/>
              <w:jc w:val="center"/>
              <w:rPr>
                <w:rFonts w:cs="Times New Roman"/>
                <w:noProof/>
                <w:color w:val="000000" w:themeColor="text1"/>
                <w:sz w:val="20"/>
                <w:szCs w:val="20"/>
              </w:rPr>
            </w:pPr>
            <w:r w:rsidRPr="00F55ECD">
              <w:rPr>
                <w:rFonts w:eastAsia="Times New Roman" w:cs="Times New Roman"/>
                <w:noProof/>
                <w:sz w:val="20"/>
                <w:szCs w:val="20"/>
                <w:lang w:eastAsia="lv-LV"/>
              </w:rPr>
              <w:t>-1,6</w:t>
            </w:r>
          </w:p>
        </w:tc>
        <w:tc>
          <w:tcPr>
            <w:tcW w:w="753" w:type="dxa"/>
            <w:shd w:val="clear" w:color="auto" w:fill="EBE2D1"/>
            <w:noWrap/>
            <w:vAlign w:val="center"/>
          </w:tcPr>
          <w:p w14:paraId="7C644279" w14:textId="77777777" w:rsidR="00F1215C" w:rsidRPr="00F55ECD" w:rsidRDefault="00F1215C" w:rsidP="00CA0F29">
            <w:pPr>
              <w:spacing w:before="60" w:after="60"/>
              <w:ind w:firstLine="0"/>
              <w:jc w:val="center"/>
              <w:rPr>
                <w:rFonts w:cs="Times New Roman"/>
                <w:noProof/>
                <w:color w:val="000000" w:themeColor="text1"/>
                <w:sz w:val="20"/>
                <w:szCs w:val="20"/>
              </w:rPr>
            </w:pPr>
            <w:r w:rsidRPr="00F55ECD">
              <w:rPr>
                <w:rFonts w:eastAsia="Times New Roman" w:cs="Times New Roman"/>
                <w:noProof/>
                <w:sz w:val="20"/>
                <w:szCs w:val="20"/>
                <w:lang w:eastAsia="lv-LV"/>
              </w:rPr>
              <w:t>-0,9</w:t>
            </w:r>
          </w:p>
        </w:tc>
      </w:tr>
      <w:tr w:rsidR="00F1215C" w:rsidRPr="001C0357" w14:paraId="14E1DB90" w14:textId="77777777" w:rsidTr="00352EDD">
        <w:trPr>
          <w:trHeight w:val="20"/>
          <w:jc w:val="center"/>
        </w:trPr>
        <w:tc>
          <w:tcPr>
            <w:tcW w:w="3144" w:type="dxa"/>
            <w:noWrap/>
            <w:vAlign w:val="center"/>
          </w:tcPr>
          <w:p w14:paraId="017E670B" w14:textId="3E053AD5" w:rsidR="00F1215C" w:rsidRPr="00F55ECD" w:rsidRDefault="00F1215C" w:rsidP="00CA0F29">
            <w:pPr>
              <w:spacing w:before="60" w:after="60"/>
              <w:ind w:firstLine="0"/>
              <w:jc w:val="left"/>
              <w:rPr>
                <w:rFonts w:eastAsia="Times New Roman" w:cs="Times New Roman"/>
                <w:noProof/>
                <w:color w:val="000000"/>
                <w:sz w:val="20"/>
                <w:szCs w:val="20"/>
                <w:lang w:eastAsia="lv-LV"/>
              </w:rPr>
            </w:pPr>
            <w:r w:rsidRPr="00F55ECD">
              <w:rPr>
                <w:rFonts w:eastAsia="Times New Roman" w:cs="Times New Roman"/>
                <w:noProof/>
                <w:color w:val="000000"/>
                <w:sz w:val="20"/>
                <w:szCs w:val="20"/>
                <w:lang w:eastAsia="lv-LV"/>
              </w:rPr>
              <w:t>Bilances cikliskā komponente, % no IKP</w:t>
            </w:r>
          </w:p>
        </w:tc>
        <w:tc>
          <w:tcPr>
            <w:tcW w:w="1215" w:type="dxa"/>
            <w:vAlign w:val="center"/>
          </w:tcPr>
          <w:p w14:paraId="6943BDA7" w14:textId="77777777" w:rsidR="00F1215C" w:rsidRPr="00F55ECD" w:rsidRDefault="00F1215C" w:rsidP="00CA0F29">
            <w:pPr>
              <w:spacing w:before="60" w:after="60"/>
              <w:ind w:firstLine="0"/>
              <w:jc w:val="center"/>
              <w:rPr>
                <w:rFonts w:cs="Times New Roman"/>
                <w:noProof/>
                <w:color w:val="000000"/>
                <w:sz w:val="20"/>
                <w:szCs w:val="20"/>
              </w:rPr>
            </w:pPr>
            <w:r w:rsidRPr="00F55ECD">
              <w:rPr>
                <w:rFonts w:cs="Times New Roman"/>
                <w:noProof/>
                <w:color w:val="000000"/>
                <w:sz w:val="20"/>
                <w:szCs w:val="20"/>
              </w:rPr>
              <w:t>(4)</w:t>
            </w:r>
          </w:p>
        </w:tc>
        <w:tc>
          <w:tcPr>
            <w:tcW w:w="753" w:type="dxa"/>
            <w:shd w:val="clear" w:color="auto" w:fill="EBE2D1"/>
            <w:noWrap/>
            <w:vAlign w:val="center"/>
          </w:tcPr>
          <w:p w14:paraId="66CF9366" w14:textId="77777777" w:rsidR="00F1215C" w:rsidRPr="00F55ECD" w:rsidRDefault="00F1215C" w:rsidP="00CA0F29">
            <w:pPr>
              <w:spacing w:before="60" w:after="60"/>
              <w:ind w:firstLine="0"/>
              <w:jc w:val="center"/>
              <w:rPr>
                <w:rFonts w:cs="Times New Roman"/>
                <w:noProof/>
                <w:color w:val="47D359"/>
                <w:sz w:val="20"/>
                <w:szCs w:val="20"/>
              </w:rPr>
            </w:pPr>
            <w:r w:rsidRPr="00F55ECD">
              <w:rPr>
                <w:rFonts w:cs="Times New Roman"/>
                <w:noProof/>
                <w:color w:val="000000" w:themeColor="text1"/>
                <w:sz w:val="20"/>
                <w:szCs w:val="20"/>
              </w:rPr>
              <w:t>-0,3</w:t>
            </w:r>
          </w:p>
        </w:tc>
        <w:tc>
          <w:tcPr>
            <w:tcW w:w="753" w:type="dxa"/>
            <w:shd w:val="clear" w:color="auto" w:fill="EBE2D1"/>
            <w:noWrap/>
            <w:vAlign w:val="center"/>
          </w:tcPr>
          <w:p w14:paraId="44568C4B" w14:textId="77777777" w:rsidR="00F1215C" w:rsidRPr="00F55ECD" w:rsidRDefault="00F1215C" w:rsidP="00CA0F29">
            <w:pPr>
              <w:spacing w:before="60" w:after="60"/>
              <w:ind w:firstLine="0"/>
              <w:jc w:val="center"/>
              <w:rPr>
                <w:rFonts w:cs="Times New Roman"/>
                <w:noProof/>
                <w:color w:val="47D359"/>
                <w:sz w:val="20"/>
                <w:szCs w:val="20"/>
              </w:rPr>
            </w:pPr>
            <w:r w:rsidRPr="00F55ECD">
              <w:rPr>
                <w:rFonts w:cs="Times New Roman"/>
                <w:noProof/>
                <w:color w:val="000000" w:themeColor="text1"/>
                <w:sz w:val="20"/>
                <w:szCs w:val="20"/>
              </w:rPr>
              <w:t>-0,2</w:t>
            </w:r>
          </w:p>
        </w:tc>
        <w:tc>
          <w:tcPr>
            <w:tcW w:w="753" w:type="dxa"/>
            <w:shd w:val="clear" w:color="auto" w:fill="EBE2D1"/>
            <w:vAlign w:val="center"/>
          </w:tcPr>
          <w:p w14:paraId="4750E3BA" w14:textId="77777777" w:rsidR="00F1215C" w:rsidRPr="00F55ECD" w:rsidRDefault="00F1215C" w:rsidP="00CA0F29">
            <w:pPr>
              <w:spacing w:before="60" w:after="60"/>
              <w:ind w:firstLine="0"/>
              <w:jc w:val="center"/>
              <w:rPr>
                <w:rFonts w:cs="Times New Roman"/>
                <w:noProof/>
                <w:color w:val="47D359"/>
                <w:sz w:val="20"/>
                <w:szCs w:val="20"/>
              </w:rPr>
            </w:pPr>
            <w:r w:rsidRPr="00F55ECD">
              <w:rPr>
                <w:rFonts w:cs="Times New Roman"/>
                <w:noProof/>
                <w:color w:val="000000" w:themeColor="text1"/>
                <w:sz w:val="20"/>
                <w:szCs w:val="20"/>
              </w:rPr>
              <w:t>-0,1</w:t>
            </w:r>
          </w:p>
        </w:tc>
        <w:tc>
          <w:tcPr>
            <w:tcW w:w="753" w:type="dxa"/>
            <w:shd w:val="clear" w:color="auto" w:fill="EBE2D1"/>
            <w:noWrap/>
            <w:vAlign w:val="center"/>
          </w:tcPr>
          <w:p w14:paraId="053D1F2E" w14:textId="77777777" w:rsidR="00F1215C" w:rsidRPr="00F55ECD" w:rsidRDefault="00F1215C" w:rsidP="00CA0F29">
            <w:pPr>
              <w:spacing w:before="60" w:after="60"/>
              <w:ind w:firstLine="0"/>
              <w:jc w:val="center"/>
              <w:rPr>
                <w:rFonts w:cs="Times New Roman"/>
                <w:noProof/>
                <w:color w:val="47D359"/>
                <w:sz w:val="20"/>
                <w:szCs w:val="20"/>
              </w:rPr>
            </w:pPr>
            <w:r w:rsidRPr="00F55ECD">
              <w:rPr>
                <w:rFonts w:cs="Times New Roman"/>
                <w:noProof/>
                <w:color w:val="000000" w:themeColor="text1"/>
                <w:sz w:val="20"/>
                <w:szCs w:val="20"/>
              </w:rPr>
              <w:t>0,0</w:t>
            </w:r>
          </w:p>
        </w:tc>
      </w:tr>
      <w:tr w:rsidR="00F1215C" w:rsidRPr="001C0357" w14:paraId="026958F7" w14:textId="77777777" w:rsidTr="00352EDD">
        <w:trPr>
          <w:trHeight w:val="20"/>
          <w:jc w:val="center"/>
        </w:trPr>
        <w:tc>
          <w:tcPr>
            <w:tcW w:w="3144" w:type="dxa"/>
            <w:noWrap/>
            <w:vAlign w:val="center"/>
          </w:tcPr>
          <w:p w14:paraId="37B0F177" w14:textId="716CA911" w:rsidR="00F1215C" w:rsidRPr="00F55ECD" w:rsidRDefault="00F1215C" w:rsidP="00CA0F29">
            <w:pPr>
              <w:spacing w:before="60" w:after="60"/>
              <w:ind w:firstLine="0"/>
              <w:jc w:val="left"/>
              <w:rPr>
                <w:rFonts w:eastAsia="Times New Roman" w:cs="Times New Roman"/>
                <w:noProof/>
                <w:color w:val="000000"/>
                <w:sz w:val="20"/>
                <w:szCs w:val="20"/>
                <w:lang w:eastAsia="lv-LV"/>
              </w:rPr>
            </w:pPr>
            <w:r w:rsidRPr="00F55ECD">
              <w:rPr>
                <w:rFonts w:eastAsia="Times New Roman" w:cs="Times New Roman"/>
                <w:noProof/>
                <w:color w:val="000000"/>
                <w:sz w:val="20"/>
                <w:szCs w:val="20"/>
                <w:lang w:eastAsia="lv-LV"/>
              </w:rPr>
              <w:t>Vispārējās valdības budžeta strukturālā bilance</w:t>
            </w:r>
            <w:r w:rsidRPr="00F55ECD">
              <w:rPr>
                <w:noProof/>
                <w:sz w:val="20"/>
                <w:szCs w:val="20"/>
              </w:rPr>
              <w:t xml:space="preserve"> </w:t>
            </w:r>
            <w:r w:rsidRPr="00F55ECD">
              <w:rPr>
                <w:rFonts w:eastAsia="Times New Roman" w:cs="Times New Roman"/>
                <w:noProof/>
                <w:color w:val="000000"/>
                <w:sz w:val="20"/>
                <w:szCs w:val="20"/>
                <w:lang w:eastAsia="lv-LV"/>
              </w:rPr>
              <w:t>pie nemainīgas politikas, % no IKP</w:t>
            </w:r>
          </w:p>
        </w:tc>
        <w:tc>
          <w:tcPr>
            <w:tcW w:w="1215" w:type="dxa"/>
            <w:vAlign w:val="center"/>
          </w:tcPr>
          <w:p w14:paraId="1A2C2704" w14:textId="77777777" w:rsidR="00F1215C" w:rsidRPr="00F55ECD" w:rsidRDefault="00F1215C" w:rsidP="00CA0F29">
            <w:pPr>
              <w:spacing w:before="60" w:after="60"/>
              <w:ind w:firstLine="0"/>
              <w:jc w:val="center"/>
              <w:rPr>
                <w:rFonts w:cs="Times New Roman"/>
                <w:noProof/>
                <w:color w:val="000000"/>
                <w:sz w:val="20"/>
                <w:szCs w:val="20"/>
              </w:rPr>
            </w:pPr>
            <w:r w:rsidRPr="00F55ECD">
              <w:rPr>
                <w:rFonts w:cs="Times New Roman"/>
                <w:noProof/>
                <w:color w:val="000000"/>
                <w:sz w:val="20"/>
                <w:szCs w:val="20"/>
              </w:rPr>
              <w:t>(5)=(2)-(3)-(4)</w:t>
            </w:r>
          </w:p>
        </w:tc>
        <w:tc>
          <w:tcPr>
            <w:tcW w:w="753" w:type="dxa"/>
            <w:shd w:val="clear" w:color="auto" w:fill="EBE2D1"/>
            <w:noWrap/>
            <w:vAlign w:val="center"/>
          </w:tcPr>
          <w:p w14:paraId="2AE1948E" w14:textId="77777777" w:rsidR="00F1215C" w:rsidRPr="00F55ECD" w:rsidRDefault="00F1215C" w:rsidP="00CA0F29">
            <w:pPr>
              <w:spacing w:before="60" w:after="60"/>
              <w:ind w:firstLine="0"/>
              <w:jc w:val="center"/>
              <w:rPr>
                <w:rFonts w:cs="Times New Roman"/>
                <w:noProof/>
                <w:color w:val="47D359"/>
                <w:sz w:val="20"/>
                <w:szCs w:val="20"/>
              </w:rPr>
            </w:pPr>
            <w:r w:rsidRPr="00F55ECD">
              <w:rPr>
                <w:rFonts w:cs="Times New Roman"/>
                <w:noProof/>
                <w:color w:val="000000" w:themeColor="text1"/>
                <w:sz w:val="20"/>
                <w:szCs w:val="20"/>
              </w:rPr>
              <w:t>-1,1</w:t>
            </w:r>
          </w:p>
        </w:tc>
        <w:tc>
          <w:tcPr>
            <w:tcW w:w="753" w:type="dxa"/>
            <w:shd w:val="clear" w:color="auto" w:fill="EBE2D1"/>
            <w:noWrap/>
            <w:vAlign w:val="center"/>
          </w:tcPr>
          <w:p w14:paraId="2B0CC5BB" w14:textId="77777777" w:rsidR="00F1215C" w:rsidRPr="00F55ECD" w:rsidRDefault="00F1215C" w:rsidP="00CA0F29">
            <w:pPr>
              <w:spacing w:before="60" w:after="60"/>
              <w:ind w:firstLine="0"/>
              <w:jc w:val="center"/>
              <w:rPr>
                <w:rFonts w:cs="Times New Roman"/>
                <w:noProof/>
                <w:color w:val="47D359"/>
                <w:sz w:val="20"/>
                <w:szCs w:val="20"/>
              </w:rPr>
            </w:pPr>
            <w:r w:rsidRPr="00F55ECD">
              <w:rPr>
                <w:rFonts w:cs="Times New Roman"/>
                <w:noProof/>
                <w:color w:val="000000" w:themeColor="text1"/>
                <w:sz w:val="20"/>
                <w:szCs w:val="20"/>
              </w:rPr>
              <w:t>-2,2</w:t>
            </w:r>
          </w:p>
        </w:tc>
        <w:tc>
          <w:tcPr>
            <w:tcW w:w="753" w:type="dxa"/>
            <w:shd w:val="clear" w:color="auto" w:fill="EBE2D1"/>
            <w:vAlign w:val="center"/>
          </w:tcPr>
          <w:p w14:paraId="240A6EFA" w14:textId="77777777" w:rsidR="00F1215C" w:rsidRPr="00F55ECD" w:rsidRDefault="00F1215C" w:rsidP="00CA0F29">
            <w:pPr>
              <w:spacing w:before="60" w:after="60"/>
              <w:ind w:firstLine="0"/>
              <w:jc w:val="center"/>
              <w:rPr>
                <w:rFonts w:cs="Times New Roman"/>
                <w:noProof/>
                <w:color w:val="47D359"/>
                <w:sz w:val="20"/>
                <w:szCs w:val="20"/>
              </w:rPr>
            </w:pPr>
            <w:r w:rsidRPr="00F55ECD">
              <w:rPr>
                <w:rFonts w:cs="Times New Roman"/>
                <w:noProof/>
                <w:color w:val="000000" w:themeColor="text1"/>
                <w:sz w:val="20"/>
                <w:szCs w:val="20"/>
              </w:rPr>
              <w:t>-2,1</w:t>
            </w:r>
          </w:p>
        </w:tc>
        <w:tc>
          <w:tcPr>
            <w:tcW w:w="753" w:type="dxa"/>
            <w:shd w:val="clear" w:color="auto" w:fill="EBE2D1"/>
            <w:noWrap/>
            <w:vAlign w:val="center"/>
          </w:tcPr>
          <w:p w14:paraId="3F5030B5" w14:textId="77777777" w:rsidR="00F1215C" w:rsidRPr="00F55ECD" w:rsidRDefault="00F1215C" w:rsidP="00CA0F29">
            <w:pPr>
              <w:spacing w:before="60" w:after="60"/>
              <w:ind w:firstLine="0"/>
              <w:jc w:val="center"/>
              <w:rPr>
                <w:rFonts w:cs="Times New Roman"/>
                <w:noProof/>
                <w:color w:val="47D359"/>
                <w:sz w:val="20"/>
                <w:szCs w:val="20"/>
              </w:rPr>
            </w:pPr>
            <w:r w:rsidRPr="00F55ECD">
              <w:rPr>
                <w:rFonts w:cs="Times New Roman"/>
                <w:noProof/>
                <w:color w:val="000000" w:themeColor="text1"/>
                <w:sz w:val="20"/>
                <w:szCs w:val="20"/>
              </w:rPr>
              <w:t>-3,0</w:t>
            </w:r>
          </w:p>
        </w:tc>
      </w:tr>
      <w:tr w:rsidR="00F1215C" w:rsidRPr="001C0357" w14:paraId="1376103B" w14:textId="77777777" w:rsidTr="00352EDD">
        <w:trPr>
          <w:trHeight w:val="20"/>
          <w:jc w:val="center"/>
        </w:trPr>
        <w:tc>
          <w:tcPr>
            <w:tcW w:w="3144" w:type="dxa"/>
            <w:noWrap/>
            <w:vAlign w:val="center"/>
          </w:tcPr>
          <w:p w14:paraId="1E869A9A" w14:textId="1C70EA0F" w:rsidR="00F1215C" w:rsidRPr="00F55ECD" w:rsidRDefault="00F1215C" w:rsidP="00CA0F29">
            <w:pPr>
              <w:spacing w:before="60" w:after="60"/>
              <w:ind w:firstLine="0"/>
              <w:jc w:val="left"/>
              <w:rPr>
                <w:rFonts w:eastAsia="Times New Roman" w:cs="Times New Roman"/>
                <w:noProof/>
                <w:color w:val="000000"/>
                <w:sz w:val="20"/>
                <w:szCs w:val="20"/>
                <w:lang w:eastAsia="lv-LV"/>
              </w:rPr>
            </w:pPr>
            <w:r w:rsidRPr="00F55ECD">
              <w:rPr>
                <w:rFonts w:eastAsia="Times New Roman" w:cs="Times New Roman"/>
                <w:noProof/>
                <w:color w:val="000000"/>
                <w:sz w:val="20"/>
                <w:szCs w:val="20"/>
                <w:lang w:eastAsia="lv-LV"/>
              </w:rPr>
              <w:t>Fiskālā nodrošinājuma rezerve, % no IKP</w:t>
            </w:r>
          </w:p>
        </w:tc>
        <w:tc>
          <w:tcPr>
            <w:tcW w:w="1215" w:type="dxa"/>
            <w:vAlign w:val="center"/>
          </w:tcPr>
          <w:p w14:paraId="2CE5D97F" w14:textId="77777777" w:rsidR="00F1215C" w:rsidRPr="00F55ECD" w:rsidRDefault="00F1215C" w:rsidP="00CA0F29">
            <w:pPr>
              <w:spacing w:before="60" w:after="60"/>
              <w:ind w:firstLine="0"/>
              <w:jc w:val="center"/>
              <w:rPr>
                <w:rFonts w:cs="Times New Roman"/>
                <w:noProof/>
                <w:color w:val="000000"/>
                <w:sz w:val="20"/>
                <w:szCs w:val="20"/>
              </w:rPr>
            </w:pPr>
            <w:r w:rsidRPr="00F55ECD">
              <w:rPr>
                <w:rFonts w:cs="Times New Roman"/>
                <w:noProof/>
                <w:color w:val="000000"/>
                <w:sz w:val="20"/>
                <w:szCs w:val="20"/>
              </w:rPr>
              <w:t>(6)</w:t>
            </w:r>
          </w:p>
        </w:tc>
        <w:tc>
          <w:tcPr>
            <w:tcW w:w="753" w:type="dxa"/>
            <w:shd w:val="clear" w:color="auto" w:fill="EBE2D1"/>
            <w:noWrap/>
            <w:vAlign w:val="center"/>
          </w:tcPr>
          <w:p w14:paraId="08D59590" w14:textId="77777777" w:rsidR="00F1215C" w:rsidRPr="00F55ECD" w:rsidRDefault="00F1215C" w:rsidP="00CA0F29">
            <w:pPr>
              <w:spacing w:before="60" w:after="60"/>
              <w:ind w:firstLine="0"/>
              <w:jc w:val="center"/>
              <w:rPr>
                <w:rFonts w:cs="Times New Roman"/>
                <w:noProof/>
                <w:color w:val="000000" w:themeColor="text1"/>
                <w:sz w:val="20"/>
                <w:szCs w:val="20"/>
              </w:rPr>
            </w:pPr>
            <w:r w:rsidRPr="00F55ECD">
              <w:rPr>
                <w:rFonts w:cs="Times New Roman"/>
                <w:noProof/>
                <w:color w:val="000000" w:themeColor="text1"/>
                <w:sz w:val="20"/>
                <w:szCs w:val="20"/>
              </w:rPr>
              <w:t>0,1</w:t>
            </w:r>
          </w:p>
        </w:tc>
        <w:tc>
          <w:tcPr>
            <w:tcW w:w="753" w:type="dxa"/>
            <w:shd w:val="clear" w:color="auto" w:fill="EBE2D1"/>
            <w:noWrap/>
            <w:vAlign w:val="center"/>
          </w:tcPr>
          <w:p w14:paraId="04D7602D" w14:textId="77777777" w:rsidR="00F1215C" w:rsidRPr="00F55ECD" w:rsidRDefault="00F1215C" w:rsidP="00CA0F29">
            <w:pPr>
              <w:spacing w:before="60" w:after="60"/>
              <w:ind w:firstLine="0"/>
              <w:jc w:val="center"/>
              <w:rPr>
                <w:rFonts w:cs="Times New Roman"/>
                <w:noProof/>
                <w:color w:val="000000" w:themeColor="text1"/>
                <w:sz w:val="20"/>
                <w:szCs w:val="20"/>
              </w:rPr>
            </w:pPr>
            <w:r w:rsidRPr="00F55ECD">
              <w:rPr>
                <w:rFonts w:cs="Times New Roman"/>
                <w:noProof/>
                <w:color w:val="000000" w:themeColor="text1"/>
                <w:sz w:val="20"/>
                <w:szCs w:val="20"/>
              </w:rPr>
              <w:t>0,1</w:t>
            </w:r>
          </w:p>
        </w:tc>
        <w:tc>
          <w:tcPr>
            <w:tcW w:w="753" w:type="dxa"/>
            <w:shd w:val="clear" w:color="auto" w:fill="EBE2D1"/>
            <w:vAlign w:val="center"/>
          </w:tcPr>
          <w:p w14:paraId="55914DED" w14:textId="77777777" w:rsidR="00F1215C" w:rsidRPr="00F55ECD" w:rsidRDefault="00F1215C" w:rsidP="00CA0F29">
            <w:pPr>
              <w:spacing w:before="60" w:after="60"/>
              <w:ind w:firstLine="0"/>
              <w:jc w:val="center"/>
              <w:rPr>
                <w:rFonts w:cs="Times New Roman"/>
                <w:noProof/>
                <w:color w:val="000000" w:themeColor="text1"/>
                <w:sz w:val="20"/>
                <w:szCs w:val="20"/>
              </w:rPr>
            </w:pPr>
            <w:r w:rsidRPr="00F55ECD">
              <w:rPr>
                <w:rFonts w:cs="Times New Roman"/>
                <w:noProof/>
                <w:color w:val="000000" w:themeColor="text1"/>
                <w:sz w:val="20"/>
                <w:szCs w:val="20"/>
              </w:rPr>
              <w:t>0,1</w:t>
            </w:r>
          </w:p>
        </w:tc>
        <w:tc>
          <w:tcPr>
            <w:tcW w:w="753" w:type="dxa"/>
            <w:shd w:val="clear" w:color="auto" w:fill="EBE2D1"/>
            <w:noWrap/>
            <w:vAlign w:val="center"/>
          </w:tcPr>
          <w:p w14:paraId="4267640D" w14:textId="77777777" w:rsidR="00F1215C" w:rsidRPr="00F55ECD" w:rsidRDefault="00F1215C" w:rsidP="00CA0F29">
            <w:pPr>
              <w:spacing w:before="60" w:after="60"/>
              <w:ind w:firstLine="0"/>
              <w:jc w:val="center"/>
              <w:rPr>
                <w:rFonts w:cs="Times New Roman"/>
                <w:noProof/>
                <w:color w:val="000000" w:themeColor="text1"/>
                <w:sz w:val="20"/>
                <w:szCs w:val="20"/>
              </w:rPr>
            </w:pPr>
            <w:r w:rsidRPr="00F55ECD">
              <w:rPr>
                <w:rFonts w:cs="Times New Roman"/>
                <w:noProof/>
                <w:color w:val="000000" w:themeColor="text1"/>
                <w:sz w:val="20"/>
                <w:szCs w:val="20"/>
              </w:rPr>
              <w:t>0,1</w:t>
            </w:r>
          </w:p>
        </w:tc>
      </w:tr>
      <w:tr w:rsidR="00F1215C" w:rsidRPr="001C0357" w14:paraId="535407FB" w14:textId="77777777" w:rsidTr="00352EDD">
        <w:trPr>
          <w:trHeight w:val="20"/>
          <w:jc w:val="center"/>
        </w:trPr>
        <w:tc>
          <w:tcPr>
            <w:tcW w:w="3144" w:type="dxa"/>
            <w:noWrap/>
            <w:vAlign w:val="center"/>
          </w:tcPr>
          <w:p w14:paraId="3359622E" w14:textId="6E530102" w:rsidR="00F1215C" w:rsidRPr="00F55ECD" w:rsidRDefault="00F1215C" w:rsidP="00CA0F29">
            <w:pPr>
              <w:spacing w:before="60" w:after="60"/>
              <w:ind w:firstLine="0"/>
              <w:jc w:val="left"/>
              <w:rPr>
                <w:rFonts w:eastAsia="Times New Roman" w:cs="Times New Roman"/>
                <w:b/>
                <w:bCs/>
                <w:noProof/>
                <w:color w:val="000000"/>
                <w:sz w:val="20"/>
                <w:szCs w:val="20"/>
                <w:lang w:eastAsia="lv-LV"/>
              </w:rPr>
            </w:pPr>
            <w:r w:rsidRPr="00F55ECD">
              <w:rPr>
                <w:rFonts w:eastAsia="Times New Roman" w:cs="Times New Roman"/>
                <w:b/>
                <w:bCs/>
                <w:noProof/>
                <w:color w:val="000000"/>
                <w:sz w:val="20"/>
                <w:szCs w:val="20"/>
                <w:lang w:eastAsia="lv-LV"/>
              </w:rPr>
              <w:t>Fiskālā telpa atbilstoši ES strukturālās primārās bilances nosacījumam, % no IKP</w:t>
            </w:r>
          </w:p>
        </w:tc>
        <w:tc>
          <w:tcPr>
            <w:tcW w:w="1215" w:type="dxa"/>
            <w:vAlign w:val="center"/>
          </w:tcPr>
          <w:p w14:paraId="071841C7" w14:textId="77777777" w:rsidR="00F1215C" w:rsidRPr="00F55ECD" w:rsidRDefault="00F1215C" w:rsidP="00CA0F29">
            <w:pPr>
              <w:spacing w:before="60" w:after="60"/>
              <w:ind w:firstLine="0"/>
              <w:jc w:val="center"/>
              <w:rPr>
                <w:rFonts w:cs="Times New Roman"/>
                <w:b/>
                <w:bCs/>
                <w:noProof/>
                <w:color w:val="000000"/>
                <w:sz w:val="20"/>
                <w:szCs w:val="20"/>
              </w:rPr>
            </w:pPr>
            <w:r w:rsidRPr="00F55ECD">
              <w:rPr>
                <w:rFonts w:cs="Times New Roman"/>
                <w:b/>
                <w:bCs/>
                <w:noProof/>
                <w:color w:val="000000"/>
                <w:sz w:val="20"/>
                <w:szCs w:val="20"/>
              </w:rPr>
              <w:t>(7)=(5)-(6)-(1)</w:t>
            </w:r>
          </w:p>
        </w:tc>
        <w:tc>
          <w:tcPr>
            <w:tcW w:w="753" w:type="dxa"/>
            <w:shd w:val="clear" w:color="auto" w:fill="EBE2D1"/>
            <w:noWrap/>
            <w:vAlign w:val="center"/>
          </w:tcPr>
          <w:p w14:paraId="48A01236" w14:textId="77777777" w:rsidR="00F1215C" w:rsidRPr="00F55ECD" w:rsidRDefault="00F1215C" w:rsidP="00CA0F29">
            <w:pPr>
              <w:spacing w:before="60" w:after="60"/>
              <w:ind w:firstLine="0"/>
              <w:jc w:val="center"/>
              <w:rPr>
                <w:rFonts w:cs="Times New Roman"/>
                <w:b/>
                <w:bCs/>
                <w:noProof/>
                <w:color w:val="000000" w:themeColor="text1"/>
                <w:sz w:val="20"/>
                <w:szCs w:val="20"/>
              </w:rPr>
            </w:pPr>
            <w:r w:rsidRPr="00F55ECD">
              <w:rPr>
                <w:rFonts w:cs="Times New Roman"/>
                <w:b/>
                <w:bCs/>
                <w:noProof/>
                <w:color w:val="00B050"/>
                <w:sz w:val="20"/>
                <w:szCs w:val="20"/>
              </w:rPr>
              <w:t>0,22</w:t>
            </w:r>
          </w:p>
        </w:tc>
        <w:tc>
          <w:tcPr>
            <w:tcW w:w="753" w:type="dxa"/>
            <w:shd w:val="clear" w:color="auto" w:fill="EBE2D1"/>
            <w:noWrap/>
            <w:vAlign w:val="center"/>
          </w:tcPr>
          <w:p w14:paraId="3FE76DD2" w14:textId="77777777" w:rsidR="00F1215C" w:rsidRPr="00F55ECD" w:rsidRDefault="00F1215C" w:rsidP="00CA0F29">
            <w:pPr>
              <w:spacing w:before="60" w:after="60"/>
              <w:ind w:firstLine="0"/>
              <w:jc w:val="center"/>
              <w:rPr>
                <w:rFonts w:cs="Times New Roman"/>
                <w:b/>
                <w:bCs/>
                <w:noProof/>
                <w:color w:val="FF0000"/>
                <w:sz w:val="20"/>
                <w:szCs w:val="20"/>
              </w:rPr>
            </w:pPr>
            <w:r w:rsidRPr="00F55ECD">
              <w:rPr>
                <w:rFonts w:cs="Times New Roman"/>
                <w:b/>
                <w:bCs/>
                <w:noProof/>
                <w:color w:val="FF0000"/>
                <w:sz w:val="20"/>
                <w:szCs w:val="20"/>
              </w:rPr>
              <w:t>-0,13</w:t>
            </w:r>
          </w:p>
        </w:tc>
        <w:tc>
          <w:tcPr>
            <w:tcW w:w="753" w:type="dxa"/>
            <w:shd w:val="clear" w:color="auto" w:fill="EBE2D1"/>
            <w:vAlign w:val="center"/>
          </w:tcPr>
          <w:p w14:paraId="2C6CE0B7" w14:textId="77777777" w:rsidR="00F1215C" w:rsidRPr="00F55ECD" w:rsidRDefault="00F1215C" w:rsidP="00CA0F29">
            <w:pPr>
              <w:spacing w:before="60" w:after="60"/>
              <w:ind w:firstLine="0"/>
              <w:jc w:val="center"/>
              <w:rPr>
                <w:rFonts w:cs="Times New Roman"/>
                <w:b/>
                <w:bCs/>
                <w:noProof/>
                <w:color w:val="00B050"/>
                <w:sz w:val="20"/>
                <w:szCs w:val="20"/>
              </w:rPr>
            </w:pPr>
            <w:r w:rsidRPr="00F55ECD">
              <w:rPr>
                <w:rFonts w:cs="Times New Roman"/>
                <w:b/>
                <w:bCs/>
                <w:noProof/>
                <w:color w:val="FF0000"/>
                <w:sz w:val="20"/>
                <w:szCs w:val="20"/>
              </w:rPr>
              <w:t>-0,06</w:t>
            </w:r>
          </w:p>
        </w:tc>
        <w:tc>
          <w:tcPr>
            <w:tcW w:w="753" w:type="dxa"/>
            <w:shd w:val="clear" w:color="auto" w:fill="EBE2D1"/>
            <w:noWrap/>
            <w:vAlign w:val="center"/>
          </w:tcPr>
          <w:p w14:paraId="67F594A2" w14:textId="77777777" w:rsidR="00F1215C" w:rsidRPr="00F55ECD" w:rsidRDefault="00F1215C" w:rsidP="00CA0F29">
            <w:pPr>
              <w:spacing w:before="60" w:after="60"/>
              <w:ind w:firstLine="0"/>
              <w:jc w:val="center"/>
              <w:rPr>
                <w:rFonts w:cs="Times New Roman"/>
                <w:b/>
                <w:bCs/>
                <w:noProof/>
                <w:color w:val="00B050"/>
                <w:sz w:val="20"/>
                <w:szCs w:val="20"/>
              </w:rPr>
            </w:pPr>
            <w:r w:rsidRPr="00F55ECD">
              <w:rPr>
                <w:rFonts w:cs="Times New Roman"/>
                <w:b/>
                <w:bCs/>
                <w:noProof/>
                <w:color w:val="00B050"/>
                <w:sz w:val="20"/>
                <w:szCs w:val="20"/>
              </w:rPr>
              <w:t>0,36</w:t>
            </w:r>
          </w:p>
        </w:tc>
      </w:tr>
    </w:tbl>
    <w:p w14:paraId="259D73A4" w14:textId="77777777" w:rsidR="00B87658" w:rsidRDefault="00B87658" w:rsidP="00352EDD">
      <w:pPr>
        <w:widowControl w:val="0"/>
        <w:rPr>
          <w:rFonts w:eastAsia="Times New Roman" w:cs="Times New Roman"/>
          <w:b/>
          <w:noProof/>
          <w:szCs w:val="24"/>
        </w:rPr>
      </w:pPr>
    </w:p>
    <w:p w14:paraId="471482C1" w14:textId="77777777" w:rsidR="00F55ECD" w:rsidRDefault="00F55ECD">
      <w:pPr>
        <w:spacing w:before="0" w:after="0"/>
        <w:ind w:firstLine="0"/>
        <w:jc w:val="left"/>
        <w:rPr>
          <w:rFonts w:eastAsia="Times New Roman" w:cs="Times New Roman"/>
          <w:b/>
          <w:noProof/>
          <w:szCs w:val="24"/>
        </w:rPr>
      </w:pPr>
      <w:r>
        <w:rPr>
          <w:rFonts w:eastAsia="Times New Roman" w:cs="Times New Roman"/>
          <w:b/>
          <w:noProof/>
          <w:szCs w:val="24"/>
        </w:rPr>
        <w:br w:type="page"/>
      </w:r>
    </w:p>
    <w:p w14:paraId="40D0E491" w14:textId="1453084E" w:rsidR="00F1215C" w:rsidRPr="001C0357" w:rsidRDefault="00F1215C" w:rsidP="00352EDD">
      <w:pPr>
        <w:widowControl w:val="0"/>
        <w:rPr>
          <w:rFonts w:eastAsia="Times New Roman" w:cs="Times New Roman"/>
          <w:b/>
          <w:noProof/>
          <w:szCs w:val="24"/>
        </w:rPr>
      </w:pPr>
      <w:r w:rsidRPr="001C0357">
        <w:rPr>
          <w:rFonts w:eastAsia="Times New Roman" w:cs="Times New Roman"/>
          <w:b/>
          <w:noProof/>
          <w:szCs w:val="24"/>
        </w:rPr>
        <w:lastRenderedPageBreak/>
        <w:t>ES valsts finansēto neto primāro izdevumu nosacījums (3)</w:t>
      </w:r>
    </w:p>
    <w:p w14:paraId="74175BDF" w14:textId="1343E456" w:rsidR="00352EDD" w:rsidRPr="001C0357" w:rsidRDefault="00F55ECD" w:rsidP="00352EDD">
      <w:pPr>
        <w:rPr>
          <w:rFonts w:eastAsia="Times New Roman" w:cs="Times New Roman"/>
          <w:noProof/>
          <w:szCs w:val="24"/>
        </w:rPr>
      </w:pPr>
      <w:r w:rsidRPr="001C0357">
        <w:rPr>
          <w:rFonts w:eastAsiaTheme="majorEastAsia"/>
          <w:noProof/>
        </w:rPr>
        <w:drawing>
          <wp:anchor distT="0" distB="0" distL="114300" distR="114300" simplePos="0" relativeHeight="251666432" behindDoc="0" locked="0" layoutInCell="1" allowOverlap="1" wp14:anchorId="66A9DE6B" wp14:editId="51BF3CDC">
            <wp:simplePos x="0" y="0"/>
            <wp:positionH relativeFrom="margin">
              <wp:align>right</wp:align>
            </wp:positionH>
            <wp:positionV relativeFrom="margin">
              <wp:posOffset>753110</wp:posOffset>
            </wp:positionV>
            <wp:extent cx="5575300" cy="2152650"/>
            <wp:effectExtent l="0" t="0" r="6350" b="0"/>
            <wp:wrapTopAndBottom/>
            <wp:docPr id="1703509279" name="Picture 1" descr="A diagram of numbers and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509279" name="Picture 1" descr="A diagram of numbers and a number&#10;&#10;AI-generated content may be incorrect."/>
                    <pic:cNvPicPr/>
                  </pic:nvPicPr>
                  <pic:blipFill rotWithShape="1">
                    <a:blip r:embed="rId11">
                      <a:extLst>
                        <a:ext uri="{28A0092B-C50C-407E-A947-70E740481C1C}">
                          <a14:useLocalDpi xmlns:a14="http://schemas.microsoft.com/office/drawing/2010/main" val="0"/>
                        </a:ext>
                      </a:extLst>
                    </a:blip>
                    <a:srcRect l="1736" t="13347" r="3036" b="4392"/>
                    <a:stretch>
                      <a:fillRect/>
                    </a:stretch>
                  </pic:blipFill>
                  <pic:spPr bwMode="auto">
                    <a:xfrm>
                      <a:off x="0" y="0"/>
                      <a:ext cx="5575300" cy="2152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1215C" w:rsidRPr="001C0357">
        <w:rPr>
          <w:rFonts w:eastAsiaTheme="majorEastAsia"/>
          <w:noProof/>
        </w:rPr>
        <w:t xml:space="preserve">ES NNFPI izdevumu pieaugums jeb ES izdevumu pieauguma nosacījums tiek aprēķināts, izmantojot </w:t>
      </w:r>
      <w:r w:rsidR="00352EDD" w:rsidRPr="001C0357">
        <w:rPr>
          <w:rFonts w:eastAsiaTheme="majorEastAsia"/>
          <w:noProof/>
        </w:rPr>
        <w:t>4</w:t>
      </w:r>
      <w:r w:rsidR="00F1215C" w:rsidRPr="001C0357">
        <w:rPr>
          <w:rFonts w:eastAsiaTheme="majorEastAsia"/>
          <w:noProof/>
        </w:rPr>
        <w:t xml:space="preserve">. attēlā redzamo strukturālās primārās bilances </w:t>
      </w:r>
      <w:r w:rsidR="00352EDD" w:rsidRPr="001C0357">
        <w:rPr>
          <w:rFonts w:eastAsiaTheme="majorEastAsia"/>
          <w:noProof/>
        </w:rPr>
        <w:t>trajektoriju.</w:t>
      </w:r>
    </w:p>
    <w:p w14:paraId="689E4B05" w14:textId="6ADA7EF5" w:rsidR="00F1215C" w:rsidRPr="001C0357" w:rsidRDefault="00352EDD" w:rsidP="00352EDD">
      <w:pPr>
        <w:jc w:val="center"/>
        <w:rPr>
          <w:rFonts w:eastAsia="Times New Roman" w:cs="Times New Roman"/>
          <w:noProof/>
          <w:szCs w:val="24"/>
        </w:rPr>
      </w:pPr>
      <w:r w:rsidRPr="001C0357">
        <w:rPr>
          <w:rFonts w:eastAsiaTheme="majorEastAsia"/>
          <w:b/>
          <w:bCs/>
          <w:noProof/>
          <w:szCs w:val="20"/>
        </w:rPr>
        <w:t>4</w:t>
      </w:r>
      <w:r w:rsidR="00F1215C" w:rsidRPr="001C0357">
        <w:rPr>
          <w:rFonts w:eastAsiaTheme="majorEastAsia"/>
          <w:b/>
          <w:bCs/>
          <w:noProof/>
          <w:szCs w:val="20"/>
        </w:rPr>
        <w:t>. at</w:t>
      </w:r>
      <w:r w:rsidRPr="001C0357">
        <w:rPr>
          <w:rFonts w:eastAsiaTheme="majorEastAsia"/>
          <w:b/>
          <w:bCs/>
          <w:noProof/>
          <w:szCs w:val="20"/>
        </w:rPr>
        <w:t>tēls</w:t>
      </w:r>
      <w:r w:rsidR="00F1215C" w:rsidRPr="001C0357">
        <w:rPr>
          <w:rFonts w:eastAsiaTheme="majorEastAsia"/>
          <w:b/>
          <w:bCs/>
          <w:noProof/>
          <w:szCs w:val="20"/>
        </w:rPr>
        <w:t xml:space="preserve">. </w:t>
      </w:r>
      <w:r w:rsidR="00F1215C" w:rsidRPr="001C0357">
        <w:rPr>
          <w:rFonts w:eastAsia="Times New Roman"/>
          <w:b/>
          <w:bCs/>
          <w:noProof/>
          <w:lang w:eastAsia="lv-LV"/>
        </w:rPr>
        <w:t>Strukturālās primārās bilances nosacījuma un</w:t>
      </w:r>
      <w:r w:rsidR="00B87658">
        <w:rPr>
          <w:rFonts w:eastAsia="Times New Roman"/>
          <w:b/>
          <w:bCs/>
          <w:noProof/>
          <w:lang w:eastAsia="lv-LV"/>
        </w:rPr>
        <w:t xml:space="preserve"> </w:t>
      </w:r>
      <w:r w:rsidR="00F1215C" w:rsidRPr="001C0357">
        <w:rPr>
          <w:rFonts w:eastAsia="Times New Roman"/>
          <w:b/>
          <w:bCs/>
          <w:noProof/>
          <w:lang w:eastAsia="lv-LV"/>
        </w:rPr>
        <w:t>NNFPI pieauguma sasaiste</w:t>
      </w:r>
    </w:p>
    <w:p w14:paraId="1BB0DC54" w14:textId="3BB8807A" w:rsidR="00F1215C" w:rsidRPr="001C0357" w:rsidRDefault="00F1215C" w:rsidP="00352EDD">
      <w:pPr>
        <w:rPr>
          <w:rFonts w:eastAsia="Times New Roman"/>
          <w:bCs/>
          <w:noProof/>
          <w:lang w:eastAsia="lv-LV"/>
        </w:rPr>
      </w:pPr>
      <w:r w:rsidRPr="001C0357">
        <w:rPr>
          <w:rFonts w:eastAsia="Times New Roman"/>
          <w:noProof/>
          <w:lang w:eastAsia="lv-LV"/>
        </w:rPr>
        <w:t xml:space="preserve">Pirms tiek noteiks strukturālās bilances mērķis atbilstoši ES izdevumu pieauguma nosacījuma mērķa rādītājiem, </w:t>
      </w:r>
      <w:r w:rsidR="00972C54" w:rsidRPr="001C0357">
        <w:rPr>
          <w:rFonts w:eastAsia="Times New Roman"/>
          <w:noProof/>
          <w:lang w:eastAsia="lv-LV"/>
        </w:rPr>
        <w:t>9</w:t>
      </w:r>
      <w:r w:rsidRPr="001C0357">
        <w:rPr>
          <w:rFonts w:eastAsia="Times New Roman"/>
          <w:noProof/>
          <w:lang w:eastAsia="lv-LV"/>
        </w:rPr>
        <w:t>. tabulā</w:t>
      </w:r>
      <w:r w:rsidR="00B605BC">
        <w:rPr>
          <w:rFonts w:eastAsia="Times New Roman"/>
          <w:noProof/>
          <w:lang w:eastAsia="lv-LV"/>
        </w:rPr>
        <w:t xml:space="preserve"> </w:t>
      </w:r>
      <w:r w:rsidRPr="001C0357">
        <w:rPr>
          <w:rFonts w:eastAsia="Times New Roman"/>
          <w:noProof/>
          <w:lang w:eastAsia="lv-LV"/>
        </w:rPr>
        <w:t xml:space="preserve">tiek aprēķināts faktiskais NNFPI pieauguma temps. Izdevumos </w:t>
      </w:r>
      <w:r w:rsidRPr="001C0357">
        <w:rPr>
          <w:rFonts w:eastAsia="Times New Roman" w:cs="Times New Roman"/>
          <w:noProof/>
        </w:rPr>
        <w:t>tiek ņemta vērā valsts izņēmuma klauzulas attiecīgā gada fiskālā ietekme</w:t>
      </w:r>
      <w:r w:rsidR="00F2738B" w:rsidRPr="001C0357">
        <w:rPr>
          <w:rFonts w:eastAsia="Times New Roman" w:cs="Times New Roman"/>
          <w:noProof/>
        </w:rPr>
        <w:t xml:space="preserve"> (skatīt 10.</w:t>
      </w:r>
      <w:r w:rsidR="00B605BC">
        <w:rPr>
          <w:rFonts w:eastAsia="Times New Roman" w:cs="Times New Roman"/>
          <w:noProof/>
        </w:rPr>
        <w:t> </w:t>
      </w:r>
      <w:r w:rsidR="00F2738B" w:rsidRPr="001C0357">
        <w:rPr>
          <w:rFonts w:eastAsia="Times New Roman" w:cs="Times New Roman"/>
          <w:noProof/>
        </w:rPr>
        <w:t>tabulu).</w:t>
      </w:r>
      <w:r w:rsidRPr="001C0357">
        <w:rPr>
          <w:rFonts w:eastAsia="Times New Roman"/>
          <w:noProof/>
          <w:lang w:eastAsia="lv-LV"/>
        </w:rPr>
        <w:t xml:space="preserve"> Izmaiņas diskrecionārajos ieņēmumu pasākumos (turpmāk – DRM) ir saistītas ar to, ka EK</w:t>
      </w:r>
      <w:r w:rsidRPr="001C0357">
        <w:rPr>
          <w:rStyle w:val="FootnoteReference"/>
          <w:rFonts w:eastAsia="Times New Roman"/>
          <w:noProof/>
          <w:lang w:eastAsia="lv-LV"/>
        </w:rPr>
        <w:footnoteReference w:id="12"/>
      </w:r>
      <w:r w:rsidRPr="001C0357">
        <w:rPr>
          <w:rFonts w:eastAsia="Times New Roman"/>
          <w:bCs/>
          <w:noProof/>
          <w:lang w:eastAsia="lv-LV"/>
        </w:rPr>
        <w:t xml:space="preserve"> noteiktus ieņēmumu pasākumus neierindo starp diskrecionārajiem fiskālajiem pasākumiem, piemēram, papildu dividenžu maksājumus no valsts kapitālsabiedrībām un sekundāru ietekmi uz nodokļu ieņēmumiem. Sekundārā ietekme uz ieņēmumiem nav diskrecionārs fiskālais pasākums, tomēr EK prognozē tā tiek ņemta vērā kā makroekonomiska ietekme. EK prognozē tiek ņemti vērā arī papildu dividenžu maksājumi no valsts kapitālsabiedrībām, tomēr tos neuzskata par diskrecionāriem fiskālajiem pasākumiem, jo tie neietver izmaiņas “parastajā” dividenžu politikā, piemēram, dividenžu izmaksas rādītāja korekcijas. </w:t>
      </w:r>
    </w:p>
    <w:p w14:paraId="6B01505D" w14:textId="77777777" w:rsidR="00F1215C" w:rsidRPr="001C0357" w:rsidRDefault="00F1215C" w:rsidP="00352EDD">
      <w:pPr>
        <w:rPr>
          <w:rFonts w:eastAsia="Times New Roman"/>
          <w:b/>
          <w:noProof/>
          <w:lang w:eastAsia="lv-LV"/>
        </w:rPr>
      </w:pPr>
      <w:r w:rsidRPr="001C0357">
        <w:rPr>
          <w:rFonts w:eastAsia="Times New Roman"/>
          <w:bCs/>
          <w:noProof/>
          <w:lang w:eastAsia="lv-LV"/>
        </w:rPr>
        <w:t xml:space="preserve">Jāatzīmē, ka ES Padomes apstiprinātais NNFPI pieaugums ir izteikts gan ikgadējā pieauguma rādītājā, gan kumulatīvā pieauguma rādītājā, rēķinot pret 2023. gada NNFPI līmeni un koriģējot to ar DRM. Šajā informatīvajā ziņojumā ES izdevumu pieauguma nosacījums tiek noteikts, izmantojot kumulatīvā pieauguma rādītāju, jo tas nosaka adekvātāku politiku gadījumos, kad iepriekšējos gados izdevumi ir zemāki, kā bija prognozēts Fiskāli strukturālajā plānā. Rīkojoties savādāk, gadā t+1 būtu jāveic papildus izdevumu samazinājums tikai tāpēc, ka gadā t valsts ir veikusi ietaupījumu izdevumos.    </w:t>
      </w:r>
    </w:p>
    <w:p w14:paraId="2C74F56D" w14:textId="77777777" w:rsidR="00F1215C" w:rsidRPr="001C0357" w:rsidRDefault="00F1215C" w:rsidP="00F1215C">
      <w:pPr>
        <w:spacing w:before="0" w:after="0"/>
        <w:ind w:firstLine="0"/>
        <w:jc w:val="left"/>
        <w:rPr>
          <w:rFonts w:eastAsia="Times New Roman" w:cs="Times New Roman"/>
          <w:b/>
          <w:noProof/>
          <w:szCs w:val="24"/>
        </w:rPr>
      </w:pPr>
    </w:p>
    <w:p w14:paraId="1DF810F8" w14:textId="77777777" w:rsidR="00F1215C" w:rsidRPr="001C0357" w:rsidRDefault="00F1215C" w:rsidP="00F1215C">
      <w:pPr>
        <w:spacing w:before="0" w:after="0"/>
        <w:ind w:firstLine="0"/>
        <w:jc w:val="left"/>
        <w:rPr>
          <w:rFonts w:eastAsia="Times New Roman" w:cs="Times New Roman"/>
          <w:b/>
          <w:noProof/>
          <w:szCs w:val="24"/>
        </w:rPr>
      </w:pPr>
      <w:r w:rsidRPr="001C0357">
        <w:rPr>
          <w:rFonts w:eastAsia="Times New Roman" w:cs="Times New Roman"/>
          <w:b/>
          <w:noProof/>
          <w:szCs w:val="24"/>
        </w:rPr>
        <w:br w:type="page"/>
      </w:r>
    </w:p>
    <w:p w14:paraId="50AFC0AD" w14:textId="77777777" w:rsidR="00F1215C" w:rsidRPr="001C0357" w:rsidRDefault="00F1215C" w:rsidP="00F1215C">
      <w:pPr>
        <w:widowControl w:val="0"/>
        <w:spacing w:before="240"/>
        <w:ind w:firstLine="0"/>
        <w:jc w:val="center"/>
        <w:rPr>
          <w:rFonts w:eastAsia="Times New Roman" w:cs="Times New Roman"/>
          <w:b/>
          <w:noProof/>
          <w:szCs w:val="24"/>
        </w:rPr>
      </w:pPr>
      <w:r w:rsidRPr="001C0357">
        <w:rPr>
          <w:rFonts w:eastAsia="Times New Roman" w:cs="Times New Roman"/>
          <w:b/>
          <w:noProof/>
          <w:szCs w:val="24"/>
        </w:rPr>
        <w:lastRenderedPageBreak/>
        <w:t>9. tabula. Vispārējās valdības strukturālās bilances mērķi, balstoties uz ES izdevumu pieauguma nosacījumu</w:t>
      </w:r>
    </w:p>
    <w:tbl>
      <w:tblPr>
        <w:tblW w:w="10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1"/>
        <w:gridCol w:w="1388"/>
        <w:gridCol w:w="753"/>
        <w:gridCol w:w="753"/>
        <w:gridCol w:w="753"/>
        <w:gridCol w:w="753"/>
        <w:gridCol w:w="753"/>
        <w:gridCol w:w="753"/>
        <w:gridCol w:w="753"/>
      </w:tblGrid>
      <w:tr w:rsidR="00F1215C" w:rsidRPr="001050CA" w14:paraId="5806D08A" w14:textId="77777777" w:rsidTr="00352EDD">
        <w:trPr>
          <w:trHeight w:val="20"/>
          <w:tblHeader/>
          <w:jc w:val="center"/>
        </w:trPr>
        <w:tc>
          <w:tcPr>
            <w:tcW w:w="3821" w:type="dxa"/>
            <w:shd w:val="clear" w:color="auto" w:fill="EBE2D1"/>
            <w:noWrap/>
            <w:vAlign w:val="center"/>
            <w:hideMark/>
          </w:tcPr>
          <w:p w14:paraId="017F8ABD" w14:textId="77777777" w:rsidR="00F1215C" w:rsidRPr="001050CA" w:rsidRDefault="00F1215C" w:rsidP="00CA0F29">
            <w:pPr>
              <w:spacing w:before="60"/>
              <w:ind w:firstLine="0"/>
              <w:jc w:val="center"/>
              <w:rPr>
                <w:rFonts w:eastAsia="Times New Roman" w:cs="Times New Roman"/>
                <w:noProof/>
                <w:color w:val="000000" w:themeColor="text1"/>
                <w:sz w:val="19"/>
                <w:szCs w:val="19"/>
                <w:lang w:eastAsia="lv-LV"/>
              </w:rPr>
            </w:pPr>
          </w:p>
        </w:tc>
        <w:tc>
          <w:tcPr>
            <w:tcW w:w="1388" w:type="dxa"/>
            <w:shd w:val="clear" w:color="auto" w:fill="EBE2D1"/>
            <w:vAlign w:val="center"/>
          </w:tcPr>
          <w:p w14:paraId="14FA18A1" w14:textId="77777777" w:rsidR="00F1215C" w:rsidRPr="001050CA" w:rsidRDefault="00F1215C" w:rsidP="00CA0F29">
            <w:pPr>
              <w:spacing w:before="60"/>
              <w:ind w:firstLine="0"/>
              <w:jc w:val="center"/>
              <w:rPr>
                <w:rFonts w:eastAsia="Times New Roman" w:cs="Times New Roman"/>
                <w:noProof/>
                <w:color w:val="000000" w:themeColor="text1"/>
                <w:sz w:val="19"/>
                <w:szCs w:val="19"/>
                <w:lang w:eastAsia="lv-LV"/>
              </w:rPr>
            </w:pPr>
          </w:p>
        </w:tc>
        <w:tc>
          <w:tcPr>
            <w:tcW w:w="753" w:type="dxa"/>
            <w:shd w:val="clear" w:color="auto" w:fill="EBE2D1"/>
          </w:tcPr>
          <w:p w14:paraId="598F9328" w14:textId="77777777" w:rsidR="00F1215C" w:rsidRPr="001050CA" w:rsidRDefault="00F1215C" w:rsidP="00CA0F29">
            <w:pPr>
              <w:spacing w:before="60"/>
              <w:ind w:firstLine="0"/>
              <w:jc w:val="center"/>
              <w:rPr>
                <w:rFonts w:eastAsia="Times New Roman" w:cs="Times New Roman"/>
                <w:b/>
                <w:bCs/>
                <w:noProof/>
                <w:color w:val="000000" w:themeColor="text1"/>
                <w:sz w:val="19"/>
                <w:szCs w:val="19"/>
                <w:lang w:eastAsia="lv-LV"/>
              </w:rPr>
            </w:pPr>
            <w:r w:rsidRPr="001050CA">
              <w:rPr>
                <w:rFonts w:eastAsia="Times New Roman" w:cs="Times New Roman"/>
                <w:b/>
                <w:bCs/>
                <w:noProof/>
                <w:color w:val="000000" w:themeColor="text1"/>
                <w:sz w:val="19"/>
                <w:szCs w:val="19"/>
                <w:lang w:eastAsia="lv-LV"/>
              </w:rPr>
              <w:t>2023</w:t>
            </w:r>
          </w:p>
        </w:tc>
        <w:tc>
          <w:tcPr>
            <w:tcW w:w="753" w:type="dxa"/>
            <w:shd w:val="clear" w:color="auto" w:fill="EBE2D1"/>
          </w:tcPr>
          <w:p w14:paraId="740D537C" w14:textId="77777777" w:rsidR="00F1215C" w:rsidRPr="001050CA" w:rsidRDefault="00F1215C" w:rsidP="00CA0F29">
            <w:pPr>
              <w:spacing w:before="60"/>
              <w:ind w:firstLine="0"/>
              <w:jc w:val="center"/>
              <w:rPr>
                <w:rFonts w:eastAsia="Times New Roman" w:cs="Times New Roman"/>
                <w:b/>
                <w:bCs/>
                <w:noProof/>
                <w:color w:val="000000" w:themeColor="text1"/>
                <w:sz w:val="19"/>
                <w:szCs w:val="19"/>
                <w:lang w:eastAsia="lv-LV"/>
              </w:rPr>
            </w:pPr>
            <w:r w:rsidRPr="001050CA">
              <w:rPr>
                <w:rFonts w:eastAsia="Times New Roman" w:cs="Times New Roman"/>
                <w:b/>
                <w:bCs/>
                <w:noProof/>
                <w:color w:val="000000" w:themeColor="text1"/>
                <w:sz w:val="19"/>
                <w:szCs w:val="19"/>
                <w:lang w:eastAsia="lv-LV"/>
              </w:rPr>
              <w:t>2024</w:t>
            </w:r>
          </w:p>
        </w:tc>
        <w:tc>
          <w:tcPr>
            <w:tcW w:w="753" w:type="dxa"/>
            <w:shd w:val="clear" w:color="auto" w:fill="EBE2D1"/>
          </w:tcPr>
          <w:p w14:paraId="3E48BE6C" w14:textId="77777777" w:rsidR="00F1215C" w:rsidRPr="001050CA" w:rsidRDefault="00F1215C" w:rsidP="00CA0F29">
            <w:pPr>
              <w:spacing w:before="60"/>
              <w:ind w:firstLine="0"/>
              <w:jc w:val="center"/>
              <w:rPr>
                <w:rFonts w:eastAsia="Times New Roman" w:cs="Times New Roman"/>
                <w:b/>
                <w:bCs/>
                <w:noProof/>
                <w:color w:val="000000" w:themeColor="text1"/>
                <w:sz w:val="19"/>
                <w:szCs w:val="19"/>
                <w:lang w:eastAsia="lv-LV"/>
              </w:rPr>
            </w:pPr>
            <w:r w:rsidRPr="001050CA">
              <w:rPr>
                <w:rFonts w:eastAsia="Times New Roman" w:cs="Times New Roman"/>
                <w:b/>
                <w:bCs/>
                <w:noProof/>
                <w:color w:val="000000" w:themeColor="text1"/>
                <w:sz w:val="19"/>
                <w:szCs w:val="19"/>
                <w:lang w:eastAsia="lv-LV"/>
              </w:rPr>
              <w:t>2025</w:t>
            </w:r>
          </w:p>
        </w:tc>
        <w:tc>
          <w:tcPr>
            <w:tcW w:w="753" w:type="dxa"/>
            <w:shd w:val="clear" w:color="auto" w:fill="EBE2D1"/>
            <w:noWrap/>
            <w:vAlign w:val="center"/>
            <w:hideMark/>
          </w:tcPr>
          <w:p w14:paraId="07BE112D" w14:textId="77777777" w:rsidR="00F1215C" w:rsidRPr="001050CA" w:rsidRDefault="00F1215C" w:rsidP="00CA0F29">
            <w:pPr>
              <w:spacing w:before="60"/>
              <w:ind w:firstLine="0"/>
              <w:jc w:val="center"/>
              <w:rPr>
                <w:rFonts w:eastAsia="Times New Roman" w:cs="Times New Roman"/>
                <w:b/>
                <w:bCs/>
                <w:noProof/>
                <w:color w:val="000000" w:themeColor="text1"/>
                <w:sz w:val="19"/>
                <w:szCs w:val="19"/>
                <w:lang w:eastAsia="lv-LV"/>
              </w:rPr>
            </w:pPr>
            <w:r w:rsidRPr="001050CA">
              <w:rPr>
                <w:rFonts w:eastAsia="Times New Roman" w:cs="Times New Roman"/>
                <w:b/>
                <w:bCs/>
                <w:noProof/>
                <w:color w:val="000000" w:themeColor="text1"/>
                <w:sz w:val="19"/>
                <w:szCs w:val="19"/>
                <w:lang w:eastAsia="lv-LV"/>
              </w:rPr>
              <w:t>2026</w:t>
            </w:r>
          </w:p>
        </w:tc>
        <w:tc>
          <w:tcPr>
            <w:tcW w:w="753" w:type="dxa"/>
            <w:shd w:val="clear" w:color="auto" w:fill="EBE2D1"/>
            <w:noWrap/>
            <w:vAlign w:val="center"/>
            <w:hideMark/>
          </w:tcPr>
          <w:p w14:paraId="21A599F5" w14:textId="77777777" w:rsidR="00F1215C" w:rsidRPr="001050CA" w:rsidRDefault="00F1215C" w:rsidP="00CA0F29">
            <w:pPr>
              <w:spacing w:before="60"/>
              <w:ind w:firstLine="0"/>
              <w:jc w:val="center"/>
              <w:rPr>
                <w:rFonts w:eastAsia="Times New Roman" w:cs="Times New Roman"/>
                <w:b/>
                <w:bCs/>
                <w:noProof/>
                <w:color w:val="000000" w:themeColor="text1"/>
                <w:sz w:val="19"/>
                <w:szCs w:val="19"/>
                <w:lang w:eastAsia="lv-LV"/>
              </w:rPr>
            </w:pPr>
            <w:r w:rsidRPr="001050CA">
              <w:rPr>
                <w:rFonts w:eastAsia="Times New Roman" w:cs="Times New Roman"/>
                <w:b/>
                <w:bCs/>
                <w:noProof/>
                <w:color w:val="000000" w:themeColor="text1"/>
                <w:sz w:val="19"/>
                <w:szCs w:val="19"/>
                <w:lang w:eastAsia="lv-LV"/>
              </w:rPr>
              <w:t>2027</w:t>
            </w:r>
          </w:p>
        </w:tc>
        <w:tc>
          <w:tcPr>
            <w:tcW w:w="753" w:type="dxa"/>
            <w:shd w:val="clear" w:color="auto" w:fill="EBE2D1"/>
            <w:vAlign w:val="center"/>
          </w:tcPr>
          <w:p w14:paraId="690FFEBA" w14:textId="77777777" w:rsidR="00F1215C" w:rsidRPr="001050CA" w:rsidRDefault="00F1215C" w:rsidP="00CA0F29">
            <w:pPr>
              <w:spacing w:before="60"/>
              <w:ind w:firstLine="0"/>
              <w:jc w:val="center"/>
              <w:rPr>
                <w:rFonts w:eastAsia="Times New Roman" w:cs="Times New Roman"/>
                <w:b/>
                <w:bCs/>
                <w:noProof/>
                <w:color w:val="000000" w:themeColor="text1"/>
                <w:sz w:val="19"/>
                <w:szCs w:val="19"/>
                <w:lang w:eastAsia="lv-LV"/>
              </w:rPr>
            </w:pPr>
            <w:r w:rsidRPr="001050CA">
              <w:rPr>
                <w:rFonts w:eastAsia="Times New Roman" w:cs="Times New Roman"/>
                <w:b/>
                <w:bCs/>
                <w:noProof/>
                <w:color w:val="000000" w:themeColor="text1"/>
                <w:sz w:val="19"/>
                <w:szCs w:val="19"/>
                <w:lang w:eastAsia="lv-LV"/>
              </w:rPr>
              <w:t>2028</w:t>
            </w:r>
          </w:p>
        </w:tc>
        <w:tc>
          <w:tcPr>
            <w:tcW w:w="753" w:type="dxa"/>
            <w:shd w:val="clear" w:color="auto" w:fill="EBE2D1"/>
            <w:noWrap/>
            <w:vAlign w:val="center"/>
            <w:hideMark/>
          </w:tcPr>
          <w:p w14:paraId="25AC24A7" w14:textId="77777777" w:rsidR="00F1215C" w:rsidRPr="001050CA" w:rsidRDefault="00F1215C" w:rsidP="00CA0F29">
            <w:pPr>
              <w:spacing w:before="60"/>
              <w:ind w:firstLine="0"/>
              <w:jc w:val="center"/>
              <w:rPr>
                <w:rFonts w:eastAsia="Times New Roman" w:cs="Times New Roman"/>
                <w:b/>
                <w:bCs/>
                <w:noProof/>
                <w:color w:val="000000" w:themeColor="text1"/>
                <w:sz w:val="19"/>
                <w:szCs w:val="19"/>
                <w:lang w:eastAsia="lv-LV"/>
              </w:rPr>
            </w:pPr>
            <w:r w:rsidRPr="001050CA">
              <w:rPr>
                <w:rFonts w:eastAsia="Times New Roman" w:cs="Times New Roman"/>
                <w:b/>
                <w:bCs/>
                <w:noProof/>
                <w:color w:val="000000" w:themeColor="text1"/>
                <w:sz w:val="19"/>
                <w:szCs w:val="19"/>
                <w:lang w:eastAsia="lv-LV"/>
              </w:rPr>
              <w:t>2029</w:t>
            </w:r>
          </w:p>
        </w:tc>
      </w:tr>
      <w:tr w:rsidR="00F1215C" w:rsidRPr="001050CA" w14:paraId="74E45A1D" w14:textId="77777777" w:rsidTr="00352EDD">
        <w:trPr>
          <w:trHeight w:val="20"/>
          <w:jc w:val="center"/>
        </w:trPr>
        <w:tc>
          <w:tcPr>
            <w:tcW w:w="3821" w:type="dxa"/>
            <w:noWrap/>
            <w:vAlign w:val="center"/>
            <w:hideMark/>
          </w:tcPr>
          <w:p w14:paraId="187B2EFA" w14:textId="77777777" w:rsidR="00F1215C" w:rsidRPr="001050CA" w:rsidRDefault="00F1215C" w:rsidP="00CA0F29">
            <w:pPr>
              <w:spacing w:before="60"/>
              <w:ind w:firstLine="0"/>
              <w:jc w:val="left"/>
              <w:rPr>
                <w:rFonts w:eastAsia="Times New Roman" w:cs="Times New Roman"/>
                <w:noProof/>
                <w:color w:val="000000" w:themeColor="text1"/>
                <w:sz w:val="19"/>
                <w:szCs w:val="19"/>
                <w:lang w:eastAsia="lv-LV"/>
              </w:rPr>
            </w:pPr>
            <w:r w:rsidRPr="001050CA">
              <w:rPr>
                <w:rFonts w:eastAsia="Times New Roman" w:cs="Times New Roman"/>
                <w:noProof/>
                <w:color w:val="000000" w:themeColor="text1"/>
                <w:sz w:val="19"/>
                <w:szCs w:val="19"/>
                <w:lang w:eastAsia="lv-LV"/>
              </w:rPr>
              <w:t>ES Padomes apstiprinātais ikgadējais NNFPI pieaugums, %, 2029. gadam FM aprēķins</w:t>
            </w:r>
          </w:p>
        </w:tc>
        <w:tc>
          <w:tcPr>
            <w:tcW w:w="1388" w:type="dxa"/>
            <w:vAlign w:val="center"/>
          </w:tcPr>
          <w:p w14:paraId="48C5F56D" w14:textId="77777777" w:rsidR="00F1215C" w:rsidRPr="001050CA" w:rsidRDefault="00F1215C" w:rsidP="00CA0F29">
            <w:pPr>
              <w:spacing w:before="60"/>
              <w:ind w:firstLine="0"/>
              <w:jc w:val="center"/>
              <w:rPr>
                <w:rFonts w:eastAsia="Times New Roman" w:cs="Times New Roman"/>
                <w:noProof/>
                <w:color w:val="000000" w:themeColor="text1"/>
                <w:sz w:val="19"/>
                <w:szCs w:val="19"/>
                <w:lang w:eastAsia="lv-LV"/>
              </w:rPr>
            </w:pPr>
            <w:r w:rsidRPr="001050CA">
              <w:rPr>
                <w:rFonts w:eastAsia="Times New Roman" w:cs="Times New Roman"/>
                <w:noProof/>
                <w:color w:val="000000" w:themeColor="text1"/>
                <w:sz w:val="19"/>
                <w:szCs w:val="19"/>
                <w:lang w:eastAsia="lv-LV"/>
              </w:rPr>
              <w:t>(1)</w:t>
            </w:r>
          </w:p>
        </w:tc>
        <w:tc>
          <w:tcPr>
            <w:tcW w:w="753" w:type="dxa"/>
            <w:vAlign w:val="center"/>
          </w:tcPr>
          <w:p w14:paraId="6D6530CF" w14:textId="77777777" w:rsidR="00F1215C" w:rsidRPr="001050CA" w:rsidRDefault="00F1215C" w:rsidP="00CA0F29">
            <w:pPr>
              <w:spacing w:before="60"/>
              <w:ind w:firstLine="0"/>
              <w:jc w:val="center"/>
              <w:rPr>
                <w:rFonts w:cs="Times New Roman"/>
                <w:noProof/>
                <w:color w:val="000000" w:themeColor="text1"/>
                <w:sz w:val="19"/>
                <w:szCs w:val="19"/>
              </w:rPr>
            </w:pPr>
          </w:p>
        </w:tc>
        <w:tc>
          <w:tcPr>
            <w:tcW w:w="753" w:type="dxa"/>
            <w:vAlign w:val="center"/>
          </w:tcPr>
          <w:p w14:paraId="5E0E69B6"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9,096</w:t>
            </w:r>
          </w:p>
        </w:tc>
        <w:tc>
          <w:tcPr>
            <w:tcW w:w="753" w:type="dxa"/>
            <w:vAlign w:val="center"/>
          </w:tcPr>
          <w:p w14:paraId="69FA5656"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5,902</w:t>
            </w:r>
          </w:p>
        </w:tc>
        <w:tc>
          <w:tcPr>
            <w:tcW w:w="753" w:type="dxa"/>
            <w:noWrap/>
            <w:vAlign w:val="center"/>
          </w:tcPr>
          <w:p w14:paraId="43CF1EAC" w14:textId="77777777" w:rsidR="00F1215C" w:rsidRPr="001050CA" w:rsidRDefault="00F1215C" w:rsidP="00CA0F29">
            <w:pPr>
              <w:spacing w:before="60"/>
              <w:ind w:firstLine="0"/>
              <w:jc w:val="center"/>
              <w:rPr>
                <w:rFonts w:eastAsia="Times New Roman" w:cs="Times New Roman"/>
                <w:noProof/>
                <w:color w:val="000000" w:themeColor="text1"/>
                <w:sz w:val="19"/>
                <w:szCs w:val="19"/>
                <w:lang w:eastAsia="lv-LV"/>
              </w:rPr>
            </w:pPr>
            <w:r w:rsidRPr="001050CA">
              <w:rPr>
                <w:rFonts w:cs="Times New Roman"/>
                <w:noProof/>
                <w:color w:val="000000" w:themeColor="text1"/>
                <w:sz w:val="19"/>
                <w:szCs w:val="19"/>
              </w:rPr>
              <w:t>3,645</w:t>
            </w:r>
          </w:p>
        </w:tc>
        <w:tc>
          <w:tcPr>
            <w:tcW w:w="753" w:type="dxa"/>
            <w:noWrap/>
            <w:vAlign w:val="center"/>
          </w:tcPr>
          <w:p w14:paraId="7BD888DE" w14:textId="77777777" w:rsidR="00F1215C" w:rsidRPr="001050CA" w:rsidRDefault="00F1215C" w:rsidP="00CA0F29">
            <w:pPr>
              <w:spacing w:before="60"/>
              <w:ind w:firstLine="0"/>
              <w:jc w:val="center"/>
              <w:rPr>
                <w:rFonts w:eastAsia="Times New Roman" w:cs="Times New Roman"/>
                <w:noProof/>
                <w:color w:val="000000" w:themeColor="text1"/>
                <w:sz w:val="19"/>
                <w:szCs w:val="19"/>
                <w:lang w:eastAsia="lv-LV"/>
              </w:rPr>
            </w:pPr>
            <w:r w:rsidRPr="001050CA">
              <w:rPr>
                <w:rFonts w:cs="Times New Roman"/>
                <w:noProof/>
                <w:color w:val="000000" w:themeColor="text1"/>
                <w:sz w:val="19"/>
                <w:szCs w:val="19"/>
              </w:rPr>
              <w:t>3,363</w:t>
            </w:r>
          </w:p>
        </w:tc>
        <w:tc>
          <w:tcPr>
            <w:tcW w:w="753" w:type="dxa"/>
            <w:vAlign w:val="center"/>
          </w:tcPr>
          <w:p w14:paraId="3D07AB6D" w14:textId="77777777" w:rsidR="00F1215C" w:rsidRPr="001050CA" w:rsidRDefault="00F1215C" w:rsidP="00CA0F29">
            <w:pPr>
              <w:spacing w:before="60"/>
              <w:ind w:firstLine="0"/>
              <w:jc w:val="center"/>
              <w:rPr>
                <w:rFonts w:eastAsia="Times New Roman" w:cs="Times New Roman"/>
                <w:noProof/>
                <w:color w:val="000000" w:themeColor="text1"/>
                <w:sz w:val="19"/>
                <w:szCs w:val="19"/>
                <w:lang w:eastAsia="lv-LV"/>
              </w:rPr>
            </w:pPr>
            <w:r w:rsidRPr="001050CA">
              <w:rPr>
                <w:rFonts w:cs="Times New Roman"/>
                <w:noProof/>
                <w:color w:val="000000" w:themeColor="text1"/>
                <w:sz w:val="19"/>
                <w:szCs w:val="19"/>
              </w:rPr>
              <w:t>3,326</w:t>
            </w:r>
          </w:p>
        </w:tc>
        <w:tc>
          <w:tcPr>
            <w:tcW w:w="753" w:type="dxa"/>
            <w:noWrap/>
            <w:vAlign w:val="center"/>
          </w:tcPr>
          <w:p w14:paraId="6A485B52" w14:textId="77777777" w:rsidR="00F1215C" w:rsidRPr="001050CA" w:rsidRDefault="00F1215C" w:rsidP="00CA0F29">
            <w:pPr>
              <w:spacing w:before="60"/>
              <w:ind w:firstLine="0"/>
              <w:jc w:val="center"/>
              <w:rPr>
                <w:rFonts w:eastAsia="Times New Roman" w:cs="Times New Roman"/>
                <w:noProof/>
                <w:color w:val="000000" w:themeColor="text1"/>
                <w:sz w:val="19"/>
                <w:szCs w:val="19"/>
                <w:lang w:eastAsia="lv-LV"/>
              </w:rPr>
            </w:pPr>
            <w:r w:rsidRPr="001050CA">
              <w:rPr>
                <w:rFonts w:cs="Times New Roman"/>
                <w:noProof/>
                <w:color w:val="000000" w:themeColor="text1"/>
                <w:sz w:val="19"/>
                <w:szCs w:val="19"/>
              </w:rPr>
              <w:t>3,533</w:t>
            </w:r>
          </w:p>
        </w:tc>
      </w:tr>
      <w:tr w:rsidR="00F1215C" w:rsidRPr="001050CA" w14:paraId="310EC788" w14:textId="77777777" w:rsidTr="00352EDD">
        <w:trPr>
          <w:trHeight w:val="20"/>
          <w:jc w:val="center"/>
        </w:trPr>
        <w:tc>
          <w:tcPr>
            <w:tcW w:w="3821" w:type="dxa"/>
            <w:noWrap/>
            <w:vAlign w:val="center"/>
          </w:tcPr>
          <w:p w14:paraId="7761F801" w14:textId="4A743750" w:rsidR="00F1215C" w:rsidRPr="001050CA" w:rsidRDefault="001050CA" w:rsidP="00CA0F29">
            <w:pPr>
              <w:spacing w:before="60"/>
              <w:ind w:firstLine="0"/>
              <w:jc w:val="left"/>
              <w:rPr>
                <w:rFonts w:eastAsia="Times New Roman" w:cs="Times New Roman"/>
                <w:noProof/>
                <w:color w:val="000000" w:themeColor="text1"/>
                <w:sz w:val="19"/>
                <w:szCs w:val="19"/>
                <w:lang w:eastAsia="lv-LV"/>
              </w:rPr>
            </w:pPr>
            <w:r>
              <w:rPr>
                <w:rFonts w:eastAsia="Times New Roman" w:cs="Times New Roman"/>
                <w:noProof/>
                <w:color w:val="000000" w:themeColor="text1"/>
                <w:sz w:val="19"/>
                <w:szCs w:val="19"/>
                <w:lang w:eastAsia="lv-LV"/>
              </w:rPr>
              <w:t>V</w:t>
            </w:r>
            <w:r w:rsidR="00F1215C" w:rsidRPr="001050CA">
              <w:rPr>
                <w:rFonts w:eastAsia="Times New Roman" w:cs="Times New Roman"/>
                <w:noProof/>
                <w:color w:val="000000" w:themeColor="text1"/>
                <w:sz w:val="19"/>
                <w:szCs w:val="19"/>
                <w:lang w:eastAsia="lv-LV"/>
              </w:rPr>
              <w:t xml:space="preserve">ispārējās valdības ieņēmumi, milj. </w:t>
            </w:r>
            <w:r w:rsidR="00F1215C" w:rsidRPr="001050CA">
              <w:rPr>
                <w:rFonts w:eastAsia="Times New Roman" w:cs="Times New Roman"/>
                <w:i/>
                <w:iCs/>
                <w:noProof/>
                <w:color w:val="000000" w:themeColor="text1"/>
                <w:sz w:val="19"/>
                <w:szCs w:val="19"/>
                <w:lang w:eastAsia="lv-LV"/>
              </w:rPr>
              <w:t>euro</w:t>
            </w:r>
          </w:p>
        </w:tc>
        <w:tc>
          <w:tcPr>
            <w:tcW w:w="1388" w:type="dxa"/>
            <w:vAlign w:val="center"/>
          </w:tcPr>
          <w:p w14:paraId="047426BE"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(2)</w:t>
            </w:r>
          </w:p>
        </w:tc>
        <w:tc>
          <w:tcPr>
            <w:tcW w:w="753" w:type="dxa"/>
            <w:vAlign w:val="center"/>
          </w:tcPr>
          <w:p w14:paraId="76FEFB8C"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16 256</w:t>
            </w:r>
          </w:p>
        </w:tc>
        <w:tc>
          <w:tcPr>
            <w:tcW w:w="753" w:type="dxa"/>
            <w:vAlign w:val="center"/>
          </w:tcPr>
          <w:p w14:paraId="2F05105D"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17 660</w:t>
            </w:r>
          </w:p>
        </w:tc>
        <w:tc>
          <w:tcPr>
            <w:tcW w:w="753" w:type="dxa"/>
            <w:vAlign w:val="center"/>
          </w:tcPr>
          <w:p w14:paraId="705185D7"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18 740</w:t>
            </w:r>
          </w:p>
        </w:tc>
        <w:tc>
          <w:tcPr>
            <w:tcW w:w="753" w:type="dxa"/>
            <w:noWrap/>
            <w:vAlign w:val="center"/>
          </w:tcPr>
          <w:p w14:paraId="028882F1" w14:textId="77777777" w:rsidR="00F1215C" w:rsidRPr="001050CA" w:rsidRDefault="00F1215C" w:rsidP="00CA0F29">
            <w:pPr>
              <w:spacing w:before="60"/>
              <w:ind w:firstLine="0"/>
              <w:jc w:val="center"/>
              <w:rPr>
                <w:rFonts w:eastAsia="Times New Roman" w:cs="Times New Roman"/>
                <w:noProof/>
                <w:color w:val="000000" w:themeColor="text1"/>
                <w:sz w:val="19"/>
                <w:szCs w:val="19"/>
                <w:lang w:eastAsia="lv-LV"/>
              </w:rPr>
            </w:pPr>
            <w:r w:rsidRPr="001050CA">
              <w:rPr>
                <w:rFonts w:cs="Times New Roman"/>
                <w:noProof/>
                <w:color w:val="000000" w:themeColor="text1"/>
                <w:sz w:val="19"/>
                <w:szCs w:val="19"/>
              </w:rPr>
              <w:t>19 135</w:t>
            </w:r>
          </w:p>
        </w:tc>
        <w:tc>
          <w:tcPr>
            <w:tcW w:w="753" w:type="dxa"/>
            <w:noWrap/>
            <w:vAlign w:val="center"/>
          </w:tcPr>
          <w:p w14:paraId="4A141883" w14:textId="77777777" w:rsidR="00F1215C" w:rsidRPr="001050CA" w:rsidRDefault="00F1215C" w:rsidP="00CA0F29">
            <w:pPr>
              <w:spacing w:before="60"/>
              <w:ind w:firstLine="0"/>
              <w:jc w:val="center"/>
              <w:rPr>
                <w:rFonts w:eastAsia="Times New Roman" w:cs="Times New Roman"/>
                <w:noProof/>
                <w:color w:val="000000" w:themeColor="text1"/>
                <w:sz w:val="19"/>
                <w:szCs w:val="19"/>
                <w:lang w:eastAsia="lv-LV"/>
              </w:rPr>
            </w:pPr>
            <w:r w:rsidRPr="001050CA">
              <w:rPr>
                <w:rFonts w:cs="Times New Roman"/>
                <w:noProof/>
                <w:color w:val="000000" w:themeColor="text1"/>
                <w:sz w:val="19"/>
                <w:szCs w:val="19"/>
              </w:rPr>
              <w:t>19 511</w:t>
            </w:r>
          </w:p>
        </w:tc>
        <w:tc>
          <w:tcPr>
            <w:tcW w:w="753" w:type="dxa"/>
            <w:vAlign w:val="center"/>
          </w:tcPr>
          <w:p w14:paraId="7FFD45EF" w14:textId="77777777" w:rsidR="00F1215C" w:rsidRPr="001050CA" w:rsidRDefault="00F1215C" w:rsidP="00CA0F29">
            <w:pPr>
              <w:spacing w:before="60"/>
              <w:ind w:firstLine="0"/>
              <w:jc w:val="center"/>
              <w:rPr>
                <w:rFonts w:eastAsia="Times New Roman" w:cs="Times New Roman"/>
                <w:noProof/>
                <w:color w:val="000000" w:themeColor="text1"/>
                <w:sz w:val="19"/>
                <w:szCs w:val="19"/>
                <w:lang w:eastAsia="lv-LV"/>
              </w:rPr>
            </w:pPr>
            <w:r w:rsidRPr="001050CA">
              <w:rPr>
                <w:rFonts w:cs="Times New Roman"/>
                <w:noProof/>
                <w:color w:val="000000" w:themeColor="text1"/>
                <w:sz w:val="19"/>
                <w:szCs w:val="19"/>
              </w:rPr>
              <w:t>20 063</w:t>
            </w:r>
          </w:p>
        </w:tc>
        <w:tc>
          <w:tcPr>
            <w:tcW w:w="753" w:type="dxa"/>
            <w:noWrap/>
            <w:vAlign w:val="center"/>
          </w:tcPr>
          <w:p w14:paraId="3270EBB2" w14:textId="77777777" w:rsidR="00F1215C" w:rsidRPr="001050CA" w:rsidRDefault="00F1215C" w:rsidP="00CA0F29">
            <w:pPr>
              <w:spacing w:before="60"/>
              <w:ind w:firstLine="0"/>
              <w:jc w:val="center"/>
              <w:rPr>
                <w:rFonts w:eastAsia="Times New Roman" w:cs="Times New Roman"/>
                <w:noProof/>
                <w:color w:val="000000" w:themeColor="text1"/>
                <w:sz w:val="19"/>
                <w:szCs w:val="19"/>
                <w:lang w:eastAsia="lv-LV"/>
              </w:rPr>
            </w:pPr>
            <w:r w:rsidRPr="001050CA">
              <w:rPr>
                <w:rFonts w:cs="Times New Roman"/>
                <w:noProof/>
                <w:color w:val="000000" w:themeColor="text1"/>
                <w:sz w:val="19"/>
                <w:szCs w:val="19"/>
              </w:rPr>
              <w:t>20 464</w:t>
            </w:r>
          </w:p>
        </w:tc>
      </w:tr>
      <w:tr w:rsidR="00F1215C" w:rsidRPr="001050CA" w14:paraId="235C1033" w14:textId="77777777" w:rsidTr="00352EDD">
        <w:trPr>
          <w:trHeight w:val="20"/>
          <w:jc w:val="center"/>
        </w:trPr>
        <w:tc>
          <w:tcPr>
            <w:tcW w:w="3821" w:type="dxa"/>
            <w:noWrap/>
            <w:vAlign w:val="center"/>
          </w:tcPr>
          <w:p w14:paraId="1F098B45" w14:textId="708DDD29" w:rsidR="00F1215C" w:rsidRPr="001050CA" w:rsidRDefault="001050CA" w:rsidP="00CA0F29">
            <w:pPr>
              <w:spacing w:before="60"/>
              <w:ind w:firstLine="0"/>
              <w:jc w:val="left"/>
              <w:rPr>
                <w:rFonts w:eastAsia="Times New Roman" w:cs="Times New Roman"/>
                <w:noProof/>
                <w:color w:val="000000" w:themeColor="text1"/>
                <w:sz w:val="19"/>
                <w:szCs w:val="19"/>
                <w:lang w:eastAsia="lv-LV"/>
              </w:rPr>
            </w:pPr>
            <w:r>
              <w:rPr>
                <w:rFonts w:eastAsia="Times New Roman" w:cs="Times New Roman"/>
                <w:noProof/>
                <w:color w:val="000000" w:themeColor="text1"/>
                <w:sz w:val="19"/>
                <w:szCs w:val="19"/>
                <w:lang w:eastAsia="lv-LV"/>
              </w:rPr>
              <w:t>V</w:t>
            </w:r>
            <w:r w:rsidR="00F1215C" w:rsidRPr="001050CA">
              <w:rPr>
                <w:rFonts w:eastAsia="Times New Roman" w:cs="Times New Roman"/>
                <w:noProof/>
                <w:color w:val="000000" w:themeColor="text1"/>
                <w:sz w:val="19"/>
                <w:szCs w:val="19"/>
                <w:lang w:eastAsia="lv-LV"/>
              </w:rPr>
              <w:t xml:space="preserve">ispārējās valdības izdevumi, milj. </w:t>
            </w:r>
            <w:r w:rsidR="00F1215C" w:rsidRPr="001050CA">
              <w:rPr>
                <w:rFonts w:eastAsia="Times New Roman" w:cs="Times New Roman"/>
                <w:i/>
                <w:iCs/>
                <w:noProof/>
                <w:color w:val="000000" w:themeColor="text1"/>
                <w:sz w:val="19"/>
                <w:szCs w:val="19"/>
                <w:lang w:eastAsia="lv-LV"/>
              </w:rPr>
              <w:t>euro</w:t>
            </w:r>
          </w:p>
        </w:tc>
        <w:tc>
          <w:tcPr>
            <w:tcW w:w="1388" w:type="dxa"/>
            <w:vAlign w:val="center"/>
          </w:tcPr>
          <w:p w14:paraId="4C3087E5"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(3)</w:t>
            </w:r>
          </w:p>
        </w:tc>
        <w:tc>
          <w:tcPr>
            <w:tcW w:w="753" w:type="dxa"/>
            <w:vAlign w:val="center"/>
          </w:tcPr>
          <w:p w14:paraId="7CDA2E02"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17 187</w:t>
            </w:r>
          </w:p>
        </w:tc>
        <w:tc>
          <w:tcPr>
            <w:tcW w:w="753" w:type="dxa"/>
            <w:vAlign w:val="center"/>
          </w:tcPr>
          <w:p w14:paraId="5924106A"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18 366</w:t>
            </w:r>
          </w:p>
        </w:tc>
        <w:tc>
          <w:tcPr>
            <w:tcW w:w="753" w:type="dxa"/>
            <w:vAlign w:val="center"/>
          </w:tcPr>
          <w:p w14:paraId="57969EEE"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19 961</w:t>
            </w:r>
          </w:p>
        </w:tc>
        <w:tc>
          <w:tcPr>
            <w:tcW w:w="753" w:type="dxa"/>
            <w:noWrap/>
            <w:vAlign w:val="center"/>
          </w:tcPr>
          <w:p w14:paraId="485BE3EE"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20 461</w:t>
            </w:r>
          </w:p>
        </w:tc>
        <w:tc>
          <w:tcPr>
            <w:tcW w:w="753" w:type="dxa"/>
            <w:noWrap/>
            <w:vAlign w:val="center"/>
          </w:tcPr>
          <w:p w14:paraId="084408A4"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21 376</w:t>
            </w:r>
          </w:p>
        </w:tc>
        <w:tc>
          <w:tcPr>
            <w:tcW w:w="753" w:type="dxa"/>
            <w:vAlign w:val="center"/>
          </w:tcPr>
          <w:p w14:paraId="350C33A0"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21 864</w:t>
            </w:r>
          </w:p>
        </w:tc>
        <w:tc>
          <w:tcPr>
            <w:tcW w:w="753" w:type="dxa"/>
            <w:noWrap/>
            <w:vAlign w:val="center"/>
          </w:tcPr>
          <w:p w14:paraId="302555DF"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22 417</w:t>
            </w:r>
          </w:p>
        </w:tc>
      </w:tr>
      <w:tr w:rsidR="00F1215C" w:rsidRPr="001050CA" w14:paraId="521BAE84" w14:textId="77777777" w:rsidTr="00352EDD">
        <w:trPr>
          <w:trHeight w:val="20"/>
          <w:jc w:val="center"/>
        </w:trPr>
        <w:tc>
          <w:tcPr>
            <w:tcW w:w="3821" w:type="dxa"/>
            <w:noWrap/>
            <w:vAlign w:val="center"/>
          </w:tcPr>
          <w:p w14:paraId="1DE6333F" w14:textId="4664EE62" w:rsidR="00F1215C" w:rsidRPr="001050CA" w:rsidRDefault="001050CA" w:rsidP="00CA0F29">
            <w:pPr>
              <w:spacing w:before="60"/>
              <w:ind w:firstLine="0"/>
              <w:jc w:val="left"/>
              <w:rPr>
                <w:rFonts w:eastAsia="Times New Roman" w:cs="Times New Roman"/>
                <w:noProof/>
                <w:color w:val="000000" w:themeColor="text1"/>
                <w:sz w:val="19"/>
                <w:szCs w:val="19"/>
                <w:lang w:eastAsia="lv-LV"/>
              </w:rPr>
            </w:pPr>
            <w:r>
              <w:rPr>
                <w:rFonts w:eastAsia="Times New Roman" w:cs="Times New Roman"/>
                <w:noProof/>
                <w:color w:val="000000" w:themeColor="text1"/>
                <w:sz w:val="19"/>
                <w:szCs w:val="19"/>
                <w:lang w:eastAsia="lv-LV"/>
              </w:rPr>
              <w:t>V</w:t>
            </w:r>
            <w:r w:rsidR="00F1215C" w:rsidRPr="001050CA">
              <w:rPr>
                <w:rFonts w:eastAsia="Times New Roman" w:cs="Times New Roman"/>
                <w:noProof/>
                <w:color w:val="000000" w:themeColor="text1"/>
                <w:sz w:val="19"/>
                <w:szCs w:val="19"/>
                <w:lang w:eastAsia="lv-LV"/>
              </w:rPr>
              <w:t xml:space="preserve">ispārējās valdības budžeta bilance, milj. </w:t>
            </w:r>
            <w:r w:rsidR="00F1215C" w:rsidRPr="001050CA">
              <w:rPr>
                <w:rFonts w:eastAsia="Times New Roman" w:cs="Times New Roman"/>
                <w:i/>
                <w:iCs/>
                <w:noProof/>
                <w:color w:val="000000" w:themeColor="text1"/>
                <w:sz w:val="19"/>
                <w:szCs w:val="19"/>
                <w:lang w:eastAsia="lv-LV"/>
              </w:rPr>
              <w:t>euro</w:t>
            </w:r>
          </w:p>
        </w:tc>
        <w:tc>
          <w:tcPr>
            <w:tcW w:w="1388" w:type="dxa"/>
            <w:vAlign w:val="center"/>
          </w:tcPr>
          <w:p w14:paraId="2348ACA3"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(4)=(2)-(3)</w:t>
            </w:r>
          </w:p>
        </w:tc>
        <w:tc>
          <w:tcPr>
            <w:tcW w:w="753" w:type="dxa"/>
            <w:vAlign w:val="center"/>
          </w:tcPr>
          <w:p w14:paraId="3613BE42"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-932</w:t>
            </w:r>
          </w:p>
        </w:tc>
        <w:tc>
          <w:tcPr>
            <w:tcW w:w="753" w:type="dxa"/>
            <w:vAlign w:val="center"/>
          </w:tcPr>
          <w:p w14:paraId="2E76CA09"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-706</w:t>
            </w:r>
          </w:p>
        </w:tc>
        <w:tc>
          <w:tcPr>
            <w:tcW w:w="753" w:type="dxa"/>
            <w:vAlign w:val="center"/>
          </w:tcPr>
          <w:p w14:paraId="1E318FDE"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-1 221</w:t>
            </w:r>
          </w:p>
        </w:tc>
        <w:tc>
          <w:tcPr>
            <w:tcW w:w="753" w:type="dxa"/>
            <w:noWrap/>
            <w:vAlign w:val="center"/>
          </w:tcPr>
          <w:p w14:paraId="6E68EDE5"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-1 326</w:t>
            </w:r>
          </w:p>
        </w:tc>
        <w:tc>
          <w:tcPr>
            <w:tcW w:w="753" w:type="dxa"/>
            <w:noWrap/>
            <w:vAlign w:val="center"/>
          </w:tcPr>
          <w:p w14:paraId="4A7B5783"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-1 864</w:t>
            </w:r>
          </w:p>
        </w:tc>
        <w:tc>
          <w:tcPr>
            <w:tcW w:w="753" w:type="dxa"/>
            <w:vAlign w:val="center"/>
          </w:tcPr>
          <w:p w14:paraId="78D91706"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-1 800</w:t>
            </w:r>
          </w:p>
        </w:tc>
        <w:tc>
          <w:tcPr>
            <w:tcW w:w="753" w:type="dxa"/>
            <w:noWrap/>
            <w:vAlign w:val="center"/>
          </w:tcPr>
          <w:p w14:paraId="3B554A99"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-1 953</w:t>
            </w:r>
          </w:p>
        </w:tc>
      </w:tr>
      <w:tr w:rsidR="00F1215C" w:rsidRPr="001050CA" w14:paraId="7323AAA4" w14:textId="77777777" w:rsidTr="00352EDD">
        <w:trPr>
          <w:trHeight w:val="20"/>
          <w:jc w:val="center"/>
        </w:trPr>
        <w:tc>
          <w:tcPr>
            <w:tcW w:w="3821" w:type="dxa"/>
            <w:noWrap/>
            <w:vAlign w:val="center"/>
          </w:tcPr>
          <w:p w14:paraId="0B02DD1E" w14:textId="67496E20" w:rsidR="00F1215C" w:rsidRPr="001050CA" w:rsidRDefault="001050CA" w:rsidP="00CA0F29">
            <w:pPr>
              <w:spacing w:before="60"/>
              <w:ind w:firstLine="0"/>
              <w:jc w:val="left"/>
              <w:rPr>
                <w:rFonts w:eastAsia="Times New Roman" w:cs="Times New Roman"/>
                <w:noProof/>
                <w:color w:val="000000" w:themeColor="text1"/>
                <w:sz w:val="19"/>
                <w:szCs w:val="19"/>
                <w:lang w:eastAsia="lv-LV"/>
              </w:rPr>
            </w:pPr>
            <w:r>
              <w:rPr>
                <w:rFonts w:eastAsia="Times New Roman" w:cs="Times New Roman"/>
                <w:noProof/>
                <w:color w:val="000000" w:themeColor="text1"/>
                <w:sz w:val="19"/>
                <w:szCs w:val="19"/>
                <w:lang w:eastAsia="lv-LV"/>
              </w:rPr>
              <w:t>P</w:t>
            </w:r>
            <w:r w:rsidR="00F1215C" w:rsidRPr="001050CA">
              <w:rPr>
                <w:rFonts w:eastAsia="Times New Roman" w:cs="Times New Roman"/>
                <w:noProof/>
                <w:color w:val="000000" w:themeColor="text1"/>
                <w:sz w:val="19"/>
                <w:szCs w:val="19"/>
                <w:lang w:eastAsia="lv-LV"/>
              </w:rPr>
              <w:t>rocentu izdevumi, milj.</w:t>
            </w:r>
            <w:r w:rsidR="00F1215C" w:rsidRPr="001050CA">
              <w:rPr>
                <w:rFonts w:eastAsia="Times New Roman" w:cs="Times New Roman"/>
                <w:i/>
                <w:iCs/>
                <w:noProof/>
                <w:color w:val="000000" w:themeColor="text1"/>
                <w:sz w:val="19"/>
                <w:szCs w:val="19"/>
                <w:lang w:eastAsia="lv-LV"/>
              </w:rPr>
              <w:t xml:space="preserve"> euro</w:t>
            </w:r>
          </w:p>
        </w:tc>
        <w:tc>
          <w:tcPr>
            <w:tcW w:w="1388" w:type="dxa"/>
            <w:vAlign w:val="center"/>
          </w:tcPr>
          <w:p w14:paraId="07E96F3D"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(5)</w:t>
            </w:r>
          </w:p>
        </w:tc>
        <w:tc>
          <w:tcPr>
            <w:tcW w:w="753" w:type="dxa"/>
            <w:vAlign w:val="center"/>
          </w:tcPr>
          <w:p w14:paraId="215D3880"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287</w:t>
            </w:r>
          </w:p>
        </w:tc>
        <w:tc>
          <w:tcPr>
            <w:tcW w:w="753" w:type="dxa"/>
            <w:vAlign w:val="center"/>
          </w:tcPr>
          <w:p w14:paraId="104D48F7"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440</w:t>
            </w:r>
          </w:p>
        </w:tc>
        <w:tc>
          <w:tcPr>
            <w:tcW w:w="753" w:type="dxa"/>
            <w:vAlign w:val="center"/>
          </w:tcPr>
          <w:p w14:paraId="7FF4E3A0"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519</w:t>
            </w:r>
          </w:p>
        </w:tc>
        <w:tc>
          <w:tcPr>
            <w:tcW w:w="753" w:type="dxa"/>
            <w:noWrap/>
            <w:vAlign w:val="center"/>
          </w:tcPr>
          <w:p w14:paraId="70CD5E4B"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637</w:t>
            </w:r>
          </w:p>
        </w:tc>
        <w:tc>
          <w:tcPr>
            <w:tcW w:w="753" w:type="dxa"/>
            <w:noWrap/>
            <w:vAlign w:val="center"/>
          </w:tcPr>
          <w:p w14:paraId="11A7561D"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719</w:t>
            </w:r>
          </w:p>
        </w:tc>
        <w:tc>
          <w:tcPr>
            <w:tcW w:w="753" w:type="dxa"/>
            <w:vAlign w:val="center"/>
          </w:tcPr>
          <w:p w14:paraId="5B9F5B8B"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759</w:t>
            </w:r>
          </w:p>
        </w:tc>
        <w:tc>
          <w:tcPr>
            <w:tcW w:w="753" w:type="dxa"/>
            <w:noWrap/>
            <w:vAlign w:val="center"/>
          </w:tcPr>
          <w:p w14:paraId="0B87C881"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833</w:t>
            </w:r>
          </w:p>
        </w:tc>
      </w:tr>
      <w:tr w:rsidR="00F1215C" w:rsidRPr="001050CA" w14:paraId="68CC92A6" w14:textId="77777777" w:rsidTr="00352EDD">
        <w:trPr>
          <w:trHeight w:val="20"/>
          <w:jc w:val="center"/>
        </w:trPr>
        <w:tc>
          <w:tcPr>
            <w:tcW w:w="3821" w:type="dxa"/>
            <w:noWrap/>
            <w:vAlign w:val="center"/>
          </w:tcPr>
          <w:p w14:paraId="3A56551B" w14:textId="702AD2AB" w:rsidR="00F1215C" w:rsidRPr="001050CA" w:rsidRDefault="001050CA" w:rsidP="00CA0F29">
            <w:pPr>
              <w:spacing w:before="60"/>
              <w:ind w:firstLine="0"/>
              <w:jc w:val="left"/>
              <w:rPr>
                <w:rFonts w:eastAsia="Times New Roman" w:cs="Times New Roman"/>
                <w:noProof/>
                <w:color w:val="000000" w:themeColor="text1"/>
                <w:sz w:val="19"/>
                <w:szCs w:val="19"/>
                <w:lang w:eastAsia="lv-LV"/>
              </w:rPr>
            </w:pPr>
            <w:r>
              <w:rPr>
                <w:rFonts w:eastAsia="Times New Roman" w:cs="Times New Roman"/>
                <w:noProof/>
                <w:color w:val="000000" w:themeColor="text1"/>
                <w:sz w:val="19"/>
                <w:szCs w:val="19"/>
                <w:lang w:eastAsia="lv-LV"/>
              </w:rPr>
              <w:t>C</w:t>
            </w:r>
            <w:r w:rsidR="00F1215C" w:rsidRPr="001050CA">
              <w:rPr>
                <w:rFonts w:eastAsia="Times New Roman" w:cs="Times New Roman"/>
                <w:noProof/>
                <w:color w:val="000000" w:themeColor="text1"/>
                <w:sz w:val="19"/>
                <w:szCs w:val="19"/>
                <w:lang w:eastAsia="lv-LV"/>
              </w:rPr>
              <w:t xml:space="preserve">ikliskie bezdarba izdevumi, milj. </w:t>
            </w:r>
            <w:r w:rsidR="00F1215C" w:rsidRPr="001050CA">
              <w:rPr>
                <w:rFonts w:eastAsia="Times New Roman" w:cs="Times New Roman"/>
                <w:i/>
                <w:iCs/>
                <w:noProof/>
                <w:color w:val="000000" w:themeColor="text1"/>
                <w:sz w:val="19"/>
                <w:szCs w:val="19"/>
                <w:lang w:eastAsia="lv-LV"/>
              </w:rPr>
              <w:t>euro</w:t>
            </w:r>
          </w:p>
        </w:tc>
        <w:tc>
          <w:tcPr>
            <w:tcW w:w="1388" w:type="dxa"/>
            <w:vAlign w:val="center"/>
          </w:tcPr>
          <w:p w14:paraId="1D0BCCA5"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(6)</w:t>
            </w:r>
          </w:p>
        </w:tc>
        <w:tc>
          <w:tcPr>
            <w:tcW w:w="753" w:type="dxa"/>
            <w:vAlign w:val="center"/>
          </w:tcPr>
          <w:p w14:paraId="68B695A1"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-4</w:t>
            </w:r>
          </w:p>
        </w:tc>
        <w:tc>
          <w:tcPr>
            <w:tcW w:w="753" w:type="dxa"/>
            <w:vAlign w:val="center"/>
          </w:tcPr>
          <w:p w14:paraId="3F972A77"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12</w:t>
            </w:r>
          </w:p>
        </w:tc>
        <w:tc>
          <w:tcPr>
            <w:tcW w:w="753" w:type="dxa"/>
            <w:vAlign w:val="center"/>
          </w:tcPr>
          <w:p w14:paraId="2544DD11"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19</w:t>
            </w:r>
          </w:p>
        </w:tc>
        <w:tc>
          <w:tcPr>
            <w:tcW w:w="753" w:type="dxa"/>
            <w:noWrap/>
            <w:vAlign w:val="center"/>
          </w:tcPr>
          <w:p w14:paraId="5DE193BD"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8</w:t>
            </w:r>
          </w:p>
        </w:tc>
        <w:tc>
          <w:tcPr>
            <w:tcW w:w="753" w:type="dxa"/>
            <w:noWrap/>
            <w:vAlign w:val="center"/>
          </w:tcPr>
          <w:p w14:paraId="31EDAD33"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-5</w:t>
            </w:r>
          </w:p>
        </w:tc>
        <w:tc>
          <w:tcPr>
            <w:tcW w:w="753" w:type="dxa"/>
            <w:vAlign w:val="center"/>
          </w:tcPr>
          <w:p w14:paraId="061A5AD1"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-11</w:t>
            </w:r>
          </w:p>
        </w:tc>
        <w:tc>
          <w:tcPr>
            <w:tcW w:w="753" w:type="dxa"/>
            <w:noWrap/>
            <w:vAlign w:val="center"/>
          </w:tcPr>
          <w:p w14:paraId="3C1ABCDF"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-8</w:t>
            </w:r>
          </w:p>
        </w:tc>
      </w:tr>
      <w:tr w:rsidR="00F1215C" w:rsidRPr="001050CA" w14:paraId="0A4CDA59" w14:textId="77777777" w:rsidTr="00352EDD">
        <w:trPr>
          <w:trHeight w:val="20"/>
          <w:jc w:val="center"/>
        </w:trPr>
        <w:tc>
          <w:tcPr>
            <w:tcW w:w="3821" w:type="dxa"/>
            <w:noWrap/>
            <w:vAlign w:val="center"/>
          </w:tcPr>
          <w:p w14:paraId="0B22C9C4" w14:textId="77777777" w:rsidR="00F1215C" w:rsidRPr="001050CA" w:rsidRDefault="00F1215C" w:rsidP="00CA0F29">
            <w:pPr>
              <w:spacing w:before="60"/>
              <w:ind w:firstLine="0"/>
              <w:jc w:val="left"/>
              <w:rPr>
                <w:rFonts w:eastAsia="Times New Roman" w:cs="Times New Roman"/>
                <w:noProof/>
                <w:color w:val="000000" w:themeColor="text1"/>
                <w:sz w:val="19"/>
                <w:szCs w:val="19"/>
                <w:lang w:eastAsia="lv-LV"/>
              </w:rPr>
            </w:pPr>
            <w:r w:rsidRPr="001050CA">
              <w:rPr>
                <w:rFonts w:eastAsia="Times New Roman" w:cs="Times New Roman"/>
                <w:noProof/>
                <w:color w:val="000000" w:themeColor="text1"/>
                <w:sz w:val="19"/>
                <w:szCs w:val="19"/>
                <w:lang w:eastAsia="lv-LV"/>
              </w:rPr>
              <w:t xml:space="preserve">ES fondu izdevumi, milj. </w:t>
            </w:r>
            <w:r w:rsidRPr="001050CA">
              <w:rPr>
                <w:rFonts w:eastAsia="Times New Roman" w:cs="Times New Roman"/>
                <w:i/>
                <w:iCs/>
                <w:noProof/>
                <w:color w:val="000000" w:themeColor="text1"/>
                <w:sz w:val="19"/>
                <w:szCs w:val="19"/>
                <w:lang w:eastAsia="lv-LV"/>
              </w:rPr>
              <w:t>euro</w:t>
            </w:r>
          </w:p>
        </w:tc>
        <w:tc>
          <w:tcPr>
            <w:tcW w:w="1388" w:type="dxa"/>
            <w:vAlign w:val="center"/>
          </w:tcPr>
          <w:p w14:paraId="50A3276A"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(7)</w:t>
            </w:r>
          </w:p>
        </w:tc>
        <w:tc>
          <w:tcPr>
            <w:tcW w:w="753" w:type="dxa"/>
            <w:vAlign w:val="center"/>
          </w:tcPr>
          <w:p w14:paraId="1E2BE4BA"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734</w:t>
            </w:r>
          </w:p>
        </w:tc>
        <w:tc>
          <w:tcPr>
            <w:tcW w:w="753" w:type="dxa"/>
            <w:vAlign w:val="center"/>
          </w:tcPr>
          <w:p w14:paraId="14F27789"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786</w:t>
            </w:r>
          </w:p>
        </w:tc>
        <w:tc>
          <w:tcPr>
            <w:tcW w:w="753" w:type="dxa"/>
            <w:vAlign w:val="center"/>
          </w:tcPr>
          <w:p w14:paraId="34E06C95"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1105</w:t>
            </w:r>
          </w:p>
        </w:tc>
        <w:tc>
          <w:tcPr>
            <w:tcW w:w="753" w:type="dxa"/>
            <w:noWrap/>
            <w:vAlign w:val="center"/>
          </w:tcPr>
          <w:p w14:paraId="20B2513E"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900</w:t>
            </w:r>
          </w:p>
        </w:tc>
        <w:tc>
          <w:tcPr>
            <w:tcW w:w="753" w:type="dxa"/>
            <w:noWrap/>
            <w:vAlign w:val="center"/>
          </w:tcPr>
          <w:p w14:paraId="73E38B71"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694</w:t>
            </w:r>
          </w:p>
        </w:tc>
        <w:tc>
          <w:tcPr>
            <w:tcW w:w="753" w:type="dxa"/>
            <w:vAlign w:val="center"/>
          </w:tcPr>
          <w:p w14:paraId="7B6958AC"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491</w:t>
            </w:r>
          </w:p>
        </w:tc>
        <w:tc>
          <w:tcPr>
            <w:tcW w:w="753" w:type="dxa"/>
            <w:noWrap/>
            <w:vAlign w:val="center"/>
          </w:tcPr>
          <w:p w14:paraId="137BAA9C"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435</w:t>
            </w:r>
          </w:p>
        </w:tc>
      </w:tr>
      <w:tr w:rsidR="00F1215C" w:rsidRPr="001050CA" w14:paraId="693B8AA3" w14:textId="77777777" w:rsidTr="00352EDD">
        <w:trPr>
          <w:trHeight w:val="20"/>
          <w:jc w:val="center"/>
        </w:trPr>
        <w:tc>
          <w:tcPr>
            <w:tcW w:w="3821" w:type="dxa"/>
            <w:noWrap/>
            <w:vAlign w:val="center"/>
          </w:tcPr>
          <w:p w14:paraId="41613A3C" w14:textId="0C881226" w:rsidR="00F1215C" w:rsidRPr="001050CA" w:rsidRDefault="001050CA" w:rsidP="00CA0F29">
            <w:pPr>
              <w:spacing w:before="60"/>
              <w:ind w:firstLine="0"/>
              <w:jc w:val="left"/>
              <w:rPr>
                <w:rFonts w:eastAsia="Times New Roman" w:cs="Times New Roman"/>
                <w:noProof/>
                <w:color w:val="000000" w:themeColor="text1"/>
                <w:sz w:val="19"/>
                <w:szCs w:val="19"/>
                <w:lang w:eastAsia="lv-LV"/>
              </w:rPr>
            </w:pPr>
            <w:r>
              <w:rPr>
                <w:rFonts w:eastAsia="Times New Roman" w:cs="Times New Roman"/>
                <w:noProof/>
                <w:color w:val="000000" w:themeColor="text1"/>
                <w:sz w:val="19"/>
                <w:szCs w:val="19"/>
                <w:lang w:eastAsia="lv-LV"/>
              </w:rPr>
              <w:t>N</w:t>
            </w:r>
            <w:r w:rsidR="00F1215C" w:rsidRPr="001050CA">
              <w:rPr>
                <w:rFonts w:eastAsia="Times New Roman" w:cs="Times New Roman"/>
                <w:noProof/>
                <w:color w:val="000000" w:themeColor="text1"/>
                <w:sz w:val="19"/>
                <w:szCs w:val="19"/>
                <w:lang w:eastAsia="lv-LV"/>
              </w:rPr>
              <w:t xml:space="preserve">acionālais līdzfinansējums ES fondu izdevumiem, milj. </w:t>
            </w:r>
            <w:r w:rsidR="00F1215C" w:rsidRPr="001050CA">
              <w:rPr>
                <w:rFonts w:eastAsia="Times New Roman" w:cs="Times New Roman"/>
                <w:i/>
                <w:iCs/>
                <w:noProof/>
                <w:color w:val="000000" w:themeColor="text1"/>
                <w:sz w:val="19"/>
                <w:szCs w:val="19"/>
                <w:lang w:eastAsia="lv-LV"/>
              </w:rPr>
              <w:t>euro</w:t>
            </w:r>
          </w:p>
        </w:tc>
        <w:tc>
          <w:tcPr>
            <w:tcW w:w="1388" w:type="dxa"/>
            <w:vAlign w:val="center"/>
          </w:tcPr>
          <w:p w14:paraId="4A03E896"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(8)</w:t>
            </w:r>
          </w:p>
        </w:tc>
        <w:tc>
          <w:tcPr>
            <w:tcW w:w="753" w:type="dxa"/>
            <w:vAlign w:val="center"/>
          </w:tcPr>
          <w:p w14:paraId="12FEA5B3"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158</w:t>
            </w:r>
          </w:p>
        </w:tc>
        <w:tc>
          <w:tcPr>
            <w:tcW w:w="753" w:type="dxa"/>
            <w:vAlign w:val="center"/>
          </w:tcPr>
          <w:p w14:paraId="4E278A62"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138</w:t>
            </w:r>
          </w:p>
        </w:tc>
        <w:tc>
          <w:tcPr>
            <w:tcW w:w="753" w:type="dxa"/>
            <w:vAlign w:val="center"/>
          </w:tcPr>
          <w:p w14:paraId="5DF4C0F2"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193</w:t>
            </w:r>
          </w:p>
        </w:tc>
        <w:tc>
          <w:tcPr>
            <w:tcW w:w="753" w:type="dxa"/>
            <w:noWrap/>
            <w:vAlign w:val="center"/>
          </w:tcPr>
          <w:p w14:paraId="119ADA9C"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154</w:t>
            </w:r>
          </w:p>
        </w:tc>
        <w:tc>
          <w:tcPr>
            <w:tcW w:w="753" w:type="dxa"/>
            <w:noWrap/>
            <w:vAlign w:val="center"/>
          </w:tcPr>
          <w:p w14:paraId="7CC14C37"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134</w:t>
            </w:r>
          </w:p>
        </w:tc>
        <w:tc>
          <w:tcPr>
            <w:tcW w:w="753" w:type="dxa"/>
            <w:vAlign w:val="center"/>
          </w:tcPr>
          <w:p w14:paraId="1E95C701"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105</w:t>
            </w:r>
          </w:p>
        </w:tc>
        <w:tc>
          <w:tcPr>
            <w:tcW w:w="753" w:type="dxa"/>
            <w:noWrap/>
            <w:vAlign w:val="center"/>
          </w:tcPr>
          <w:p w14:paraId="73002FED"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78</w:t>
            </w:r>
          </w:p>
        </w:tc>
      </w:tr>
      <w:tr w:rsidR="00F1215C" w:rsidRPr="001050CA" w14:paraId="64DD1EB3" w14:textId="77777777" w:rsidTr="00352EDD">
        <w:trPr>
          <w:trHeight w:val="20"/>
          <w:jc w:val="center"/>
        </w:trPr>
        <w:tc>
          <w:tcPr>
            <w:tcW w:w="3821" w:type="dxa"/>
            <w:noWrap/>
            <w:vAlign w:val="center"/>
          </w:tcPr>
          <w:p w14:paraId="2C426CA7" w14:textId="77777777" w:rsidR="00F1215C" w:rsidRPr="001050CA" w:rsidRDefault="00F1215C" w:rsidP="00CA0F29">
            <w:pPr>
              <w:spacing w:before="60"/>
              <w:ind w:firstLine="0"/>
              <w:jc w:val="left"/>
              <w:rPr>
                <w:rFonts w:eastAsia="Times New Roman" w:cs="Times New Roman"/>
                <w:noProof/>
                <w:color w:val="000000" w:themeColor="text1"/>
                <w:sz w:val="19"/>
                <w:szCs w:val="19"/>
                <w:lang w:eastAsia="lv-LV"/>
              </w:rPr>
            </w:pPr>
            <w:r w:rsidRPr="001050CA">
              <w:rPr>
                <w:rFonts w:eastAsia="Times New Roman" w:cs="Times New Roman"/>
                <w:noProof/>
                <w:color w:val="000000" w:themeColor="text1"/>
                <w:sz w:val="19"/>
                <w:szCs w:val="19"/>
                <w:lang w:eastAsia="lv-LV"/>
              </w:rPr>
              <w:t xml:space="preserve">NNFPI līmenis, milj. </w:t>
            </w:r>
            <w:r w:rsidRPr="001050CA">
              <w:rPr>
                <w:rFonts w:eastAsia="Times New Roman" w:cs="Times New Roman"/>
                <w:i/>
                <w:iCs/>
                <w:noProof/>
                <w:color w:val="000000" w:themeColor="text1"/>
                <w:sz w:val="19"/>
                <w:szCs w:val="19"/>
                <w:lang w:eastAsia="lv-LV"/>
              </w:rPr>
              <w:t>euro</w:t>
            </w:r>
          </w:p>
        </w:tc>
        <w:tc>
          <w:tcPr>
            <w:tcW w:w="1388" w:type="dxa"/>
            <w:vAlign w:val="center"/>
          </w:tcPr>
          <w:p w14:paraId="0B4F098E"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(9)=(3)-(5)-(6)-(7)-(8)</w:t>
            </w:r>
          </w:p>
        </w:tc>
        <w:tc>
          <w:tcPr>
            <w:tcW w:w="753" w:type="dxa"/>
            <w:vAlign w:val="center"/>
          </w:tcPr>
          <w:p w14:paraId="722E399D"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16 012</w:t>
            </w:r>
          </w:p>
        </w:tc>
        <w:tc>
          <w:tcPr>
            <w:tcW w:w="753" w:type="dxa"/>
            <w:vAlign w:val="center"/>
          </w:tcPr>
          <w:p w14:paraId="7265429B"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16 991</w:t>
            </w:r>
          </w:p>
        </w:tc>
        <w:tc>
          <w:tcPr>
            <w:tcW w:w="753" w:type="dxa"/>
            <w:vAlign w:val="center"/>
          </w:tcPr>
          <w:p w14:paraId="31B916D7"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18 124</w:t>
            </w:r>
          </w:p>
        </w:tc>
        <w:tc>
          <w:tcPr>
            <w:tcW w:w="753" w:type="dxa"/>
            <w:noWrap/>
            <w:vAlign w:val="center"/>
          </w:tcPr>
          <w:p w14:paraId="24AE0A8D"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18 763</w:t>
            </w:r>
          </w:p>
        </w:tc>
        <w:tc>
          <w:tcPr>
            <w:tcW w:w="753" w:type="dxa"/>
            <w:noWrap/>
            <w:vAlign w:val="center"/>
          </w:tcPr>
          <w:p w14:paraId="43D791E6"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19 834</w:t>
            </w:r>
          </w:p>
        </w:tc>
        <w:tc>
          <w:tcPr>
            <w:tcW w:w="753" w:type="dxa"/>
            <w:vAlign w:val="center"/>
          </w:tcPr>
          <w:p w14:paraId="4004F3C1"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20 520</w:t>
            </w:r>
          </w:p>
        </w:tc>
        <w:tc>
          <w:tcPr>
            <w:tcW w:w="753" w:type="dxa"/>
            <w:noWrap/>
            <w:vAlign w:val="center"/>
          </w:tcPr>
          <w:p w14:paraId="19080CBB"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21 078</w:t>
            </w:r>
          </w:p>
        </w:tc>
      </w:tr>
      <w:tr w:rsidR="00F1215C" w:rsidRPr="001050CA" w14:paraId="58DADAAA" w14:textId="77777777" w:rsidTr="00352EDD">
        <w:trPr>
          <w:trHeight w:val="20"/>
          <w:jc w:val="center"/>
        </w:trPr>
        <w:tc>
          <w:tcPr>
            <w:tcW w:w="3821" w:type="dxa"/>
            <w:noWrap/>
            <w:vAlign w:val="center"/>
          </w:tcPr>
          <w:p w14:paraId="11EF9EC8" w14:textId="77777777" w:rsidR="00F1215C" w:rsidRPr="001050CA" w:rsidRDefault="00F1215C" w:rsidP="00CA0F29">
            <w:pPr>
              <w:spacing w:before="60"/>
              <w:ind w:firstLine="0"/>
              <w:jc w:val="left"/>
              <w:rPr>
                <w:rFonts w:eastAsia="Times New Roman" w:cs="Times New Roman"/>
                <w:noProof/>
                <w:color w:val="000000" w:themeColor="text1"/>
                <w:sz w:val="19"/>
                <w:szCs w:val="19"/>
                <w:lang w:eastAsia="lv-LV"/>
              </w:rPr>
            </w:pPr>
            <w:r w:rsidRPr="001050CA">
              <w:rPr>
                <w:rFonts w:eastAsia="Times New Roman" w:cs="Times New Roman"/>
                <w:noProof/>
                <w:color w:val="000000" w:themeColor="text1"/>
                <w:sz w:val="19"/>
                <w:szCs w:val="19"/>
                <w:lang w:eastAsia="lv-LV"/>
              </w:rPr>
              <w:t>DRM, milj.</w:t>
            </w:r>
            <w:r w:rsidRPr="001050CA">
              <w:rPr>
                <w:rFonts w:eastAsia="Times New Roman" w:cs="Times New Roman"/>
                <w:i/>
                <w:iCs/>
                <w:noProof/>
                <w:color w:val="000000" w:themeColor="text1"/>
                <w:sz w:val="19"/>
                <w:szCs w:val="19"/>
                <w:lang w:eastAsia="lv-LV"/>
              </w:rPr>
              <w:t xml:space="preserve"> euro</w:t>
            </w:r>
          </w:p>
        </w:tc>
        <w:tc>
          <w:tcPr>
            <w:tcW w:w="1388" w:type="dxa"/>
            <w:vAlign w:val="center"/>
          </w:tcPr>
          <w:p w14:paraId="30AB2BC2"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(10)</w:t>
            </w:r>
          </w:p>
        </w:tc>
        <w:tc>
          <w:tcPr>
            <w:tcW w:w="753" w:type="dxa"/>
            <w:vAlign w:val="center"/>
          </w:tcPr>
          <w:p w14:paraId="31BA87CC"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-72</w:t>
            </w:r>
          </w:p>
        </w:tc>
        <w:tc>
          <w:tcPr>
            <w:tcW w:w="753" w:type="dxa"/>
            <w:vAlign w:val="center"/>
          </w:tcPr>
          <w:p w14:paraId="5BF85A2D"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226</w:t>
            </w:r>
          </w:p>
        </w:tc>
        <w:tc>
          <w:tcPr>
            <w:tcW w:w="753" w:type="dxa"/>
            <w:vAlign w:val="center"/>
          </w:tcPr>
          <w:p w14:paraId="61A84B9C"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72</w:t>
            </w:r>
          </w:p>
        </w:tc>
        <w:tc>
          <w:tcPr>
            <w:tcW w:w="753" w:type="dxa"/>
            <w:noWrap/>
            <w:vAlign w:val="center"/>
          </w:tcPr>
          <w:p w14:paraId="106982A8"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-79</w:t>
            </w:r>
          </w:p>
        </w:tc>
        <w:tc>
          <w:tcPr>
            <w:tcW w:w="753" w:type="dxa"/>
            <w:noWrap/>
            <w:vAlign w:val="center"/>
          </w:tcPr>
          <w:p w14:paraId="3AC6187C"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-43</w:t>
            </w:r>
          </w:p>
        </w:tc>
        <w:tc>
          <w:tcPr>
            <w:tcW w:w="753" w:type="dxa"/>
            <w:vAlign w:val="center"/>
          </w:tcPr>
          <w:p w14:paraId="5CA62264"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-95</w:t>
            </w:r>
          </w:p>
        </w:tc>
        <w:tc>
          <w:tcPr>
            <w:tcW w:w="753" w:type="dxa"/>
            <w:noWrap/>
            <w:vAlign w:val="center"/>
          </w:tcPr>
          <w:p w14:paraId="6C822BE5"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-182</w:t>
            </w:r>
          </w:p>
        </w:tc>
      </w:tr>
      <w:tr w:rsidR="00F1215C" w:rsidRPr="001050CA" w14:paraId="437C4D6B" w14:textId="77777777" w:rsidTr="00352EDD">
        <w:trPr>
          <w:trHeight w:val="20"/>
          <w:jc w:val="center"/>
        </w:trPr>
        <w:tc>
          <w:tcPr>
            <w:tcW w:w="3821" w:type="dxa"/>
            <w:shd w:val="clear" w:color="auto" w:fill="EBE2D1"/>
            <w:noWrap/>
            <w:vAlign w:val="center"/>
          </w:tcPr>
          <w:p w14:paraId="5F0389F1" w14:textId="21C4DF6F" w:rsidR="00F1215C" w:rsidRPr="001050CA" w:rsidRDefault="00352EDD" w:rsidP="00CA0F29">
            <w:pPr>
              <w:spacing w:before="60"/>
              <w:ind w:firstLine="0"/>
              <w:jc w:val="left"/>
              <w:rPr>
                <w:rFonts w:eastAsia="Times New Roman" w:cs="Times New Roman"/>
                <w:b/>
                <w:bCs/>
                <w:noProof/>
                <w:color w:val="000000" w:themeColor="text1"/>
                <w:sz w:val="19"/>
                <w:szCs w:val="19"/>
                <w:lang w:eastAsia="lv-LV"/>
              </w:rPr>
            </w:pPr>
            <w:r w:rsidRPr="001050CA">
              <w:rPr>
                <w:rFonts w:eastAsia="Times New Roman" w:cs="Times New Roman"/>
                <w:b/>
                <w:bCs/>
                <w:noProof/>
                <w:color w:val="000000" w:themeColor="text1"/>
                <w:sz w:val="19"/>
                <w:szCs w:val="19"/>
                <w:lang w:eastAsia="lv-LV"/>
              </w:rPr>
              <w:t>I</w:t>
            </w:r>
            <w:r w:rsidR="00F1215C" w:rsidRPr="001050CA">
              <w:rPr>
                <w:rFonts w:eastAsia="Times New Roman" w:cs="Times New Roman"/>
                <w:b/>
                <w:bCs/>
                <w:noProof/>
                <w:color w:val="000000" w:themeColor="text1"/>
                <w:sz w:val="19"/>
                <w:szCs w:val="19"/>
                <w:lang w:eastAsia="lv-LV"/>
              </w:rPr>
              <w:t>kgadējā NNFPI pieauguma likme pie nemainīgas politikas, %</w:t>
            </w:r>
          </w:p>
        </w:tc>
        <w:tc>
          <w:tcPr>
            <w:tcW w:w="1388" w:type="dxa"/>
            <w:shd w:val="clear" w:color="auto" w:fill="EBE2D1"/>
            <w:vAlign w:val="center"/>
          </w:tcPr>
          <w:p w14:paraId="25CFC8C1" w14:textId="77777777" w:rsidR="00F1215C" w:rsidRPr="001050CA" w:rsidRDefault="00F1215C" w:rsidP="00CA0F29">
            <w:pPr>
              <w:spacing w:before="60"/>
              <w:ind w:firstLine="0"/>
              <w:jc w:val="center"/>
              <w:rPr>
                <w:rFonts w:cs="Times New Roman"/>
                <w:b/>
                <w:bCs/>
                <w:noProof/>
                <w:color w:val="000000" w:themeColor="text1"/>
                <w:sz w:val="19"/>
                <w:szCs w:val="19"/>
              </w:rPr>
            </w:pPr>
            <w:r w:rsidRPr="001050CA">
              <w:rPr>
                <w:rFonts w:cs="Times New Roman"/>
                <w:b/>
                <w:bCs/>
                <w:noProof/>
                <w:color w:val="000000" w:themeColor="text1"/>
                <w:sz w:val="19"/>
                <w:szCs w:val="19"/>
              </w:rPr>
              <w:t>(11)=((9)-(10))/(9)</w:t>
            </w:r>
          </w:p>
        </w:tc>
        <w:tc>
          <w:tcPr>
            <w:tcW w:w="753" w:type="dxa"/>
            <w:shd w:val="clear" w:color="auto" w:fill="EBE2D1"/>
            <w:vAlign w:val="center"/>
          </w:tcPr>
          <w:p w14:paraId="2F5564AA" w14:textId="77777777" w:rsidR="00F1215C" w:rsidRPr="001050CA" w:rsidRDefault="00F1215C" w:rsidP="00CA0F29">
            <w:pPr>
              <w:spacing w:before="60"/>
              <w:ind w:firstLine="0"/>
              <w:jc w:val="center"/>
              <w:rPr>
                <w:rFonts w:cs="Times New Roman"/>
                <w:b/>
                <w:bCs/>
                <w:noProof/>
                <w:color w:val="000000" w:themeColor="text1"/>
                <w:sz w:val="19"/>
                <w:szCs w:val="19"/>
              </w:rPr>
            </w:pPr>
          </w:p>
        </w:tc>
        <w:tc>
          <w:tcPr>
            <w:tcW w:w="753" w:type="dxa"/>
            <w:shd w:val="clear" w:color="auto" w:fill="EBE2D1"/>
            <w:vAlign w:val="center"/>
          </w:tcPr>
          <w:p w14:paraId="7A038B58" w14:textId="77777777" w:rsidR="00F1215C" w:rsidRPr="001050CA" w:rsidRDefault="00F1215C" w:rsidP="00CA0F29">
            <w:pPr>
              <w:spacing w:before="60"/>
              <w:ind w:firstLine="0"/>
              <w:jc w:val="center"/>
              <w:rPr>
                <w:rFonts w:cs="Times New Roman"/>
                <w:b/>
                <w:bCs/>
                <w:noProof/>
                <w:color w:val="000000" w:themeColor="text1"/>
                <w:sz w:val="19"/>
                <w:szCs w:val="19"/>
              </w:rPr>
            </w:pPr>
            <w:r w:rsidRPr="001050CA">
              <w:rPr>
                <w:rFonts w:cs="Times New Roman"/>
                <w:b/>
                <w:bCs/>
                <w:noProof/>
                <w:color w:val="000000" w:themeColor="text1"/>
                <w:sz w:val="19"/>
                <w:szCs w:val="19"/>
              </w:rPr>
              <w:t>4,699</w:t>
            </w:r>
          </w:p>
        </w:tc>
        <w:tc>
          <w:tcPr>
            <w:tcW w:w="753" w:type="dxa"/>
            <w:shd w:val="clear" w:color="auto" w:fill="EBE2D1"/>
            <w:vAlign w:val="center"/>
          </w:tcPr>
          <w:p w14:paraId="7505BB02" w14:textId="77777777" w:rsidR="00F1215C" w:rsidRPr="001050CA" w:rsidRDefault="00F1215C" w:rsidP="00CA0F29">
            <w:pPr>
              <w:spacing w:before="60"/>
              <w:ind w:firstLine="0"/>
              <w:jc w:val="center"/>
              <w:rPr>
                <w:rFonts w:cs="Times New Roman"/>
                <w:b/>
                <w:bCs/>
                <w:noProof/>
                <w:color w:val="000000" w:themeColor="text1"/>
                <w:sz w:val="19"/>
                <w:szCs w:val="19"/>
              </w:rPr>
            </w:pPr>
            <w:r w:rsidRPr="001050CA">
              <w:rPr>
                <w:rFonts w:cs="Times New Roman"/>
                <w:b/>
                <w:bCs/>
                <w:noProof/>
                <w:color w:val="000000" w:themeColor="text1"/>
                <w:sz w:val="19"/>
                <w:szCs w:val="19"/>
              </w:rPr>
              <w:t>6,247</w:t>
            </w:r>
          </w:p>
        </w:tc>
        <w:tc>
          <w:tcPr>
            <w:tcW w:w="753" w:type="dxa"/>
            <w:shd w:val="clear" w:color="auto" w:fill="EBE2D1"/>
            <w:noWrap/>
            <w:vAlign w:val="center"/>
          </w:tcPr>
          <w:p w14:paraId="77E4284B" w14:textId="77777777" w:rsidR="00F1215C" w:rsidRPr="001050CA" w:rsidRDefault="00F1215C" w:rsidP="00CA0F29">
            <w:pPr>
              <w:spacing w:before="60"/>
              <w:ind w:firstLine="0"/>
              <w:jc w:val="center"/>
              <w:rPr>
                <w:rFonts w:cs="Times New Roman"/>
                <w:b/>
                <w:bCs/>
                <w:noProof/>
                <w:color w:val="000000" w:themeColor="text1"/>
                <w:sz w:val="19"/>
                <w:szCs w:val="19"/>
              </w:rPr>
            </w:pPr>
            <w:r w:rsidRPr="001050CA">
              <w:rPr>
                <w:rFonts w:cs="Times New Roman"/>
                <w:b/>
                <w:bCs/>
                <w:noProof/>
                <w:color w:val="000000" w:themeColor="text1"/>
                <w:sz w:val="19"/>
                <w:szCs w:val="19"/>
              </w:rPr>
              <w:t>3,959</w:t>
            </w:r>
          </w:p>
        </w:tc>
        <w:tc>
          <w:tcPr>
            <w:tcW w:w="753" w:type="dxa"/>
            <w:shd w:val="clear" w:color="auto" w:fill="EBE2D1"/>
            <w:noWrap/>
            <w:vAlign w:val="center"/>
          </w:tcPr>
          <w:p w14:paraId="06EACD18" w14:textId="77777777" w:rsidR="00F1215C" w:rsidRPr="001050CA" w:rsidRDefault="00F1215C" w:rsidP="00CA0F29">
            <w:pPr>
              <w:spacing w:before="60"/>
              <w:ind w:firstLine="0"/>
              <w:jc w:val="center"/>
              <w:rPr>
                <w:rFonts w:cs="Times New Roman"/>
                <w:b/>
                <w:bCs/>
                <w:noProof/>
                <w:color w:val="000000" w:themeColor="text1"/>
                <w:sz w:val="19"/>
                <w:szCs w:val="19"/>
              </w:rPr>
            </w:pPr>
            <w:r w:rsidRPr="001050CA">
              <w:rPr>
                <w:rFonts w:cs="Times New Roman"/>
                <w:b/>
                <w:bCs/>
                <w:noProof/>
                <w:color w:val="000000" w:themeColor="text1"/>
                <w:sz w:val="19"/>
                <w:szCs w:val="19"/>
              </w:rPr>
              <w:t>5,940</w:t>
            </w:r>
          </w:p>
        </w:tc>
        <w:tc>
          <w:tcPr>
            <w:tcW w:w="753" w:type="dxa"/>
            <w:shd w:val="clear" w:color="auto" w:fill="EBE2D1"/>
            <w:vAlign w:val="center"/>
          </w:tcPr>
          <w:p w14:paraId="78CAD154" w14:textId="77777777" w:rsidR="00F1215C" w:rsidRPr="001050CA" w:rsidRDefault="00F1215C" w:rsidP="00CA0F29">
            <w:pPr>
              <w:spacing w:before="60"/>
              <w:ind w:firstLine="0"/>
              <w:jc w:val="center"/>
              <w:rPr>
                <w:rFonts w:cs="Times New Roman"/>
                <w:b/>
                <w:bCs/>
                <w:noProof/>
                <w:color w:val="000000" w:themeColor="text1"/>
                <w:sz w:val="19"/>
                <w:szCs w:val="19"/>
              </w:rPr>
            </w:pPr>
            <w:r w:rsidRPr="001050CA">
              <w:rPr>
                <w:rFonts w:cs="Times New Roman"/>
                <w:b/>
                <w:bCs/>
                <w:noProof/>
                <w:color w:val="000000" w:themeColor="text1"/>
                <w:sz w:val="19"/>
                <w:szCs w:val="19"/>
              </w:rPr>
              <w:t>3,940</w:t>
            </w:r>
          </w:p>
        </w:tc>
        <w:tc>
          <w:tcPr>
            <w:tcW w:w="753" w:type="dxa"/>
            <w:shd w:val="clear" w:color="auto" w:fill="EBE2D1"/>
            <w:noWrap/>
            <w:vAlign w:val="center"/>
          </w:tcPr>
          <w:p w14:paraId="17CD8BE3" w14:textId="77777777" w:rsidR="00F1215C" w:rsidRPr="001050CA" w:rsidRDefault="00F1215C" w:rsidP="00CA0F29">
            <w:pPr>
              <w:spacing w:before="60"/>
              <w:ind w:firstLine="0"/>
              <w:jc w:val="center"/>
              <w:rPr>
                <w:rFonts w:cs="Times New Roman"/>
                <w:b/>
                <w:bCs/>
                <w:noProof/>
                <w:color w:val="000000" w:themeColor="text1"/>
                <w:sz w:val="19"/>
                <w:szCs w:val="19"/>
              </w:rPr>
            </w:pPr>
            <w:r w:rsidRPr="001050CA">
              <w:rPr>
                <w:rFonts w:cs="Times New Roman"/>
                <w:b/>
                <w:bCs/>
                <w:noProof/>
                <w:color w:val="000000" w:themeColor="text1"/>
                <w:sz w:val="19"/>
                <w:szCs w:val="19"/>
              </w:rPr>
              <w:t>3,608</w:t>
            </w:r>
          </w:p>
        </w:tc>
      </w:tr>
      <w:tr w:rsidR="00F1215C" w:rsidRPr="001050CA" w14:paraId="4FBFAD07" w14:textId="77777777" w:rsidTr="00352EDD">
        <w:trPr>
          <w:trHeight w:val="20"/>
          <w:jc w:val="center"/>
        </w:trPr>
        <w:tc>
          <w:tcPr>
            <w:tcW w:w="3821" w:type="dxa"/>
            <w:noWrap/>
            <w:vAlign w:val="center"/>
          </w:tcPr>
          <w:p w14:paraId="12B2E66E" w14:textId="77777777" w:rsidR="00F1215C" w:rsidRPr="001050CA" w:rsidRDefault="00F1215C" w:rsidP="00CA0F29">
            <w:pPr>
              <w:spacing w:before="60"/>
              <w:ind w:firstLine="0"/>
              <w:jc w:val="left"/>
              <w:rPr>
                <w:rFonts w:eastAsia="Times New Roman" w:cs="Times New Roman"/>
                <w:noProof/>
                <w:color w:val="000000" w:themeColor="text1"/>
                <w:sz w:val="19"/>
                <w:szCs w:val="19"/>
                <w:lang w:eastAsia="lv-LV"/>
              </w:rPr>
            </w:pPr>
            <w:r w:rsidRPr="001050CA">
              <w:rPr>
                <w:rFonts w:eastAsia="Times New Roman" w:cs="Times New Roman"/>
                <w:noProof/>
                <w:color w:val="000000" w:themeColor="text1"/>
                <w:sz w:val="19"/>
                <w:szCs w:val="19"/>
                <w:lang w:eastAsia="lv-LV"/>
              </w:rPr>
              <w:t xml:space="preserve">NNFPI līmenis atbilstoši ES Padomes apstiprinātajam NNFPI kumulatīvajam pieaugumam, milj. </w:t>
            </w:r>
            <w:r w:rsidRPr="001050CA">
              <w:rPr>
                <w:rFonts w:eastAsia="Times New Roman" w:cs="Times New Roman"/>
                <w:i/>
                <w:iCs/>
                <w:noProof/>
                <w:color w:val="000000" w:themeColor="text1"/>
                <w:sz w:val="19"/>
                <w:szCs w:val="19"/>
                <w:lang w:eastAsia="lv-LV"/>
              </w:rPr>
              <w:t>euro</w:t>
            </w:r>
          </w:p>
        </w:tc>
        <w:tc>
          <w:tcPr>
            <w:tcW w:w="1388" w:type="dxa"/>
            <w:vAlign w:val="center"/>
          </w:tcPr>
          <w:p w14:paraId="743EB44B"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(12)</w:t>
            </w:r>
          </w:p>
        </w:tc>
        <w:tc>
          <w:tcPr>
            <w:tcW w:w="753" w:type="dxa"/>
            <w:vAlign w:val="center"/>
          </w:tcPr>
          <w:p w14:paraId="24979324" w14:textId="77777777" w:rsidR="00F1215C" w:rsidRPr="001050CA" w:rsidRDefault="00F1215C" w:rsidP="00CA0F29">
            <w:pPr>
              <w:spacing w:before="60"/>
              <w:ind w:firstLine="0"/>
              <w:jc w:val="center"/>
              <w:rPr>
                <w:rFonts w:cs="Times New Roman"/>
                <w:noProof/>
                <w:color w:val="000000" w:themeColor="text1"/>
                <w:sz w:val="19"/>
                <w:szCs w:val="19"/>
              </w:rPr>
            </w:pPr>
          </w:p>
        </w:tc>
        <w:tc>
          <w:tcPr>
            <w:tcW w:w="753" w:type="dxa"/>
            <w:vAlign w:val="center"/>
          </w:tcPr>
          <w:p w14:paraId="65F48326"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17 469</w:t>
            </w:r>
          </w:p>
        </w:tc>
        <w:tc>
          <w:tcPr>
            <w:tcW w:w="753" w:type="dxa"/>
            <w:vAlign w:val="center"/>
          </w:tcPr>
          <w:p w14:paraId="7058360C"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18 740</w:t>
            </w:r>
          </w:p>
        </w:tc>
        <w:tc>
          <w:tcPr>
            <w:tcW w:w="753" w:type="dxa"/>
            <w:noWrap/>
            <w:vAlign w:val="center"/>
          </w:tcPr>
          <w:p w14:paraId="031E641F"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19 497</w:t>
            </w:r>
          </w:p>
        </w:tc>
        <w:tc>
          <w:tcPr>
            <w:tcW w:w="753" w:type="dxa"/>
            <w:noWrap/>
            <w:vAlign w:val="center"/>
          </w:tcPr>
          <w:p w14:paraId="3FF3B32E"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20 071</w:t>
            </w:r>
          </w:p>
        </w:tc>
        <w:tc>
          <w:tcPr>
            <w:tcW w:w="753" w:type="dxa"/>
            <w:vAlign w:val="center"/>
          </w:tcPr>
          <w:p w14:paraId="032DD537"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20 694</w:t>
            </w:r>
          </w:p>
        </w:tc>
        <w:tc>
          <w:tcPr>
            <w:tcW w:w="753" w:type="dxa"/>
            <w:noWrap/>
            <w:vAlign w:val="center"/>
          </w:tcPr>
          <w:p w14:paraId="10595FDF"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21 326</w:t>
            </w:r>
          </w:p>
        </w:tc>
      </w:tr>
      <w:tr w:rsidR="00F1215C" w:rsidRPr="001050CA" w14:paraId="55251693" w14:textId="77777777" w:rsidTr="00352EDD">
        <w:trPr>
          <w:trHeight w:val="20"/>
          <w:jc w:val="center"/>
        </w:trPr>
        <w:tc>
          <w:tcPr>
            <w:tcW w:w="3821" w:type="dxa"/>
            <w:noWrap/>
            <w:vAlign w:val="center"/>
          </w:tcPr>
          <w:p w14:paraId="075DCD2C" w14:textId="77777777" w:rsidR="00F1215C" w:rsidRPr="001050CA" w:rsidRDefault="00F1215C" w:rsidP="00CA0F29">
            <w:pPr>
              <w:spacing w:before="60"/>
              <w:ind w:firstLine="0"/>
              <w:jc w:val="left"/>
              <w:rPr>
                <w:rFonts w:eastAsia="Times New Roman" w:cs="Times New Roman"/>
                <w:noProof/>
                <w:color w:val="000000" w:themeColor="text1"/>
                <w:sz w:val="19"/>
                <w:szCs w:val="19"/>
                <w:lang w:eastAsia="lv-LV"/>
              </w:rPr>
            </w:pPr>
            <w:r w:rsidRPr="001050CA">
              <w:rPr>
                <w:rFonts w:eastAsia="Times New Roman" w:cs="Times New Roman"/>
                <w:noProof/>
                <w:color w:val="000000" w:themeColor="text1"/>
                <w:sz w:val="19"/>
                <w:szCs w:val="19"/>
                <w:lang w:eastAsia="lv-LV"/>
              </w:rPr>
              <w:t xml:space="preserve">NNFPI līmenis atbilstoši ES Padomes apstiprinātajam NNFPI pieaugumam pieskaitot   DRM, milj. </w:t>
            </w:r>
            <w:r w:rsidRPr="001050CA">
              <w:rPr>
                <w:rFonts w:eastAsia="Times New Roman" w:cs="Times New Roman"/>
                <w:i/>
                <w:iCs/>
                <w:noProof/>
                <w:color w:val="000000" w:themeColor="text1"/>
                <w:sz w:val="19"/>
                <w:szCs w:val="19"/>
                <w:lang w:eastAsia="lv-LV"/>
              </w:rPr>
              <w:t>euro</w:t>
            </w:r>
          </w:p>
        </w:tc>
        <w:tc>
          <w:tcPr>
            <w:tcW w:w="1388" w:type="dxa"/>
            <w:vAlign w:val="center"/>
          </w:tcPr>
          <w:p w14:paraId="3494CC7A"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(13)=(12)+(10)</w:t>
            </w:r>
          </w:p>
        </w:tc>
        <w:tc>
          <w:tcPr>
            <w:tcW w:w="753" w:type="dxa"/>
            <w:vAlign w:val="center"/>
          </w:tcPr>
          <w:p w14:paraId="4B7546B3" w14:textId="77777777" w:rsidR="00F1215C" w:rsidRPr="001050CA" w:rsidRDefault="00F1215C" w:rsidP="00CA0F29">
            <w:pPr>
              <w:spacing w:before="60"/>
              <w:ind w:firstLine="0"/>
              <w:jc w:val="center"/>
              <w:rPr>
                <w:rFonts w:cs="Times New Roman"/>
                <w:noProof/>
                <w:color w:val="000000" w:themeColor="text1"/>
                <w:sz w:val="19"/>
                <w:szCs w:val="19"/>
              </w:rPr>
            </w:pPr>
          </w:p>
        </w:tc>
        <w:tc>
          <w:tcPr>
            <w:tcW w:w="753" w:type="dxa"/>
            <w:vAlign w:val="center"/>
          </w:tcPr>
          <w:p w14:paraId="6D262DD2" w14:textId="77777777" w:rsidR="00F1215C" w:rsidRPr="001050CA" w:rsidRDefault="00F1215C" w:rsidP="00CA0F29">
            <w:pPr>
              <w:spacing w:before="60"/>
              <w:ind w:firstLine="0"/>
              <w:jc w:val="center"/>
              <w:rPr>
                <w:rFonts w:cs="Times New Roman"/>
                <w:noProof/>
                <w:color w:val="000000" w:themeColor="text1"/>
                <w:sz w:val="19"/>
                <w:szCs w:val="19"/>
              </w:rPr>
            </w:pPr>
          </w:p>
        </w:tc>
        <w:tc>
          <w:tcPr>
            <w:tcW w:w="753" w:type="dxa"/>
            <w:vAlign w:val="center"/>
          </w:tcPr>
          <w:p w14:paraId="6CB8C799"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18 811</w:t>
            </w:r>
          </w:p>
        </w:tc>
        <w:tc>
          <w:tcPr>
            <w:tcW w:w="753" w:type="dxa"/>
            <w:noWrap/>
            <w:vAlign w:val="center"/>
          </w:tcPr>
          <w:p w14:paraId="07CE3198"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19 418</w:t>
            </w:r>
          </w:p>
        </w:tc>
        <w:tc>
          <w:tcPr>
            <w:tcW w:w="753" w:type="dxa"/>
            <w:noWrap/>
            <w:vAlign w:val="center"/>
          </w:tcPr>
          <w:p w14:paraId="0C51552F"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20 027</w:t>
            </w:r>
          </w:p>
        </w:tc>
        <w:tc>
          <w:tcPr>
            <w:tcW w:w="753" w:type="dxa"/>
            <w:vAlign w:val="center"/>
          </w:tcPr>
          <w:p w14:paraId="273DB20F"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20 598</w:t>
            </w:r>
          </w:p>
        </w:tc>
        <w:tc>
          <w:tcPr>
            <w:tcW w:w="753" w:type="dxa"/>
            <w:noWrap/>
            <w:vAlign w:val="center"/>
          </w:tcPr>
          <w:p w14:paraId="04E4B5F4"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21 144</w:t>
            </w:r>
          </w:p>
        </w:tc>
      </w:tr>
      <w:tr w:rsidR="00F1215C" w:rsidRPr="001050CA" w14:paraId="1639E093" w14:textId="77777777" w:rsidTr="00352EDD">
        <w:trPr>
          <w:trHeight w:val="20"/>
          <w:jc w:val="center"/>
        </w:trPr>
        <w:tc>
          <w:tcPr>
            <w:tcW w:w="3821" w:type="dxa"/>
            <w:noWrap/>
            <w:vAlign w:val="center"/>
          </w:tcPr>
          <w:p w14:paraId="0ADFE371" w14:textId="642CA29D" w:rsidR="00F1215C" w:rsidRPr="001050CA" w:rsidRDefault="001050CA" w:rsidP="00CA0F29">
            <w:pPr>
              <w:spacing w:before="60"/>
              <w:ind w:firstLine="0"/>
              <w:jc w:val="left"/>
              <w:rPr>
                <w:rFonts w:eastAsia="Times New Roman" w:cs="Times New Roman"/>
                <w:noProof/>
                <w:color w:val="000000" w:themeColor="text1"/>
                <w:sz w:val="19"/>
                <w:szCs w:val="19"/>
                <w:lang w:eastAsia="lv-LV"/>
              </w:rPr>
            </w:pPr>
            <w:r>
              <w:rPr>
                <w:rFonts w:eastAsia="Times New Roman" w:cs="Times New Roman"/>
                <w:noProof/>
                <w:color w:val="000000" w:themeColor="text1"/>
                <w:sz w:val="19"/>
                <w:szCs w:val="19"/>
                <w:lang w:eastAsia="lv-LV"/>
              </w:rPr>
              <w:t>P</w:t>
            </w:r>
            <w:r w:rsidR="00F1215C" w:rsidRPr="001050CA">
              <w:rPr>
                <w:rFonts w:eastAsia="Times New Roman" w:cs="Times New Roman"/>
                <w:noProof/>
                <w:color w:val="000000" w:themeColor="text1"/>
                <w:sz w:val="19"/>
                <w:szCs w:val="19"/>
                <w:lang w:eastAsia="lv-LV"/>
              </w:rPr>
              <w:t xml:space="preserve">ieļaujamie vispārējās valdības izdevumi, milj. </w:t>
            </w:r>
            <w:r w:rsidR="00F1215C" w:rsidRPr="001050CA">
              <w:rPr>
                <w:rFonts w:eastAsia="Times New Roman" w:cs="Times New Roman"/>
                <w:i/>
                <w:iCs/>
                <w:noProof/>
                <w:color w:val="000000" w:themeColor="text1"/>
                <w:sz w:val="19"/>
                <w:szCs w:val="19"/>
                <w:lang w:eastAsia="lv-LV"/>
              </w:rPr>
              <w:t>euro</w:t>
            </w:r>
          </w:p>
        </w:tc>
        <w:tc>
          <w:tcPr>
            <w:tcW w:w="1388" w:type="dxa"/>
            <w:vAlign w:val="center"/>
          </w:tcPr>
          <w:p w14:paraId="4A2517F4"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(14)=(13)+(5)+(6)+(7)+(8)</w:t>
            </w:r>
          </w:p>
        </w:tc>
        <w:tc>
          <w:tcPr>
            <w:tcW w:w="753" w:type="dxa"/>
            <w:vAlign w:val="center"/>
          </w:tcPr>
          <w:p w14:paraId="0C14C46F" w14:textId="77777777" w:rsidR="00F1215C" w:rsidRPr="001050CA" w:rsidRDefault="00F1215C" w:rsidP="00CA0F29">
            <w:pPr>
              <w:spacing w:before="60"/>
              <w:ind w:firstLine="0"/>
              <w:jc w:val="center"/>
              <w:rPr>
                <w:rFonts w:cs="Times New Roman"/>
                <w:noProof/>
                <w:color w:val="000000" w:themeColor="text1"/>
                <w:sz w:val="19"/>
                <w:szCs w:val="19"/>
              </w:rPr>
            </w:pPr>
          </w:p>
        </w:tc>
        <w:tc>
          <w:tcPr>
            <w:tcW w:w="753" w:type="dxa"/>
            <w:vAlign w:val="center"/>
          </w:tcPr>
          <w:p w14:paraId="13C0932B" w14:textId="77777777" w:rsidR="00F1215C" w:rsidRPr="001050CA" w:rsidRDefault="00F1215C" w:rsidP="00CA0F29">
            <w:pPr>
              <w:spacing w:before="60"/>
              <w:ind w:firstLine="0"/>
              <w:jc w:val="center"/>
              <w:rPr>
                <w:rFonts w:cs="Times New Roman"/>
                <w:noProof/>
                <w:color w:val="000000" w:themeColor="text1"/>
                <w:sz w:val="19"/>
                <w:szCs w:val="19"/>
              </w:rPr>
            </w:pPr>
          </w:p>
        </w:tc>
        <w:tc>
          <w:tcPr>
            <w:tcW w:w="753" w:type="dxa"/>
            <w:vAlign w:val="center"/>
          </w:tcPr>
          <w:p w14:paraId="5DDA9EFA" w14:textId="77777777" w:rsidR="00F1215C" w:rsidRPr="001050CA" w:rsidRDefault="00F1215C" w:rsidP="00CA0F29">
            <w:pPr>
              <w:spacing w:before="60"/>
              <w:ind w:firstLine="0"/>
              <w:jc w:val="center"/>
              <w:rPr>
                <w:rFonts w:cs="Times New Roman"/>
                <w:noProof/>
                <w:color w:val="000000" w:themeColor="text1"/>
                <w:sz w:val="19"/>
                <w:szCs w:val="19"/>
              </w:rPr>
            </w:pPr>
          </w:p>
        </w:tc>
        <w:tc>
          <w:tcPr>
            <w:tcW w:w="753" w:type="dxa"/>
            <w:noWrap/>
            <w:vAlign w:val="center"/>
          </w:tcPr>
          <w:p w14:paraId="2711CC2A"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21 116</w:t>
            </w:r>
          </w:p>
        </w:tc>
        <w:tc>
          <w:tcPr>
            <w:tcW w:w="753" w:type="dxa"/>
            <w:noWrap/>
            <w:vAlign w:val="center"/>
          </w:tcPr>
          <w:p w14:paraId="70D23DF2"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21 569</w:t>
            </w:r>
          </w:p>
        </w:tc>
        <w:tc>
          <w:tcPr>
            <w:tcW w:w="753" w:type="dxa"/>
            <w:vAlign w:val="center"/>
          </w:tcPr>
          <w:p w14:paraId="4C9F732F"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21 942</w:t>
            </w:r>
          </w:p>
        </w:tc>
        <w:tc>
          <w:tcPr>
            <w:tcW w:w="753" w:type="dxa"/>
            <w:noWrap/>
            <w:vAlign w:val="center"/>
          </w:tcPr>
          <w:p w14:paraId="1C12BF19"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22 482</w:t>
            </w:r>
          </w:p>
        </w:tc>
      </w:tr>
      <w:tr w:rsidR="00F1215C" w:rsidRPr="001050CA" w14:paraId="66D7CBBF" w14:textId="77777777" w:rsidTr="00352EDD">
        <w:trPr>
          <w:trHeight w:val="20"/>
          <w:jc w:val="center"/>
        </w:trPr>
        <w:tc>
          <w:tcPr>
            <w:tcW w:w="3821" w:type="dxa"/>
            <w:noWrap/>
            <w:vAlign w:val="center"/>
          </w:tcPr>
          <w:p w14:paraId="45692D9C" w14:textId="58BA38FB" w:rsidR="00F1215C" w:rsidRPr="001050CA" w:rsidRDefault="001050CA" w:rsidP="00CA0F29">
            <w:pPr>
              <w:spacing w:before="60"/>
              <w:ind w:firstLine="0"/>
              <w:jc w:val="left"/>
              <w:rPr>
                <w:rFonts w:eastAsia="Times New Roman" w:cs="Times New Roman"/>
                <w:noProof/>
                <w:color w:val="000000" w:themeColor="text1"/>
                <w:sz w:val="19"/>
                <w:szCs w:val="19"/>
                <w:lang w:eastAsia="lv-LV"/>
              </w:rPr>
            </w:pPr>
            <w:r>
              <w:rPr>
                <w:rFonts w:eastAsia="Times New Roman" w:cs="Times New Roman"/>
                <w:noProof/>
                <w:color w:val="000000" w:themeColor="text1"/>
                <w:sz w:val="19"/>
                <w:szCs w:val="19"/>
                <w:lang w:eastAsia="lv-LV"/>
              </w:rPr>
              <w:t>P</w:t>
            </w:r>
            <w:r w:rsidR="00F1215C" w:rsidRPr="001050CA">
              <w:rPr>
                <w:rFonts w:eastAsia="Times New Roman" w:cs="Times New Roman"/>
                <w:noProof/>
                <w:color w:val="000000" w:themeColor="text1"/>
                <w:sz w:val="19"/>
                <w:szCs w:val="19"/>
                <w:lang w:eastAsia="lv-LV"/>
              </w:rPr>
              <w:t xml:space="preserve">ieļaujamā vispārējās valdības bilance, milj. </w:t>
            </w:r>
            <w:r w:rsidR="00F1215C" w:rsidRPr="001050CA">
              <w:rPr>
                <w:rFonts w:eastAsia="Times New Roman" w:cs="Times New Roman"/>
                <w:i/>
                <w:iCs/>
                <w:noProof/>
                <w:color w:val="000000" w:themeColor="text1"/>
                <w:sz w:val="19"/>
                <w:szCs w:val="19"/>
                <w:lang w:eastAsia="lv-LV"/>
              </w:rPr>
              <w:t>euro</w:t>
            </w:r>
          </w:p>
        </w:tc>
        <w:tc>
          <w:tcPr>
            <w:tcW w:w="1388" w:type="dxa"/>
            <w:vAlign w:val="center"/>
          </w:tcPr>
          <w:p w14:paraId="6F079B13"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(15)=(2)-(14)</w:t>
            </w:r>
          </w:p>
        </w:tc>
        <w:tc>
          <w:tcPr>
            <w:tcW w:w="753" w:type="dxa"/>
            <w:vAlign w:val="center"/>
          </w:tcPr>
          <w:p w14:paraId="11D52D34" w14:textId="77777777" w:rsidR="00F1215C" w:rsidRPr="001050CA" w:rsidRDefault="00F1215C" w:rsidP="00CA0F29">
            <w:pPr>
              <w:spacing w:before="60"/>
              <w:ind w:firstLine="0"/>
              <w:jc w:val="center"/>
              <w:rPr>
                <w:rFonts w:cs="Times New Roman"/>
                <w:noProof/>
                <w:color w:val="000000" w:themeColor="text1"/>
                <w:sz w:val="19"/>
                <w:szCs w:val="19"/>
              </w:rPr>
            </w:pPr>
          </w:p>
        </w:tc>
        <w:tc>
          <w:tcPr>
            <w:tcW w:w="753" w:type="dxa"/>
            <w:vAlign w:val="center"/>
          </w:tcPr>
          <w:p w14:paraId="3A33DCC3" w14:textId="77777777" w:rsidR="00F1215C" w:rsidRPr="001050CA" w:rsidRDefault="00F1215C" w:rsidP="00CA0F29">
            <w:pPr>
              <w:spacing w:before="60"/>
              <w:ind w:firstLine="0"/>
              <w:jc w:val="center"/>
              <w:rPr>
                <w:rFonts w:cs="Times New Roman"/>
                <w:noProof/>
                <w:color w:val="000000" w:themeColor="text1"/>
                <w:sz w:val="19"/>
                <w:szCs w:val="19"/>
              </w:rPr>
            </w:pPr>
          </w:p>
        </w:tc>
        <w:tc>
          <w:tcPr>
            <w:tcW w:w="753" w:type="dxa"/>
            <w:vAlign w:val="center"/>
          </w:tcPr>
          <w:p w14:paraId="72A8F982" w14:textId="77777777" w:rsidR="00F1215C" w:rsidRPr="001050CA" w:rsidRDefault="00F1215C" w:rsidP="00CA0F29">
            <w:pPr>
              <w:spacing w:before="60"/>
              <w:ind w:firstLine="0"/>
              <w:jc w:val="center"/>
              <w:rPr>
                <w:rFonts w:cs="Times New Roman"/>
                <w:noProof/>
                <w:color w:val="000000" w:themeColor="text1"/>
                <w:sz w:val="19"/>
                <w:szCs w:val="19"/>
              </w:rPr>
            </w:pPr>
          </w:p>
        </w:tc>
        <w:tc>
          <w:tcPr>
            <w:tcW w:w="753" w:type="dxa"/>
            <w:noWrap/>
            <w:vAlign w:val="center"/>
          </w:tcPr>
          <w:p w14:paraId="5778D3CE"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-1 981</w:t>
            </w:r>
          </w:p>
        </w:tc>
        <w:tc>
          <w:tcPr>
            <w:tcW w:w="753" w:type="dxa"/>
            <w:noWrap/>
            <w:vAlign w:val="center"/>
          </w:tcPr>
          <w:p w14:paraId="51626F1C"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-2 058</w:t>
            </w:r>
          </w:p>
        </w:tc>
        <w:tc>
          <w:tcPr>
            <w:tcW w:w="753" w:type="dxa"/>
            <w:vAlign w:val="center"/>
          </w:tcPr>
          <w:p w14:paraId="484D66E1"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-1 879</w:t>
            </w:r>
          </w:p>
        </w:tc>
        <w:tc>
          <w:tcPr>
            <w:tcW w:w="753" w:type="dxa"/>
            <w:noWrap/>
            <w:vAlign w:val="center"/>
          </w:tcPr>
          <w:p w14:paraId="5C709A2E"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-2 018</w:t>
            </w:r>
          </w:p>
        </w:tc>
      </w:tr>
      <w:tr w:rsidR="00F1215C" w:rsidRPr="001050CA" w14:paraId="7C37C0E5" w14:textId="77777777" w:rsidTr="00352EDD">
        <w:trPr>
          <w:trHeight w:val="20"/>
          <w:jc w:val="center"/>
        </w:trPr>
        <w:tc>
          <w:tcPr>
            <w:tcW w:w="3821" w:type="dxa"/>
            <w:noWrap/>
            <w:vAlign w:val="center"/>
          </w:tcPr>
          <w:p w14:paraId="7FB053F2" w14:textId="6B805DF9" w:rsidR="00F1215C" w:rsidRPr="001050CA" w:rsidRDefault="001050CA" w:rsidP="00CA0F29">
            <w:pPr>
              <w:spacing w:before="60"/>
              <w:ind w:firstLine="0"/>
              <w:jc w:val="left"/>
              <w:rPr>
                <w:rFonts w:eastAsia="Times New Roman" w:cs="Times New Roman"/>
                <w:noProof/>
                <w:color w:val="000000" w:themeColor="text1"/>
                <w:sz w:val="19"/>
                <w:szCs w:val="19"/>
                <w:lang w:eastAsia="lv-LV"/>
              </w:rPr>
            </w:pPr>
            <w:r>
              <w:rPr>
                <w:rFonts w:eastAsia="Times New Roman" w:cs="Times New Roman"/>
                <w:noProof/>
                <w:color w:val="000000" w:themeColor="text1"/>
                <w:sz w:val="19"/>
                <w:szCs w:val="19"/>
                <w:lang w:eastAsia="lv-LV"/>
              </w:rPr>
              <w:t>P</w:t>
            </w:r>
            <w:r w:rsidR="00F1215C" w:rsidRPr="001050CA">
              <w:rPr>
                <w:rFonts w:eastAsia="Times New Roman" w:cs="Times New Roman"/>
                <w:noProof/>
                <w:color w:val="000000" w:themeColor="text1"/>
                <w:sz w:val="19"/>
                <w:szCs w:val="19"/>
                <w:lang w:eastAsia="lv-LV"/>
              </w:rPr>
              <w:t>ieļaujamā vispārējās valdības bilance, % no IKP</w:t>
            </w:r>
          </w:p>
        </w:tc>
        <w:tc>
          <w:tcPr>
            <w:tcW w:w="1388" w:type="dxa"/>
            <w:vAlign w:val="center"/>
          </w:tcPr>
          <w:p w14:paraId="2A916AE5"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(16)</w:t>
            </w:r>
          </w:p>
        </w:tc>
        <w:tc>
          <w:tcPr>
            <w:tcW w:w="753" w:type="dxa"/>
            <w:vAlign w:val="center"/>
          </w:tcPr>
          <w:p w14:paraId="27BE8FF6" w14:textId="77777777" w:rsidR="00F1215C" w:rsidRPr="001050CA" w:rsidRDefault="00F1215C" w:rsidP="00CA0F29">
            <w:pPr>
              <w:spacing w:before="60"/>
              <w:ind w:firstLine="0"/>
              <w:jc w:val="center"/>
              <w:rPr>
                <w:rFonts w:cs="Times New Roman"/>
                <w:noProof/>
                <w:color w:val="000000" w:themeColor="text1"/>
                <w:sz w:val="19"/>
                <w:szCs w:val="19"/>
              </w:rPr>
            </w:pPr>
          </w:p>
        </w:tc>
        <w:tc>
          <w:tcPr>
            <w:tcW w:w="753" w:type="dxa"/>
            <w:vAlign w:val="center"/>
          </w:tcPr>
          <w:p w14:paraId="54A58FC1" w14:textId="77777777" w:rsidR="00F1215C" w:rsidRPr="001050CA" w:rsidRDefault="00F1215C" w:rsidP="00CA0F29">
            <w:pPr>
              <w:spacing w:before="60"/>
              <w:ind w:firstLine="0"/>
              <w:jc w:val="center"/>
              <w:rPr>
                <w:rFonts w:cs="Times New Roman"/>
                <w:noProof/>
                <w:color w:val="000000" w:themeColor="text1"/>
                <w:sz w:val="19"/>
                <w:szCs w:val="19"/>
              </w:rPr>
            </w:pPr>
          </w:p>
        </w:tc>
        <w:tc>
          <w:tcPr>
            <w:tcW w:w="753" w:type="dxa"/>
            <w:vAlign w:val="center"/>
          </w:tcPr>
          <w:p w14:paraId="6E88D293" w14:textId="77777777" w:rsidR="00F1215C" w:rsidRPr="001050CA" w:rsidRDefault="00F1215C" w:rsidP="00CA0F29">
            <w:pPr>
              <w:spacing w:before="60"/>
              <w:ind w:firstLine="0"/>
              <w:jc w:val="center"/>
              <w:rPr>
                <w:rFonts w:cs="Times New Roman"/>
                <w:noProof/>
                <w:color w:val="000000" w:themeColor="text1"/>
                <w:sz w:val="19"/>
                <w:szCs w:val="19"/>
              </w:rPr>
            </w:pPr>
          </w:p>
        </w:tc>
        <w:tc>
          <w:tcPr>
            <w:tcW w:w="753" w:type="dxa"/>
            <w:tcBorders>
              <w:bottom w:val="single" w:sz="4" w:space="0" w:color="auto"/>
            </w:tcBorders>
            <w:noWrap/>
            <w:vAlign w:val="center"/>
          </w:tcPr>
          <w:p w14:paraId="12034E16"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-4,508</w:t>
            </w:r>
          </w:p>
        </w:tc>
        <w:tc>
          <w:tcPr>
            <w:tcW w:w="753" w:type="dxa"/>
            <w:tcBorders>
              <w:bottom w:val="single" w:sz="4" w:space="0" w:color="auto"/>
            </w:tcBorders>
            <w:noWrap/>
            <w:vAlign w:val="center"/>
          </w:tcPr>
          <w:p w14:paraId="23D75F10"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-4,471</w:t>
            </w:r>
          </w:p>
        </w:tc>
        <w:tc>
          <w:tcPr>
            <w:tcW w:w="753" w:type="dxa"/>
            <w:tcBorders>
              <w:bottom w:val="single" w:sz="4" w:space="0" w:color="auto"/>
            </w:tcBorders>
            <w:vAlign w:val="center"/>
          </w:tcPr>
          <w:p w14:paraId="18669DB7"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-3,901</w:t>
            </w:r>
          </w:p>
        </w:tc>
        <w:tc>
          <w:tcPr>
            <w:tcW w:w="753" w:type="dxa"/>
            <w:tcBorders>
              <w:bottom w:val="single" w:sz="4" w:space="0" w:color="auto"/>
            </w:tcBorders>
            <w:noWrap/>
            <w:vAlign w:val="center"/>
          </w:tcPr>
          <w:p w14:paraId="33BD3219"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-4,005</w:t>
            </w:r>
          </w:p>
        </w:tc>
      </w:tr>
      <w:tr w:rsidR="00F1215C" w:rsidRPr="001050CA" w14:paraId="3891F3D7" w14:textId="77777777" w:rsidTr="00352EDD">
        <w:trPr>
          <w:trHeight w:val="20"/>
          <w:jc w:val="center"/>
        </w:trPr>
        <w:tc>
          <w:tcPr>
            <w:tcW w:w="3821" w:type="dxa"/>
            <w:noWrap/>
            <w:vAlign w:val="center"/>
          </w:tcPr>
          <w:p w14:paraId="01F00CE7" w14:textId="021B8D07" w:rsidR="00F1215C" w:rsidRPr="001050CA" w:rsidRDefault="001050CA" w:rsidP="00CA0F29">
            <w:pPr>
              <w:spacing w:before="60"/>
              <w:ind w:firstLine="0"/>
              <w:jc w:val="left"/>
              <w:rPr>
                <w:rFonts w:eastAsia="Times New Roman" w:cs="Times New Roman"/>
                <w:noProof/>
                <w:color w:val="000000" w:themeColor="text1"/>
                <w:sz w:val="19"/>
                <w:szCs w:val="19"/>
                <w:lang w:eastAsia="lv-LV"/>
              </w:rPr>
            </w:pPr>
            <w:r>
              <w:rPr>
                <w:rFonts w:eastAsia="Times New Roman" w:cs="Times New Roman"/>
                <w:noProof/>
                <w:color w:val="000000" w:themeColor="text1"/>
                <w:sz w:val="19"/>
                <w:szCs w:val="19"/>
                <w:lang w:eastAsia="lv-LV"/>
              </w:rPr>
              <w:t>B</w:t>
            </w:r>
            <w:r w:rsidR="00F1215C" w:rsidRPr="001050CA">
              <w:rPr>
                <w:rFonts w:eastAsia="Times New Roman" w:cs="Times New Roman"/>
                <w:noProof/>
                <w:color w:val="000000" w:themeColor="text1"/>
                <w:sz w:val="19"/>
                <w:szCs w:val="19"/>
                <w:lang w:eastAsia="lv-LV"/>
              </w:rPr>
              <w:t>ilances cikliskā komponente, % no IKP</w:t>
            </w:r>
          </w:p>
        </w:tc>
        <w:tc>
          <w:tcPr>
            <w:tcW w:w="1388" w:type="dxa"/>
            <w:vAlign w:val="center"/>
          </w:tcPr>
          <w:p w14:paraId="712BA932"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(17)</w:t>
            </w:r>
          </w:p>
        </w:tc>
        <w:tc>
          <w:tcPr>
            <w:tcW w:w="753" w:type="dxa"/>
            <w:vAlign w:val="center"/>
          </w:tcPr>
          <w:p w14:paraId="3306D49C" w14:textId="77777777" w:rsidR="00F1215C" w:rsidRPr="001050CA" w:rsidRDefault="00F1215C" w:rsidP="00CA0F29">
            <w:pPr>
              <w:spacing w:before="60"/>
              <w:ind w:firstLine="0"/>
              <w:jc w:val="center"/>
              <w:rPr>
                <w:rFonts w:cs="Times New Roman"/>
                <w:noProof/>
                <w:color w:val="000000" w:themeColor="text1"/>
                <w:sz w:val="19"/>
                <w:szCs w:val="19"/>
              </w:rPr>
            </w:pPr>
          </w:p>
        </w:tc>
        <w:tc>
          <w:tcPr>
            <w:tcW w:w="753" w:type="dxa"/>
            <w:vAlign w:val="center"/>
          </w:tcPr>
          <w:p w14:paraId="28172F61" w14:textId="77777777" w:rsidR="00F1215C" w:rsidRPr="001050CA" w:rsidRDefault="00F1215C" w:rsidP="00CA0F29">
            <w:pPr>
              <w:spacing w:before="60"/>
              <w:ind w:firstLine="0"/>
              <w:jc w:val="center"/>
              <w:rPr>
                <w:rFonts w:cs="Times New Roman"/>
                <w:noProof/>
                <w:color w:val="000000" w:themeColor="text1"/>
                <w:sz w:val="19"/>
                <w:szCs w:val="19"/>
              </w:rPr>
            </w:pPr>
          </w:p>
        </w:tc>
        <w:tc>
          <w:tcPr>
            <w:tcW w:w="753" w:type="dxa"/>
            <w:vAlign w:val="center"/>
          </w:tcPr>
          <w:p w14:paraId="1C815363" w14:textId="77777777" w:rsidR="00F1215C" w:rsidRPr="001050CA" w:rsidRDefault="00F1215C" w:rsidP="00CA0F29">
            <w:pPr>
              <w:spacing w:before="60"/>
              <w:ind w:firstLine="0"/>
              <w:jc w:val="center"/>
              <w:rPr>
                <w:rFonts w:cs="Times New Roman"/>
                <w:noProof/>
                <w:color w:val="000000" w:themeColor="text1"/>
                <w:sz w:val="19"/>
                <w:szCs w:val="19"/>
              </w:rPr>
            </w:pPr>
          </w:p>
        </w:tc>
        <w:tc>
          <w:tcPr>
            <w:tcW w:w="753" w:type="dxa"/>
            <w:noWrap/>
            <w:vAlign w:val="center"/>
          </w:tcPr>
          <w:p w14:paraId="2868CAD1"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-0,3</w:t>
            </w:r>
          </w:p>
        </w:tc>
        <w:tc>
          <w:tcPr>
            <w:tcW w:w="753" w:type="dxa"/>
            <w:noWrap/>
            <w:vAlign w:val="center"/>
          </w:tcPr>
          <w:p w14:paraId="57398333"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-0,2</w:t>
            </w:r>
          </w:p>
        </w:tc>
        <w:tc>
          <w:tcPr>
            <w:tcW w:w="753" w:type="dxa"/>
            <w:vAlign w:val="center"/>
          </w:tcPr>
          <w:p w14:paraId="546B1C1C"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-0,1</w:t>
            </w:r>
          </w:p>
        </w:tc>
        <w:tc>
          <w:tcPr>
            <w:tcW w:w="753" w:type="dxa"/>
            <w:noWrap/>
            <w:vAlign w:val="center"/>
          </w:tcPr>
          <w:p w14:paraId="2C223D2F"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0,0</w:t>
            </w:r>
          </w:p>
        </w:tc>
      </w:tr>
      <w:tr w:rsidR="00F1215C" w:rsidRPr="001050CA" w14:paraId="2C8E4CC7" w14:textId="77777777" w:rsidTr="00352EDD">
        <w:trPr>
          <w:trHeight w:val="20"/>
          <w:jc w:val="center"/>
        </w:trPr>
        <w:tc>
          <w:tcPr>
            <w:tcW w:w="3821" w:type="dxa"/>
            <w:noWrap/>
            <w:vAlign w:val="center"/>
          </w:tcPr>
          <w:p w14:paraId="524448AF" w14:textId="2A6F7031" w:rsidR="00F1215C" w:rsidRPr="001050CA" w:rsidRDefault="001050CA" w:rsidP="00CA0F29">
            <w:pPr>
              <w:spacing w:before="60"/>
              <w:ind w:firstLine="0"/>
              <w:jc w:val="left"/>
              <w:rPr>
                <w:rFonts w:eastAsia="Times New Roman" w:cs="Times New Roman"/>
                <w:noProof/>
                <w:color w:val="000000" w:themeColor="text1"/>
                <w:sz w:val="19"/>
                <w:szCs w:val="19"/>
                <w:lang w:eastAsia="lv-LV"/>
              </w:rPr>
            </w:pPr>
            <w:r>
              <w:rPr>
                <w:rFonts w:eastAsia="Times New Roman" w:cs="Times New Roman"/>
                <w:noProof/>
                <w:color w:val="000000" w:themeColor="text1"/>
                <w:sz w:val="19"/>
                <w:szCs w:val="19"/>
                <w:lang w:eastAsia="lv-LV"/>
              </w:rPr>
              <w:t>V</w:t>
            </w:r>
            <w:r w:rsidR="00F1215C" w:rsidRPr="001050CA">
              <w:rPr>
                <w:rFonts w:eastAsia="Times New Roman" w:cs="Times New Roman"/>
                <w:noProof/>
                <w:color w:val="000000" w:themeColor="text1"/>
                <w:sz w:val="19"/>
                <w:szCs w:val="19"/>
                <w:lang w:eastAsia="lv-LV"/>
              </w:rPr>
              <w:t>ienreizējie pasākumi, % no IKP</w:t>
            </w:r>
          </w:p>
        </w:tc>
        <w:tc>
          <w:tcPr>
            <w:tcW w:w="1388" w:type="dxa"/>
            <w:vAlign w:val="center"/>
          </w:tcPr>
          <w:p w14:paraId="20A549A7"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(18)</w:t>
            </w:r>
          </w:p>
        </w:tc>
        <w:tc>
          <w:tcPr>
            <w:tcW w:w="753" w:type="dxa"/>
            <w:vAlign w:val="center"/>
          </w:tcPr>
          <w:p w14:paraId="00074A9D" w14:textId="77777777" w:rsidR="00F1215C" w:rsidRPr="001050CA" w:rsidRDefault="00F1215C" w:rsidP="00CA0F29">
            <w:pPr>
              <w:spacing w:before="60"/>
              <w:ind w:firstLine="0"/>
              <w:jc w:val="center"/>
              <w:rPr>
                <w:rFonts w:cs="Times New Roman"/>
                <w:noProof/>
                <w:color w:val="000000" w:themeColor="text1"/>
                <w:sz w:val="19"/>
                <w:szCs w:val="19"/>
              </w:rPr>
            </w:pPr>
          </w:p>
        </w:tc>
        <w:tc>
          <w:tcPr>
            <w:tcW w:w="753" w:type="dxa"/>
            <w:vAlign w:val="center"/>
          </w:tcPr>
          <w:p w14:paraId="32C60C54" w14:textId="77777777" w:rsidR="00F1215C" w:rsidRPr="001050CA" w:rsidRDefault="00F1215C" w:rsidP="00CA0F29">
            <w:pPr>
              <w:spacing w:before="60"/>
              <w:ind w:firstLine="0"/>
              <w:jc w:val="center"/>
              <w:rPr>
                <w:rFonts w:cs="Times New Roman"/>
                <w:noProof/>
                <w:color w:val="000000" w:themeColor="text1"/>
                <w:sz w:val="19"/>
                <w:szCs w:val="19"/>
              </w:rPr>
            </w:pPr>
          </w:p>
        </w:tc>
        <w:tc>
          <w:tcPr>
            <w:tcW w:w="753" w:type="dxa"/>
            <w:vAlign w:val="center"/>
          </w:tcPr>
          <w:p w14:paraId="72D3BB32" w14:textId="77777777" w:rsidR="00F1215C" w:rsidRPr="001050CA" w:rsidRDefault="00F1215C" w:rsidP="00CA0F29">
            <w:pPr>
              <w:spacing w:before="60"/>
              <w:ind w:firstLine="0"/>
              <w:jc w:val="center"/>
              <w:rPr>
                <w:rFonts w:cs="Times New Roman"/>
                <w:noProof/>
                <w:color w:val="000000" w:themeColor="text1"/>
                <w:sz w:val="19"/>
                <w:szCs w:val="19"/>
              </w:rPr>
            </w:pPr>
          </w:p>
        </w:tc>
        <w:tc>
          <w:tcPr>
            <w:tcW w:w="753" w:type="dxa"/>
            <w:noWrap/>
            <w:vAlign w:val="center"/>
          </w:tcPr>
          <w:p w14:paraId="3FC15BFC"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eastAsia="Times New Roman" w:cs="Times New Roman"/>
                <w:noProof/>
                <w:sz w:val="19"/>
                <w:szCs w:val="19"/>
                <w:lang w:eastAsia="lv-LV"/>
              </w:rPr>
              <w:t>-1,6</w:t>
            </w:r>
          </w:p>
        </w:tc>
        <w:tc>
          <w:tcPr>
            <w:tcW w:w="753" w:type="dxa"/>
            <w:noWrap/>
            <w:vAlign w:val="center"/>
          </w:tcPr>
          <w:p w14:paraId="77F29EE5"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eastAsia="Times New Roman" w:cs="Times New Roman"/>
                <w:noProof/>
                <w:sz w:val="19"/>
                <w:szCs w:val="19"/>
                <w:lang w:eastAsia="lv-LV"/>
              </w:rPr>
              <w:t>-1,7</w:t>
            </w:r>
          </w:p>
        </w:tc>
        <w:tc>
          <w:tcPr>
            <w:tcW w:w="753" w:type="dxa"/>
            <w:vAlign w:val="center"/>
          </w:tcPr>
          <w:p w14:paraId="31C6BAEB"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eastAsia="Times New Roman" w:cs="Times New Roman"/>
                <w:noProof/>
                <w:sz w:val="19"/>
                <w:szCs w:val="19"/>
                <w:lang w:eastAsia="lv-LV"/>
              </w:rPr>
              <w:t>-1,6</w:t>
            </w:r>
          </w:p>
        </w:tc>
        <w:tc>
          <w:tcPr>
            <w:tcW w:w="753" w:type="dxa"/>
            <w:noWrap/>
            <w:vAlign w:val="center"/>
          </w:tcPr>
          <w:p w14:paraId="2FFD8970"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eastAsia="Times New Roman" w:cs="Times New Roman"/>
                <w:noProof/>
                <w:sz w:val="19"/>
                <w:szCs w:val="19"/>
                <w:lang w:eastAsia="lv-LV"/>
              </w:rPr>
              <w:t>-0,9</w:t>
            </w:r>
          </w:p>
        </w:tc>
      </w:tr>
      <w:tr w:rsidR="00F1215C" w:rsidRPr="001050CA" w14:paraId="0C24310F" w14:textId="77777777" w:rsidTr="00352EDD">
        <w:trPr>
          <w:trHeight w:val="20"/>
          <w:jc w:val="center"/>
        </w:trPr>
        <w:tc>
          <w:tcPr>
            <w:tcW w:w="3821" w:type="dxa"/>
            <w:shd w:val="clear" w:color="auto" w:fill="EBE2D1"/>
            <w:noWrap/>
            <w:vAlign w:val="center"/>
          </w:tcPr>
          <w:p w14:paraId="6A2445E2" w14:textId="0F0606DC" w:rsidR="00F1215C" w:rsidRPr="001050CA" w:rsidRDefault="00352EDD" w:rsidP="00CA0F29">
            <w:pPr>
              <w:spacing w:before="60"/>
              <w:ind w:firstLine="0"/>
              <w:jc w:val="left"/>
              <w:rPr>
                <w:rFonts w:eastAsia="Times New Roman" w:cs="Times New Roman"/>
                <w:noProof/>
                <w:color w:val="000000" w:themeColor="text1"/>
                <w:sz w:val="19"/>
                <w:szCs w:val="19"/>
                <w:lang w:eastAsia="lv-LV"/>
              </w:rPr>
            </w:pPr>
            <w:r w:rsidRPr="001050CA">
              <w:rPr>
                <w:rFonts w:eastAsia="Times New Roman" w:cs="Times New Roman"/>
                <w:b/>
                <w:bCs/>
                <w:noProof/>
                <w:sz w:val="19"/>
                <w:szCs w:val="19"/>
                <w:lang w:eastAsia="lv-LV"/>
              </w:rPr>
              <w:t>V</w:t>
            </w:r>
            <w:r w:rsidR="00F1215C" w:rsidRPr="001050CA">
              <w:rPr>
                <w:rFonts w:eastAsia="Times New Roman" w:cs="Times New Roman"/>
                <w:b/>
                <w:bCs/>
                <w:noProof/>
                <w:sz w:val="19"/>
                <w:szCs w:val="19"/>
                <w:lang w:eastAsia="lv-LV"/>
              </w:rPr>
              <w:t>ispārējās valdības strukturālās bilances mērķi, % no IKP</w:t>
            </w:r>
          </w:p>
        </w:tc>
        <w:tc>
          <w:tcPr>
            <w:tcW w:w="1388" w:type="dxa"/>
            <w:shd w:val="clear" w:color="auto" w:fill="EBE2D1"/>
            <w:vAlign w:val="center"/>
          </w:tcPr>
          <w:p w14:paraId="0C99D5E8" w14:textId="77777777" w:rsidR="00F1215C" w:rsidRPr="001050CA" w:rsidRDefault="00F1215C" w:rsidP="00CA0F29">
            <w:pPr>
              <w:spacing w:before="60"/>
              <w:ind w:firstLine="0"/>
              <w:jc w:val="center"/>
              <w:rPr>
                <w:rFonts w:cs="Times New Roman"/>
                <w:noProof/>
                <w:color w:val="000000" w:themeColor="text1"/>
                <w:sz w:val="19"/>
                <w:szCs w:val="19"/>
              </w:rPr>
            </w:pPr>
            <w:r w:rsidRPr="001050CA">
              <w:rPr>
                <w:rFonts w:cs="Times New Roman"/>
                <w:noProof/>
                <w:color w:val="000000" w:themeColor="text1"/>
                <w:sz w:val="19"/>
                <w:szCs w:val="19"/>
              </w:rPr>
              <w:t>(19)=(16)-(17)-(18)</w:t>
            </w:r>
          </w:p>
        </w:tc>
        <w:tc>
          <w:tcPr>
            <w:tcW w:w="753" w:type="dxa"/>
            <w:shd w:val="clear" w:color="auto" w:fill="EBE2D1"/>
            <w:vAlign w:val="center"/>
          </w:tcPr>
          <w:p w14:paraId="04AFE0DA" w14:textId="77777777" w:rsidR="00F1215C" w:rsidRPr="001050CA" w:rsidRDefault="00F1215C" w:rsidP="00CA0F29">
            <w:pPr>
              <w:spacing w:before="60"/>
              <w:ind w:firstLine="0"/>
              <w:jc w:val="center"/>
              <w:rPr>
                <w:rFonts w:cs="Times New Roman"/>
                <w:noProof/>
                <w:color w:val="000000" w:themeColor="text1"/>
                <w:sz w:val="19"/>
                <w:szCs w:val="19"/>
              </w:rPr>
            </w:pPr>
          </w:p>
        </w:tc>
        <w:tc>
          <w:tcPr>
            <w:tcW w:w="753" w:type="dxa"/>
            <w:shd w:val="clear" w:color="auto" w:fill="EBE2D1"/>
            <w:vAlign w:val="center"/>
          </w:tcPr>
          <w:p w14:paraId="6A51CE2E" w14:textId="77777777" w:rsidR="00F1215C" w:rsidRPr="001050CA" w:rsidRDefault="00F1215C" w:rsidP="00CA0F29">
            <w:pPr>
              <w:spacing w:before="60"/>
              <w:ind w:firstLine="0"/>
              <w:jc w:val="center"/>
              <w:rPr>
                <w:rFonts w:cs="Times New Roman"/>
                <w:noProof/>
                <w:color w:val="000000" w:themeColor="text1"/>
                <w:sz w:val="19"/>
                <w:szCs w:val="19"/>
              </w:rPr>
            </w:pPr>
          </w:p>
        </w:tc>
        <w:tc>
          <w:tcPr>
            <w:tcW w:w="753" w:type="dxa"/>
            <w:shd w:val="clear" w:color="auto" w:fill="EBE2D1"/>
            <w:vAlign w:val="center"/>
          </w:tcPr>
          <w:p w14:paraId="5F5FA362" w14:textId="77777777" w:rsidR="00F1215C" w:rsidRPr="001050CA" w:rsidRDefault="00F1215C" w:rsidP="00CA0F29">
            <w:pPr>
              <w:spacing w:before="60"/>
              <w:ind w:firstLine="0"/>
              <w:jc w:val="center"/>
              <w:rPr>
                <w:rFonts w:cs="Times New Roman"/>
                <w:noProof/>
                <w:color w:val="000000" w:themeColor="text1"/>
                <w:sz w:val="19"/>
                <w:szCs w:val="19"/>
              </w:rPr>
            </w:pPr>
          </w:p>
        </w:tc>
        <w:tc>
          <w:tcPr>
            <w:tcW w:w="753" w:type="dxa"/>
            <w:tcBorders>
              <w:top w:val="single" w:sz="4" w:space="0" w:color="auto"/>
              <w:left w:val="nil"/>
              <w:bottom w:val="single" w:sz="4" w:space="0" w:color="auto"/>
              <w:right w:val="single" w:sz="4" w:space="0" w:color="auto"/>
            </w:tcBorders>
            <w:shd w:val="clear" w:color="auto" w:fill="EBE2D1"/>
            <w:noWrap/>
            <w:vAlign w:val="center"/>
          </w:tcPr>
          <w:p w14:paraId="730BDD49" w14:textId="77777777" w:rsidR="00F1215C" w:rsidRPr="001050CA" w:rsidRDefault="00F1215C" w:rsidP="00CA0F29">
            <w:pPr>
              <w:spacing w:before="60"/>
              <w:ind w:firstLine="0"/>
              <w:jc w:val="center"/>
              <w:rPr>
                <w:rFonts w:cs="Times New Roman"/>
                <w:b/>
                <w:bCs/>
                <w:noProof/>
                <w:color w:val="000000" w:themeColor="text1"/>
                <w:sz w:val="19"/>
                <w:szCs w:val="19"/>
              </w:rPr>
            </w:pPr>
            <w:r w:rsidRPr="001050CA">
              <w:rPr>
                <w:rFonts w:cs="Times New Roman"/>
                <w:b/>
                <w:bCs/>
                <w:noProof/>
                <w:color w:val="000000" w:themeColor="text1"/>
                <w:sz w:val="19"/>
                <w:szCs w:val="19"/>
              </w:rPr>
              <w:t>-2,545</w:t>
            </w:r>
          </w:p>
        </w:tc>
        <w:tc>
          <w:tcPr>
            <w:tcW w:w="753"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29352EEF" w14:textId="77777777" w:rsidR="00F1215C" w:rsidRPr="001050CA" w:rsidRDefault="00F1215C" w:rsidP="00CA0F29">
            <w:pPr>
              <w:spacing w:before="60"/>
              <w:ind w:firstLine="0"/>
              <w:jc w:val="center"/>
              <w:rPr>
                <w:rFonts w:cs="Times New Roman"/>
                <w:b/>
                <w:bCs/>
                <w:noProof/>
                <w:color w:val="000000" w:themeColor="text1"/>
                <w:sz w:val="19"/>
                <w:szCs w:val="19"/>
              </w:rPr>
            </w:pPr>
            <w:r w:rsidRPr="001050CA">
              <w:rPr>
                <w:rFonts w:cs="Times New Roman"/>
                <w:b/>
                <w:bCs/>
                <w:noProof/>
                <w:color w:val="000000" w:themeColor="text1"/>
                <w:sz w:val="19"/>
                <w:szCs w:val="19"/>
              </w:rPr>
              <w:t>-2,596</w:t>
            </w:r>
          </w:p>
        </w:tc>
        <w:tc>
          <w:tcPr>
            <w:tcW w:w="753" w:type="dxa"/>
            <w:tcBorders>
              <w:top w:val="single" w:sz="4" w:space="0" w:color="auto"/>
              <w:left w:val="single" w:sz="4" w:space="0" w:color="auto"/>
              <w:bottom w:val="single" w:sz="4" w:space="0" w:color="auto"/>
              <w:right w:val="single" w:sz="4" w:space="0" w:color="auto"/>
            </w:tcBorders>
            <w:shd w:val="clear" w:color="auto" w:fill="EBE2D1"/>
            <w:vAlign w:val="center"/>
          </w:tcPr>
          <w:p w14:paraId="78565293" w14:textId="77777777" w:rsidR="00F1215C" w:rsidRPr="001050CA" w:rsidRDefault="00F1215C" w:rsidP="00CA0F29">
            <w:pPr>
              <w:spacing w:before="60"/>
              <w:ind w:firstLine="0"/>
              <w:jc w:val="center"/>
              <w:rPr>
                <w:rFonts w:cs="Times New Roman"/>
                <w:b/>
                <w:bCs/>
                <w:noProof/>
                <w:color w:val="000000" w:themeColor="text1"/>
                <w:sz w:val="19"/>
                <w:szCs w:val="19"/>
              </w:rPr>
            </w:pPr>
            <w:r w:rsidRPr="001050CA">
              <w:rPr>
                <w:rFonts w:cs="Times New Roman"/>
                <w:b/>
                <w:bCs/>
                <w:noProof/>
                <w:color w:val="000000" w:themeColor="text1"/>
                <w:sz w:val="19"/>
                <w:szCs w:val="19"/>
              </w:rPr>
              <w:t>-2,229</w:t>
            </w:r>
          </w:p>
        </w:tc>
        <w:tc>
          <w:tcPr>
            <w:tcW w:w="753"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22AAC3BF" w14:textId="77777777" w:rsidR="00F1215C" w:rsidRPr="001050CA" w:rsidRDefault="00F1215C" w:rsidP="00CA0F29">
            <w:pPr>
              <w:spacing w:before="60"/>
              <w:ind w:firstLine="0"/>
              <w:jc w:val="center"/>
              <w:rPr>
                <w:rFonts w:cs="Times New Roman"/>
                <w:b/>
                <w:bCs/>
                <w:noProof/>
                <w:color w:val="000000" w:themeColor="text1"/>
                <w:sz w:val="19"/>
                <w:szCs w:val="19"/>
              </w:rPr>
            </w:pPr>
            <w:r w:rsidRPr="001050CA">
              <w:rPr>
                <w:rFonts w:cs="Times New Roman"/>
                <w:b/>
                <w:bCs/>
                <w:noProof/>
                <w:color w:val="000000" w:themeColor="text1"/>
                <w:sz w:val="19"/>
                <w:szCs w:val="19"/>
              </w:rPr>
              <w:t>-3,097</w:t>
            </w:r>
          </w:p>
        </w:tc>
      </w:tr>
    </w:tbl>
    <w:p w14:paraId="637AC88A" w14:textId="77777777" w:rsidR="00F1215C" w:rsidRPr="001C0357" w:rsidRDefault="00F1215C" w:rsidP="00F1215C">
      <w:pPr>
        <w:widowControl w:val="0"/>
        <w:spacing w:before="240"/>
        <w:ind w:firstLine="0"/>
        <w:jc w:val="center"/>
        <w:rPr>
          <w:rFonts w:eastAsia="Times New Roman" w:cs="Times New Roman"/>
          <w:b/>
          <w:noProof/>
          <w:szCs w:val="24"/>
        </w:rPr>
      </w:pPr>
      <w:r w:rsidRPr="001C0357">
        <w:rPr>
          <w:b/>
          <w:bCs/>
          <w:noProof/>
          <w:szCs w:val="20"/>
          <w:lang w:eastAsia="lv-LV"/>
        </w:rPr>
        <w:t>10. tabula.</w:t>
      </w:r>
      <w:r w:rsidRPr="001C0357">
        <w:rPr>
          <w:noProof/>
          <w:szCs w:val="20"/>
          <w:lang w:eastAsia="lv-LV"/>
        </w:rPr>
        <w:t xml:space="preserve"> </w:t>
      </w:r>
      <w:r w:rsidRPr="001C0357">
        <w:rPr>
          <w:rFonts w:eastAsia="Times New Roman" w:cs="Times New Roman"/>
          <w:b/>
          <w:noProof/>
          <w:szCs w:val="24"/>
          <w:lang w:eastAsia="lv-LV"/>
        </w:rPr>
        <w:t xml:space="preserve">Fiskālā telpa, balstoties uz </w:t>
      </w:r>
      <w:r w:rsidRPr="001C0357">
        <w:rPr>
          <w:rFonts w:eastAsia="Times New Roman" w:cs="Times New Roman"/>
          <w:b/>
          <w:noProof/>
          <w:szCs w:val="24"/>
        </w:rPr>
        <w:t>ES izdevumu pieauguma nosacījumu</w:t>
      </w:r>
    </w:p>
    <w:tbl>
      <w:tblPr>
        <w:tblW w:w="7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972"/>
        <w:gridCol w:w="753"/>
        <w:gridCol w:w="753"/>
        <w:gridCol w:w="753"/>
        <w:gridCol w:w="753"/>
      </w:tblGrid>
      <w:tr w:rsidR="00F1215C" w:rsidRPr="001050CA" w14:paraId="79597718" w14:textId="77777777" w:rsidTr="001050CA">
        <w:trPr>
          <w:trHeight w:val="20"/>
          <w:tblHeader/>
          <w:jc w:val="center"/>
        </w:trPr>
        <w:tc>
          <w:tcPr>
            <w:tcW w:w="3823" w:type="dxa"/>
            <w:shd w:val="clear" w:color="auto" w:fill="EBE2D1"/>
            <w:noWrap/>
            <w:vAlign w:val="center"/>
            <w:hideMark/>
          </w:tcPr>
          <w:p w14:paraId="786C49E5" w14:textId="77777777" w:rsidR="00F1215C" w:rsidRPr="001050CA" w:rsidRDefault="00F1215C" w:rsidP="00352EDD">
            <w:pPr>
              <w:spacing w:before="60"/>
              <w:ind w:firstLine="0"/>
              <w:rPr>
                <w:rFonts w:eastAsia="Times New Roman" w:cs="Times New Roman"/>
                <w:noProof/>
                <w:color w:val="000000"/>
                <w:sz w:val="20"/>
                <w:szCs w:val="20"/>
                <w:lang w:eastAsia="lv-LV"/>
              </w:rPr>
            </w:pPr>
          </w:p>
        </w:tc>
        <w:tc>
          <w:tcPr>
            <w:tcW w:w="972" w:type="dxa"/>
            <w:shd w:val="clear" w:color="auto" w:fill="EBE2D1"/>
            <w:vAlign w:val="center"/>
          </w:tcPr>
          <w:p w14:paraId="6D5BC861" w14:textId="77777777" w:rsidR="00F1215C" w:rsidRPr="001050CA" w:rsidRDefault="00F1215C" w:rsidP="00CA0F29">
            <w:pPr>
              <w:spacing w:before="60"/>
              <w:ind w:firstLine="0"/>
              <w:jc w:val="center"/>
              <w:rPr>
                <w:rFonts w:eastAsia="Times New Roman" w:cs="Times New Roman"/>
                <w:noProof/>
                <w:color w:val="000000"/>
                <w:sz w:val="20"/>
                <w:szCs w:val="20"/>
                <w:lang w:eastAsia="lv-LV"/>
              </w:rPr>
            </w:pPr>
          </w:p>
        </w:tc>
        <w:tc>
          <w:tcPr>
            <w:tcW w:w="753" w:type="dxa"/>
            <w:shd w:val="clear" w:color="auto" w:fill="EBE2D1"/>
            <w:noWrap/>
            <w:vAlign w:val="center"/>
            <w:hideMark/>
          </w:tcPr>
          <w:p w14:paraId="75232A8B" w14:textId="77777777" w:rsidR="00F1215C" w:rsidRPr="001050CA" w:rsidRDefault="00F1215C" w:rsidP="00CA0F29">
            <w:pPr>
              <w:spacing w:before="60"/>
              <w:ind w:firstLine="0"/>
              <w:jc w:val="center"/>
              <w:rPr>
                <w:rFonts w:eastAsia="Times New Roman" w:cs="Times New Roman"/>
                <w:b/>
                <w:bCs/>
                <w:noProof/>
                <w:color w:val="000000"/>
                <w:sz w:val="20"/>
                <w:szCs w:val="20"/>
                <w:lang w:eastAsia="lv-LV"/>
              </w:rPr>
            </w:pPr>
            <w:r w:rsidRPr="001050CA">
              <w:rPr>
                <w:rFonts w:eastAsia="Times New Roman" w:cs="Times New Roman"/>
                <w:b/>
                <w:bCs/>
                <w:noProof/>
                <w:color w:val="000000"/>
                <w:sz w:val="20"/>
                <w:szCs w:val="20"/>
                <w:lang w:eastAsia="lv-LV"/>
              </w:rPr>
              <w:t>2026</w:t>
            </w:r>
          </w:p>
        </w:tc>
        <w:tc>
          <w:tcPr>
            <w:tcW w:w="753" w:type="dxa"/>
            <w:shd w:val="clear" w:color="auto" w:fill="EBE2D1"/>
            <w:noWrap/>
            <w:vAlign w:val="center"/>
            <w:hideMark/>
          </w:tcPr>
          <w:p w14:paraId="612419B2" w14:textId="77777777" w:rsidR="00F1215C" w:rsidRPr="001050CA" w:rsidRDefault="00F1215C" w:rsidP="00CA0F29">
            <w:pPr>
              <w:spacing w:before="60"/>
              <w:ind w:firstLine="0"/>
              <w:jc w:val="center"/>
              <w:rPr>
                <w:rFonts w:eastAsia="Times New Roman" w:cs="Times New Roman"/>
                <w:b/>
                <w:bCs/>
                <w:noProof/>
                <w:color w:val="000000"/>
                <w:sz w:val="20"/>
                <w:szCs w:val="20"/>
                <w:lang w:eastAsia="lv-LV"/>
              </w:rPr>
            </w:pPr>
            <w:r w:rsidRPr="001050CA">
              <w:rPr>
                <w:rFonts w:eastAsia="Times New Roman" w:cs="Times New Roman"/>
                <w:b/>
                <w:bCs/>
                <w:noProof/>
                <w:color w:val="000000"/>
                <w:sz w:val="20"/>
                <w:szCs w:val="20"/>
                <w:lang w:eastAsia="lv-LV"/>
              </w:rPr>
              <w:t>2027</w:t>
            </w:r>
          </w:p>
        </w:tc>
        <w:tc>
          <w:tcPr>
            <w:tcW w:w="753" w:type="dxa"/>
            <w:shd w:val="clear" w:color="auto" w:fill="EBE2D1"/>
            <w:vAlign w:val="center"/>
          </w:tcPr>
          <w:p w14:paraId="40FA9D9A" w14:textId="77777777" w:rsidR="00F1215C" w:rsidRPr="001050CA" w:rsidRDefault="00F1215C" w:rsidP="00CA0F29">
            <w:pPr>
              <w:spacing w:before="60"/>
              <w:ind w:firstLine="0"/>
              <w:jc w:val="center"/>
              <w:rPr>
                <w:rFonts w:eastAsia="Times New Roman" w:cs="Times New Roman"/>
                <w:b/>
                <w:bCs/>
                <w:noProof/>
                <w:color w:val="000000"/>
                <w:sz w:val="20"/>
                <w:szCs w:val="20"/>
                <w:lang w:eastAsia="lv-LV"/>
              </w:rPr>
            </w:pPr>
            <w:r w:rsidRPr="001050CA">
              <w:rPr>
                <w:rFonts w:eastAsia="Times New Roman" w:cs="Times New Roman"/>
                <w:b/>
                <w:bCs/>
                <w:noProof/>
                <w:color w:val="000000"/>
                <w:sz w:val="20"/>
                <w:szCs w:val="20"/>
                <w:lang w:eastAsia="lv-LV"/>
              </w:rPr>
              <w:t>2028</w:t>
            </w:r>
          </w:p>
        </w:tc>
        <w:tc>
          <w:tcPr>
            <w:tcW w:w="753" w:type="dxa"/>
            <w:shd w:val="clear" w:color="auto" w:fill="EBE2D1"/>
            <w:noWrap/>
            <w:vAlign w:val="center"/>
            <w:hideMark/>
          </w:tcPr>
          <w:p w14:paraId="697CF1E9" w14:textId="77777777" w:rsidR="00F1215C" w:rsidRPr="001050CA" w:rsidRDefault="00F1215C" w:rsidP="00CA0F29">
            <w:pPr>
              <w:spacing w:before="60"/>
              <w:ind w:firstLine="0"/>
              <w:jc w:val="center"/>
              <w:rPr>
                <w:rFonts w:eastAsia="Times New Roman" w:cs="Times New Roman"/>
                <w:b/>
                <w:bCs/>
                <w:noProof/>
                <w:color w:val="000000"/>
                <w:sz w:val="20"/>
                <w:szCs w:val="20"/>
                <w:lang w:eastAsia="lv-LV"/>
              </w:rPr>
            </w:pPr>
            <w:r w:rsidRPr="001050CA">
              <w:rPr>
                <w:rFonts w:eastAsia="Times New Roman" w:cs="Times New Roman"/>
                <w:b/>
                <w:bCs/>
                <w:noProof/>
                <w:color w:val="000000"/>
                <w:sz w:val="20"/>
                <w:szCs w:val="20"/>
                <w:lang w:eastAsia="lv-LV"/>
              </w:rPr>
              <w:t>2029</w:t>
            </w:r>
          </w:p>
        </w:tc>
      </w:tr>
      <w:tr w:rsidR="00F1215C" w:rsidRPr="001050CA" w14:paraId="0C53E321" w14:textId="77777777" w:rsidTr="001050CA">
        <w:trPr>
          <w:trHeight w:val="20"/>
          <w:jc w:val="center"/>
        </w:trPr>
        <w:tc>
          <w:tcPr>
            <w:tcW w:w="3823" w:type="dxa"/>
            <w:noWrap/>
            <w:vAlign w:val="center"/>
            <w:hideMark/>
          </w:tcPr>
          <w:p w14:paraId="783AD2CB" w14:textId="2992BBFF" w:rsidR="00F1215C" w:rsidRPr="001050CA" w:rsidRDefault="00352EDD" w:rsidP="00CA0F29">
            <w:pPr>
              <w:spacing w:before="60" w:after="60"/>
              <w:ind w:firstLine="0"/>
              <w:jc w:val="left"/>
              <w:rPr>
                <w:rFonts w:eastAsia="Times New Roman" w:cs="Times New Roman"/>
                <w:b/>
                <w:bCs/>
                <w:noProof/>
                <w:color w:val="000000"/>
                <w:sz w:val="20"/>
                <w:szCs w:val="20"/>
                <w:lang w:eastAsia="lv-LV"/>
              </w:rPr>
            </w:pPr>
            <w:r w:rsidRPr="001050CA">
              <w:rPr>
                <w:rFonts w:eastAsia="Times New Roman" w:cs="Times New Roman"/>
                <w:b/>
                <w:bCs/>
                <w:noProof/>
                <w:sz w:val="20"/>
                <w:szCs w:val="20"/>
                <w:lang w:eastAsia="lv-LV"/>
              </w:rPr>
              <w:t>V</w:t>
            </w:r>
            <w:r w:rsidR="00F1215C" w:rsidRPr="001050CA">
              <w:rPr>
                <w:rFonts w:eastAsia="Times New Roman" w:cs="Times New Roman"/>
                <w:b/>
                <w:bCs/>
                <w:noProof/>
                <w:sz w:val="20"/>
                <w:szCs w:val="20"/>
                <w:lang w:eastAsia="lv-LV"/>
              </w:rPr>
              <w:t>ispārējās valdības strukturālās bilances mērķi, kas izriet no ES izdevumu pieauguma nosacījuma, % no IKP</w:t>
            </w:r>
          </w:p>
        </w:tc>
        <w:tc>
          <w:tcPr>
            <w:tcW w:w="972" w:type="dxa"/>
            <w:vAlign w:val="center"/>
          </w:tcPr>
          <w:p w14:paraId="03B5B85A" w14:textId="77777777" w:rsidR="00F1215C" w:rsidRPr="001050CA" w:rsidRDefault="00F1215C" w:rsidP="00CA0F29">
            <w:pPr>
              <w:spacing w:before="60" w:after="60"/>
              <w:ind w:firstLine="0"/>
              <w:jc w:val="center"/>
              <w:rPr>
                <w:rFonts w:eastAsia="Times New Roman" w:cs="Times New Roman"/>
                <w:b/>
                <w:bCs/>
                <w:noProof/>
                <w:color w:val="000000"/>
                <w:sz w:val="20"/>
                <w:szCs w:val="20"/>
                <w:lang w:eastAsia="lv-LV"/>
              </w:rPr>
            </w:pPr>
            <w:r w:rsidRPr="001050CA">
              <w:rPr>
                <w:rFonts w:eastAsia="Times New Roman" w:cs="Times New Roman"/>
                <w:b/>
                <w:bCs/>
                <w:noProof/>
                <w:color w:val="000000"/>
                <w:sz w:val="20"/>
                <w:szCs w:val="20"/>
                <w:lang w:eastAsia="lv-LV"/>
              </w:rPr>
              <w:t>(1)</w:t>
            </w:r>
          </w:p>
        </w:tc>
        <w:tc>
          <w:tcPr>
            <w:tcW w:w="753" w:type="dxa"/>
            <w:noWrap/>
            <w:vAlign w:val="center"/>
          </w:tcPr>
          <w:p w14:paraId="6D6DF8E2" w14:textId="77777777" w:rsidR="00F1215C" w:rsidRPr="001050CA" w:rsidRDefault="00F1215C" w:rsidP="00CA0F29">
            <w:pPr>
              <w:spacing w:before="60" w:after="60"/>
              <w:ind w:firstLine="0"/>
              <w:jc w:val="center"/>
              <w:rPr>
                <w:rFonts w:eastAsia="Times New Roman" w:cs="Times New Roman"/>
                <w:b/>
                <w:bCs/>
                <w:noProof/>
                <w:color w:val="000000" w:themeColor="text1"/>
                <w:sz w:val="20"/>
                <w:szCs w:val="20"/>
                <w:lang w:eastAsia="lv-LV"/>
              </w:rPr>
            </w:pPr>
            <w:r w:rsidRPr="001050CA">
              <w:rPr>
                <w:rFonts w:cs="Times New Roman"/>
                <w:b/>
                <w:bCs/>
                <w:noProof/>
                <w:color w:val="000000" w:themeColor="text1"/>
                <w:sz w:val="20"/>
                <w:szCs w:val="20"/>
              </w:rPr>
              <w:t>-2,545</w:t>
            </w:r>
          </w:p>
        </w:tc>
        <w:tc>
          <w:tcPr>
            <w:tcW w:w="753" w:type="dxa"/>
            <w:noWrap/>
            <w:vAlign w:val="center"/>
          </w:tcPr>
          <w:p w14:paraId="2EF1EC0A" w14:textId="77777777" w:rsidR="00F1215C" w:rsidRPr="001050CA" w:rsidRDefault="00F1215C" w:rsidP="00CA0F29">
            <w:pPr>
              <w:spacing w:before="60" w:after="60"/>
              <w:ind w:firstLine="0"/>
              <w:jc w:val="center"/>
              <w:rPr>
                <w:rFonts w:eastAsia="Times New Roman" w:cs="Times New Roman"/>
                <w:b/>
                <w:bCs/>
                <w:noProof/>
                <w:color w:val="000000" w:themeColor="text1"/>
                <w:sz w:val="20"/>
                <w:szCs w:val="20"/>
                <w:lang w:eastAsia="lv-LV"/>
              </w:rPr>
            </w:pPr>
            <w:r w:rsidRPr="001050CA">
              <w:rPr>
                <w:rFonts w:cs="Times New Roman"/>
                <w:b/>
                <w:bCs/>
                <w:noProof/>
                <w:color w:val="000000" w:themeColor="text1"/>
                <w:sz w:val="20"/>
                <w:szCs w:val="20"/>
              </w:rPr>
              <w:t>-2,596</w:t>
            </w:r>
          </w:p>
        </w:tc>
        <w:tc>
          <w:tcPr>
            <w:tcW w:w="753" w:type="dxa"/>
            <w:vAlign w:val="center"/>
          </w:tcPr>
          <w:p w14:paraId="11F911E1" w14:textId="77777777" w:rsidR="00F1215C" w:rsidRPr="001050CA" w:rsidRDefault="00F1215C" w:rsidP="00CA0F29">
            <w:pPr>
              <w:spacing w:before="60" w:after="60"/>
              <w:ind w:firstLine="0"/>
              <w:jc w:val="center"/>
              <w:rPr>
                <w:rFonts w:eastAsia="Times New Roman" w:cs="Times New Roman"/>
                <w:b/>
                <w:bCs/>
                <w:noProof/>
                <w:color w:val="000000" w:themeColor="text1"/>
                <w:sz w:val="20"/>
                <w:szCs w:val="20"/>
                <w:lang w:eastAsia="lv-LV"/>
              </w:rPr>
            </w:pPr>
            <w:r w:rsidRPr="001050CA">
              <w:rPr>
                <w:rFonts w:cs="Times New Roman"/>
                <w:b/>
                <w:bCs/>
                <w:noProof/>
                <w:color w:val="000000" w:themeColor="text1"/>
                <w:sz w:val="20"/>
                <w:szCs w:val="20"/>
              </w:rPr>
              <w:t>-2,229</w:t>
            </w:r>
          </w:p>
        </w:tc>
        <w:tc>
          <w:tcPr>
            <w:tcW w:w="753" w:type="dxa"/>
            <w:noWrap/>
            <w:vAlign w:val="center"/>
          </w:tcPr>
          <w:p w14:paraId="1B2F9AD7" w14:textId="77777777" w:rsidR="00F1215C" w:rsidRPr="001050CA" w:rsidRDefault="00F1215C" w:rsidP="00CA0F29">
            <w:pPr>
              <w:spacing w:before="60" w:after="60"/>
              <w:ind w:firstLine="0"/>
              <w:jc w:val="center"/>
              <w:rPr>
                <w:rFonts w:eastAsia="Times New Roman" w:cs="Times New Roman"/>
                <w:b/>
                <w:bCs/>
                <w:noProof/>
                <w:color w:val="000000" w:themeColor="text1"/>
                <w:sz w:val="20"/>
                <w:szCs w:val="20"/>
                <w:lang w:eastAsia="lv-LV"/>
              </w:rPr>
            </w:pPr>
            <w:r w:rsidRPr="001050CA">
              <w:rPr>
                <w:rFonts w:cs="Times New Roman"/>
                <w:b/>
                <w:bCs/>
                <w:noProof/>
                <w:color w:val="000000" w:themeColor="text1"/>
                <w:sz w:val="20"/>
                <w:szCs w:val="20"/>
              </w:rPr>
              <w:t>-3,097</w:t>
            </w:r>
          </w:p>
        </w:tc>
      </w:tr>
      <w:tr w:rsidR="00F1215C" w:rsidRPr="001050CA" w14:paraId="183A51F1" w14:textId="77777777" w:rsidTr="001050CA">
        <w:trPr>
          <w:trHeight w:val="20"/>
          <w:jc w:val="center"/>
        </w:trPr>
        <w:tc>
          <w:tcPr>
            <w:tcW w:w="3823" w:type="dxa"/>
            <w:noWrap/>
            <w:vAlign w:val="center"/>
          </w:tcPr>
          <w:p w14:paraId="093D253C" w14:textId="0BC8FA18" w:rsidR="00F1215C" w:rsidRPr="001050CA" w:rsidRDefault="00352EDD" w:rsidP="00CA0F29">
            <w:pPr>
              <w:spacing w:before="60" w:after="60"/>
              <w:ind w:firstLine="0"/>
              <w:jc w:val="left"/>
              <w:rPr>
                <w:rFonts w:eastAsia="Times New Roman" w:cs="Times New Roman"/>
                <w:noProof/>
                <w:color w:val="000000"/>
                <w:sz w:val="20"/>
                <w:szCs w:val="20"/>
                <w:lang w:eastAsia="lv-LV"/>
              </w:rPr>
            </w:pPr>
            <w:r w:rsidRPr="001050CA">
              <w:rPr>
                <w:rFonts w:eastAsia="Times New Roman" w:cs="Times New Roman"/>
                <w:noProof/>
                <w:color w:val="000000"/>
                <w:sz w:val="20"/>
                <w:szCs w:val="20"/>
                <w:lang w:eastAsia="lv-LV"/>
              </w:rPr>
              <w:t>V</w:t>
            </w:r>
            <w:r w:rsidR="00F1215C" w:rsidRPr="001050CA">
              <w:rPr>
                <w:rFonts w:eastAsia="Times New Roman" w:cs="Times New Roman"/>
                <w:noProof/>
                <w:color w:val="000000"/>
                <w:sz w:val="20"/>
                <w:szCs w:val="20"/>
                <w:lang w:eastAsia="lv-LV"/>
              </w:rPr>
              <w:t>ispārējās valdības budžeta nominālā bilance</w:t>
            </w:r>
            <w:r w:rsidR="00F1215C" w:rsidRPr="001050CA">
              <w:rPr>
                <w:noProof/>
                <w:sz w:val="20"/>
                <w:szCs w:val="20"/>
              </w:rPr>
              <w:t xml:space="preserve"> </w:t>
            </w:r>
            <w:r w:rsidR="00F1215C" w:rsidRPr="001050CA">
              <w:rPr>
                <w:rFonts w:eastAsia="Times New Roman" w:cs="Times New Roman"/>
                <w:noProof/>
                <w:color w:val="000000"/>
                <w:sz w:val="20"/>
                <w:szCs w:val="20"/>
                <w:lang w:eastAsia="lv-LV"/>
              </w:rPr>
              <w:t>pie nemainīgas politikas, % no IKP</w:t>
            </w:r>
          </w:p>
        </w:tc>
        <w:tc>
          <w:tcPr>
            <w:tcW w:w="972" w:type="dxa"/>
            <w:vAlign w:val="center"/>
          </w:tcPr>
          <w:p w14:paraId="09CA23C6" w14:textId="77777777" w:rsidR="00F1215C" w:rsidRPr="001050CA" w:rsidRDefault="00F1215C" w:rsidP="00CA0F29">
            <w:pPr>
              <w:spacing w:before="60" w:after="60"/>
              <w:ind w:firstLine="0"/>
              <w:jc w:val="center"/>
              <w:rPr>
                <w:rFonts w:cs="Times New Roman"/>
                <w:noProof/>
                <w:color w:val="000000"/>
                <w:sz w:val="20"/>
                <w:szCs w:val="20"/>
              </w:rPr>
            </w:pPr>
            <w:r w:rsidRPr="001050CA">
              <w:rPr>
                <w:rFonts w:cs="Times New Roman"/>
                <w:noProof/>
                <w:color w:val="000000"/>
                <w:sz w:val="20"/>
                <w:szCs w:val="20"/>
              </w:rPr>
              <w:t>(2)</w:t>
            </w:r>
          </w:p>
        </w:tc>
        <w:tc>
          <w:tcPr>
            <w:tcW w:w="753" w:type="dxa"/>
            <w:noWrap/>
            <w:vAlign w:val="center"/>
          </w:tcPr>
          <w:p w14:paraId="2ACB2684" w14:textId="77777777" w:rsidR="00F1215C" w:rsidRPr="001050CA" w:rsidRDefault="00F1215C" w:rsidP="00CA0F29">
            <w:pPr>
              <w:spacing w:before="60" w:after="60"/>
              <w:ind w:firstLine="0"/>
              <w:jc w:val="center"/>
              <w:rPr>
                <w:rFonts w:cs="Times New Roman"/>
                <w:noProof/>
                <w:color w:val="47D359"/>
                <w:sz w:val="20"/>
                <w:szCs w:val="20"/>
              </w:rPr>
            </w:pPr>
            <w:r w:rsidRPr="001050CA">
              <w:rPr>
                <w:rFonts w:cs="Times New Roman"/>
                <w:noProof/>
                <w:color w:val="000000" w:themeColor="text1"/>
                <w:sz w:val="20"/>
                <w:szCs w:val="20"/>
              </w:rPr>
              <w:t>-3,0</w:t>
            </w:r>
          </w:p>
        </w:tc>
        <w:tc>
          <w:tcPr>
            <w:tcW w:w="753" w:type="dxa"/>
            <w:noWrap/>
            <w:vAlign w:val="center"/>
          </w:tcPr>
          <w:p w14:paraId="4E9169A6" w14:textId="77777777" w:rsidR="00F1215C" w:rsidRPr="001050CA" w:rsidRDefault="00F1215C" w:rsidP="00CA0F29">
            <w:pPr>
              <w:spacing w:before="60" w:after="60"/>
              <w:ind w:firstLine="0"/>
              <w:jc w:val="center"/>
              <w:rPr>
                <w:rFonts w:cs="Times New Roman"/>
                <w:noProof/>
                <w:color w:val="47D359"/>
                <w:sz w:val="20"/>
                <w:szCs w:val="20"/>
              </w:rPr>
            </w:pPr>
            <w:r w:rsidRPr="001050CA">
              <w:rPr>
                <w:rFonts w:cs="Times New Roman"/>
                <w:noProof/>
                <w:color w:val="000000" w:themeColor="text1"/>
                <w:sz w:val="20"/>
                <w:szCs w:val="20"/>
              </w:rPr>
              <w:t>-4,1</w:t>
            </w:r>
          </w:p>
        </w:tc>
        <w:tc>
          <w:tcPr>
            <w:tcW w:w="753" w:type="dxa"/>
            <w:vAlign w:val="center"/>
          </w:tcPr>
          <w:p w14:paraId="3B8EDB06" w14:textId="77777777" w:rsidR="00F1215C" w:rsidRPr="001050CA" w:rsidRDefault="00F1215C" w:rsidP="00CA0F29">
            <w:pPr>
              <w:spacing w:before="60" w:after="60"/>
              <w:ind w:firstLine="0"/>
              <w:jc w:val="center"/>
              <w:rPr>
                <w:rFonts w:cs="Times New Roman"/>
                <w:noProof/>
                <w:color w:val="47D359"/>
                <w:sz w:val="20"/>
                <w:szCs w:val="20"/>
              </w:rPr>
            </w:pPr>
            <w:r w:rsidRPr="001050CA">
              <w:rPr>
                <w:rFonts w:cs="Times New Roman"/>
                <w:noProof/>
                <w:color w:val="000000" w:themeColor="text1"/>
                <w:sz w:val="20"/>
                <w:szCs w:val="20"/>
              </w:rPr>
              <w:t>-3,7</w:t>
            </w:r>
          </w:p>
        </w:tc>
        <w:tc>
          <w:tcPr>
            <w:tcW w:w="753" w:type="dxa"/>
            <w:noWrap/>
            <w:vAlign w:val="center"/>
          </w:tcPr>
          <w:p w14:paraId="72754739" w14:textId="77777777" w:rsidR="00F1215C" w:rsidRPr="001050CA" w:rsidRDefault="00F1215C" w:rsidP="00CA0F29">
            <w:pPr>
              <w:spacing w:before="60" w:after="60"/>
              <w:ind w:firstLine="0"/>
              <w:jc w:val="center"/>
              <w:rPr>
                <w:rFonts w:cs="Times New Roman"/>
                <w:noProof/>
                <w:color w:val="47D359"/>
                <w:sz w:val="20"/>
                <w:szCs w:val="20"/>
              </w:rPr>
            </w:pPr>
            <w:r w:rsidRPr="001050CA">
              <w:rPr>
                <w:rFonts w:cs="Times New Roman"/>
                <w:noProof/>
                <w:color w:val="000000" w:themeColor="text1"/>
                <w:sz w:val="20"/>
                <w:szCs w:val="20"/>
              </w:rPr>
              <w:t>-3,9</w:t>
            </w:r>
          </w:p>
        </w:tc>
      </w:tr>
      <w:tr w:rsidR="00F1215C" w:rsidRPr="001050CA" w14:paraId="08A6D3E8" w14:textId="77777777" w:rsidTr="001050CA">
        <w:trPr>
          <w:trHeight w:val="20"/>
          <w:jc w:val="center"/>
        </w:trPr>
        <w:tc>
          <w:tcPr>
            <w:tcW w:w="3823" w:type="dxa"/>
            <w:noWrap/>
            <w:vAlign w:val="center"/>
          </w:tcPr>
          <w:p w14:paraId="10664453" w14:textId="0391EB3C" w:rsidR="00F1215C" w:rsidRPr="001050CA" w:rsidRDefault="00352EDD" w:rsidP="00CA0F29">
            <w:pPr>
              <w:spacing w:before="60" w:after="60"/>
              <w:ind w:firstLine="0"/>
              <w:jc w:val="left"/>
              <w:rPr>
                <w:rFonts w:eastAsia="Times New Roman" w:cs="Times New Roman"/>
                <w:noProof/>
                <w:color w:val="000000"/>
                <w:sz w:val="20"/>
                <w:szCs w:val="20"/>
                <w:lang w:eastAsia="lv-LV"/>
              </w:rPr>
            </w:pPr>
            <w:r w:rsidRPr="001050CA">
              <w:rPr>
                <w:rFonts w:eastAsia="Times New Roman" w:cs="Times New Roman"/>
                <w:noProof/>
                <w:color w:val="000000"/>
                <w:sz w:val="20"/>
                <w:szCs w:val="20"/>
                <w:lang w:eastAsia="lv-LV"/>
              </w:rPr>
              <w:t>B</w:t>
            </w:r>
            <w:r w:rsidR="00F1215C" w:rsidRPr="001050CA">
              <w:rPr>
                <w:rFonts w:eastAsia="Times New Roman" w:cs="Times New Roman"/>
                <w:noProof/>
                <w:color w:val="000000"/>
                <w:sz w:val="20"/>
                <w:szCs w:val="20"/>
                <w:lang w:eastAsia="lv-LV"/>
              </w:rPr>
              <w:t>ilances cikliskā komponente, % no IKP</w:t>
            </w:r>
          </w:p>
        </w:tc>
        <w:tc>
          <w:tcPr>
            <w:tcW w:w="972" w:type="dxa"/>
            <w:vAlign w:val="center"/>
          </w:tcPr>
          <w:p w14:paraId="3E57D95A" w14:textId="77777777" w:rsidR="00F1215C" w:rsidRPr="001050CA" w:rsidRDefault="00F1215C" w:rsidP="00CA0F29">
            <w:pPr>
              <w:spacing w:before="60" w:after="60"/>
              <w:ind w:firstLine="0"/>
              <w:jc w:val="center"/>
              <w:rPr>
                <w:rFonts w:cs="Times New Roman"/>
                <w:noProof/>
                <w:color w:val="000000"/>
                <w:sz w:val="20"/>
                <w:szCs w:val="20"/>
              </w:rPr>
            </w:pPr>
            <w:r w:rsidRPr="001050CA">
              <w:rPr>
                <w:rFonts w:cs="Times New Roman"/>
                <w:noProof/>
                <w:color w:val="000000"/>
                <w:sz w:val="20"/>
                <w:szCs w:val="20"/>
              </w:rPr>
              <w:t>(3)</w:t>
            </w:r>
          </w:p>
        </w:tc>
        <w:tc>
          <w:tcPr>
            <w:tcW w:w="753" w:type="dxa"/>
            <w:noWrap/>
            <w:vAlign w:val="center"/>
          </w:tcPr>
          <w:p w14:paraId="4B3A2A2F" w14:textId="77777777" w:rsidR="00F1215C" w:rsidRPr="001050CA" w:rsidRDefault="00F1215C" w:rsidP="00CA0F29">
            <w:pPr>
              <w:spacing w:before="60" w:after="60"/>
              <w:ind w:firstLine="0"/>
              <w:jc w:val="center"/>
              <w:rPr>
                <w:rFonts w:cs="Times New Roman"/>
                <w:noProof/>
                <w:color w:val="47D359"/>
                <w:sz w:val="20"/>
                <w:szCs w:val="20"/>
              </w:rPr>
            </w:pPr>
            <w:r w:rsidRPr="001050CA">
              <w:rPr>
                <w:rFonts w:cs="Times New Roman"/>
                <w:noProof/>
                <w:color w:val="000000" w:themeColor="text1"/>
                <w:sz w:val="20"/>
                <w:szCs w:val="20"/>
              </w:rPr>
              <w:t>-0,3</w:t>
            </w:r>
          </w:p>
        </w:tc>
        <w:tc>
          <w:tcPr>
            <w:tcW w:w="753" w:type="dxa"/>
            <w:noWrap/>
            <w:vAlign w:val="center"/>
          </w:tcPr>
          <w:p w14:paraId="11713AC6" w14:textId="77777777" w:rsidR="00F1215C" w:rsidRPr="001050CA" w:rsidRDefault="00F1215C" w:rsidP="00CA0F29">
            <w:pPr>
              <w:spacing w:before="60" w:after="60"/>
              <w:ind w:firstLine="0"/>
              <w:jc w:val="center"/>
              <w:rPr>
                <w:rFonts w:cs="Times New Roman"/>
                <w:noProof/>
                <w:color w:val="47D359"/>
                <w:sz w:val="20"/>
                <w:szCs w:val="20"/>
              </w:rPr>
            </w:pPr>
            <w:r w:rsidRPr="001050CA">
              <w:rPr>
                <w:rFonts w:cs="Times New Roman"/>
                <w:noProof/>
                <w:color w:val="000000" w:themeColor="text1"/>
                <w:sz w:val="20"/>
                <w:szCs w:val="20"/>
              </w:rPr>
              <w:t>-0,2</w:t>
            </w:r>
          </w:p>
        </w:tc>
        <w:tc>
          <w:tcPr>
            <w:tcW w:w="753" w:type="dxa"/>
            <w:vAlign w:val="center"/>
          </w:tcPr>
          <w:p w14:paraId="3FE86E69" w14:textId="77777777" w:rsidR="00F1215C" w:rsidRPr="001050CA" w:rsidRDefault="00F1215C" w:rsidP="00CA0F29">
            <w:pPr>
              <w:spacing w:before="60" w:after="60"/>
              <w:ind w:firstLine="0"/>
              <w:jc w:val="center"/>
              <w:rPr>
                <w:rFonts w:cs="Times New Roman"/>
                <w:noProof/>
                <w:color w:val="47D359"/>
                <w:sz w:val="20"/>
                <w:szCs w:val="20"/>
              </w:rPr>
            </w:pPr>
            <w:r w:rsidRPr="001050CA">
              <w:rPr>
                <w:rFonts w:cs="Times New Roman"/>
                <w:noProof/>
                <w:color w:val="000000" w:themeColor="text1"/>
                <w:sz w:val="20"/>
                <w:szCs w:val="20"/>
              </w:rPr>
              <w:t>-0,1</w:t>
            </w:r>
          </w:p>
        </w:tc>
        <w:tc>
          <w:tcPr>
            <w:tcW w:w="753" w:type="dxa"/>
            <w:noWrap/>
            <w:vAlign w:val="center"/>
          </w:tcPr>
          <w:p w14:paraId="52E079A0" w14:textId="77777777" w:rsidR="00F1215C" w:rsidRPr="001050CA" w:rsidRDefault="00F1215C" w:rsidP="00CA0F29">
            <w:pPr>
              <w:spacing w:before="60" w:after="60"/>
              <w:ind w:firstLine="0"/>
              <w:jc w:val="center"/>
              <w:rPr>
                <w:rFonts w:cs="Times New Roman"/>
                <w:noProof/>
                <w:color w:val="47D359"/>
                <w:sz w:val="20"/>
                <w:szCs w:val="20"/>
              </w:rPr>
            </w:pPr>
            <w:r w:rsidRPr="001050CA">
              <w:rPr>
                <w:rFonts w:cs="Times New Roman"/>
                <w:noProof/>
                <w:color w:val="000000" w:themeColor="text1"/>
                <w:sz w:val="20"/>
                <w:szCs w:val="20"/>
              </w:rPr>
              <w:t>0,0</w:t>
            </w:r>
          </w:p>
        </w:tc>
      </w:tr>
      <w:tr w:rsidR="00F1215C" w:rsidRPr="001050CA" w14:paraId="5597AFD7" w14:textId="77777777" w:rsidTr="001050CA">
        <w:trPr>
          <w:trHeight w:val="20"/>
          <w:jc w:val="center"/>
        </w:trPr>
        <w:tc>
          <w:tcPr>
            <w:tcW w:w="3823" w:type="dxa"/>
            <w:noWrap/>
            <w:vAlign w:val="center"/>
          </w:tcPr>
          <w:p w14:paraId="031C2A86" w14:textId="08579335" w:rsidR="00F1215C" w:rsidRPr="001050CA" w:rsidRDefault="00352EDD" w:rsidP="00CA0F29">
            <w:pPr>
              <w:spacing w:before="60" w:after="60"/>
              <w:ind w:firstLine="0"/>
              <w:jc w:val="left"/>
              <w:rPr>
                <w:rFonts w:eastAsia="Times New Roman" w:cs="Times New Roman"/>
                <w:noProof/>
                <w:color w:val="000000"/>
                <w:sz w:val="20"/>
                <w:szCs w:val="20"/>
                <w:lang w:eastAsia="lv-LV"/>
              </w:rPr>
            </w:pPr>
            <w:r w:rsidRPr="001050CA">
              <w:rPr>
                <w:rFonts w:eastAsia="Times New Roman" w:cs="Times New Roman"/>
                <w:noProof/>
                <w:color w:val="000000"/>
                <w:sz w:val="20"/>
                <w:szCs w:val="20"/>
                <w:lang w:eastAsia="lv-LV"/>
              </w:rPr>
              <w:t>V</w:t>
            </w:r>
            <w:r w:rsidR="00F1215C" w:rsidRPr="001050CA">
              <w:rPr>
                <w:rFonts w:eastAsia="Times New Roman" w:cs="Times New Roman"/>
                <w:noProof/>
                <w:color w:val="000000"/>
                <w:sz w:val="20"/>
                <w:szCs w:val="20"/>
                <w:lang w:eastAsia="lv-LV"/>
              </w:rPr>
              <w:t>ienreizējie pasākumi, % no IKP</w:t>
            </w:r>
          </w:p>
        </w:tc>
        <w:tc>
          <w:tcPr>
            <w:tcW w:w="972" w:type="dxa"/>
            <w:vAlign w:val="center"/>
          </w:tcPr>
          <w:p w14:paraId="6A9815D8" w14:textId="77777777" w:rsidR="00F1215C" w:rsidRPr="001050CA" w:rsidRDefault="00F1215C" w:rsidP="00CA0F29">
            <w:pPr>
              <w:spacing w:before="60" w:after="60"/>
              <w:ind w:firstLine="0"/>
              <w:jc w:val="center"/>
              <w:rPr>
                <w:rFonts w:cs="Times New Roman"/>
                <w:noProof/>
                <w:color w:val="000000"/>
                <w:sz w:val="20"/>
                <w:szCs w:val="20"/>
              </w:rPr>
            </w:pPr>
            <w:r w:rsidRPr="001050CA">
              <w:rPr>
                <w:rFonts w:cs="Times New Roman"/>
                <w:noProof/>
                <w:color w:val="000000"/>
                <w:sz w:val="20"/>
                <w:szCs w:val="20"/>
              </w:rPr>
              <w:t>(4)</w:t>
            </w:r>
          </w:p>
        </w:tc>
        <w:tc>
          <w:tcPr>
            <w:tcW w:w="753" w:type="dxa"/>
            <w:noWrap/>
            <w:vAlign w:val="center"/>
          </w:tcPr>
          <w:p w14:paraId="678ADE07" w14:textId="77777777" w:rsidR="00F1215C" w:rsidRPr="001050CA" w:rsidRDefault="00F1215C" w:rsidP="00CA0F29">
            <w:pPr>
              <w:spacing w:before="60" w:after="60"/>
              <w:ind w:firstLine="0"/>
              <w:jc w:val="center"/>
              <w:rPr>
                <w:rFonts w:cs="Times New Roman"/>
                <w:noProof/>
                <w:color w:val="000000" w:themeColor="text1"/>
                <w:sz w:val="20"/>
                <w:szCs w:val="20"/>
              </w:rPr>
            </w:pPr>
            <w:r w:rsidRPr="001050CA">
              <w:rPr>
                <w:rFonts w:eastAsia="Times New Roman" w:cs="Times New Roman"/>
                <w:noProof/>
                <w:sz w:val="20"/>
                <w:szCs w:val="20"/>
                <w:lang w:eastAsia="lv-LV"/>
              </w:rPr>
              <w:t>-1,6</w:t>
            </w:r>
          </w:p>
        </w:tc>
        <w:tc>
          <w:tcPr>
            <w:tcW w:w="753" w:type="dxa"/>
            <w:noWrap/>
            <w:vAlign w:val="center"/>
          </w:tcPr>
          <w:p w14:paraId="5574AC3A" w14:textId="77777777" w:rsidR="00F1215C" w:rsidRPr="001050CA" w:rsidRDefault="00F1215C" w:rsidP="00CA0F29">
            <w:pPr>
              <w:spacing w:before="60" w:after="60"/>
              <w:ind w:firstLine="0"/>
              <w:jc w:val="center"/>
              <w:rPr>
                <w:rFonts w:cs="Times New Roman"/>
                <w:noProof/>
                <w:color w:val="000000" w:themeColor="text1"/>
                <w:sz w:val="20"/>
                <w:szCs w:val="20"/>
              </w:rPr>
            </w:pPr>
            <w:r w:rsidRPr="001050CA">
              <w:rPr>
                <w:rFonts w:eastAsia="Times New Roman" w:cs="Times New Roman"/>
                <w:noProof/>
                <w:sz w:val="20"/>
                <w:szCs w:val="20"/>
                <w:lang w:eastAsia="lv-LV"/>
              </w:rPr>
              <w:t>-1,7</w:t>
            </w:r>
          </w:p>
        </w:tc>
        <w:tc>
          <w:tcPr>
            <w:tcW w:w="753" w:type="dxa"/>
            <w:vAlign w:val="center"/>
          </w:tcPr>
          <w:p w14:paraId="7800064F" w14:textId="77777777" w:rsidR="00F1215C" w:rsidRPr="001050CA" w:rsidRDefault="00F1215C" w:rsidP="00CA0F29">
            <w:pPr>
              <w:spacing w:before="60" w:after="60"/>
              <w:ind w:firstLine="0"/>
              <w:jc w:val="center"/>
              <w:rPr>
                <w:rFonts w:cs="Times New Roman"/>
                <w:noProof/>
                <w:color w:val="000000" w:themeColor="text1"/>
                <w:sz w:val="20"/>
                <w:szCs w:val="20"/>
              </w:rPr>
            </w:pPr>
            <w:r w:rsidRPr="001050CA">
              <w:rPr>
                <w:rFonts w:eastAsia="Times New Roman" w:cs="Times New Roman"/>
                <w:noProof/>
                <w:sz w:val="20"/>
                <w:szCs w:val="20"/>
                <w:lang w:eastAsia="lv-LV"/>
              </w:rPr>
              <w:t>-1,6</w:t>
            </w:r>
          </w:p>
        </w:tc>
        <w:tc>
          <w:tcPr>
            <w:tcW w:w="753" w:type="dxa"/>
            <w:noWrap/>
            <w:vAlign w:val="center"/>
          </w:tcPr>
          <w:p w14:paraId="33FEEB5A" w14:textId="77777777" w:rsidR="00F1215C" w:rsidRPr="001050CA" w:rsidRDefault="00F1215C" w:rsidP="00CA0F29">
            <w:pPr>
              <w:spacing w:before="60" w:after="60"/>
              <w:ind w:firstLine="0"/>
              <w:jc w:val="center"/>
              <w:rPr>
                <w:rFonts w:cs="Times New Roman"/>
                <w:noProof/>
                <w:color w:val="000000" w:themeColor="text1"/>
                <w:sz w:val="20"/>
                <w:szCs w:val="20"/>
              </w:rPr>
            </w:pPr>
            <w:r w:rsidRPr="001050CA">
              <w:rPr>
                <w:rFonts w:eastAsia="Times New Roman" w:cs="Times New Roman"/>
                <w:noProof/>
                <w:sz w:val="20"/>
                <w:szCs w:val="20"/>
                <w:lang w:eastAsia="lv-LV"/>
              </w:rPr>
              <w:t>-0,9</w:t>
            </w:r>
          </w:p>
        </w:tc>
      </w:tr>
      <w:tr w:rsidR="00F1215C" w:rsidRPr="001050CA" w14:paraId="1D40027E" w14:textId="77777777" w:rsidTr="001050CA">
        <w:trPr>
          <w:trHeight w:val="20"/>
          <w:jc w:val="center"/>
        </w:trPr>
        <w:tc>
          <w:tcPr>
            <w:tcW w:w="3823" w:type="dxa"/>
            <w:noWrap/>
            <w:vAlign w:val="center"/>
          </w:tcPr>
          <w:p w14:paraId="3741A445" w14:textId="63E50F9F" w:rsidR="00F1215C" w:rsidRPr="001050CA" w:rsidRDefault="00352EDD" w:rsidP="00CA0F29">
            <w:pPr>
              <w:spacing w:before="60" w:after="60"/>
              <w:ind w:firstLine="0"/>
              <w:jc w:val="left"/>
              <w:rPr>
                <w:rFonts w:eastAsia="Times New Roman" w:cs="Times New Roman"/>
                <w:noProof/>
                <w:color w:val="000000"/>
                <w:sz w:val="20"/>
                <w:szCs w:val="20"/>
                <w:lang w:eastAsia="lv-LV"/>
              </w:rPr>
            </w:pPr>
            <w:r w:rsidRPr="001050CA">
              <w:rPr>
                <w:rFonts w:eastAsia="Times New Roman" w:cs="Times New Roman"/>
                <w:noProof/>
                <w:color w:val="000000"/>
                <w:sz w:val="20"/>
                <w:szCs w:val="20"/>
                <w:lang w:eastAsia="lv-LV"/>
              </w:rPr>
              <w:lastRenderedPageBreak/>
              <w:t>V</w:t>
            </w:r>
            <w:r w:rsidR="00F1215C" w:rsidRPr="001050CA">
              <w:rPr>
                <w:rFonts w:eastAsia="Times New Roman" w:cs="Times New Roman"/>
                <w:noProof/>
                <w:color w:val="000000"/>
                <w:sz w:val="20"/>
                <w:szCs w:val="20"/>
                <w:lang w:eastAsia="lv-LV"/>
              </w:rPr>
              <w:t>ispārējās valdības budžeta strukturālā bilance</w:t>
            </w:r>
            <w:r w:rsidR="00F1215C" w:rsidRPr="001050CA">
              <w:rPr>
                <w:noProof/>
                <w:sz w:val="20"/>
                <w:szCs w:val="20"/>
              </w:rPr>
              <w:t xml:space="preserve"> </w:t>
            </w:r>
            <w:r w:rsidR="00F1215C" w:rsidRPr="001050CA">
              <w:rPr>
                <w:rFonts w:eastAsia="Times New Roman" w:cs="Times New Roman"/>
                <w:noProof/>
                <w:color w:val="000000"/>
                <w:sz w:val="20"/>
                <w:szCs w:val="20"/>
                <w:lang w:eastAsia="lv-LV"/>
              </w:rPr>
              <w:t>pie nemainīgas politikas, % no IKP</w:t>
            </w:r>
          </w:p>
        </w:tc>
        <w:tc>
          <w:tcPr>
            <w:tcW w:w="972" w:type="dxa"/>
            <w:vAlign w:val="center"/>
          </w:tcPr>
          <w:p w14:paraId="6C47CABF" w14:textId="77777777" w:rsidR="00F1215C" w:rsidRPr="001050CA" w:rsidRDefault="00F1215C" w:rsidP="00CA0F29">
            <w:pPr>
              <w:spacing w:before="60" w:after="60"/>
              <w:ind w:firstLine="0"/>
              <w:jc w:val="center"/>
              <w:rPr>
                <w:rFonts w:cs="Times New Roman"/>
                <w:noProof/>
                <w:color w:val="000000"/>
                <w:sz w:val="20"/>
                <w:szCs w:val="20"/>
              </w:rPr>
            </w:pPr>
            <w:r w:rsidRPr="001050CA">
              <w:rPr>
                <w:rFonts w:cs="Times New Roman"/>
                <w:noProof/>
                <w:color w:val="000000"/>
                <w:sz w:val="20"/>
                <w:szCs w:val="20"/>
              </w:rPr>
              <w:t>(5)=(2)-(3)-(4)</w:t>
            </w:r>
          </w:p>
        </w:tc>
        <w:tc>
          <w:tcPr>
            <w:tcW w:w="753" w:type="dxa"/>
            <w:noWrap/>
            <w:vAlign w:val="center"/>
          </w:tcPr>
          <w:p w14:paraId="1939FFDE" w14:textId="77777777" w:rsidR="00F1215C" w:rsidRPr="001050CA" w:rsidRDefault="00F1215C" w:rsidP="00CA0F29">
            <w:pPr>
              <w:spacing w:before="60" w:after="60"/>
              <w:ind w:firstLine="0"/>
              <w:jc w:val="center"/>
              <w:rPr>
                <w:rFonts w:cs="Times New Roman"/>
                <w:noProof/>
                <w:color w:val="47D359"/>
                <w:sz w:val="20"/>
                <w:szCs w:val="20"/>
              </w:rPr>
            </w:pPr>
            <w:r w:rsidRPr="001050CA">
              <w:rPr>
                <w:rFonts w:cs="Times New Roman"/>
                <w:noProof/>
                <w:color w:val="000000" w:themeColor="text1"/>
                <w:sz w:val="20"/>
                <w:szCs w:val="20"/>
              </w:rPr>
              <w:t>-1,1</w:t>
            </w:r>
          </w:p>
        </w:tc>
        <w:tc>
          <w:tcPr>
            <w:tcW w:w="753" w:type="dxa"/>
            <w:noWrap/>
            <w:vAlign w:val="center"/>
          </w:tcPr>
          <w:p w14:paraId="6119B280" w14:textId="77777777" w:rsidR="00F1215C" w:rsidRPr="001050CA" w:rsidRDefault="00F1215C" w:rsidP="00CA0F29">
            <w:pPr>
              <w:spacing w:before="60" w:after="60"/>
              <w:ind w:firstLine="0"/>
              <w:jc w:val="center"/>
              <w:rPr>
                <w:rFonts w:cs="Times New Roman"/>
                <w:noProof/>
                <w:color w:val="47D359"/>
                <w:sz w:val="20"/>
                <w:szCs w:val="20"/>
              </w:rPr>
            </w:pPr>
            <w:r w:rsidRPr="001050CA">
              <w:rPr>
                <w:rFonts w:cs="Times New Roman"/>
                <w:noProof/>
                <w:color w:val="000000" w:themeColor="text1"/>
                <w:sz w:val="20"/>
                <w:szCs w:val="20"/>
              </w:rPr>
              <w:t>-2,2</w:t>
            </w:r>
          </w:p>
        </w:tc>
        <w:tc>
          <w:tcPr>
            <w:tcW w:w="753" w:type="dxa"/>
            <w:vAlign w:val="center"/>
          </w:tcPr>
          <w:p w14:paraId="31E1C3F3" w14:textId="77777777" w:rsidR="00F1215C" w:rsidRPr="001050CA" w:rsidRDefault="00F1215C" w:rsidP="00CA0F29">
            <w:pPr>
              <w:spacing w:before="60" w:after="60"/>
              <w:ind w:firstLine="0"/>
              <w:jc w:val="center"/>
              <w:rPr>
                <w:rFonts w:cs="Times New Roman"/>
                <w:noProof/>
                <w:color w:val="47D359"/>
                <w:sz w:val="20"/>
                <w:szCs w:val="20"/>
              </w:rPr>
            </w:pPr>
            <w:r w:rsidRPr="001050CA">
              <w:rPr>
                <w:rFonts w:cs="Times New Roman"/>
                <w:noProof/>
                <w:color w:val="000000" w:themeColor="text1"/>
                <w:sz w:val="20"/>
                <w:szCs w:val="20"/>
              </w:rPr>
              <w:t>-2,1</w:t>
            </w:r>
          </w:p>
        </w:tc>
        <w:tc>
          <w:tcPr>
            <w:tcW w:w="753" w:type="dxa"/>
            <w:noWrap/>
            <w:vAlign w:val="center"/>
          </w:tcPr>
          <w:p w14:paraId="3D2706E3" w14:textId="77777777" w:rsidR="00F1215C" w:rsidRPr="001050CA" w:rsidRDefault="00F1215C" w:rsidP="00CA0F29">
            <w:pPr>
              <w:spacing w:before="60" w:after="60"/>
              <w:ind w:firstLine="0"/>
              <w:jc w:val="center"/>
              <w:rPr>
                <w:rFonts w:cs="Times New Roman"/>
                <w:noProof/>
                <w:color w:val="47D359"/>
                <w:sz w:val="20"/>
                <w:szCs w:val="20"/>
              </w:rPr>
            </w:pPr>
            <w:r w:rsidRPr="001050CA">
              <w:rPr>
                <w:rFonts w:cs="Times New Roman"/>
                <w:noProof/>
                <w:color w:val="000000" w:themeColor="text1"/>
                <w:sz w:val="20"/>
                <w:szCs w:val="20"/>
              </w:rPr>
              <w:t>-3,0</w:t>
            </w:r>
          </w:p>
        </w:tc>
      </w:tr>
      <w:tr w:rsidR="00F1215C" w:rsidRPr="001050CA" w14:paraId="3FF7C4E1" w14:textId="77777777" w:rsidTr="001050CA">
        <w:trPr>
          <w:trHeight w:val="20"/>
          <w:jc w:val="center"/>
        </w:trPr>
        <w:tc>
          <w:tcPr>
            <w:tcW w:w="3823" w:type="dxa"/>
            <w:noWrap/>
            <w:vAlign w:val="center"/>
          </w:tcPr>
          <w:p w14:paraId="3BAC4EF3" w14:textId="26247934" w:rsidR="00F1215C" w:rsidRPr="001050CA" w:rsidRDefault="00352EDD" w:rsidP="00CA0F29">
            <w:pPr>
              <w:spacing w:before="60" w:after="60"/>
              <w:ind w:firstLine="0"/>
              <w:jc w:val="left"/>
              <w:rPr>
                <w:rFonts w:eastAsia="Times New Roman" w:cs="Times New Roman"/>
                <w:noProof/>
                <w:color w:val="000000"/>
                <w:sz w:val="20"/>
                <w:szCs w:val="20"/>
                <w:lang w:eastAsia="lv-LV"/>
              </w:rPr>
            </w:pPr>
            <w:r w:rsidRPr="001050CA">
              <w:rPr>
                <w:rFonts w:eastAsia="Times New Roman" w:cs="Times New Roman"/>
                <w:noProof/>
                <w:color w:val="000000"/>
                <w:sz w:val="20"/>
                <w:szCs w:val="20"/>
                <w:lang w:eastAsia="lv-LV"/>
              </w:rPr>
              <w:t>F</w:t>
            </w:r>
            <w:r w:rsidR="00F1215C" w:rsidRPr="001050CA">
              <w:rPr>
                <w:rFonts w:eastAsia="Times New Roman" w:cs="Times New Roman"/>
                <w:noProof/>
                <w:color w:val="000000"/>
                <w:sz w:val="20"/>
                <w:szCs w:val="20"/>
                <w:lang w:eastAsia="lv-LV"/>
              </w:rPr>
              <w:t>iskālā nodrošinājuma rezerve, % no IKP</w:t>
            </w:r>
          </w:p>
        </w:tc>
        <w:tc>
          <w:tcPr>
            <w:tcW w:w="972" w:type="dxa"/>
            <w:vAlign w:val="center"/>
          </w:tcPr>
          <w:p w14:paraId="5C5D9C70" w14:textId="77777777" w:rsidR="00F1215C" w:rsidRPr="001050CA" w:rsidRDefault="00F1215C" w:rsidP="00CA0F29">
            <w:pPr>
              <w:spacing w:before="60" w:after="60"/>
              <w:ind w:firstLine="0"/>
              <w:jc w:val="center"/>
              <w:rPr>
                <w:rFonts w:cs="Times New Roman"/>
                <w:noProof/>
                <w:color w:val="000000"/>
                <w:sz w:val="20"/>
                <w:szCs w:val="20"/>
              </w:rPr>
            </w:pPr>
            <w:r w:rsidRPr="001050CA">
              <w:rPr>
                <w:rFonts w:cs="Times New Roman"/>
                <w:noProof/>
                <w:color w:val="000000"/>
                <w:sz w:val="20"/>
                <w:szCs w:val="20"/>
              </w:rPr>
              <w:t>(6)</w:t>
            </w:r>
          </w:p>
        </w:tc>
        <w:tc>
          <w:tcPr>
            <w:tcW w:w="753" w:type="dxa"/>
            <w:noWrap/>
            <w:vAlign w:val="center"/>
          </w:tcPr>
          <w:p w14:paraId="0E475E91" w14:textId="77777777" w:rsidR="00F1215C" w:rsidRPr="001050CA" w:rsidRDefault="00F1215C" w:rsidP="00CA0F29">
            <w:pPr>
              <w:spacing w:before="60" w:after="60"/>
              <w:ind w:firstLine="0"/>
              <w:jc w:val="center"/>
              <w:rPr>
                <w:rFonts w:cs="Times New Roman"/>
                <w:noProof/>
                <w:color w:val="000000" w:themeColor="text1"/>
                <w:sz w:val="20"/>
                <w:szCs w:val="20"/>
              </w:rPr>
            </w:pPr>
            <w:r w:rsidRPr="001050CA">
              <w:rPr>
                <w:rFonts w:cs="Times New Roman"/>
                <w:noProof/>
                <w:color w:val="000000" w:themeColor="text1"/>
                <w:sz w:val="20"/>
                <w:szCs w:val="20"/>
              </w:rPr>
              <w:t>0,1</w:t>
            </w:r>
          </w:p>
        </w:tc>
        <w:tc>
          <w:tcPr>
            <w:tcW w:w="753" w:type="dxa"/>
            <w:noWrap/>
            <w:vAlign w:val="center"/>
          </w:tcPr>
          <w:p w14:paraId="6303870A" w14:textId="77777777" w:rsidR="00F1215C" w:rsidRPr="001050CA" w:rsidRDefault="00F1215C" w:rsidP="00CA0F29">
            <w:pPr>
              <w:spacing w:before="60" w:after="60"/>
              <w:ind w:firstLine="0"/>
              <w:jc w:val="center"/>
              <w:rPr>
                <w:rFonts w:cs="Times New Roman"/>
                <w:noProof/>
                <w:color w:val="000000" w:themeColor="text1"/>
                <w:sz w:val="20"/>
                <w:szCs w:val="20"/>
              </w:rPr>
            </w:pPr>
            <w:r w:rsidRPr="001050CA">
              <w:rPr>
                <w:rFonts w:cs="Times New Roman"/>
                <w:noProof/>
                <w:color w:val="000000" w:themeColor="text1"/>
                <w:sz w:val="20"/>
                <w:szCs w:val="20"/>
              </w:rPr>
              <w:t>0,1</w:t>
            </w:r>
          </w:p>
        </w:tc>
        <w:tc>
          <w:tcPr>
            <w:tcW w:w="753" w:type="dxa"/>
            <w:vAlign w:val="center"/>
          </w:tcPr>
          <w:p w14:paraId="19606479" w14:textId="77777777" w:rsidR="00F1215C" w:rsidRPr="001050CA" w:rsidRDefault="00F1215C" w:rsidP="00CA0F29">
            <w:pPr>
              <w:spacing w:before="60" w:after="60"/>
              <w:ind w:firstLine="0"/>
              <w:jc w:val="center"/>
              <w:rPr>
                <w:rFonts w:cs="Times New Roman"/>
                <w:noProof/>
                <w:color w:val="000000" w:themeColor="text1"/>
                <w:sz w:val="20"/>
                <w:szCs w:val="20"/>
              </w:rPr>
            </w:pPr>
            <w:r w:rsidRPr="001050CA">
              <w:rPr>
                <w:rFonts w:cs="Times New Roman"/>
                <w:noProof/>
                <w:color w:val="000000" w:themeColor="text1"/>
                <w:sz w:val="20"/>
                <w:szCs w:val="20"/>
              </w:rPr>
              <w:t>0,1</w:t>
            </w:r>
          </w:p>
        </w:tc>
        <w:tc>
          <w:tcPr>
            <w:tcW w:w="753" w:type="dxa"/>
            <w:noWrap/>
            <w:vAlign w:val="center"/>
          </w:tcPr>
          <w:p w14:paraId="21FB47A2" w14:textId="77777777" w:rsidR="00F1215C" w:rsidRPr="001050CA" w:rsidRDefault="00F1215C" w:rsidP="00CA0F29">
            <w:pPr>
              <w:spacing w:before="60" w:after="60"/>
              <w:ind w:firstLine="0"/>
              <w:jc w:val="center"/>
              <w:rPr>
                <w:rFonts w:cs="Times New Roman"/>
                <w:noProof/>
                <w:color w:val="000000" w:themeColor="text1"/>
                <w:sz w:val="20"/>
                <w:szCs w:val="20"/>
              </w:rPr>
            </w:pPr>
            <w:r w:rsidRPr="001050CA">
              <w:rPr>
                <w:rFonts w:cs="Times New Roman"/>
                <w:noProof/>
                <w:color w:val="000000" w:themeColor="text1"/>
                <w:sz w:val="20"/>
                <w:szCs w:val="20"/>
              </w:rPr>
              <w:t>0,1</w:t>
            </w:r>
          </w:p>
        </w:tc>
      </w:tr>
      <w:tr w:rsidR="00F1215C" w:rsidRPr="001050CA" w14:paraId="6ACA3BC1" w14:textId="77777777" w:rsidTr="001050CA">
        <w:trPr>
          <w:trHeight w:val="20"/>
          <w:jc w:val="center"/>
        </w:trPr>
        <w:tc>
          <w:tcPr>
            <w:tcW w:w="3823" w:type="dxa"/>
            <w:shd w:val="clear" w:color="auto" w:fill="EBE2D1"/>
            <w:noWrap/>
            <w:vAlign w:val="center"/>
          </w:tcPr>
          <w:p w14:paraId="1F48B9F7" w14:textId="271B4213" w:rsidR="00F1215C" w:rsidRPr="001050CA" w:rsidRDefault="00352EDD" w:rsidP="00812A3D">
            <w:pPr>
              <w:spacing w:before="60"/>
              <w:ind w:firstLine="0"/>
              <w:jc w:val="left"/>
              <w:rPr>
                <w:rFonts w:eastAsia="Times New Roman" w:cs="Times New Roman"/>
                <w:b/>
                <w:bCs/>
                <w:noProof/>
                <w:color w:val="000000"/>
                <w:sz w:val="20"/>
                <w:szCs w:val="20"/>
                <w:lang w:eastAsia="lv-LV"/>
              </w:rPr>
            </w:pPr>
            <w:r w:rsidRPr="001050CA">
              <w:rPr>
                <w:rFonts w:eastAsia="Times New Roman" w:cs="Times New Roman"/>
                <w:b/>
                <w:bCs/>
                <w:noProof/>
                <w:color w:val="000000"/>
                <w:sz w:val="20"/>
                <w:szCs w:val="20"/>
                <w:lang w:eastAsia="lv-LV"/>
              </w:rPr>
              <w:t>F</w:t>
            </w:r>
            <w:r w:rsidR="00F1215C" w:rsidRPr="001050CA">
              <w:rPr>
                <w:rFonts w:eastAsia="Times New Roman" w:cs="Times New Roman"/>
                <w:b/>
                <w:bCs/>
                <w:noProof/>
                <w:color w:val="000000"/>
                <w:sz w:val="20"/>
                <w:szCs w:val="20"/>
                <w:lang w:eastAsia="lv-LV"/>
              </w:rPr>
              <w:t xml:space="preserve">iskālā telpa atbilstoši </w:t>
            </w:r>
            <w:r w:rsidR="00F1215C" w:rsidRPr="001050CA">
              <w:rPr>
                <w:rFonts w:eastAsia="Times New Roman" w:cs="Times New Roman"/>
                <w:b/>
                <w:noProof/>
                <w:sz w:val="20"/>
                <w:szCs w:val="20"/>
              </w:rPr>
              <w:t xml:space="preserve">ES izdevumu pieauguma </w:t>
            </w:r>
            <w:r w:rsidR="00F1215C" w:rsidRPr="001050CA">
              <w:rPr>
                <w:rFonts w:eastAsia="Times New Roman" w:cs="Times New Roman"/>
                <w:b/>
                <w:bCs/>
                <w:noProof/>
                <w:color w:val="000000"/>
                <w:sz w:val="20"/>
                <w:szCs w:val="20"/>
                <w:lang w:eastAsia="lv-LV"/>
              </w:rPr>
              <w:t>nosacījumam, % no IKP</w:t>
            </w:r>
          </w:p>
        </w:tc>
        <w:tc>
          <w:tcPr>
            <w:tcW w:w="972" w:type="dxa"/>
            <w:shd w:val="clear" w:color="auto" w:fill="EBE2D1"/>
            <w:vAlign w:val="center"/>
          </w:tcPr>
          <w:p w14:paraId="4413047C" w14:textId="77777777" w:rsidR="00F1215C" w:rsidRPr="001050CA" w:rsidRDefault="00F1215C" w:rsidP="00812A3D">
            <w:pPr>
              <w:spacing w:before="60"/>
              <w:ind w:firstLine="0"/>
              <w:jc w:val="center"/>
              <w:rPr>
                <w:rFonts w:cs="Times New Roman"/>
                <w:b/>
                <w:bCs/>
                <w:noProof/>
                <w:color w:val="000000"/>
                <w:sz w:val="20"/>
                <w:szCs w:val="20"/>
              </w:rPr>
            </w:pPr>
            <w:r w:rsidRPr="001050CA">
              <w:rPr>
                <w:rFonts w:cs="Times New Roman"/>
                <w:b/>
                <w:bCs/>
                <w:noProof/>
                <w:color w:val="000000"/>
                <w:sz w:val="20"/>
                <w:szCs w:val="20"/>
              </w:rPr>
              <w:t>(7)=(5)-(6)-(1)</w:t>
            </w:r>
          </w:p>
        </w:tc>
        <w:tc>
          <w:tcPr>
            <w:tcW w:w="753" w:type="dxa"/>
            <w:shd w:val="clear" w:color="auto" w:fill="EBE2D1"/>
            <w:noWrap/>
            <w:vAlign w:val="center"/>
          </w:tcPr>
          <w:p w14:paraId="289FD507" w14:textId="77777777" w:rsidR="00F1215C" w:rsidRPr="001050CA" w:rsidRDefault="00F1215C" w:rsidP="00812A3D">
            <w:pPr>
              <w:spacing w:before="60"/>
              <w:ind w:firstLine="0"/>
              <w:jc w:val="center"/>
              <w:rPr>
                <w:rFonts w:cs="Times New Roman"/>
                <w:b/>
                <w:bCs/>
                <w:noProof/>
                <w:color w:val="00B050"/>
                <w:sz w:val="20"/>
                <w:szCs w:val="20"/>
              </w:rPr>
            </w:pPr>
            <w:r w:rsidRPr="001050CA">
              <w:rPr>
                <w:rFonts w:cs="Times New Roman"/>
                <w:b/>
                <w:bCs/>
                <w:noProof/>
                <w:color w:val="00B050"/>
                <w:sz w:val="20"/>
                <w:szCs w:val="20"/>
              </w:rPr>
              <w:t>1,39</w:t>
            </w:r>
          </w:p>
        </w:tc>
        <w:tc>
          <w:tcPr>
            <w:tcW w:w="753" w:type="dxa"/>
            <w:shd w:val="clear" w:color="auto" w:fill="EBE2D1"/>
            <w:noWrap/>
            <w:vAlign w:val="center"/>
          </w:tcPr>
          <w:p w14:paraId="16BC2811" w14:textId="77777777" w:rsidR="00F1215C" w:rsidRPr="001050CA" w:rsidRDefault="00F1215C" w:rsidP="00812A3D">
            <w:pPr>
              <w:spacing w:before="60"/>
              <w:ind w:firstLine="0"/>
              <w:jc w:val="center"/>
              <w:rPr>
                <w:rFonts w:cs="Times New Roman"/>
                <w:b/>
                <w:bCs/>
                <w:noProof/>
                <w:color w:val="00B050"/>
                <w:sz w:val="20"/>
                <w:szCs w:val="20"/>
              </w:rPr>
            </w:pPr>
            <w:r w:rsidRPr="001050CA">
              <w:rPr>
                <w:rFonts w:cs="Times New Roman"/>
                <w:b/>
                <w:bCs/>
                <w:noProof/>
                <w:color w:val="00B050"/>
                <w:sz w:val="20"/>
                <w:szCs w:val="20"/>
              </w:rPr>
              <w:t>0,32</w:t>
            </w:r>
          </w:p>
        </w:tc>
        <w:tc>
          <w:tcPr>
            <w:tcW w:w="753" w:type="dxa"/>
            <w:shd w:val="clear" w:color="auto" w:fill="EBE2D1"/>
            <w:vAlign w:val="center"/>
          </w:tcPr>
          <w:p w14:paraId="4B59C255" w14:textId="77777777" w:rsidR="00F1215C" w:rsidRPr="001050CA" w:rsidRDefault="00F1215C" w:rsidP="00812A3D">
            <w:pPr>
              <w:spacing w:before="60"/>
              <w:ind w:firstLine="0"/>
              <w:jc w:val="center"/>
              <w:rPr>
                <w:rFonts w:cs="Times New Roman"/>
                <w:b/>
                <w:bCs/>
                <w:noProof/>
                <w:color w:val="00B050"/>
                <w:sz w:val="20"/>
                <w:szCs w:val="20"/>
              </w:rPr>
            </w:pPr>
            <w:r w:rsidRPr="001050CA">
              <w:rPr>
                <w:rFonts w:cs="Times New Roman"/>
                <w:b/>
                <w:bCs/>
                <w:noProof/>
                <w:color w:val="00B050"/>
                <w:sz w:val="20"/>
                <w:szCs w:val="20"/>
              </w:rPr>
              <w:t>0,06</w:t>
            </w:r>
          </w:p>
        </w:tc>
        <w:tc>
          <w:tcPr>
            <w:tcW w:w="753" w:type="dxa"/>
            <w:shd w:val="clear" w:color="auto" w:fill="EBE2D1"/>
            <w:noWrap/>
            <w:vAlign w:val="center"/>
          </w:tcPr>
          <w:p w14:paraId="4D810C85" w14:textId="77777777" w:rsidR="00F1215C" w:rsidRPr="001050CA" w:rsidRDefault="00F1215C" w:rsidP="00812A3D">
            <w:pPr>
              <w:spacing w:before="60"/>
              <w:ind w:firstLine="0"/>
              <w:jc w:val="center"/>
              <w:rPr>
                <w:rFonts w:cs="Times New Roman"/>
                <w:b/>
                <w:bCs/>
                <w:noProof/>
                <w:color w:val="00B050"/>
                <w:sz w:val="20"/>
                <w:szCs w:val="20"/>
              </w:rPr>
            </w:pPr>
            <w:r w:rsidRPr="001050CA">
              <w:rPr>
                <w:rFonts w:cs="Times New Roman"/>
                <w:b/>
                <w:bCs/>
                <w:noProof/>
                <w:color w:val="00B050"/>
                <w:sz w:val="20"/>
                <w:szCs w:val="20"/>
              </w:rPr>
              <w:t>0,03</w:t>
            </w:r>
          </w:p>
        </w:tc>
      </w:tr>
    </w:tbl>
    <w:p w14:paraId="28EBB986" w14:textId="77777777" w:rsidR="001050CA" w:rsidRDefault="001050CA" w:rsidP="00812A3D">
      <w:pPr>
        <w:widowControl w:val="0"/>
        <w:rPr>
          <w:rFonts w:eastAsia="Times New Roman" w:cs="Times New Roman"/>
          <w:b/>
          <w:noProof/>
          <w:szCs w:val="24"/>
        </w:rPr>
      </w:pPr>
    </w:p>
    <w:p w14:paraId="5DB8C3EA" w14:textId="5D6C9061" w:rsidR="00F1215C" w:rsidRPr="001C0357" w:rsidRDefault="00F1215C" w:rsidP="00812A3D">
      <w:pPr>
        <w:widowControl w:val="0"/>
        <w:rPr>
          <w:rFonts w:eastAsia="Times New Roman" w:cs="Times New Roman"/>
          <w:b/>
          <w:noProof/>
          <w:szCs w:val="24"/>
        </w:rPr>
      </w:pPr>
      <w:r w:rsidRPr="001C0357">
        <w:rPr>
          <w:rFonts w:eastAsia="Times New Roman" w:cs="Times New Roman"/>
          <w:b/>
          <w:noProof/>
          <w:szCs w:val="24"/>
        </w:rPr>
        <w:t>Nominālās bilances nosacījums (4)</w:t>
      </w:r>
    </w:p>
    <w:p w14:paraId="1440C034" w14:textId="76390CD0" w:rsidR="00F1215C" w:rsidRPr="001C0357" w:rsidRDefault="00F1215C" w:rsidP="00812A3D">
      <w:pPr>
        <w:rPr>
          <w:noProof/>
          <w:szCs w:val="20"/>
        </w:rPr>
      </w:pPr>
      <w:r w:rsidRPr="001C0357">
        <w:rPr>
          <w:noProof/>
          <w:szCs w:val="20"/>
        </w:rPr>
        <w:t>Atbilstoši Līgumam par Eiropas Savienības darbību (turpmāk – LESD) vispārējās valdības deficīta atsauces vērtība ir 3% no IKP</w:t>
      </w:r>
      <w:r w:rsidR="00F2738B" w:rsidRPr="001C0357">
        <w:rPr>
          <w:noProof/>
          <w:szCs w:val="20"/>
        </w:rPr>
        <w:t xml:space="preserve"> (skat. 11. tabulu). </w:t>
      </w:r>
      <w:r w:rsidRPr="001C0357">
        <w:rPr>
          <w:noProof/>
          <w:szCs w:val="20"/>
        </w:rPr>
        <w:t>Attiecīgi deficīta atsauces vērtības pārsniegšana automātiski uzliek pienākumu EK sagatavot ziņojumu atbilstoši LESD 126. panta 3. punktam, kurā EK secina, ka vispārējās valdības budžeta deficīts pārsniedz LESD 12. protokolā noteiktas atsauces vērtības, un rekomendē vai nerekomendē ES Padomei uzsākt pret valsti Pārmērīga budžeta deficīta procedūru, tomēr jāņem vērā regulējums, kas ir spēkā vasts izņēmuma klauzulas darbības laikā un attiecīgi jāņem vērā valsts izņēmuma klauzulas fiskālā ietekme</w:t>
      </w:r>
      <w:r w:rsidR="00F2738B" w:rsidRPr="001C0357">
        <w:rPr>
          <w:noProof/>
          <w:szCs w:val="20"/>
        </w:rPr>
        <w:t xml:space="preserve"> (skat. 12. tabulu).</w:t>
      </w:r>
    </w:p>
    <w:p w14:paraId="131A365A" w14:textId="77777777" w:rsidR="00F1215C" w:rsidRPr="001C0357" w:rsidRDefault="00F1215C" w:rsidP="00812A3D">
      <w:pPr>
        <w:widowControl w:val="0"/>
        <w:jc w:val="center"/>
        <w:rPr>
          <w:rFonts w:eastAsia="Times New Roman" w:cs="Times New Roman"/>
          <w:bCs/>
          <w:i/>
          <w:iCs/>
          <w:noProof/>
          <w:szCs w:val="28"/>
        </w:rPr>
      </w:pPr>
      <w:r w:rsidRPr="001C0357">
        <w:rPr>
          <w:rFonts w:cs="Times New Roman"/>
          <w:b/>
          <w:bCs/>
          <w:noProof/>
          <w:szCs w:val="24"/>
          <w:lang w:eastAsia="lv-LV"/>
        </w:rPr>
        <w:t xml:space="preserve">11. </w:t>
      </w:r>
      <w:r w:rsidRPr="001C0357">
        <w:rPr>
          <w:rFonts w:eastAsia="Times New Roman" w:cs="Times New Roman"/>
          <w:b/>
          <w:bCs/>
          <w:noProof/>
          <w:szCs w:val="24"/>
        </w:rPr>
        <w:t>tabula.</w:t>
      </w:r>
      <w:r w:rsidRPr="001C0357">
        <w:rPr>
          <w:rFonts w:eastAsia="Times New Roman" w:cs="Times New Roman"/>
          <w:b/>
          <w:i/>
          <w:iCs/>
          <w:noProof/>
          <w:szCs w:val="24"/>
        </w:rPr>
        <w:t xml:space="preserve"> </w:t>
      </w:r>
      <w:r w:rsidRPr="001C0357">
        <w:rPr>
          <w:rFonts w:eastAsia="Times New Roman" w:cs="Times New Roman"/>
          <w:b/>
          <w:noProof/>
          <w:lang w:eastAsia="lv-LV"/>
        </w:rPr>
        <w:t>V</w:t>
      </w:r>
      <w:r w:rsidRPr="001C0357">
        <w:rPr>
          <w:rFonts w:eastAsia="Times New Roman" w:cs="Times New Roman"/>
          <w:b/>
          <w:noProof/>
          <w:szCs w:val="24"/>
          <w:lang w:eastAsia="lv-LV"/>
        </w:rPr>
        <w:t>ispārējās valdības strukturālās bilances mērķi,</w:t>
      </w:r>
      <w:r w:rsidRPr="001C0357">
        <w:rPr>
          <w:rFonts w:eastAsia="Times New Roman" w:cs="Times New Roman"/>
          <w:b/>
          <w:noProof/>
          <w:lang w:eastAsia="lv-LV"/>
        </w:rPr>
        <w:t xml:space="preserve"> </w:t>
      </w:r>
      <w:r w:rsidRPr="001C0357">
        <w:rPr>
          <w:rFonts w:eastAsia="Times New Roman" w:cs="Times New Roman"/>
          <w:b/>
          <w:noProof/>
          <w:szCs w:val="24"/>
          <w:lang w:eastAsia="lv-LV"/>
        </w:rPr>
        <w:t>balstoties uz nominālās bilances</w:t>
      </w:r>
      <w:r w:rsidRPr="001C0357">
        <w:rPr>
          <w:rFonts w:eastAsia="Times New Roman" w:cs="Times New Roman"/>
          <w:b/>
          <w:noProof/>
          <w:lang w:eastAsia="lv-LV"/>
        </w:rPr>
        <w:t xml:space="preserve"> nosacījumu</w:t>
      </w:r>
    </w:p>
    <w:tbl>
      <w:tblPr>
        <w:tblW w:w="80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992"/>
        <w:gridCol w:w="851"/>
        <w:gridCol w:w="850"/>
        <w:gridCol w:w="856"/>
        <w:gridCol w:w="851"/>
      </w:tblGrid>
      <w:tr w:rsidR="00DC7AD8" w:rsidRPr="001050CA" w14:paraId="72570548" w14:textId="77777777" w:rsidTr="00DC7AD8">
        <w:trPr>
          <w:trHeight w:val="20"/>
          <w:tblHeader/>
          <w:jc w:val="center"/>
        </w:trPr>
        <w:tc>
          <w:tcPr>
            <w:tcW w:w="3681" w:type="dxa"/>
            <w:shd w:val="clear" w:color="auto" w:fill="EBE2D1"/>
            <w:noWrap/>
            <w:vAlign w:val="bottom"/>
            <w:hideMark/>
          </w:tcPr>
          <w:p w14:paraId="6FA3DBA8" w14:textId="77777777" w:rsidR="00F1215C" w:rsidRPr="001050CA" w:rsidRDefault="00F1215C" w:rsidP="00CA0F29">
            <w:pPr>
              <w:spacing w:before="60"/>
              <w:ind w:firstLine="0"/>
              <w:jc w:val="left"/>
              <w:rPr>
                <w:rFonts w:eastAsia="Times New Roman" w:cs="Times New Roman"/>
                <w:noProof/>
                <w:color w:val="000000" w:themeColor="text1"/>
                <w:sz w:val="20"/>
                <w:szCs w:val="20"/>
                <w:lang w:eastAsia="lv-LV"/>
              </w:rPr>
            </w:pPr>
          </w:p>
        </w:tc>
        <w:tc>
          <w:tcPr>
            <w:tcW w:w="992" w:type="dxa"/>
            <w:tcBorders>
              <w:bottom w:val="single" w:sz="4" w:space="0" w:color="auto"/>
            </w:tcBorders>
            <w:shd w:val="clear" w:color="auto" w:fill="EBE2D1"/>
          </w:tcPr>
          <w:p w14:paraId="7C2EA860" w14:textId="77777777" w:rsidR="00F1215C" w:rsidRPr="001050CA" w:rsidRDefault="00F1215C" w:rsidP="00CA0F29">
            <w:pPr>
              <w:spacing w:before="60"/>
              <w:ind w:firstLine="0"/>
              <w:jc w:val="center"/>
              <w:rPr>
                <w:rFonts w:eastAsia="Times New Roman" w:cs="Times New Roman"/>
                <w:noProof/>
                <w:color w:val="000000" w:themeColor="text1"/>
                <w:sz w:val="20"/>
                <w:szCs w:val="20"/>
                <w:lang w:eastAsia="lv-LV"/>
              </w:rPr>
            </w:pPr>
          </w:p>
        </w:tc>
        <w:tc>
          <w:tcPr>
            <w:tcW w:w="851" w:type="dxa"/>
            <w:tcBorders>
              <w:bottom w:val="single" w:sz="4" w:space="0" w:color="auto"/>
            </w:tcBorders>
            <w:shd w:val="clear" w:color="auto" w:fill="EBE2D1"/>
            <w:noWrap/>
            <w:vAlign w:val="center"/>
            <w:hideMark/>
          </w:tcPr>
          <w:p w14:paraId="24FE5DE4" w14:textId="77777777" w:rsidR="00F1215C" w:rsidRPr="001050CA" w:rsidRDefault="00F1215C" w:rsidP="00CA0F29">
            <w:pPr>
              <w:spacing w:before="60"/>
              <w:ind w:firstLine="0"/>
              <w:jc w:val="center"/>
              <w:rPr>
                <w:rFonts w:eastAsia="Times New Roman" w:cs="Times New Roman"/>
                <w:b/>
                <w:bCs/>
                <w:noProof/>
                <w:color w:val="000000" w:themeColor="text1"/>
                <w:sz w:val="20"/>
                <w:szCs w:val="20"/>
                <w:lang w:eastAsia="lv-LV"/>
              </w:rPr>
            </w:pPr>
            <w:r w:rsidRPr="001050CA">
              <w:rPr>
                <w:rFonts w:eastAsia="Times New Roman" w:cs="Times New Roman"/>
                <w:b/>
                <w:bCs/>
                <w:noProof/>
                <w:color w:val="000000" w:themeColor="text1"/>
                <w:sz w:val="20"/>
                <w:szCs w:val="20"/>
                <w:lang w:eastAsia="lv-LV"/>
              </w:rPr>
              <w:t>2026</w:t>
            </w:r>
          </w:p>
        </w:tc>
        <w:tc>
          <w:tcPr>
            <w:tcW w:w="850" w:type="dxa"/>
            <w:tcBorders>
              <w:bottom w:val="single" w:sz="4" w:space="0" w:color="auto"/>
            </w:tcBorders>
            <w:shd w:val="clear" w:color="auto" w:fill="EBE2D1"/>
            <w:noWrap/>
            <w:vAlign w:val="center"/>
            <w:hideMark/>
          </w:tcPr>
          <w:p w14:paraId="4D64C6C6" w14:textId="77777777" w:rsidR="00F1215C" w:rsidRPr="001050CA" w:rsidRDefault="00F1215C" w:rsidP="00CA0F29">
            <w:pPr>
              <w:spacing w:before="60"/>
              <w:ind w:firstLine="0"/>
              <w:jc w:val="center"/>
              <w:rPr>
                <w:rFonts w:eastAsia="Times New Roman" w:cs="Times New Roman"/>
                <w:b/>
                <w:bCs/>
                <w:noProof/>
                <w:color w:val="000000" w:themeColor="text1"/>
                <w:sz w:val="20"/>
                <w:szCs w:val="20"/>
                <w:lang w:eastAsia="lv-LV"/>
              </w:rPr>
            </w:pPr>
            <w:r w:rsidRPr="001050CA">
              <w:rPr>
                <w:rFonts w:eastAsia="Times New Roman" w:cs="Times New Roman"/>
                <w:b/>
                <w:bCs/>
                <w:noProof/>
                <w:color w:val="000000" w:themeColor="text1"/>
                <w:sz w:val="20"/>
                <w:szCs w:val="20"/>
                <w:lang w:eastAsia="lv-LV"/>
              </w:rPr>
              <w:t>2027</w:t>
            </w:r>
          </w:p>
        </w:tc>
        <w:tc>
          <w:tcPr>
            <w:tcW w:w="856" w:type="dxa"/>
            <w:tcBorders>
              <w:bottom w:val="single" w:sz="4" w:space="0" w:color="auto"/>
            </w:tcBorders>
            <w:shd w:val="clear" w:color="auto" w:fill="EBE2D1"/>
            <w:vAlign w:val="center"/>
          </w:tcPr>
          <w:p w14:paraId="2E2A76B1" w14:textId="77777777" w:rsidR="00F1215C" w:rsidRPr="001050CA" w:rsidRDefault="00F1215C" w:rsidP="00CA0F29">
            <w:pPr>
              <w:spacing w:before="60"/>
              <w:ind w:firstLine="0"/>
              <w:jc w:val="center"/>
              <w:rPr>
                <w:rFonts w:eastAsia="Times New Roman" w:cs="Times New Roman"/>
                <w:b/>
                <w:bCs/>
                <w:noProof/>
                <w:color w:val="000000" w:themeColor="text1"/>
                <w:sz w:val="20"/>
                <w:szCs w:val="20"/>
                <w:lang w:eastAsia="lv-LV"/>
              </w:rPr>
            </w:pPr>
            <w:r w:rsidRPr="001050CA">
              <w:rPr>
                <w:rFonts w:eastAsia="Times New Roman" w:cs="Times New Roman"/>
                <w:b/>
                <w:bCs/>
                <w:noProof/>
                <w:color w:val="000000" w:themeColor="text1"/>
                <w:sz w:val="20"/>
                <w:szCs w:val="20"/>
                <w:lang w:eastAsia="lv-LV"/>
              </w:rPr>
              <w:t>2028</w:t>
            </w:r>
          </w:p>
        </w:tc>
        <w:tc>
          <w:tcPr>
            <w:tcW w:w="851" w:type="dxa"/>
            <w:tcBorders>
              <w:bottom w:val="single" w:sz="4" w:space="0" w:color="auto"/>
            </w:tcBorders>
            <w:shd w:val="clear" w:color="auto" w:fill="EBE2D1"/>
            <w:noWrap/>
            <w:vAlign w:val="center"/>
            <w:hideMark/>
          </w:tcPr>
          <w:p w14:paraId="2E183932" w14:textId="77777777" w:rsidR="00F1215C" w:rsidRPr="001050CA" w:rsidRDefault="00F1215C" w:rsidP="00CA0F29">
            <w:pPr>
              <w:spacing w:before="60"/>
              <w:ind w:firstLine="0"/>
              <w:jc w:val="center"/>
              <w:rPr>
                <w:rFonts w:eastAsia="Times New Roman" w:cs="Times New Roman"/>
                <w:b/>
                <w:bCs/>
                <w:noProof/>
                <w:color w:val="000000" w:themeColor="text1"/>
                <w:sz w:val="20"/>
                <w:szCs w:val="20"/>
                <w:lang w:eastAsia="lv-LV"/>
              </w:rPr>
            </w:pPr>
            <w:r w:rsidRPr="001050CA">
              <w:rPr>
                <w:rFonts w:eastAsia="Times New Roman" w:cs="Times New Roman"/>
                <w:b/>
                <w:bCs/>
                <w:noProof/>
                <w:color w:val="000000" w:themeColor="text1"/>
                <w:sz w:val="20"/>
                <w:szCs w:val="20"/>
                <w:lang w:eastAsia="lv-LV"/>
              </w:rPr>
              <w:t>2029</w:t>
            </w:r>
          </w:p>
        </w:tc>
      </w:tr>
      <w:tr w:rsidR="00F1215C" w:rsidRPr="001050CA" w14:paraId="1BD01509" w14:textId="77777777" w:rsidTr="00DC7AD8">
        <w:trPr>
          <w:trHeight w:val="20"/>
          <w:jc w:val="center"/>
        </w:trPr>
        <w:tc>
          <w:tcPr>
            <w:tcW w:w="3681" w:type="dxa"/>
            <w:noWrap/>
            <w:vAlign w:val="center"/>
            <w:hideMark/>
          </w:tcPr>
          <w:p w14:paraId="0F729E5C" w14:textId="77777777" w:rsidR="00F1215C" w:rsidRPr="001050CA" w:rsidRDefault="00F1215C" w:rsidP="00CA0F29">
            <w:pPr>
              <w:spacing w:before="60" w:after="60"/>
              <w:ind w:firstLine="0"/>
              <w:jc w:val="left"/>
              <w:rPr>
                <w:rFonts w:eastAsia="Times New Roman" w:cs="Times New Roman"/>
                <w:noProof/>
                <w:color w:val="000000" w:themeColor="text1"/>
                <w:sz w:val="20"/>
                <w:szCs w:val="20"/>
                <w:lang w:eastAsia="lv-LV"/>
              </w:rPr>
            </w:pPr>
            <w:r w:rsidRPr="001050CA">
              <w:rPr>
                <w:rFonts w:eastAsia="Times New Roman" w:cs="Times New Roman"/>
                <w:noProof/>
                <w:color w:val="000000" w:themeColor="text1"/>
                <w:sz w:val="20"/>
                <w:szCs w:val="20"/>
                <w:lang w:eastAsia="lv-LV"/>
              </w:rPr>
              <w:t xml:space="preserve">LESD pieļaujamā nominālā bilance, </w:t>
            </w:r>
          </w:p>
          <w:p w14:paraId="3B31E4FF" w14:textId="77777777" w:rsidR="00F1215C" w:rsidRPr="001050CA" w:rsidRDefault="00F1215C" w:rsidP="00CA0F29">
            <w:pPr>
              <w:spacing w:before="60" w:after="60"/>
              <w:ind w:firstLine="0"/>
              <w:jc w:val="left"/>
              <w:rPr>
                <w:rFonts w:eastAsia="Times New Roman" w:cs="Times New Roman"/>
                <w:noProof/>
                <w:color w:val="000000" w:themeColor="text1"/>
                <w:sz w:val="20"/>
                <w:szCs w:val="20"/>
                <w:lang w:eastAsia="lv-LV"/>
              </w:rPr>
            </w:pPr>
            <w:r w:rsidRPr="001050CA">
              <w:rPr>
                <w:rFonts w:eastAsia="Times New Roman" w:cs="Times New Roman"/>
                <w:noProof/>
                <w:color w:val="000000" w:themeColor="text1"/>
                <w:sz w:val="20"/>
                <w:szCs w:val="20"/>
                <w:lang w:eastAsia="lv-LV"/>
              </w:rPr>
              <w:t>% no IKP</w:t>
            </w:r>
          </w:p>
        </w:tc>
        <w:tc>
          <w:tcPr>
            <w:tcW w:w="992" w:type="dxa"/>
            <w:vAlign w:val="center"/>
          </w:tcPr>
          <w:p w14:paraId="042ADF9C" w14:textId="77777777" w:rsidR="00F1215C" w:rsidRPr="001050CA" w:rsidRDefault="00F1215C" w:rsidP="00CA0F29">
            <w:pPr>
              <w:spacing w:before="60" w:after="60"/>
              <w:ind w:firstLine="0"/>
              <w:jc w:val="center"/>
              <w:rPr>
                <w:rFonts w:eastAsia="Times New Roman" w:cs="Times New Roman"/>
                <w:b/>
                <w:bCs/>
                <w:noProof/>
                <w:color w:val="000000" w:themeColor="text1"/>
                <w:sz w:val="20"/>
                <w:szCs w:val="20"/>
                <w:lang w:eastAsia="lv-LV"/>
              </w:rPr>
            </w:pPr>
            <w:r w:rsidRPr="001050CA">
              <w:rPr>
                <w:rFonts w:eastAsia="Times New Roman" w:cs="Times New Roman"/>
                <w:b/>
                <w:bCs/>
                <w:noProof/>
                <w:color w:val="000000" w:themeColor="text1"/>
                <w:sz w:val="20"/>
                <w:szCs w:val="20"/>
                <w:lang w:eastAsia="lv-LV"/>
              </w:rPr>
              <w:t>(1)</w:t>
            </w:r>
          </w:p>
        </w:tc>
        <w:tc>
          <w:tcPr>
            <w:tcW w:w="851" w:type="dxa"/>
            <w:noWrap/>
            <w:vAlign w:val="center"/>
          </w:tcPr>
          <w:p w14:paraId="7BD11665" w14:textId="77777777" w:rsidR="00F1215C" w:rsidRPr="001050CA" w:rsidRDefault="00F1215C" w:rsidP="00CA0F29">
            <w:pPr>
              <w:spacing w:before="60" w:after="60"/>
              <w:ind w:firstLine="0"/>
              <w:jc w:val="center"/>
              <w:rPr>
                <w:rFonts w:eastAsia="Times New Roman" w:cs="Times New Roman"/>
                <w:b/>
                <w:bCs/>
                <w:noProof/>
                <w:color w:val="000000" w:themeColor="text1"/>
                <w:sz w:val="20"/>
                <w:szCs w:val="20"/>
                <w:lang w:eastAsia="lv-LV"/>
              </w:rPr>
            </w:pPr>
            <w:r w:rsidRPr="001050CA">
              <w:rPr>
                <w:rFonts w:eastAsia="Times New Roman" w:cs="Times New Roman"/>
                <w:b/>
                <w:bCs/>
                <w:noProof/>
                <w:color w:val="000000" w:themeColor="text1"/>
                <w:sz w:val="20"/>
                <w:szCs w:val="20"/>
                <w:lang w:eastAsia="lv-LV"/>
              </w:rPr>
              <w:t>-3,0</w:t>
            </w:r>
          </w:p>
        </w:tc>
        <w:tc>
          <w:tcPr>
            <w:tcW w:w="850" w:type="dxa"/>
            <w:noWrap/>
            <w:vAlign w:val="center"/>
          </w:tcPr>
          <w:p w14:paraId="1F551FC6" w14:textId="77777777" w:rsidR="00F1215C" w:rsidRPr="001050CA" w:rsidRDefault="00F1215C" w:rsidP="00CA0F29">
            <w:pPr>
              <w:spacing w:before="60" w:after="60"/>
              <w:ind w:firstLine="0"/>
              <w:jc w:val="center"/>
              <w:rPr>
                <w:rFonts w:eastAsia="Times New Roman" w:cs="Times New Roman"/>
                <w:b/>
                <w:bCs/>
                <w:noProof/>
                <w:color w:val="000000" w:themeColor="text1"/>
                <w:sz w:val="20"/>
                <w:szCs w:val="20"/>
                <w:lang w:eastAsia="lv-LV"/>
              </w:rPr>
            </w:pPr>
            <w:r w:rsidRPr="001050CA">
              <w:rPr>
                <w:rFonts w:eastAsia="Times New Roman" w:cs="Times New Roman"/>
                <w:b/>
                <w:bCs/>
                <w:noProof/>
                <w:color w:val="000000" w:themeColor="text1"/>
                <w:sz w:val="20"/>
                <w:szCs w:val="20"/>
                <w:lang w:eastAsia="lv-LV"/>
              </w:rPr>
              <w:t>-3,0</w:t>
            </w:r>
          </w:p>
        </w:tc>
        <w:tc>
          <w:tcPr>
            <w:tcW w:w="856" w:type="dxa"/>
            <w:vAlign w:val="center"/>
          </w:tcPr>
          <w:p w14:paraId="1FB0A4CE" w14:textId="77777777" w:rsidR="00F1215C" w:rsidRPr="001050CA" w:rsidRDefault="00F1215C" w:rsidP="00CA0F29">
            <w:pPr>
              <w:spacing w:before="60" w:after="60"/>
              <w:ind w:firstLine="0"/>
              <w:jc w:val="center"/>
              <w:rPr>
                <w:rFonts w:eastAsia="Times New Roman" w:cs="Times New Roman"/>
                <w:b/>
                <w:bCs/>
                <w:noProof/>
                <w:color w:val="000000" w:themeColor="text1"/>
                <w:sz w:val="20"/>
                <w:szCs w:val="20"/>
                <w:lang w:eastAsia="lv-LV"/>
              </w:rPr>
            </w:pPr>
            <w:r w:rsidRPr="001050CA">
              <w:rPr>
                <w:rFonts w:eastAsia="Times New Roman" w:cs="Times New Roman"/>
                <w:b/>
                <w:bCs/>
                <w:noProof/>
                <w:color w:val="000000" w:themeColor="text1"/>
                <w:sz w:val="20"/>
                <w:szCs w:val="20"/>
                <w:lang w:eastAsia="lv-LV"/>
              </w:rPr>
              <w:t>-3,0</w:t>
            </w:r>
          </w:p>
        </w:tc>
        <w:tc>
          <w:tcPr>
            <w:tcW w:w="851" w:type="dxa"/>
            <w:noWrap/>
            <w:vAlign w:val="center"/>
          </w:tcPr>
          <w:p w14:paraId="56AF3D50" w14:textId="77777777" w:rsidR="00F1215C" w:rsidRPr="001050CA" w:rsidRDefault="00F1215C" w:rsidP="00CA0F29">
            <w:pPr>
              <w:spacing w:before="60" w:after="60"/>
              <w:ind w:firstLine="0"/>
              <w:jc w:val="center"/>
              <w:rPr>
                <w:rFonts w:eastAsia="Times New Roman" w:cs="Times New Roman"/>
                <w:b/>
                <w:bCs/>
                <w:noProof/>
                <w:color w:val="000000" w:themeColor="text1"/>
                <w:sz w:val="20"/>
                <w:szCs w:val="20"/>
                <w:lang w:eastAsia="lv-LV"/>
              </w:rPr>
            </w:pPr>
            <w:r w:rsidRPr="001050CA">
              <w:rPr>
                <w:rFonts w:eastAsia="Times New Roman" w:cs="Times New Roman"/>
                <w:b/>
                <w:bCs/>
                <w:noProof/>
                <w:color w:val="000000" w:themeColor="text1"/>
                <w:sz w:val="20"/>
                <w:szCs w:val="20"/>
                <w:lang w:eastAsia="lv-LV"/>
              </w:rPr>
              <w:t>-3,0</w:t>
            </w:r>
          </w:p>
        </w:tc>
      </w:tr>
      <w:tr w:rsidR="00F1215C" w:rsidRPr="001050CA" w14:paraId="73BCF0AB" w14:textId="77777777" w:rsidTr="00DC7AD8">
        <w:trPr>
          <w:trHeight w:val="20"/>
          <w:jc w:val="center"/>
        </w:trPr>
        <w:tc>
          <w:tcPr>
            <w:tcW w:w="3681" w:type="dxa"/>
            <w:noWrap/>
            <w:vAlign w:val="center"/>
          </w:tcPr>
          <w:p w14:paraId="18C3AE1F" w14:textId="6D4C89C6" w:rsidR="00F1215C" w:rsidRPr="001050CA" w:rsidRDefault="00352EDD" w:rsidP="00CA0F29">
            <w:pPr>
              <w:spacing w:before="60" w:after="60"/>
              <w:ind w:firstLine="0"/>
              <w:jc w:val="left"/>
              <w:rPr>
                <w:rFonts w:eastAsia="Times New Roman" w:cs="Times New Roman"/>
                <w:b/>
                <w:bCs/>
                <w:noProof/>
                <w:color w:val="000000" w:themeColor="text1"/>
                <w:sz w:val="20"/>
                <w:szCs w:val="20"/>
                <w:lang w:eastAsia="lv-LV"/>
              </w:rPr>
            </w:pPr>
            <w:r w:rsidRPr="001050CA">
              <w:rPr>
                <w:rFonts w:eastAsia="Times New Roman" w:cs="Times New Roman"/>
                <w:noProof/>
                <w:sz w:val="20"/>
                <w:szCs w:val="20"/>
                <w:lang w:eastAsia="lv-LV"/>
              </w:rPr>
              <w:t>V</w:t>
            </w:r>
            <w:r w:rsidR="00F1215C" w:rsidRPr="001050CA">
              <w:rPr>
                <w:rFonts w:eastAsia="Times New Roman" w:cs="Times New Roman"/>
                <w:noProof/>
                <w:sz w:val="20"/>
                <w:szCs w:val="20"/>
                <w:lang w:eastAsia="lv-LV"/>
              </w:rPr>
              <w:t>alsts iznēmuma klauzulas fiskālā ietekme, % no IKP</w:t>
            </w:r>
          </w:p>
        </w:tc>
        <w:tc>
          <w:tcPr>
            <w:tcW w:w="992" w:type="dxa"/>
            <w:vAlign w:val="center"/>
          </w:tcPr>
          <w:p w14:paraId="25FBA96A" w14:textId="77777777" w:rsidR="00F1215C" w:rsidRPr="001050CA" w:rsidRDefault="00F1215C" w:rsidP="00CA0F29">
            <w:pPr>
              <w:spacing w:before="60" w:after="60"/>
              <w:ind w:firstLine="0"/>
              <w:jc w:val="center"/>
              <w:rPr>
                <w:rFonts w:eastAsia="Times New Roman" w:cs="Times New Roman"/>
                <w:b/>
                <w:bCs/>
                <w:noProof/>
                <w:color w:val="000000" w:themeColor="text1"/>
                <w:sz w:val="20"/>
                <w:szCs w:val="20"/>
                <w:lang w:eastAsia="lv-LV"/>
              </w:rPr>
            </w:pPr>
            <w:r w:rsidRPr="001050CA">
              <w:rPr>
                <w:rFonts w:eastAsia="Times New Roman" w:cs="Times New Roman"/>
                <w:b/>
                <w:bCs/>
                <w:noProof/>
                <w:color w:val="000000" w:themeColor="text1"/>
                <w:sz w:val="20"/>
                <w:szCs w:val="20"/>
                <w:lang w:eastAsia="lv-LV"/>
              </w:rPr>
              <w:t>(2)</w:t>
            </w:r>
          </w:p>
        </w:tc>
        <w:tc>
          <w:tcPr>
            <w:tcW w:w="851" w:type="dxa"/>
            <w:noWrap/>
            <w:vAlign w:val="center"/>
          </w:tcPr>
          <w:p w14:paraId="429F0C4B" w14:textId="77777777" w:rsidR="00F1215C" w:rsidRPr="001050CA" w:rsidRDefault="00F1215C" w:rsidP="00CA0F29">
            <w:pPr>
              <w:spacing w:before="60" w:after="60"/>
              <w:ind w:firstLine="0"/>
              <w:jc w:val="center"/>
              <w:rPr>
                <w:rFonts w:eastAsia="Times New Roman" w:cs="Times New Roman"/>
                <w:b/>
                <w:bCs/>
                <w:noProof/>
                <w:color w:val="000000" w:themeColor="text1"/>
                <w:sz w:val="20"/>
                <w:szCs w:val="20"/>
                <w:lang w:eastAsia="lv-LV"/>
              </w:rPr>
            </w:pPr>
            <w:r w:rsidRPr="001050CA">
              <w:rPr>
                <w:rFonts w:eastAsia="Times New Roman" w:cs="Times New Roman"/>
                <w:noProof/>
                <w:sz w:val="20"/>
                <w:szCs w:val="20"/>
                <w:lang w:eastAsia="lv-LV"/>
              </w:rPr>
              <w:t>0,24</w:t>
            </w:r>
          </w:p>
        </w:tc>
        <w:tc>
          <w:tcPr>
            <w:tcW w:w="850" w:type="dxa"/>
            <w:noWrap/>
            <w:vAlign w:val="center"/>
          </w:tcPr>
          <w:p w14:paraId="6AA76958" w14:textId="77777777" w:rsidR="00F1215C" w:rsidRPr="001050CA" w:rsidRDefault="00F1215C" w:rsidP="00CA0F29">
            <w:pPr>
              <w:spacing w:before="60" w:after="60"/>
              <w:ind w:firstLine="0"/>
              <w:jc w:val="center"/>
              <w:rPr>
                <w:rFonts w:eastAsia="Times New Roman" w:cs="Times New Roman"/>
                <w:b/>
                <w:bCs/>
                <w:noProof/>
                <w:color w:val="000000" w:themeColor="text1"/>
                <w:sz w:val="20"/>
                <w:szCs w:val="20"/>
                <w:lang w:eastAsia="lv-LV"/>
              </w:rPr>
            </w:pPr>
            <w:r w:rsidRPr="001050CA">
              <w:rPr>
                <w:rFonts w:eastAsia="Times New Roman" w:cs="Times New Roman"/>
                <w:noProof/>
                <w:sz w:val="20"/>
                <w:szCs w:val="20"/>
                <w:lang w:eastAsia="lv-LV"/>
              </w:rPr>
              <w:t>0,97</w:t>
            </w:r>
          </w:p>
        </w:tc>
        <w:tc>
          <w:tcPr>
            <w:tcW w:w="856" w:type="dxa"/>
            <w:vAlign w:val="center"/>
          </w:tcPr>
          <w:p w14:paraId="3381357A" w14:textId="77777777" w:rsidR="00F1215C" w:rsidRPr="001050CA" w:rsidRDefault="00F1215C" w:rsidP="00CA0F29">
            <w:pPr>
              <w:spacing w:before="60" w:after="60"/>
              <w:ind w:firstLine="0"/>
              <w:jc w:val="center"/>
              <w:rPr>
                <w:rFonts w:eastAsia="Times New Roman" w:cs="Times New Roman"/>
                <w:b/>
                <w:bCs/>
                <w:noProof/>
                <w:color w:val="000000" w:themeColor="text1"/>
                <w:sz w:val="20"/>
                <w:szCs w:val="20"/>
                <w:lang w:eastAsia="lv-LV"/>
              </w:rPr>
            </w:pPr>
            <w:r w:rsidRPr="001050CA">
              <w:rPr>
                <w:rFonts w:eastAsia="Times New Roman" w:cs="Times New Roman"/>
                <w:noProof/>
                <w:sz w:val="20"/>
                <w:szCs w:val="20"/>
                <w:lang w:eastAsia="lv-LV"/>
              </w:rPr>
              <w:t>0,87</w:t>
            </w:r>
          </w:p>
        </w:tc>
        <w:tc>
          <w:tcPr>
            <w:tcW w:w="851" w:type="dxa"/>
            <w:noWrap/>
            <w:vAlign w:val="center"/>
          </w:tcPr>
          <w:p w14:paraId="7EED615C" w14:textId="77777777" w:rsidR="00F1215C" w:rsidRPr="001050CA" w:rsidRDefault="00F1215C" w:rsidP="00CA0F29">
            <w:pPr>
              <w:spacing w:before="60" w:after="60"/>
              <w:ind w:firstLine="0"/>
              <w:jc w:val="center"/>
              <w:rPr>
                <w:rFonts w:eastAsia="Times New Roman" w:cs="Times New Roman"/>
                <w:b/>
                <w:bCs/>
                <w:noProof/>
                <w:color w:val="000000" w:themeColor="text1"/>
                <w:sz w:val="20"/>
                <w:szCs w:val="20"/>
                <w:lang w:eastAsia="lv-LV"/>
              </w:rPr>
            </w:pPr>
            <w:r w:rsidRPr="001050CA">
              <w:rPr>
                <w:rFonts w:eastAsia="Times New Roman" w:cs="Times New Roman"/>
                <w:noProof/>
                <w:sz w:val="20"/>
                <w:szCs w:val="20"/>
                <w:lang w:eastAsia="lv-LV"/>
              </w:rPr>
              <w:t>1,43</w:t>
            </w:r>
          </w:p>
        </w:tc>
      </w:tr>
      <w:tr w:rsidR="00DC7AD8" w:rsidRPr="001050CA" w14:paraId="1204064A" w14:textId="77777777" w:rsidTr="00DC7AD8">
        <w:trPr>
          <w:trHeight w:val="20"/>
          <w:jc w:val="center"/>
        </w:trPr>
        <w:tc>
          <w:tcPr>
            <w:tcW w:w="3681" w:type="dxa"/>
            <w:shd w:val="clear" w:color="auto" w:fill="EBE2D1"/>
            <w:noWrap/>
            <w:vAlign w:val="center"/>
          </w:tcPr>
          <w:p w14:paraId="3269BFD7" w14:textId="583A3864" w:rsidR="00F1215C" w:rsidRPr="001050CA" w:rsidRDefault="00352EDD" w:rsidP="00CA0F29">
            <w:pPr>
              <w:spacing w:before="60" w:after="60"/>
              <w:ind w:firstLine="0"/>
              <w:jc w:val="left"/>
              <w:rPr>
                <w:rFonts w:eastAsia="Times New Roman" w:cs="Times New Roman"/>
                <w:b/>
                <w:bCs/>
                <w:noProof/>
                <w:color w:val="000000" w:themeColor="text1"/>
                <w:sz w:val="20"/>
                <w:szCs w:val="20"/>
                <w:lang w:eastAsia="lv-LV"/>
              </w:rPr>
            </w:pPr>
            <w:r w:rsidRPr="001050CA">
              <w:rPr>
                <w:rFonts w:eastAsia="Times New Roman" w:cs="Times New Roman"/>
                <w:b/>
                <w:bCs/>
                <w:noProof/>
                <w:color w:val="000000" w:themeColor="text1"/>
                <w:sz w:val="20"/>
                <w:szCs w:val="20"/>
                <w:lang w:eastAsia="lv-LV"/>
              </w:rPr>
              <w:t>V</w:t>
            </w:r>
            <w:r w:rsidR="00F1215C" w:rsidRPr="001050CA">
              <w:rPr>
                <w:rFonts w:eastAsia="Times New Roman" w:cs="Times New Roman"/>
                <w:b/>
                <w:bCs/>
                <w:noProof/>
                <w:color w:val="000000" w:themeColor="text1"/>
                <w:sz w:val="20"/>
                <w:szCs w:val="20"/>
                <w:lang w:eastAsia="lv-LV"/>
              </w:rPr>
              <w:t xml:space="preserve">ispārējās valdības budžeta nominālās bilances mērķis, </w:t>
            </w:r>
          </w:p>
          <w:p w14:paraId="1DF16E5A" w14:textId="77777777" w:rsidR="00F1215C" w:rsidRPr="001050CA" w:rsidRDefault="00F1215C" w:rsidP="00CA0F29">
            <w:pPr>
              <w:spacing w:before="60" w:after="60"/>
              <w:ind w:firstLine="0"/>
              <w:jc w:val="left"/>
              <w:rPr>
                <w:rFonts w:eastAsia="Times New Roman" w:cs="Times New Roman"/>
                <w:b/>
                <w:bCs/>
                <w:noProof/>
                <w:sz w:val="20"/>
                <w:szCs w:val="20"/>
                <w:lang w:eastAsia="lv-LV"/>
              </w:rPr>
            </w:pPr>
            <w:r w:rsidRPr="001050CA">
              <w:rPr>
                <w:rFonts w:eastAsia="Times New Roman" w:cs="Times New Roman"/>
                <w:b/>
                <w:bCs/>
                <w:noProof/>
                <w:color w:val="000000" w:themeColor="text1"/>
                <w:sz w:val="20"/>
                <w:szCs w:val="20"/>
                <w:lang w:eastAsia="lv-LV"/>
              </w:rPr>
              <w:t>% no IKP</w:t>
            </w:r>
          </w:p>
        </w:tc>
        <w:tc>
          <w:tcPr>
            <w:tcW w:w="992" w:type="dxa"/>
            <w:shd w:val="clear" w:color="auto" w:fill="EBE2D1"/>
            <w:vAlign w:val="center"/>
          </w:tcPr>
          <w:p w14:paraId="522344F7" w14:textId="77777777" w:rsidR="00F1215C" w:rsidRPr="001050CA" w:rsidRDefault="00F1215C" w:rsidP="00CA0F29">
            <w:pPr>
              <w:spacing w:before="60" w:after="60"/>
              <w:ind w:firstLine="0"/>
              <w:jc w:val="center"/>
              <w:rPr>
                <w:rFonts w:eastAsia="Times New Roman" w:cs="Times New Roman"/>
                <w:b/>
                <w:bCs/>
                <w:noProof/>
                <w:color w:val="000000" w:themeColor="text1"/>
                <w:sz w:val="20"/>
                <w:szCs w:val="20"/>
                <w:lang w:eastAsia="lv-LV"/>
              </w:rPr>
            </w:pPr>
            <w:r w:rsidRPr="001050CA">
              <w:rPr>
                <w:rFonts w:eastAsia="Times New Roman" w:cs="Times New Roman"/>
                <w:b/>
                <w:bCs/>
                <w:noProof/>
                <w:color w:val="000000" w:themeColor="text1"/>
                <w:sz w:val="20"/>
                <w:szCs w:val="20"/>
                <w:lang w:eastAsia="lv-LV"/>
              </w:rPr>
              <w:t>(3)=(1)-(2)</w:t>
            </w:r>
          </w:p>
        </w:tc>
        <w:tc>
          <w:tcPr>
            <w:tcW w:w="851" w:type="dxa"/>
            <w:shd w:val="clear" w:color="auto" w:fill="EBE2D1"/>
            <w:noWrap/>
            <w:vAlign w:val="center"/>
          </w:tcPr>
          <w:p w14:paraId="2E19A281" w14:textId="77777777" w:rsidR="00F1215C" w:rsidRPr="001050CA" w:rsidRDefault="00F1215C" w:rsidP="00CA0F29">
            <w:pPr>
              <w:spacing w:before="60" w:after="60"/>
              <w:ind w:firstLine="0"/>
              <w:jc w:val="center"/>
              <w:rPr>
                <w:rFonts w:eastAsia="Times New Roman" w:cs="Times New Roman"/>
                <w:b/>
                <w:bCs/>
                <w:noProof/>
                <w:sz w:val="20"/>
                <w:szCs w:val="20"/>
                <w:lang w:eastAsia="lv-LV"/>
              </w:rPr>
            </w:pPr>
            <w:r w:rsidRPr="001050CA">
              <w:rPr>
                <w:rFonts w:eastAsia="Times New Roman" w:cs="Times New Roman"/>
                <w:b/>
                <w:bCs/>
                <w:noProof/>
                <w:sz w:val="20"/>
                <w:szCs w:val="20"/>
                <w:lang w:eastAsia="lv-LV"/>
              </w:rPr>
              <w:t>-3,24</w:t>
            </w:r>
          </w:p>
        </w:tc>
        <w:tc>
          <w:tcPr>
            <w:tcW w:w="850" w:type="dxa"/>
            <w:shd w:val="clear" w:color="auto" w:fill="EBE2D1"/>
            <w:noWrap/>
            <w:vAlign w:val="center"/>
          </w:tcPr>
          <w:p w14:paraId="287C027C" w14:textId="77777777" w:rsidR="00F1215C" w:rsidRPr="001050CA" w:rsidRDefault="00F1215C" w:rsidP="00CA0F29">
            <w:pPr>
              <w:spacing w:before="60" w:after="60"/>
              <w:ind w:firstLine="0"/>
              <w:jc w:val="center"/>
              <w:rPr>
                <w:rFonts w:eastAsia="Times New Roman" w:cs="Times New Roman"/>
                <w:b/>
                <w:bCs/>
                <w:noProof/>
                <w:sz w:val="20"/>
                <w:szCs w:val="20"/>
                <w:lang w:eastAsia="lv-LV"/>
              </w:rPr>
            </w:pPr>
            <w:r w:rsidRPr="001050CA">
              <w:rPr>
                <w:rFonts w:eastAsia="Times New Roman" w:cs="Times New Roman"/>
                <w:b/>
                <w:bCs/>
                <w:noProof/>
                <w:sz w:val="20"/>
                <w:szCs w:val="20"/>
                <w:lang w:eastAsia="lv-LV"/>
              </w:rPr>
              <w:t>-3,97</w:t>
            </w:r>
          </w:p>
        </w:tc>
        <w:tc>
          <w:tcPr>
            <w:tcW w:w="856" w:type="dxa"/>
            <w:shd w:val="clear" w:color="auto" w:fill="EBE2D1"/>
            <w:vAlign w:val="center"/>
          </w:tcPr>
          <w:p w14:paraId="38781DCC" w14:textId="77777777" w:rsidR="00F1215C" w:rsidRPr="001050CA" w:rsidRDefault="00F1215C" w:rsidP="00CA0F29">
            <w:pPr>
              <w:spacing w:before="60" w:after="60"/>
              <w:ind w:firstLine="0"/>
              <w:jc w:val="center"/>
              <w:rPr>
                <w:rFonts w:eastAsia="Times New Roman" w:cs="Times New Roman"/>
                <w:b/>
                <w:bCs/>
                <w:noProof/>
                <w:sz w:val="20"/>
                <w:szCs w:val="20"/>
                <w:lang w:eastAsia="lv-LV"/>
              </w:rPr>
            </w:pPr>
            <w:r w:rsidRPr="001050CA">
              <w:rPr>
                <w:rFonts w:eastAsia="Times New Roman" w:cs="Times New Roman"/>
                <w:b/>
                <w:bCs/>
                <w:noProof/>
                <w:sz w:val="20"/>
                <w:szCs w:val="20"/>
                <w:lang w:eastAsia="lv-LV"/>
              </w:rPr>
              <w:t>-3,87</w:t>
            </w:r>
          </w:p>
        </w:tc>
        <w:tc>
          <w:tcPr>
            <w:tcW w:w="851" w:type="dxa"/>
            <w:shd w:val="clear" w:color="auto" w:fill="EBE2D1"/>
            <w:noWrap/>
            <w:vAlign w:val="center"/>
          </w:tcPr>
          <w:p w14:paraId="731BF146" w14:textId="77777777" w:rsidR="00F1215C" w:rsidRPr="001050CA" w:rsidRDefault="00F1215C" w:rsidP="00CA0F29">
            <w:pPr>
              <w:spacing w:before="60" w:after="60"/>
              <w:ind w:firstLine="0"/>
              <w:jc w:val="center"/>
              <w:rPr>
                <w:rFonts w:eastAsia="Times New Roman" w:cs="Times New Roman"/>
                <w:b/>
                <w:bCs/>
                <w:noProof/>
                <w:sz w:val="20"/>
                <w:szCs w:val="20"/>
                <w:lang w:eastAsia="lv-LV"/>
              </w:rPr>
            </w:pPr>
            <w:r w:rsidRPr="001050CA">
              <w:rPr>
                <w:rFonts w:eastAsia="Times New Roman" w:cs="Times New Roman"/>
                <w:b/>
                <w:bCs/>
                <w:noProof/>
                <w:sz w:val="20"/>
                <w:szCs w:val="20"/>
                <w:lang w:eastAsia="lv-LV"/>
              </w:rPr>
              <w:t>-4,43</w:t>
            </w:r>
          </w:p>
        </w:tc>
      </w:tr>
      <w:tr w:rsidR="00F1215C" w:rsidRPr="001050CA" w14:paraId="41E3C0F5" w14:textId="77777777" w:rsidTr="00DC7AD8">
        <w:trPr>
          <w:trHeight w:val="20"/>
          <w:jc w:val="center"/>
        </w:trPr>
        <w:tc>
          <w:tcPr>
            <w:tcW w:w="3681" w:type="dxa"/>
            <w:noWrap/>
            <w:vAlign w:val="center"/>
          </w:tcPr>
          <w:p w14:paraId="3F720219" w14:textId="20694921" w:rsidR="00F1215C" w:rsidRPr="001050CA" w:rsidRDefault="00352EDD" w:rsidP="00CA0F29">
            <w:pPr>
              <w:spacing w:before="60" w:after="60"/>
              <w:ind w:firstLine="0"/>
              <w:jc w:val="left"/>
              <w:rPr>
                <w:rFonts w:eastAsia="Times New Roman" w:cs="Times New Roman"/>
                <w:noProof/>
                <w:color w:val="000000" w:themeColor="text1"/>
                <w:sz w:val="20"/>
                <w:szCs w:val="20"/>
                <w:lang w:eastAsia="lv-LV"/>
              </w:rPr>
            </w:pPr>
            <w:r w:rsidRPr="001050CA">
              <w:rPr>
                <w:rFonts w:eastAsia="Times New Roman" w:cs="Times New Roman"/>
                <w:noProof/>
                <w:color w:val="000000" w:themeColor="text1"/>
                <w:sz w:val="20"/>
                <w:szCs w:val="20"/>
                <w:lang w:eastAsia="lv-LV"/>
              </w:rPr>
              <w:t>V</w:t>
            </w:r>
            <w:r w:rsidR="00F1215C" w:rsidRPr="001050CA">
              <w:rPr>
                <w:rFonts w:eastAsia="Times New Roman" w:cs="Times New Roman"/>
                <w:noProof/>
                <w:color w:val="000000" w:themeColor="text1"/>
                <w:sz w:val="20"/>
                <w:szCs w:val="20"/>
                <w:lang w:eastAsia="lv-LV"/>
              </w:rPr>
              <w:t>ispārējās valdības budžeta nominālā bilance</w:t>
            </w:r>
            <w:r w:rsidR="00F1215C" w:rsidRPr="001050CA">
              <w:rPr>
                <w:noProof/>
                <w:sz w:val="20"/>
                <w:szCs w:val="20"/>
              </w:rPr>
              <w:t xml:space="preserve"> </w:t>
            </w:r>
            <w:r w:rsidR="00F1215C" w:rsidRPr="001050CA">
              <w:rPr>
                <w:rFonts w:eastAsia="Times New Roman" w:cs="Times New Roman"/>
                <w:noProof/>
                <w:color w:val="000000" w:themeColor="text1"/>
                <w:sz w:val="20"/>
                <w:szCs w:val="20"/>
                <w:lang w:eastAsia="lv-LV"/>
              </w:rPr>
              <w:t xml:space="preserve">pie nemainīgas politikas, </w:t>
            </w:r>
          </w:p>
          <w:p w14:paraId="13C76249" w14:textId="77777777" w:rsidR="00F1215C" w:rsidRPr="001050CA" w:rsidRDefault="00F1215C" w:rsidP="00CA0F29">
            <w:pPr>
              <w:spacing w:before="60" w:after="60"/>
              <w:ind w:firstLine="0"/>
              <w:jc w:val="left"/>
              <w:rPr>
                <w:rFonts w:eastAsia="Times New Roman" w:cs="Times New Roman"/>
                <w:noProof/>
                <w:color w:val="000000" w:themeColor="text1"/>
                <w:sz w:val="20"/>
                <w:szCs w:val="20"/>
                <w:lang w:eastAsia="lv-LV"/>
              </w:rPr>
            </w:pPr>
            <w:r w:rsidRPr="001050CA">
              <w:rPr>
                <w:rFonts w:eastAsia="Times New Roman" w:cs="Times New Roman"/>
                <w:noProof/>
                <w:color w:val="000000" w:themeColor="text1"/>
                <w:sz w:val="20"/>
                <w:szCs w:val="20"/>
                <w:lang w:eastAsia="lv-LV"/>
              </w:rPr>
              <w:t>% no IKP</w:t>
            </w:r>
          </w:p>
        </w:tc>
        <w:tc>
          <w:tcPr>
            <w:tcW w:w="992" w:type="dxa"/>
            <w:vAlign w:val="center"/>
          </w:tcPr>
          <w:p w14:paraId="63123EE5" w14:textId="77777777" w:rsidR="00F1215C" w:rsidRPr="001050CA" w:rsidRDefault="00F1215C" w:rsidP="00CA0F29">
            <w:pPr>
              <w:spacing w:before="60" w:after="60"/>
              <w:ind w:firstLine="0"/>
              <w:jc w:val="center"/>
              <w:rPr>
                <w:rFonts w:cs="Times New Roman"/>
                <w:noProof/>
                <w:color w:val="000000" w:themeColor="text1"/>
                <w:sz w:val="20"/>
                <w:szCs w:val="20"/>
              </w:rPr>
            </w:pPr>
            <w:r w:rsidRPr="001050CA">
              <w:rPr>
                <w:rFonts w:cs="Times New Roman"/>
                <w:noProof/>
                <w:color w:val="000000" w:themeColor="text1"/>
                <w:sz w:val="20"/>
                <w:szCs w:val="20"/>
              </w:rPr>
              <w:t>(4)</w:t>
            </w:r>
          </w:p>
        </w:tc>
        <w:tc>
          <w:tcPr>
            <w:tcW w:w="851" w:type="dxa"/>
            <w:tcBorders>
              <w:top w:val="single" w:sz="4" w:space="0" w:color="auto"/>
              <w:left w:val="nil"/>
              <w:bottom w:val="single" w:sz="4" w:space="0" w:color="auto"/>
              <w:right w:val="single" w:sz="4" w:space="0" w:color="auto"/>
            </w:tcBorders>
            <w:noWrap/>
            <w:vAlign w:val="center"/>
          </w:tcPr>
          <w:p w14:paraId="4E03AFC2" w14:textId="77777777" w:rsidR="00F1215C" w:rsidRPr="001050CA" w:rsidRDefault="00F1215C" w:rsidP="00CA0F29">
            <w:pPr>
              <w:spacing w:before="60" w:after="60"/>
              <w:ind w:firstLine="0"/>
              <w:jc w:val="center"/>
              <w:rPr>
                <w:rFonts w:eastAsia="Times New Roman" w:cs="Times New Roman"/>
                <w:noProof/>
                <w:color w:val="000000" w:themeColor="text1"/>
                <w:sz w:val="20"/>
                <w:szCs w:val="20"/>
                <w:lang w:eastAsia="lv-LV"/>
              </w:rPr>
            </w:pPr>
            <w:r w:rsidRPr="001050CA">
              <w:rPr>
                <w:rFonts w:cs="Times New Roman"/>
                <w:noProof/>
                <w:color w:val="000000" w:themeColor="text1"/>
                <w:sz w:val="20"/>
                <w:szCs w:val="20"/>
              </w:rPr>
              <w:t>-3,0</w:t>
            </w:r>
          </w:p>
        </w:tc>
        <w:tc>
          <w:tcPr>
            <w:tcW w:w="850" w:type="dxa"/>
            <w:tcBorders>
              <w:top w:val="single" w:sz="4" w:space="0" w:color="auto"/>
              <w:left w:val="single" w:sz="4" w:space="0" w:color="auto"/>
              <w:bottom w:val="single" w:sz="4" w:space="0" w:color="auto"/>
              <w:right w:val="single" w:sz="4" w:space="0" w:color="auto"/>
            </w:tcBorders>
            <w:noWrap/>
            <w:vAlign w:val="center"/>
          </w:tcPr>
          <w:p w14:paraId="7E7A73C6" w14:textId="77777777" w:rsidR="00F1215C" w:rsidRPr="001050CA" w:rsidRDefault="00F1215C" w:rsidP="00CA0F29">
            <w:pPr>
              <w:spacing w:before="60" w:after="60"/>
              <w:ind w:firstLine="0"/>
              <w:jc w:val="center"/>
              <w:rPr>
                <w:rFonts w:eastAsia="Times New Roman" w:cs="Times New Roman"/>
                <w:noProof/>
                <w:color w:val="000000" w:themeColor="text1"/>
                <w:sz w:val="20"/>
                <w:szCs w:val="20"/>
                <w:lang w:eastAsia="lv-LV"/>
              </w:rPr>
            </w:pPr>
            <w:r w:rsidRPr="001050CA">
              <w:rPr>
                <w:rFonts w:cs="Times New Roman"/>
                <w:noProof/>
                <w:color w:val="000000" w:themeColor="text1"/>
                <w:sz w:val="20"/>
                <w:szCs w:val="20"/>
              </w:rPr>
              <w:t>-4,1</w:t>
            </w:r>
          </w:p>
        </w:tc>
        <w:tc>
          <w:tcPr>
            <w:tcW w:w="856" w:type="dxa"/>
            <w:tcBorders>
              <w:top w:val="single" w:sz="4" w:space="0" w:color="auto"/>
              <w:left w:val="single" w:sz="4" w:space="0" w:color="auto"/>
              <w:bottom w:val="single" w:sz="4" w:space="0" w:color="auto"/>
              <w:right w:val="single" w:sz="4" w:space="0" w:color="auto"/>
            </w:tcBorders>
            <w:vAlign w:val="center"/>
          </w:tcPr>
          <w:p w14:paraId="3AB86C04" w14:textId="77777777" w:rsidR="00F1215C" w:rsidRPr="001050CA" w:rsidRDefault="00F1215C" w:rsidP="00CA0F29">
            <w:pPr>
              <w:spacing w:before="60" w:after="60"/>
              <w:ind w:firstLine="0"/>
              <w:jc w:val="center"/>
              <w:rPr>
                <w:rFonts w:eastAsia="Times New Roman" w:cs="Times New Roman"/>
                <w:noProof/>
                <w:color w:val="000000" w:themeColor="text1"/>
                <w:sz w:val="20"/>
                <w:szCs w:val="20"/>
                <w:lang w:eastAsia="lv-LV"/>
              </w:rPr>
            </w:pPr>
            <w:r w:rsidRPr="001050CA">
              <w:rPr>
                <w:rFonts w:cs="Times New Roman"/>
                <w:noProof/>
                <w:color w:val="000000" w:themeColor="text1"/>
                <w:sz w:val="20"/>
                <w:szCs w:val="20"/>
              </w:rPr>
              <w:t>-3,7</w:t>
            </w:r>
          </w:p>
        </w:tc>
        <w:tc>
          <w:tcPr>
            <w:tcW w:w="851" w:type="dxa"/>
            <w:tcBorders>
              <w:top w:val="single" w:sz="4" w:space="0" w:color="auto"/>
              <w:left w:val="single" w:sz="4" w:space="0" w:color="auto"/>
              <w:bottom w:val="single" w:sz="4" w:space="0" w:color="auto"/>
              <w:right w:val="single" w:sz="4" w:space="0" w:color="auto"/>
            </w:tcBorders>
            <w:noWrap/>
            <w:vAlign w:val="center"/>
          </w:tcPr>
          <w:p w14:paraId="50149D4F" w14:textId="77777777" w:rsidR="00F1215C" w:rsidRPr="001050CA" w:rsidRDefault="00F1215C" w:rsidP="00CA0F29">
            <w:pPr>
              <w:spacing w:before="60" w:after="60"/>
              <w:ind w:firstLine="0"/>
              <w:jc w:val="center"/>
              <w:rPr>
                <w:rFonts w:eastAsia="Times New Roman" w:cs="Times New Roman"/>
                <w:noProof/>
                <w:color w:val="000000" w:themeColor="text1"/>
                <w:sz w:val="20"/>
                <w:szCs w:val="20"/>
                <w:lang w:eastAsia="lv-LV"/>
              </w:rPr>
            </w:pPr>
            <w:r w:rsidRPr="001050CA">
              <w:rPr>
                <w:rFonts w:cs="Times New Roman"/>
                <w:noProof/>
                <w:color w:val="000000" w:themeColor="text1"/>
                <w:sz w:val="20"/>
                <w:szCs w:val="20"/>
              </w:rPr>
              <w:t>-3,9</w:t>
            </w:r>
          </w:p>
        </w:tc>
      </w:tr>
      <w:tr w:rsidR="00F1215C" w:rsidRPr="001050CA" w14:paraId="2E0E65C8" w14:textId="77777777" w:rsidTr="00DC7AD8">
        <w:trPr>
          <w:trHeight w:val="20"/>
          <w:jc w:val="center"/>
        </w:trPr>
        <w:tc>
          <w:tcPr>
            <w:tcW w:w="3681" w:type="dxa"/>
            <w:noWrap/>
            <w:vAlign w:val="center"/>
          </w:tcPr>
          <w:p w14:paraId="596E4800" w14:textId="36CDE3C9" w:rsidR="00F1215C" w:rsidRPr="001050CA" w:rsidRDefault="00352EDD" w:rsidP="00CA0F29">
            <w:pPr>
              <w:spacing w:before="60" w:after="60"/>
              <w:ind w:firstLine="0"/>
              <w:jc w:val="left"/>
              <w:rPr>
                <w:rFonts w:eastAsia="Times New Roman" w:cs="Times New Roman"/>
                <w:noProof/>
                <w:color w:val="000000" w:themeColor="text1"/>
                <w:sz w:val="20"/>
                <w:szCs w:val="20"/>
                <w:lang w:eastAsia="lv-LV"/>
              </w:rPr>
            </w:pPr>
            <w:r w:rsidRPr="001050CA">
              <w:rPr>
                <w:rFonts w:eastAsia="Times New Roman" w:cs="Times New Roman"/>
                <w:noProof/>
                <w:color w:val="000000" w:themeColor="text1"/>
                <w:sz w:val="20"/>
                <w:szCs w:val="20"/>
                <w:lang w:eastAsia="lv-LV"/>
              </w:rPr>
              <w:t>B</w:t>
            </w:r>
            <w:r w:rsidR="00F1215C" w:rsidRPr="001050CA">
              <w:rPr>
                <w:rFonts w:eastAsia="Times New Roman" w:cs="Times New Roman"/>
                <w:noProof/>
                <w:color w:val="000000" w:themeColor="text1"/>
                <w:sz w:val="20"/>
                <w:szCs w:val="20"/>
                <w:lang w:eastAsia="lv-LV"/>
              </w:rPr>
              <w:t xml:space="preserve">ilances cikliskā komponente, </w:t>
            </w:r>
          </w:p>
          <w:p w14:paraId="76CD0F66" w14:textId="77777777" w:rsidR="00F1215C" w:rsidRPr="001050CA" w:rsidRDefault="00F1215C" w:rsidP="00CA0F29">
            <w:pPr>
              <w:spacing w:before="60" w:after="60"/>
              <w:ind w:firstLine="0"/>
              <w:jc w:val="left"/>
              <w:rPr>
                <w:rFonts w:eastAsia="Times New Roman" w:cs="Times New Roman"/>
                <w:noProof/>
                <w:color w:val="000000" w:themeColor="text1"/>
                <w:sz w:val="20"/>
                <w:szCs w:val="20"/>
                <w:lang w:eastAsia="lv-LV"/>
              </w:rPr>
            </w:pPr>
            <w:r w:rsidRPr="001050CA">
              <w:rPr>
                <w:rFonts w:eastAsia="Times New Roman" w:cs="Times New Roman"/>
                <w:noProof/>
                <w:color w:val="000000" w:themeColor="text1"/>
                <w:sz w:val="20"/>
                <w:szCs w:val="20"/>
                <w:lang w:eastAsia="lv-LV"/>
              </w:rPr>
              <w:t>% no IKP</w:t>
            </w:r>
          </w:p>
        </w:tc>
        <w:tc>
          <w:tcPr>
            <w:tcW w:w="992" w:type="dxa"/>
            <w:vAlign w:val="center"/>
          </w:tcPr>
          <w:p w14:paraId="33D4AF5F" w14:textId="77777777" w:rsidR="00F1215C" w:rsidRPr="001050CA" w:rsidRDefault="00F1215C" w:rsidP="00CA0F29">
            <w:pPr>
              <w:spacing w:before="60" w:after="60"/>
              <w:ind w:firstLine="0"/>
              <w:jc w:val="center"/>
              <w:rPr>
                <w:rFonts w:cs="Times New Roman"/>
                <w:noProof/>
                <w:color w:val="000000" w:themeColor="text1"/>
                <w:sz w:val="20"/>
                <w:szCs w:val="20"/>
              </w:rPr>
            </w:pPr>
            <w:r w:rsidRPr="001050CA">
              <w:rPr>
                <w:rFonts w:cs="Times New Roman"/>
                <w:noProof/>
                <w:color w:val="000000" w:themeColor="text1"/>
                <w:sz w:val="20"/>
                <w:szCs w:val="20"/>
              </w:rPr>
              <w:t>(5)</w:t>
            </w:r>
          </w:p>
        </w:tc>
        <w:tc>
          <w:tcPr>
            <w:tcW w:w="851" w:type="dxa"/>
            <w:tcBorders>
              <w:top w:val="single" w:sz="4" w:space="0" w:color="auto"/>
              <w:left w:val="nil"/>
              <w:bottom w:val="single" w:sz="4" w:space="0" w:color="auto"/>
              <w:right w:val="single" w:sz="4" w:space="0" w:color="auto"/>
            </w:tcBorders>
            <w:noWrap/>
            <w:vAlign w:val="center"/>
          </w:tcPr>
          <w:p w14:paraId="015897F9" w14:textId="77777777" w:rsidR="00F1215C" w:rsidRPr="001050CA" w:rsidRDefault="00F1215C" w:rsidP="00CA0F29">
            <w:pPr>
              <w:spacing w:before="60" w:after="60"/>
              <w:ind w:firstLine="0"/>
              <w:jc w:val="center"/>
              <w:rPr>
                <w:rFonts w:cs="Times New Roman"/>
                <w:noProof/>
                <w:color w:val="000000" w:themeColor="text1"/>
                <w:sz w:val="20"/>
                <w:szCs w:val="20"/>
              </w:rPr>
            </w:pPr>
            <w:r w:rsidRPr="001050CA">
              <w:rPr>
                <w:rFonts w:cs="Times New Roman"/>
                <w:noProof/>
                <w:color w:val="000000" w:themeColor="text1"/>
                <w:sz w:val="20"/>
                <w:szCs w:val="20"/>
              </w:rPr>
              <w:t>-0,3</w:t>
            </w:r>
          </w:p>
        </w:tc>
        <w:tc>
          <w:tcPr>
            <w:tcW w:w="850" w:type="dxa"/>
            <w:tcBorders>
              <w:top w:val="single" w:sz="4" w:space="0" w:color="auto"/>
              <w:left w:val="single" w:sz="4" w:space="0" w:color="auto"/>
              <w:bottom w:val="single" w:sz="4" w:space="0" w:color="auto"/>
              <w:right w:val="single" w:sz="4" w:space="0" w:color="auto"/>
            </w:tcBorders>
            <w:noWrap/>
            <w:vAlign w:val="center"/>
          </w:tcPr>
          <w:p w14:paraId="3ECAD15F" w14:textId="77777777" w:rsidR="00F1215C" w:rsidRPr="001050CA" w:rsidRDefault="00F1215C" w:rsidP="00CA0F29">
            <w:pPr>
              <w:spacing w:before="60" w:after="60"/>
              <w:ind w:firstLine="0"/>
              <w:jc w:val="center"/>
              <w:rPr>
                <w:rFonts w:cs="Times New Roman"/>
                <w:noProof/>
                <w:color w:val="000000" w:themeColor="text1"/>
                <w:sz w:val="20"/>
                <w:szCs w:val="20"/>
              </w:rPr>
            </w:pPr>
            <w:r w:rsidRPr="001050CA">
              <w:rPr>
                <w:rFonts w:cs="Times New Roman"/>
                <w:noProof/>
                <w:color w:val="000000" w:themeColor="text1"/>
                <w:sz w:val="20"/>
                <w:szCs w:val="20"/>
              </w:rPr>
              <w:t>-0,2</w:t>
            </w:r>
          </w:p>
        </w:tc>
        <w:tc>
          <w:tcPr>
            <w:tcW w:w="856" w:type="dxa"/>
            <w:tcBorders>
              <w:top w:val="single" w:sz="4" w:space="0" w:color="auto"/>
              <w:left w:val="single" w:sz="4" w:space="0" w:color="auto"/>
              <w:bottom w:val="single" w:sz="4" w:space="0" w:color="auto"/>
              <w:right w:val="single" w:sz="4" w:space="0" w:color="auto"/>
            </w:tcBorders>
            <w:vAlign w:val="center"/>
          </w:tcPr>
          <w:p w14:paraId="05CEFFE9" w14:textId="77777777" w:rsidR="00F1215C" w:rsidRPr="001050CA" w:rsidRDefault="00F1215C" w:rsidP="00CA0F29">
            <w:pPr>
              <w:spacing w:before="60" w:after="60"/>
              <w:ind w:firstLine="0"/>
              <w:jc w:val="center"/>
              <w:rPr>
                <w:rFonts w:cs="Times New Roman"/>
                <w:noProof/>
                <w:color w:val="000000" w:themeColor="text1"/>
                <w:sz w:val="20"/>
                <w:szCs w:val="20"/>
              </w:rPr>
            </w:pPr>
            <w:r w:rsidRPr="001050CA">
              <w:rPr>
                <w:rFonts w:cs="Times New Roman"/>
                <w:noProof/>
                <w:color w:val="000000" w:themeColor="text1"/>
                <w:sz w:val="20"/>
                <w:szCs w:val="20"/>
              </w:rPr>
              <w:t>-0,1</w:t>
            </w:r>
          </w:p>
        </w:tc>
        <w:tc>
          <w:tcPr>
            <w:tcW w:w="851" w:type="dxa"/>
            <w:tcBorders>
              <w:top w:val="single" w:sz="4" w:space="0" w:color="auto"/>
              <w:left w:val="single" w:sz="4" w:space="0" w:color="auto"/>
              <w:bottom w:val="single" w:sz="4" w:space="0" w:color="auto"/>
              <w:right w:val="single" w:sz="4" w:space="0" w:color="auto"/>
            </w:tcBorders>
            <w:noWrap/>
            <w:vAlign w:val="center"/>
          </w:tcPr>
          <w:p w14:paraId="713C36C7" w14:textId="77777777" w:rsidR="00F1215C" w:rsidRPr="001050CA" w:rsidRDefault="00F1215C" w:rsidP="00CA0F29">
            <w:pPr>
              <w:spacing w:before="60" w:after="60"/>
              <w:ind w:firstLine="0"/>
              <w:jc w:val="center"/>
              <w:rPr>
                <w:rFonts w:cs="Times New Roman"/>
                <w:noProof/>
                <w:color w:val="000000" w:themeColor="text1"/>
                <w:sz w:val="20"/>
                <w:szCs w:val="20"/>
              </w:rPr>
            </w:pPr>
            <w:r w:rsidRPr="001050CA">
              <w:rPr>
                <w:rFonts w:cs="Times New Roman"/>
                <w:noProof/>
                <w:color w:val="000000" w:themeColor="text1"/>
                <w:sz w:val="20"/>
                <w:szCs w:val="20"/>
              </w:rPr>
              <w:t>0,0</w:t>
            </w:r>
          </w:p>
        </w:tc>
      </w:tr>
      <w:tr w:rsidR="00F1215C" w:rsidRPr="001050CA" w14:paraId="4F22FFC3" w14:textId="77777777" w:rsidTr="00DC7AD8">
        <w:trPr>
          <w:trHeight w:val="20"/>
          <w:jc w:val="center"/>
        </w:trPr>
        <w:tc>
          <w:tcPr>
            <w:tcW w:w="3681" w:type="dxa"/>
            <w:noWrap/>
            <w:vAlign w:val="center"/>
          </w:tcPr>
          <w:p w14:paraId="79637C4D" w14:textId="40C1091F" w:rsidR="00F1215C" w:rsidRPr="001050CA" w:rsidRDefault="00352EDD" w:rsidP="00CA0F29">
            <w:pPr>
              <w:spacing w:before="60" w:after="60"/>
              <w:ind w:firstLine="0"/>
              <w:jc w:val="left"/>
              <w:rPr>
                <w:rFonts w:eastAsia="Times New Roman" w:cs="Times New Roman"/>
                <w:noProof/>
                <w:color w:val="000000" w:themeColor="text1"/>
                <w:sz w:val="20"/>
                <w:szCs w:val="20"/>
                <w:lang w:eastAsia="lv-LV"/>
              </w:rPr>
            </w:pPr>
            <w:r w:rsidRPr="001050CA">
              <w:rPr>
                <w:rFonts w:eastAsia="Times New Roman" w:cs="Times New Roman"/>
                <w:noProof/>
                <w:color w:val="000000" w:themeColor="text1"/>
                <w:sz w:val="20"/>
                <w:szCs w:val="20"/>
                <w:lang w:eastAsia="lv-LV"/>
              </w:rPr>
              <w:t>V</w:t>
            </w:r>
            <w:r w:rsidR="00F1215C" w:rsidRPr="001050CA">
              <w:rPr>
                <w:rFonts w:eastAsia="Times New Roman" w:cs="Times New Roman"/>
                <w:noProof/>
                <w:color w:val="000000" w:themeColor="text1"/>
                <w:sz w:val="20"/>
                <w:szCs w:val="20"/>
                <w:lang w:eastAsia="lv-LV"/>
              </w:rPr>
              <w:t>ienreizējie pasākumi, % no IKP</w:t>
            </w:r>
          </w:p>
        </w:tc>
        <w:tc>
          <w:tcPr>
            <w:tcW w:w="992" w:type="dxa"/>
            <w:vAlign w:val="center"/>
          </w:tcPr>
          <w:p w14:paraId="78A47D39" w14:textId="77777777" w:rsidR="00F1215C" w:rsidRPr="001050CA" w:rsidRDefault="00F1215C" w:rsidP="00CA0F29">
            <w:pPr>
              <w:spacing w:before="60" w:after="60"/>
              <w:ind w:firstLine="0"/>
              <w:jc w:val="center"/>
              <w:rPr>
                <w:rFonts w:cs="Times New Roman"/>
                <w:noProof/>
                <w:color w:val="000000" w:themeColor="text1"/>
                <w:sz w:val="20"/>
                <w:szCs w:val="20"/>
              </w:rPr>
            </w:pPr>
            <w:r w:rsidRPr="001050CA">
              <w:rPr>
                <w:rFonts w:cs="Times New Roman"/>
                <w:noProof/>
                <w:color w:val="000000" w:themeColor="text1"/>
                <w:sz w:val="20"/>
                <w:szCs w:val="20"/>
              </w:rPr>
              <w:t>(6)</w:t>
            </w:r>
          </w:p>
        </w:tc>
        <w:tc>
          <w:tcPr>
            <w:tcW w:w="851" w:type="dxa"/>
            <w:tcBorders>
              <w:top w:val="single" w:sz="4" w:space="0" w:color="auto"/>
              <w:left w:val="nil"/>
              <w:bottom w:val="single" w:sz="4" w:space="0" w:color="auto"/>
              <w:right w:val="single" w:sz="4" w:space="0" w:color="auto"/>
            </w:tcBorders>
            <w:noWrap/>
            <w:vAlign w:val="center"/>
          </w:tcPr>
          <w:p w14:paraId="5964D93C" w14:textId="77777777" w:rsidR="00F1215C" w:rsidRPr="001050CA" w:rsidRDefault="00F1215C" w:rsidP="00CA0F29">
            <w:pPr>
              <w:spacing w:before="60" w:after="60"/>
              <w:ind w:firstLine="0"/>
              <w:jc w:val="center"/>
              <w:rPr>
                <w:rFonts w:cs="Times New Roman"/>
                <w:noProof/>
                <w:color w:val="000000" w:themeColor="text1"/>
                <w:sz w:val="20"/>
                <w:szCs w:val="20"/>
              </w:rPr>
            </w:pPr>
            <w:r w:rsidRPr="001050CA">
              <w:rPr>
                <w:rFonts w:eastAsia="Times New Roman" w:cs="Times New Roman"/>
                <w:noProof/>
                <w:sz w:val="20"/>
                <w:szCs w:val="20"/>
                <w:lang w:eastAsia="lv-LV"/>
              </w:rPr>
              <w:t>-1,6</w:t>
            </w:r>
          </w:p>
        </w:tc>
        <w:tc>
          <w:tcPr>
            <w:tcW w:w="850" w:type="dxa"/>
            <w:tcBorders>
              <w:top w:val="single" w:sz="4" w:space="0" w:color="auto"/>
              <w:left w:val="single" w:sz="4" w:space="0" w:color="auto"/>
              <w:bottom w:val="single" w:sz="4" w:space="0" w:color="auto"/>
              <w:right w:val="single" w:sz="4" w:space="0" w:color="auto"/>
            </w:tcBorders>
            <w:noWrap/>
            <w:vAlign w:val="center"/>
          </w:tcPr>
          <w:p w14:paraId="0CEEB16F" w14:textId="77777777" w:rsidR="00F1215C" w:rsidRPr="001050CA" w:rsidRDefault="00F1215C" w:rsidP="00CA0F29">
            <w:pPr>
              <w:spacing w:before="60" w:after="60"/>
              <w:ind w:firstLine="0"/>
              <w:jc w:val="center"/>
              <w:rPr>
                <w:rFonts w:cs="Times New Roman"/>
                <w:noProof/>
                <w:color w:val="000000" w:themeColor="text1"/>
                <w:sz w:val="20"/>
                <w:szCs w:val="20"/>
              </w:rPr>
            </w:pPr>
            <w:r w:rsidRPr="001050CA">
              <w:rPr>
                <w:rFonts w:eastAsia="Times New Roman" w:cs="Times New Roman"/>
                <w:noProof/>
                <w:sz w:val="20"/>
                <w:szCs w:val="20"/>
                <w:lang w:eastAsia="lv-LV"/>
              </w:rPr>
              <w:t>-1,7</w:t>
            </w:r>
          </w:p>
        </w:tc>
        <w:tc>
          <w:tcPr>
            <w:tcW w:w="856" w:type="dxa"/>
            <w:tcBorders>
              <w:top w:val="single" w:sz="4" w:space="0" w:color="auto"/>
              <w:left w:val="single" w:sz="4" w:space="0" w:color="auto"/>
              <w:bottom w:val="single" w:sz="4" w:space="0" w:color="auto"/>
              <w:right w:val="single" w:sz="4" w:space="0" w:color="auto"/>
            </w:tcBorders>
            <w:vAlign w:val="center"/>
          </w:tcPr>
          <w:p w14:paraId="3C19B29C" w14:textId="77777777" w:rsidR="00F1215C" w:rsidRPr="001050CA" w:rsidRDefault="00F1215C" w:rsidP="00CA0F29">
            <w:pPr>
              <w:spacing w:before="60" w:after="60"/>
              <w:ind w:firstLine="0"/>
              <w:jc w:val="center"/>
              <w:rPr>
                <w:rFonts w:cs="Times New Roman"/>
                <w:noProof/>
                <w:color w:val="000000" w:themeColor="text1"/>
                <w:sz w:val="20"/>
                <w:szCs w:val="20"/>
              </w:rPr>
            </w:pPr>
            <w:r w:rsidRPr="001050CA">
              <w:rPr>
                <w:rFonts w:eastAsia="Times New Roman" w:cs="Times New Roman"/>
                <w:noProof/>
                <w:sz w:val="20"/>
                <w:szCs w:val="20"/>
                <w:lang w:eastAsia="lv-LV"/>
              </w:rPr>
              <w:t>-1,6</w:t>
            </w:r>
          </w:p>
        </w:tc>
        <w:tc>
          <w:tcPr>
            <w:tcW w:w="851" w:type="dxa"/>
            <w:tcBorders>
              <w:top w:val="single" w:sz="4" w:space="0" w:color="auto"/>
              <w:left w:val="single" w:sz="4" w:space="0" w:color="auto"/>
              <w:bottom w:val="single" w:sz="4" w:space="0" w:color="auto"/>
              <w:right w:val="single" w:sz="4" w:space="0" w:color="auto"/>
            </w:tcBorders>
            <w:noWrap/>
            <w:vAlign w:val="center"/>
          </w:tcPr>
          <w:p w14:paraId="40E5E8DB" w14:textId="77777777" w:rsidR="00F1215C" w:rsidRPr="001050CA" w:rsidRDefault="00F1215C" w:rsidP="00CA0F29">
            <w:pPr>
              <w:spacing w:before="60" w:after="60"/>
              <w:ind w:firstLine="0"/>
              <w:jc w:val="center"/>
              <w:rPr>
                <w:rFonts w:cs="Times New Roman"/>
                <w:noProof/>
                <w:color w:val="000000" w:themeColor="text1"/>
                <w:sz w:val="20"/>
                <w:szCs w:val="20"/>
              </w:rPr>
            </w:pPr>
            <w:r w:rsidRPr="001050CA">
              <w:rPr>
                <w:rFonts w:eastAsia="Times New Roman" w:cs="Times New Roman"/>
                <w:noProof/>
                <w:sz w:val="20"/>
                <w:szCs w:val="20"/>
                <w:lang w:eastAsia="lv-LV"/>
              </w:rPr>
              <w:t>-0,9</w:t>
            </w:r>
          </w:p>
        </w:tc>
      </w:tr>
      <w:tr w:rsidR="00DC7AD8" w:rsidRPr="001050CA" w14:paraId="635ADB95" w14:textId="77777777" w:rsidTr="00DC7AD8">
        <w:trPr>
          <w:trHeight w:val="20"/>
          <w:jc w:val="center"/>
        </w:trPr>
        <w:tc>
          <w:tcPr>
            <w:tcW w:w="3681" w:type="dxa"/>
            <w:shd w:val="clear" w:color="auto" w:fill="EBE2D1"/>
            <w:noWrap/>
            <w:vAlign w:val="center"/>
          </w:tcPr>
          <w:p w14:paraId="0CBAAC64" w14:textId="1BC5A7C2" w:rsidR="00F1215C" w:rsidRPr="001050CA" w:rsidRDefault="00352EDD" w:rsidP="00CA0F29">
            <w:pPr>
              <w:spacing w:before="60" w:after="60"/>
              <w:ind w:firstLine="0"/>
              <w:jc w:val="left"/>
              <w:rPr>
                <w:rFonts w:eastAsia="Times New Roman" w:cs="Times New Roman"/>
                <w:b/>
                <w:bCs/>
                <w:noProof/>
                <w:color w:val="000000" w:themeColor="text1"/>
                <w:sz w:val="20"/>
                <w:szCs w:val="20"/>
                <w:lang w:eastAsia="lv-LV"/>
              </w:rPr>
            </w:pPr>
            <w:r w:rsidRPr="001050CA">
              <w:rPr>
                <w:rFonts w:eastAsia="Times New Roman" w:cs="Times New Roman"/>
                <w:b/>
                <w:bCs/>
                <w:noProof/>
                <w:color w:val="000000" w:themeColor="text1"/>
                <w:sz w:val="20"/>
                <w:szCs w:val="20"/>
                <w:lang w:eastAsia="lv-LV"/>
              </w:rPr>
              <w:t>V</w:t>
            </w:r>
            <w:r w:rsidR="00F1215C" w:rsidRPr="001050CA">
              <w:rPr>
                <w:rFonts w:eastAsia="Times New Roman" w:cs="Times New Roman"/>
                <w:b/>
                <w:bCs/>
                <w:noProof/>
                <w:color w:val="000000" w:themeColor="text1"/>
                <w:sz w:val="20"/>
                <w:szCs w:val="20"/>
                <w:lang w:eastAsia="lv-LV"/>
              </w:rPr>
              <w:t xml:space="preserve">ispārējās valdības budžeta strukturālās bilances mērķis, </w:t>
            </w:r>
          </w:p>
          <w:p w14:paraId="707435EB" w14:textId="77777777" w:rsidR="00F1215C" w:rsidRPr="001050CA" w:rsidRDefault="00F1215C" w:rsidP="00CA0F29">
            <w:pPr>
              <w:spacing w:before="60" w:after="60"/>
              <w:ind w:firstLine="0"/>
              <w:jc w:val="left"/>
              <w:rPr>
                <w:rFonts w:eastAsia="Times New Roman" w:cs="Times New Roman"/>
                <w:b/>
                <w:bCs/>
                <w:noProof/>
                <w:color w:val="000000" w:themeColor="text1"/>
                <w:sz w:val="20"/>
                <w:szCs w:val="20"/>
                <w:lang w:eastAsia="lv-LV"/>
              </w:rPr>
            </w:pPr>
            <w:r w:rsidRPr="001050CA">
              <w:rPr>
                <w:rFonts w:eastAsia="Times New Roman" w:cs="Times New Roman"/>
                <w:b/>
                <w:bCs/>
                <w:noProof/>
                <w:color w:val="000000" w:themeColor="text1"/>
                <w:sz w:val="20"/>
                <w:szCs w:val="20"/>
                <w:lang w:eastAsia="lv-LV"/>
              </w:rPr>
              <w:t>% no IKP</w:t>
            </w:r>
          </w:p>
        </w:tc>
        <w:tc>
          <w:tcPr>
            <w:tcW w:w="992" w:type="dxa"/>
            <w:tcBorders>
              <w:top w:val="single" w:sz="4" w:space="0" w:color="auto"/>
              <w:bottom w:val="single" w:sz="4" w:space="0" w:color="auto"/>
              <w:right w:val="single" w:sz="4" w:space="0" w:color="auto"/>
            </w:tcBorders>
            <w:shd w:val="clear" w:color="auto" w:fill="EBE2D1"/>
            <w:vAlign w:val="center"/>
          </w:tcPr>
          <w:p w14:paraId="35455E0D" w14:textId="77777777" w:rsidR="00F1215C" w:rsidRPr="001050CA" w:rsidRDefault="00F1215C" w:rsidP="00CA0F29">
            <w:pPr>
              <w:spacing w:before="60" w:after="60"/>
              <w:ind w:firstLine="0"/>
              <w:jc w:val="center"/>
              <w:rPr>
                <w:rFonts w:cs="Times New Roman"/>
                <w:b/>
                <w:bCs/>
                <w:noProof/>
                <w:color w:val="000000" w:themeColor="text1"/>
                <w:sz w:val="20"/>
                <w:szCs w:val="20"/>
              </w:rPr>
            </w:pPr>
            <w:r w:rsidRPr="001050CA">
              <w:rPr>
                <w:rFonts w:cs="Times New Roman"/>
                <w:b/>
                <w:bCs/>
                <w:noProof/>
                <w:color w:val="000000" w:themeColor="text1"/>
                <w:sz w:val="20"/>
                <w:szCs w:val="20"/>
              </w:rPr>
              <w:t>(7)=(4)-(5)-(6)</w:t>
            </w:r>
          </w:p>
        </w:tc>
        <w:tc>
          <w:tcPr>
            <w:tcW w:w="851"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4135DEEE" w14:textId="77777777" w:rsidR="00F1215C" w:rsidRPr="001050CA" w:rsidRDefault="00F1215C" w:rsidP="00CA0F29">
            <w:pPr>
              <w:spacing w:before="60" w:after="60"/>
              <w:ind w:firstLine="0"/>
              <w:jc w:val="center"/>
              <w:rPr>
                <w:rFonts w:cs="Times New Roman"/>
                <w:b/>
                <w:bCs/>
                <w:noProof/>
                <w:color w:val="000000" w:themeColor="text1"/>
                <w:sz w:val="20"/>
                <w:szCs w:val="20"/>
              </w:rPr>
            </w:pPr>
            <w:r w:rsidRPr="001050CA">
              <w:rPr>
                <w:rFonts w:cs="Times New Roman"/>
                <w:b/>
                <w:bCs/>
                <w:noProof/>
                <w:color w:val="000000" w:themeColor="text1"/>
                <w:sz w:val="20"/>
                <w:szCs w:val="20"/>
              </w:rPr>
              <w:t>-1,282</w:t>
            </w:r>
          </w:p>
        </w:tc>
        <w:tc>
          <w:tcPr>
            <w:tcW w:w="850"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4AB631DE" w14:textId="77777777" w:rsidR="00F1215C" w:rsidRPr="001050CA" w:rsidRDefault="00F1215C" w:rsidP="00CA0F29">
            <w:pPr>
              <w:spacing w:before="60" w:after="60"/>
              <w:ind w:firstLine="0"/>
              <w:jc w:val="center"/>
              <w:rPr>
                <w:rFonts w:cs="Times New Roman"/>
                <w:b/>
                <w:bCs/>
                <w:noProof/>
                <w:color w:val="000000" w:themeColor="text1"/>
                <w:sz w:val="20"/>
                <w:szCs w:val="20"/>
              </w:rPr>
            </w:pPr>
            <w:r w:rsidRPr="001050CA">
              <w:rPr>
                <w:rFonts w:cs="Times New Roman"/>
                <w:b/>
                <w:bCs/>
                <w:noProof/>
                <w:color w:val="000000" w:themeColor="text1"/>
                <w:sz w:val="20"/>
                <w:szCs w:val="20"/>
              </w:rPr>
              <w:t>-2,096</w:t>
            </w:r>
          </w:p>
        </w:tc>
        <w:tc>
          <w:tcPr>
            <w:tcW w:w="856" w:type="dxa"/>
            <w:tcBorders>
              <w:top w:val="single" w:sz="4" w:space="0" w:color="auto"/>
              <w:left w:val="single" w:sz="4" w:space="0" w:color="auto"/>
              <w:bottom w:val="single" w:sz="4" w:space="0" w:color="auto"/>
              <w:right w:val="single" w:sz="4" w:space="0" w:color="auto"/>
            </w:tcBorders>
            <w:shd w:val="clear" w:color="auto" w:fill="EBE2D1"/>
            <w:vAlign w:val="center"/>
          </w:tcPr>
          <w:p w14:paraId="4AA3F095" w14:textId="77777777" w:rsidR="00F1215C" w:rsidRPr="001050CA" w:rsidRDefault="00F1215C" w:rsidP="00CA0F29">
            <w:pPr>
              <w:spacing w:before="60" w:after="60"/>
              <w:ind w:firstLine="0"/>
              <w:jc w:val="center"/>
              <w:rPr>
                <w:rFonts w:cs="Times New Roman"/>
                <w:b/>
                <w:bCs/>
                <w:noProof/>
                <w:color w:val="000000" w:themeColor="text1"/>
                <w:sz w:val="20"/>
                <w:szCs w:val="20"/>
              </w:rPr>
            </w:pPr>
            <w:r w:rsidRPr="001050CA">
              <w:rPr>
                <w:rFonts w:cs="Times New Roman"/>
                <w:b/>
                <w:bCs/>
                <w:noProof/>
                <w:color w:val="000000" w:themeColor="text1"/>
                <w:sz w:val="20"/>
                <w:szCs w:val="20"/>
              </w:rPr>
              <w:t>-2,193</w:t>
            </w:r>
          </w:p>
        </w:tc>
        <w:tc>
          <w:tcPr>
            <w:tcW w:w="851" w:type="dxa"/>
            <w:tcBorders>
              <w:top w:val="single" w:sz="4" w:space="0" w:color="auto"/>
              <w:left w:val="single" w:sz="4" w:space="0" w:color="auto"/>
              <w:bottom w:val="single" w:sz="4" w:space="0" w:color="auto"/>
              <w:right w:val="single" w:sz="4" w:space="0" w:color="auto"/>
            </w:tcBorders>
            <w:shd w:val="clear" w:color="auto" w:fill="EBE2D1"/>
            <w:noWrap/>
            <w:vAlign w:val="center"/>
          </w:tcPr>
          <w:p w14:paraId="0E51634B" w14:textId="77777777" w:rsidR="00F1215C" w:rsidRPr="001050CA" w:rsidRDefault="00F1215C" w:rsidP="00CA0F29">
            <w:pPr>
              <w:spacing w:before="60" w:after="60"/>
              <w:ind w:firstLine="0"/>
              <w:jc w:val="center"/>
              <w:rPr>
                <w:rFonts w:cs="Times New Roman"/>
                <w:b/>
                <w:bCs/>
                <w:noProof/>
                <w:color w:val="000000" w:themeColor="text1"/>
                <w:sz w:val="20"/>
                <w:szCs w:val="20"/>
              </w:rPr>
            </w:pPr>
            <w:r w:rsidRPr="001050CA">
              <w:rPr>
                <w:rFonts w:cs="Times New Roman"/>
                <w:b/>
                <w:bCs/>
                <w:noProof/>
                <w:color w:val="000000" w:themeColor="text1"/>
                <w:sz w:val="20"/>
                <w:szCs w:val="20"/>
              </w:rPr>
              <w:t>-3,521</w:t>
            </w:r>
          </w:p>
        </w:tc>
      </w:tr>
    </w:tbl>
    <w:p w14:paraId="2CC00FD8" w14:textId="77777777" w:rsidR="00F1215C" w:rsidRPr="001C0357" w:rsidRDefault="00F1215C" w:rsidP="00812A3D">
      <w:pPr>
        <w:widowControl w:val="0"/>
        <w:spacing w:before="240"/>
        <w:ind w:firstLine="0"/>
        <w:jc w:val="center"/>
        <w:rPr>
          <w:rFonts w:eastAsia="Times New Roman" w:cs="Times New Roman"/>
          <w:bCs/>
          <w:i/>
          <w:iCs/>
          <w:noProof/>
          <w:szCs w:val="28"/>
        </w:rPr>
      </w:pPr>
      <w:r w:rsidRPr="001C0357">
        <w:rPr>
          <w:b/>
          <w:bCs/>
          <w:noProof/>
          <w:szCs w:val="20"/>
          <w:lang w:eastAsia="lv-LV"/>
        </w:rPr>
        <w:t>12. tabula.</w:t>
      </w:r>
      <w:r w:rsidRPr="001C0357">
        <w:rPr>
          <w:noProof/>
          <w:szCs w:val="20"/>
          <w:lang w:eastAsia="lv-LV"/>
        </w:rPr>
        <w:t xml:space="preserve"> </w:t>
      </w:r>
      <w:r w:rsidRPr="001C0357">
        <w:rPr>
          <w:rFonts w:eastAsia="Times New Roman" w:cs="Times New Roman"/>
          <w:b/>
          <w:noProof/>
          <w:szCs w:val="24"/>
          <w:lang w:eastAsia="lv-LV"/>
        </w:rPr>
        <w:t>Fiskālā telpa, balstoties uz nominālās bilances</w:t>
      </w:r>
      <w:r w:rsidRPr="001C0357">
        <w:rPr>
          <w:rFonts w:eastAsia="Times New Roman" w:cs="Times New Roman"/>
          <w:b/>
          <w:noProof/>
          <w:lang w:eastAsia="lv-LV"/>
        </w:rPr>
        <w:t xml:space="preserve"> nosacījumu</w:t>
      </w:r>
    </w:p>
    <w:tbl>
      <w:tblPr>
        <w:tblW w:w="79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80"/>
        <w:gridCol w:w="1093"/>
        <w:gridCol w:w="909"/>
        <w:gridCol w:w="787"/>
        <w:gridCol w:w="787"/>
        <w:gridCol w:w="788"/>
      </w:tblGrid>
      <w:tr w:rsidR="00F1215C" w:rsidRPr="00DC7AD8" w14:paraId="6AB2ECFD" w14:textId="77777777" w:rsidTr="00DC7AD8">
        <w:trPr>
          <w:trHeight w:val="20"/>
          <w:tblHeader/>
          <w:jc w:val="center"/>
        </w:trPr>
        <w:tc>
          <w:tcPr>
            <w:tcW w:w="3580" w:type="dxa"/>
            <w:shd w:val="clear" w:color="auto" w:fill="EBE2D1"/>
            <w:noWrap/>
            <w:vAlign w:val="center"/>
            <w:hideMark/>
          </w:tcPr>
          <w:p w14:paraId="5F2C895D" w14:textId="77777777" w:rsidR="00F1215C" w:rsidRPr="00DC7AD8" w:rsidRDefault="00F1215C" w:rsidP="00CA0F29">
            <w:pPr>
              <w:spacing w:before="60"/>
              <w:ind w:firstLine="0"/>
              <w:jc w:val="center"/>
              <w:rPr>
                <w:rFonts w:eastAsia="Times New Roman" w:cs="Times New Roman"/>
                <w:noProof/>
                <w:color w:val="000000"/>
                <w:sz w:val="20"/>
                <w:szCs w:val="20"/>
                <w:lang w:eastAsia="lv-LV"/>
              </w:rPr>
            </w:pPr>
          </w:p>
        </w:tc>
        <w:tc>
          <w:tcPr>
            <w:tcW w:w="1093" w:type="dxa"/>
            <w:shd w:val="clear" w:color="auto" w:fill="EBE2D1"/>
            <w:vAlign w:val="center"/>
          </w:tcPr>
          <w:p w14:paraId="4A9EA1F5" w14:textId="77777777" w:rsidR="00F1215C" w:rsidRPr="00DC7AD8" w:rsidRDefault="00F1215C" w:rsidP="00CA0F29">
            <w:pPr>
              <w:spacing w:before="60"/>
              <w:ind w:firstLine="0"/>
              <w:jc w:val="center"/>
              <w:rPr>
                <w:rFonts w:eastAsia="Times New Roman" w:cs="Times New Roman"/>
                <w:noProof/>
                <w:color w:val="000000"/>
                <w:sz w:val="20"/>
                <w:szCs w:val="20"/>
                <w:lang w:eastAsia="lv-LV"/>
              </w:rPr>
            </w:pPr>
          </w:p>
        </w:tc>
        <w:tc>
          <w:tcPr>
            <w:tcW w:w="909" w:type="dxa"/>
            <w:shd w:val="clear" w:color="auto" w:fill="EBE2D1"/>
            <w:noWrap/>
            <w:vAlign w:val="center"/>
            <w:hideMark/>
          </w:tcPr>
          <w:p w14:paraId="42B8006E" w14:textId="77777777" w:rsidR="00F1215C" w:rsidRPr="00DC7AD8" w:rsidRDefault="00F1215C" w:rsidP="00CA0F29">
            <w:pPr>
              <w:spacing w:before="60"/>
              <w:ind w:firstLine="0"/>
              <w:jc w:val="center"/>
              <w:rPr>
                <w:rFonts w:eastAsia="Times New Roman" w:cs="Times New Roman"/>
                <w:b/>
                <w:bCs/>
                <w:noProof/>
                <w:color w:val="000000"/>
                <w:sz w:val="20"/>
                <w:szCs w:val="20"/>
                <w:lang w:eastAsia="lv-LV"/>
              </w:rPr>
            </w:pPr>
            <w:r w:rsidRPr="00DC7AD8">
              <w:rPr>
                <w:rFonts w:eastAsia="Times New Roman" w:cs="Times New Roman"/>
                <w:b/>
                <w:bCs/>
                <w:noProof/>
                <w:color w:val="000000"/>
                <w:sz w:val="20"/>
                <w:szCs w:val="20"/>
                <w:lang w:eastAsia="lv-LV"/>
              </w:rPr>
              <w:t>2026</w:t>
            </w:r>
          </w:p>
        </w:tc>
        <w:tc>
          <w:tcPr>
            <w:tcW w:w="787" w:type="dxa"/>
            <w:shd w:val="clear" w:color="auto" w:fill="EBE2D1"/>
            <w:noWrap/>
            <w:vAlign w:val="center"/>
            <w:hideMark/>
          </w:tcPr>
          <w:p w14:paraId="27F5604B" w14:textId="77777777" w:rsidR="00F1215C" w:rsidRPr="00DC7AD8" w:rsidRDefault="00F1215C" w:rsidP="00CA0F29">
            <w:pPr>
              <w:spacing w:before="60"/>
              <w:ind w:firstLine="0"/>
              <w:jc w:val="center"/>
              <w:rPr>
                <w:rFonts w:eastAsia="Times New Roman" w:cs="Times New Roman"/>
                <w:b/>
                <w:bCs/>
                <w:noProof/>
                <w:color w:val="000000"/>
                <w:sz w:val="20"/>
                <w:szCs w:val="20"/>
                <w:lang w:eastAsia="lv-LV"/>
              </w:rPr>
            </w:pPr>
            <w:r w:rsidRPr="00DC7AD8">
              <w:rPr>
                <w:rFonts w:eastAsia="Times New Roman" w:cs="Times New Roman"/>
                <w:b/>
                <w:bCs/>
                <w:noProof/>
                <w:color w:val="000000"/>
                <w:sz w:val="20"/>
                <w:szCs w:val="20"/>
                <w:lang w:eastAsia="lv-LV"/>
              </w:rPr>
              <w:t>2027</w:t>
            </w:r>
          </w:p>
        </w:tc>
        <w:tc>
          <w:tcPr>
            <w:tcW w:w="787" w:type="dxa"/>
            <w:shd w:val="clear" w:color="auto" w:fill="EBE2D1"/>
            <w:vAlign w:val="center"/>
          </w:tcPr>
          <w:p w14:paraId="0B7BD90B" w14:textId="77777777" w:rsidR="00F1215C" w:rsidRPr="00DC7AD8" w:rsidRDefault="00F1215C" w:rsidP="00CA0F29">
            <w:pPr>
              <w:spacing w:before="60"/>
              <w:ind w:firstLine="0"/>
              <w:jc w:val="center"/>
              <w:rPr>
                <w:rFonts w:eastAsia="Times New Roman" w:cs="Times New Roman"/>
                <w:b/>
                <w:bCs/>
                <w:noProof/>
                <w:color w:val="000000"/>
                <w:sz w:val="20"/>
                <w:szCs w:val="20"/>
                <w:lang w:eastAsia="lv-LV"/>
              </w:rPr>
            </w:pPr>
            <w:r w:rsidRPr="00DC7AD8">
              <w:rPr>
                <w:rFonts w:eastAsia="Times New Roman" w:cs="Times New Roman"/>
                <w:b/>
                <w:bCs/>
                <w:noProof/>
                <w:color w:val="000000"/>
                <w:sz w:val="20"/>
                <w:szCs w:val="20"/>
                <w:lang w:eastAsia="lv-LV"/>
              </w:rPr>
              <w:t>2028</w:t>
            </w:r>
          </w:p>
        </w:tc>
        <w:tc>
          <w:tcPr>
            <w:tcW w:w="788" w:type="dxa"/>
            <w:shd w:val="clear" w:color="auto" w:fill="EBE2D1"/>
            <w:noWrap/>
            <w:vAlign w:val="center"/>
            <w:hideMark/>
          </w:tcPr>
          <w:p w14:paraId="29422C87" w14:textId="77777777" w:rsidR="00F1215C" w:rsidRPr="00DC7AD8" w:rsidRDefault="00F1215C" w:rsidP="00CA0F29">
            <w:pPr>
              <w:spacing w:before="60"/>
              <w:ind w:firstLine="0"/>
              <w:jc w:val="center"/>
              <w:rPr>
                <w:rFonts w:eastAsia="Times New Roman" w:cs="Times New Roman"/>
                <w:b/>
                <w:bCs/>
                <w:noProof/>
                <w:color w:val="000000"/>
                <w:sz w:val="20"/>
                <w:szCs w:val="20"/>
                <w:lang w:eastAsia="lv-LV"/>
              </w:rPr>
            </w:pPr>
            <w:r w:rsidRPr="00DC7AD8">
              <w:rPr>
                <w:rFonts w:eastAsia="Times New Roman" w:cs="Times New Roman"/>
                <w:b/>
                <w:bCs/>
                <w:noProof/>
                <w:color w:val="000000"/>
                <w:sz w:val="20"/>
                <w:szCs w:val="20"/>
                <w:lang w:eastAsia="lv-LV"/>
              </w:rPr>
              <w:t>2029</w:t>
            </w:r>
          </w:p>
        </w:tc>
      </w:tr>
      <w:tr w:rsidR="00F1215C" w:rsidRPr="00DC7AD8" w14:paraId="1E0FBEB9" w14:textId="77777777" w:rsidTr="00DC7AD8">
        <w:trPr>
          <w:trHeight w:val="20"/>
          <w:jc w:val="center"/>
        </w:trPr>
        <w:tc>
          <w:tcPr>
            <w:tcW w:w="3580" w:type="dxa"/>
            <w:noWrap/>
            <w:vAlign w:val="center"/>
            <w:hideMark/>
          </w:tcPr>
          <w:p w14:paraId="6D3A9DB8" w14:textId="67F5825C" w:rsidR="00F1215C" w:rsidRPr="00DC7AD8" w:rsidRDefault="00812A3D" w:rsidP="00CA0F29">
            <w:pPr>
              <w:spacing w:before="60" w:after="60"/>
              <w:ind w:firstLine="0"/>
              <w:jc w:val="left"/>
              <w:rPr>
                <w:rFonts w:eastAsia="Times New Roman" w:cs="Times New Roman"/>
                <w:b/>
                <w:bCs/>
                <w:noProof/>
                <w:color w:val="000000"/>
                <w:sz w:val="20"/>
                <w:szCs w:val="20"/>
                <w:lang w:eastAsia="lv-LV"/>
              </w:rPr>
            </w:pPr>
            <w:r w:rsidRPr="00DC7AD8">
              <w:rPr>
                <w:rFonts w:eastAsia="Times New Roman" w:cs="Times New Roman"/>
                <w:b/>
                <w:bCs/>
                <w:noProof/>
                <w:sz w:val="20"/>
                <w:szCs w:val="20"/>
                <w:lang w:eastAsia="lv-LV"/>
              </w:rPr>
              <w:t>V</w:t>
            </w:r>
            <w:r w:rsidR="00F1215C" w:rsidRPr="00DC7AD8">
              <w:rPr>
                <w:rFonts w:eastAsia="Times New Roman" w:cs="Times New Roman"/>
                <w:b/>
                <w:bCs/>
                <w:noProof/>
                <w:sz w:val="20"/>
                <w:szCs w:val="20"/>
                <w:lang w:eastAsia="lv-LV"/>
              </w:rPr>
              <w:t>ispārējās valdības strukturālās bilances mērķi, kas izriet no nominālās bilances nosacījuma % no IKP</w:t>
            </w:r>
          </w:p>
        </w:tc>
        <w:tc>
          <w:tcPr>
            <w:tcW w:w="1093" w:type="dxa"/>
            <w:vAlign w:val="center"/>
          </w:tcPr>
          <w:p w14:paraId="7CC186B0" w14:textId="77777777" w:rsidR="00F1215C" w:rsidRPr="00DC7AD8" w:rsidRDefault="00F1215C" w:rsidP="00CA0F29">
            <w:pPr>
              <w:spacing w:before="60" w:after="60"/>
              <w:ind w:firstLine="0"/>
              <w:jc w:val="center"/>
              <w:rPr>
                <w:rFonts w:eastAsia="Times New Roman" w:cs="Times New Roman"/>
                <w:b/>
                <w:bCs/>
                <w:noProof/>
                <w:color w:val="000000"/>
                <w:sz w:val="20"/>
                <w:szCs w:val="20"/>
                <w:lang w:eastAsia="lv-LV"/>
              </w:rPr>
            </w:pPr>
            <w:r w:rsidRPr="00DC7AD8">
              <w:rPr>
                <w:rFonts w:eastAsia="Times New Roman" w:cs="Times New Roman"/>
                <w:b/>
                <w:bCs/>
                <w:noProof/>
                <w:color w:val="000000"/>
                <w:sz w:val="20"/>
                <w:szCs w:val="20"/>
                <w:lang w:eastAsia="lv-LV"/>
              </w:rPr>
              <w:t>(1)</w:t>
            </w:r>
          </w:p>
        </w:tc>
        <w:tc>
          <w:tcPr>
            <w:tcW w:w="909" w:type="dxa"/>
            <w:noWrap/>
            <w:vAlign w:val="center"/>
          </w:tcPr>
          <w:p w14:paraId="27590F0A" w14:textId="77777777" w:rsidR="00F1215C" w:rsidRPr="00DC7AD8" w:rsidRDefault="00F1215C" w:rsidP="00CA0F29">
            <w:pPr>
              <w:spacing w:before="60" w:after="60"/>
              <w:ind w:firstLine="0"/>
              <w:jc w:val="center"/>
              <w:rPr>
                <w:rFonts w:eastAsia="Times New Roman" w:cs="Times New Roman"/>
                <w:b/>
                <w:bCs/>
                <w:noProof/>
                <w:color w:val="000000" w:themeColor="text1"/>
                <w:sz w:val="20"/>
                <w:szCs w:val="20"/>
                <w:lang w:eastAsia="lv-LV"/>
              </w:rPr>
            </w:pPr>
            <w:r w:rsidRPr="00DC7AD8">
              <w:rPr>
                <w:rFonts w:cs="Times New Roman"/>
                <w:b/>
                <w:bCs/>
                <w:noProof/>
                <w:color w:val="000000" w:themeColor="text1"/>
                <w:sz w:val="20"/>
                <w:szCs w:val="20"/>
              </w:rPr>
              <w:t>-1,282</w:t>
            </w:r>
          </w:p>
        </w:tc>
        <w:tc>
          <w:tcPr>
            <w:tcW w:w="787" w:type="dxa"/>
            <w:noWrap/>
            <w:vAlign w:val="center"/>
          </w:tcPr>
          <w:p w14:paraId="1EA2CB46" w14:textId="77777777" w:rsidR="00F1215C" w:rsidRPr="00DC7AD8" w:rsidRDefault="00F1215C" w:rsidP="00CA0F29">
            <w:pPr>
              <w:spacing w:before="60" w:after="60"/>
              <w:ind w:firstLine="0"/>
              <w:jc w:val="center"/>
              <w:rPr>
                <w:rFonts w:eastAsia="Times New Roman" w:cs="Times New Roman"/>
                <w:b/>
                <w:bCs/>
                <w:noProof/>
                <w:color w:val="000000" w:themeColor="text1"/>
                <w:sz w:val="20"/>
                <w:szCs w:val="20"/>
                <w:lang w:eastAsia="lv-LV"/>
              </w:rPr>
            </w:pPr>
            <w:r w:rsidRPr="00DC7AD8">
              <w:rPr>
                <w:rFonts w:cs="Times New Roman"/>
                <w:b/>
                <w:bCs/>
                <w:noProof/>
                <w:color w:val="000000" w:themeColor="text1"/>
                <w:sz w:val="20"/>
                <w:szCs w:val="20"/>
              </w:rPr>
              <w:t>-2,096</w:t>
            </w:r>
          </w:p>
        </w:tc>
        <w:tc>
          <w:tcPr>
            <w:tcW w:w="787" w:type="dxa"/>
            <w:vAlign w:val="center"/>
          </w:tcPr>
          <w:p w14:paraId="665D11B2" w14:textId="77777777" w:rsidR="00F1215C" w:rsidRPr="00DC7AD8" w:rsidRDefault="00F1215C" w:rsidP="00CA0F29">
            <w:pPr>
              <w:spacing w:before="60" w:after="60"/>
              <w:ind w:firstLine="0"/>
              <w:jc w:val="center"/>
              <w:rPr>
                <w:rFonts w:eastAsia="Times New Roman" w:cs="Times New Roman"/>
                <w:b/>
                <w:bCs/>
                <w:noProof/>
                <w:color w:val="000000" w:themeColor="text1"/>
                <w:sz w:val="20"/>
                <w:szCs w:val="20"/>
                <w:lang w:eastAsia="lv-LV"/>
              </w:rPr>
            </w:pPr>
            <w:r w:rsidRPr="00DC7AD8">
              <w:rPr>
                <w:rFonts w:cs="Times New Roman"/>
                <w:b/>
                <w:bCs/>
                <w:noProof/>
                <w:color w:val="000000" w:themeColor="text1"/>
                <w:sz w:val="20"/>
                <w:szCs w:val="20"/>
              </w:rPr>
              <w:t>-2,193</w:t>
            </w:r>
          </w:p>
        </w:tc>
        <w:tc>
          <w:tcPr>
            <w:tcW w:w="788" w:type="dxa"/>
            <w:noWrap/>
            <w:vAlign w:val="center"/>
          </w:tcPr>
          <w:p w14:paraId="1B7CCEA1" w14:textId="77777777" w:rsidR="00F1215C" w:rsidRPr="00DC7AD8" w:rsidRDefault="00F1215C" w:rsidP="00CA0F29">
            <w:pPr>
              <w:spacing w:before="60" w:after="60"/>
              <w:ind w:firstLine="0"/>
              <w:jc w:val="center"/>
              <w:rPr>
                <w:rFonts w:eastAsia="Times New Roman" w:cs="Times New Roman"/>
                <w:b/>
                <w:bCs/>
                <w:noProof/>
                <w:color w:val="000000" w:themeColor="text1"/>
                <w:sz w:val="20"/>
                <w:szCs w:val="20"/>
                <w:lang w:eastAsia="lv-LV"/>
              </w:rPr>
            </w:pPr>
            <w:r w:rsidRPr="00DC7AD8">
              <w:rPr>
                <w:rFonts w:cs="Times New Roman"/>
                <w:b/>
                <w:bCs/>
                <w:noProof/>
                <w:color w:val="000000" w:themeColor="text1"/>
                <w:sz w:val="20"/>
                <w:szCs w:val="20"/>
              </w:rPr>
              <w:t>-3,521</w:t>
            </w:r>
          </w:p>
        </w:tc>
      </w:tr>
      <w:tr w:rsidR="00F1215C" w:rsidRPr="00DC7AD8" w14:paraId="6C6EC391" w14:textId="77777777" w:rsidTr="00DC7AD8">
        <w:trPr>
          <w:trHeight w:val="20"/>
          <w:jc w:val="center"/>
        </w:trPr>
        <w:tc>
          <w:tcPr>
            <w:tcW w:w="3580" w:type="dxa"/>
            <w:noWrap/>
            <w:vAlign w:val="center"/>
          </w:tcPr>
          <w:p w14:paraId="5D147694" w14:textId="471D803A" w:rsidR="00F1215C" w:rsidRPr="00DC7AD8" w:rsidRDefault="00812A3D" w:rsidP="00CA0F29">
            <w:pPr>
              <w:spacing w:before="60" w:after="60"/>
              <w:ind w:firstLine="0"/>
              <w:jc w:val="left"/>
              <w:rPr>
                <w:rFonts w:eastAsia="Times New Roman" w:cs="Times New Roman"/>
                <w:noProof/>
                <w:color w:val="000000"/>
                <w:sz w:val="20"/>
                <w:szCs w:val="20"/>
                <w:lang w:eastAsia="lv-LV"/>
              </w:rPr>
            </w:pPr>
            <w:r w:rsidRPr="00DC7AD8">
              <w:rPr>
                <w:rFonts w:eastAsia="Times New Roman" w:cs="Times New Roman"/>
                <w:noProof/>
                <w:color w:val="000000"/>
                <w:sz w:val="20"/>
                <w:szCs w:val="20"/>
                <w:lang w:eastAsia="lv-LV"/>
              </w:rPr>
              <w:t>V</w:t>
            </w:r>
            <w:r w:rsidR="00F1215C" w:rsidRPr="00DC7AD8">
              <w:rPr>
                <w:rFonts w:eastAsia="Times New Roman" w:cs="Times New Roman"/>
                <w:noProof/>
                <w:color w:val="000000"/>
                <w:sz w:val="20"/>
                <w:szCs w:val="20"/>
                <w:lang w:eastAsia="lv-LV"/>
              </w:rPr>
              <w:t>ispārējās valdības budžeta nominālā bilance</w:t>
            </w:r>
            <w:r w:rsidR="00F1215C" w:rsidRPr="00DC7AD8">
              <w:rPr>
                <w:noProof/>
                <w:sz w:val="20"/>
                <w:szCs w:val="20"/>
              </w:rPr>
              <w:t xml:space="preserve"> </w:t>
            </w:r>
            <w:r w:rsidR="00F1215C" w:rsidRPr="00DC7AD8">
              <w:rPr>
                <w:rFonts w:eastAsia="Times New Roman" w:cs="Times New Roman"/>
                <w:noProof/>
                <w:color w:val="000000"/>
                <w:sz w:val="20"/>
                <w:szCs w:val="20"/>
                <w:lang w:eastAsia="lv-LV"/>
              </w:rPr>
              <w:t>pie nemainīgas politikas, % no IKP</w:t>
            </w:r>
          </w:p>
        </w:tc>
        <w:tc>
          <w:tcPr>
            <w:tcW w:w="1093" w:type="dxa"/>
            <w:vAlign w:val="center"/>
          </w:tcPr>
          <w:p w14:paraId="7515EE85" w14:textId="77777777" w:rsidR="00F1215C" w:rsidRPr="00DC7AD8" w:rsidRDefault="00F1215C" w:rsidP="00CA0F29">
            <w:pPr>
              <w:spacing w:before="60" w:after="60"/>
              <w:ind w:firstLine="0"/>
              <w:jc w:val="center"/>
              <w:rPr>
                <w:rFonts w:cs="Times New Roman"/>
                <w:noProof/>
                <w:color w:val="000000"/>
                <w:sz w:val="20"/>
                <w:szCs w:val="20"/>
              </w:rPr>
            </w:pPr>
            <w:r w:rsidRPr="00DC7AD8">
              <w:rPr>
                <w:rFonts w:cs="Times New Roman"/>
                <w:noProof/>
                <w:color w:val="000000"/>
                <w:sz w:val="20"/>
                <w:szCs w:val="20"/>
              </w:rPr>
              <w:t>(2)</w:t>
            </w:r>
          </w:p>
        </w:tc>
        <w:tc>
          <w:tcPr>
            <w:tcW w:w="909" w:type="dxa"/>
            <w:noWrap/>
            <w:vAlign w:val="center"/>
          </w:tcPr>
          <w:p w14:paraId="656C4D97" w14:textId="77777777" w:rsidR="00F1215C" w:rsidRPr="00DC7AD8" w:rsidRDefault="00F1215C" w:rsidP="00CA0F29">
            <w:pPr>
              <w:spacing w:before="60" w:after="60"/>
              <w:ind w:firstLine="0"/>
              <w:jc w:val="center"/>
              <w:rPr>
                <w:rFonts w:cs="Times New Roman"/>
                <w:noProof/>
                <w:color w:val="47D359"/>
                <w:sz w:val="20"/>
                <w:szCs w:val="20"/>
              </w:rPr>
            </w:pPr>
            <w:r w:rsidRPr="00DC7AD8">
              <w:rPr>
                <w:rFonts w:cs="Times New Roman"/>
                <w:noProof/>
                <w:color w:val="000000" w:themeColor="text1"/>
                <w:sz w:val="20"/>
                <w:szCs w:val="20"/>
              </w:rPr>
              <w:t>-3,0</w:t>
            </w:r>
          </w:p>
        </w:tc>
        <w:tc>
          <w:tcPr>
            <w:tcW w:w="787" w:type="dxa"/>
            <w:noWrap/>
            <w:vAlign w:val="center"/>
          </w:tcPr>
          <w:p w14:paraId="06E97BA4" w14:textId="77777777" w:rsidR="00F1215C" w:rsidRPr="00DC7AD8" w:rsidRDefault="00F1215C" w:rsidP="00CA0F29">
            <w:pPr>
              <w:spacing w:before="60" w:after="60"/>
              <w:ind w:firstLine="0"/>
              <w:jc w:val="center"/>
              <w:rPr>
                <w:rFonts w:cs="Times New Roman"/>
                <w:noProof/>
                <w:color w:val="47D359"/>
                <w:sz w:val="20"/>
                <w:szCs w:val="20"/>
              </w:rPr>
            </w:pPr>
            <w:r w:rsidRPr="00DC7AD8">
              <w:rPr>
                <w:rFonts w:cs="Times New Roman"/>
                <w:noProof/>
                <w:color w:val="000000" w:themeColor="text1"/>
                <w:sz w:val="20"/>
                <w:szCs w:val="20"/>
              </w:rPr>
              <w:t>-4,1</w:t>
            </w:r>
          </w:p>
        </w:tc>
        <w:tc>
          <w:tcPr>
            <w:tcW w:w="787" w:type="dxa"/>
            <w:vAlign w:val="center"/>
          </w:tcPr>
          <w:p w14:paraId="4638F7A1" w14:textId="77777777" w:rsidR="00F1215C" w:rsidRPr="00DC7AD8" w:rsidRDefault="00F1215C" w:rsidP="00CA0F29">
            <w:pPr>
              <w:spacing w:before="60" w:after="60"/>
              <w:ind w:firstLine="0"/>
              <w:jc w:val="center"/>
              <w:rPr>
                <w:rFonts w:cs="Times New Roman"/>
                <w:noProof/>
                <w:color w:val="47D359"/>
                <w:sz w:val="20"/>
                <w:szCs w:val="20"/>
              </w:rPr>
            </w:pPr>
            <w:r w:rsidRPr="00DC7AD8">
              <w:rPr>
                <w:rFonts w:cs="Times New Roman"/>
                <w:noProof/>
                <w:color w:val="000000" w:themeColor="text1"/>
                <w:sz w:val="20"/>
                <w:szCs w:val="20"/>
              </w:rPr>
              <w:t>-3,7</w:t>
            </w:r>
          </w:p>
        </w:tc>
        <w:tc>
          <w:tcPr>
            <w:tcW w:w="788" w:type="dxa"/>
            <w:noWrap/>
            <w:vAlign w:val="center"/>
          </w:tcPr>
          <w:p w14:paraId="1280A60C" w14:textId="77777777" w:rsidR="00F1215C" w:rsidRPr="00DC7AD8" w:rsidRDefault="00F1215C" w:rsidP="00CA0F29">
            <w:pPr>
              <w:spacing w:before="60" w:after="60"/>
              <w:ind w:firstLine="0"/>
              <w:jc w:val="center"/>
              <w:rPr>
                <w:rFonts w:cs="Times New Roman"/>
                <w:noProof/>
                <w:color w:val="47D359"/>
                <w:sz w:val="20"/>
                <w:szCs w:val="20"/>
              </w:rPr>
            </w:pPr>
            <w:r w:rsidRPr="00DC7AD8">
              <w:rPr>
                <w:rFonts w:cs="Times New Roman"/>
                <w:noProof/>
                <w:color w:val="000000" w:themeColor="text1"/>
                <w:sz w:val="20"/>
                <w:szCs w:val="20"/>
              </w:rPr>
              <w:t>-3,9</w:t>
            </w:r>
          </w:p>
        </w:tc>
      </w:tr>
      <w:tr w:rsidR="00F1215C" w:rsidRPr="00DC7AD8" w14:paraId="452FA9C5" w14:textId="77777777" w:rsidTr="00DC7AD8">
        <w:trPr>
          <w:trHeight w:val="20"/>
          <w:jc w:val="center"/>
        </w:trPr>
        <w:tc>
          <w:tcPr>
            <w:tcW w:w="3580" w:type="dxa"/>
            <w:noWrap/>
            <w:vAlign w:val="center"/>
          </w:tcPr>
          <w:p w14:paraId="70518E21" w14:textId="423C7D69" w:rsidR="00F1215C" w:rsidRPr="00DC7AD8" w:rsidRDefault="00812A3D" w:rsidP="00CA0F29">
            <w:pPr>
              <w:spacing w:before="60" w:after="60"/>
              <w:ind w:firstLine="0"/>
              <w:jc w:val="left"/>
              <w:rPr>
                <w:rFonts w:eastAsia="Times New Roman" w:cs="Times New Roman"/>
                <w:noProof/>
                <w:color w:val="000000"/>
                <w:sz w:val="20"/>
                <w:szCs w:val="20"/>
                <w:lang w:eastAsia="lv-LV"/>
              </w:rPr>
            </w:pPr>
            <w:r w:rsidRPr="00DC7AD8">
              <w:rPr>
                <w:rFonts w:eastAsia="Times New Roman" w:cs="Times New Roman"/>
                <w:noProof/>
                <w:color w:val="000000"/>
                <w:sz w:val="20"/>
                <w:szCs w:val="20"/>
                <w:lang w:eastAsia="lv-LV"/>
              </w:rPr>
              <w:t>B</w:t>
            </w:r>
            <w:r w:rsidR="00F1215C" w:rsidRPr="00DC7AD8">
              <w:rPr>
                <w:rFonts w:eastAsia="Times New Roman" w:cs="Times New Roman"/>
                <w:noProof/>
                <w:color w:val="000000"/>
                <w:sz w:val="20"/>
                <w:szCs w:val="20"/>
                <w:lang w:eastAsia="lv-LV"/>
              </w:rPr>
              <w:t>ilances cikliskā komponente, % no IKP</w:t>
            </w:r>
          </w:p>
        </w:tc>
        <w:tc>
          <w:tcPr>
            <w:tcW w:w="1093" w:type="dxa"/>
            <w:vAlign w:val="center"/>
          </w:tcPr>
          <w:p w14:paraId="03C67CF5" w14:textId="77777777" w:rsidR="00F1215C" w:rsidRPr="00DC7AD8" w:rsidRDefault="00F1215C" w:rsidP="00CA0F29">
            <w:pPr>
              <w:spacing w:before="60" w:after="60"/>
              <w:ind w:firstLine="0"/>
              <w:jc w:val="center"/>
              <w:rPr>
                <w:rFonts w:cs="Times New Roman"/>
                <w:noProof/>
                <w:color w:val="000000"/>
                <w:sz w:val="20"/>
                <w:szCs w:val="20"/>
              </w:rPr>
            </w:pPr>
            <w:r w:rsidRPr="00DC7AD8">
              <w:rPr>
                <w:rFonts w:cs="Times New Roman"/>
                <w:noProof/>
                <w:color w:val="000000"/>
                <w:sz w:val="20"/>
                <w:szCs w:val="20"/>
              </w:rPr>
              <w:t>(3)</w:t>
            </w:r>
          </w:p>
        </w:tc>
        <w:tc>
          <w:tcPr>
            <w:tcW w:w="909" w:type="dxa"/>
            <w:noWrap/>
            <w:vAlign w:val="center"/>
          </w:tcPr>
          <w:p w14:paraId="70B464F2" w14:textId="77777777" w:rsidR="00F1215C" w:rsidRPr="00DC7AD8" w:rsidRDefault="00F1215C" w:rsidP="00CA0F29">
            <w:pPr>
              <w:spacing w:before="60" w:after="60"/>
              <w:ind w:firstLine="0"/>
              <w:jc w:val="center"/>
              <w:rPr>
                <w:rFonts w:cs="Times New Roman"/>
                <w:noProof/>
                <w:color w:val="47D359"/>
                <w:sz w:val="20"/>
                <w:szCs w:val="20"/>
              </w:rPr>
            </w:pPr>
            <w:r w:rsidRPr="00DC7AD8">
              <w:rPr>
                <w:rFonts w:cs="Times New Roman"/>
                <w:noProof/>
                <w:color w:val="000000" w:themeColor="text1"/>
                <w:sz w:val="20"/>
                <w:szCs w:val="20"/>
              </w:rPr>
              <w:t>-0,3</w:t>
            </w:r>
          </w:p>
        </w:tc>
        <w:tc>
          <w:tcPr>
            <w:tcW w:w="787" w:type="dxa"/>
            <w:noWrap/>
            <w:vAlign w:val="center"/>
          </w:tcPr>
          <w:p w14:paraId="53917C9E" w14:textId="77777777" w:rsidR="00F1215C" w:rsidRPr="00DC7AD8" w:rsidRDefault="00F1215C" w:rsidP="00CA0F29">
            <w:pPr>
              <w:spacing w:before="60" w:after="60"/>
              <w:ind w:firstLine="0"/>
              <w:jc w:val="center"/>
              <w:rPr>
                <w:rFonts w:cs="Times New Roman"/>
                <w:noProof/>
                <w:color w:val="47D359"/>
                <w:sz w:val="20"/>
                <w:szCs w:val="20"/>
              </w:rPr>
            </w:pPr>
            <w:r w:rsidRPr="00DC7AD8">
              <w:rPr>
                <w:rFonts w:cs="Times New Roman"/>
                <w:noProof/>
                <w:color w:val="000000" w:themeColor="text1"/>
                <w:sz w:val="20"/>
                <w:szCs w:val="20"/>
              </w:rPr>
              <w:t>-0,2</w:t>
            </w:r>
          </w:p>
        </w:tc>
        <w:tc>
          <w:tcPr>
            <w:tcW w:w="787" w:type="dxa"/>
            <w:vAlign w:val="center"/>
          </w:tcPr>
          <w:p w14:paraId="0F669809" w14:textId="77777777" w:rsidR="00F1215C" w:rsidRPr="00DC7AD8" w:rsidRDefault="00F1215C" w:rsidP="00CA0F29">
            <w:pPr>
              <w:spacing w:before="60" w:after="60"/>
              <w:ind w:firstLine="0"/>
              <w:jc w:val="center"/>
              <w:rPr>
                <w:rFonts w:cs="Times New Roman"/>
                <w:noProof/>
                <w:color w:val="47D359"/>
                <w:sz w:val="20"/>
                <w:szCs w:val="20"/>
              </w:rPr>
            </w:pPr>
            <w:r w:rsidRPr="00DC7AD8">
              <w:rPr>
                <w:rFonts w:cs="Times New Roman"/>
                <w:noProof/>
                <w:color w:val="000000" w:themeColor="text1"/>
                <w:sz w:val="20"/>
                <w:szCs w:val="20"/>
              </w:rPr>
              <w:t>-0,1</w:t>
            </w:r>
          </w:p>
        </w:tc>
        <w:tc>
          <w:tcPr>
            <w:tcW w:w="788" w:type="dxa"/>
            <w:noWrap/>
            <w:vAlign w:val="center"/>
          </w:tcPr>
          <w:p w14:paraId="6DE3548D" w14:textId="77777777" w:rsidR="00F1215C" w:rsidRPr="00DC7AD8" w:rsidRDefault="00F1215C" w:rsidP="00CA0F29">
            <w:pPr>
              <w:spacing w:before="60" w:after="60"/>
              <w:ind w:firstLine="0"/>
              <w:jc w:val="center"/>
              <w:rPr>
                <w:rFonts w:cs="Times New Roman"/>
                <w:noProof/>
                <w:color w:val="47D359"/>
                <w:sz w:val="20"/>
                <w:szCs w:val="20"/>
              </w:rPr>
            </w:pPr>
            <w:r w:rsidRPr="00DC7AD8">
              <w:rPr>
                <w:rFonts w:cs="Times New Roman"/>
                <w:noProof/>
                <w:color w:val="000000" w:themeColor="text1"/>
                <w:sz w:val="20"/>
                <w:szCs w:val="20"/>
              </w:rPr>
              <w:t>0,0</w:t>
            </w:r>
          </w:p>
        </w:tc>
      </w:tr>
      <w:tr w:rsidR="00F1215C" w:rsidRPr="00DC7AD8" w14:paraId="6307500A" w14:textId="77777777" w:rsidTr="00DC7AD8">
        <w:trPr>
          <w:trHeight w:val="20"/>
          <w:jc w:val="center"/>
        </w:trPr>
        <w:tc>
          <w:tcPr>
            <w:tcW w:w="3580" w:type="dxa"/>
            <w:noWrap/>
            <w:vAlign w:val="center"/>
          </w:tcPr>
          <w:p w14:paraId="5090D0D8" w14:textId="20D5AB93" w:rsidR="00F1215C" w:rsidRPr="00DC7AD8" w:rsidRDefault="00812A3D" w:rsidP="00CA0F29">
            <w:pPr>
              <w:spacing w:before="60" w:after="60"/>
              <w:ind w:firstLine="0"/>
              <w:jc w:val="left"/>
              <w:rPr>
                <w:rFonts w:eastAsia="Times New Roman" w:cs="Times New Roman"/>
                <w:noProof/>
                <w:color w:val="000000"/>
                <w:sz w:val="20"/>
                <w:szCs w:val="20"/>
                <w:lang w:eastAsia="lv-LV"/>
              </w:rPr>
            </w:pPr>
            <w:r w:rsidRPr="00DC7AD8">
              <w:rPr>
                <w:rFonts w:eastAsia="Times New Roman" w:cs="Times New Roman"/>
                <w:noProof/>
                <w:color w:val="000000"/>
                <w:sz w:val="20"/>
                <w:szCs w:val="20"/>
                <w:lang w:eastAsia="lv-LV"/>
              </w:rPr>
              <w:t>V</w:t>
            </w:r>
            <w:r w:rsidR="00F1215C" w:rsidRPr="00DC7AD8">
              <w:rPr>
                <w:rFonts w:eastAsia="Times New Roman" w:cs="Times New Roman"/>
                <w:noProof/>
                <w:color w:val="000000"/>
                <w:sz w:val="20"/>
                <w:szCs w:val="20"/>
                <w:lang w:eastAsia="lv-LV"/>
              </w:rPr>
              <w:t>ienreizējie pasākumi, % no IKP</w:t>
            </w:r>
          </w:p>
        </w:tc>
        <w:tc>
          <w:tcPr>
            <w:tcW w:w="1093" w:type="dxa"/>
            <w:vAlign w:val="center"/>
          </w:tcPr>
          <w:p w14:paraId="5EA8C5FC" w14:textId="77777777" w:rsidR="00F1215C" w:rsidRPr="00DC7AD8" w:rsidRDefault="00F1215C" w:rsidP="00CA0F29">
            <w:pPr>
              <w:spacing w:before="60" w:after="60"/>
              <w:ind w:firstLine="0"/>
              <w:jc w:val="center"/>
              <w:rPr>
                <w:rFonts w:cs="Times New Roman"/>
                <w:noProof/>
                <w:color w:val="000000"/>
                <w:sz w:val="20"/>
                <w:szCs w:val="20"/>
              </w:rPr>
            </w:pPr>
            <w:r w:rsidRPr="00DC7AD8">
              <w:rPr>
                <w:rFonts w:cs="Times New Roman"/>
                <w:noProof/>
                <w:color w:val="000000"/>
                <w:sz w:val="20"/>
                <w:szCs w:val="20"/>
              </w:rPr>
              <w:t>(4)</w:t>
            </w:r>
          </w:p>
        </w:tc>
        <w:tc>
          <w:tcPr>
            <w:tcW w:w="909" w:type="dxa"/>
            <w:noWrap/>
            <w:vAlign w:val="center"/>
          </w:tcPr>
          <w:p w14:paraId="0BC03462" w14:textId="77777777" w:rsidR="00F1215C" w:rsidRPr="00DC7AD8" w:rsidRDefault="00F1215C" w:rsidP="00CA0F29">
            <w:pPr>
              <w:spacing w:before="60" w:after="60"/>
              <w:ind w:firstLine="0"/>
              <w:jc w:val="center"/>
              <w:rPr>
                <w:rFonts w:cs="Times New Roman"/>
                <w:noProof/>
                <w:color w:val="000000" w:themeColor="text1"/>
                <w:sz w:val="20"/>
                <w:szCs w:val="20"/>
              </w:rPr>
            </w:pPr>
            <w:r w:rsidRPr="00DC7AD8">
              <w:rPr>
                <w:rFonts w:eastAsia="Times New Roman" w:cs="Times New Roman"/>
                <w:noProof/>
                <w:sz w:val="20"/>
                <w:szCs w:val="20"/>
                <w:lang w:eastAsia="lv-LV"/>
              </w:rPr>
              <w:t>-1,6</w:t>
            </w:r>
          </w:p>
        </w:tc>
        <w:tc>
          <w:tcPr>
            <w:tcW w:w="787" w:type="dxa"/>
            <w:noWrap/>
            <w:vAlign w:val="center"/>
          </w:tcPr>
          <w:p w14:paraId="67A6534A" w14:textId="77777777" w:rsidR="00F1215C" w:rsidRPr="00DC7AD8" w:rsidRDefault="00F1215C" w:rsidP="00CA0F29">
            <w:pPr>
              <w:spacing w:before="60" w:after="60"/>
              <w:ind w:firstLine="0"/>
              <w:jc w:val="center"/>
              <w:rPr>
                <w:rFonts w:cs="Times New Roman"/>
                <w:noProof/>
                <w:color w:val="000000" w:themeColor="text1"/>
                <w:sz w:val="20"/>
                <w:szCs w:val="20"/>
              </w:rPr>
            </w:pPr>
            <w:r w:rsidRPr="00DC7AD8">
              <w:rPr>
                <w:rFonts w:eastAsia="Times New Roman" w:cs="Times New Roman"/>
                <w:noProof/>
                <w:sz w:val="20"/>
                <w:szCs w:val="20"/>
                <w:lang w:eastAsia="lv-LV"/>
              </w:rPr>
              <w:t>-1,7</w:t>
            </w:r>
          </w:p>
        </w:tc>
        <w:tc>
          <w:tcPr>
            <w:tcW w:w="787" w:type="dxa"/>
            <w:vAlign w:val="center"/>
          </w:tcPr>
          <w:p w14:paraId="72D626DB" w14:textId="77777777" w:rsidR="00F1215C" w:rsidRPr="00DC7AD8" w:rsidRDefault="00F1215C" w:rsidP="00CA0F29">
            <w:pPr>
              <w:spacing w:before="60" w:after="60"/>
              <w:ind w:firstLine="0"/>
              <w:jc w:val="center"/>
              <w:rPr>
                <w:rFonts w:cs="Times New Roman"/>
                <w:noProof/>
                <w:color w:val="000000" w:themeColor="text1"/>
                <w:sz w:val="20"/>
                <w:szCs w:val="20"/>
              </w:rPr>
            </w:pPr>
            <w:r w:rsidRPr="00DC7AD8">
              <w:rPr>
                <w:rFonts w:eastAsia="Times New Roman" w:cs="Times New Roman"/>
                <w:noProof/>
                <w:sz w:val="20"/>
                <w:szCs w:val="20"/>
                <w:lang w:eastAsia="lv-LV"/>
              </w:rPr>
              <w:t>-1,6</w:t>
            </w:r>
          </w:p>
        </w:tc>
        <w:tc>
          <w:tcPr>
            <w:tcW w:w="788" w:type="dxa"/>
            <w:noWrap/>
            <w:vAlign w:val="center"/>
          </w:tcPr>
          <w:p w14:paraId="1C9D8BC2" w14:textId="77777777" w:rsidR="00F1215C" w:rsidRPr="00DC7AD8" w:rsidRDefault="00F1215C" w:rsidP="00CA0F29">
            <w:pPr>
              <w:spacing w:before="60" w:after="60"/>
              <w:ind w:firstLine="0"/>
              <w:jc w:val="center"/>
              <w:rPr>
                <w:rFonts w:cs="Times New Roman"/>
                <w:noProof/>
                <w:color w:val="000000" w:themeColor="text1"/>
                <w:sz w:val="20"/>
                <w:szCs w:val="20"/>
              </w:rPr>
            </w:pPr>
            <w:r w:rsidRPr="00DC7AD8">
              <w:rPr>
                <w:rFonts w:eastAsia="Times New Roman" w:cs="Times New Roman"/>
                <w:noProof/>
                <w:sz w:val="20"/>
                <w:szCs w:val="20"/>
                <w:lang w:eastAsia="lv-LV"/>
              </w:rPr>
              <w:t>-0,9</w:t>
            </w:r>
          </w:p>
        </w:tc>
      </w:tr>
      <w:tr w:rsidR="00F1215C" w:rsidRPr="00DC7AD8" w14:paraId="2AE01A0B" w14:textId="77777777" w:rsidTr="00DC7AD8">
        <w:trPr>
          <w:trHeight w:val="20"/>
          <w:jc w:val="center"/>
        </w:trPr>
        <w:tc>
          <w:tcPr>
            <w:tcW w:w="3580" w:type="dxa"/>
            <w:noWrap/>
            <w:vAlign w:val="center"/>
          </w:tcPr>
          <w:p w14:paraId="2A96832D" w14:textId="3A5BFF0F" w:rsidR="00F1215C" w:rsidRPr="00DC7AD8" w:rsidRDefault="00812A3D" w:rsidP="00CA0F29">
            <w:pPr>
              <w:spacing w:before="60" w:after="60"/>
              <w:ind w:firstLine="0"/>
              <w:jc w:val="left"/>
              <w:rPr>
                <w:rFonts w:eastAsia="Times New Roman" w:cs="Times New Roman"/>
                <w:noProof/>
                <w:color w:val="000000"/>
                <w:sz w:val="20"/>
                <w:szCs w:val="20"/>
                <w:lang w:eastAsia="lv-LV"/>
              </w:rPr>
            </w:pPr>
            <w:r w:rsidRPr="00DC7AD8">
              <w:rPr>
                <w:rFonts w:eastAsia="Times New Roman" w:cs="Times New Roman"/>
                <w:noProof/>
                <w:color w:val="000000"/>
                <w:sz w:val="20"/>
                <w:szCs w:val="20"/>
                <w:lang w:eastAsia="lv-LV"/>
              </w:rPr>
              <w:lastRenderedPageBreak/>
              <w:t>V</w:t>
            </w:r>
            <w:r w:rsidR="00F1215C" w:rsidRPr="00DC7AD8">
              <w:rPr>
                <w:rFonts w:eastAsia="Times New Roman" w:cs="Times New Roman"/>
                <w:noProof/>
                <w:color w:val="000000"/>
                <w:sz w:val="20"/>
                <w:szCs w:val="20"/>
                <w:lang w:eastAsia="lv-LV"/>
              </w:rPr>
              <w:t>ispārējās valdības budžeta strukturālā bilance</w:t>
            </w:r>
            <w:r w:rsidR="00F1215C" w:rsidRPr="00DC7AD8">
              <w:rPr>
                <w:noProof/>
                <w:sz w:val="20"/>
                <w:szCs w:val="20"/>
              </w:rPr>
              <w:t xml:space="preserve"> </w:t>
            </w:r>
            <w:r w:rsidR="00F1215C" w:rsidRPr="00DC7AD8">
              <w:rPr>
                <w:rFonts w:eastAsia="Times New Roman" w:cs="Times New Roman"/>
                <w:noProof/>
                <w:color w:val="000000"/>
                <w:sz w:val="20"/>
                <w:szCs w:val="20"/>
                <w:lang w:eastAsia="lv-LV"/>
              </w:rPr>
              <w:t>pie nemainīgas politikas, % no IKP</w:t>
            </w:r>
          </w:p>
        </w:tc>
        <w:tc>
          <w:tcPr>
            <w:tcW w:w="1093" w:type="dxa"/>
            <w:vAlign w:val="center"/>
          </w:tcPr>
          <w:p w14:paraId="6B330C45" w14:textId="77777777" w:rsidR="00F1215C" w:rsidRPr="00DC7AD8" w:rsidRDefault="00F1215C" w:rsidP="00CA0F29">
            <w:pPr>
              <w:spacing w:before="60" w:after="60"/>
              <w:ind w:firstLine="0"/>
              <w:jc w:val="center"/>
              <w:rPr>
                <w:rFonts w:cs="Times New Roman"/>
                <w:noProof/>
                <w:color w:val="000000"/>
                <w:sz w:val="20"/>
                <w:szCs w:val="20"/>
              </w:rPr>
            </w:pPr>
            <w:r w:rsidRPr="00DC7AD8">
              <w:rPr>
                <w:rFonts w:cs="Times New Roman"/>
                <w:noProof/>
                <w:color w:val="000000"/>
                <w:sz w:val="20"/>
                <w:szCs w:val="20"/>
              </w:rPr>
              <w:t>(5)=(2)-(3)-(4)</w:t>
            </w:r>
          </w:p>
        </w:tc>
        <w:tc>
          <w:tcPr>
            <w:tcW w:w="909" w:type="dxa"/>
            <w:noWrap/>
            <w:vAlign w:val="center"/>
          </w:tcPr>
          <w:p w14:paraId="206A9261" w14:textId="77777777" w:rsidR="00F1215C" w:rsidRPr="00DC7AD8" w:rsidRDefault="00F1215C" w:rsidP="00CA0F29">
            <w:pPr>
              <w:spacing w:before="60" w:after="60"/>
              <w:ind w:firstLine="0"/>
              <w:jc w:val="center"/>
              <w:rPr>
                <w:rFonts w:cs="Times New Roman"/>
                <w:noProof/>
                <w:color w:val="47D359"/>
                <w:sz w:val="20"/>
                <w:szCs w:val="20"/>
              </w:rPr>
            </w:pPr>
            <w:r w:rsidRPr="00DC7AD8">
              <w:rPr>
                <w:rFonts w:cs="Times New Roman"/>
                <w:noProof/>
                <w:color w:val="000000" w:themeColor="text1"/>
                <w:sz w:val="20"/>
                <w:szCs w:val="20"/>
              </w:rPr>
              <w:t>-1,1</w:t>
            </w:r>
          </w:p>
        </w:tc>
        <w:tc>
          <w:tcPr>
            <w:tcW w:w="787" w:type="dxa"/>
            <w:noWrap/>
            <w:vAlign w:val="center"/>
          </w:tcPr>
          <w:p w14:paraId="337E4883" w14:textId="77777777" w:rsidR="00F1215C" w:rsidRPr="00DC7AD8" w:rsidRDefault="00F1215C" w:rsidP="00CA0F29">
            <w:pPr>
              <w:spacing w:before="60" w:after="60"/>
              <w:ind w:firstLine="0"/>
              <w:jc w:val="center"/>
              <w:rPr>
                <w:rFonts w:cs="Times New Roman"/>
                <w:noProof/>
                <w:color w:val="47D359"/>
                <w:sz w:val="20"/>
                <w:szCs w:val="20"/>
              </w:rPr>
            </w:pPr>
            <w:r w:rsidRPr="00DC7AD8">
              <w:rPr>
                <w:rFonts w:cs="Times New Roman"/>
                <w:noProof/>
                <w:color w:val="000000" w:themeColor="text1"/>
                <w:sz w:val="20"/>
                <w:szCs w:val="20"/>
              </w:rPr>
              <w:t>-2,2</w:t>
            </w:r>
          </w:p>
        </w:tc>
        <w:tc>
          <w:tcPr>
            <w:tcW w:w="787" w:type="dxa"/>
            <w:vAlign w:val="center"/>
          </w:tcPr>
          <w:p w14:paraId="0EB0A90D" w14:textId="77777777" w:rsidR="00F1215C" w:rsidRPr="00DC7AD8" w:rsidRDefault="00F1215C" w:rsidP="00CA0F29">
            <w:pPr>
              <w:spacing w:before="60" w:after="60"/>
              <w:ind w:firstLine="0"/>
              <w:jc w:val="center"/>
              <w:rPr>
                <w:rFonts w:cs="Times New Roman"/>
                <w:noProof/>
                <w:color w:val="47D359"/>
                <w:sz w:val="20"/>
                <w:szCs w:val="20"/>
              </w:rPr>
            </w:pPr>
            <w:r w:rsidRPr="00DC7AD8">
              <w:rPr>
                <w:rFonts w:cs="Times New Roman"/>
                <w:noProof/>
                <w:color w:val="000000" w:themeColor="text1"/>
                <w:sz w:val="20"/>
                <w:szCs w:val="20"/>
              </w:rPr>
              <w:t>-2,1</w:t>
            </w:r>
          </w:p>
        </w:tc>
        <w:tc>
          <w:tcPr>
            <w:tcW w:w="788" w:type="dxa"/>
            <w:noWrap/>
            <w:vAlign w:val="center"/>
          </w:tcPr>
          <w:p w14:paraId="2A521AEF" w14:textId="77777777" w:rsidR="00F1215C" w:rsidRPr="00DC7AD8" w:rsidRDefault="00F1215C" w:rsidP="00CA0F29">
            <w:pPr>
              <w:spacing w:before="60" w:after="60"/>
              <w:ind w:firstLine="0"/>
              <w:jc w:val="center"/>
              <w:rPr>
                <w:rFonts w:cs="Times New Roman"/>
                <w:noProof/>
                <w:color w:val="47D359"/>
                <w:sz w:val="20"/>
                <w:szCs w:val="20"/>
              </w:rPr>
            </w:pPr>
            <w:r w:rsidRPr="00DC7AD8">
              <w:rPr>
                <w:rFonts w:cs="Times New Roman"/>
                <w:noProof/>
                <w:color w:val="000000" w:themeColor="text1"/>
                <w:sz w:val="20"/>
                <w:szCs w:val="20"/>
              </w:rPr>
              <w:t>-3,0</w:t>
            </w:r>
          </w:p>
        </w:tc>
      </w:tr>
      <w:tr w:rsidR="00F1215C" w:rsidRPr="00DC7AD8" w14:paraId="465F563B" w14:textId="77777777" w:rsidTr="00DC7AD8">
        <w:trPr>
          <w:trHeight w:val="20"/>
          <w:jc w:val="center"/>
        </w:trPr>
        <w:tc>
          <w:tcPr>
            <w:tcW w:w="3580" w:type="dxa"/>
            <w:noWrap/>
            <w:vAlign w:val="center"/>
          </w:tcPr>
          <w:p w14:paraId="7253DBF4" w14:textId="607F77A4" w:rsidR="00F1215C" w:rsidRPr="00DC7AD8" w:rsidRDefault="00812A3D" w:rsidP="00CA0F29">
            <w:pPr>
              <w:spacing w:before="60" w:after="60"/>
              <w:ind w:firstLine="0"/>
              <w:jc w:val="left"/>
              <w:rPr>
                <w:rFonts w:eastAsia="Times New Roman" w:cs="Times New Roman"/>
                <w:noProof/>
                <w:color w:val="000000"/>
                <w:sz w:val="20"/>
                <w:szCs w:val="20"/>
                <w:lang w:eastAsia="lv-LV"/>
              </w:rPr>
            </w:pPr>
            <w:r w:rsidRPr="00DC7AD8">
              <w:rPr>
                <w:rFonts w:eastAsia="Times New Roman" w:cs="Times New Roman"/>
                <w:noProof/>
                <w:color w:val="000000"/>
                <w:sz w:val="20"/>
                <w:szCs w:val="20"/>
                <w:lang w:eastAsia="lv-LV"/>
              </w:rPr>
              <w:t>F</w:t>
            </w:r>
            <w:r w:rsidR="00F1215C" w:rsidRPr="00DC7AD8">
              <w:rPr>
                <w:rFonts w:eastAsia="Times New Roman" w:cs="Times New Roman"/>
                <w:noProof/>
                <w:color w:val="000000"/>
                <w:sz w:val="20"/>
                <w:szCs w:val="20"/>
                <w:lang w:eastAsia="lv-LV"/>
              </w:rPr>
              <w:t xml:space="preserve">iskālā nodrošinājuma rezerve, </w:t>
            </w:r>
          </w:p>
          <w:p w14:paraId="162A162E" w14:textId="77777777" w:rsidR="00F1215C" w:rsidRPr="00DC7AD8" w:rsidRDefault="00F1215C" w:rsidP="00CA0F29">
            <w:pPr>
              <w:spacing w:before="60" w:after="60"/>
              <w:ind w:firstLine="0"/>
              <w:jc w:val="left"/>
              <w:rPr>
                <w:rFonts w:eastAsia="Times New Roman" w:cs="Times New Roman"/>
                <w:noProof/>
                <w:color w:val="000000"/>
                <w:sz w:val="20"/>
                <w:szCs w:val="20"/>
                <w:lang w:eastAsia="lv-LV"/>
              </w:rPr>
            </w:pPr>
            <w:r w:rsidRPr="00DC7AD8">
              <w:rPr>
                <w:rFonts w:eastAsia="Times New Roman" w:cs="Times New Roman"/>
                <w:noProof/>
                <w:color w:val="000000"/>
                <w:sz w:val="20"/>
                <w:szCs w:val="20"/>
                <w:lang w:eastAsia="lv-LV"/>
              </w:rPr>
              <w:t>% no IKP</w:t>
            </w:r>
          </w:p>
        </w:tc>
        <w:tc>
          <w:tcPr>
            <w:tcW w:w="1093" w:type="dxa"/>
            <w:vAlign w:val="center"/>
          </w:tcPr>
          <w:p w14:paraId="67A1A3F9" w14:textId="77777777" w:rsidR="00F1215C" w:rsidRPr="00DC7AD8" w:rsidRDefault="00F1215C" w:rsidP="00CA0F29">
            <w:pPr>
              <w:spacing w:before="60" w:after="60"/>
              <w:ind w:firstLine="0"/>
              <w:jc w:val="center"/>
              <w:rPr>
                <w:rFonts w:cs="Times New Roman"/>
                <w:noProof/>
                <w:color w:val="000000"/>
                <w:sz w:val="20"/>
                <w:szCs w:val="20"/>
              </w:rPr>
            </w:pPr>
            <w:r w:rsidRPr="00DC7AD8">
              <w:rPr>
                <w:rFonts w:cs="Times New Roman"/>
                <w:noProof/>
                <w:color w:val="000000"/>
                <w:sz w:val="20"/>
                <w:szCs w:val="20"/>
              </w:rPr>
              <w:t>(6)</w:t>
            </w:r>
          </w:p>
        </w:tc>
        <w:tc>
          <w:tcPr>
            <w:tcW w:w="909" w:type="dxa"/>
            <w:noWrap/>
            <w:vAlign w:val="center"/>
          </w:tcPr>
          <w:p w14:paraId="3F1C6950" w14:textId="77777777" w:rsidR="00F1215C" w:rsidRPr="00DC7AD8" w:rsidRDefault="00F1215C" w:rsidP="00CA0F29">
            <w:pPr>
              <w:spacing w:before="60" w:after="60"/>
              <w:ind w:firstLine="0"/>
              <w:jc w:val="center"/>
              <w:rPr>
                <w:rFonts w:cs="Times New Roman"/>
                <w:noProof/>
                <w:color w:val="000000" w:themeColor="text1"/>
                <w:sz w:val="20"/>
                <w:szCs w:val="20"/>
              </w:rPr>
            </w:pPr>
            <w:r w:rsidRPr="00DC7AD8">
              <w:rPr>
                <w:rFonts w:cs="Times New Roman"/>
                <w:noProof/>
                <w:color w:val="000000" w:themeColor="text1"/>
                <w:sz w:val="20"/>
                <w:szCs w:val="20"/>
              </w:rPr>
              <w:t>0,1</w:t>
            </w:r>
          </w:p>
        </w:tc>
        <w:tc>
          <w:tcPr>
            <w:tcW w:w="787" w:type="dxa"/>
            <w:noWrap/>
            <w:vAlign w:val="center"/>
          </w:tcPr>
          <w:p w14:paraId="40010472" w14:textId="77777777" w:rsidR="00F1215C" w:rsidRPr="00DC7AD8" w:rsidRDefault="00F1215C" w:rsidP="00CA0F29">
            <w:pPr>
              <w:spacing w:before="60" w:after="60"/>
              <w:ind w:firstLine="0"/>
              <w:jc w:val="center"/>
              <w:rPr>
                <w:rFonts w:cs="Times New Roman"/>
                <w:noProof/>
                <w:color w:val="000000" w:themeColor="text1"/>
                <w:sz w:val="20"/>
                <w:szCs w:val="20"/>
              </w:rPr>
            </w:pPr>
            <w:r w:rsidRPr="00DC7AD8">
              <w:rPr>
                <w:rFonts w:cs="Times New Roman"/>
                <w:noProof/>
                <w:color w:val="000000" w:themeColor="text1"/>
                <w:sz w:val="20"/>
                <w:szCs w:val="20"/>
              </w:rPr>
              <w:t>0,1</w:t>
            </w:r>
          </w:p>
        </w:tc>
        <w:tc>
          <w:tcPr>
            <w:tcW w:w="787" w:type="dxa"/>
            <w:vAlign w:val="center"/>
          </w:tcPr>
          <w:p w14:paraId="02144FDA" w14:textId="77777777" w:rsidR="00F1215C" w:rsidRPr="00DC7AD8" w:rsidRDefault="00F1215C" w:rsidP="00CA0F29">
            <w:pPr>
              <w:spacing w:before="60" w:after="60"/>
              <w:ind w:firstLine="0"/>
              <w:jc w:val="center"/>
              <w:rPr>
                <w:rFonts w:cs="Times New Roman"/>
                <w:noProof/>
                <w:color w:val="000000" w:themeColor="text1"/>
                <w:sz w:val="20"/>
                <w:szCs w:val="20"/>
              </w:rPr>
            </w:pPr>
            <w:r w:rsidRPr="00DC7AD8">
              <w:rPr>
                <w:rFonts w:cs="Times New Roman"/>
                <w:noProof/>
                <w:color w:val="000000" w:themeColor="text1"/>
                <w:sz w:val="20"/>
                <w:szCs w:val="20"/>
              </w:rPr>
              <w:t>0,1</w:t>
            </w:r>
          </w:p>
        </w:tc>
        <w:tc>
          <w:tcPr>
            <w:tcW w:w="788" w:type="dxa"/>
            <w:noWrap/>
            <w:vAlign w:val="center"/>
          </w:tcPr>
          <w:p w14:paraId="604807C7" w14:textId="77777777" w:rsidR="00F1215C" w:rsidRPr="00DC7AD8" w:rsidRDefault="00F1215C" w:rsidP="00CA0F29">
            <w:pPr>
              <w:spacing w:before="60" w:after="60"/>
              <w:ind w:firstLine="0"/>
              <w:jc w:val="center"/>
              <w:rPr>
                <w:rFonts w:cs="Times New Roman"/>
                <w:noProof/>
                <w:color w:val="000000" w:themeColor="text1"/>
                <w:sz w:val="20"/>
                <w:szCs w:val="20"/>
              </w:rPr>
            </w:pPr>
            <w:r w:rsidRPr="00DC7AD8">
              <w:rPr>
                <w:rFonts w:cs="Times New Roman"/>
                <w:noProof/>
                <w:color w:val="000000" w:themeColor="text1"/>
                <w:sz w:val="20"/>
                <w:szCs w:val="20"/>
              </w:rPr>
              <w:t>0,1</w:t>
            </w:r>
          </w:p>
        </w:tc>
      </w:tr>
      <w:tr w:rsidR="00F1215C" w:rsidRPr="00DC7AD8" w14:paraId="53A7941B" w14:textId="77777777" w:rsidTr="00DC7AD8">
        <w:trPr>
          <w:trHeight w:val="20"/>
          <w:jc w:val="center"/>
        </w:trPr>
        <w:tc>
          <w:tcPr>
            <w:tcW w:w="3580" w:type="dxa"/>
            <w:shd w:val="clear" w:color="auto" w:fill="EBE2D1"/>
            <w:noWrap/>
            <w:vAlign w:val="center"/>
          </w:tcPr>
          <w:p w14:paraId="527BE65B" w14:textId="329B6B74" w:rsidR="00F1215C" w:rsidRPr="00DC7AD8" w:rsidRDefault="00812A3D" w:rsidP="00812A3D">
            <w:pPr>
              <w:spacing w:before="60"/>
              <w:ind w:firstLine="0"/>
              <w:jc w:val="left"/>
              <w:rPr>
                <w:rFonts w:eastAsia="Times New Roman" w:cs="Times New Roman"/>
                <w:b/>
                <w:bCs/>
                <w:noProof/>
                <w:color w:val="000000"/>
                <w:sz w:val="20"/>
                <w:szCs w:val="20"/>
                <w:lang w:eastAsia="lv-LV"/>
              </w:rPr>
            </w:pPr>
            <w:r w:rsidRPr="00DC7AD8">
              <w:rPr>
                <w:rFonts w:eastAsia="Times New Roman" w:cs="Times New Roman"/>
                <w:b/>
                <w:bCs/>
                <w:noProof/>
                <w:color w:val="000000"/>
                <w:sz w:val="20"/>
                <w:szCs w:val="20"/>
                <w:lang w:eastAsia="lv-LV"/>
              </w:rPr>
              <w:t>F</w:t>
            </w:r>
            <w:r w:rsidR="00F1215C" w:rsidRPr="00DC7AD8">
              <w:rPr>
                <w:rFonts w:eastAsia="Times New Roman" w:cs="Times New Roman"/>
                <w:b/>
                <w:bCs/>
                <w:noProof/>
                <w:color w:val="000000"/>
                <w:sz w:val="20"/>
                <w:szCs w:val="20"/>
                <w:lang w:eastAsia="lv-LV"/>
              </w:rPr>
              <w:t xml:space="preserve">iskālā telpa atbilstoši </w:t>
            </w:r>
            <w:r w:rsidR="00F1215C" w:rsidRPr="00DC7AD8">
              <w:rPr>
                <w:rFonts w:eastAsia="Times New Roman" w:cs="Times New Roman"/>
                <w:b/>
                <w:noProof/>
                <w:sz w:val="20"/>
                <w:szCs w:val="20"/>
              </w:rPr>
              <w:t xml:space="preserve">nominālās bilances </w:t>
            </w:r>
            <w:r w:rsidR="00F1215C" w:rsidRPr="00DC7AD8">
              <w:rPr>
                <w:rFonts w:eastAsia="Times New Roman" w:cs="Times New Roman"/>
                <w:b/>
                <w:bCs/>
                <w:noProof/>
                <w:color w:val="000000"/>
                <w:sz w:val="20"/>
                <w:szCs w:val="20"/>
                <w:lang w:eastAsia="lv-LV"/>
              </w:rPr>
              <w:t>nosacījumam, % no IKP</w:t>
            </w:r>
          </w:p>
        </w:tc>
        <w:tc>
          <w:tcPr>
            <w:tcW w:w="1093" w:type="dxa"/>
            <w:shd w:val="clear" w:color="auto" w:fill="EBE2D1"/>
            <w:vAlign w:val="center"/>
          </w:tcPr>
          <w:p w14:paraId="7641117D" w14:textId="77777777" w:rsidR="00F1215C" w:rsidRPr="00DC7AD8" w:rsidRDefault="00F1215C" w:rsidP="00812A3D">
            <w:pPr>
              <w:spacing w:before="60"/>
              <w:ind w:firstLine="0"/>
              <w:jc w:val="center"/>
              <w:rPr>
                <w:rFonts w:cs="Times New Roman"/>
                <w:b/>
                <w:bCs/>
                <w:noProof/>
                <w:color w:val="000000"/>
                <w:sz w:val="20"/>
                <w:szCs w:val="20"/>
              </w:rPr>
            </w:pPr>
            <w:r w:rsidRPr="00DC7AD8">
              <w:rPr>
                <w:rFonts w:cs="Times New Roman"/>
                <w:b/>
                <w:bCs/>
                <w:noProof/>
                <w:color w:val="000000"/>
                <w:sz w:val="20"/>
                <w:szCs w:val="20"/>
              </w:rPr>
              <w:t>(7)=(5)-(6)-(1)</w:t>
            </w:r>
          </w:p>
        </w:tc>
        <w:tc>
          <w:tcPr>
            <w:tcW w:w="909" w:type="dxa"/>
            <w:shd w:val="clear" w:color="auto" w:fill="EBE2D1"/>
            <w:noWrap/>
            <w:vAlign w:val="center"/>
          </w:tcPr>
          <w:p w14:paraId="3948DFD9" w14:textId="77777777" w:rsidR="00F1215C" w:rsidRPr="00DC7AD8" w:rsidRDefault="00F1215C" w:rsidP="00812A3D">
            <w:pPr>
              <w:spacing w:before="60"/>
              <w:ind w:firstLine="0"/>
              <w:jc w:val="center"/>
              <w:rPr>
                <w:rFonts w:cs="Times New Roman"/>
                <w:b/>
                <w:bCs/>
                <w:noProof/>
                <w:color w:val="00B050"/>
                <w:sz w:val="20"/>
                <w:szCs w:val="20"/>
              </w:rPr>
            </w:pPr>
            <w:r w:rsidRPr="00DC7AD8">
              <w:rPr>
                <w:rFonts w:cs="Times New Roman"/>
                <w:b/>
                <w:bCs/>
                <w:noProof/>
                <w:color w:val="00B050"/>
                <w:sz w:val="20"/>
                <w:szCs w:val="20"/>
              </w:rPr>
              <w:t>0,13</w:t>
            </w:r>
          </w:p>
        </w:tc>
        <w:tc>
          <w:tcPr>
            <w:tcW w:w="787" w:type="dxa"/>
            <w:shd w:val="clear" w:color="auto" w:fill="EBE2D1"/>
            <w:noWrap/>
            <w:vAlign w:val="center"/>
          </w:tcPr>
          <w:p w14:paraId="3BC04FFD" w14:textId="77777777" w:rsidR="00F1215C" w:rsidRPr="00DC7AD8" w:rsidRDefault="00F1215C" w:rsidP="00812A3D">
            <w:pPr>
              <w:spacing w:before="60"/>
              <w:ind w:firstLine="0"/>
              <w:jc w:val="center"/>
              <w:rPr>
                <w:rFonts w:cs="Times New Roman"/>
                <w:b/>
                <w:bCs/>
                <w:noProof/>
                <w:color w:val="00B050"/>
                <w:sz w:val="20"/>
                <w:szCs w:val="20"/>
              </w:rPr>
            </w:pPr>
            <w:r w:rsidRPr="00DC7AD8">
              <w:rPr>
                <w:rFonts w:cs="Times New Roman"/>
                <w:b/>
                <w:bCs/>
                <w:noProof/>
                <w:color w:val="EE0000"/>
                <w:sz w:val="20"/>
                <w:szCs w:val="20"/>
              </w:rPr>
              <w:t>-0,18</w:t>
            </w:r>
          </w:p>
        </w:tc>
        <w:tc>
          <w:tcPr>
            <w:tcW w:w="787" w:type="dxa"/>
            <w:shd w:val="clear" w:color="auto" w:fill="EBE2D1"/>
            <w:vAlign w:val="center"/>
          </w:tcPr>
          <w:p w14:paraId="5BC973AD" w14:textId="77777777" w:rsidR="00F1215C" w:rsidRPr="00DC7AD8" w:rsidRDefault="00F1215C" w:rsidP="00812A3D">
            <w:pPr>
              <w:spacing w:before="60"/>
              <w:ind w:firstLine="0"/>
              <w:jc w:val="center"/>
              <w:rPr>
                <w:rFonts w:cs="Times New Roman"/>
                <w:b/>
                <w:bCs/>
                <w:noProof/>
                <w:color w:val="00B050"/>
                <w:sz w:val="20"/>
                <w:szCs w:val="20"/>
              </w:rPr>
            </w:pPr>
            <w:r w:rsidRPr="00DC7AD8">
              <w:rPr>
                <w:rFonts w:cs="Times New Roman"/>
                <w:b/>
                <w:bCs/>
                <w:noProof/>
                <w:color w:val="00B050"/>
                <w:sz w:val="20"/>
                <w:szCs w:val="20"/>
              </w:rPr>
              <w:t>0,03</w:t>
            </w:r>
          </w:p>
        </w:tc>
        <w:tc>
          <w:tcPr>
            <w:tcW w:w="788" w:type="dxa"/>
            <w:shd w:val="clear" w:color="auto" w:fill="EBE2D1"/>
            <w:noWrap/>
            <w:vAlign w:val="center"/>
          </w:tcPr>
          <w:p w14:paraId="5A679AB9" w14:textId="77777777" w:rsidR="00F1215C" w:rsidRPr="00DC7AD8" w:rsidRDefault="00F1215C" w:rsidP="00812A3D">
            <w:pPr>
              <w:spacing w:before="60"/>
              <w:ind w:firstLine="0"/>
              <w:jc w:val="center"/>
              <w:rPr>
                <w:rFonts w:cs="Times New Roman"/>
                <w:b/>
                <w:bCs/>
                <w:noProof/>
                <w:color w:val="00B050"/>
                <w:sz w:val="20"/>
                <w:szCs w:val="20"/>
              </w:rPr>
            </w:pPr>
            <w:r w:rsidRPr="00DC7AD8">
              <w:rPr>
                <w:rFonts w:cs="Times New Roman"/>
                <w:b/>
                <w:bCs/>
                <w:noProof/>
                <w:color w:val="00B050"/>
                <w:sz w:val="20"/>
                <w:szCs w:val="20"/>
              </w:rPr>
              <w:t>0,45</w:t>
            </w:r>
          </w:p>
        </w:tc>
      </w:tr>
    </w:tbl>
    <w:p w14:paraId="3F1051B7" w14:textId="77777777" w:rsidR="00E05396" w:rsidRDefault="00E05396" w:rsidP="00812A3D">
      <w:pPr>
        <w:widowControl w:val="0"/>
        <w:rPr>
          <w:rFonts w:eastAsia="Times New Roman" w:cs="Times New Roman"/>
          <w:b/>
          <w:noProof/>
          <w:szCs w:val="24"/>
        </w:rPr>
      </w:pPr>
    </w:p>
    <w:p w14:paraId="46D30352" w14:textId="2DFCB0E2" w:rsidR="00F1215C" w:rsidRPr="001C0357" w:rsidRDefault="00F1215C" w:rsidP="00812A3D">
      <w:pPr>
        <w:widowControl w:val="0"/>
        <w:rPr>
          <w:rFonts w:eastAsia="Times New Roman" w:cs="Times New Roman"/>
          <w:b/>
          <w:noProof/>
          <w:szCs w:val="24"/>
        </w:rPr>
      </w:pPr>
      <w:r w:rsidRPr="001C0357">
        <w:rPr>
          <w:rFonts w:eastAsia="Times New Roman" w:cs="Times New Roman"/>
          <w:b/>
          <w:noProof/>
          <w:szCs w:val="24"/>
        </w:rPr>
        <w:t>Strukturālās bilances mērķi, ievērojot visus fiskālos nosacījumus</w:t>
      </w:r>
    </w:p>
    <w:p w14:paraId="4E68DAAA" w14:textId="292C2258" w:rsidR="00F1215C" w:rsidRPr="001C0357" w:rsidRDefault="00F1215C" w:rsidP="00812A3D">
      <w:pPr>
        <w:rPr>
          <w:noProof/>
          <w:szCs w:val="20"/>
        </w:rPr>
      </w:pPr>
      <w:bookmarkStart w:id="16" w:name="_Hlk174011522"/>
      <w:r w:rsidRPr="001C0357">
        <w:rPr>
          <w:noProof/>
          <w:szCs w:val="20"/>
        </w:rPr>
        <w:t>Kā jau tika minēts, Latvijas fiskālā politika tiek veidota tā, lai izpildītu visus fiskālos nosacījumus. Lai noteiktu fiskālo telpu,</w:t>
      </w:r>
      <w:r w:rsidRPr="00B605BC">
        <w:rPr>
          <w:noProof/>
          <w:szCs w:val="20"/>
        </w:rPr>
        <w:t xml:space="preserve"> tiek noteikti vispārējās valdības strukturālās bilances mērķi </w:t>
      </w:r>
      <w:r w:rsidR="00B605BC">
        <w:rPr>
          <w:noProof/>
          <w:szCs w:val="20"/>
        </w:rPr>
        <w:t xml:space="preserve">katram ietvara gadam </w:t>
      </w:r>
      <w:r w:rsidRPr="00B605BC">
        <w:rPr>
          <w:noProof/>
          <w:szCs w:val="20"/>
        </w:rPr>
        <w:t>(tiek identificēta noteicošā strukturālā bilance). Šādā veidā nosakot pieejamo fiskālo telpu, tiek</w:t>
      </w:r>
      <w:r w:rsidRPr="001C0357">
        <w:rPr>
          <w:noProof/>
          <w:szCs w:val="20"/>
        </w:rPr>
        <w:t xml:space="preserve"> izpildīti visi fiskālie nosacījumi</w:t>
      </w:r>
      <w:r w:rsidR="00F2738B" w:rsidRPr="001C0357">
        <w:rPr>
          <w:noProof/>
          <w:szCs w:val="20"/>
        </w:rPr>
        <w:t xml:space="preserve"> (skat. 13. tabulu).</w:t>
      </w:r>
    </w:p>
    <w:p w14:paraId="2799794F" w14:textId="77777777" w:rsidR="00F1215C" w:rsidRPr="001C0357" w:rsidRDefault="00F1215C" w:rsidP="00812A3D">
      <w:pPr>
        <w:jc w:val="center"/>
        <w:rPr>
          <w:b/>
          <w:bCs/>
          <w:noProof/>
          <w:szCs w:val="20"/>
        </w:rPr>
      </w:pPr>
      <w:r w:rsidRPr="001C0357">
        <w:rPr>
          <w:b/>
          <w:bCs/>
          <w:noProof/>
          <w:szCs w:val="20"/>
        </w:rPr>
        <w:t>13. tabula.</w:t>
      </w:r>
      <w:r w:rsidRPr="001C0357">
        <w:rPr>
          <w:b/>
          <w:i/>
          <w:iCs/>
          <w:noProof/>
          <w:szCs w:val="20"/>
        </w:rPr>
        <w:t xml:space="preserve"> </w:t>
      </w:r>
      <w:r w:rsidRPr="001C0357">
        <w:rPr>
          <w:b/>
          <w:bCs/>
          <w:noProof/>
          <w:szCs w:val="20"/>
        </w:rPr>
        <w:t>Noteicošais fiskālais nosacījums</w:t>
      </w:r>
    </w:p>
    <w:tbl>
      <w:tblPr>
        <w:tblW w:w="76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6"/>
        <w:gridCol w:w="1068"/>
        <w:gridCol w:w="1068"/>
        <w:gridCol w:w="1068"/>
        <w:gridCol w:w="1068"/>
      </w:tblGrid>
      <w:tr w:rsidR="00F1215C" w:rsidRPr="00E05396" w14:paraId="418F4ADB" w14:textId="77777777" w:rsidTr="00812A3D">
        <w:trPr>
          <w:trHeight w:val="20"/>
          <w:tblHeader/>
          <w:jc w:val="center"/>
        </w:trPr>
        <w:tc>
          <w:tcPr>
            <w:tcW w:w="3346" w:type="dxa"/>
            <w:shd w:val="clear" w:color="auto" w:fill="EBE2D1"/>
            <w:vAlign w:val="bottom"/>
            <w:hideMark/>
          </w:tcPr>
          <w:p w14:paraId="45CFA577" w14:textId="77777777" w:rsidR="00F1215C" w:rsidRPr="00E05396" w:rsidRDefault="00F1215C" w:rsidP="00CA0F29">
            <w:pPr>
              <w:rPr>
                <w:noProof/>
                <w:sz w:val="20"/>
                <w:szCs w:val="20"/>
              </w:rPr>
            </w:pPr>
          </w:p>
        </w:tc>
        <w:tc>
          <w:tcPr>
            <w:tcW w:w="1068" w:type="dxa"/>
            <w:shd w:val="clear" w:color="auto" w:fill="EBE2D1"/>
            <w:noWrap/>
            <w:vAlign w:val="center"/>
            <w:hideMark/>
          </w:tcPr>
          <w:p w14:paraId="4A0B90EF" w14:textId="77777777" w:rsidR="00F1215C" w:rsidRPr="00E05396" w:rsidRDefault="00F1215C" w:rsidP="00CA0F29">
            <w:pPr>
              <w:ind w:firstLine="0"/>
              <w:jc w:val="center"/>
              <w:rPr>
                <w:b/>
                <w:bCs/>
                <w:noProof/>
                <w:sz w:val="20"/>
                <w:szCs w:val="20"/>
              </w:rPr>
            </w:pPr>
            <w:r w:rsidRPr="00E05396">
              <w:rPr>
                <w:b/>
                <w:bCs/>
                <w:noProof/>
                <w:sz w:val="20"/>
                <w:szCs w:val="20"/>
              </w:rPr>
              <w:t>2026</w:t>
            </w:r>
          </w:p>
        </w:tc>
        <w:tc>
          <w:tcPr>
            <w:tcW w:w="1068" w:type="dxa"/>
            <w:shd w:val="clear" w:color="auto" w:fill="EBE2D1"/>
            <w:noWrap/>
            <w:vAlign w:val="center"/>
            <w:hideMark/>
          </w:tcPr>
          <w:p w14:paraId="38C3FE56" w14:textId="77777777" w:rsidR="00F1215C" w:rsidRPr="00E05396" w:rsidRDefault="00F1215C" w:rsidP="00CA0F29">
            <w:pPr>
              <w:ind w:firstLine="0"/>
              <w:jc w:val="center"/>
              <w:rPr>
                <w:b/>
                <w:bCs/>
                <w:noProof/>
                <w:sz w:val="20"/>
                <w:szCs w:val="20"/>
              </w:rPr>
            </w:pPr>
            <w:r w:rsidRPr="00E05396">
              <w:rPr>
                <w:b/>
                <w:bCs/>
                <w:noProof/>
                <w:sz w:val="20"/>
                <w:szCs w:val="20"/>
              </w:rPr>
              <w:t>2027</w:t>
            </w:r>
          </w:p>
        </w:tc>
        <w:tc>
          <w:tcPr>
            <w:tcW w:w="1068" w:type="dxa"/>
            <w:shd w:val="clear" w:color="auto" w:fill="EBE2D1"/>
            <w:vAlign w:val="center"/>
          </w:tcPr>
          <w:p w14:paraId="5200F718" w14:textId="77777777" w:rsidR="00F1215C" w:rsidRPr="00E05396" w:rsidRDefault="00F1215C" w:rsidP="00CA0F29">
            <w:pPr>
              <w:ind w:firstLine="0"/>
              <w:jc w:val="center"/>
              <w:rPr>
                <w:b/>
                <w:bCs/>
                <w:noProof/>
                <w:sz w:val="20"/>
                <w:szCs w:val="20"/>
              </w:rPr>
            </w:pPr>
            <w:r w:rsidRPr="00E05396">
              <w:rPr>
                <w:b/>
                <w:bCs/>
                <w:noProof/>
                <w:sz w:val="20"/>
                <w:szCs w:val="20"/>
              </w:rPr>
              <w:t>2028</w:t>
            </w:r>
          </w:p>
        </w:tc>
        <w:tc>
          <w:tcPr>
            <w:tcW w:w="1068" w:type="dxa"/>
            <w:shd w:val="clear" w:color="auto" w:fill="EBE2D1"/>
            <w:vAlign w:val="center"/>
          </w:tcPr>
          <w:p w14:paraId="0A1422FF" w14:textId="77777777" w:rsidR="00F1215C" w:rsidRPr="00E05396" w:rsidRDefault="00F1215C" w:rsidP="00CA0F29">
            <w:pPr>
              <w:ind w:firstLine="0"/>
              <w:jc w:val="center"/>
              <w:rPr>
                <w:b/>
                <w:bCs/>
                <w:noProof/>
                <w:sz w:val="20"/>
                <w:szCs w:val="20"/>
              </w:rPr>
            </w:pPr>
            <w:r w:rsidRPr="00E05396">
              <w:rPr>
                <w:b/>
                <w:bCs/>
                <w:noProof/>
                <w:sz w:val="20"/>
                <w:szCs w:val="20"/>
              </w:rPr>
              <w:t>2029</w:t>
            </w:r>
          </w:p>
        </w:tc>
      </w:tr>
      <w:tr w:rsidR="00F1215C" w:rsidRPr="00E05396" w14:paraId="3E84CCFB" w14:textId="77777777" w:rsidTr="00CA0F29">
        <w:trPr>
          <w:trHeight w:val="20"/>
          <w:jc w:val="center"/>
        </w:trPr>
        <w:tc>
          <w:tcPr>
            <w:tcW w:w="3346" w:type="dxa"/>
            <w:vAlign w:val="bottom"/>
          </w:tcPr>
          <w:p w14:paraId="31379292" w14:textId="77777777" w:rsidR="00F1215C" w:rsidRPr="00E05396" w:rsidRDefault="00F1215C" w:rsidP="00CA0F29">
            <w:pPr>
              <w:ind w:firstLine="0"/>
              <w:jc w:val="left"/>
              <w:rPr>
                <w:noProof/>
                <w:sz w:val="20"/>
                <w:szCs w:val="20"/>
              </w:rPr>
            </w:pPr>
            <w:r w:rsidRPr="00E05396">
              <w:rPr>
                <w:noProof/>
                <w:sz w:val="20"/>
                <w:szCs w:val="20"/>
              </w:rPr>
              <w:t>FDL strukturālās bilances nosacījums</w:t>
            </w:r>
          </w:p>
        </w:tc>
        <w:tc>
          <w:tcPr>
            <w:tcW w:w="1068" w:type="dxa"/>
            <w:noWrap/>
            <w:vAlign w:val="center"/>
          </w:tcPr>
          <w:p w14:paraId="3BFEAACE" w14:textId="77777777" w:rsidR="00F1215C" w:rsidRPr="00E05396" w:rsidRDefault="00F1215C" w:rsidP="00CA0F29">
            <w:pPr>
              <w:ind w:firstLine="88"/>
              <w:jc w:val="center"/>
              <w:rPr>
                <w:b/>
                <w:bCs/>
                <w:noProof/>
                <w:sz w:val="20"/>
                <w:szCs w:val="20"/>
              </w:rPr>
            </w:pPr>
            <w:r w:rsidRPr="00E05396">
              <w:rPr>
                <w:b/>
                <w:bCs/>
                <w:noProof/>
                <w:sz w:val="20"/>
                <w:szCs w:val="20"/>
              </w:rPr>
              <w:t>X</w:t>
            </w:r>
          </w:p>
        </w:tc>
        <w:tc>
          <w:tcPr>
            <w:tcW w:w="1068" w:type="dxa"/>
            <w:noWrap/>
            <w:vAlign w:val="center"/>
          </w:tcPr>
          <w:p w14:paraId="33EB6A6B" w14:textId="77777777" w:rsidR="00F1215C" w:rsidRPr="00E05396" w:rsidRDefault="00F1215C" w:rsidP="00CA0F29">
            <w:pPr>
              <w:ind w:firstLine="88"/>
              <w:jc w:val="center"/>
              <w:rPr>
                <w:b/>
                <w:bCs/>
                <w:noProof/>
                <w:sz w:val="20"/>
                <w:szCs w:val="20"/>
              </w:rPr>
            </w:pPr>
            <w:r w:rsidRPr="00E05396">
              <w:rPr>
                <w:b/>
                <w:bCs/>
                <w:noProof/>
                <w:sz w:val="20"/>
                <w:szCs w:val="20"/>
              </w:rPr>
              <w:t>X</w:t>
            </w:r>
          </w:p>
        </w:tc>
        <w:tc>
          <w:tcPr>
            <w:tcW w:w="1068" w:type="dxa"/>
            <w:vAlign w:val="center"/>
          </w:tcPr>
          <w:p w14:paraId="695E4C95" w14:textId="77777777" w:rsidR="00F1215C" w:rsidRPr="00E05396" w:rsidRDefault="00F1215C" w:rsidP="00CA0F29">
            <w:pPr>
              <w:ind w:firstLine="88"/>
              <w:jc w:val="center"/>
              <w:rPr>
                <w:b/>
                <w:bCs/>
                <w:noProof/>
                <w:sz w:val="20"/>
                <w:szCs w:val="20"/>
              </w:rPr>
            </w:pPr>
            <w:r w:rsidRPr="00E05396">
              <w:rPr>
                <w:b/>
                <w:bCs/>
                <w:noProof/>
                <w:sz w:val="20"/>
                <w:szCs w:val="20"/>
              </w:rPr>
              <w:t>X</w:t>
            </w:r>
          </w:p>
        </w:tc>
        <w:tc>
          <w:tcPr>
            <w:tcW w:w="1068" w:type="dxa"/>
            <w:vAlign w:val="center"/>
          </w:tcPr>
          <w:p w14:paraId="61ACD56E" w14:textId="77777777" w:rsidR="00F1215C" w:rsidRPr="00E05396" w:rsidRDefault="00F1215C" w:rsidP="00CA0F29">
            <w:pPr>
              <w:ind w:firstLine="88"/>
              <w:jc w:val="center"/>
              <w:rPr>
                <w:b/>
                <w:bCs/>
                <w:noProof/>
                <w:sz w:val="20"/>
                <w:szCs w:val="20"/>
              </w:rPr>
            </w:pPr>
            <w:r w:rsidRPr="00E05396">
              <w:rPr>
                <w:b/>
                <w:bCs/>
                <w:noProof/>
                <w:sz w:val="20"/>
                <w:szCs w:val="20"/>
              </w:rPr>
              <w:t>X</w:t>
            </w:r>
          </w:p>
        </w:tc>
      </w:tr>
      <w:tr w:rsidR="00F1215C" w:rsidRPr="00E05396" w14:paraId="3FCE9FFC" w14:textId="77777777" w:rsidTr="00CA0F29">
        <w:trPr>
          <w:trHeight w:val="20"/>
          <w:jc w:val="center"/>
        </w:trPr>
        <w:tc>
          <w:tcPr>
            <w:tcW w:w="3346" w:type="dxa"/>
            <w:vAlign w:val="bottom"/>
          </w:tcPr>
          <w:p w14:paraId="07B881DE" w14:textId="77777777" w:rsidR="00F1215C" w:rsidRPr="00E05396" w:rsidRDefault="00F1215C" w:rsidP="00CA0F29">
            <w:pPr>
              <w:ind w:firstLine="0"/>
              <w:jc w:val="left"/>
              <w:rPr>
                <w:noProof/>
                <w:sz w:val="20"/>
                <w:szCs w:val="20"/>
              </w:rPr>
            </w:pPr>
            <w:r w:rsidRPr="00E05396">
              <w:rPr>
                <w:noProof/>
                <w:sz w:val="20"/>
                <w:szCs w:val="20"/>
              </w:rPr>
              <w:t>ES strukturālās primārās bilances nosacījums</w:t>
            </w:r>
          </w:p>
        </w:tc>
        <w:tc>
          <w:tcPr>
            <w:tcW w:w="1068" w:type="dxa"/>
            <w:noWrap/>
            <w:vAlign w:val="center"/>
          </w:tcPr>
          <w:p w14:paraId="4C5ADC77" w14:textId="77777777" w:rsidR="00F1215C" w:rsidRPr="00E05396" w:rsidRDefault="00F1215C" w:rsidP="00CA0F29">
            <w:pPr>
              <w:rPr>
                <w:b/>
                <w:bCs/>
                <w:noProof/>
                <w:sz w:val="20"/>
                <w:szCs w:val="20"/>
              </w:rPr>
            </w:pPr>
          </w:p>
        </w:tc>
        <w:tc>
          <w:tcPr>
            <w:tcW w:w="1068" w:type="dxa"/>
            <w:noWrap/>
            <w:vAlign w:val="center"/>
          </w:tcPr>
          <w:p w14:paraId="54C8B19F" w14:textId="77777777" w:rsidR="00F1215C" w:rsidRPr="00E05396" w:rsidRDefault="00F1215C" w:rsidP="00CA0F29">
            <w:pPr>
              <w:rPr>
                <w:b/>
                <w:bCs/>
                <w:noProof/>
                <w:sz w:val="20"/>
                <w:szCs w:val="20"/>
              </w:rPr>
            </w:pPr>
          </w:p>
        </w:tc>
        <w:tc>
          <w:tcPr>
            <w:tcW w:w="1068" w:type="dxa"/>
            <w:vAlign w:val="center"/>
          </w:tcPr>
          <w:p w14:paraId="32530C49" w14:textId="77777777" w:rsidR="00F1215C" w:rsidRPr="00E05396" w:rsidRDefault="00F1215C" w:rsidP="00CA0F29">
            <w:pPr>
              <w:rPr>
                <w:b/>
                <w:bCs/>
                <w:noProof/>
                <w:sz w:val="20"/>
                <w:szCs w:val="20"/>
              </w:rPr>
            </w:pPr>
          </w:p>
        </w:tc>
        <w:tc>
          <w:tcPr>
            <w:tcW w:w="1068" w:type="dxa"/>
            <w:vAlign w:val="center"/>
          </w:tcPr>
          <w:p w14:paraId="370B1919" w14:textId="77777777" w:rsidR="00F1215C" w:rsidRPr="00E05396" w:rsidRDefault="00F1215C" w:rsidP="00CA0F29">
            <w:pPr>
              <w:rPr>
                <w:b/>
                <w:bCs/>
                <w:noProof/>
                <w:sz w:val="20"/>
                <w:szCs w:val="20"/>
              </w:rPr>
            </w:pPr>
          </w:p>
        </w:tc>
      </w:tr>
      <w:tr w:rsidR="00F1215C" w:rsidRPr="00E05396" w14:paraId="562677C4" w14:textId="77777777" w:rsidTr="00CA0F29">
        <w:trPr>
          <w:trHeight w:val="20"/>
          <w:jc w:val="center"/>
        </w:trPr>
        <w:tc>
          <w:tcPr>
            <w:tcW w:w="3346" w:type="dxa"/>
            <w:vAlign w:val="bottom"/>
          </w:tcPr>
          <w:p w14:paraId="74DC6075" w14:textId="77777777" w:rsidR="00F1215C" w:rsidRPr="00E05396" w:rsidRDefault="00F1215C" w:rsidP="00CA0F29">
            <w:pPr>
              <w:ind w:firstLine="0"/>
              <w:jc w:val="left"/>
              <w:rPr>
                <w:noProof/>
                <w:sz w:val="20"/>
                <w:szCs w:val="20"/>
              </w:rPr>
            </w:pPr>
            <w:r w:rsidRPr="00E05396">
              <w:rPr>
                <w:noProof/>
                <w:sz w:val="20"/>
                <w:szCs w:val="20"/>
              </w:rPr>
              <w:t>ES izdevumu pieauguma nosacījums</w:t>
            </w:r>
          </w:p>
        </w:tc>
        <w:tc>
          <w:tcPr>
            <w:tcW w:w="1068" w:type="dxa"/>
            <w:noWrap/>
            <w:vAlign w:val="bottom"/>
          </w:tcPr>
          <w:p w14:paraId="456D6782" w14:textId="77777777" w:rsidR="00F1215C" w:rsidRPr="00E05396" w:rsidRDefault="00F1215C" w:rsidP="00CA0F29">
            <w:pPr>
              <w:rPr>
                <w:noProof/>
                <w:sz w:val="20"/>
                <w:szCs w:val="20"/>
              </w:rPr>
            </w:pPr>
          </w:p>
        </w:tc>
        <w:tc>
          <w:tcPr>
            <w:tcW w:w="1068" w:type="dxa"/>
            <w:noWrap/>
            <w:vAlign w:val="bottom"/>
          </w:tcPr>
          <w:p w14:paraId="1128BB93" w14:textId="77777777" w:rsidR="00F1215C" w:rsidRPr="00E05396" w:rsidRDefault="00F1215C" w:rsidP="00CA0F29">
            <w:pPr>
              <w:rPr>
                <w:noProof/>
                <w:sz w:val="20"/>
                <w:szCs w:val="20"/>
              </w:rPr>
            </w:pPr>
          </w:p>
        </w:tc>
        <w:tc>
          <w:tcPr>
            <w:tcW w:w="1068" w:type="dxa"/>
            <w:vAlign w:val="bottom"/>
          </w:tcPr>
          <w:p w14:paraId="62B0A59B" w14:textId="77777777" w:rsidR="00F1215C" w:rsidRPr="00E05396" w:rsidRDefault="00F1215C" w:rsidP="00CA0F29">
            <w:pPr>
              <w:rPr>
                <w:noProof/>
                <w:sz w:val="20"/>
                <w:szCs w:val="20"/>
              </w:rPr>
            </w:pPr>
          </w:p>
        </w:tc>
        <w:tc>
          <w:tcPr>
            <w:tcW w:w="1068" w:type="dxa"/>
            <w:vAlign w:val="center"/>
          </w:tcPr>
          <w:p w14:paraId="2DCE15C8" w14:textId="77777777" w:rsidR="00F1215C" w:rsidRPr="00E05396" w:rsidRDefault="00F1215C" w:rsidP="00CA0F29">
            <w:pPr>
              <w:rPr>
                <w:noProof/>
                <w:sz w:val="20"/>
                <w:szCs w:val="20"/>
              </w:rPr>
            </w:pPr>
          </w:p>
        </w:tc>
      </w:tr>
      <w:tr w:rsidR="00F1215C" w:rsidRPr="00E05396" w14:paraId="70054886" w14:textId="77777777" w:rsidTr="00CA0F29">
        <w:trPr>
          <w:trHeight w:val="20"/>
          <w:jc w:val="center"/>
        </w:trPr>
        <w:tc>
          <w:tcPr>
            <w:tcW w:w="3346" w:type="dxa"/>
            <w:vAlign w:val="bottom"/>
          </w:tcPr>
          <w:p w14:paraId="1CCD7971" w14:textId="4FB01430" w:rsidR="00F1215C" w:rsidRPr="00E05396" w:rsidRDefault="00E05396" w:rsidP="00812A3D">
            <w:pPr>
              <w:ind w:firstLine="0"/>
              <w:jc w:val="left"/>
              <w:rPr>
                <w:noProof/>
                <w:sz w:val="20"/>
                <w:szCs w:val="20"/>
              </w:rPr>
            </w:pPr>
            <w:r>
              <w:rPr>
                <w:noProof/>
                <w:sz w:val="20"/>
                <w:szCs w:val="20"/>
              </w:rPr>
              <w:t>N</w:t>
            </w:r>
            <w:r w:rsidR="00F1215C" w:rsidRPr="00E05396">
              <w:rPr>
                <w:noProof/>
                <w:sz w:val="20"/>
                <w:szCs w:val="20"/>
              </w:rPr>
              <w:t>ominālās bilances nosacījums</w:t>
            </w:r>
          </w:p>
        </w:tc>
        <w:tc>
          <w:tcPr>
            <w:tcW w:w="1068" w:type="dxa"/>
            <w:noWrap/>
            <w:vAlign w:val="bottom"/>
          </w:tcPr>
          <w:p w14:paraId="11B8925C" w14:textId="77777777" w:rsidR="00F1215C" w:rsidRPr="00E05396" w:rsidRDefault="00F1215C" w:rsidP="00812A3D">
            <w:pPr>
              <w:rPr>
                <w:b/>
                <w:bCs/>
                <w:noProof/>
                <w:sz w:val="20"/>
                <w:szCs w:val="20"/>
              </w:rPr>
            </w:pPr>
          </w:p>
        </w:tc>
        <w:tc>
          <w:tcPr>
            <w:tcW w:w="1068" w:type="dxa"/>
            <w:noWrap/>
            <w:vAlign w:val="bottom"/>
          </w:tcPr>
          <w:p w14:paraId="70D390A3" w14:textId="77777777" w:rsidR="00F1215C" w:rsidRPr="00E05396" w:rsidRDefault="00F1215C" w:rsidP="00812A3D">
            <w:pPr>
              <w:rPr>
                <w:noProof/>
                <w:sz w:val="20"/>
                <w:szCs w:val="20"/>
              </w:rPr>
            </w:pPr>
          </w:p>
        </w:tc>
        <w:tc>
          <w:tcPr>
            <w:tcW w:w="1068" w:type="dxa"/>
            <w:vAlign w:val="bottom"/>
          </w:tcPr>
          <w:p w14:paraId="7F60A669" w14:textId="77777777" w:rsidR="00F1215C" w:rsidRPr="00E05396" w:rsidRDefault="00F1215C" w:rsidP="00812A3D">
            <w:pPr>
              <w:rPr>
                <w:noProof/>
                <w:sz w:val="20"/>
                <w:szCs w:val="20"/>
              </w:rPr>
            </w:pPr>
          </w:p>
        </w:tc>
        <w:tc>
          <w:tcPr>
            <w:tcW w:w="1068" w:type="dxa"/>
            <w:vAlign w:val="center"/>
          </w:tcPr>
          <w:p w14:paraId="39DD0B3F" w14:textId="77777777" w:rsidR="00F1215C" w:rsidRPr="00E05396" w:rsidRDefault="00F1215C" w:rsidP="00812A3D">
            <w:pPr>
              <w:rPr>
                <w:noProof/>
                <w:sz w:val="20"/>
                <w:szCs w:val="20"/>
              </w:rPr>
            </w:pPr>
          </w:p>
        </w:tc>
      </w:tr>
    </w:tbl>
    <w:p w14:paraId="70C923CF" w14:textId="77777777" w:rsidR="00F1215C" w:rsidRPr="001C0357" w:rsidRDefault="00F1215C" w:rsidP="00812A3D">
      <w:pPr>
        <w:rPr>
          <w:rFonts w:eastAsia="Times New Roman" w:cs="Times New Roman"/>
          <w:bCs/>
          <w:noProof/>
        </w:rPr>
      </w:pPr>
      <w:r w:rsidRPr="001C0357">
        <w:rPr>
          <w:rFonts w:cs="Times New Roman"/>
          <w:noProof/>
          <w:szCs w:val="24"/>
        </w:rPr>
        <w:t xml:space="preserve">Ņemot vērā 5., 7, 9. un 11. tabulā norādīto, </w:t>
      </w:r>
      <w:r w:rsidRPr="001C0357">
        <w:rPr>
          <w:rFonts w:eastAsia="Times New Roman" w:cs="Times New Roman"/>
          <w:b/>
          <w:noProof/>
        </w:rPr>
        <w:t xml:space="preserve">vispārējās valdības budžeta </w:t>
      </w:r>
      <w:r w:rsidRPr="001C0357">
        <w:rPr>
          <w:rFonts w:cs="Times New Roman"/>
          <w:b/>
          <w:bCs/>
          <w:noProof/>
          <w:szCs w:val="24"/>
        </w:rPr>
        <w:t xml:space="preserve">strukturālās bilances mērķis, kas izpilda visus četrus nosacījumus, </w:t>
      </w:r>
      <w:r w:rsidRPr="001C0357">
        <w:rPr>
          <w:rFonts w:eastAsia="Times New Roman" w:cs="Times New Roman"/>
          <w:bCs/>
          <w:noProof/>
        </w:rPr>
        <w:t>2026.-2029. gadam tiek noteikts:</w:t>
      </w:r>
      <w:r w:rsidRPr="001C0357">
        <w:rPr>
          <w:rFonts w:eastAsia="Times New Roman" w:cs="Times New Roman"/>
          <w:bCs/>
          <w:noProof/>
        </w:rPr>
        <w:br/>
        <w:t>-</w:t>
      </w:r>
      <w:r w:rsidRPr="001C0357">
        <w:rPr>
          <w:rFonts w:eastAsia="Times New Roman" w:cs="Times New Roman"/>
          <w:b/>
          <w:noProof/>
        </w:rPr>
        <w:t>1,245% no IKP 2026. gadam</w:t>
      </w:r>
      <w:r w:rsidRPr="001C0357">
        <w:rPr>
          <w:rFonts w:eastAsia="Times New Roman" w:cs="Times New Roman"/>
          <w:bCs/>
          <w:noProof/>
        </w:rPr>
        <w:t xml:space="preserve">, </w:t>
      </w:r>
      <w:r w:rsidRPr="001C0357">
        <w:rPr>
          <w:rFonts w:eastAsia="Times New Roman" w:cs="Times New Roman"/>
          <w:b/>
          <w:noProof/>
        </w:rPr>
        <w:t>-1,971% no IKP 2027. gadam</w:t>
      </w:r>
      <w:r w:rsidRPr="001C0357">
        <w:rPr>
          <w:rFonts w:eastAsia="Times New Roman" w:cs="Times New Roman"/>
          <w:bCs/>
          <w:noProof/>
        </w:rPr>
        <w:t xml:space="preserve">, </w:t>
      </w:r>
      <w:r w:rsidRPr="001C0357">
        <w:rPr>
          <w:rFonts w:eastAsia="Times New Roman" w:cs="Times New Roman"/>
          <w:b/>
          <w:noProof/>
        </w:rPr>
        <w:t xml:space="preserve">-1,866% no IKP 2028. gadam </w:t>
      </w:r>
      <w:r w:rsidRPr="001C0357">
        <w:rPr>
          <w:rFonts w:eastAsia="Times New Roman" w:cs="Times New Roman"/>
          <w:bCs/>
          <w:noProof/>
        </w:rPr>
        <w:t>un</w:t>
      </w:r>
      <w:r w:rsidRPr="001C0357">
        <w:rPr>
          <w:rFonts w:eastAsia="Times New Roman" w:cs="Times New Roman"/>
          <w:b/>
          <w:noProof/>
        </w:rPr>
        <w:t xml:space="preserve"> -2,429% no IKP 2029. gadam</w:t>
      </w:r>
      <w:bookmarkEnd w:id="16"/>
      <w:r w:rsidRPr="001C0357">
        <w:rPr>
          <w:rFonts w:eastAsia="Times New Roman" w:cs="Times New Roman"/>
          <w:bCs/>
          <w:noProof/>
        </w:rPr>
        <w:t xml:space="preserve">. </w:t>
      </w:r>
    </w:p>
    <w:p w14:paraId="6F6FB8BA" w14:textId="77777777" w:rsidR="00F1215C" w:rsidRPr="001C0357" w:rsidRDefault="00F1215C" w:rsidP="00F1215C">
      <w:pPr>
        <w:rPr>
          <w:rFonts w:eastAsia="Times New Roman" w:cs="Times New Roman"/>
          <w:bCs/>
          <w:noProof/>
        </w:rPr>
      </w:pPr>
      <w:r w:rsidRPr="001C0357">
        <w:rPr>
          <w:rFonts w:eastAsia="Times New Roman" w:cs="Times New Roman"/>
          <w:bCs/>
          <w:noProof/>
        </w:rPr>
        <w:t>Strukturālās bilances mērķim atbilstošais valsts finansēto neto primāro izdevumu pieaugums 2026. gadā ir 4,420%, 2027. gadā 4,970%, 2028. gadā 3,948% un 2029. gadā 2,768%.</w:t>
      </w:r>
    </w:p>
    <w:p w14:paraId="6CFE0A58" w14:textId="77777777" w:rsidR="00E05396" w:rsidRDefault="00E05396">
      <w:pPr>
        <w:spacing w:before="0" w:after="0"/>
        <w:ind w:firstLine="0"/>
        <w:jc w:val="left"/>
        <w:rPr>
          <w:b/>
          <w:bCs/>
          <w:noProof/>
          <w:szCs w:val="20"/>
        </w:rPr>
      </w:pPr>
      <w:r>
        <w:rPr>
          <w:b/>
          <w:bCs/>
          <w:noProof/>
          <w:szCs w:val="20"/>
        </w:rPr>
        <w:br w:type="page"/>
      </w:r>
    </w:p>
    <w:p w14:paraId="2C0EB394" w14:textId="69834BC1" w:rsidR="00F1215C" w:rsidRPr="001C0357" w:rsidRDefault="00F1215C" w:rsidP="00E05396">
      <w:pPr>
        <w:widowControl w:val="0"/>
        <w:rPr>
          <w:b/>
          <w:bCs/>
          <w:noProof/>
          <w:szCs w:val="20"/>
        </w:rPr>
      </w:pPr>
      <w:r w:rsidRPr="001C0357">
        <w:rPr>
          <w:rFonts w:eastAsia="Times New Roman" w:cs="Times New Roman"/>
          <w:b/>
          <w:noProof/>
          <w:szCs w:val="24"/>
        </w:rPr>
        <w:lastRenderedPageBreak/>
        <w:t>Fiskālā telpa 2026. gadam un turpmākajiem gadiem</w:t>
      </w:r>
    </w:p>
    <w:p w14:paraId="2665BB55" w14:textId="10051E4F" w:rsidR="00F1215C" w:rsidRPr="001C0357" w:rsidRDefault="00F1215C" w:rsidP="00812A3D">
      <w:pPr>
        <w:rPr>
          <w:noProof/>
          <w:szCs w:val="20"/>
        </w:rPr>
      </w:pPr>
      <w:r w:rsidRPr="001C0357">
        <w:rPr>
          <w:noProof/>
          <w:szCs w:val="20"/>
        </w:rPr>
        <w:t>Ņemot vērā iepriekš definētos fiskālos nosacījumus un iepriekš norādītos strukturālās bilances mērķus, tiek noteikta fiskālā telpa 2026., 2027., 2028. un 2029. gadam.</w:t>
      </w:r>
    </w:p>
    <w:p w14:paraId="27D06101" w14:textId="77777777" w:rsidR="00F1215C" w:rsidRPr="001C0357" w:rsidRDefault="00F1215C" w:rsidP="00812A3D">
      <w:pPr>
        <w:ind w:firstLine="0"/>
        <w:jc w:val="center"/>
        <w:rPr>
          <w:rFonts w:eastAsia="Calibri"/>
          <w:b/>
          <w:bCs/>
          <w:noProof/>
          <w:szCs w:val="20"/>
        </w:rPr>
      </w:pPr>
      <w:r w:rsidRPr="001C0357">
        <w:rPr>
          <w:rFonts w:eastAsia="Calibri"/>
          <w:b/>
          <w:bCs/>
          <w:noProof/>
          <w:szCs w:val="20"/>
        </w:rPr>
        <w:t>14. tabula. Fiskālā telpa</w:t>
      </w:r>
    </w:p>
    <w:tbl>
      <w:tblPr>
        <w:tblW w:w="9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6"/>
        <w:gridCol w:w="1443"/>
        <w:gridCol w:w="1109"/>
        <w:gridCol w:w="1275"/>
        <w:gridCol w:w="961"/>
        <w:gridCol w:w="927"/>
      </w:tblGrid>
      <w:tr w:rsidR="00F1215C" w:rsidRPr="001C0357" w14:paraId="188A181D" w14:textId="77777777" w:rsidTr="00812A3D">
        <w:trPr>
          <w:trHeight w:val="20"/>
          <w:tblHeader/>
          <w:jc w:val="center"/>
        </w:trPr>
        <w:tc>
          <w:tcPr>
            <w:tcW w:w="3346" w:type="dxa"/>
            <w:shd w:val="clear" w:color="auto" w:fill="EBE2D1"/>
            <w:vAlign w:val="bottom"/>
            <w:hideMark/>
          </w:tcPr>
          <w:p w14:paraId="002634E4" w14:textId="77777777" w:rsidR="00F1215C" w:rsidRPr="001C0357" w:rsidRDefault="00F1215C" w:rsidP="00CA0F29">
            <w:pPr>
              <w:spacing w:before="60" w:after="0"/>
              <w:ind w:firstLine="0"/>
              <w:jc w:val="left"/>
              <w:rPr>
                <w:rFonts w:eastAsia="Times New Roman" w:cs="Times New Roman"/>
                <w:noProof/>
                <w:color w:val="000000"/>
                <w:sz w:val="18"/>
                <w:szCs w:val="18"/>
                <w:lang w:eastAsia="lv-LV"/>
              </w:rPr>
            </w:pPr>
            <w:r w:rsidRPr="001C0357">
              <w:rPr>
                <w:rFonts w:eastAsia="Times New Roman" w:cs="Times New Roman"/>
                <w:noProof/>
                <w:color w:val="000000"/>
                <w:sz w:val="18"/>
                <w:szCs w:val="18"/>
                <w:lang w:eastAsia="lv-LV"/>
              </w:rPr>
              <w:t> </w:t>
            </w:r>
          </w:p>
        </w:tc>
        <w:tc>
          <w:tcPr>
            <w:tcW w:w="1443" w:type="dxa"/>
            <w:shd w:val="clear" w:color="auto" w:fill="EBE2D1"/>
            <w:noWrap/>
            <w:vAlign w:val="bottom"/>
            <w:hideMark/>
          </w:tcPr>
          <w:p w14:paraId="54C7B3EB" w14:textId="77777777" w:rsidR="00F1215C" w:rsidRPr="001C0357" w:rsidRDefault="00F1215C" w:rsidP="00CA0F29">
            <w:pPr>
              <w:spacing w:before="60" w:after="0"/>
              <w:ind w:firstLine="0"/>
              <w:jc w:val="left"/>
              <w:rPr>
                <w:rFonts w:eastAsia="Times New Roman" w:cs="Times New Roman"/>
                <w:noProof/>
                <w:color w:val="000000"/>
                <w:sz w:val="20"/>
                <w:szCs w:val="20"/>
                <w:lang w:eastAsia="lv-LV"/>
              </w:rPr>
            </w:pPr>
            <w:r w:rsidRPr="001C0357">
              <w:rPr>
                <w:rFonts w:eastAsia="Times New Roman" w:cs="Times New Roman"/>
                <w:noProof/>
                <w:color w:val="000000"/>
                <w:sz w:val="20"/>
                <w:szCs w:val="20"/>
                <w:lang w:eastAsia="lv-LV"/>
              </w:rPr>
              <w:t> </w:t>
            </w:r>
          </w:p>
        </w:tc>
        <w:tc>
          <w:tcPr>
            <w:tcW w:w="1109" w:type="dxa"/>
            <w:shd w:val="clear" w:color="auto" w:fill="EBE2D1"/>
            <w:noWrap/>
            <w:vAlign w:val="center"/>
            <w:hideMark/>
          </w:tcPr>
          <w:p w14:paraId="0C4E14D8" w14:textId="77777777" w:rsidR="00F1215C" w:rsidRPr="001C0357" w:rsidRDefault="00F1215C" w:rsidP="00CA0F29">
            <w:pPr>
              <w:spacing w:before="60" w:after="0"/>
              <w:ind w:firstLine="0"/>
              <w:jc w:val="center"/>
              <w:rPr>
                <w:rFonts w:eastAsia="Times New Roman" w:cs="Times New Roman"/>
                <w:b/>
                <w:bCs/>
                <w:noProof/>
                <w:color w:val="000000"/>
                <w:sz w:val="20"/>
                <w:szCs w:val="20"/>
                <w:lang w:eastAsia="lv-LV"/>
              </w:rPr>
            </w:pPr>
            <w:r w:rsidRPr="001C0357">
              <w:rPr>
                <w:rFonts w:eastAsia="Times New Roman" w:cs="Times New Roman"/>
                <w:b/>
                <w:bCs/>
                <w:noProof/>
                <w:color w:val="000000"/>
                <w:sz w:val="20"/>
                <w:szCs w:val="20"/>
                <w:lang w:eastAsia="lv-LV"/>
              </w:rPr>
              <w:t>2026</w:t>
            </w:r>
          </w:p>
        </w:tc>
        <w:tc>
          <w:tcPr>
            <w:tcW w:w="1275" w:type="dxa"/>
            <w:shd w:val="clear" w:color="auto" w:fill="EBE2D1"/>
            <w:noWrap/>
            <w:vAlign w:val="center"/>
            <w:hideMark/>
          </w:tcPr>
          <w:p w14:paraId="2A82557F" w14:textId="77777777" w:rsidR="00F1215C" w:rsidRPr="001C0357" w:rsidRDefault="00F1215C" w:rsidP="00CA0F29">
            <w:pPr>
              <w:spacing w:before="60" w:after="0"/>
              <w:ind w:firstLine="0"/>
              <w:jc w:val="center"/>
              <w:rPr>
                <w:rFonts w:eastAsia="Times New Roman" w:cs="Times New Roman"/>
                <w:b/>
                <w:bCs/>
                <w:noProof/>
                <w:color w:val="000000"/>
                <w:sz w:val="20"/>
                <w:szCs w:val="20"/>
                <w:lang w:eastAsia="lv-LV"/>
              </w:rPr>
            </w:pPr>
            <w:r w:rsidRPr="001C0357">
              <w:rPr>
                <w:rFonts w:eastAsia="Times New Roman" w:cs="Times New Roman"/>
                <w:b/>
                <w:bCs/>
                <w:noProof/>
                <w:color w:val="000000"/>
                <w:sz w:val="20"/>
                <w:szCs w:val="20"/>
                <w:lang w:eastAsia="lv-LV"/>
              </w:rPr>
              <w:t>2027</w:t>
            </w:r>
          </w:p>
        </w:tc>
        <w:tc>
          <w:tcPr>
            <w:tcW w:w="961" w:type="dxa"/>
            <w:shd w:val="clear" w:color="auto" w:fill="EBE2D1"/>
            <w:vAlign w:val="center"/>
          </w:tcPr>
          <w:p w14:paraId="6516B75C" w14:textId="77777777" w:rsidR="00F1215C" w:rsidRPr="001C0357" w:rsidRDefault="00F1215C" w:rsidP="00CA0F29">
            <w:pPr>
              <w:spacing w:before="60" w:after="0"/>
              <w:ind w:firstLine="0"/>
              <w:jc w:val="center"/>
              <w:rPr>
                <w:rFonts w:eastAsia="Times New Roman" w:cs="Times New Roman"/>
                <w:b/>
                <w:bCs/>
                <w:noProof/>
                <w:color w:val="000000"/>
                <w:sz w:val="20"/>
                <w:szCs w:val="20"/>
                <w:lang w:eastAsia="lv-LV"/>
              </w:rPr>
            </w:pPr>
            <w:r w:rsidRPr="001C0357">
              <w:rPr>
                <w:rFonts w:eastAsia="Times New Roman" w:cs="Times New Roman"/>
                <w:b/>
                <w:bCs/>
                <w:noProof/>
                <w:color w:val="000000"/>
                <w:sz w:val="20"/>
                <w:szCs w:val="20"/>
                <w:lang w:eastAsia="lv-LV"/>
              </w:rPr>
              <w:t>2028</w:t>
            </w:r>
          </w:p>
        </w:tc>
        <w:tc>
          <w:tcPr>
            <w:tcW w:w="927" w:type="dxa"/>
            <w:shd w:val="clear" w:color="auto" w:fill="EBE2D1"/>
            <w:vAlign w:val="center"/>
          </w:tcPr>
          <w:p w14:paraId="3385368A" w14:textId="77777777" w:rsidR="00F1215C" w:rsidRPr="001C0357" w:rsidRDefault="00F1215C" w:rsidP="00CA0F29">
            <w:pPr>
              <w:spacing w:before="60" w:after="0"/>
              <w:ind w:firstLine="0"/>
              <w:jc w:val="center"/>
              <w:rPr>
                <w:rFonts w:eastAsia="Times New Roman" w:cs="Times New Roman"/>
                <w:b/>
                <w:bCs/>
                <w:noProof/>
                <w:color w:val="000000"/>
                <w:sz w:val="20"/>
                <w:szCs w:val="20"/>
                <w:lang w:eastAsia="lv-LV"/>
              </w:rPr>
            </w:pPr>
            <w:r w:rsidRPr="001C0357">
              <w:rPr>
                <w:rFonts w:eastAsia="Times New Roman" w:cs="Times New Roman"/>
                <w:b/>
                <w:bCs/>
                <w:noProof/>
                <w:color w:val="000000"/>
                <w:sz w:val="20"/>
                <w:szCs w:val="20"/>
                <w:lang w:eastAsia="lv-LV"/>
              </w:rPr>
              <w:t>2029</w:t>
            </w:r>
          </w:p>
        </w:tc>
      </w:tr>
      <w:tr w:rsidR="00F1215C" w:rsidRPr="001C0357" w14:paraId="1E292B0F" w14:textId="77777777" w:rsidTr="00CA0F29">
        <w:trPr>
          <w:trHeight w:val="20"/>
          <w:jc w:val="center"/>
        </w:trPr>
        <w:tc>
          <w:tcPr>
            <w:tcW w:w="3346" w:type="dxa"/>
            <w:vAlign w:val="center"/>
          </w:tcPr>
          <w:p w14:paraId="04CBCB0F" w14:textId="7AF1A3C2" w:rsidR="00F1215C" w:rsidRPr="001C0357" w:rsidRDefault="00812A3D" w:rsidP="00CA0F29">
            <w:pPr>
              <w:spacing w:before="60" w:after="60"/>
              <w:ind w:firstLine="0"/>
              <w:jc w:val="left"/>
              <w:rPr>
                <w:rFonts w:eastAsia="Times New Roman" w:cs="Times New Roman"/>
                <w:noProof/>
                <w:color w:val="000000"/>
                <w:sz w:val="18"/>
                <w:szCs w:val="18"/>
                <w:lang w:eastAsia="lv-LV"/>
              </w:rPr>
            </w:pPr>
            <w:r w:rsidRPr="001C0357">
              <w:rPr>
                <w:rFonts w:eastAsia="Times New Roman" w:cs="Times New Roman"/>
                <w:noProof/>
                <w:color w:val="000000"/>
                <w:sz w:val="18"/>
                <w:szCs w:val="18"/>
                <w:lang w:eastAsia="lv-LV"/>
              </w:rPr>
              <w:t>V</w:t>
            </w:r>
            <w:r w:rsidR="00F1215C" w:rsidRPr="001C0357">
              <w:rPr>
                <w:rFonts w:eastAsia="Times New Roman" w:cs="Times New Roman"/>
                <w:noProof/>
                <w:color w:val="000000"/>
                <w:sz w:val="18"/>
                <w:szCs w:val="18"/>
                <w:lang w:eastAsia="lv-LV"/>
              </w:rPr>
              <w:t>ispārējās valdības budžeta strukturālās bilances prognozes nemainīgas politikas scenārijā, % no IKP</w:t>
            </w:r>
          </w:p>
        </w:tc>
        <w:tc>
          <w:tcPr>
            <w:tcW w:w="1443" w:type="dxa"/>
            <w:noWrap/>
            <w:vAlign w:val="center"/>
            <w:hideMark/>
          </w:tcPr>
          <w:p w14:paraId="1939AC9C" w14:textId="77777777" w:rsidR="00F1215C" w:rsidRPr="001C0357" w:rsidRDefault="00F1215C" w:rsidP="00CA0F29">
            <w:pPr>
              <w:spacing w:before="60" w:after="60"/>
              <w:ind w:firstLine="0"/>
              <w:jc w:val="center"/>
              <w:rPr>
                <w:rFonts w:eastAsia="Times New Roman" w:cs="Times New Roman"/>
                <w:noProof/>
                <w:color w:val="000000"/>
                <w:sz w:val="20"/>
                <w:szCs w:val="20"/>
                <w:lang w:eastAsia="lv-LV"/>
              </w:rPr>
            </w:pPr>
            <w:r w:rsidRPr="001C0357" w:rsidDel="006970FF">
              <w:rPr>
                <w:rFonts w:eastAsia="Times New Roman" w:cs="Times New Roman"/>
                <w:noProof/>
                <w:color w:val="000000"/>
                <w:sz w:val="20"/>
                <w:szCs w:val="20"/>
                <w:lang w:eastAsia="lv-LV"/>
              </w:rPr>
              <w:t xml:space="preserve"> </w:t>
            </w:r>
            <w:r w:rsidRPr="001C0357">
              <w:rPr>
                <w:rFonts w:eastAsia="Times New Roman" w:cs="Times New Roman"/>
                <w:noProof/>
                <w:color w:val="000000"/>
                <w:sz w:val="20"/>
                <w:szCs w:val="20"/>
                <w:lang w:eastAsia="lv-LV"/>
              </w:rPr>
              <w:t>(1)</w:t>
            </w:r>
          </w:p>
        </w:tc>
        <w:tc>
          <w:tcPr>
            <w:tcW w:w="1109" w:type="dxa"/>
            <w:noWrap/>
            <w:vAlign w:val="center"/>
          </w:tcPr>
          <w:p w14:paraId="549F8BF3" w14:textId="77777777" w:rsidR="00F1215C" w:rsidRPr="001C0357" w:rsidRDefault="00F1215C" w:rsidP="00CA0F29">
            <w:pPr>
              <w:spacing w:before="60" w:after="60"/>
              <w:ind w:firstLine="0"/>
              <w:jc w:val="center"/>
              <w:rPr>
                <w:rFonts w:eastAsia="Times New Roman" w:cs="Times New Roman"/>
                <w:noProof/>
                <w:color w:val="000000"/>
                <w:sz w:val="20"/>
                <w:szCs w:val="20"/>
                <w:lang w:eastAsia="lv-LV"/>
              </w:rPr>
            </w:pPr>
            <w:r w:rsidRPr="001C0357">
              <w:rPr>
                <w:rFonts w:cs="Times New Roman"/>
                <w:noProof/>
                <w:color w:val="000000" w:themeColor="text1"/>
                <w:sz w:val="20"/>
                <w:szCs w:val="20"/>
              </w:rPr>
              <w:t>-1,1</w:t>
            </w:r>
          </w:p>
        </w:tc>
        <w:tc>
          <w:tcPr>
            <w:tcW w:w="1275" w:type="dxa"/>
            <w:noWrap/>
            <w:vAlign w:val="center"/>
          </w:tcPr>
          <w:p w14:paraId="07C8DAB9" w14:textId="77777777" w:rsidR="00F1215C" w:rsidRPr="001C0357" w:rsidRDefault="00F1215C" w:rsidP="00CA0F29">
            <w:pPr>
              <w:spacing w:before="60" w:after="60"/>
              <w:ind w:firstLine="0"/>
              <w:jc w:val="center"/>
              <w:rPr>
                <w:rFonts w:eastAsia="Times New Roman" w:cs="Times New Roman"/>
                <w:noProof/>
                <w:color w:val="000000"/>
                <w:sz w:val="20"/>
                <w:szCs w:val="20"/>
                <w:lang w:eastAsia="lv-LV"/>
              </w:rPr>
            </w:pPr>
            <w:r w:rsidRPr="001C0357">
              <w:rPr>
                <w:rFonts w:cs="Times New Roman"/>
                <w:noProof/>
                <w:color w:val="000000" w:themeColor="text1"/>
                <w:sz w:val="20"/>
                <w:szCs w:val="20"/>
              </w:rPr>
              <w:t>-2,2</w:t>
            </w:r>
          </w:p>
        </w:tc>
        <w:tc>
          <w:tcPr>
            <w:tcW w:w="961" w:type="dxa"/>
            <w:vAlign w:val="center"/>
          </w:tcPr>
          <w:p w14:paraId="3F7B9ED5" w14:textId="77777777" w:rsidR="00F1215C" w:rsidRPr="001C0357" w:rsidRDefault="00F1215C" w:rsidP="00CA0F29">
            <w:pPr>
              <w:spacing w:before="60" w:after="60"/>
              <w:ind w:firstLine="0"/>
              <w:jc w:val="center"/>
              <w:rPr>
                <w:rFonts w:eastAsia="Times New Roman" w:cs="Times New Roman"/>
                <w:noProof/>
                <w:color w:val="000000"/>
                <w:sz w:val="20"/>
                <w:szCs w:val="20"/>
                <w:lang w:eastAsia="lv-LV"/>
              </w:rPr>
            </w:pPr>
            <w:r w:rsidRPr="001C0357">
              <w:rPr>
                <w:rFonts w:cs="Times New Roman"/>
                <w:noProof/>
                <w:color w:val="000000" w:themeColor="text1"/>
                <w:sz w:val="20"/>
                <w:szCs w:val="20"/>
              </w:rPr>
              <w:t>-2,1</w:t>
            </w:r>
          </w:p>
        </w:tc>
        <w:tc>
          <w:tcPr>
            <w:tcW w:w="927" w:type="dxa"/>
            <w:vAlign w:val="center"/>
          </w:tcPr>
          <w:p w14:paraId="048930FE" w14:textId="77777777" w:rsidR="00F1215C" w:rsidRPr="001C0357" w:rsidRDefault="00F1215C" w:rsidP="00CA0F29">
            <w:pPr>
              <w:spacing w:before="60" w:after="60"/>
              <w:ind w:firstLine="0"/>
              <w:jc w:val="center"/>
              <w:rPr>
                <w:rFonts w:eastAsia="Times New Roman" w:cs="Times New Roman"/>
                <w:noProof/>
                <w:color w:val="000000"/>
                <w:sz w:val="20"/>
                <w:szCs w:val="20"/>
                <w:lang w:eastAsia="lv-LV"/>
              </w:rPr>
            </w:pPr>
            <w:r w:rsidRPr="001C0357">
              <w:rPr>
                <w:rFonts w:cs="Times New Roman"/>
                <w:noProof/>
                <w:color w:val="000000" w:themeColor="text1"/>
                <w:sz w:val="20"/>
                <w:szCs w:val="20"/>
              </w:rPr>
              <w:t>-3,0</w:t>
            </w:r>
          </w:p>
        </w:tc>
      </w:tr>
      <w:tr w:rsidR="00F1215C" w:rsidRPr="001C0357" w14:paraId="272F5114" w14:textId="77777777" w:rsidTr="00CA0F29">
        <w:trPr>
          <w:trHeight w:val="20"/>
          <w:jc w:val="center"/>
        </w:trPr>
        <w:tc>
          <w:tcPr>
            <w:tcW w:w="3346" w:type="dxa"/>
            <w:vAlign w:val="center"/>
          </w:tcPr>
          <w:p w14:paraId="2C65AD6D" w14:textId="4208EB83" w:rsidR="00F1215C" w:rsidRPr="001C0357" w:rsidRDefault="00812A3D" w:rsidP="00CA0F29">
            <w:pPr>
              <w:spacing w:before="60" w:after="60"/>
              <w:ind w:firstLine="0"/>
              <w:jc w:val="left"/>
              <w:rPr>
                <w:rFonts w:eastAsia="Times New Roman" w:cs="Times New Roman"/>
                <w:noProof/>
                <w:color w:val="000000"/>
                <w:sz w:val="18"/>
                <w:szCs w:val="18"/>
                <w:lang w:eastAsia="lv-LV"/>
              </w:rPr>
            </w:pPr>
            <w:r w:rsidRPr="001C0357">
              <w:rPr>
                <w:rFonts w:eastAsia="Times New Roman" w:cs="Times New Roman"/>
                <w:noProof/>
                <w:color w:val="000000"/>
                <w:sz w:val="18"/>
                <w:szCs w:val="18"/>
                <w:lang w:eastAsia="lv-LV"/>
              </w:rPr>
              <w:t>V</w:t>
            </w:r>
            <w:r w:rsidR="00F1215C" w:rsidRPr="001C0357">
              <w:rPr>
                <w:rFonts w:eastAsia="Times New Roman" w:cs="Times New Roman"/>
                <w:noProof/>
                <w:color w:val="000000"/>
                <w:sz w:val="18"/>
                <w:szCs w:val="18"/>
                <w:lang w:eastAsia="lv-LV"/>
              </w:rPr>
              <w:t>ispārējās valdības budžeta strukturālās bilances mērķis saskaņā ar visiem fiskālajiem nosacījumiem, % no IKP</w:t>
            </w:r>
          </w:p>
        </w:tc>
        <w:tc>
          <w:tcPr>
            <w:tcW w:w="1443" w:type="dxa"/>
            <w:noWrap/>
            <w:vAlign w:val="center"/>
            <w:hideMark/>
          </w:tcPr>
          <w:p w14:paraId="53BAF34E" w14:textId="77777777" w:rsidR="00F1215C" w:rsidRPr="001C0357" w:rsidRDefault="00F1215C" w:rsidP="00CA0F29">
            <w:pPr>
              <w:spacing w:before="60" w:after="60"/>
              <w:ind w:firstLine="0"/>
              <w:jc w:val="center"/>
              <w:rPr>
                <w:rFonts w:eastAsia="Times New Roman" w:cs="Times New Roman"/>
                <w:noProof/>
                <w:color w:val="000000"/>
                <w:sz w:val="20"/>
                <w:szCs w:val="20"/>
                <w:lang w:eastAsia="lv-LV"/>
              </w:rPr>
            </w:pPr>
            <w:r w:rsidRPr="001C0357">
              <w:rPr>
                <w:rFonts w:eastAsia="Times New Roman" w:cs="Times New Roman"/>
                <w:noProof/>
                <w:color w:val="000000"/>
                <w:sz w:val="20"/>
                <w:szCs w:val="20"/>
                <w:lang w:eastAsia="lv-LV"/>
              </w:rPr>
              <w:t>(2)</w:t>
            </w:r>
          </w:p>
        </w:tc>
        <w:tc>
          <w:tcPr>
            <w:tcW w:w="1109" w:type="dxa"/>
            <w:noWrap/>
            <w:vAlign w:val="center"/>
          </w:tcPr>
          <w:p w14:paraId="4614E6D4" w14:textId="77777777" w:rsidR="00F1215C" w:rsidRPr="001C0357" w:rsidRDefault="00F1215C" w:rsidP="00CA0F29">
            <w:pPr>
              <w:spacing w:before="60" w:after="60"/>
              <w:ind w:firstLine="0"/>
              <w:jc w:val="center"/>
              <w:rPr>
                <w:rFonts w:eastAsia="Times New Roman" w:cs="Times New Roman"/>
                <w:noProof/>
                <w:color w:val="000000"/>
                <w:sz w:val="20"/>
                <w:szCs w:val="20"/>
                <w:lang w:eastAsia="lv-LV"/>
              </w:rPr>
            </w:pPr>
            <w:r w:rsidRPr="001C0357">
              <w:rPr>
                <w:rFonts w:eastAsia="Times New Roman" w:cs="Times New Roman"/>
                <w:noProof/>
                <w:color w:val="000000"/>
                <w:sz w:val="20"/>
                <w:szCs w:val="20"/>
                <w:lang w:eastAsia="lv-LV"/>
              </w:rPr>
              <w:t>-1,245</w:t>
            </w:r>
          </w:p>
        </w:tc>
        <w:tc>
          <w:tcPr>
            <w:tcW w:w="1275" w:type="dxa"/>
            <w:noWrap/>
            <w:vAlign w:val="center"/>
          </w:tcPr>
          <w:p w14:paraId="2AE837A5" w14:textId="77777777" w:rsidR="00F1215C" w:rsidRPr="001C0357" w:rsidRDefault="00F1215C" w:rsidP="00CA0F29">
            <w:pPr>
              <w:spacing w:before="60" w:after="60"/>
              <w:ind w:firstLine="0"/>
              <w:jc w:val="center"/>
              <w:rPr>
                <w:rFonts w:eastAsia="Times New Roman" w:cs="Times New Roman"/>
                <w:noProof/>
                <w:color w:val="000000"/>
                <w:sz w:val="20"/>
                <w:szCs w:val="20"/>
                <w:lang w:eastAsia="lv-LV"/>
              </w:rPr>
            </w:pPr>
            <w:r w:rsidRPr="001C0357">
              <w:rPr>
                <w:rFonts w:eastAsia="Times New Roman" w:cs="Times New Roman"/>
                <w:noProof/>
                <w:color w:val="000000"/>
                <w:sz w:val="20"/>
                <w:szCs w:val="20"/>
                <w:lang w:eastAsia="lv-LV"/>
              </w:rPr>
              <w:t>-1,971</w:t>
            </w:r>
          </w:p>
        </w:tc>
        <w:tc>
          <w:tcPr>
            <w:tcW w:w="961" w:type="dxa"/>
            <w:vAlign w:val="center"/>
          </w:tcPr>
          <w:p w14:paraId="29AB8C9C" w14:textId="77777777" w:rsidR="00F1215C" w:rsidRPr="001C0357" w:rsidRDefault="00F1215C" w:rsidP="00CA0F29">
            <w:pPr>
              <w:spacing w:before="60" w:after="60"/>
              <w:ind w:firstLine="0"/>
              <w:jc w:val="center"/>
              <w:rPr>
                <w:rFonts w:eastAsia="Times New Roman" w:cs="Times New Roman"/>
                <w:noProof/>
                <w:color w:val="000000"/>
                <w:sz w:val="20"/>
                <w:szCs w:val="20"/>
                <w:lang w:eastAsia="lv-LV"/>
              </w:rPr>
            </w:pPr>
            <w:r w:rsidRPr="001C0357">
              <w:rPr>
                <w:rFonts w:eastAsia="Times New Roman" w:cs="Times New Roman"/>
                <w:noProof/>
                <w:color w:val="000000"/>
                <w:sz w:val="20"/>
                <w:szCs w:val="20"/>
                <w:lang w:eastAsia="lv-LV"/>
              </w:rPr>
              <w:t>-1,866</w:t>
            </w:r>
          </w:p>
        </w:tc>
        <w:tc>
          <w:tcPr>
            <w:tcW w:w="927" w:type="dxa"/>
            <w:vAlign w:val="center"/>
          </w:tcPr>
          <w:p w14:paraId="353E0414" w14:textId="77777777" w:rsidR="00F1215C" w:rsidRPr="001C0357" w:rsidRDefault="00F1215C" w:rsidP="00CA0F29">
            <w:pPr>
              <w:spacing w:before="60" w:after="60"/>
              <w:ind w:firstLine="0"/>
              <w:jc w:val="center"/>
              <w:rPr>
                <w:rFonts w:eastAsia="Times New Roman" w:cs="Times New Roman"/>
                <w:noProof/>
                <w:color w:val="000000"/>
                <w:sz w:val="20"/>
                <w:szCs w:val="20"/>
                <w:lang w:eastAsia="lv-LV"/>
              </w:rPr>
            </w:pPr>
            <w:r w:rsidRPr="001C0357">
              <w:rPr>
                <w:rFonts w:eastAsia="Times New Roman" w:cs="Times New Roman"/>
                <w:noProof/>
                <w:color w:val="000000"/>
                <w:sz w:val="20"/>
                <w:szCs w:val="20"/>
                <w:lang w:eastAsia="lv-LV"/>
              </w:rPr>
              <w:t>-2,429</w:t>
            </w:r>
          </w:p>
        </w:tc>
      </w:tr>
      <w:tr w:rsidR="00F1215C" w:rsidRPr="001C0357" w14:paraId="145BA28C" w14:textId="77777777" w:rsidTr="00CA0F29">
        <w:trPr>
          <w:trHeight w:val="20"/>
          <w:jc w:val="center"/>
        </w:trPr>
        <w:tc>
          <w:tcPr>
            <w:tcW w:w="3346" w:type="dxa"/>
            <w:vAlign w:val="center"/>
          </w:tcPr>
          <w:p w14:paraId="5D462FA0" w14:textId="088F4376" w:rsidR="00F1215C" w:rsidRPr="001C0357" w:rsidRDefault="00812A3D" w:rsidP="00CA0F29">
            <w:pPr>
              <w:spacing w:before="60" w:after="60"/>
              <w:ind w:firstLine="0"/>
              <w:jc w:val="left"/>
              <w:rPr>
                <w:rFonts w:eastAsia="Times New Roman" w:cs="Times New Roman"/>
                <w:noProof/>
                <w:color w:val="000000"/>
                <w:sz w:val="18"/>
                <w:szCs w:val="18"/>
                <w:lang w:eastAsia="lv-LV"/>
              </w:rPr>
            </w:pPr>
            <w:r w:rsidRPr="001C0357">
              <w:rPr>
                <w:rFonts w:eastAsia="Times New Roman" w:cs="Times New Roman"/>
                <w:noProof/>
                <w:color w:val="000000"/>
                <w:sz w:val="18"/>
                <w:szCs w:val="18"/>
                <w:lang w:eastAsia="lv-LV"/>
              </w:rPr>
              <w:t>F</w:t>
            </w:r>
            <w:r w:rsidR="00F1215C" w:rsidRPr="001C0357">
              <w:rPr>
                <w:rFonts w:eastAsia="Times New Roman" w:cs="Times New Roman"/>
                <w:noProof/>
                <w:color w:val="000000"/>
                <w:sz w:val="18"/>
                <w:szCs w:val="18"/>
                <w:lang w:eastAsia="lv-LV"/>
              </w:rPr>
              <w:t>iskālā nodrošinājuma rezerve, % no IKP</w:t>
            </w:r>
          </w:p>
        </w:tc>
        <w:tc>
          <w:tcPr>
            <w:tcW w:w="1443" w:type="dxa"/>
            <w:noWrap/>
            <w:vAlign w:val="center"/>
            <w:hideMark/>
          </w:tcPr>
          <w:p w14:paraId="689DF247" w14:textId="77777777" w:rsidR="00F1215C" w:rsidRPr="001C0357" w:rsidRDefault="00F1215C" w:rsidP="00CA0F29">
            <w:pPr>
              <w:spacing w:before="60" w:after="60"/>
              <w:ind w:firstLine="0"/>
              <w:jc w:val="center"/>
              <w:rPr>
                <w:rFonts w:eastAsia="Times New Roman" w:cs="Times New Roman"/>
                <w:noProof/>
                <w:color w:val="000000"/>
                <w:sz w:val="20"/>
                <w:szCs w:val="20"/>
                <w:lang w:eastAsia="lv-LV"/>
              </w:rPr>
            </w:pPr>
            <w:r w:rsidRPr="001C0357">
              <w:rPr>
                <w:rFonts w:eastAsia="Times New Roman" w:cs="Times New Roman"/>
                <w:noProof/>
                <w:color w:val="000000"/>
                <w:sz w:val="20"/>
                <w:szCs w:val="20"/>
                <w:lang w:eastAsia="lv-LV"/>
              </w:rPr>
              <w:t>(3)</w:t>
            </w:r>
          </w:p>
        </w:tc>
        <w:tc>
          <w:tcPr>
            <w:tcW w:w="1109" w:type="dxa"/>
            <w:noWrap/>
            <w:vAlign w:val="center"/>
          </w:tcPr>
          <w:p w14:paraId="0E646FE1" w14:textId="77777777" w:rsidR="00F1215C" w:rsidRPr="001C0357" w:rsidRDefault="00F1215C" w:rsidP="00CA0F29">
            <w:pPr>
              <w:spacing w:before="60" w:after="60"/>
              <w:ind w:firstLine="0"/>
              <w:jc w:val="center"/>
              <w:rPr>
                <w:rFonts w:eastAsia="Times New Roman" w:cs="Times New Roman"/>
                <w:noProof/>
                <w:color w:val="000000"/>
                <w:sz w:val="20"/>
                <w:szCs w:val="20"/>
                <w:lang w:eastAsia="lv-LV"/>
              </w:rPr>
            </w:pPr>
            <w:r w:rsidRPr="001C0357">
              <w:rPr>
                <w:rFonts w:eastAsia="Times New Roman" w:cs="Times New Roman"/>
                <w:noProof/>
                <w:color w:val="000000"/>
                <w:sz w:val="20"/>
                <w:szCs w:val="20"/>
                <w:lang w:eastAsia="lv-LV"/>
              </w:rPr>
              <w:t>0,1</w:t>
            </w:r>
          </w:p>
        </w:tc>
        <w:tc>
          <w:tcPr>
            <w:tcW w:w="1275" w:type="dxa"/>
            <w:noWrap/>
            <w:vAlign w:val="center"/>
          </w:tcPr>
          <w:p w14:paraId="3E24B54C" w14:textId="77777777" w:rsidR="00F1215C" w:rsidRPr="001C0357" w:rsidRDefault="00F1215C" w:rsidP="00CA0F29">
            <w:pPr>
              <w:spacing w:before="60" w:after="60"/>
              <w:ind w:firstLine="0"/>
              <w:jc w:val="center"/>
              <w:rPr>
                <w:rFonts w:eastAsia="Times New Roman" w:cs="Times New Roman"/>
                <w:noProof/>
                <w:color w:val="000000"/>
                <w:sz w:val="20"/>
                <w:szCs w:val="20"/>
                <w:lang w:eastAsia="lv-LV"/>
              </w:rPr>
            </w:pPr>
            <w:r w:rsidRPr="001C0357">
              <w:rPr>
                <w:rFonts w:eastAsia="Times New Roman" w:cs="Times New Roman"/>
                <w:noProof/>
                <w:color w:val="000000"/>
                <w:sz w:val="20"/>
                <w:szCs w:val="20"/>
                <w:lang w:eastAsia="lv-LV"/>
              </w:rPr>
              <w:t>0,1</w:t>
            </w:r>
          </w:p>
        </w:tc>
        <w:tc>
          <w:tcPr>
            <w:tcW w:w="961" w:type="dxa"/>
            <w:vAlign w:val="center"/>
          </w:tcPr>
          <w:p w14:paraId="214C050B" w14:textId="77777777" w:rsidR="00F1215C" w:rsidRPr="001C0357" w:rsidRDefault="00F1215C" w:rsidP="00CA0F29">
            <w:pPr>
              <w:spacing w:before="60" w:after="60"/>
              <w:ind w:firstLine="0"/>
              <w:jc w:val="center"/>
              <w:rPr>
                <w:rFonts w:eastAsia="Times New Roman" w:cs="Times New Roman"/>
                <w:noProof/>
                <w:color w:val="000000"/>
                <w:sz w:val="20"/>
                <w:szCs w:val="20"/>
                <w:lang w:eastAsia="lv-LV"/>
              </w:rPr>
            </w:pPr>
            <w:r w:rsidRPr="001C0357">
              <w:rPr>
                <w:rFonts w:eastAsia="Times New Roman" w:cs="Times New Roman"/>
                <w:noProof/>
                <w:color w:val="000000"/>
                <w:sz w:val="20"/>
                <w:szCs w:val="20"/>
                <w:lang w:eastAsia="lv-LV"/>
              </w:rPr>
              <w:t>0,1</w:t>
            </w:r>
          </w:p>
        </w:tc>
        <w:tc>
          <w:tcPr>
            <w:tcW w:w="927" w:type="dxa"/>
          </w:tcPr>
          <w:p w14:paraId="7C6A4811" w14:textId="77777777" w:rsidR="00F1215C" w:rsidRPr="001C0357" w:rsidRDefault="00F1215C" w:rsidP="00CA0F29">
            <w:pPr>
              <w:spacing w:before="60" w:after="60"/>
              <w:ind w:firstLine="0"/>
              <w:jc w:val="center"/>
              <w:rPr>
                <w:rFonts w:eastAsia="Times New Roman" w:cs="Times New Roman"/>
                <w:noProof/>
                <w:color w:val="000000"/>
                <w:sz w:val="20"/>
                <w:szCs w:val="20"/>
                <w:lang w:eastAsia="lv-LV"/>
              </w:rPr>
            </w:pPr>
            <w:r w:rsidRPr="001C0357">
              <w:rPr>
                <w:rFonts w:eastAsia="Times New Roman" w:cs="Times New Roman"/>
                <w:noProof/>
                <w:color w:val="000000"/>
                <w:sz w:val="20"/>
                <w:szCs w:val="20"/>
                <w:lang w:eastAsia="lv-LV"/>
              </w:rPr>
              <w:t>0,1</w:t>
            </w:r>
          </w:p>
        </w:tc>
      </w:tr>
      <w:tr w:rsidR="00F1215C" w:rsidRPr="001C0357" w14:paraId="2FB49EEA" w14:textId="77777777" w:rsidTr="00CA0F29">
        <w:trPr>
          <w:trHeight w:val="20"/>
          <w:jc w:val="center"/>
        </w:trPr>
        <w:tc>
          <w:tcPr>
            <w:tcW w:w="3346" w:type="dxa"/>
            <w:vAlign w:val="center"/>
          </w:tcPr>
          <w:p w14:paraId="1A779DC4" w14:textId="77777777" w:rsidR="00F1215C" w:rsidRPr="001C0357" w:rsidRDefault="00F1215C" w:rsidP="00CA0F29">
            <w:pPr>
              <w:spacing w:before="60" w:after="60"/>
              <w:ind w:firstLine="0"/>
              <w:jc w:val="left"/>
              <w:rPr>
                <w:rFonts w:eastAsia="Times New Roman" w:cs="Times New Roman"/>
                <w:noProof/>
                <w:color w:val="000000"/>
                <w:sz w:val="18"/>
                <w:szCs w:val="18"/>
                <w:lang w:eastAsia="lv-LV"/>
              </w:rPr>
            </w:pPr>
            <w:r w:rsidRPr="001C0357">
              <w:rPr>
                <w:rFonts w:eastAsia="Times New Roman" w:cs="Times New Roman"/>
                <w:noProof/>
                <w:color w:val="000000"/>
                <w:sz w:val="18"/>
                <w:szCs w:val="18"/>
                <w:lang w:eastAsia="lv-LV"/>
              </w:rPr>
              <w:t xml:space="preserve">IKP prognoze, milj. </w:t>
            </w:r>
            <w:r w:rsidRPr="001C0357">
              <w:rPr>
                <w:rFonts w:eastAsia="Times New Roman" w:cs="Times New Roman"/>
                <w:i/>
                <w:iCs/>
                <w:noProof/>
                <w:color w:val="000000"/>
                <w:sz w:val="18"/>
                <w:szCs w:val="18"/>
                <w:lang w:eastAsia="lv-LV"/>
              </w:rPr>
              <w:t>euro</w:t>
            </w:r>
          </w:p>
        </w:tc>
        <w:tc>
          <w:tcPr>
            <w:tcW w:w="1443" w:type="dxa"/>
            <w:noWrap/>
            <w:vAlign w:val="center"/>
          </w:tcPr>
          <w:p w14:paraId="79EC37EC" w14:textId="77777777" w:rsidR="00F1215C" w:rsidRPr="001C0357" w:rsidRDefault="00F1215C" w:rsidP="00CA0F29">
            <w:pPr>
              <w:spacing w:before="60" w:after="60"/>
              <w:ind w:firstLine="0"/>
              <w:jc w:val="center"/>
              <w:rPr>
                <w:rFonts w:eastAsia="Times New Roman" w:cs="Times New Roman"/>
                <w:noProof/>
                <w:color w:val="000000"/>
                <w:sz w:val="20"/>
                <w:szCs w:val="20"/>
                <w:lang w:eastAsia="lv-LV"/>
              </w:rPr>
            </w:pPr>
            <w:r w:rsidRPr="001C0357">
              <w:rPr>
                <w:rFonts w:eastAsia="Times New Roman" w:cs="Times New Roman"/>
                <w:noProof/>
                <w:color w:val="000000"/>
                <w:sz w:val="20"/>
                <w:szCs w:val="20"/>
                <w:lang w:eastAsia="lv-LV"/>
              </w:rPr>
              <w:t>(4)</w:t>
            </w:r>
          </w:p>
        </w:tc>
        <w:tc>
          <w:tcPr>
            <w:tcW w:w="1109" w:type="dxa"/>
            <w:noWrap/>
            <w:vAlign w:val="center"/>
          </w:tcPr>
          <w:p w14:paraId="762A6320" w14:textId="77777777" w:rsidR="00F1215C" w:rsidRPr="001C0357" w:rsidRDefault="00F1215C" w:rsidP="00CA0F29">
            <w:pPr>
              <w:spacing w:before="60" w:after="60"/>
              <w:ind w:firstLine="0"/>
              <w:jc w:val="center"/>
              <w:rPr>
                <w:rFonts w:eastAsia="Times New Roman" w:cs="Times New Roman"/>
                <w:noProof/>
                <w:color w:val="000000"/>
                <w:sz w:val="20"/>
                <w:szCs w:val="20"/>
                <w:lang w:eastAsia="lv-LV"/>
              </w:rPr>
            </w:pPr>
            <w:r w:rsidRPr="001C0357">
              <w:rPr>
                <w:rFonts w:eastAsia="Times New Roman" w:cs="Times New Roman"/>
                <w:noProof/>
                <w:color w:val="000000"/>
                <w:sz w:val="20"/>
                <w:szCs w:val="20"/>
                <w:lang w:eastAsia="lv-LV"/>
              </w:rPr>
              <w:t>43 953</w:t>
            </w:r>
          </w:p>
        </w:tc>
        <w:tc>
          <w:tcPr>
            <w:tcW w:w="1275" w:type="dxa"/>
            <w:noWrap/>
            <w:vAlign w:val="center"/>
          </w:tcPr>
          <w:p w14:paraId="5329AF58" w14:textId="77777777" w:rsidR="00F1215C" w:rsidRPr="001C0357" w:rsidRDefault="00F1215C" w:rsidP="00CA0F29">
            <w:pPr>
              <w:spacing w:before="60" w:after="60"/>
              <w:ind w:firstLine="0"/>
              <w:jc w:val="center"/>
              <w:rPr>
                <w:rFonts w:eastAsia="Times New Roman" w:cs="Times New Roman"/>
                <w:noProof/>
                <w:color w:val="000000"/>
                <w:sz w:val="20"/>
                <w:szCs w:val="20"/>
                <w:lang w:eastAsia="lv-LV"/>
              </w:rPr>
            </w:pPr>
            <w:r w:rsidRPr="001C0357">
              <w:rPr>
                <w:rFonts w:eastAsia="Times New Roman" w:cs="Times New Roman"/>
                <w:noProof/>
                <w:color w:val="000000"/>
                <w:sz w:val="20"/>
                <w:szCs w:val="20"/>
                <w:lang w:eastAsia="lv-LV"/>
              </w:rPr>
              <w:t>46 026</w:t>
            </w:r>
          </w:p>
        </w:tc>
        <w:tc>
          <w:tcPr>
            <w:tcW w:w="961" w:type="dxa"/>
            <w:vAlign w:val="center"/>
          </w:tcPr>
          <w:p w14:paraId="0138B264" w14:textId="77777777" w:rsidR="00F1215C" w:rsidRPr="001C0357" w:rsidRDefault="00F1215C" w:rsidP="00CA0F29">
            <w:pPr>
              <w:spacing w:before="60" w:after="60"/>
              <w:ind w:firstLine="0"/>
              <w:jc w:val="center"/>
              <w:rPr>
                <w:rFonts w:eastAsia="Times New Roman" w:cs="Times New Roman"/>
                <w:noProof/>
                <w:color w:val="000000"/>
                <w:sz w:val="20"/>
                <w:szCs w:val="20"/>
                <w:lang w:eastAsia="lv-LV"/>
              </w:rPr>
            </w:pPr>
            <w:r w:rsidRPr="001C0357">
              <w:rPr>
                <w:rFonts w:eastAsia="Times New Roman" w:cs="Times New Roman"/>
                <w:noProof/>
                <w:color w:val="000000"/>
                <w:sz w:val="20"/>
                <w:szCs w:val="20"/>
                <w:lang w:eastAsia="lv-LV"/>
              </w:rPr>
              <w:t>48 154</w:t>
            </w:r>
          </w:p>
        </w:tc>
        <w:tc>
          <w:tcPr>
            <w:tcW w:w="927" w:type="dxa"/>
          </w:tcPr>
          <w:p w14:paraId="77205D9F" w14:textId="77777777" w:rsidR="00F1215C" w:rsidRPr="001C0357" w:rsidRDefault="00F1215C" w:rsidP="00CA0F29">
            <w:pPr>
              <w:spacing w:before="60" w:after="60"/>
              <w:ind w:firstLine="0"/>
              <w:jc w:val="center"/>
              <w:rPr>
                <w:rFonts w:eastAsia="Times New Roman" w:cs="Times New Roman"/>
                <w:noProof/>
                <w:color w:val="000000"/>
                <w:sz w:val="20"/>
                <w:szCs w:val="20"/>
                <w:lang w:eastAsia="lv-LV"/>
              </w:rPr>
            </w:pPr>
            <w:r w:rsidRPr="001C0357">
              <w:rPr>
                <w:rFonts w:eastAsia="Times New Roman" w:cs="Times New Roman"/>
                <w:noProof/>
                <w:color w:val="000000"/>
                <w:sz w:val="20"/>
                <w:szCs w:val="20"/>
                <w:lang w:eastAsia="lv-LV"/>
              </w:rPr>
              <w:t>50 398</w:t>
            </w:r>
          </w:p>
        </w:tc>
      </w:tr>
      <w:tr w:rsidR="00F1215C" w:rsidRPr="001C0357" w14:paraId="2FD92EC3" w14:textId="77777777" w:rsidTr="00812A3D">
        <w:trPr>
          <w:trHeight w:val="607"/>
          <w:jc w:val="center"/>
        </w:trPr>
        <w:tc>
          <w:tcPr>
            <w:tcW w:w="3346" w:type="dxa"/>
            <w:shd w:val="clear" w:color="auto" w:fill="EBE2D1"/>
            <w:vAlign w:val="center"/>
          </w:tcPr>
          <w:p w14:paraId="3F4149A7" w14:textId="702C8773" w:rsidR="00F1215C" w:rsidRPr="001C0357" w:rsidRDefault="00812A3D" w:rsidP="00CA0F29">
            <w:pPr>
              <w:spacing w:before="60" w:after="60"/>
              <w:ind w:firstLine="0"/>
              <w:jc w:val="left"/>
              <w:rPr>
                <w:rFonts w:eastAsia="Times New Roman" w:cs="Times New Roman"/>
                <w:b/>
                <w:bCs/>
                <w:noProof/>
                <w:color w:val="000000"/>
                <w:sz w:val="18"/>
                <w:szCs w:val="18"/>
                <w:lang w:eastAsia="lv-LV"/>
              </w:rPr>
            </w:pPr>
            <w:r w:rsidRPr="001C0357">
              <w:rPr>
                <w:rFonts w:eastAsia="Times New Roman" w:cs="Times New Roman"/>
                <w:b/>
                <w:bCs/>
                <w:noProof/>
                <w:color w:val="000000"/>
                <w:sz w:val="18"/>
                <w:szCs w:val="18"/>
                <w:lang w:eastAsia="lv-LV"/>
              </w:rPr>
              <w:t>F</w:t>
            </w:r>
            <w:r w:rsidR="00F1215C" w:rsidRPr="001C0357">
              <w:rPr>
                <w:rFonts w:eastAsia="Times New Roman" w:cs="Times New Roman"/>
                <w:b/>
                <w:bCs/>
                <w:noProof/>
                <w:color w:val="000000"/>
                <w:sz w:val="18"/>
                <w:szCs w:val="18"/>
                <w:lang w:eastAsia="lv-LV"/>
              </w:rPr>
              <w:t>iskālā telpa, % no IKP</w:t>
            </w:r>
          </w:p>
        </w:tc>
        <w:tc>
          <w:tcPr>
            <w:tcW w:w="1443" w:type="dxa"/>
            <w:shd w:val="clear" w:color="auto" w:fill="EBE2D1"/>
            <w:noWrap/>
            <w:vAlign w:val="center"/>
          </w:tcPr>
          <w:p w14:paraId="46B372EB" w14:textId="77777777" w:rsidR="00F1215C" w:rsidRPr="001C0357" w:rsidRDefault="00F1215C" w:rsidP="00CA0F29">
            <w:pPr>
              <w:spacing w:before="60" w:after="60"/>
              <w:ind w:firstLine="0"/>
              <w:jc w:val="center"/>
              <w:rPr>
                <w:rFonts w:eastAsia="Times New Roman" w:cs="Times New Roman"/>
                <w:b/>
                <w:bCs/>
                <w:noProof/>
                <w:color w:val="000000"/>
                <w:sz w:val="20"/>
                <w:szCs w:val="20"/>
                <w:lang w:eastAsia="lv-LV"/>
              </w:rPr>
            </w:pPr>
            <w:r w:rsidRPr="001C0357">
              <w:rPr>
                <w:rFonts w:eastAsia="Times New Roman" w:cs="Times New Roman"/>
                <w:b/>
                <w:bCs/>
                <w:noProof/>
                <w:color w:val="000000"/>
                <w:sz w:val="20"/>
                <w:szCs w:val="20"/>
                <w:lang w:eastAsia="lv-LV"/>
              </w:rPr>
              <w:t>(5)=(1)-(2)-(3)</w:t>
            </w:r>
          </w:p>
        </w:tc>
        <w:tc>
          <w:tcPr>
            <w:tcW w:w="1109" w:type="dxa"/>
            <w:shd w:val="clear" w:color="auto" w:fill="EBE2D1"/>
            <w:noWrap/>
            <w:vAlign w:val="center"/>
          </w:tcPr>
          <w:p w14:paraId="6D4C86BF" w14:textId="77777777" w:rsidR="00F1215C" w:rsidRPr="001C0357" w:rsidRDefault="00F1215C" w:rsidP="00CA0F29">
            <w:pPr>
              <w:spacing w:before="60" w:after="60"/>
              <w:ind w:firstLine="0"/>
              <w:jc w:val="center"/>
              <w:rPr>
                <w:rFonts w:eastAsia="Times New Roman" w:cs="Times New Roman"/>
                <w:b/>
                <w:bCs/>
                <w:noProof/>
                <w:color w:val="000000"/>
                <w:sz w:val="20"/>
                <w:szCs w:val="20"/>
                <w:lang w:eastAsia="lv-LV"/>
              </w:rPr>
            </w:pPr>
            <w:r w:rsidRPr="001C0357">
              <w:rPr>
                <w:rFonts w:eastAsia="Times New Roman" w:cs="Times New Roman"/>
                <w:b/>
                <w:bCs/>
                <w:noProof/>
                <w:color w:val="00B050"/>
                <w:sz w:val="20"/>
                <w:szCs w:val="20"/>
                <w:lang w:eastAsia="lv-LV"/>
              </w:rPr>
              <w:t>0,09</w:t>
            </w:r>
          </w:p>
        </w:tc>
        <w:tc>
          <w:tcPr>
            <w:tcW w:w="1275" w:type="dxa"/>
            <w:shd w:val="clear" w:color="auto" w:fill="EBE2D1"/>
            <w:noWrap/>
            <w:vAlign w:val="center"/>
          </w:tcPr>
          <w:p w14:paraId="2BDA4460" w14:textId="77777777" w:rsidR="00F1215C" w:rsidRPr="001C0357" w:rsidRDefault="00F1215C" w:rsidP="00CA0F29">
            <w:pPr>
              <w:spacing w:before="60" w:after="60"/>
              <w:ind w:firstLine="0"/>
              <w:jc w:val="center"/>
              <w:rPr>
                <w:rFonts w:eastAsia="Times New Roman" w:cs="Times New Roman"/>
                <w:b/>
                <w:bCs/>
                <w:noProof/>
                <w:color w:val="EE0000"/>
                <w:sz w:val="20"/>
                <w:szCs w:val="20"/>
                <w:lang w:eastAsia="lv-LV"/>
              </w:rPr>
            </w:pPr>
            <w:r w:rsidRPr="001C0357">
              <w:rPr>
                <w:rFonts w:eastAsia="Times New Roman" w:cs="Times New Roman"/>
                <w:b/>
                <w:bCs/>
                <w:noProof/>
                <w:color w:val="EE0000"/>
                <w:sz w:val="20"/>
                <w:szCs w:val="20"/>
                <w:lang w:eastAsia="lv-LV"/>
              </w:rPr>
              <w:t>-0,30</w:t>
            </w:r>
          </w:p>
        </w:tc>
        <w:tc>
          <w:tcPr>
            <w:tcW w:w="961" w:type="dxa"/>
            <w:shd w:val="clear" w:color="auto" w:fill="EBE2D1"/>
            <w:vAlign w:val="center"/>
          </w:tcPr>
          <w:p w14:paraId="6F7DDB6F" w14:textId="77777777" w:rsidR="00F1215C" w:rsidRPr="001C0357" w:rsidRDefault="00F1215C" w:rsidP="00CA0F29">
            <w:pPr>
              <w:spacing w:before="60" w:after="60"/>
              <w:ind w:firstLine="0"/>
              <w:jc w:val="center"/>
              <w:rPr>
                <w:rFonts w:eastAsia="Times New Roman" w:cs="Times New Roman"/>
                <w:b/>
                <w:bCs/>
                <w:noProof/>
                <w:color w:val="EE0000"/>
                <w:sz w:val="20"/>
                <w:szCs w:val="20"/>
                <w:lang w:eastAsia="lv-LV"/>
              </w:rPr>
            </w:pPr>
            <w:r w:rsidRPr="001C0357">
              <w:rPr>
                <w:rFonts w:eastAsia="Times New Roman" w:cs="Times New Roman"/>
                <w:b/>
                <w:bCs/>
                <w:noProof/>
                <w:color w:val="EE0000"/>
                <w:sz w:val="20"/>
                <w:szCs w:val="20"/>
                <w:lang w:eastAsia="lv-LV"/>
              </w:rPr>
              <w:t>-0,30</w:t>
            </w:r>
          </w:p>
        </w:tc>
        <w:tc>
          <w:tcPr>
            <w:tcW w:w="927" w:type="dxa"/>
            <w:shd w:val="clear" w:color="auto" w:fill="EBE2D1"/>
            <w:vAlign w:val="center"/>
          </w:tcPr>
          <w:p w14:paraId="4A5812E1" w14:textId="77777777" w:rsidR="00F1215C" w:rsidRPr="001C0357" w:rsidRDefault="00F1215C" w:rsidP="00CA0F29">
            <w:pPr>
              <w:spacing w:before="60" w:after="60"/>
              <w:ind w:firstLine="0"/>
              <w:jc w:val="center"/>
              <w:rPr>
                <w:rFonts w:eastAsia="Times New Roman" w:cs="Times New Roman"/>
                <w:b/>
                <w:bCs/>
                <w:noProof/>
                <w:color w:val="EE0000"/>
                <w:sz w:val="20"/>
                <w:szCs w:val="20"/>
                <w:lang w:eastAsia="lv-LV"/>
              </w:rPr>
            </w:pPr>
            <w:r w:rsidRPr="001C0357">
              <w:rPr>
                <w:rFonts w:eastAsia="Times New Roman" w:cs="Times New Roman"/>
                <w:b/>
                <w:bCs/>
                <w:noProof/>
                <w:color w:val="EE0000"/>
                <w:sz w:val="20"/>
                <w:szCs w:val="20"/>
                <w:lang w:eastAsia="lv-LV"/>
              </w:rPr>
              <w:t>-0,64</w:t>
            </w:r>
          </w:p>
        </w:tc>
      </w:tr>
      <w:tr w:rsidR="00F1215C" w:rsidRPr="001C0357" w14:paraId="53EF08DC" w14:textId="77777777" w:rsidTr="00812A3D">
        <w:trPr>
          <w:trHeight w:val="20"/>
          <w:jc w:val="center"/>
        </w:trPr>
        <w:tc>
          <w:tcPr>
            <w:tcW w:w="3346" w:type="dxa"/>
            <w:shd w:val="clear" w:color="auto" w:fill="EBE2D1"/>
            <w:vAlign w:val="center"/>
          </w:tcPr>
          <w:p w14:paraId="39E3AD55" w14:textId="1D4BE009" w:rsidR="00F1215C" w:rsidRPr="001C0357" w:rsidRDefault="00812A3D" w:rsidP="00CA0F29">
            <w:pPr>
              <w:ind w:firstLine="0"/>
              <w:jc w:val="left"/>
              <w:rPr>
                <w:rFonts w:eastAsia="Times New Roman" w:cs="Times New Roman"/>
                <w:b/>
                <w:bCs/>
                <w:noProof/>
                <w:color w:val="000000"/>
                <w:sz w:val="18"/>
                <w:szCs w:val="18"/>
                <w:lang w:eastAsia="lv-LV"/>
              </w:rPr>
            </w:pPr>
            <w:r w:rsidRPr="001C0357">
              <w:rPr>
                <w:rFonts w:eastAsia="Times New Roman" w:cs="Times New Roman"/>
                <w:b/>
                <w:bCs/>
                <w:noProof/>
                <w:color w:val="000000"/>
                <w:sz w:val="18"/>
                <w:szCs w:val="18"/>
                <w:lang w:eastAsia="lv-LV"/>
              </w:rPr>
              <w:t>F</w:t>
            </w:r>
            <w:r w:rsidR="00F1215C" w:rsidRPr="001C0357">
              <w:rPr>
                <w:rFonts w:eastAsia="Times New Roman" w:cs="Times New Roman"/>
                <w:b/>
                <w:bCs/>
                <w:noProof/>
                <w:color w:val="000000"/>
                <w:sz w:val="18"/>
                <w:szCs w:val="18"/>
                <w:lang w:eastAsia="lv-LV"/>
              </w:rPr>
              <w:t xml:space="preserve">iskālā telpa, milj. </w:t>
            </w:r>
            <w:r w:rsidR="00F1215C" w:rsidRPr="001C0357">
              <w:rPr>
                <w:rFonts w:eastAsia="Times New Roman" w:cs="Times New Roman"/>
                <w:b/>
                <w:bCs/>
                <w:i/>
                <w:iCs/>
                <w:noProof/>
                <w:color w:val="000000"/>
                <w:sz w:val="18"/>
                <w:szCs w:val="18"/>
                <w:lang w:eastAsia="lv-LV"/>
              </w:rPr>
              <w:t>euro</w:t>
            </w:r>
          </w:p>
        </w:tc>
        <w:tc>
          <w:tcPr>
            <w:tcW w:w="1443" w:type="dxa"/>
            <w:shd w:val="clear" w:color="auto" w:fill="EBE2D1"/>
            <w:noWrap/>
            <w:vAlign w:val="center"/>
          </w:tcPr>
          <w:p w14:paraId="6E7D5C16" w14:textId="77777777" w:rsidR="00F1215C" w:rsidRPr="001C0357" w:rsidRDefault="00F1215C" w:rsidP="00CA0F29">
            <w:pPr>
              <w:ind w:firstLine="0"/>
              <w:jc w:val="center"/>
              <w:rPr>
                <w:rFonts w:eastAsia="Times New Roman" w:cs="Times New Roman"/>
                <w:b/>
                <w:bCs/>
                <w:noProof/>
                <w:color w:val="000000"/>
                <w:sz w:val="20"/>
                <w:szCs w:val="20"/>
                <w:lang w:eastAsia="lv-LV"/>
              </w:rPr>
            </w:pPr>
            <w:r w:rsidRPr="001C0357">
              <w:rPr>
                <w:rFonts w:eastAsia="Times New Roman" w:cs="Times New Roman"/>
                <w:b/>
                <w:bCs/>
                <w:noProof/>
                <w:color w:val="000000"/>
                <w:sz w:val="20"/>
                <w:szCs w:val="20"/>
                <w:lang w:eastAsia="lv-LV"/>
              </w:rPr>
              <w:t>(6)=(5)*(4)</w:t>
            </w:r>
          </w:p>
        </w:tc>
        <w:tc>
          <w:tcPr>
            <w:tcW w:w="1109" w:type="dxa"/>
            <w:shd w:val="clear" w:color="auto" w:fill="EBE2D1"/>
            <w:noWrap/>
            <w:vAlign w:val="center"/>
          </w:tcPr>
          <w:p w14:paraId="5A429966" w14:textId="77777777" w:rsidR="00F1215C" w:rsidRPr="001C0357" w:rsidRDefault="00F1215C" w:rsidP="00CA0F29">
            <w:pPr>
              <w:ind w:firstLine="0"/>
              <w:jc w:val="center"/>
              <w:rPr>
                <w:rFonts w:eastAsia="Times New Roman" w:cs="Times New Roman"/>
                <w:b/>
                <w:bCs/>
                <w:noProof/>
                <w:color w:val="000000"/>
                <w:sz w:val="20"/>
                <w:szCs w:val="20"/>
                <w:lang w:eastAsia="lv-LV"/>
              </w:rPr>
            </w:pPr>
            <w:r w:rsidRPr="001C0357">
              <w:rPr>
                <w:rFonts w:eastAsia="Times New Roman" w:cs="Times New Roman"/>
                <w:b/>
                <w:bCs/>
                <w:noProof/>
                <w:color w:val="00B050"/>
                <w:sz w:val="20"/>
                <w:szCs w:val="20"/>
                <w:lang w:eastAsia="lv-LV"/>
              </w:rPr>
              <w:t>39,7</w:t>
            </w:r>
          </w:p>
        </w:tc>
        <w:tc>
          <w:tcPr>
            <w:tcW w:w="1275" w:type="dxa"/>
            <w:shd w:val="clear" w:color="auto" w:fill="EBE2D1"/>
            <w:noWrap/>
            <w:vAlign w:val="center"/>
          </w:tcPr>
          <w:p w14:paraId="4803BCFD" w14:textId="77777777" w:rsidR="00F1215C" w:rsidRPr="001C0357" w:rsidRDefault="00F1215C" w:rsidP="00CA0F29">
            <w:pPr>
              <w:ind w:firstLine="0"/>
              <w:jc w:val="center"/>
              <w:rPr>
                <w:rFonts w:eastAsia="Times New Roman" w:cs="Times New Roman"/>
                <w:b/>
                <w:bCs/>
                <w:noProof/>
                <w:color w:val="000000"/>
                <w:sz w:val="20"/>
                <w:szCs w:val="20"/>
                <w:lang w:eastAsia="lv-LV"/>
              </w:rPr>
            </w:pPr>
            <w:r w:rsidRPr="001C0357">
              <w:rPr>
                <w:rFonts w:eastAsia="Times New Roman" w:cs="Times New Roman"/>
                <w:b/>
                <w:bCs/>
                <w:noProof/>
                <w:color w:val="EE0000"/>
                <w:sz w:val="20"/>
                <w:szCs w:val="20"/>
                <w:lang w:eastAsia="lv-LV"/>
              </w:rPr>
              <w:t>-140,1</w:t>
            </w:r>
          </w:p>
        </w:tc>
        <w:tc>
          <w:tcPr>
            <w:tcW w:w="961" w:type="dxa"/>
            <w:shd w:val="clear" w:color="auto" w:fill="EBE2D1"/>
            <w:vAlign w:val="center"/>
          </w:tcPr>
          <w:p w14:paraId="52761511" w14:textId="77777777" w:rsidR="00F1215C" w:rsidRPr="001C0357" w:rsidRDefault="00F1215C" w:rsidP="00CA0F29">
            <w:pPr>
              <w:ind w:firstLine="0"/>
              <w:jc w:val="center"/>
              <w:rPr>
                <w:rFonts w:eastAsia="Times New Roman" w:cs="Times New Roman"/>
                <w:b/>
                <w:bCs/>
                <w:noProof/>
                <w:color w:val="EE0000"/>
                <w:sz w:val="20"/>
                <w:szCs w:val="20"/>
                <w:lang w:eastAsia="lv-LV"/>
              </w:rPr>
            </w:pPr>
            <w:r w:rsidRPr="001C0357">
              <w:rPr>
                <w:rFonts w:eastAsia="Times New Roman" w:cs="Times New Roman"/>
                <w:b/>
                <w:bCs/>
                <w:noProof/>
                <w:color w:val="EE0000"/>
                <w:sz w:val="20"/>
                <w:szCs w:val="20"/>
                <w:lang w:eastAsia="lv-LV"/>
              </w:rPr>
              <w:t>-144,4</w:t>
            </w:r>
          </w:p>
        </w:tc>
        <w:tc>
          <w:tcPr>
            <w:tcW w:w="927" w:type="dxa"/>
            <w:shd w:val="clear" w:color="auto" w:fill="EBE2D1"/>
            <w:vAlign w:val="center"/>
          </w:tcPr>
          <w:p w14:paraId="1713213E" w14:textId="77777777" w:rsidR="00F1215C" w:rsidRPr="001C0357" w:rsidRDefault="00F1215C" w:rsidP="00CA0F29">
            <w:pPr>
              <w:ind w:firstLine="0"/>
              <w:jc w:val="center"/>
              <w:rPr>
                <w:rFonts w:eastAsia="Times New Roman" w:cs="Times New Roman"/>
                <w:b/>
                <w:bCs/>
                <w:noProof/>
                <w:color w:val="EE0000"/>
                <w:sz w:val="20"/>
                <w:szCs w:val="20"/>
                <w:lang w:eastAsia="lv-LV"/>
              </w:rPr>
            </w:pPr>
            <w:r w:rsidRPr="001C0357">
              <w:rPr>
                <w:rFonts w:eastAsia="Times New Roman" w:cs="Times New Roman"/>
                <w:b/>
                <w:bCs/>
                <w:noProof/>
                <w:color w:val="EE0000"/>
                <w:sz w:val="20"/>
                <w:szCs w:val="20"/>
                <w:lang w:eastAsia="lv-LV"/>
              </w:rPr>
              <w:t>-321,6</w:t>
            </w:r>
          </w:p>
        </w:tc>
      </w:tr>
    </w:tbl>
    <w:p w14:paraId="1433C8C0" w14:textId="01FDEC67" w:rsidR="00F1215C" w:rsidRPr="001C0357" w:rsidRDefault="00F1215C" w:rsidP="00F1215C">
      <w:pPr>
        <w:rPr>
          <w:noProof/>
          <w:szCs w:val="20"/>
        </w:rPr>
      </w:pPr>
      <w:r w:rsidRPr="001C0357">
        <w:rPr>
          <w:noProof/>
          <w:szCs w:val="20"/>
        </w:rPr>
        <w:t xml:space="preserve">2026. gadā fiskālās telpas apjoms ir pozitīvs 39,7 milj. </w:t>
      </w:r>
      <w:r w:rsidRPr="001C0357">
        <w:rPr>
          <w:i/>
          <w:iCs/>
          <w:noProof/>
          <w:szCs w:val="20"/>
        </w:rPr>
        <w:t>euro</w:t>
      </w:r>
      <w:r w:rsidRPr="001C0357">
        <w:rPr>
          <w:noProof/>
          <w:szCs w:val="20"/>
        </w:rPr>
        <w:t xml:space="preserve">, </w:t>
      </w:r>
      <w:r w:rsidR="00E05396">
        <w:rPr>
          <w:noProof/>
          <w:szCs w:val="20"/>
        </w:rPr>
        <w:t xml:space="preserve">bet </w:t>
      </w:r>
      <w:r w:rsidRPr="001C0357">
        <w:rPr>
          <w:noProof/>
          <w:szCs w:val="20"/>
        </w:rPr>
        <w:t xml:space="preserve">negatīvs gan 2027. gadā 140,1 milj. </w:t>
      </w:r>
      <w:r w:rsidRPr="001C0357">
        <w:rPr>
          <w:i/>
          <w:iCs/>
          <w:noProof/>
          <w:szCs w:val="20"/>
        </w:rPr>
        <w:t>euro</w:t>
      </w:r>
      <w:r w:rsidRPr="001C0357">
        <w:rPr>
          <w:noProof/>
          <w:szCs w:val="20"/>
        </w:rPr>
        <w:t xml:space="preserve">, gan 2028. gadā 144,4 milj. </w:t>
      </w:r>
      <w:r w:rsidRPr="001C0357">
        <w:rPr>
          <w:i/>
          <w:iCs/>
          <w:noProof/>
          <w:szCs w:val="20"/>
        </w:rPr>
        <w:t xml:space="preserve">euro, </w:t>
      </w:r>
      <w:r w:rsidR="005E2539">
        <w:rPr>
          <w:noProof/>
          <w:szCs w:val="20"/>
        </w:rPr>
        <w:t>gan</w:t>
      </w:r>
      <w:r w:rsidRPr="001C0357">
        <w:rPr>
          <w:noProof/>
          <w:szCs w:val="20"/>
        </w:rPr>
        <w:t xml:space="preserve"> 2029. gadā 321,6 milj. </w:t>
      </w:r>
      <w:r w:rsidRPr="001C0357">
        <w:rPr>
          <w:i/>
          <w:iCs/>
          <w:noProof/>
          <w:szCs w:val="20"/>
        </w:rPr>
        <w:t xml:space="preserve">euro </w:t>
      </w:r>
      <w:r w:rsidRPr="001C0357">
        <w:rPr>
          <w:noProof/>
          <w:szCs w:val="20"/>
        </w:rPr>
        <w:t xml:space="preserve">(skat. 14. tabulu). </w:t>
      </w:r>
    </w:p>
    <w:p w14:paraId="21A925A6" w14:textId="77777777" w:rsidR="00F1215C" w:rsidRPr="001C0357" w:rsidRDefault="00F1215C" w:rsidP="00F1215C">
      <w:pPr>
        <w:spacing w:before="0" w:after="0"/>
        <w:ind w:firstLine="0"/>
        <w:jc w:val="left"/>
        <w:rPr>
          <w:noProof/>
          <w:szCs w:val="20"/>
        </w:rPr>
      </w:pPr>
      <w:r w:rsidRPr="001C0357">
        <w:rPr>
          <w:noProof/>
          <w:szCs w:val="20"/>
        </w:rPr>
        <w:br w:type="page"/>
      </w:r>
    </w:p>
    <w:p w14:paraId="669CD78E" w14:textId="0FB12840" w:rsidR="00E37498" w:rsidRPr="001C0357" w:rsidRDefault="00E37498" w:rsidP="00DF20B0">
      <w:pPr>
        <w:pStyle w:val="Heading1"/>
        <w:spacing w:before="120" w:after="120"/>
        <w:ind w:left="360"/>
        <w:rPr>
          <w:noProof/>
          <w:sz w:val="28"/>
          <w:szCs w:val="28"/>
        </w:rPr>
      </w:pPr>
      <w:bookmarkStart w:id="17" w:name="_Toc205905376"/>
      <w:r w:rsidRPr="001C0357">
        <w:rPr>
          <w:noProof/>
          <w:sz w:val="28"/>
          <w:szCs w:val="28"/>
        </w:rPr>
        <w:lastRenderedPageBreak/>
        <w:t xml:space="preserve">Makroekonomiskās un fiskālās attīstības </w:t>
      </w:r>
      <w:r w:rsidR="00FF6F22">
        <w:rPr>
          <w:noProof/>
          <w:sz w:val="28"/>
          <w:szCs w:val="28"/>
        </w:rPr>
        <w:t xml:space="preserve">optimistiskais un </w:t>
      </w:r>
      <w:r w:rsidRPr="001C0357">
        <w:rPr>
          <w:noProof/>
          <w:sz w:val="28"/>
          <w:szCs w:val="28"/>
        </w:rPr>
        <w:t>pesimistiskais</w:t>
      </w:r>
      <w:r w:rsidR="00FF6F22">
        <w:rPr>
          <w:noProof/>
          <w:sz w:val="28"/>
          <w:szCs w:val="28"/>
        </w:rPr>
        <w:t xml:space="preserve"> </w:t>
      </w:r>
      <w:r w:rsidRPr="001C0357">
        <w:rPr>
          <w:noProof/>
          <w:sz w:val="28"/>
          <w:szCs w:val="28"/>
        </w:rPr>
        <w:t>scenārijs</w:t>
      </w:r>
      <w:bookmarkEnd w:id="17"/>
    </w:p>
    <w:p w14:paraId="6B4930C8" w14:textId="77777777" w:rsidR="00FF6F22" w:rsidRPr="001C0357" w:rsidRDefault="00FF6F22" w:rsidP="00FF6F22">
      <w:pPr>
        <w:pStyle w:val="H4"/>
        <w:ind w:left="0" w:firstLine="720"/>
        <w:jc w:val="both"/>
        <w:outlineLvl w:val="9"/>
        <w:rPr>
          <w:rFonts w:ascii="Times New Roman" w:hAnsi="Times New Roman"/>
          <w:iCs/>
          <w:noProof/>
          <w:sz w:val="24"/>
          <w:szCs w:val="24"/>
        </w:rPr>
      </w:pPr>
      <w:r w:rsidRPr="001C0357">
        <w:rPr>
          <w:rFonts w:ascii="Times New Roman" w:hAnsi="Times New Roman"/>
          <w:iCs/>
          <w:noProof/>
          <w:sz w:val="24"/>
          <w:szCs w:val="24"/>
        </w:rPr>
        <w:t>Optimistiskais scenārijs</w:t>
      </w:r>
    </w:p>
    <w:p w14:paraId="71E15274" w14:textId="1D705442" w:rsidR="00FF6F22" w:rsidRPr="001C0357" w:rsidRDefault="00FF6F22" w:rsidP="00FF6F22">
      <w:pPr>
        <w:rPr>
          <w:rFonts w:eastAsia="Aptos" w:cs="Times New Roman"/>
          <w:noProof/>
          <w:szCs w:val="20"/>
          <w14:ligatures w14:val="standardContextual"/>
        </w:rPr>
      </w:pPr>
      <w:r w:rsidRPr="001C0357">
        <w:rPr>
          <w:rFonts w:eastAsia="Aptos" w:cs="Times New Roman"/>
          <w:noProof/>
          <w:szCs w:val="20"/>
          <w14:ligatures w14:val="standardContextual"/>
        </w:rPr>
        <w:t>Optimistiskais scenārijs paredz tirdzniecības tarifu strīdu atrisināšanos, straujāku pasaules tirdzniecības un Latvijas partnervalstu ekonomikas attīstību, kas veicinās straujāku Latvijas eksporta izaugsmi. Ģeopolitiskās spriedzes mazināšanās savukārt mazinās nenoteiktību, finanšu tirgu svārstības un paaugstinās biznesa un patērētāju konfidenci, dodot pamatu straujākam investīciju un privātā patēriņa kāpumam.</w:t>
      </w:r>
    </w:p>
    <w:p w14:paraId="6C251843" w14:textId="3B6E3EA3" w:rsidR="00FF6F22" w:rsidRPr="001C0357" w:rsidRDefault="00FF6F22" w:rsidP="00FF6F22">
      <w:pPr>
        <w:rPr>
          <w:rFonts w:eastAsia="Aptos" w:cs="Times New Roman"/>
          <w:noProof/>
          <w:szCs w:val="20"/>
          <w14:ligatures w14:val="standardContextual"/>
        </w:rPr>
      </w:pPr>
      <w:r w:rsidRPr="001C0357">
        <w:rPr>
          <w:rFonts w:eastAsia="Aptos" w:cs="Times New Roman"/>
          <w:noProof/>
          <w:szCs w:val="20"/>
          <w14:ligatures w14:val="standardContextual"/>
        </w:rPr>
        <w:t>Saskaņā ar optimistisko scenāriju iekšzemes kopprodukts salīdzināmajās cenās varētu pieaugt par 1,6% 2025. gadā un par 2,7% 2026. gadā, kas attiecīgi būtu par 0,5 un 0,6</w:t>
      </w:r>
      <w:r>
        <w:rPr>
          <w:rFonts w:eastAsia="Aptos" w:cs="Times New Roman"/>
          <w:noProof/>
          <w:szCs w:val="20"/>
          <w14:ligatures w14:val="standardContextual"/>
        </w:rPr>
        <w:t> </w:t>
      </w:r>
      <w:r w:rsidRPr="001C0357">
        <w:rPr>
          <w:rFonts w:eastAsia="Aptos" w:cs="Times New Roman"/>
          <w:noProof/>
          <w:szCs w:val="20"/>
          <w14:ligatures w14:val="standardContextual"/>
        </w:rPr>
        <w:t xml:space="preserve">procentpunktiem vairāk nekā bāzes scenārijā </w:t>
      </w:r>
      <w:r w:rsidRPr="001C0357">
        <w:rPr>
          <w:noProof/>
          <w:color w:val="000000" w:themeColor="text1"/>
        </w:rPr>
        <w:t>(skat. 1</w:t>
      </w:r>
      <w:r>
        <w:rPr>
          <w:noProof/>
          <w:color w:val="000000" w:themeColor="text1"/>
        </w:rPr>
        <w:t>5</w:t>
      </w:r>
      <w:r w:rsidRPr="001C0357">
        <w:rPr>
          <w:noProof/>
          <w:color w:val="000000" w:themeColor="text1"/>
        </w:rPr>
        <w:t>. tabulu)</w:t>
      </w:r>
      <w:r w:rsidRPr="001C0357">
        <w:rPr>
          <w:rFonts w:eastAsia="Aptos" w:cs="Times New Roman"/>
          <w:noProof/>
          <w:szCs w:val="20"/>
          <w14:ligatures w14:val="standardContextual"/>
        </w:rPr>
        <w:t>. Turpmākajos gados izaugsme saglabātos bāzes scenārija līmenī. Cenu pieaugums, ekonomikas izaugsmei paātrinoties, 2026. un nākamajos gados būtu nedaudz augstāks nekā bāzes scenārijā. Nebūtiski augstāks optimistiskajā scenārijā šim un nākamajiem gadiem prognozēts arī darba samaksas pieaugums. Straujāka ekonomikas izaugsme nemainīs darba tirgus, tajā skaitā bezdarba un nodarbinātības rādītāju dinamiku, ko pamatā nosaka demogrāfiskie procesi un iedzīvotāju skaita izmaiņas.</w:t>
      </w:r>
    </w:p>
    <w:p w14:paraId="0CB55B38" w14:textId="63776026" w:rsidR="00FF6F22" w:rsidRPr="001C0357" w:rsidRDefault="00FF6F22" w:rsidP="00FF6F22">
      <w:pPr>
        <w:ind w:firstLine="0"/>
        <w:jc w:val="center"/>
        <w:rPr>
          <w:b/>
          <w:bCs/>
          <w:noProof/>
        </w:rPr>
      </w:pPr>
      <w:r w:rsidRPr="001C0357">
        <w:rPr>
          <w:b/>
          <w:bCs/>
          <w:noProof/>
        </w:rPr>
        <w:t>1</w:t>
      </w:r>
      <w:r>
        <w:rPr>
          <w:b/>
          <w:bCs/>
          <w:noProof/>
        </w:rPr>
        <w:t>5</w:t>
      </w:r>
      <w:r w:rsidRPr="001C0357">
        <w:rPr>
          <w:b/>
          <w:bCs/>
          <w:noProof/>
        </w:rPr>
        <w:t>. tabula. Makroekonomiskie rādītāji 2024.</w:t>
      </w:r>
      <w:r>
        <w:rPr>
          <w:b/>
          <w:bCs/>
          <w:noProof/>
        </w:rPr>
        <w:t>-</w:t>
      </w:r>
      <w:r w:rsidRPr="001C0357">
        <w:rPr>
          <w:b/>
          <w:bCs/>
          <w:noProof/>
        </w:rPr>
        <w:t>2029. gadā</w:t>
      </w:r>
      <w:r w:rsidR="00FF3759">
        <w:rPr>
          <w:b/>
          <w:bCs/>
          <w:noProof/>
        </w:rPr>
        <w:t xml:space="preserve"> </w:t>
      </w:r>
      <w:r w:rsidRPr="001C0357">
        <w:rPr>
          <w:b/>
          <w:bCs/>
          <w:noProof/>
        </w:rPr>
        <w:t>(Optimistiskais scenārijs)</w:t>
      </w:r>
    </w:p>
    <w:tbl>
      <w:tblPr>
        <w:tblW w:w="5000" w:type="pct"/>
        <w:jc w:val="center"/>
        <w:tblLayout w:type="fixed"/>
        <w:tblCellMar>
          <w:left w:w="85" w:type="dxa"/>
          <w:right w:w="85" w:type="dxa"/>
        </w:tblCellMar>
        <w:tblLook w:val="04A0" w:firstRow="1" w:lastRow="0" w:firstColumn="1" w:lastColumn="0" w:noHBand="0" w:noVBand="1"/>
      </w:tblPr>
      <w:tblGrid>
        <w:gridCol w:w="3400"/>
        <w:gridCol w:w="889"/>
        <w:gridCol w:w="954"/>
        <w:gridCol w:w="955"/>
        <w:gridCol w:w="954"/>
        <w:gridCol w:w="955"/>
        <w:gridCol w:w="954"/>
      </w:tblGrid>
      <w:tr w:rsidR="00FF6F22" w:rsidRPr="001C0357" w14:paraId="2E2283FE" w14:textId="77777777" w:rsidTr="00AC4FED">
        <w:trPr>
          <w:trHeight w:val="70"/>
          <w:jc w:val="center"/>
        </w:trPr>
        <w:tc>
          <w:tcPr>
            <w:tcW w:w="3400" w:type="dxa"/>
            <w:tcBorders>
              <w:top w:val="single" w:sz="4" w:space="0" w:color="auto"/>
              <w:left w:val="single" w:sz="4" w:space="0" w:color="auto"/>
              <w:bottom w:val="single" w:sz="4" w:space="0" w:color="auto"/>
              <w:right w:val="single" w:sz="4" w:space="0" w:color="auto"/>
            </w:tcBorders>
            <w:noWrap/>
            <w:vAlign w:val="center"/>
            <w:hideMark/>
          </w:tcPr>
          <w:p w14:paraId="24792CBE" w14:textId="77777777" w:rsidR="00FF6F22" w:rsidRPr="001C0357" w:rsidRDefault="00FF6F22" w:rsidP="00AC4FED">
            <w:pPr>
              <w:spacing w:before="0" w:after="0"/>
              <w:ind w:firstLine="0"/>
              <w:rPr>
                <w:rFonts w:cs="Times New Roman"/>
                <w:noProof/>
                <w:sz w:val="20"/>
                <w:szCs w:val="20"/>
                <w:lang w:eastAsia="lv-LV"/>
              </w:rPr>
            </w:pPr>
          </w:p>
        </w:tc>
        <w:tc>
          <w:tcPr>
            <w:tcW w:w="889" w:type="dxa"/>
            <w:tcBorders>
              <w:top w:val="single" w:sz="4" w:space="0" w:color="auto"/>
              <w:left w:val="nil"/>
              <w:bottom w:val="single" w:sz="4" w:space="0" w:color="auto"/>
              <w:right w:val="single" w:sz="4" w:space="0" w:color="auto"/>
            </w:tcBorders>
            <w:noWrap/>
            <w:vAlign w:val="center"/>
            <w:hideMark/>
          </w:tcPr>
          <w:p w14:paraId="57B62DBE" w14:textId="77777777" w:rsidR="00FF6F22" w:rsidRPr="001C0357" w:rsidRDefault="00FF6F22" w:rsidP="00AC4FED">
            <w:pPr>
              <w:spacing w:before="0" w:after="0"/>
              <w:ind w:firstLine="0"/>
              <w:jc w:val="center"/>
              <w:rPr>
                <w:rFonts w:cs="Times New Roman"/>
                <w:b/>
                <w:bCs/>
                <w:noProof/>
                <w:sz w:val="20"/>
                <w:szCs w:val="20"/>
                <w:lang w:eastAsia="lv-LV"/>
              </w:rPr>
            </w:pPr>
            <w:r w:rsidRPr="001C0357">
              <w:rPr>
                <w:rFonts w:cs="Times New Roman"/>
                <w:b/>
                <w:bCs/>
                <w:noProof/>
                <w:sz w:val="20"/>
                <w:szCs w:val="20"/>
                <w:lang w:eastAsia="lv-LV"/>
              </w:rPr>
              <w:t>2024</w:t>
            </w:r>
          </w:p>
        </w:tc>
        <w:tc>
          <w:tcPr>
            <w:tcW w:w="954" w:type="dxa"/>
            <w:tcBorders>
              <w:top w:val="single" w:sz="4" w:space="0" w:color="auto"/>
              <w:left w:val="nil"/>
              <w:bottom w:val="single" w:sz="4" w:space="0" w:color="auto"/>
              <w:right w:val="single" w:sz="4" w:space="0" w:color="auto"/>
            </w:tcBorders>
            <w:shd w:val="clear" w:color="auto" w:fill="EBE2D1"/>
            <w:noWrap/>
            <w:vAlign w:val="center"/>
          </w:tcPr>
          <w:p w14:paraId="0305BF20" w14:textId="77777777" w:rsidR="00FF6F22" w:rsidRPr="001C0357" w:rsidRDefault="00FF6F22" w:rsidP="00AC4FED">
            <w:pPr>
              <w:spacing w:before="0" w:after="0"/>
              <w:ind w:firstLine="0"/>
              <w:jc w:val="center"/>
              <w:rPr>
                <w:rFonts w:cs="Times New Roman"/>
                <w:b/>
                <w:bCs/>
                <w:noProof/>
                <w:sz w:val="20"/>
                <w:szCs w:val="20"/>
                <w:lang w:eastAsia="lv-LV"/>
              </w:rPr>
            </w:pPr>
            <w:r w:rsidRPr="001C0357">
              <w:rPr>
                <w:rFonts w:cs="Times New Roman"/>
                <w:b/>
                <w:bCs/>
                <w:noProof/>
                <w:sz w:val="20"/>
                <w:szCs w:val="20"/>
                <w:lang w:eastAsia="lv-LV"/>
              </w:rPr>
              <w:t>2025</w:t>
            </w:r>
          </w:p>
        </w:tc>
        <w:tc>
          <w:tcPr>
            <w:tcW w:w="955" w:type="dxa"/>
            <w:tcBorders>
              <w:top w:val="single" w:sz="4" w:space="0" w:color="auto"/>
              <w:left w:val="nil"/>
              <w:bottom w:val="single" w:sz="4" w:space="0" w:color="auto"/>
              <w:right w:val="single" w:sz="4" w:space="0" w:color="auto"/>
            </w:tcBorders>
            <w:shd w:val="clear" w:color="auto" w:fill="EBE2D1"/>
            <w:noWrap/>
            <w:vAlign w:val="center"/>
          </w:tcPr>
          <w:p w14:paraId="0E81CDB9" w14:textId="77777777" w:rsidR="00FF6F22" w:rsidRPr="001C0357" w:rsidRDefault="00FF6F22" w:rsidP="00AC4FED">
            <w:pPr>
              <w:spacing w:before="0" w:after="0"/>
              <w:ind w:firstLine="0"/>
              <w:jc w:val="center"/>
              <w:rPr>
                <w:rFonts w:cs="Times New Roman"/>
                <w:b/>
                <w:bCs/>
                <w:noProof/>
                <w:sz w:val="20"/>
                <w:szCs w:val="20"/>
                <w:lang w:eastAsia="lv-LV"/>
              </w:rPr>
            </w:pPr>
            <w:r w:rsidRPr="001C0357">
              <w:rPr>
                <w:rFonts w:cs="Times New Roman"/>
                <w:b/>
                <w:bCs/>
                <w:noProof/>
                <w:sz w:val="20"/>
                <w:szCs w:val="20"/>
                <w:lang w:eastAsia="lv-LV"/>
              </w:rPr>
              <w:t>2026</w:t>
            </w:r>
          </w:p>
        </w:tc>
        <w:tc>
          <w:tcPr>
            <w:tcW w:w="954" w:type="dxa"/>
            <w:tcBorders>
              <w:top w:val="single" w:sz="4" w:space="0" w:color="auto"/>
              <w:left w:val="nil"/>
              <w:bottom w:val="single" w:sz="4" w:space="0" w:color="auto"/>
              <w:right w:val="single" w:sz="4" w:space="0" w:color="auto"/>
            </w:tcBorders>
            <w:shd w:val="clear" w:color="auto" w:fill="EBE2D1"/>
            <w:noWrap/>
            <w:vAlign w:val="center"/>
          </w:tcPr>
          <w:p w14:paraId="24BDF44C" w14:textId="77777777" w:rsidR="00FF6F22" w:rsidRPr="001C0357" w:rsidRDefault="00FF6F22" w:rsidP="00AC4FED">
            <w:pPr>
              <w:spacing w:before="0" w:after="0"/>
              <w:ind w:firstLine="0"/>
              <w:jc w:val="center"/>
              <w:rPr>
                <w:rFonts w:cs="Times New Roman"/>
                <w:b/>
                <w:bCs/>
                <w:noProof/>
                <w:sz w:val="20"/>
                <w:szCs w:val="20"/>
                <w:lang w:eastAsia="lv-LV"/>
              </w:rPr>
            </w:pPr>
            <w:r w:rsidRPr="001C0357">
              <w:rPr>
                <w:rFonts w:cs="Times New Roman"/>
                <w:b/>
                <w:bCs/>
                <w:noProof/>
                <w:sz w:val="20"/>
                <w:szCs w:val="20"/>
                <w:lang w:eastAsia="lv-LV"/>
              </w:rPr>
              <w:t>2027</w:t>
            </w:r>
          </w:p>
        </w:tc>
        <w:tc>
          <w:tcPr>
            <w:tcW w:w="955" w:type="dxa"/>
            <w:tcBorders>
              <w:top w:val="single" w:sz="4" w:space="0" w:color="auto"/>
              <w:left w:val="nil"/>
              <w:bottom w:val="single" w:sz="4" w:space="0" w:color="auto"/>
              <w:right w:val="single" w:sz="4" w:space="0" w:color="auto"/>
            </w:tcBorders>
            <w:shd w:val="clear" w:color="auto" w:fill="EBE2D1"/>
            <w:noWrap/>
            <w:vAlign w:val="center"/>
          </w:tcPr>
          <w:p w14:paraId="2651DA08" w14:textId="77777777" w:rsidR="00FF6F22" w:rsidRPr="001C0357" w:rsidRDefault="00FF6F22" w:rsidP="00AC4FED">
            <w:pPr>
              <w:spacing w:before="0" w:after="0"/>
              <w:ind w:firstLine="0"/>
              <w:jc w:val="center"/>
              <w:rPr>
                <w:rFonts w:cs="Times New Roman"/>
                <w:b/>
                <w:bCs/>
                <w:noProof/>
                <w:sz w:val="20"/>
                <w:szCs w:val="20"/>
                <w:lang w:eastAsia="lv-LV"/>
              </w:rPr>
            </w:pPr>
            <w:r w:rsidRPr="001C0357">
              <w:rPr>
                <w:rFonts w:cs="Times New Roman"/>
                <w:b/>
                <w:bCs/>
                <w:noProof/>
                <w:sz w:val="20"/>
                <w:szCs w:val="20"/>
                <w:lang w:eastAsia="lv-LV"/>
              </w:rPr>
              <w:t>2028</w:t>
            </w:r>
          </w:p>
        </w:tc>
        <w:tc>
          <w:tcPr>
            <w:tcW w:w="954" w:type="dxa"/>
            <w:tcBorders>
              <w:top w:val="single" w:sz="4" w:space="0" w:color="auto"/>
              <w:left w:val="nil"/>
              <w:bottom w:val="single" w:sz="4" w:space="0" w:color="auto"/>
              <w:right w:val="single" w:sz="4" w:space="0" w:color="auto"/>
            </w:tcBorders>
            <w:shd w:val="clear" w:color="auto" w:fill="EBE2D1"/>
            <w:vAlign w:val="center"/>
          </w:tcPr>
          <w:p w14:paraId="2D263741" w14:textId="77777777" w:rsidR="00FF6F22" w:rsidRPr="001C0357" w:rsidRDefault="00FF6F22" w:rsidP="00AC4FED">
            <w:pPr>
              <w:spacing w:before="0" w:after="0"/>
              <w:ind w:firstLine="0"/>
              <w:jc w:val="center"/>
              <w:rPr>
                <w:rFonts w:cs="Times New Roman"/>
                <w:b/>
                <w:bCs/>
                <w:noProof/>
                <w:sz w:val="20"/>
                <w:szCs w:val="20"/>
                <w:lang w:eastAsia="lv-LV"/>
              </w:rPr>
            </w:pPr>
            <w:r w:rsidRPr="001C0357">
              <w:rPr>
                <w:rFonts w:cs="Times New Roman"/>
                <w:b/>
                <w:bCs/>
                <w:noProof/>
                <w:sz w:val="20"/>
                <w:szCs w:val="20"/>
                <w:lang w:eastAsia="lv-LV"/>
              </w:rPr>
              <w:t>2029</w:t>
            </w:r>
          </w:p>
        </w:tc>
      </w:tr>
      <w:tr w:rsidR="00FF6F22" w:rsidRPr="001C0357" w14:paraId="1CB82D43" w14:textId="77777777" w:rsidTr="00AC4FED">
        <w:trPr>
          <w:trHeight w:val="300"/>
          <w:jc w:val="center"/>
        </w:trPr>
        <w:tc>
          <w:tcPr>
            <w:tcW w:w="3400" w:type="dxa"/>
            <w:tcBorders>
              <w:top w:val="single" w:sz="4" w:space="0" w:color="auto"/>
              <w:left w:val="single" w:sz="4" w:space="0" w:color="auto"/>
              <w:bottom w:val="single" w:sz="4" w:space="0" w:color="auto"/>
              <w:right w:val="single" w:sz="4" w:space="0" w:color="auto"/>
            </w:tcBorders>
            <w:noWrap/>
            <w:vAlign w:val="center"/>
          </w:tcPr>
          <w:p w14:paraId="7D2E76C5" w14:textId="77777777" w:rsidR="00FF6F22" w:rsidRPr="001C0357" w:rsidRDefault="00FF6F22" w:rsidP="00AC4FED">
            <w:pPr>
              <w:spacing w:before="0" w:after="0"/>
              <w:ind w:firstLine="0"/>
              <w:rPr>
                <w:rFonts w:cs="Times New Roman"/>
                <w:noProof/>
                <w:sz w:val="20"/>
                <w:szCs w:val="20"/>
                <w:lang w:eastAsia="lv-LV"/>
              </w:rPr>
            </w:pPr>
          </w:p>
        </w:tc>
        <w:tc>
          <w:tcPr>
            <w:tcW w:w="889" w:type="dxa"/>
            <w:tcBorders>
              <w:top w:val="single" w:sz="4" w:space="0" w:color="auto"/>
              <w:left w:val="nil"/>
              <w:bottom w:val="single" w:sz="4" w:space="0" w:color="auto"/>
              <w:right w:val="single" w:sz="4" w:space="0" w:color="auto"/>
            </w:tcBorders>
            <w:noWrap/>
            <w:vAlign w:val="center"/>
          </w:tcPr>
          <w:p w14:paraId="7A8F590D" w14:textId="77777777" w:rsidR="00FF6F22" w:rsidRPr="001C0357" w:rsidRDefault="00FF6F22" w:rsidP="00AC4FED">
            <w:pPr>
              <w:spacing w:before="0" w:after="0"/>
              <w:ind w:firstLine="0"/>
              <w:jc w:val="center"/>
              <w:rPr>
                <w:rFonts w:cs="Times New Roman"/>
                <w:noProof/>
                <w:sz w:val="20"/>
                <w:szCs w:val="20"/>
                <w:lang w:eastAsia="lv-LV"/>
              </w:rPr>
            </w:pPr>
            <w:r w:rsidRPr="001C0357">
              <w:rPr>
                <w:rFonts w:cs="Times New Roman"/>
                <w:noProof/>
                <w:sz w:val="20"/>
                <w:szCs w:val="20"/>
                <w:lang w:eastAsia="lv-LV"/>
              </w:rPr>
              <w:t>fakts</w:t>
            </w:r>
          </w:p>
        </w:tc>
        <w:tc>
          <w:tcPr>
            <w:tcW w:w="4772" w:type="dxa"/>
            <w:gridSpan w:val="5"/>
            <w:tcBorders>
              <w:top w:val="single" w:sz="4" w:space="0" w:color="auto"/>
              <w:left w:val="nil"/>
              <w:bottom w:val="single" w:sz="4" w:space="0" w:color="auto"/>
              <w:right w:val="single" w:sz="4" w:space="0" w:color="auto"/>
            </w:tcBorders>
            <w:shd w:val="clear" w:color="auto" w:fill="EBE2D1"/>
            <w:noWrap/>
            <w:vAlign w:val="center"/>
          </w:tcPr>
          <w:p w14:paraId="685840BB" w14:textId="77777777" w:rsidR="00FF6F22" w:rsidRPr="001C0357" w:rsidRDefault="00FF6F22" w:rsidP="00AC4FED">
            <w:pPr>
              <w:spacing w:before="0" w:after="0"/>
              <w:ind w:firstLine="0"/>
              <w:jc w:val="center"/>
              <w:rPr>
                <w:rFonts w:cs="Times New Roman"/>
                <w:noProof/>
                <w:sz w:val="20"/>
                <w:szCs w:val="20"/>
                <w:lang w:eastAsia="lv-LV"/>
              </w:rPr>
            </w:pPr>
            <w:r w:rsidRPr="001C0357">
              <w:rPr>
                <w:rFonts w:cs="Times New Roman"/>
                <w:noProof/>
                <w:sz w:val="20"/>
                <w:szCs w:val="20"/>
                <w:lang w:eastAsia="lv-LV"/>
              </w:rPr>
              <w:t>prognoze</w:t>
            </w:r>
          </w:p>
        </w:tc>
      </w:tr>
      <w:tr w:rsidR="00FF6F22" w:rsidRPr="001C0357" w14:paraId="7FD0436D" w14:textId="77777777" w:rsidTr="00AC4FED">
        <w:trPr>
          <w:trHeight w:val="70"/>
          <w:jc w:val="center"/>
        </w:trPr>
        <w:tc>
          <w:tcPr>
            <w:tcW w:w="3400" w:type="dxa"/>
            <w:tcBorders>
              <w:top w:val="single" w:sz="4" w:space="0" w:color="auto"/>
              <w:left w:val="single" w:sz="4" w:space="0" w:color="auto"/>
              <w:bottom w:val="single" w:sz="4" w:space="0" w:color="auto"/>
              <w:right w:val="single" w:sz="4" w:space="0" w:color="auto"/>
            </w:tcBorders>
            <w:noWrap/>
            <w:vAlign w:val="center"/>
            <w:hideMark/>
          </w:tcPr>
          <w:p w14:paraId="60AD2952" w14:textId="77777777" w:rsidR="00FF6F22" w:rsidRPr="001C0357" w:rsidRDefault="00FF6F22" w:rsidP="00AC4FED">
            <w:pPr>
              <w:spacing w:before="0" w:after="0"/>
              <w:ind w:firstLine="0"/>
              <w:jc w:val="left"/>
              <w:rPr>
                <w:rFonts w:cs="Times New Roman"/>
                <w:b/>
                <w:bCs/>
                <w:noProof/>
                <w:sz w:val="20"/>
                <w:szCs w:val="20"/>
                <w:lang w:eastAsia="lv-LV"/>
              </w:rPr>
            </w:pPr>
            <w:r w:rsidRPr="001C0357">
              <w:rPr>
                <w:rFonts w:cs="Times New Roman"/>
                <w:b/>
                <w:bCs/>
                <w:noProof/>
                <w:sz w:val="20"/>
                <w:szCs w:val="20"/>
                <w:lang w:eastAsia="lv-LV"/>
              </w:rPr>
              <w:t xml:space="preserve">Iekšzemes kopprodukts, milj. </w:t>
            </w:r>
            <w:r w:rsidRPr="001C0357">
              <w:rPr>
                <w:rFonts w:cs="Times New Roman"/>
                <w:b/>
                <w:bCs/>
                <w:i/>
                <w:noProof/>
                <w:sz w:val="20"/>
                <w:szCs w:val="20"/>
                <w:lang w:eastAsia="lv-LV"/>
              </w:rPr>
              <w:t>euro</w:t>
            </w:r>
          </w:p>
        </w:tc>
        <w:tc>
          <w:tcPr>
            <w:tcW w:w="889" w:type="dxa"/>
            <w:tcBorders>
              <w:top w:val="single" w:sz="4" w:space="0" w:color="auto"/>
              <w:left w:val="nil"/>
              <w:bottom w:val="single" w:sz="4" w:space="0" w:color="auto"/>
              <w:right w:val="single" w:sz="4" w:space="0" w:color="auto"/>
            </w:tcBorders>
            <w:noWrap/>
            <w:tcMar>
              <w:right w:w="170" w:type="dxa"/>
            </w:tcMar>
            <w:vAlign w:val="center"/>
          </w:tcPr>
          <w:p w14:paraId="6E1721A7" w14:textId="6ECE598E"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40</w:t>
            </w:r>
            <w:r>
              <w:rPr>
                <w:rFonts w:cs="Times New Roman"/>
                <w:noProof/>
                <w:sz w:val="20"/>
                <w:szCs w:val="20"/>
              </w:rPr>
              <w:t xml:space="preserve"> </w:t>
            </w:r>
            <w:r w:rsidRPr="001C0357">
              <w:rPr>
                <w:rFonts w:cs="Times New Roman"/>
                <w:noProof/>
                <w:sz w:val="20"/>
                <w:szCs w:val="20"/>
              </w:rPr>
              <w:t>208</w:t>
            </w:r>
          </w:p>
        </w:tc>
        <w:tc>
          <w:tcPr>
            <w:tcW w:w="954" w:type="dxa"/>
            <w:tcBorders>
              <w:top w:val="single" w:sz="4" w:space="0" w:color="auto"/>
              <w:left w:val="nil"/>
              <w:bottom w:val="single" w:sz="4" w:space="0" w:color="auto"/>
              <w:right w:val="single" w:sz="4" w:space="0" w:color="auto"/>
            </w:tcBorders>
            <w:shd w:val="clear" w:color="auto" w:fill="EBE2D1"/>
            <w:noWrap/>
            <w:tcMar>
              <w:right w:w="170" w:type="dxa"/>
            </w:tcMar>
            <w:vAlign w:val="center"/>
          </w:tcPr>
          <w:p w14:paraId="0872EEF8" w14:textId="48FF0471"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42</w:t>
            </w:r>
            <w:r>
              <w:rPr>
                <w:rFonts w:cs="Times New Roman"/>
                <w:noProof/>
                <w:sz w:val="20"/>
                <w:szCs w:val="20"/>
              </w:rPr>
              <w:t xml:space="preserve"> </w:t>
            </w:r>
            <w:r w:rsidRPr="001C0357">
              <w:rPr>
                <w:rFonts w:cs="Times New Roman"/>
                <w:noProof/>
                <w:sz w:val="20"/>
                <w:szCs w:val="20"/>
              </w:rPr>
              <w:t>217</w:t>
            </w:r>
          </w:p>
        </w:tc>
        <w:tc>
          <w:tcPr>
            <w:tcW w:w="955" w:type="dxa"/>
            <w:tcBorders>
              <w:top w:val="single" w:sz="4" w:space="0" w:color="auto"/>
              <w:left w:val="nil"/>
              <w:bottom w:val="single" w:sz="4" w:space="0" w:color="auto"/>
              <w:right w:val="single" w:sz="4" w:space="0" w:color="auto"/>
            </w:tcBorders>
            <w:shd w:val="clear" w:color="auto" w:fill="EBE2D1"/>
            <w:noWrap/>
            <w:tcMar>
              <w:right w:w="170" w:type="dxa"/>
            </w:tcMar>
            <w:vAlign w:val="center"/>
          </w:tcPr>
          <w:p w14:paraId="3C4657C4" w14:textId="4A3E6A3A"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44</w:t>
            </w:r>
            <w:r>
              <w:rPr>
                <w:rFonts w:cs="Times New Roman"/>
                <w:noProof/>
                <w:sz w:val="20"/>
                <w:szCs w:val="20"/>
              </w:rPr>
              <w:t xml:space="preserve"> </w:t>
            </w:r>
            <w:r w:rsidRPr="001C0357">
              <w:rPr>
                <w:rFonts w:cs="Times New Roman"/>
                <w:noProof/>
                <w:sz w:val="20"/>
                <w:szCs w:val="20"/>
              </w:rPr>
              <w:t>493</w:t>
            </w:r>
          </w:p>
        </w:tc>
        <w:tc>
          <w:tcPr>
            <w:tcW w:w="954" w:type="dxa"/>
            <w:tcBorders>
              <w:top w:val="single" w:sz="4" w:space="0" w:color="auto"/>
              <w:left w:val="nil"/>
              <w:bottom w:val="single" w:sz="4" w:space="0" w:color="auto"/>
              <w:right w:val="single" w:sz="4" w:space="0" w:color="auto"/>
            </w:tcBorders>
            <w:shd w:val="clear" w:color="auto" w:fill="EBE2D1"/>
            <w:noWrap/>
            <w:tcMar>
              <w:right w:w="170" w:type="dxa"/>
            </w:tcMar>
            <w:vAlign w:val="center"/>
          </w:tcPr>
          <w:p w14:paraId="71A1D277" w14:textId="577E07D0"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46</w:t>
            </w:r>
            <w:r>
              <w:rPr>
                <w:rFonts w:cs="Times New Roman"/>
                <w:noProof/>
                <w:sz w:val="20"/>
                <w:szCs w:val="20"/>
              </w:rPr>
              <w:t xml:space="preserve"> </w:t>
            </w:r>
            <w:r w:rsidRPr="001C0357">
              <w:rPr>
                <w:rFonts w:cs="Times New Roman"/>
                <w:noProof/>
                <w:sz w:val="20"/>
                <w:szCs w:val="20"/>
              </w:rPr>
              <w:t>821</w:t>
            </w:r>
          </w:p>
        </w:tc>
        <w:tc>
          <w:tcPr>
            <w:tcW w:w="955" w:type="dxa"/>
            <w:tcBorders>
              <w:top w:val="single" w:sz="4" w:space="0" w:color="auto"/>
              <w:left w:val="nil"/>
              <w:bottom w:val="single" w:sz="4" w:space="0" w:color="auto"/>
              <w:right w:val="single" w:sz="4" w:space="0" w:color="auto"/>
            </w:tcBorders>
            <w:shd w:val="clear" w:color="auto" w:fill="EBE2D1"/>
            <w:noWrap/>
            <w:tcMar>
              <w:right w:w="170" w:type="dxa"/>
            </w:tcMar>
            <w:vAlign w:val="center"/>
          </w:tcPr>
          <w:p w14:paraId="68141E62" w14:textId="7B77943F"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49</w:t>
            </w:r>
            <w:r>
              <w:rPr>
                <w:rFonts w:cs="Times New Roman"/>
                <w:noProof/>
                <w:sz w:val="20"/>
                <w:szCs w:val="20"/>
              </w:rPr>
              <w:t xml:space="preserve"> </w:t>
            </w:r>
            <w:r w:rsidRPr="001C0357">
              <w:rPr>
                <w:rFonts w:cs="Times New Roman"/>
                <w:noProof/>
                <w:sz w:val="20"/>
                <w:szCs w:val="20"/>
              </w:rPr>
              <w:t>039</w:t>
            </w:r>
          </w:p>
        </w:tc>
        <w:tc>
          <w:tcPr>
            <w:tcW w:w="954" w:type="dxa"/>
            <w:tcBorders>
              <w:top w:val="single" w:sz="4" w:space="0" w:color="auto"/>
              <w:left w:val="nil"/>
              <w:bottom w:val="single" w:sz="4" w:space="0" w:color="auto"/>
              <w:right w:val="single" w:sz="4" w:space="0" w:color="auto"/>
            </w:tcBorders>
            <w:shd w:val="clear" w:color="auto" w:fill="EBE2D1"/>
            <w:vAlign w:val="center"/>
          </w:tcPr>
          <w:p w14:paraId="66DE78E1" w14:textId="6C5562D4"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51</w:t>
            </w:r>
            <w:r>
              <w:rPr>
                <w:rFonts w:cs="Times New Roman"/>
                <w:noProof/>
                <w:sz w:val="20"/>
                <w:szCs w:val="20"/>
              </w:rPr>
              <w:t xml:space="preserve"> </w:t>
            </w:r>
            <w:r w:rsidRPr="001C0357">
              <w:rPr>
                <w:rFonts w:cs="Times New Roman"/>
                <w:noProof/>
                <w:sz w:val="20"/>
                <w:szCs w:val="20"/>
              </w:rPr>
              <w:t>362</w:t>
            </w:r>
          </w:p>
        </w:tc>
      </w:tr>
      <w:tr w:rsidR="00FF6F22" w:rsidRPr="001C0357" w14:paraId="5A70E7B4" w14:textId="77777777" w:rsidTr="00AC4FED">
        <w:trPr>
          <w:trHeight w:val="70"/>
          <w:jc w:val="center"/>
        </w:trPr>
        <w:tc>
          <w:tcPr>
            <w:tcW w:w="3400" w:type="dxa"/>
            <w:tcBorders>
              <w:top w:val="nil"/>
              <w:left w:val="single" w:sz="4" w:space="0" w:color="auto"/>
              <w:bottom w:val="single" w:sz="4" w:space="0" w:color="auto"/>
              <w:right w:val="single" w:sz="4" w:space="0" w:color="auto"/>
            </w:tcBorders>
            <w:noWrap/>
            <w:vAlign w:val="center"/>
            <w:hideMark/>
          </w:tcPr>
          <w:p w14:paraId="73B797D1" w14:textId="77777777" w:rsidR="00FF6F22" w:rsidRPr="001C0357" w:rsidRDefault="00FF6F22" w:rsidP="00AC4FED">
            <w:pPr>
              <w:spacing w:before="0" w:after="0"/>
              <w:ind w:left="176" w:firstLine="567"/>
              <w:jc w:val="left"/>
              <w:rPr>
                <w:rFonts w:cs="Times New Roman"/>
                <w:noProof/>
                <w:sz w:val="20"/>
                <w:szCs w:val="20"/>
                <w:lang w:eastAsia="lv-LV"/>
              </w:rPr>
            </w:pPr>
            <w:r w:rsidRPr="001C0357">
              <w:rPr>
                <w:rFonts w:cs="Times New Roman"/>
                <w:noProof/>
                <w:sz w:val="20"/>
                <w:szCs w:val="20"/>
                <w:lang w:eastAsia="lv-LV"/>
              </w:rPr>
              <w:t>izmaiņas faktiskajās cenās, %</w:t>
            </w:r>
          </w:p>
        </w:tc>
        <w:tc>
          <w:tcPr>
            <w:tcW w:w="889" w:type="dxa"/>
            <w:tcBorders>
              <w:top w:val="nil"/>
              <w:left w:val="nil"/>
              <w:bottom w:val="single" w:sz="4" w:space="0" w:color="auto"/>
              <w:right w:val="single" w:sz="4" w:space="0" w:color="auto"/>
            </w:tcBorders>
            <w:noWrap/>
            <w:tcMar>
              <w:right w:w="170" w:type="dxa"/>
            </w:tcMar>
            <w:vAlign w:val="center"/>
          </w:tcPr>
          <w:p w14:paraId="65482A6E"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2,1</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1C90A165"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5,0</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738C5497"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5,4</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699607D5"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5,2</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3BB774A2"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4,7</w:t>
            </w:r>
          </w:p>
        </w:tc>
        <w:tc>
          <w:tcPr>
            <w:tcW w:w="954" w:type="dxa"/>
            <w:tcBorders>
              <w:top w:val="nil"/>
              <w:left w:val="nil"/>
              <w:bottom w:val="single" w:sz="4" w:space="0" w:color="auto"/>
              <w:right w:val="single" w:sz="4" w:space="0" w:color="auto"/>
            </w:tcBorders>
            <w:shd w:val="clear" w:color="auto" w:fill="EBE2D1"/>
            <w:vAlign w:val="center"/>
          </w:tcPr>
          <w:p w14:paraId="0802472B"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4,7</w:t>
            </w:r>
          </w:p>
        </w:tc>
      </w:tr>
      <w:tr w:rsidR="00FF6F22" w:rsidRPr="001C0357" w14:paraId="73FFA2FD" w14:textId="77777777" w:rsidTr="00AC4FED">
        <w:trPr>
          <w:trHeight w:val="70"/>
          <w:jc w:val="center"/>
        </w:trPr>
        <w:tc>
          <w:tcPr>
            <w:tcW w:w="3400" w:type="dxa"/>
            <w:tcBorders>
              <w:top w:val="nil"/>
              <w:left w:val="single" w:sz="4" w:space="0" w:color="auto"/>
              <w:bottom w:val="single" w:sz="4" w:space="0" w:color="auto"/>
              <w:right w:val="single" w:sz="4" w:space="0" w:color="auto"/>
            </w:tcBorders>
            <w:noWrap/>
            <w:vAlign w:val="center"/>
            <w:hideMark/>
          </w:tcPr>
          <w:p w14:paraId="3875CF3D" w14:textId="77777777" w:rsidR="00FF6F22" w:rsidRPr="001C0357" w:rsidRDefault="00FF6F22" w:rsidP="00AC4FED">
            <w:pPr>
              <w:spacing w:before="0" w:after="0"/>
              <w:ind w:left="176" w:firstLine="567"/>
              <w:jc w:val="left"/>
              <w:rPr>
                <w:rFonts w:cs="Times New Roman"/>
                <w:noProof/>
                <w:sz w:val="20"/>
                <w:szCs w:val="20"/>
                <w:lang w:eastAsia="lv-LV"/>
              </w:rPr>
            </w:pPr>
            <w:r w:rsidRPr="001C0357">
              <w:rPr>
                <w:rFonts w:cs="Times New Roman"/>
                <w:noProof/>
                <w:sz w:val="20"/>
                <w:szCs w:val="20"/>
                <w:lang w:eastAsia="lv-LV"/>
              </w:rPr>
              <w:t>izmaiņas salīdzin. cenās, %</w:t>
            </w:r>
          </w:p>
        </w:tc>
        <w:tc>
          <w:tcPr>
            <w:tcW w:w="889" w:type="dxa"/>
            <w:tcBorders>
              <w:top w:val="nil"/>
              <w:left w:val="nil"/>
              <w:bottom w:val="single" w:sz="4" w:space="0" w:color="auto"/>
              <w:right w:val="single" w:sz="4" w:space="0" w:color="auto"/>
            </w:tcBorders>
            <w:noWrap/>
            <w:tcMar>
              <w:right w:w="170" w:type="dxa"/>
            </w:tcMar>
            <w:vAlign w:val="center"/>
          </w:tcPr>
          <w:p w14:paraId="1A9C31C0"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-0,4</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752D5D60"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1,6</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686428C7"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2,7</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657D52B3"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2,6</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13DA9943"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2,2</w:t>
            </w:r>
          </w:p>
        </w:tc>
        <w:tc>
          <w:tcPr>
            <w:tcW w:w="954" w:type="dxa"/>
            <w:tcBorders>
              <w:top w:val="nil"/>
              <w:left w:val="nil"/>
              <w:bottom w:val="single" w:sz="4" w:space="0" w:color="auto"/>
              <w:right w:val="single" w:sz="4" w:space="0" w:color="auto"/>
            </w:tcBorders>
            <w:shd w:val="clear" w:color="auto" w:fill="EBE2D1"/>
            <w:vAlign w:val="center"/>
          </w:tcPr>
          <w:p w14:paraId="443658F6"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2,2</w:t>
            </w:r>
          </w:p>
        </w:tc>
      </w:tr>
      <w:tr w:rsidR="00FF6F22" w:rsidRPr="001C0357" w14:paraId="6A0AFBBC" w14:textId="77777777" w:rsidTr="00AC4FED">
        <w:trPr>
          <w:trHeight w:val="70"/>
          <w:jc w:val="center"/>
        </w:trPr>
        <w:tc>
          <w:tcPr>
            <w:tcW w:w="3400" w:type="dxa"/>
            <w:tcBorders>
              <w:top w:val="nil"/>
              <w:left w:val="single" w:sz="4" w:space="0" w:color="auto"/>
              <w:bottom w:val="single" w:sz="4" w:space="0" w:color="auto"/>
              <w:right w:val="single" w:sz="4" w:space="0" w:color="auto"/>
            </w:tcBorders>
            <w:noWrap/>
            <w:vAlign w:val="center"/>
            <w:hideMark/>
          </w:tcPr>
          <w:p w14:paraId="311CCB02" w14:textId="77777777" w:rsidR="00FF6F22" w:rsidRPr="001C0357" w:rsidRDefault="00FF6F22" w:rsidP="00AC4FED">
            <w:pPr>
              <w:spacing w:before="0" w:after="0"/>
              <w:ind w:firstLine="0"/>
              <w:jc w:val="left"/>
              <w:rPr>
                <w:rFonts w:cs="Times New Roman"/>
                <w:noProof/>
                <w:sz w:val="20"/>
                <w:szCs w:val="20"/>
                <w:lang w:eastAsia="lv-LV"/>
              </w:rPr>
            </w:pPr>
            <w:r w:rsidRPr="001C0357">
              <w:rPr>
                <w:rFonts w:cs="Times New Roman"/>
                <w:b/>
                <w:bCs/>
                <w:noProof/>
                <w:sz w:val="20"/>
                <w:szCs w:val="20"/>
                <w:lang w:eastAsia="lv-LV"/>
              </w:rPr>
              <w:t>IKP deflators</w:t>
            </w:r>
            <w:r w:rsidRPr="001C0357">
              <w:rPr>
                <w:rFonts w:cs="Times New Roman"/>
                <w:noProof/>
                <w:sz w:val="20"/>
                <w:szCs w:val="20"/>
                <w:lang w:eastAsia="lv-LV"/>
              </w:rPr>
              <w:t xml:space="preserve"> (gads pret gadu), %</w:t>
            </w:r>
          </w:p>
        </w:tc>
        <w:tc>
          <w:tcPr>
            <w:tcW w:w="889" w:type="dxa"/>
            <w:tcBorders>
              <w:top w:val="nil"/>
              <w:left w:val="nil"/>
              <w:bottom w:val="single" w:sz="4" w:space="0" w:color="auto"/>
              <w:right w:val="single" w:sz="4" w:space="0" w:color="auto"/>
            </w:tcBorders>
            <w:noWrap/>
            <w:tcMar>
              <w:right w:w="170" w:type="dxa"/>
            </w:tcMar>
            <w:vAlign w:val="center"/>
          </w:tcPr>
          <w:p w14:paraId="38A4D262"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2,6</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2627DE75"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3,3</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628DF4B6"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2,6</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7AF1CB85"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2,6</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2919B29E"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2,5</w:t>
            </w:r>
          </w:p>
        </w:tc>
        <w:tc>
          <w:tcPr>
            <w:tcW w:w="954" w:type="dxa"/>
            <w:tcBorders>
              <w:top w:val="nil"/>
              <w:left w:val="nil"/>
              <w:bottom w:val="single" w:sz="4" w:space="0" w:color="auto"/>
              <w:right w:val="single" w:sz="4" w:space="0" w:color="auto"/>
            </w:tcBorders>
            <w:shd w:val="clear" w:color="auto" w:fill="EBE2D1"/>
            <w:vAlign w:val="center"/>
          </w:tcPr>
          <w:p w14:paraId="59E61045"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2,5</w:t>
            </w:r>
          </w:p>
        </w:tc>
      </w:tr>
      <w:tr w:rsidR="00FF6F22" w:rsidRPr="001C0357" w14:paraId="3F582648" w14:textId="77777777" w:rsidTr="00AC4FED">
        <w:trPr>
          <w:trHeight w:val="70"/>
          <w:jc w:val="center"/>
        </w:trPr>
        <w:tc>
          <w:tcPr>
            <w:tcW w:w="3400" w:type="dxa"/>
            <w:tcBorders>
              <w:top w:val="nil"/>
              <w:left w:val="single" w:sz="4" w:space="0" w:color="auto"/>
              <w:bottom w:val="single" w:sz="4" w:space="0" w:color="auto"/>
              <w:right w:val="single" w:sz="4" w:space="0" w:color="auto"/>
            </w:tcBorders>
            <w:noWrap/>
            <w:vAlign w:val="center"/>
            <w:hideMark/>
          </w:tcPr>
          <w:p w14:paraId="42683EE0" w14:textId="77777777" w:rsidR="00FF6F22" w:rsidRPr="001C0357" w:rsidRDefault="00FF6F22" w:rsidP="00AC4FED">
            <w:pPr>
              <w:spacing w:before="0" w:after="0"/>
              <w:ind w:firstLine="0"/>
              <w:jc w:val="left"/>
              <w:rPr>
                <w:rFonts w:cs="Times New Roman"/>
                <w:noProof/>
                <w:sz w:val="20"/>
                <w:szCs w:val="20"/>
                <w:lang w:eastAsia="lv-LV"/>
              </w:rPr>
            </w:pPr>
            <w:r w:rsidRPr="001C0357">
              <w:rPr>
                <w:rFonts w:cs="Times New Roman"/>
                <w:b/>
                <w:bCs/>
                <w:noProof/>
                <w:sz w:val="20"/>
                <w:szCs w:val="20"/>
                <w:lang w:eastAsia="lv-LV"/>
              </w:rPr>
              <w:t>PCI</w:t>
            </w:r>
            <w:r w:rsidRPr="001C0357">
              <w:rPr>
                <w:rFonts w:cs="Times New Roman"/>
                <w:noProof/>
                <w:sz w:val="20"/>
                <w:szCs w:val="20"/>
                <w:lang w:eastAsia="lv-LV"/>
              </w:rPr>
              <w:t xml:space="preserve"> (gads pret gadu), %</w:t>
            </w:r>
          </w:p>
        </w:tc>
        <w:tc>
          <w:tcPr>
            <w:tcW w:w="889" w:type="dxa"/>
            <w:tcBorders>
              <w:top w:val="nil"/>
              <w:left w:val="nil"/>
              <w:bottom w:val="single" w:sz="4" w:space="0" w:color="auto"/>
              <w:right w:val="single" w:sz="4" w:space="0" w:color="auto"/>
            </w:tcBorders>
            <w:noWrap/>
            <w:tcMar>
              <w:right w:w="170" w:type="dxa"/>
            </w:tcMar>
            <w:vAlign w:val="center"/>
          </w:tcPr>
          <w:p w14:paraId="34410093"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1,3</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3CBFE224"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3,5</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285357A5"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2,7</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2056233E"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2,5</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2392D43F"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2,5</w:t>
            </w:r>
          </w:p>
        </w:tc>
        <w:tc>
          <w:tcPr>
            <w:tcW w:w="954" w:type="dxa"/>
            <w:tcBorders>
              <w:top w:val="nil"/>
              <w:left w:val="nil"/>
              <w:bottom w:val="single" w:sz="4" w:space="0" w:color="auto"/>
              <w:right w:val="single" w:sz="4" w:space="0" w:color="auto"/>
            </w:tcBorders>
            <w:shd w:val="clear" w:color="auto" w:fill="EBE2D1"/>
            <w:vAlign w:val="center"/>
          </w:tcPr>
          <w:p w14:paraId="52E53CBE"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2,5</w:t>
            </w:r>
          </w:p>
        </w:tc>
      </w:tr>
      <w:tr w:rsidR="00FF6F22" w:rsidRPr="001C0357" w14:paraId="0EDB23CE" w14:textId="77777777" w:rsidTr="00AC4FED">
        <w:trPr>
          <w:trHeight w:val="70"/>
          <w:jc w:val="center"/>
        </w:trPr>
        <w:tc>
          <w:tcPr>
            <w:tcW w:w="3400" w:type="dxa"/>
            <w:tcBorders>
              <w:top w:val="nil"/>
              <w:left w:val="single" w:sz="4" w:space="0" w:color="auto"/>
              <w:bottom w:val="single" w:sz="4" w:space="0" w:color="auto"/>
              <w:right w:val="single" w:sz="4" w:space="0" w:color="auto"/>
            </w:tcBorders>
            <w:noWrap/>
            <w:vAlign w:val="center"/>
            <w:hideMark/>
          </w:tcPr>
          <w:p w14:paraId="33C16928" w14:textId="77777777" w:rsidR="00FF6F22" w:rsidRPr="001C0357" w:rsidRDefault="00FF6F22" w:rsidP="00AC4FED">
            <w:pPr>
              <w:spacing w:before="0" w:after="0"/>
              <w:ind w:firstLine="0"/>
              <w:jc w:val="left"/>
              <w:rPr>
                <w:rFonts w:cs="Times New Roman"/>
                <w:b/>
                <w:bCs/>
                <w:noProof/>
                <w:sz w:val="20"/>
                <w:szCs w:val="20"/>
                <w:lang w:eastAsia="lv-LV"/>
              </w:rPr>
            </w:pPr>
            <w:r w:rsidRPr="001C0357">
              <w:rPr>
                <w:rFonts w:cs="Times New Roman"/>
                <w:b/>
                <w:bCs/>
                <w:noProof/>
                <w:sz w:val="20"/>
                <w:szCs w:val="20"/>
                <w:lang w:eastAsia="lv-LV"/>
              </w:rPr>
              <w:t xml:space="preserve">Nodarbināto mēn. vid. bruto darba samaksa, </w:t>
            </w:r>
            <w:r w:rsidRPr="001C0357">
              <w:rPr>
                <w:rFonts w:cs="Times New Roman"/>
                <w:b/>
                <w:bCs/>
                <w:i/>
                <w:noProof/>
                <w:sz w:val="20"/>
                <w:szCs w:val="20"/>
                <w:lang w:eastAsia="lv-LV"/>
              </w:rPr>
              <w:t>euro</w:t>
            </w:r>
          </w:p>
        </w:tc>
        <w:tc>
          <w:tcPr>
            <w:tcW w:w="889" w:type="dxa"/>
            <w:tcBorders>
              <w:top w:val="nil"/>
              <w:left w:val="nil"/>
              <w:bottom w:val="single" w:sz="4" w:space="0" w:color="auto"/>
              <w:right w:val="single" w:sz="4" w:space="0" w:color="auto"/>
            </w:tcBorders>
            <w:noWrap/>
            <w:tcMar>
              <w:right w:w="170" w:type="dxa"/>
            </w:tcMar>
            <w:vAlign w:val="center"/>
          </w:tcPr>
          <w:p w14:paraId="1DEBE492" w14:textId="7D4E898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1</w:t>
            </w:r>
            <w:r>
              <w:rPr>
                <w:rFonts w:cs="Times New Roman"/>
                <w:noProof/>
                <w:sz w:val="20"/>
                <w:szCs w:val="20"/>
              </w:rPr>
              <w:t xml:space="preserve"> </w:t>
            </w:r>
            <w:r w:rsidRPr="001C0357">
              <w:rPr>
                <w:rFonts w:cs="Times New Roman"/>
                <w:noProof/>
                <w:sz w:val="20"/>
                <w:szCs w:val="20"/>
              </w:rPr>
              <w:t>685</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7DAC81FD" w14:textId="7A5A3B63"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1</w:t>
            </w:r>
            <w:r>
              <w:rPr>
                <w:rFonts w:cs="Times New Roman"/>
                <w:noProof/>
                <w:sz w:val="20"/>
                <w:szCs w:val="20"/>
              </w:rPr>
              <w:t xml:space="preserve"> </w:t>
            </w:r>
            <w:r w:rsidRPr="001C0357">
              <w:rPr>
                <w:rFonts w:cs="Times New Roman"/>
                <w:noProof/>
                <w:sz w:val="20"/>
                <w:szCs w:val="20"/>
              </w:rPr>
              <w:t>813</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5E03B5A7" w14:textId="72A54B15"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1</w:t>
            </w:r>
            <w:r>
              <w:rPr>
                <w:rFonts w:cs="Times New Roman"/>
                <w:noProof/>
                <w:sz w:val="20"/>
                <w:szCs w:val="20"/>
              </w:rPr>
              <w:t xml:space="preserve"> </w:t>
            </w:r>
            <w:r w:rsidRPr="001C0357">
              <w:rPr>
                <w:rFonts w:cs="Times New Roman"/>
                <w:noProof/>
                <w:sz w:val="20"/>
                <w:szCs w:val="20"/>
              </w:rPr>
              <w:t>925</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4F5CB37D" w14:textId="18FEA11D"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2</w:t>
            </w:r>
            <w:r>
              <w:rPr>
                <w:rFonts w:cs="Times New Roman"/>
                <w:noProof/>
                <w:sz w:val="20"/>
                <w:szCs w:val="20"/>
              </w:rPr>
              <w:t xml:space="preserve"> </w:t>
            </w:r>
            <w:r w:rsidRPr="001C0357">
              <w:rPr>
                <w:rFonts w:cs="Times New Roman"/>
                <w:noProof/>
                <w:sz w:val="20"/>
                <w:szCs w:val="20"/>
              </w:rPr>
              <w:t>035</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325EAADD" w14:textId="357F365D"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2</w:t>
            </w:r>
            <w:r>
              <w:rPr>
                <w:rFonts w:cs="Times New Roman"/>
                <w:noProof/>
                <w:sz w:val="20"/>
                <w:szCs w:val="20"/>
              </w:rPr>
              <w:t xml:space="preserve"> </w:t>
            </w:r>
            <w:r w:rsidRPr="001C0357">
              <w:rPr>
                <w:rFonts w:cs="Times New Roman"/>
                <w:noProof/>
                <w:sz w:val="20"/>
                <w:szCs w:val="20"/>
              </w:rPr>
              <w:t>143</w:t>
            </w:r>
          </w:p>
        </w:tc>
        <w:tc>
          <w:tcPr>
            <w:tcW w:w="954" w:type="dxa"/>
            <w:tcBorders>
              <w:top w:val="nil"/>
              <w:left w:val="nil"/>
              <w:bottom w:val="single" w:sz="4" w:space="0" w:color="auto"/>
              <w:right w:val="single" w:sz="4" w:space="0" w:color="auto"/>
            </w:tcBorders>
            <w:shd w:val="clear" w:color="auto" w:fill="EBE2D1"/>
            <w:vAlign w:val="center"/>
          </w:tcPr>
          <w:p w14:paraId="74CD9BB3" w14:textId="22BD3F13"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2</w:t>
            </w:r>
            <w:r>
              <w:rPr>
                <w:rFonts w:cs="Times New Roman"/>
                <w:noProof/>
                <w:sz w:val="20"/>
                <w:szCs w:val="20"/>
              </w:rPr>
              <w:t xml:space="preserve"> </w:t>
            </w:r>
            <w:r w:rsidRPr="001C0357">
              <w:rPr>
                <w:rFonts w:cs="Times New Roman"/>
                <w:noProof/>
                <w:sz w:val="20"/>
                <w:szCs w:val="20"/>
              </w:rPr>
              <w:t>257</w:t>
            </w:r>
          </w:p>
        </w:tc>
      </w:tr>
      <w:tr w:rsidR="00FF6F22" w:rsidRPr="001C0357" w14:paraId="35DEED49" w14:textId="77777777" w:rsidTr="00AC4FED">
        <w:trPr>
          <w:trHeight w:val="70"/>
          <w:jc w:val="center"/>
        </w:trPr>
        <w:tc>
          <w:tcPr>
            <w:tcW w:w="3400" w:type="dxa"/>
            <w:tcBorders>
              <w:top w:val="nil"/>
              <w:left w:val="single" w:sz="4" w:space="0" w:color="auto"/>
              <w:bottom w:val="single" w:sz="4" w:space="0" w:color="auto"/>
              <w:right w:val="single" w:sz="4" w:space="0" w:color="auto"/>
            </w:tcBorders>
            <w:noWrap/>
            <w:vAlign w:val="center"/>
            <w:hideMark/>
          </w:tcPr>
          <w:p w14:paraId="07F96065" w14:textId="77777777" w:rsidR="00FF6F22" w:rsidRPr="001C0357" w:rsidRDefault="00FF6F22" w:rsidP="00AC4FED">
            <w:pPr>
              <w:spacing w:before="0" w:after="0"/>
              <w:ind w:left="176" w:firstLine="567"/>
              <w:jc w:val="left"/>
              <w:rPr>
                <w:rFonts w:cs="Times New Roman"/>
                <w:noProof/>
                <w:sz w:val="20"/>
                <w:szCs w:val="20"/>
                <w:lang w:eastAsia="lv-LV"/>
              </w:rPr>
            </w:pPr>
            <w:r w:rsidRPr="001C0357">
              <w:rPr>
                <w:rFonts w:cs="Times New Roman"/>
                <w:noProof/>
                <w:sz w:val="20"/>
                <w:szCs w:val="20"/>
                <w:lang w:eastAsia="lv-LV"/>
              </w:rPr>
              <w:t>izmaiņas faktiskajās cenās, %</w:t>
            </w:r>
          </w:p>
        </w:tc>
        <w:tc>
          <w:tcPr>
            <w:tcW w:w="889" w:type="dxa"/>
            <w:tcBorders>
              <w:top w:val="nil"/>
              <w:left w:val="nil"/>
              <w:bottom w:val="single" w:sz="4" w:space="0" w:color="auto"/>
              <w:right w:val="single" w:sz="4" w:space="0" w:color="auto"/>
            </w:tcBorders>
            <w:noWrap/>
            <w:tcMar>
              <w:right w:w="170" w:type="dxa"/>
            </w:tcMar>
            <w:vAlign w:val="center"/>
          </w:tcPr>
          <w:p w14:paraId="04F3ABE8"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9,6</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13169303"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7,6</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6412A89D"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6,2</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3ADB76A9"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5,7</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10641341"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5,3</w:t>
            </w:r>
          </w:p>
        </w:tc>
        <w:tc>
          <w:tcPr>
            <w:tcW w:w="954" w:type="dxa"/>
            <w:tcBorders>
              <w:top w:val="nil"/>
              <w:left w:val="nil"/>
              <w:bottom w:val="single" w:sz="4" w:space="0" w:color="auto"/>
              <w:right w:val="single" w:sz="4" w:space="0" w:color="auto"/>
            </w:tcBorders>
            <w:shd w:val="clear" w:color="auto" w:fill="EBE2D1"/>
            <w:vAlign w:val="center"/>
          </w:tcPr>
          <w:p w14:paraId="6A4360A1"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5,3</w:t>
            </w:r>
          </w:p>
        </w:tc>
      </w:tr>
      <w:tr w:rsidR="00FF6F22" w:rsidRPr="001C0357" w14:paraId="7E6C0E1A" w14:textId="77777777" w:rsidTr="00AC4FED">
        <w:trPr>
          <w:trHeight w:val="70"/>
          <w:jc w:val="center"/>
        </w:trPr>
        <w:tc>
          <w:tcPr>
            <w:tcW w:w="3400" w:type="dxa"/>
            <w:tcBorders>
              <w:top w:val="nil"/>
              <w:left w:val="single" w:sz="4" w:space="0" w:color="auto"/>
              <w:bottom w:val="single" w:sz="4" w:space="0" w:color="auto"/>
              <w:right w:val="single" w:sz="4" w:space="0" w:color="auto"/>
            </w:tcBorders>
            <w:noWrap/>
            <w:vAlign w:val="center"/>
            <w:hideMark/>
          </w:tcPr>
          <w:p w14:paraId="4441D978" w14:textId="77777777" w:rsidR="00FF6F22" w:rsidRPr="001C0357" w:rsidRDefault="00FF6F22" w:rsidP="00AC4FED">
            <w:pPr>
              <w:spacing w:before="0" w:after="0"/>
              <w:ind w:left="176" w:firstLine="567"/>
              <w:jc w:val="left"/>
              <w:rPr>
                <w:rFonts w:cs="Times New Roman"/>
                <w:noProof/>
                <w:sz w:val="20"/>
                <w:szCs w:val="20"/>
                <w:lang w:eastAsia="lv-LV"/>
              </w:rPr>
            </w:pPr>
            <w:r w:rsidRPr="001C0357">
              <w:rPr>
                <w:rFonts w:cs="Times New Roman"/>
                <w:noProof/>
                <w:sz w:val="20"/>
                <w:szCs w:val="20"/>
                <w:lang w:eastAsia="lv-LV"/>
              </w:rPr>
              <w:t>izmaiņas salīdzin. cenās, %</w:t>
            </w:r>
          </w:p>
        </w:tc>
        <w:tc>
          <w:tcPr>
            <w:tcW w:w="889" w:type="dxa"/>
            <w:tcBorders>
              <w:top w:val="nil"/>
              <w:left w:val="nil"/>
              <w:bottom w:val="single" w:sz="4" w:space="0" w:color="auto"/>
              <w:right w:val="single" w:sz="4" w:space="0" w:color="auto"/>
            </w:tcBorders>
            <w:noWrap/>
            <w:tcMar>
              <w:right w:w="170" w:type="dxa"/>
            </w:tcMar>
            <w:vAlign w:val="center"/>
          </w:tcPr>
          <w:p w14:paraId="2D40A32B"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8,2</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23C0628B"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4,0</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269131A2"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3,4</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2B29E41A"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3,1</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01208188"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2,7</w:t>
            </w:r>
          </w:p>
        </w:tc>
        <w:tc>
          <w:tcPr>
            <w:tcW w:w="954" w:type="dxa"/>
            <w:tcBorders>
              <w:top w:val="nil"/>
              <w:left w:val="nil"/>
              <w:bottom w:val="single" w:sz="4" w:space="0" w:color="auto"/>
              <w:right w:val="single" w:sz="4" w:space="0" w:color="auto"/>
            </w:tcBorders>
            <w:shd w:val="clear" w:color="auto" w:fill="EBE2D1"/>
            <w:vAlign w:val="center"/>
          </w:tcPr>
          <w:p w14:paraId="5715E7D7"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2,7</w:t>
            </w:r>
          </w:p>
        </w:tc>
      </w:tr>
      <w:tr w:rsidR="00FF6F22" w:rsidRPr="001C0357" w14:paraId="5CC97413" w14:textId="77777777" w:rsidTr="00AC4FED">
        <w:trPr>
          <w:trHeight w:val="70"/>
          <w:jc w:val="center"/>
        </w:trPr>
        <w:tc>
          <w:tcPr>
            <w:tcW w:w="3400" w:type="dxa"/>
            <w:tcBorders>
              <w:top w:val="nil"/>
              <w:left w:val="single" w:sz="4" w:space="0" w:color="auto"/>
              <w:bottom w:val="single" w:sz="4" w:space="0" w:color="auto"/>
              <w:right w:val="single" w:sz="4" w:space="0" w:color="auto"/>
            </w:tcBorders>
            <w:noWrap/>
            <w:vAlign w:val="center"/>
            <w:hideMark/>
          </w:tcPr>
          <w:p w14:paraId="1265EF70" w14:textId="77777777" w:rsidR="00FF6F22" w:rsidRPr="001C0357" w:rsidRDefault="00FF6F22" w:rsidP="00AC4FED">
            <w:pPr>
              <w:spacing w:before="0" w:after="0"/>
              <w:ind w:firstLine="0"/>
              <w:rPr>
                <w:rFonts w:cs="Times New Roman"/>
                <w:noProof/>
                <w:sz w:val="20"/>
                <w:szCs w:val="20"/>
                <w:lang w:eastAsia="lv-LV"/>
              </w:rPr>
            </w:pPr>
            <w:r w:rsidRPr="001C0357">
              <w:rPr>
                <w:rFonts w:cs="Times New Roman"/>
                <w:b/>
                <w:bCs/>
                <w:noProof/>
                <w:sz w:val="20"/>
                <w:szCs w:val="20"/>
                <w:lang w:eastAsia="lv-LV"/>
              </w:rPr>
              <w:t>Nodarbinātība</w:t>
            </w:r>
            <w:r w:rsidRPr="001C0357">
              <w:rPr>
                <w:rFonts w:cs="Times New Roman"/>
                <w:noProof/>
                <w:sz w:val="20"/>
                <w:szCs w:val="20"/>
                <w:lang w:eastAsia="lv-LV"/>
              </w:rPr>
              <w:t>, tūkst. iedzīvotāju (atbilstoši darbaspēka apsekoj.)</w:t>
            </w:r>
          </w:p>
        </w:tc>
        <w:tc>
          <w:tcPr>
            <w:tcW w:w="889" w:type="dxa"/>
            <w:tcBorders>
              <w:top w:val="nil"/>
              <w:left w:val="nil"/>
              <w:bottom w:val="single" w:sz="4" w:space="0" w:color="auto"/>
              <w:right w:val="single" w:sz="4" w:space="0" w:color="auto"/>
            </w:tcBorders>
            <w:noWrap/>
            <w:tcMar>
              <w:right w:w="170" w:type="dxa"/>
            </w:tcMar>
            <w:vAlign w:val="center"/>
          </w:tcPr>
          <w:p w14:paraId="6B9F560E"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877</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5AB54408"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877</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76FFC4F0"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876</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4D3329D1"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874</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3ED80FDE"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870</w:t>
            </w:r>
          </w:p>
        </w:tc>
        <w:tc>
          <w:tcPr>
            <w:tcW w:w="954" w:type="dxa"/>
            <w:tcBorders>
              <w:top w:val="nil"/>
              <w:left w:val="nil"/>
              <w:bottom w:val="single" w:sz="4" w:space="0" w:color="auto"/>
              <w:right w:val="single" w:sz="4" w:space="0" w:color="auto"/>
            </w:tcBorders>
            <w:shd w:val="clear" w:color="auto" w:fill="EBE2D1"/>
            <w:vAlign w:val="center"/>
          </w:tcPr>
          <w:p w14:paraId="01E5826E"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863</w:t>
            </w:r>
          </w:p>
        </w:tc>
      </w:tr>
      <w:tr w:rsidR="00FF6F22" w:rsidRPr="001C0357" w14:paraId="0F067A93" w14:textId="77777777" w:rsidTr="00AC4FED">
        <w:trPr>
          <w:trHeight w:val="70"/>
          <w:jc w:val="center"/>
        </w:trPr>
        <w:tc>
          <w:tcPr>
            <w:tcW w:w="3400" w:type="dxa"/>
            <w:tcBorders>
              <w:top w:val="nil"/>
              <w:left w:val="single" w:sz="4" w:space="0" w:color="auto"/>
              <w:bottom w:val="single" w:sz="4" w:space="0" w:color="auto"/>
              <w:right w:val="single" w:sz="4" w:space="0" w:color="auto"/>
            </w:tcBorders>
            <w:noWrap/>
            <w:vAlign w:val="center"/>
            <w:hideMark/>
          </w:tcPr>
          <w:p w14:paraId="3776ED00" w14:textId="77777777" w:rsidR="00FF6F22" w:rsidRPr="001C0357" w:rsidRDefault="00FF6F22" w:rsidP="00AC4FED">
            <w:pPr>
              <w:spacing w:before="0" w:after="0"/>
              <w:ind w:left="174" w:firstLine="0"/>
              <w:jc w:val="left"/>
              <w:rPr>
                <w:rFonts w:cs="Times New Roman"/>
                <w:noProof/>
                <w:sz w:val="20"/>
                <w:szCs w:val="20"/>
                <w:lang w:eastAsia="lv-LV"/>
              </w:rPr>
            </w:pPr>
            <w:r w:rsidRPr="001C0357">
              <w:rPr>
                <w:rFonts w:cs="Times New Roman"/>
                <w:noProof/>
                <w:sz w:val="20"/>
                <w:szCs w:val="20"/>
                <w:lang w:eastAsia="lv-LV"/>
              </w:rPr>
              <w:t>izmaiņas, %</w:t>
            </w:r>
          </w:p>
        </w:tc>
        <w:tc>
          <w:tcPr>
            <w:tcW w:w="889" w:type="dxa"/>
            <w:tcBorders>
              <w:top w:val="nil"/>
              <w:left w:val="nil"/>
              <w:bottom w:val="single" w:sz="4" w:space="0" w:color="auto"/>
              <w:right w:val="single" w:sz="4" w:space="0" w:color="auto"/>
            </w:tcBorders>
            <w:noWrap/>
            <w:tcMar>
              <w:right w:w="170" w:type="dxa"/>
            </w:tcMar>
            <w:vAlign w:val="center"/>
          </w:tcPr>
          <w:p w14:paraId="686ED949"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-0,8</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7F92BFE0"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-0,1</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3BD7E5F8"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-0,1</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649E1CA7"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-0,2</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20BE3066"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-0,5</w:t>
            </w:r>
          </w:p>
        </w:tc>
        <w:tc>
          <w:tcPr>
            <w:tcW w:w="954" w:type="dxa"/>
            <w:tcBorders>
              <w:top w:val="nil"/>
              <w:left w:val="nil"/>
              <w:bottom w:val="single" w:sz="4" w:space="0" w:color="auto"/>
              <w:right w:val="single" w:sz="4" w:space="0" w:color="auto"/>
            </w:tcBorders>
            <w:shd w:val="clear" w:color="auto" w:fill="EBE2D1"/>
            <w:vAlign w:val="center"/>
          </w:tcPr>
          <w:p w14:paraId="3B538AF4"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-0,7</w:t>
            </w:r>
          </w:p>
        </w:tc>
      </w:tr>
      <w:tr w:rsidR="00FF6F22" w:rsidRPr="001C0357" w14:paraId="64B95C19" w14:textId="77777777" w:rsidTr="00AC4FED">
        <w:trPr>
          <w:trHeight w:val="70"/>
          <w:jc w:val="center"/>
        </w:trPr>
        <w:tc>
          <w:tcPr>
            <w:tcW w:w="3400" w:type="dxa"/>
            <w:tcBorders>
              <w:top w:val="single" w:sz="4" w:space="0" w:color="auto"/>
              <w:left w:val="single" w:sz="4" w:space="0" w:color="auto"/>
              <w:bottom w:val="single" w:sz="4" w:space="0" w:color="auto"/>
              <w:right w:val="single" w:sz="4" w:space="0" w:color="auto"/>
            </w:tcBorders>
            <w:noWrap/>
            <w:vAlign w:val="center"/>
            <w:hideMark/>
          </w:tcPr>
          <w:p w14:paraId="06991B45" w14:textId="77777777" w:rsidR="00FF6F22" w:rsidRPr="001C0357" w:rsidRDefault="00FF6F22" w:rsidP="00AC4FED">
            <w:pPr>
              <w:spacing w:before="0" w:after="0"/>
              <w:ind w:firstLine="0"/>
              <w:rPr>
                <w:rFonts w:cs="Times New Roman"/>
                <w:noProof/>
                <w:sz w:val="20"/>
                <w:szCs w:val="20"/>
                <w:lang w:eastAsia="lv-LV"/>
              </w:rPr>
            </w:pPr>
            <w:r w:rsidRPr="001C0357">
              <w:rPr>
                <w:rFonts w:cs="Times New Roman"/>
                <w:b/>
                <w:bCs/>
                <w:noProof/>
                <w:sz w:val="20"/>
                <w:szCs w:val="20"/>
                <w:lang w:eastAsia="lv-LV"/>
              </w:rPr>
              <w:t>Bezdarba līmenis</w:t>
            </w:r>
            <w:r w:rsidRPr="001C0357">
              <w:rPr>
                <w:rFonts w:cs="Times New Roman"/>
                <w:noProof/>
                <w:sz w:val="20"/>
                <w:szCs w:val="20"/>
                <w:lang w:eastAsia="lv-LV"/>
              </w:rPr>
              <w:t xml:space="preserve"> (gada vidējais),</w:t>
            </w:r>
            <w:r w:rsidRPr="001C0357">
              <w:rPr>
                <w:rFonts w:cs="Times New Roman"/>
                <w:noProof/>
                <w:sz w:val="20"/>
                <w:szCs w:val="20"/>
                <w:lang w:eastAsia="lv-LV"/>
              </w:rPr>
              <w:br/>
              <w:t>% no ekon. aktīviem iedzīv.</w:t>
            </w:r>
          </w:p>
        </w:tc>
        <w:tc>
          <w:tcPr>
            <w:tcW w:w="889" w:type="dxa"/>
            <w:tcBorders>
              <w:top w:val="single" w:sz="4" w:space="0" w:color="auto"/>
              <w:left w:val="nil"/>
              <w:bottom w:val="single" w:sz="4" w:space="0" w:color="auto"/>
              <w:right w:val="single" w:sz="4" w:space="0" w:color="auto"/>
            </w:tcBorders>
            <w:noWrap/>
            <w:tcMar>
              <w:right w:w="170" w:type="dxa"/>
            </w:tcMar>
            <w:vAlign w:val="center"/>
          </w:tcPr>
          <w:p w14:paraId="3AB7CC95"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6,9</w:t>
            </w:r>
          </w:p>
        </w:tc>
        <w:tc>
          <w:tcPr>
            <w:tcW w:w="954" w:type="dxa"/>
            <w:tcBorders>
              <w:top w:val="single" w:sz="4" w:space="0" w:color="auto"/>
              <w:left w:val="nil"/>
              <w:bottom w:val="single" w:sz="4" w:space="0" w:color="auto"/>
              <w:right w:val="single" w:sz="4" w:space="0" w:color="auto"/>
            </w:tcBorders>
            <w:shd w:val="clear" w:color="auto" w:fill="EBE2D1"/>
            <w:noWrap/>
            <w:tcMar>
              <w:right w:w="170" w:type="dxa"/>
            </w:tcMar>
            <w:vAlign w:val="center"/>
          </w:tcPr>
          <w:p w14:paraId="3830318B"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6,8</w:t>
            </w:r>
          </w:p>
        </w:tc>
        <w:tc>
          <w:tcPr>
            <w:tcW w:w="955" w:type="dxa"/>
            <w:tcBorders>
              <w:top w:val="single" w:sz="4" w:space="0" w:color="auto"/>
              <w:left w:val="nil"/>
              <w:bottom w:val="single" w:sz="4" w:space="0" w:color="auto"/>
              <w:right w:val="single" w:sz="4" w:space="0" w:color="auto"/>
            </w:tcBorders>
            <w:shd w:val="clear" w:color="auto" w:fill="EBE2D1"/>
            <w:noWrap/>
            <w:tcMar>
              <w:right w:w="170" w:type="dxa"/>
            </w:tcMar>
            <w:vAlign w:val="center"/>
          </w:tcPr>
          <w:p w14:paraId="2BE96AED"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6,2</w:t>
            </w:r>
          </w:p>
        </w:tc>
        <w:tc>
          <w:tcPr>
            <w:tcW w:w="954" w:type="dxa"/>
            <w:tcBorders>
              <w:top w:val="single" w:sz="4" w:space="0" w:color="auto"/>
              <w:left w:val="nil"/>
              <w:bottom w:val="single" w:sz="4" w:space="0" w:color="auto"/>
              <w:right w:val="single" w:sz="4" w:space="0" w:color="auto"/>
            </w:tcBorders>
            <w:shd w:val="clear" w:color="auto" w:fill="EBE2D1"/>
            <w:noWrap/>
            <w:tcMar>
              <w:right w:w="170" w:type="dxa"/>
            </w:tcMar>
            <w:vAlign w:val="center"/>
          </w:tcPr>
          <w:p w14:paraId="34B7E03D"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5,5</w:t>
            </w:r>
          </w:p>
        </w:tc>
        <w:tc>
          <w:tcPr>
            <w:tcW w:w="955" w:type="dxa"/>
            <w:tcBorders>
              <w:top w:val="single" w:sz="4" w:space="0" w:color="auto"/>
              <w:left w:val="nil"/>
              <w:bottom w:val="single" w:sz="4" w:space="0" w:color="auto"/>
              <w:right w:val="single" w:sz="4" w:space="0" w:color="auto"/>
            </w:tcBorders>
            <w:shd w:val="clear" w:color="auto" w:fill="EBE2D1"/>
            <w:noWrap/>
            <w:tcMar>
              <w:right w:w="170" w:type="dxa"/>
            </w:tcMar>
            <w:vAlign w:val="center"/>
          </w:tcPr>
          <w:p w14:paraId="0D224B58"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5,2</w:t>
            </w:r>
          </w:p>
        </w:tc>
        <w:tc>
          <w:tcPr>
            <w:tcW w:w="954" w:type="dxa"/>
            <w:tcBorders>
              <w:top w:val="single" w:sz="4" w:space="0" w:color="auto"/>
              <w:left w:val="nil"/>
              <w:bottom w:val="single" w:sz="4" w:space="0" w:color="auto"/>
              <w:right w:val="single" w:sz="4" w:space="0" w:color="auto"/>
            </w:tcBorders>
            <w:shd w:val="clear" w:color="auto" w:fill="EBE2D1"/>
            <w:vAlign w:val="center"/>
          </w:tcPr>
          <w:p w14:paraId="77B137DF" w14:textId="77777777" w:rsidR="00FF6F22" w:rsidRPr="001C0357" w:rsidRDefault="00FF6F22" w:rsidP="00AC4FED">
            <w:pPr>
              <w:spacing w:before="0" w:after="0"/>
              <w:ind w:firstLine="0"/>
              <w:jc w:val="right"/>
              <w:rPr>
                <w:rFonts w:cs="Times New Roman"/>
                <w:noProof/>
                <w:sz w:val="20"/>
                <w:szCs w:val="20"/>
              </w:rPr>
            </w:pPr>
            <w:r w:rsidRPr="001C0357">
              <w:rPr>
                <w:rFonts w:cs="Times New Roman"/>
                <w:noProof/>
                <w:sz w:val="20"/>
                <w:szCs w:val="20"/>
              </w:rPr>
              <w:t>5,2</w:t>
            </w:r>
          </w:p>
        </w:tc>
      </w:tr>
    </w:tbl>
    <w:p w14:paraId="360F0F1D" w14:textId="77777777" w:rsidR="00FF6F22" w:rsidRPr="001C0357" w:rsidRDefault="00FF6F22" w:rsidP="00FF6F22">
      <w:pPr>
        <w:rPr>
          <w:noProof/>
          <w:szCs w:val="24"/>
          <w:lang w:eastAsia="lv-LV"/>
        </w:rPr>
      </w:pPr>
      <w:r w:rsidRPr="001C0357">
        <w:rPr>
          <w:noProof/>
          <w:color w:val="000000" w:themeColor="text1"/>
        </w:rPr>
        <w:t xml:space="preserve">Ņemot vērā makroekonomiskās attīstības optimistisko scenāriju, Finanšu ministrija ir novērtējusi arī šī scenārija ietekmi uz vispārējās valdības budžeta bilanci, novērtējot izmaiņas nodokļu un nenodokļu ieņēmumos, kā arī valsts speciālā budžeta izdevumos un valsts parāda apkalpošanas (procentu) izdevumos salīdzinājumā ar bāzes scenāriju. </w:t>
      </w:r>
      <w:r w:rsidRPr="001C0357">
        <w:rPr>
          <w:noProof/>
          <w:szCs w:val="24"/>
          <w:lang w:eastAsia="lv-LV"/>
        </w:rPr>
        <w:t>Rezultātā kopbudžeta nodokļu ieņēmumi, salīdzinot ar bāzes scenāriju 2025.-2029. gadam, pēc naudas plūsmas tiek prognozēti ar palielinājumu 47,2 milj. </w:t>
      </w:r>
      <w:r w:rsidRPr="001C0357">
        <w:rPr>
          <w:i/>
          <w:iCs/>
          <w:noProof/>
          <w:szCs w:val="24"/>
          <w:lang w:eastAsia="lv-LV"/>
        </w:rPr>
        <w:t>euro</w:t>
      </w:r>
      <w:r w:rsidRPr="001C0357">
        <w:rPr>
          <w:noProof/>
          <w:szCs w:val="24"/>
          <w:lang w:eastAsia="lv-LV"/>
        </w:rPr>
        <w:t xml:space="preserve"> 2025. gadā, 116,5 milj. </w:t>
      </w:r>
      <w:r w:rsidRPr="001C0357">
        <w:rPr>
          <w:i/>
          <w:iCs/>
          <w:noProof/>
          <w:szCs w:val="24"/>
          <w:lang w:eastAsia="lv-LV"/>
        </w:rPr>
        <w:t>euro</w:t>
      </w:r>
      <w:r w:rsidRPr="001C0357">
        <w:rPr>
          <w:noProof/>
          <w:szCs w:val="24"/>
          <w:lang w:eastAsia="lv-LV"/>
        </w:rPr>
        <w:t xml:space="preserve"> 2026. gadā, 176,5 milj. </w:t>
      </w:r>
      <w:r w:rsidRPr="001C0357">
        <w:rPr>
          <w:i/>
          <w:iCs/>
          <w:noProof/>
          <w:szCs w:val="24"/>
          <w:lang w:eastAsia="lv-LV"/>
        </w:rPr>
        <w:t>euro</w:t>
      </w:r>
      <w:r w:rsidRPr="001C0357">
        <w:rPr>
          <w:noProof/>
          <w:szCs w:val="24"/>
          <w:lang w:eastAsia="lv-LV"/>
        </w:rPr>
        <w:t xml:space="preserve"> 2027. gadā, 216,0 milj. </w:t>
      </w:r>
      <w:r w:rsidRPr="001C0357">
        <w:rPr>
          <w:i/>
          <w:iCs/>
          <w:noProof/>
          <w:szCs w:val="24"/>
          <w:lang w:eastAsia="lv-LV"/>
        </w:rPr>
        <w:t>euro</w:t>
      </w:r>
      <w:r w:rsidRPr="001C0357">
        <w:rPr>
          <w:noProof/>
          <w:szCs w:val="24"/>
          <w:lang w:eastAsia="lv-LV"/>
        </w:rPr>
        <w:t xml:space="preserve"> 2028. gadā un 253,9 milj. </w:t>
      </w:r>
      <w:r w:rsidRPr="001C0357">
        <w:rPr>
          <w:i/>
          <w:iCs/>
          <w:noProof/>
          <w:szCs w:val="24"/>
          <w:lang w:eastAsia="lv-LV"/>
        </w:rPr>
        <w:t>euro</w:t>
      </w:r>
      <w:r w:rsidRPr="001C0357">
        <w:rPr>
          <w:noProof/>
          <w:szCs w:val="24"/>
          <w:lang w:eastAsia="lv-LV"/>
        </w:rPr>
        <w:t xml:space="preserve"> 2029. gadā, vadoties pēc optimistiskajā scenārijā iezīmētājām tautsaimniecības attīstības tendencēm. </w:t>
      </w:r>
    </w:p>
    <w:p w14:paraId="3BBDE74D" w14:textId="648B7350" w:rsidR="00FF6F22" w:rsidRPr="00FF6F22" w:rsidRDefault="00FF6F22" w:rsidP="00FF6F22">
      <w:pPr>
        <w:rPr>
          <w:noProof/>
          <w:color w:val="000000" w:themeColor="text1"/>
          <w:szCs w:val="24"/>
        </w:rPr>
      </w:pPr>
      <w:r w:rsidRPr="001C0357">
        <w:rPr>
          <w:noProof/>
          <w:color w:val="000000" w:themeColor="text1"/>
          <w:szCs w:val="24"/>
        </w:rPr>
        <w:t>2025. -2029. gadā vispārējās valdības budžeta deficīts, optimistiskajam scenārijam iestājoties un saglabājoties nemainīgai valdības politikai, tiek prognozēts attiecīgi 2,8% no IKP 2025. gadā, 2,7% no IKP 2026. gadā, 3,6% no IKP 2027. gadā, 3,3% no IKP 2028. gadā un 3,4% no IKP 2029. gadā (skat. 6.</w:t>
      </w:r>
      <w:r>
        <w:rPr>
          <w:noProof/>
          <w:color w:val="000000" w:themeColor="text1"/>
          <w:szCs w:val="24"/>
        </w:rPr>
        <w:t> </w:t>
      </w:r>
      <w:r w:rsidRPr="001C0357">
        <w:rPr>
          <w:noProof/>
          <w:color w:val="000000" w:themeColor="text1"/>
          <w:szCs w:val="24"/>
        </w:rPr>
        <w:t xml:space="preserve">attēlu). Pie šī scenārija bilances uzlabošanos galvenokārt nosaka augstāki kopbudžeta nodokļu un arī nenodokļu ieņēmumi un zemāki izdevumi procentu izdevumiem, kamēr speciālā budžeta pabalstu izdevumi prognozēti augstākā apmērā kā bāzes scenārijā. Savukārt, Valsts kases aplēses liecina, ka šāda scenārija gadījumā pie zemāka vispārējās valdības deficīta līmeņa un augstāka nominālā IKP, vispārējās valdības parāda </w:t>
      </w:r>
      <w:r w:rsidRPr="001C0357">
        <w:rPr>
          <w:noProof/>
          <w:color w:val="000000" w:themeColor="text1"/>
          <w:szCs w:val="24"/>
        </w:rPr>
        <w:lastRenderedPageBreak/>
        <w:t xml:space="preserve">līmenis tiek prognozēts attiecīgi 48,5% no IKP 2025. gadā, 49,6% no IKP 2026. gadā, 53,0% </w:t>
      </w:r>
      <w:r w:rsidR="00FF3759">
        <w:rPr>
          <w:noProof/>
          <w:color w:val="000000" w:themeColor="text1"/>
          <w:szCs w:val="24"/>
        </w:rPr>
        <mc:AlternateContent>
          <mc:Choice Requires="wpg">
            <w:drawing>
              <wp:anchor distT="0" distB="0" distL="114300" distR="114300" simplePos="0" relativeHeight="251676672" behindDoc="0" locked="0" layoutInCell="1" allowOverlap="1" wp14:anchorId="45239BF6" wp14:editId="175F89C8">
                <wp:simplePos x="0" y="0"/>
                <wp:positionH relativeFrom="column">
                  <wp:posOffset>-400685</wp:posOffset>
                </wp:positionH>
                <wp:positionV relativeFrom="page">
                  <wp:posOffset>1206500</wp:posOffset>
                </wp:positionV>
                <wp:extent cx="6654800" cy="2209800"/>
                <wp:effectExtent l="0" t="0" r="0" b="0"/>
                <wp:wrapTopAndBottom/>
                <wp:docPr id="370911678" name="Group 3"/>
                <wp:cNvGraphicFramePr/>
                <a:graphic xmlns:a="http://schemas.openxmlformats.org/drawingml/2006/main">
                  <a:graphicData uri="http://schemas.microsoft.com/office/word/2010/wordprocessingGroup">
                    <wpg:wgp>
                      <wpg:cNvGrpSpPr/>
                      <wpg:grpSpPr>
                        <a:xfrm>
                          <a:off x="0" y="0"/>
                          <a:ext cx="6654800" cy="2209800"/>
                          <a:chOff x="0" y="0"/>
                          <a:chExt cx="6654800" cy="2209801"/>
                        </a:xfrm>
                      </wpg:grpSpPr>
                      <pic:pic xmlns:pic="http://schemas.openxmlformats.org/drawingml/2006/picture">
                        <pic:nvPicPr>
                          <pic:cNvPr id="802689773" name="Picture 3" descr="A graph with a line and a line&#10;&#10;AI-generated content may be incorrect."/>
                          <pic:cNvPicPr>
                            <a:picLocks noChangeAspect="1"/>
                          </pic:cNvPicPr>
                        </pic:nvPicPr>
                        <pic:blipFill rotWithShape="1">
                          <a:blip r:embed="rId12" cstate="print">
                            <a:extLst>
                              <a:ext uri="{28A0092B-C50C-407E-A947-70E740481C1C}">
                                <a14:useLocalDpi xmlns:a14="http://schemas.microsoft.com/office/drawing/2010/main" val="0"/>
                              </a:ext>
                            </a:extLst>
                          </a:blip>
                          <a:srcRect b="11787"/>
                          <a:stretch>
                            <a:fillRect/>
                          </a:stretch>
                        </pic:blipFill>
                        <pic:spPr bwMode="auto">
                          <a:xfrm>
                            <a:off x="0" y="1"/>
                            <a:ext cx="3438525" cy="2209800"/>
                          </a:xfrm>
                          <a:prstGeom prst="rect">
                            <a:avLst/>
                          </a:prstGeom>
                          <a:noFill/>
                        </pic:spPr>
                      </pic:pic>
                      <pic:pic xmlns:pic="http://schemas.openxmlformats.org/drawingml/2006/picture">
                        <pic:nvPicPr>
                          <pic:cNvPr id="861340262" name="Picture 4" descr="A graph with lines and numbers&#10;&#10;AI-generated content may be incorrect."/>
                          <pic:cNvPicPr>
                            <a:picLocks noChangeAspect="1"/>
                          </pic:cNvPicPr>
                        </pic:nvPicPr>
                        <pic:blipFill rotWithShape="1">
                          <a:blip r:embed="rId13" cstate="print">
                            <a:extLst>
                              <a:ext uri="{28A0092B-C50C-407E-A947-70E740481C1C}">
                                <a14:useLocalDpi xmlns:a14="http://schemas.microsoft.com/office/drawing/2010/main" val="0"/>
                              </a:ext>
                            </a:extLst>
                          </a:blip>
                          <a:srcRect b="12564"/>
                          <a:stretch>
                            <a:fillRect/>
                          </a:stretch>
                        </pic:blipFill>
                        <pic:spPr bwMode="auto">
                          <a:xfrm>
                            <a:off x="3206750" y="0"/>
                            <a:ext cx="3448050" cy="2178051"/>
                          </a:xfrm>
                          <a:prstGeom prst="rect">
                            <a:avLst/>
                          </a:prstGeom>
                          <a:noFill/>
                        </pic:spPr>
                      </pic:pic>
                    </wpg:wgp>
                  </a:graphicData>
                </a:graphic>
                <wp14:sizeRelV relativeFrom="margin">
                  <wp14:pctHeight>0</wp14:pctHeight>
                </wp14:sizeRelV>
              </wp:anchor>
            </w:drawing>
          </mc:Choice>
          <mc:Fallback>
            <w:pict>
              <v:group w14:anchorId="0E940942" id="Group 3" o:spid="_x0000_s1026" style="position:absolute;margin-left:-31.55pt;margin-top:95pt;width:524pt;height:174pt;z-index:251676672;mso-position-vertical-relative:page;mso-height-relative:margin" coordsize="66548,220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0tNA6QIAAJoIAAAOAAAAZHJzL2Uyb0RvYy54bWzkVslu2zAQvRfoPxAq&#10;0FusxWvU2IHRNEGAtDWaFj3TFCURkUhiSFv232dIyUZsp0gRtIeiB9MzXIZvHt+Qurjc1BVZczBC&#10;yWkQ96KAcMlUJmQxDX58vz6bBMRYKjNaKcmnwZab4HL29s1Fo1OeqFJVGQeCQaRJGz0NSmt1GoaG&#10;lbympqc0lziYK6ipRReKMAPaYPS6CpMoGoWNgkyDYtwY7L1qB4OZj5/nnNmveW64JdU0QGzWt+Db&#10;pWvD2QVNC6C6FKyDQV+BoqZC4qb7UFfUUrICcRKqFgyUUbntMVWHKs8F4z4HzCaOjrK5AbXSPpci&#10;bQq9pwmpPeLp1WHZl/UN6Hu9AGSi0QVy4T2XyyaH2v0jSrLxlG33lPGNJQw7R6PhYBIhswzHkiQ6&#10;d44nlZXI/Mk6Vn769crYrQx3G4cHcLRgKf46DtA64eBlreAquwIedEHq34pRU3hY6TM8Lk2tWIpK&#10;2K2XHh6MAyXXC8EW0DpI5wKIyKbBJEpGk/PxuB8QSWtUPs5ymxPsyLhhqME58cIjjbAloaQSkhOs&#10;lM58/24z/+Cb+e1ZwSUHanlGmJKWS0tquiVLTgQWGwDKvOe4c3gchBYQdYTdKfZgiFQfSyoLPjca&#10;52KheqYPp4fOPchmWQl9LaqKgLI/EeR9STVmEnulu8GOSMzlSI/PnEWr9SvFVjXib4sXeIWcKmlK&#10;oU1AIOX1kiN5cJvFKCm8OCzup0FI24rKAPuGCRCs3TgeT8ZdrwVuWem0miNcN6MVktkN+Nx26bQ8&#10;GdQ8WTafVYZb0JVVPqtnNe/ZoulO8/1BfzJMhiea3ysXiQdjb7iqiTMwH0Tkw9P1nemw7aY41FI5&#10;mh1mdwYOWWei26JF49+R/ijuD1D+ybH0B89L3wnfeOXLFZ4/mP9c+sjbC9JPhqPB35Z+P4lG4yHe&#10;7KeXfn+Ad74b8pc+1mE0PLy6/3AB+JcAH0D/OHSPtXthn/poP/2kmD0CAAD//wMAUEsDBAoAAAAA&#10;AAAAIQBvIwD8iikAAIopAAAUAAAAZHJzL21lZGlhL2ltYWdlMS5wbmeJUE5HDQoaCgAAAA1JSERS&#10;AAADUQAAAeoIAwAAANLJNAcAAAABc1JHQgCuzhzpAAAABGdBTUEAALGPC/xhBQAAAvRQTFRFAAAA&#10;AAAAAAAAAAAAAAAAAAAAAAAAAAAAAAAAAAAAAAAAAAAAAAAAAAAAAAAAAAAAAAAAAAAAAAAAAAAA&#10;AAAAAAAAAAAAAAAAAAAAAAAAAAAAAAAAAAAAAAAAAAAAAAAAAAAAAAAAAAAAAAAAAAAAAAAAAAAA&#10;AAAAAAAAAAAAAAAAAAAAAAAAAAAAAAAAAAAAAAAAAAAAAAAAAAAAAAAAAAAAAAAAAAAAAAAAAAAA&#10;QEBAWVlZWVlZWVlZQEBAWFhYV1dXWVlZVVVVVVVVWVlZWFhYWFhYWVlZVVVVWFhYTU1NWFhYVVVV&#10;2dnZAIaAAIuBAIqCAIuCAIuBAImBAICAAIqBAIuCAIZ5AImAAImBAICAAImCAIuCAIqBAIqBAIh9&#10;AIuBAIR7AIuBAIiAAIqCAImAAIiAAIqAAIN8AIqBAICAgICAgICAf39/f39/f39/gICAgICAgICA&#10;f39/f39/gICAf39/f39/f39/gICAAImAAIuCgICAAIuBf39/gICAAIqCgICAgICAf39/f39/f39/&#10;f39/f39/w8PDrKyslZWVkJCQpqamwMDA1tbWoaGhzs7Ohru3CY6Fx9LRvc7NDo+HbLGt0tbWGpSM&#10;BYyDlcC9ocTC1tjYQqOcK5qT0NXVpsbERKOdxcXFr6+vvb2909PTyMjIm5ubnp6ejr26q8jGgICA&#10;gICAf39/gICAf39/AIeAgICAgICAAIqBAIuBAImAAImBAIiBAIqCAIiAAIqCAImBAIeAAIV6AIh9&#10;AIqAAIuDAIuBAIuDAIuCAIuCAIqCAIuCAIuCAIuCAIuCAIyAAIyCAIuDAI+AAIuCAIqDEoqCAIuC&#10;AIyCV4OAGImCAIqCAImDY4KAX4KAQ4SAQIWBQ4WBJ4iBNYaBAIyCAIqCAIyDAIqAAIuCAIyCAIyC&#10;AImAWVlZWFhYSUlJWFhYt7e3mJiYjY2NpKSkurq60dHRhYWFioqKWFhYsrKyk5OTgoKCWVlZWVlZ&#10;WFhYUVFRWVlZWFhYAMQdiwAAAPx0Uk5TAASy/4A89BX5Nq8KYpLFc4adR8ArXSHuzR2/0gjhd7im&#10;no1YhGjM11BkQqIgVHzabauZUj4ZJGVZLwSy/68I4ViNPCHugGL0Fc0K+Tb/KLju/9ddCOH0FY2A&#10;BGjM+cAroh2yPK82WGIhzQogYJ+/p0AYWN//SJfXz1BQvxCGjwjSgHDnh8fv9///////////////&#10;////////////////////////////////OHi3KK9CMGhtxVJzR50+2ncgGS8wQIC/p1h0j9fv5yjf&#10;zxD3SOO3h///eFD/////88+an2DHGHCXrzjMXQ7n//////////+z////15g3E3kaWOYolQAAAAlw&#10;SFlzAAAXEQAAFxEByibzPwAAJRdJREFUeF7t3X24HNd90PG9WuQosao6qi1hR2oSp43BLtCWd93V&#10;vb6vkmyr1TZyUeW4L3aL1Ui6unqxbFFh5UqyHaclaYEWCn2hUFrAklWJt0IClq6DHTt2TAwxIYAT&#10;xyRtUl7LO/zDc15m5syZM2+7M7tnZ7+f59HV3Zm5Z86emd+eM2fOnmm1AAAAAAAAAAAAAAAAAAAA&#10;AAAAAADjaWJN+/eYr9e2r3tb6socBTeP7aI0907cS4GBs0/FgUXUxJp1bxe/F/kLk3sn7qWVWNt+&#10;x/X2MgzZ+rY4e8IX171t4ps2fHNsi6QbNkjvtI/mRrX8W24UL27S69M2zmefiuJ0D3dhr8xRcHMd&#10;tJs2/97rxT97dQ5rJ7okC+66oJtvabffpY/Ylq3GsStqfVu+L/1fq3WDfMsb29KGby37nmHbtDk6&#10;3hNr2u8QC3JOpYk1qvgTm61Xy+VhnlijTs7UjfPZp6I43cNd2CtzFNw8qAbXtt+9tXz7z9qJLsmC&#10;uy5m0+b2e94bfAje2kvCVkStb7ffFx06ffDQh4k10cm+afO6t7e2rGl/m7VNT27oJYhi7FNxYK0+&#10;VXWLE82Sc5ll7USXZMFdF3OrOP/Xt98hfl/bUwnHI2ptW2VOvZzYuDn7HaIAo9kXtgT8YJ+Kg4wo&#10;t5zV7p24l/ZGXeGpBmlPbT4rojZtVsEZHvogwtC7qNlX5aGvgp0fIqq1RbZF1c+e2nzxiNqyNfgM&#10;DSJqy1YdYujdrUGpykZfeAJMfPv72+3bbtIfjBPfvrnd/pbfJ7eb+P3vbrfbt6m+hok17feJq2X5&#10;N7eLFXorfYxiGxuJaqIvRK0R13CJpNU5o3Z+Y9ARJ5eK//RytU32fqzNw6SDGIntIriokG8gek/m&#10;4vjuMncSFqhdbBM3bG6371DZb01sNHJslmOMUUcl2nyJJFUyt73zO2KbGREVXOsaEaUOA/qyNmj2&#10;6bZ0eB60b3u/jJSJNev+wC3qZBJrtmxtt9dt2Nxuv0v3PPzBze22DIc1YoXeSqeW2DhIVNu0WV4Y&#10;618SW8sNt+idb7Ai6g69XCSQ+EtrP9bmdkTFd2GEjvmeNor0b9uw4Z327rJ3ov9L5FAWW9AVEGRA&#10;nM7xcoyT11FrZQeS3eazk5z4Jv024leERkTdmmzwb9nq2itKCQpR/69PgLXt625stSZukBHVbq/7&#10;1utbN2+VR2DLH5JdrLq1KFfe1Jr4DnG05QHaGPQeyYiKbWwkqoWfibKySiQtN7xV7KB1+y1tK6LS&#10;M+Xcj7m5HVHxXUiqOOLvKWz1xXeXvZMgouz3JjfdqC9kVAZuvkX8XXyfcWvb7fe8d7Ps6rRXJpNs&#10;i/rwdquzIYqo7zQ69oKI0l1/6Itu9um6Sp8Auj9JmFijiz5+At0afqAGtYw+QGpFcIzMjY1EA7rZ&#10;F57iUpi0WBbsVbdRovM0PVPJ/VibWxFl7UK6VfxqvafEdZRaHHDvJP7WovemNlXvP6iqJ77r7fY+&#10;LSLq33Wj4x06klS7tcI+jKjbgl6JaOnEDaqWRH/WqpjQBzCso9YF7fjwlIg3smONRDOEgosRM6LU&#10;KyPRgK4Z442YWNLhpVbiOkoudWUquR9rcyuirF2o30SGrPeUiKj4m3TvxIooq9iC/UQJW/t02rT5&#10;ure1bn9/eBUppCYZXihLZh0V1Ufh/ShzU/RI9e9s2ao/JsPzoP0u3RMRnhL62Ezc/t0bNmyw71/e&#10;2m6rAQ2qmRGcGNbGQaIhlWbK1iLp8IRwR1RKpqz9WJtbEWXtIgp06z0Z57i5u4B7J1GcJd9b8FFi&#10;nvTWPl1km29te9173m1skpqkGa5mRMWvo+QVl6s3BOXJIg/OluDAyE4r0S43ThR1NDaq61/d6WVG&#10;VPhBF0VUbGMj0ZD8RA0uC1xJ50WUI1PJ/Vib50aUXmK9pyii4rvT3DsJlrreW3T6R/WstU8X0eZT&#10;3X5GF3pqkqkRtWVruCZe2aJPshUfHIHotJBtdrOJpM6zte32HaJD1mq+WI0LvTq+saATDcnaQJ+q&#10;zqTzIsqRqeR+rM3zIiro/7TeUxhRyd0J7p3o/5zvLVmhJPbpINt8W7aq8g3fY2qSqRElDrz+cyKq&#10;UqLZHzT6zIgSBa0qELVEXR4Eh8qOqPiB06vjGwdrzGsmuUqHszPpQtdRefuxNrciyr6OCvuQrfdk&#10;V2FpEeW6jnK+t+D0j19HxfaZpCp0NXBi0+a0iMq/jpKN7fCNmtugX+vb1/3h4ADEIkoenLATSXVh&#10;BJWZOlDR5uGtJSWIKHPjYMNYRG3avO6P6HB2Jq07TsQtm3hEpWcqTNiMKHPzYDSj7tyzdhGlYr2n&#10;8Nada3euncQiyvHegkwGGZi44X32PpNUP5+sqDLqqHA8UVpfn/wvuJQioqq1STTxdbGrAzPxXfIK&#10;6jvFGSZvdHzz9cGdDfXRL+4fxiNKHB15YftHbxC3/oMPQWNjM9GISF4fT2fS4jwVN4s2J+9HpWTK&#10;sR9rc/Hh/G3Xm/e4zF2EgWO/J3lyTvwxO6MpO4lHlPO9Bae/zsDNt6hPB3OfRmYUFUr6Omp9FC3J&#10;JMVbFJdvsWCJR1RwKUVEVUueCvq46YgSow7EfXv1Wfse42a8uPkvBiRssCNK3vffENzsV8cotrGZ&#10;qEH0M6k03EnLeG+31/1xOZwtPE/X/Ym0TDn2Y20uN4nStHYR9A2Ikfix96T+Sg2IMzKaspN4RLnf&#10;W1CR6gzIe7J2OcYjKry3u7697rvfG//QiCUZDMOIj+uwIkrsWH3yEVGVWht92AbngRgZt04OERNL&#10;xGereiWaJnKMnxpYZkRUa0INJLvjT4oX+hjFN44SNWxRQwxkCs6kbxbjae64UQ0QjSLq7WK5O1OJ&#10;/dibq+2DNK1dGBEVf0+yilknv0Zo7i5lJ/GISnlvQdNUrg1uV8TLMR5R0b3dm8Q7iHafTHKjiMoN&#10;N8VDxYooPUqCiBokM2iK4xhVwh66umlzvMrBCOotopxjaFCWcVMZTdFTRN3MIOYqqP4HNEsPESWu&#10;RDgVKlB+Qib4r4eIWh9N2AMAGGXbJjudzvbw5dR0p9O5M7YFgOJmtrdas2FIzc0vtFqLhBTQl5kd&#10;O/Uvu+4S1Zb4CaBXizqipqYX5Mu777G3AFBcUEfNzcv23izNPqAP8upJ0KHkjKjdwOizT+tabJsM&#10;LqOIKDScfVrXYia8bKLVB/TN6CzXzT96JoCeLXb0RZRs/9F7DvRlNgwo8Zt8RRUF9EoOQlLjkOTV&#10;02yn0yGggAoEt3kBVGBqmg4+oDqLdEcAAAAAAAAAAAAAAAAAAAAAAAAAAAAAAAAAAAAAAAAAAAAA&#10;AAAAAAAAAAAAAAAAAAAAAAAAAIAxMzXd6XTudL8CUNLc/EKrtRgEUfwVgLJmdt3Vam2bFD8TrwCU&#10;NDW9IP5bvPue5CsAZc3NyxberGroxV8BKEsHj/O/uN3A6LNP68o5Q4mIQlPZp3XlaPUBVZLd5WFf&#10;RPwVgLJUT3nQXx5/BaC02Y64pysqJfFb9ApAT2Y7nY4MIXn1FL4C0J/FHTvtRQB6NTVNBx9QnUW6&#10;IwAAAAAAAAAAAAAAAAAAAAAAAAAAAAAAAAAAAAAAAAAAAAAAAAAAAAAAAAAAwFB9z/fu6Xa/7wPh&#10;6733drXv/1OxDQHk26fD5weCBUQUxpRdubRa++/7YLd7/w/+kLEo174f/qHWjzyQDJ8Hu90fjS8B&#10;Gi1RuYS1y/0/FtuwgAe73e6fji3Z/0APyQAjLFm5PCTD66EeKpcDe+z4ObCn++Mfii0BfHbw0OGl&#10;I8v20tLMymX/AzK69t5bPhYeTFRs+8zKD/Da0WOHj5+Qlh6215VkVi66oXZgT+k6av8Ddr12YE/i&#10;wgrw0dFjJx9R0aQ8esreopRY5fJQt3v/n/mRn7Crm3zJKqqXpiPSbJvsdDrbw5dT051O587YFujJ&#10;aSualEcO2dsVZ1Uuf7a3jokDe+wm3t57y6eCVDPbW63ZMKTm5hdarUVCqk+nTz32qB1LgeOHztib&#10;F2RVLvtlSH04r/dcXHwZfXuii9CqkB7slr8WQ7aZHTv1L7vuEtWW+IneOKNpaeWsvpg6ceLEubM9&#10;xZRVuez9iW73B8UdqXhHeEI8okQ9Z4WPWJSTBspa1BE1Nb0gX959j70Fijjz8PnHY5EkLK2oXr5D&#10;UUw9sXLa/tOk7MpFxMEH5CVQqU6FfYmAEvsplQQKCOqouXnZ3pul2VeeM5oeP2/2752KKq8nzh81&#10;VjhlVy66k69kBWMG4IE9qsqj67x68upJ0KFERJW1vOKMpkTr7tRSuPrJx3JjymRXLkG3+b4yvQoi&#10;/pQf/1Aw8ih5vxf92jYZXEZlRdRuuH3kqY/GIkn4yZ/6cx+zt1M+Ymz88Z+216b6mW73z/8F/ftf&#10;/Nnuz+3+S3+5+/N/Zffuv/qz0fJ8v/CLQUT90i/v/mvd7s+plH/ll+0Nm8s+rSsy2+l0omulmfDX&#10;rFafnTXs3r37r/8NVzT96t+0tzP92q9H2/6tX7PXutmh8CsyEpS/bW9c0M90f/7v2Muazz6t62B0&#10;luvmHz0TRTx94eKTZiQJjzx2qkCfwzOHo7+49LS91sVurokLn9/4XnE76ofzes/T7H/A7kVHNRY7&#10;+iJKtv/oPS/ksiuaTh4rfGV08HD050tlB/w9VMmFz4E9w+/h2y8/FczvqCSXjJzZIKDkL/IHVVSm&#10;y2cvPRELpZLRpBx9LIqpx0sNTqqoctlXpo+wJsF3VKL3k1wyauQgJDkOSV08xa+wYHFF0/HDhw7a&#10;2xVxdCVK6tESg5N8qFwqIr6jIgcohnVucsnoCu7yIsUzV46ci4VSH9GknL4QJXi8cEz5ULlUKTms&#10;MLkkm7up+HdjX9AcvKlpR/8eNFc0nTtypY9oUs6cjZLtcXDSyEvGT3JJNmdTUQzaGmpELdIbkeLg&#10;ocOuaHrG3q5HxuCkcxcKdBQ2jfhmcvyqKbkkh7OpuK/794YbUXA6cyE64bUnLlUWTcohY3DSSskO&#10;jhEna5f7zeZacklBVsV2YM/3/30iyj9nLsaC6cQTl85etrepwKloDFPJwUkjTrXX7v8HWUsKsiJq&#10;X/cH9H07eCQWUE/WE03KsjHg73Dfl2ejZP8H7K9AJpcUYDUVD+y5/8eIKP8cCc/yixcKjW3ow9OX&#10;wpg6cbjaZqVPrO+oCA8lvmGSXJIt0VSU9+yIKO+owUIDiCblchjAJ05cqq86rICru3r/P/xgt9vN&#10;nZDTEVHJiWOSS7IlmooPihYgEeUbHVD9zmBUwkFjwF/pwUkD5OiuDkYe9nCvLPmt/OSSXLGmohpW&#10;QkR5Rp/dAwwoa3DSUqnBSYPk6K7e1+3+5oda+/9RmUDY+48/8clW6zdUKMgvQMaWZHFUdUZT8UG5&#10;iojyy0l1WhceylCVo+eNwUnexpTdudbDvIHGYwx+U0XBj8aXZHFElNFUfEinYm+CIVoZUkCJwUnG&#10;gL/ig5MGLhZRvY2H/yfqYQj/VPyuahRzSUlGU5GI8s8QA8oanHTc08FJse5qPWd0P3qLSSHZeFRo&#10;9XlkuAElYsocnHS218FJz169evXqXnvp3murq899yl5ait1dvffe7of/2Qft7r8y+viOSrLxqBBR&#10;/tABdcFePlCHoilpXbORfVJEiyNcnl9dfSFq9HS73U/bwfO8XPzi8y9Zy0uwu6ujB7v1eg738x2V&#10;ZONRIqK8cUWdxyv28kEzZyOTg5P2Pv+ZKFKklHCJb2NtEqbx8n2vWKtKiHVXi2uqT3xItLx6jYuq&#10;vqPSe+MRtTnkSUC1Wq2HjcFJJw+WCpfIZ61NVo11z71qrUzj6Fwzuqv33qtCqdRcZ3Xoo/GIungU&#10;UGLAnzk46Z8bsRCwtv+cvb7bfc7a5KUXzbUvvlao9eeIKKO7OuiZGHpE9dN4RD10QJ23lw/NZSOm&#10;/sW/NINB+Jy1dSxcXlhdXV39fOJaq/Xs688ZW3VXe2v8mSMb9sloq6DLr09VNR5RGR1Qh+3lw2QO&#10;TvpXX/jCF/71F7/4xS/+m38r/DtHuFx91l7k8Mp9L0ch9bK9Npuju1pFFw+igu1hNQjIq4ASMXUy&#10;MZmZ6ckl4dKKcHZZKDJ4/aXXwvrsk/a6TK7uaj3U78PDraLgG08DSg74S0zClO+4jLTDMtKOyUiz&#10;euFffeOzIg4+E1+ay9Fdvf++Pd3u932izLA+NJ+/AWUNTurTo0uHgy+ovPKlL3dfKFdFxdFdjVQ6&#10;oC7ay31x2hic1LdHen7WYgzd1Uj1tA6oSs60mhyUbbcrsh13RLbpeq+4njhZwdfv6a5Gmsvq3PQ6&#10;oFI9LSPtgow0GWjJ51m5XDxmJyTsfeMzhe/80l2NFCMdUGnOyEA7JQPtpIw0+/n1xy8k516Sd4kL&#10;3vkF3BoZUKlOmZM8hb0U2ptBn3pf4/4w3nRAPZoc491QB83eeKuXwhgb+Nzr5gqgoIPq20jjE1Dy&#10;K1jR0PZ4L8UnzeG2fX3rA2NqHANKeNp4MFysl+JTsXF/L9dYUT179dprYvTh6urqtTftlRhR4xpQ&#10;YiiGOa+72Uvxpjnur/ul2B9V482vvLUaGwXffdEOqVdloEny+5VXrfXwkw6o42MYUEJqL8VLz4cn&#10;/AvmH1Rjr+ObXFbgPiuHSMVci2/Rau0l0rxzWgdUBbc7R1R6L0XwrY8aIupTdrB0u12rdXnNXt/t&#10;dq37ZHu/HK16YfU5u5LDEJxW1+djHFCZvRTyWx+fLvL9kFR7r37q2hufs28Zf8mME2XV2uQr9gbJ&#10;asza5MvxtRgCAkpL7aVovXS1x5G0b1790rV/vxo03awK6E3V6vv06hvXXlcXSYm2297kF5I/a2Xl&#10;NWt9fC0Gj4CKpPZS9OLVVaM9JtnfNn7lK9deTwSR5aWrV1+XHRPPq+7Az9l/8NX4PmponaIUHVBP&#10;eP0kjAFK7aWI2/v5a/YcTJa34me6YE93UY2vviUiTXehvPhVezUG64yaaoiAiqT3UkRka+zTb2Vd&#10;XNnh1O1+psemI0aIfoQhARWT3ksRuKqD5IX73my9dPXzr62uvmEPAIz1e7+8eu0rdnMNDURApUnv&#10;pZCeNcNFsbvpPi+XylCibhoXOqCeTL1aGGfZvRSObu34BrJPgVAaMzqgBvvEtRGS1UtxVc34Enkx&#10;thrjaPDPBB05Wb0Ur9xn9o6/aN+/LerM8qmVx+RXIc+vrKwcEt+PtDfBaCCgisjspZDj/l5cfeva&#10;q+U7rc8sP7xyPv2r+48sLS1dFF88PrW8vMx17iggoIrK6aUoa3lZTIQRpVjU40tLS0dEjIlqzNH/&#10;iOHS0x73fX6MhexeioKeXr6wcnEpc2bccuQ8uieDSXT9+t7AtsnO9uD3qelOp3NnfH3znFcHZXiP&#10;MBw1Wb0U2S4vn125VGUkpTu3dLi3aK/c4t1fCyJqbn6h1VpsekgN/ZmgIyirl8LlmeUrK0cKTCa4&#10;dHHlgpyw6WHRpLu0tLRkXLmV9qidjaGYmv6tySCiZnbdJeos8bO5CKieZPZShA4uH1o5spQ/9+3j&#10;S+KSyP7rkJh/8Fgw+aDR6MxjpzMUM7t+O4ioqekF8d/i3fdY2zSJDqgr9nLkyuilOLp8bOVwgXP/&#10;8aXzKw8v51ZxCXLmQTGXruxrT6v7jtt/NgxzX79nWxBRc/OyvTfb5GbfBVX2njzCcNQkeilOLx9b&#10;OZmYVzPp0aXHVk5V2oFwNJhF97CIMbmTc+mV3uCIaAojSoeSM6J2N8M31AF+yl6Oon71d+Kxku0/&#10;fPQ/PvWfPvKf7USGxj6tqze7Y2dVEfXUR5/6mL3MNwRUBX76p/6LHTgJ//WjH3/qGx5FUsA+rSsy&#10;2+l01LWSvHKqptV3VtTt5RvIA+XXU6tHV6yXIubc0pGVK+N8C1bEliRjSHae99ozIdvSfj7MLKAD&#10;6qS9HOXFeilOnHhi6dLKlUIPKx0HYR2l+s177D1XjzT3uU/6YXXw/Y760SF7KZ5curhylqF3FhlR&#10;s50F/aO3Kqr1jPzM8vjrRl4/ExRNoiNKNPyiK6zyVJvK26lZCSgM1OKOnfaish6Tp+wle7EfCCgM&#10;1NR0L/17cWfU91287EkLnlrteWckGmOxp94Iy0E1OsSHO9eW8XqEIRpD9aad8+52BAGFEaWGoT7u&#10;2ZlLQGFkqSGLj9mLh0oHlG9xDhSgn8Z0yl4+RPrqbhwfYYgGeFrd6PVnPMoYPxMUjSBGzJ448Ygv&#10;TSwCCqNOTTR0xF48HAQURt4Z9Y3Os/byYQieWu1dfz5Q3DOyK8CHMbM8whCNcEqdx0OfPY2AQkOo&#10;MbNL9uIBI6DQFF6MmQ0esktAYfQdVXMgDvNGr45qHmGIRlgedv3AM0HRLGqmyaGNpSOg0DRqJpch&#10;zTtEQKFx9JjZoUyOFDy12sPvPgK9ujy0MbO6l49HGKJZhjU5EgGFhlJjZgc9ORIBhabSt4QGO2Y2&#10;uLHLNRSaZwiTIx1UI9/p5UMjqTGz5wY3ZlZ/fYOAQkOpx7IvDepGLwGFphvo5EgEFBpvkGNmn+Eb&#10;u2g+NTnSIMbM6nn5CCg026AmRyKgMCbUmNm6nzNDQGFc6MmRrtjLK6UD6tHBddQDwzKAB4rq50Mx&#10;Lx/GwjHVIKvvdCegMF7U5EgX7cVVIaAwZuqdHEkH1BIBhbFR55jZQzxjF+OnvsmR1BcbCSiMmboe&#10;KEpAYUyp2VSqHjOrA+oSAYVxoydHOmYv74sa4lT7gAzAQzU8UFQ1JQkojKcr8vSvcMwsAYXxVvHk&#10;SAQUxly1DxTVAXXeXg4M09x8p9NZ0C+mpjudzp3WFhVSN3qrGTOrKry6xmEAvVk0A2hufsFaUrXq&#10;JkcioOAjGUOhmV13tVrbJsXPulT1QFECCl5a3LEzejE1LcNr8e57jC0qdkZNjtTvxY8OqIquyICK&#10;xOujuXnZ3puts9lXyeRIZ9QX7YfzKB0g3bbJ353sdDo6rHQo1RtRFYyZ1Y+HIqDgnalp0cKbmlYh&#10;lRVRu6vz32Q4/PeP2cuL+tjvqID6hr0CyGGf1hWZ7XQ66lpp2+R28Z++cspq9dlZ68evy4D4uL24&#10;IB1Q/4OAQmn2aV05fR0VRlT9PRNCXw8UPa26Nng8FLyk+vpmVI+fiq96e88lPTlSL9OT87w1eG1u&#10;frto5i3If+pH7VVUPw8UJaDgOTkI6c7g4im6wqrZSRkYpcfMElAYFbFbvfXTkyNdsJdnO6qfCNpL&#10;cxEYpKlpR/9enXqZHInHQ2FkLNbeG2ErP2aWgAIylJ0ciYACMpV7oKgOqOMEFOB2VMVIsTGzl9UA&#10;Wx4PBaTSDxQtMjkSz1sD8hV+oCgBBRRxRAZK7mRGOqAeIaCATMUmR1rWTwQtP2gJGDNFHijK89aA&#10;wtSN3qwxswQUUELe5EgEFFBGzgNFT/EAQ6CUg+rerfsLGjxvDSgrY3IkAgooL3XMLAEF9EJNaJkY&#10;M6sD6jABBZTinhyJx0MBPXI9UJSAAnqmGniPGDedCCigD/YDRXVAnYxtBKCgM2qao2DMrBpJkXrf&#10;F0AO/UBRNTkSz1sD+mVMjkRAAf0Lx8wSUEAV1ORIJ3VA9fboDgAB/UBRAgqoxrL66gYBBVRDTY5E&#10;QAEVUWNmnyw2KyaAHKfF5Eg8HgqoysHjJ86VegQOAAAAAAAAAAAAAAAAAAAAAADASJntdDqdheDV&#10;1HSn07kzvgWAwmZF/MwGITU3v9BqLRJSQK9mdt3Vam2b3B57JX4C6MHMjp2iraciampa1lWLd99j&#10;bwagkLn5HTu3TYqwki9ke0+2BAH0Ym6+09FtviCUnBG1Gxh99mldg8XO/5zv6AunjIiycwaMJPvE&#10;roboMdfXSjPi/1kdUhmtvrqyghBFXL/6y1h2l4d9EfFXMfVnZexRxPWrv4zjMaT6zZ295/VnZexR&#10;xPWrv4y3TYpYmpvfru7yyh+uKmoAWRl7FHH9BlHGM3oUkrp4Mq6w4gaRlTFHEddvkGW8qO9JpRhk&#10;VsYURVy/AZbx1HSyf880wKyMK4q4fgMs40VHb4RpgFkZVxRx/TwqY4+y0lQUcf08KmOPstJUFHH9&#10;PCpjj7LSVBRx/TwqY4+y0lQUcf08KmOPstJUFHH9PCpjj7LSVBRx/TwqY4+y0lQUcf08KmOPstJU&#10;FHH9PCpjj7LSVBRx/Twq42RWtk12gu/TB7P8ORblcvyNsUj8XiSV7GTMBHPkp5M9/lHLTEatT+Qn&#10;WcTZyciZFgtlJzMZNTFCNGVjuqxk5IJipZyVjD1/ZIb8ZBxDvh1lPCzJrMxsF/kW+Q9n+XMsyuX4&#10;m2iRLJgCieQkYySYJzudBXH0ipzDmcnIL6R9LZGdZBFnJzPrOGPcMpMpdpiE7GQE/XW7bJnJxOeP&#10;zJKZjHxP8vvpcY4yHpaUrMjJyeKz/DkW5XL8jVw0N7/g+op+mrRkrN9yZabj/PqYU3oyU9O/FUyR&#10;GEkp4tRkikeUlJZMoSiIpCVj/ZYnLZn4/JG5UpJR0+UFk+YZ0sp4CFKyIr4DYs3y51iUy/E3wbdL&#10;ykRURjK5X1cxZadT9E1lJDOz67eTJ01KEacmUzKi0pIpUS5CWjKC4xROk5aMDJHi6aQkoz4lHJ/o&#10;aWU8BClZEQVgzffiWJTL8TfBx13hNLKTKfP5mZlOoRaJkprM3NfvcXwMpxRxajIlIyolGcdplykl&#10;Gan4h01qMrH5I/OlJKPr3eQhTyvjIXBnReZcvxX9n2NRLsffhG2RomnkJFOmcZOajrzyrSKZ7a6G&#10;jbuI05OR1/CFz+G0ZLZN/q54V0XDKi0ZoURwpidjzh+ZKy2ZYLKHkYso9WESe0eORbkcfxN9TBVM&#10;Iy+ZEp97mem0pqYLnsTpyczKqiFx2jiLOCMZaaZg8aQmo97P1HSxYEhNJnpdREYy5vyRedKTkZ99&#10;u/5X4pi7y3gonFlRnSmxWtexKJfjb6JumoJp5CXj6PdJk5lO8UZ+ajKy3V84olKTUfrOjc5IwQZb&#10;ajJWoOdIT0b+F8wfmSc9Gb0+kYy7jIfClRXd7aqra3lMHItyOf7G6NAtHFGZyRTuIc5JR544iePk&#10;kp6Muo+UvC3gKuKMZJS+c6MTqOBQha2/XOnJVHjiOD9tnGU8HI6sLOpLCnVM5E/HolyOvwkWCUUj&#10;KjMZM8EcmekIjuPkkJdMwToqL5kKcqN66pIX8Q5ZyZRoBmQkUyaiMpLRGyRTcZXxkCSzEnV6hbP8&#10;ORblcvxNrDutYERlJlOify4rHTm7jbrozZOVjFQsorKS2TYpc1MkErKSkZM1FiuhzGQKxnZOMtH8&#10;kbmykpFcH6OOMh6WRFbktZ8e9KGHfDgW5XL8jbFIjo8p0hGVmYy5MkdmOqq9lp+ZvGTUFoncJIo4&#10;J5mqciMLucDHVk4yRRvWOckE80fmyU5GpOI6/ZJlPDQeZaWpKOL6eVTGHmWlqSji+nlUxh5lpako&#10;4vp5VMYeZaWpKOL6eVTGHmWlqSji+nlUxh5lpako4vp5VMYeZaWpKOL6eVTGHmWlqSji+nlUxh5l&#10;pako4vp5VMYeZaWpKOL6eVTGHmWlqSji+nlUxh5lpako4vp5VMYeZaWpKOL6eVTGHmWlqSji+nlU&#10;xh5lpako4vp5VMYeZaWpKOL6eVTGHmWlqSji+nlUxh5lpako4vp5VMYeZaWpKOL6eVTGHmWlqSji&#10;+nlUxh5lpako4vp5VMYeZaWpKOL6eVTGHmWlqSji+nlUxh5lpaCSz0UavtEr4tHjURl7lBUnNZm4&#10;GUREVJ9UkRaYjHKEeFTGHmXFKTmZcxBRJR9cNjy+FbEsuIKPLx4VHpWxR1lxIqIqpwqu0CMGRoZH&#10;ZexRVpyiiBJTXoumioiobZN3f03NhC3mxPb83PCtiFVEiRn6F3f87/nOgjFBupycvLPQWtz1f6Z1&#10;wzBYOTWt24qi0ehd/eZRGXuUFacwomaC50gu6ge6yhNDTtw/690BjvGtiKM6alHOyi+ffCGLVi4T&#10;ixbFp5R8hEC0Ukeh+L34E6UGxaMy9igrTrFWn3zwyuKOndEDoPXzxL3mWxHLgpOPjJE/9NNEZnbd&#10;JQtT/pBhJX6LVuriVwu86x3yqIw9yoqT6pjSz36Rh3NRN/N0HeV/p5VvRSyLNGz5GQ9LMyJKlLAo&#10;7diT1MRS9ShP765hPSpjj7LiFNZR6iFCso76v3KZPqozXEeVFIWDjihZwmJp1OqLIipcqaJLP/mL&#10;iErlUVacgoiSD49UddSO/6ceJR4c1bl5v0PKtyJORFRQDckPrbA2StRRsumnQ8w3HpWxR1lxCiJK&#10;HlodUTunpnfdZZwY3rVB4nwrYiuiokulua+HK4KIMq6j1JHw9MLVozL2KCtOQUTJTokZ1erbKXug&#10;ZIzNypqryCM2h8e3IrYiSvXpyR+q81z1p4ZXrXplUMqqB9C3EveojD3KilN4HSUa8AszOqLkcV0U&#10;l1WLBZ9ZO0S+FbEdUcHjbnX9o25UBREVrlQXULKu8rDEPSpjj7LSVCNTxKpP3NMrpWwelbFHWWmq&#10;kSli2R6Qd89Hjkdl7FFWmmp0iljeqfKuRVeER2XsUVaaiiKun0dl7FFWmooirp9HZexRVpqKIq6f&#10;R2XsUVaaiiKuH2UMAAAAAAAAAAAAAAAAAAAAAAAAAAAAAAAAAAAAAAAAAAAAAAAAAAAAAAAAAAAA&#10;AAAAAAAAAAAAAAAAAAAAAAAAAAAAAAAAAAAAAAAAAAAAAAAAAAAAAAAAAAAAAAAAAGPj/wPyE+Ig&#10;VB1bhwAAAABJRU5ErkJgglBLAwQKAAAAAAAAACEACmOSCZtLAACbSwAAFAAAAGRycy9tZWRpYS9p&#10;bWFnZTIucG5niVBORw0KGgoAAAANSUhEUgAAA1EAAAHrCAYAAAAuSxeQAAAAAXNSR0IArs4c6QAA&#10;AARnQU1BAACxjwv8YQUAAAAJcEhZcwAAFxEAABcRAcom8z8AAEswSURBVHhe7d1BjCTXgSbmPHBh&#10;rg6CAFuAdoEBRB8MATqsTrQOxBYxGGP60Adikd0VfRDMJWyYhx2ggTUw2h0ho6s5nGZXi6K88pjy&#10;ChKhGWE5gxmhPVwvWuYul4RnOBxjyKUlecntvRA89Y28ECB4KuNlxSu+evkiMjIrszIy6/uAB7Iz&#10;Il5GREZFxp/vxYvRCAAAAAAAAAAAAAAAAAAAAAAAAAAAAAAAAAAAAAAAAAAAAAAAAAAAAAAAAAAA&#10;AAAAAAAAAAAA2CYPjUajV0aj0dFoNLqRT+zhsWbZT0aj0ZfziS3O+p6cr2U+YwAA2FlnDTTLXGCf&#10;9T05X8t8xkMR1/3uaDT6Qj4RANgtTzVf/J+NRqNH84kt4jLxQidcqP6L0Wj05mg0+qf5zOfsD5r1&#10;KJUfr+Di5rcL9cbyxmg0+nq+wGg0+tac91/3Og/FWQNNfoHd57M463vSbh3Hbf4Zb8pvjEaj15t1&#10;CeVXc86PD49Gow8XPI8OWTzHv1P4HLumReHYKH2O4W827tO8hOPmdzvqBIBBeWQ0Gn20wEVmelEa&#10;fnEN0jq6vljXLV23UlnFusULiFIpXUCl65RfUOTTS2UV6zwUZw00+QV2n8/irO9J2bqO2/wz3oT0&#10;fPavRqPRT7JjquT5HTvGuoJS17R0eihVx7S20rWfAWAw0ouhti/FVLzASL/owq+wsY7fz+bn819l&#10;++zfXXbWQLPMBfZZ35PztcxnvGoxEKUBIF78xx+OUnGdd+nvuysodU2L+6Lt761t2fB3GlqpYnjd&#10;5OcPAL0t0qWv7UsQ5jlroFnmAvus78n5WuYzXqV4vOTnwvjjUX7e27VufFHXeb5tWtqCVwqbQduy&#10;0bwQBgCD0rdLnwtSzuKsx88yF9hnfU/O1zKf8SrFUJS/f9vru9aNL+oKO6Vpcf/kr+dKy6bSetqC&#10;GAAMSrwYaPtyC0pd+YJ5F6ph+tOj0ejt5FfG95sBF/L50l+B43Ix4IUSBgx4IlsuCvP/D6PR6BfJ&#10;/PG92m50T9c9dN/Jbygvbc9vFt6ja726LhyWWeeg7z7tEtcrvzBMpfsnvahZZr3nHSdB22ceBolo&#10;u8Duqjef1lV/yTLbGazi8xny38MydUdt29H1GafLnWWfzpPv86jUErWKbnz5/g7/Dt1/033zRx3H&#10;Z1Q6J8XP4qv5zD10nbPyaek2lD63VL5sLq1LiAJgK8QLgvziIdX2BZhfqKbSafGLPb0ISudPL2DG&#10;2cVbXvL3SX/BjNsRRntKL0bCCFv5F3y6ft/J5g8lDw7ptsT36FqvoG2/rWKdQ+nap13SFsj8BvCo&#10;NM8q1ru0jqHers887uv8Qq2r3nRauBjtqj/fB6vYzlCW/XyG+vewbN3BKj7jUJbdp32U7omK58d8&#10;MJ2u82Uf8/Z3LG3vE5YPI6Pm8+fL5sf2PG3nrNK0uL/a1jGVL5tLj61VfqYAsDbzvry6pnddxKa/&#10;LKe/poZlwi+upRCVfvmnQ96GX8XjOuRf2GH9/nPLELld3RVL7xl/2Q7T0l9xuy4W0qF78wuWtguH&#10;Zdd5kX3aJd32tl99S61Vy65313ESpPs3bV0Iv7KnF95dF9h5vaXPd93H1Do+n/Na99J75n8Py9Yd&#10;LPsZr2qf9pHelxNH50sDU7qP8r/1RZX2d7pf08EWSn+jcX+GkrcAhn0al8335zxt56x82u8k652f&#10;E0u66k2nr2LfAsC56erS19VS1XURG78USxcAubSe0vsE8y7S2sRty9cjv4hp++Lu88tz23vMu3Bo&#10;M6++/PVllEJS1PW5dmlb76765n2u6bL5unbVu4ljalWfzybWve/fQ5e2uueta9dnvKp92lce6kLL&#10;Wgxvq1yXPp9x29/ovP0Z9JmnpOucFaeF1sCugFfSVm8Mw3F/960PAAYh/QU2v3hquzAKui5i0/DV&#10;du9G1FVPlM5TWpc2XV/e894zaFs+1XY/R59lS9qWW2SfztPVwtgnOJa0rXfXvm67UEy17d+uerum&#10;Ras+plb1+Wxi3fu85zxtdZ/lM17VPj2r+DeRrl8IXGnXwq577HJ99nfbD1h99mfQ9eNYm7bPMJ8W&#10;W6JCyb8zSuKyXaX0ngAwaOkFdXpBlr5e+qLsuhBIp4USftFtuwjqqifVdVEQ6ggXNf97c39FLPEX&#10;03yZRd8zlLTe0nvkFzVdFyTBWdZ53j7to21/rnO9833dtg6ptgvsrnq7pqW63v8s23mWz2fT6971&#10;nsGidXetZ9TnMz7LPj2LdB3ieTANOKHrXxzcIV//Nn32d9uPGX32Z9A3bKW6/vbzaXE98vUraQtR&#10;YdmuQVIAYPBKX7htFzbRvAuBMD0fjSt8aeb3VMyrJ8q/xKP0/oG2ki/T9z3TEDWvhPfoG6KWWeeg&#10;7z7to/RLd+mCMbXMenft6z4XhG3HYVe9XdNSbZ/RMtsZrOLz2cS6933PZeo+y2ccrGKfnkXcz/EH&#10;priv8vAQt7Nr/0V99ve8EDWvBbJ0Tp+n7ZgqTUt/ZJv3HvmyALAz0j708eJ53pd1nwuBKL/XIK2z&#10;bz2li7G0K2IYhS0f1rfty/ss79lX23svu865rn3aR6lLX9fF7LLr3bWv++zftnXqqrdrWqr0/stu&#10;Z27Zz2cT697nPZetu7SeubbPOLfsPl1WqRtf/LvJtyduQ5916rO/54Wo/P1z6w5RQfq90bXdpWUB&#10;YCekX+rhy3BeV76gz4VALn6ZtrV+tNWTr18074Ki7cu7z3sGy1yIRG3vvew6tynt077y9+oKzsuu&#10;d9e+7rN/2y6wu+rtmhat+phqs+jns4l17/Oey9Z9ls+4zaL7dBnpPknPgTE45NsZXy/97eT67O+2&#10;ENVnfwbzPq+Sts+wa1p8vWtb2pYFgJ2Qfjn/ox5f1H0uBHKlC4O0nvyCIUp/BU8vaLou+oO2C4m+&#10;615qoeur7cJh2XVuU9qnfaXL/sM5wXnZ9e7a122faxTCfGx5yI/Frno3cUy1WfTz2cS6d+3LaNm6&#10;29Y16vqM2yy6T5cR/37z7S21TgXn1RKV7s95y3bNU9J2zpo3LX72+bpGXcsCwNZLv3jnfUkHbRcC&#10;4fU/K9yzEF6PozqlFyBpPfGL+J8my3Y996TtF+lQZ/owyvzLu23dS9ILhNIN0H+vGaY3ff5N0Hbh&#10;sMw6L7pP+8r3ff6+qWXWO05v29d5YMifIZQej/n29a031r3OY2qVn895r3uc3rYvo1XUvchnvMw+&#10;jQEjX8dFtQWlIG5P/h5x/7Ttv1Sf/d0WovLj4/ez/ZPet5Z/FvO0nbPmTZt3f1TXsgCw9fIv5/zL&#10;O9d2IZDXE54rEkbviv8OJf1FOp0/jHSVB7mu9Um/vON7pcMOx/fNv7zb1r0k/aU8rTffpryetguH&#10;ZdZ50X26iLiebdsRLbPewbx9XQrvsYTP/H9s3je/OOuqN73QvTan/lUcU6v8fIb697Bs3cEyn/Ey&#10;+7Qt6C0ifd+8/ih9nzBKYXgwb/h3foy26bO/20JUUDon5SWMZNhnXVJt56x504L0M87nmbcsAGy9&#10;tKvIvC+8rguBMC2MqJVeZIWLgXBDev4slbye8O/0l+225aIwf2gJSi/S4rC5cXvybcnfc54wf/jV&#10;PA5lHEu4sAvr9g/yBeZcOCy7zn336SLSi+PSBVtq2fWet69/I/vMQ4nbFdcvv0DtqjdOi9uT1z9v&#10;vy27nav4fPLtGtLfwzJ1R/lnEEqfz3iRfbqKEBXrmNctL7SopfshrFNpu0v67O+uEBWEOkKrUx4s&#10;w7/DuvVdl1TXOatrWpT+IJMG0D7LAgAL6nNBsY1cOLCMXf17WLd0v80LQG1icFmmFQcA4Fzt6kXj&#10;vBvxoWRX/x7WbdER/gAAttouXjSGrkv5M5igj138e1i3uM/aur4BAOycXbpojK1PsbioY1G79Pdw&#10;XmIrlP0FAFwYu3TRmN5YHe6rEKBY1C79PQAAAAAAO+3KlSuPXbt27SgvVVV9Mh6PT914W5p3f39/&#10;7q+ge3t7D1dV9WG63NWrV9uerQEAADBcIRhVVfXZeDzu7FIUA1QafuJrXUFqPB4/UlXVR+k8VVU9&#10;ldcFAACwFfqGqKqqnq+q6p3Lly+fPMtmb2/voaqqXqmqqnV45jnLnXodAABg8BYMUae6+MVuem0h&#10;Kk4vtVSF1qg+7wsAADAofUNU7JYXg1TSmjRz71QUlyl12yt1DwQAABi80mARbaEqhqJkvmILVNQV&#10;lLqmAQAAbJXQda8UcOKAEFVVvR/DVNd9TV1BqWvaMu7fv3+kKIqiKIqiKMr98BxBzlvpXqfmnqhT&#10;LVQxCLUFqfPszpcfOIqiKIqiKIpyUUt+rcw5yEfPKw1THnUNELHscgAAAFslb4laNgzlYWze6wAA&#10;AIMWw0zapa406l7y2qmwlIzYNw1bpYfvll7rCl4AAACD1jI6X7GFKA44kZZSYMrvc8rfQ4ACAAD4&#10;vIWp9blRAAAANOJ9VHkrFAAAAAVNK1SxGyAAAAAAAAAAAAAAAAAAAAAAAAAAAAAAAAAAAAAAAAAA&#10;AAAAAAAAAAAAAAAAAAAAAAAAAAAAAAAAm1PX9dfqun56Mpm8NJlMXg//rev64Xw+AACAC6mu62/U&#10;dX19MpncnUwmD+q6PsrLZDJ5MV8OAADgQqjr+vG6rr89mUzuTSaTT/PA1FbyethBV65ceezatWtH&#10;eamq6pPxePzlfP7xePxIVVUfpfPu7+/fyOdL7e3tPVxV1YfpMlevXq3y+QAAYBNCN7y6ri9NJpNb&#10;oWteHoz6ltBCldfNDgohqqqqz8bj8aP5tFxVVU8tGoBi6EqD1jL1AADAqtR1/ZW6rp+YTCYvTCaT&#10;d/MwtExp6vla/l7soL4hqhSG+qiq6vmqqt65fPnyF+Jre3t7D1VV9Ur+OgAArENd11+t6/rJcM/S&#10;ZDJ5Pw9Ay5TJZPJx6OoXuvzVdf3N/D3ZYX1DVGg9auvi1yZ24ysFr6a+ue8LAACLagaBCCPnvTyZ&#10;TD7IA9AyJXTVC/WFwSVC/fl7coH0CVHLthzF1qtSt714L1ZpGgAALCK0BDWDQISR8z7OA9AyJYSv&#10;ZtjyJ3XT45TSwBJ5qEpC1L8O/83mbQ1WXUGpa9oy7t+/f6QoiqIoiqJcjPKXf/mXR3/+539+9Id/&#10;+IdHN2/enAlAy5Tvf//7Rz/72c+OXn311aNf/vKXM++5TSW/VuYchPuY0oATu+UVwlV8vRikuoJS&#10;17Rl5AeOoiiKoiiKshvl17/+9dFrr7129Kd/+qdHP/jBD2bCz7Il1BXqDHWH98jfd5tLfq3MOUjC&#10;0d3m37ElavrvVNe9TbrzAQCwqGbkvKoZBGJVI+d92gxdfqN5/tPD+fvCmeT3QOX/TuftE6IMLAEA&#10;QJtwv1Ezct5LKxwEIoycd9fIeZybvCUqaBudrxnCfOb1oC18tb0OAMDua0bOu94MAvEgD0DLlGTk&#10;vKeNnMdaxTCTdqlLAs6pYBRbldJgFbvkxZam/N9tr2mFAgC4OJruc2HkvHuhW10egJYp4VlPych5&#10;X83fE9aqZXS+YgtRDFLpvGkAa7vPKX8PAQoAYDeFe43qur4U7j1q7kGaCUDLlHBv1GQyeSHcKxXu&#10;mcrfF7ZWW5c/AAB2UzMIxBMh4KxqEIhQJpPJW5PJ5FYTyL6Uvy/shHgfVd4KBQDA7ghd55pBIMLI&#10;ee/n4WeZko+cl78n7KymFarYDRAAgO0SWn+ae5nCQA3TrnlGzgMAAC68ZqS8eA9TGGI8hKWVDP4Q&#10;SwhfRs4DAAC2RjPYQ2hVCiPZhbAURslbSVe8UmlGznvRyHkAAMCgNQ+tDWEpBKVwz1JoVfo4Dzmr&#10;LsnIeU8YOQ8AABiUllallY2K16c04SyOnPdwvo4AAADnrhkFLz6kNgwfHoLLgzzQrLM0w4yHASDC&#10;qHnh+UxGzgMAADarCUohoIRWpbshuORhZp2lGSkvBLRwD1MYLS+sj/uYAACAzWkeSLvpVqVw39K9&#10;plUpdAUM66MrHgAAsDnhmUfN4AqhVenl5gGyM4FmXSVrVZo+uDYMNpGvJwAAwLlJWpWuh8EVVvkQ&#10;2r6lGUI8BLQQlMKzl7QqAQAAm5U9hHYTrUqfNgHtpSYshXXxoFoAAGAY6rr+UhOY1vYQ2lJpaVX6&#10;Ur5+AAAAgxFCy7qftdS0Kr3chKVw39Q38/UAAAAYvDCc96oCVLg3KnkQ7fWmVekr+XsCAABspSZA&#10;LTwoRPMQWq1KAADAxREGaeh6VlOY1rQqveAhtAAAwIUWWo7CM5Xy4NSEp0/DSHj5MgAAABdSCEhN&#10;UCoFqBCsdM0Dul25cuWxa9euHeWlqqpPxuPxl/P5g729vYeqqnqlme9uPj23t7f3cFVVH6b1X716&#10;tcrnAwBYp7quq44AFbr2eQ4TMF8IUVVVfTYejx/Np7WpquqpsExVVW/PC1Hj8fiRqqo+2t/fvxFf&#10;C8sLUgDAearr+sk8OCUBKgwu4X4noJ9FQ1RsVdrf3/9WaI2aF6Kqqnq+qqp3Ll++/IX4WmzJyl8H&#10;AFiHZmCImfDUBKgwvLkABfS3aIiKoejSpUtfnBeiksB10goVxdasvu8LALCM5plNM+EpCVBfypcB&#10;6LRIiGq65j0I8yatSa0hKnblK3Xbi/dilaYBAKzCZDJ5KQ9OSYC6J0ABSykNLFEKVXloyv9d0hWU&#10;uqYt4/79+0eKoiiKoiihvPfee0c/+clPZoJTLD/60Y+m8+TLKcqulPxamXMQuuzlAadpsToZsU+I&#10;UhRFURRliCWEox/+8IczwSmWn/70pzPLKMoi5VfvvXf0x3/9V0c3fvFvjv7JKz8/evQnP5yW//7n&#10;f3L0t//fr2fm30TJr5U5B/FepqTVaebepj4hSnc+AOA8he55k8nkrTw4xTKZTF7Il4Febt98YnTn&#10;4N7o8ObHozs3j1rL4c3X80W5IPLR80pd/vJSCkOl4c0jA0sAAKvUBKgwUMRMeGrKzPUIjOr64dGd&#10;Zx4ffbf+Wj7pxOEzl2bCUlfhYspbokr6tETlYWze6wAAywhDlDfPesqDUyxP58twwdyqvzoNS3cO&#10;boy+e/PFaYtR3qoUXi+5c/DSTFBqLw/yxdkxMcykrUhJwDm5/6mkFKJii1Xa8lR6TSsUALAqdV1/&#10;Y06AejJfhgvgsP5GE37eKgSd9hJanXJ3blYz85VKCGWl5dk9pa56fVqIukJU3rUvfw8BCgBYhSZA&#10;fVwITuH+p0/runZBu4tC17sQktoc1l+ZaWXqWw5vlkP3nYO72bzvTu+RCi1b05D1zOP5ItBL08LU&#10;2YIFALAKISB1BKjwuovabfdc/c3jgBKCyjTEnG5VCl3yXig86ysEoTwc9SnTlqT6K3l1J0Jw67p3&#10;ChYV76PKW6EAAFatCVChpaktQLW3UjBMIQyFsBSC0Z2bH8wEnPZyK6/q+N6nmfm6SmhVeqmzdQvW&#10;oWmFmtsNEADgLMI9TnlwSgJUuDdKS8E2yluZepeDl/KqpsIgEafn/fQ4oIX7pELL1pwR+QAAYBfU&#10;dX09D05ZgPpqvgznaNqa9Mzjo9sHT09biGZbld4tdpebjpyXh6OeJTy/qU0ISWF9Sl3+AABg14Xn&#10;POXBKQlQ4flQLpTPWwgwcbjw0NKTB5xiKbQcTcNX3+Wn5bhVqW0QCAAAuOgmk8mLeXBKAtTrAtQS&#10;YqtRWg4Pvt0M4nBcQotSm+NR6fJw06d8kFc1NX3vwrzHXfCO10WrEgAAzDeZTF7Kg1MSoO7Vdf1w&#10;vszOy8PPNGCEQRk6BkYI4ePw4OVCUJlTCi1HwWKDP6TlhbyqE/GBuGFUPgAAYDEhHDUhaSY8NQEq&#10;hKvtClDTB8Am4adrYIOwbeG+okXDyuHB9byqqdmBFvqXUuvPogNBHN58fxqgtu0zAwCAbRC65zXd&#10;9GbCUwxQ+TJrFVtI5jl+ptG95h6hd2eCRKmEbmwlxwFqdv755UExqCwaetJSqu/wmUsz8x2Xt45b&#10;vEIXvJtPaFUCAIA1awJUGChiJjw15Ua+zEqEoBACzeyIcmkJgx+Un4l5PCJdPn+f8mmxped4PfJ5&#10;+5UQ+nJLh7KD9v0dw2UopfcEAADWKwxRPplM3i8Ep1jKXdXOKnSrO+5uVggRM6WlpefgXmHefqUU&#10;QJbufndwN69qato9MFvH4xHuPi/T90wGltCKBAAAw9UEqPCspzw4xbKe4azDMNmLDa99VAwX4X6f&#10;fL5+5a28qqnwPKX2Lnjvngo/IThNB5Yw5DcAAFwIdV1/YzKZfFwITuH+p0/rum5/oOpZhHt2ZgPK&#10;vFJuiToOPW3dAGM5HrL7pBx8u9iVDwAAoE1d19+cE6Au5cusTHtLT14eNKHn5fkj6iWj75XCFgAA&#10;wLJCQGqCUilAhWDV/tyjVSjdBxVe6wpKAAAAmxDuceoIUA/WHqCC6ZDkyf1QoaVJ9zoAAGBoQoDK&#10;g1MSoMLgErOj1a1LuJcpDE+u9QkAABii8JynPDglASo8H+or+TJnElqWwgASpWHEAQAAhmwymdzK&#10;g1MWoFbblW76vKOT+50+nbY4AQAAbIPJZPJSHpySAHWvXuVIdqH1afr8pJlR9j7NZ4XRc/VjhWMl&#10;GWzk4JPRs//syyfz1/VDo1v1b44Ob/wim+/90e0b3zpV9zyhrhDuD2++ndTz2ejwxhuj577z9Xx2&#10;BuLKlSuPXbt27SgvVVV9Mh6PTw6Wvb29h6qqeiWbp/xE7Mze3t7DVVV9mC579erVKp8PANg9IRxN&#10;JpO7eXBKAlSYtroAFR6EG4Ykzy+Ej8uDfHZYOETdvvH8zDyn5+91jTwdAv/w4MOZ5T+v57PRc/Wj&#10;+WIMQAhRVVV9Nh6POz+gqqqeT0NTDF/zgtR4PH6kqqqP9vf3b8TXqqp6SpACgN3XBKjQyjQTnpoA&#10;9VK+zJkcHlyfuRA9fVF6PV8ETkJU39ASQtThwR+daim6XT+1cPhJl7l9cHKtnNXVea3NhvQNUSVN&#10;sDrVYpVr5nnn8uXLX4ivxVat/HUAYHeE+5ua+5xmwlMToG7lyywtdN+7c3B3JjSdLqt7P3bLoiGq&#10;JG1V6lNP6MZ3eOOVZv68u2Ba1zujuna9PDRnDFFPdYWo2I0vbYWKmmWXel8AYNjCCHtdASqM0Jcv&#10;s7TD+hujOzc/KISm5pf8mx9PR+eDNpsPUafnf+b3HhkdHnzUTNMSNURnDFGdLVGxK1+p217sDlia&#10;BgBsr/CMp+ZZT3lwiuXJfJmlhWHL04flzpZ3DW3OXGcNUc/83m+cBKJFgk/eBfB2/cRxXQfHg6Is&#10;uz6sX2lgiT6hqnSvU64rKHVNAwC2U13X35hMJg8KwSl03/t0pQEq6OrC992bL05bB2CetoElwmh7&#10;hwc/LnanKw0uMQ1CC47Od3jwBzP1xLoEqO0SWpi6Ak5yT1NrK1TQFZS6pi3j/v37R4qiKIqibK78&#10;zd/8zdGzzz47E55CuXnz5tEbb7wxs8xZy2/97MczF5//xfeePfrev/+3M/MqSlv5V3/9VzPHUVr+&#10;7veePXrrV788tcw//vmfzMwXyt/57jNHv/tv/mLmPdrKe//pPx39T//Hn83U89/88H85+j//9v+Z&#10;mb9vya+VOQfxXqa2kfeabny9W6tKQUmIUhRFUZTdKSEghaCUh6dQQrB68803Z5ZZRQlhKb3w/K9f&#10;/P7RvXf+dmY+RVm0/PSv/u+jL75w6+TY+q0//vHMPLGEIHT47/6vU/P/k7/4+cx8efnVe+8dPfqT&#10;F0+WCf//9X/5g1OB7HuvvTqzXJ+SXytzDrpGz1tkePKuLn8GlgCA3VDX9RNNV72ZADWZTD4OXfzy&#10;ZVbqu/XXRncObkwHj9B9j1VKu/n1GSXv9D1O3fOnA0uEknYDPF3P6ZH7GK62lqgYoEqhqKQtjLW9&#10;DgBsl3CPUx6ckgAVBpdYzaAOISgd1l/JX2YBbff9tF2sh4v8W/Vvjg5v/CKb7/2F7/t5Nnx+N35x&#10;MuLcsvWct9Oj5HWHouD0/N3hp2sEvjxgPVfPbbzgHMUwk7Yqtd3vFLvfdQWo0jyl17RCAcD2q+v6&#10;eh6ckgD1/koC1OEzl0Z3bj44vtC8+fHo8OZqB6a4SBYNUaWBE07PX7ztY8a8etKHzA7N6Zao+du7&#10;SMtVV4gK4n4zwMQwtYzOV2w5yudL5p9+8G33OeXvIUABwHYLz3nKg1MSoMLzob6UL7Ow0EUvv+AO&#10;z4NiOYsO4x0u4g8P/mj03He+/vlr2ZDcy9QzOxx4d4vNuk1bfQ7+bHT7xu+eCj3TVrik5Sy2Bh0/&#10;D+o/T+dPh8/P50/DYRqY4uv5c6XC8Oaluja9f1i/eQ/fBQC232QyeSkPTkmAev3MAeqF+kujw5vH&#10;z8kpFd36lrNoiCrJL/yXrSdvFdtkd7W861yppIEo3QdtJQyLnmpr0UpDaVvZ5L5h/eJ9VHkrFACw&#10;G+q6fnhOgLoX5smXW8hz9TdPuu+VSnj2U5f84jwv+a/6q7zvJ3ju4LdHhzffTur5rPU5Q+dtSCHq&#10;dFe25etZlXAc3D54uvDZnW6Ji37/n/+98vw33hjd+s4/yGc/dVzm3RfLx1/7e7NbmlYoA0UAwA5q&#10;AlQISTPhqQlQL+XLLOzw4Prozs1PT11MnioH96atVF0WDVHz7tcp3avSpquueffHnIezhqjZbnj9&#10;903udMvMcuuzTWKL00XYVgAApgHqS003vZnw1ASo7taheY5bN16eCR6nQ8i388WKFg0K+f0609eW&#10;uO8n764VAtO0dSMJVnkLxHlrC5ih1a2ttawUDKf37yzRShfl3efOEsa2Qbq9u76tAACcBKgwUMRM&#10;eGrK2YJBCFB3br47c6H+eXkwuvPM4/lirRYNUSWLdlk7fZF8uqVr0SGy16ktRMWSr3tQClFxv9y+&#10;8U9PzdvXRWuFisdAaf8CALBbwhDlzbOe8uAUy/V8mYWFFqb8Av3kAvvm6wsPIrGZEJXOfzoodQWs&#10;IchHlOtqKTluWftW6wh0faShcpnlt1EMogaIAADYbXVdf21OgFrN85ruHLw0E56Oy6181l7OGqKW&#10;ue9n25/3c7plaH5r2enujvPnj/JR7Ur7CgAAtlFd19+YTCYfF4JTuP/p07quL+XLLO34Ybpp69PH&#10;o9s3P39ezqLauqyt876f/H6oXFr/EFsjFu1yeHr+fq1rs/dBzX8fAADYBnVdP94RoMLrqwtQUbjn&#10;6c7B3Wmr1KLd93JtIerzi/fZi/5SiDqet999P9seouatf27Rlqsg3Qd9lwEAgKELAalpaWoLUN/I&#10;l9kK677vZ14IGUKImrYEHfzZ6PaN3z0VYPJ9E9fvuOvdf57Of6v+auv86b5JW6jS1093/5sNsQAA&#10;sI3CPU55cEoCVLg3arkAFS7AwwARxxfR4SG6mwkRi7aeLHLfzzbcE5V3pyuVNPjk9y+VSugemSqF&#10;yT7vezx/9z4GAIAhqev66Tw4ZQHq85aIRYT7ncI9TqcvmD+dXqCft3Xe99NV95BG55u2sh08PTq8&#10;+XYSXj6beU5W9Pv//O+V57/xxujWd/5BPvupEBUDmRAFAMCuCc95yoNTEqDC86G+lC/TSxhdL79Q&#10;juW5+pv57GtXaiXpskjLVVdQ6gpYuya23m2yxQ0AANZpMpm8kAenJEC9tVSACgNDfN59r1TezRdZ&#10;meHc93N3+v7H91dt/n6o83A6SM4PqQAAsG0mk8lLeXBKAtS9epkud9NR9qb3PeXBKZYPRt+tv5Yv&#10;tjJ9uo6t476f47q633vXg0UMl3lLHAAAbLsQjiaTyd08OCUB6uWlAtThwbdngsOpcnB39MISLVuL&#10;2sR9P9FxS9gfZCMBvt/7eVPbLLa47XJrGwAAF09d19+cTCav58EpCVAv5cv0cnjw8mxoSkoIWLvC&#10;fT8AALDb6rr+Sl3X325G2ZsJTkmAupUv28vtm0/MhKbPy4ONDCKxLu77AQCA3VXXddXc2zQTmApl&#10;+ZaiOwcvFcLT0XRwiTDIxC5x3w8AAOyWuq6/NplMXpxMJh8XglJbeTKvZyHFlqjsXqFd4b4fAADY&#10;fk13vacnk8n7hYDUWpqgtZowEB6qe+fg3rSE/wfYdVeuXHns2rVrR3mpquqT8Xh8qql6b2/v4aqq&#10;Pkznu3r16twT8LLLAQBldV0/0YykNxOQukrz/KcnlxqBD4BjIURVVfXZeDzuHGFmPB4/UlXVR/v7&#10;+ydN9FVVPTUvEC27HABwWtNd79ZkMnmQh6OuEuYPy9V18kDZvo6fpRSGL393dHjzfS1NAAuEqKqq&#10;nq+q6p3Lly+fPAF8b2/voaqqXslfTy27HAAwDU5fCi1HTQvSTEDqKk1L1fKh51b91Wl4yu95WucD&#10;cwG2QZ8QFbvjpa1JUWhValt+2eUA4KKr6/rx8NymyWTyaR6Oukpzb9TTIXzldS4kDBhxePPjmQB1&#10;PPLe2QajANh2fUJU7JJX6n4X76kqTVt2OQC4iEJ3uz7PdMpL013vxdDdL69zKXdu3poJTp+XB6MX&#10;zhjQALZdaWCJPFR1BZ51TFvG/fv3jxRFURRl28p77713dO/evaMf/vCHM+FoXvnRj3509Oqrr87U&#10;uWx581e/PPrGj/+3PDSdKt/79/92ZjlFUYZX8mtlzkG4jykNOF2BZx3TlpEfOIqiKIoy5PLmm28e&#10;/exnPzt69tlnZ8JRV3n++eeP7t69e/TLX/5yps6zlD/+6786+q/+xeFMaIolTPvTt96cWU5RlGGW&#10;/FqZcxDvZaqq6m7497Ld8pZdDgB2UfNMp+vLPNMp3B9V1/U38zpX4vDgeh6aTpXDm6/rwgcwRz56&#10;XmmY8qhrgIhllwOAXRIearvkM51eX/sznQ7rr4zu3Px0JjidlIOZ73AACvKWqDxUJfMVX583ve11&#10;ANgVzTOdXljimU4fLP1Mp2UcPwNqNjyFkfk8EwpgVgwzaZe6JOB8Mh6Pvxxfj93v8ofmpq1JpXlK&#10;r+XLAcAuaJ7p9PSiz3QKw5if+ZlOywpDmecB6s7Nt6YtVACUtYzOV2whyufNg1DbfU7zlgOAbRbC&#10;TwhBSzzT6d2VPNPprMJzn8LQ5Yc3359231tn90EATmtamE61YAHALgrd7UK3uyWf6fTCyp7p1Oa7&#10;9ddGtw+eHh0evDwNSHGACAEJYDjifVR5KxQA7IowwEMY6KEZ8GEmIHWVprve+r4jb9VfPW5ROnhp&#10;dOfmB4UuenGgiJfyRQHYkKYVqtgNEAC2WRhaPAwxHoYaz8NRV2mGMr8ehjbP61yJw/obo+/efPG4&#10;G14ellrLB3k1AAAAZ9Y80+nbSz7T6cW1PdMpuvPM491Dk7eU0L0PAABgVZpnOt3Nw9G8MplM7q39&#10;mU6pOwf3ZgLS3HLwkofmAgAAZ9Y80+nFJbrrhUElbqzkmU4h3BwPN/7C6M7Nd5PgU37Y7fG9T4Wg&#10;dKq8Nbpz89b0eU/nFe4AAIDdlDzTadHueuGZTi+d+ZlOraGpUEoPvQ3Lzw4gITQBAACrFZ/plIej&#10;eaV5gO7Zn+l0eHB9bmiaKS2tUeGBuNN7o555XGgCAABWJnmm04M8HHWVlT/TKYykNxOQ5pZPp6Pw&#10;AQAArFPyTKfQgjQTkLpK01L1RF7nXKFFqG3ghmmr0UxA6i5h6HIBCgAAWKem1Sk80+nTPBx1lebe&#10;qNBdr/8znZ6rvzk6PPh2M1JeHG7802mYyh3fwzRvSPIPpgNGhIfmhofnAgAArEtd199YdGjy5JlO&#10;/Vp7yqGpVB4UW6RCOBKaAACATarr+vElwlN4plPV65lOITjdObg7JzTNlrZQFF4PLVVt0wEAANah&#10;CU+v5wGprTTPdPr2Qs90CvcjLRqejstbeVUAAAAbEQZ8mEwm7+YhqVSSZzrN3qMUTENSx/Dg0657&#10;MwGpqzyYPvep1JUPAADgPDUj7fUNTx/XdX1j5plO362/dvycpoO7o8ObHyfh54Ni97rbB08XgtLp&#10;0HR48PJ0vlA3AADApjXhKXTFmwlLeWmeA3X9JDyFYBQCTgg6x61EeQj6vIR5cqGF6ngQiWaeELxC&#10;ADu4buhxAABgMJpnPF3v+3DcJmSF8PRwE3xuHI98VwhLreXgXr4eJ0JgEpoAAIChCS1IYfCHBcPT&#10;k6cq+e7NF2cD0tzy6ej2zcUfrgsAALAJTXi60dzLNBOW8tLcG1UOPYu1QH06bYEKw5gDwDL29vYe&#10;qqrqlWvXrh1VVXU3n37lypXHwrS07O/v38jny+3t7T1cVdWH6XJXr16t8vkAuFjquv7KZDJ5IYyi&#10;lwelUmmGNL+U13PK8TOd8rB0OjSFUfcEJwBWoaqqp6qq+qyqqrfzEBUDVBp+4mtdQWo8Hj9SVdVH&#10;6TzhffK6ALg4wrOaJpPJiwuEp/Bw3PIw5bkwmMThzfeFJgDWLrYW7e/vfyu0RuUhqqqq56uqeufy&#10;5ctfSJaZtlzl86bmLHfqdQB2WxOewnObZoJSqUwmk7t1bUAHAAYqhp1Lly59sRSMmumfjMfjL8fX&#10;YvDK542SYDbTUhVbvcbj8aP5NAB2SwhCTSCaCUql0gSt2ec2Mevwxu+c6rJ4+2DmO3dU1w8dD/V+&#10;8+2T+Q4PPhvdvvG7o7pe7MfMUNdzB799qq5pfTfeGD33na/nswPsrKbL3YMQaNpal2K3vBikkvlO&#10;BatUXKbUba/UPRCA3RK64PUNT6FrX+jiJzwt4Jnfe2R0ePBRZ4gKQ74fHnxYuD8shql3egepEKAO&#10;b7wyU0csz9W+04GLIQ9N+b9TMRTFwSFK86S6glLXNAC2WxOewiAQM2EpL2FEvjC4RBhkIq+HOW7f&#10;eL4JQm+2hqg4Tzpt2jKVvN43/KTLHB78+CR8hfpu1f+wdxgD2HYhzKStSV0hKg4IUVXV+zFMdd3X&#10;1BWUuqYt4/79+0eKoijKZstrr7129P3vf38mKJXKs88+e/Tnf/7nR7/+9a9n6lHml9f+wztHX3zh&#10;1tHf/d6zRz94/d+dtAb9k7/4+ck8v3rvvaO//79+d/r61//lD47+3//4H2eWL00rlXT+3/rjH89M&#10;VxRlWCW/VmaFSvcstYWo5p6oU/cwxSDUFqTOsztffuAoiqIo51fu3bvXOzzdunXr6JVXXhGezlj+&#10;8c//5CQ0/au//qtiiOoKPmnACkHsrV/9cuY90vIH//bedN6/891njv7sb/56ZrqiKMMq+bUyK1R6&#10;7lNeQsgpDVMedQ0QsexyAGyHuq6fnEwmH+RBqVSa+Z6uwz06nE28FyoMDvFc/ejoufqxk252aXe+&#10;9J6p/N6n9P6mw4NPRs/+s+L9zVOLzAtwEZVaopYNQ21Dmbe9DsDwhRBU1/X1yWTyIA9KpTKZTN4P&#10;YSuvhyWdDjTH39VtISofVOL2jW+dTLtV/2YSsI7DWJu0nsODX40OD/7nbKS/90/VDXDRlEJU8tqp&#10;sJSM2Dedt/Tw3dJrXcELgGGq6/pLdV3fWCA8vVvX9RN5PZxRDExp8GkLUcHt+qmTaW1lXutSHsba&#10;Sv7eABdFKURF4b6ovLtfKTDl9znl3QYFKIDtEUbNa8LTx3lQKpVmVL5LeT2sQKkVKugKUdPp2XOd&#10;QgA7PPij0eHB6wuHqPz5UqdbtLrrAWBW08LU+twoALZHCE9h6PHw/KY8KJVK8zyox/N6WKE0LKXD&#10;ks8LUSWnA1n3s6JOh6jZoPT5UOvd3QIBOC2O9Je3QgGwXcLDbieTyUsLhqdv5PWwBn265pVCVsnp&#10;QSdmep+cMm9gCSEKYDlNK5SBIgC2VF3XXwvhKQ9JbaWZ96t5PazRKkPUog/bbZt/XsACAIBdE1qR&#10;mtakmaCUl9A6Fbr4CU8D09Wd75nf+43Rcwf/3Ul3vePQ8zsn8+dd+dIWqrSu9D3SZdJgN69FCwAA&#10;tlm4f2kymdzLg1KphEElmvD0lbweBqArRKUtSHkJw5XnLUenw9LpULRoXQAAsAvCyHnNCHozYSkv&#10;zYh8N8Lw5nk9DEhXiJq2LN34RRZ4jp/rVBpMoquu0Ip1++Dpk5aqz+v6fLQ+AADYFeGZTc2zm2bC&#10;Ul6aZ0FdDw/Wzethx8XueQaJAADgoqrr+snJZPJ+HpRKZTKZfBDmF54uqLbnUAEAwK4LIagJTyEU&#10;zYSlvDQh68m8Hi6YOKiEUfYAALgomvB0vemONxOW8tJ073sir2dw0tHkSvfqBCf369x8O7lf57PR&#10;4Y03Rs995+v57EXp/UClsuvhIg4c0WfIcwAA2GZh4IcwAMQC4SkMLPF4Xs8gpUNut4Wo0P3w8ODD&#10;mdDzefjpd3/PRQ9RAACw68KQ4014CqPozYSlvDTPg9qO8BTF1pHDgzdbQ1T6rKJ02qLPMIohqm/o&#10;AgAAtkMIT+G5TeHht3lQKpXJZPJyeKhuXs/gpffoPFf/o2JQOj0YwumWorSFKn+obIkQBQAAu2WJ&#10;8PRSXddfzevZGrEVKoSmtucXnQ5Rp8NP2hVQSxQAAFwcIQhNJpMX+4SnME8IWlsdnoLPW6GOA01b&#10;iApOd9v7bHS7fmL0zO/9xujw4PWFQpEQBQAA260JT6E1aSYs5SXcFzWZTG6F1qq8nq1Tel5RV4gK&#10;Dg/+4GR6WhYJRG0DSxwevD86PPjx3O6AAADAZiwYnsKIfDfCCH15PVur1CI0L0RNg1chSB0e/MoQ&#10;5wAAsKOWCE/Xw7Oh8nq2WqkVKugKUccDSBx33Zsud+ONmedFLfvso1v1b54aYr3PvVUAAMB6CU+J&#10;NCylwactRKWhazrtxrdOpp2+V2r5VqT0vfuM8gcAAKxHGHa8eXbTTFjKy86HpygNPvNKCFldI/Dl&#10;AWvZ1qjT7yFEAQDAeROeOqwyRE3rO3lYb/8BJnKnW6Jm3wOAi2tvb++hqqpeuXbt2lFVVcUvifF4&#10;/EhVVR+FeWLZ39+fvcE3sbe393BVVR+my1y9enW5XwMBttiC4emDuq6fvDDhaZ727nzpA3WPhzeP&#10;0vuZ0u58afCKdR0PTPFno9s3fvdUS1N+T9SyrVkA7Kaqqp6qquqzqqreLoWoMH3RABRDVxq0lqkH&#10;YJstE57yOi68thAV9Gm9aru/KrYs5V3/SiV/XwAutthatL+//63QGpWHqFIY6qOqquerqnrn8uXL&#10;J7/qxRav/HWAXVPX9eOTyeReHpRKRXiaoytEBdMWoxu/OBV6QsvU4cEfzQxx3lZXCFK3D56eGdmv&#10;VAcAxLBz6dKlL5ZCVNNK9cl4PO49slESzGa+7GKr13g8Xq5/OsCANeHp9TwolYrwtAGx5eos90kB&#10;cLE1rUwPQqBJWolOQtSyLUex9arUbe/KlSuP6dIH7JoFw9O7wtMGtD2HCgD6ykNT/u/stX8dB56I&#10;pStYdQWlrmnLuH///pEy3PK3f/u3Rz/96U+P/vAP//DoJz/5ydGrr746M4+ibHP5y7/8y+nxnQel&#10;Uvn+979/9Nprr83UoZxPee0/vHP0xRduHf3d7z179NavfjkzXVEUZRdKfq3MioUwk3bTawlR0255&#10;efe75PVikOoKSl3TlpEfOMowyhtvvHH0wx/+cOYiMpRnn312GqzCxWe+nKJsSwnHuPC0XeUf//xP&#10;pvc6fe81P+YoirK7Jb9WZoVK9yy1hKiZ16Kue5t057uYwnDMdV0/3dznMXMhWSrhOTiTyeSFMIJZ&#10;Xh8MUV3XTzTd8WaO57w0830+7DYAsL1ikOkqIeR03RPVJ0QZWOJiqOv6q5PJ5NZkMvk4v4hcpEwm&#10;k/frur4R6svfAzZNeAIAZrS1OrWNzteM6jfzetAWvtpeZzvVdf3NyWTycn4BuYrSXIQ+Xdf1V/L3&#10;hfO0YHgKA0s8ntcBAOyothAVW5XS12NLVmxpyv/d9ppWqN0QRhXre1HZXFiGFqbQze+lZVqrmgvT&#10;J+u6/lK+LrAuwhMAMFdbiApikMq7+8Xpbfc55d0GBajtFVqE6rr+driHKb+AbCvNg0YvFeqqQgvW&#10;ZDL5NF9mXmlavqpw/1VeL6xC8yNBr/v6hCcAYGltXf7YfnVdf61pQeoVeMJ8k8nkxT73NYWWpeaC&#10;NYStmbq6SmjRCutVCmmwDOEJADg3caS/vBWK7dZ0Zer14NDmojJcfH572S53TUtX6PLXq/tU9t5h&#10;hL8Q3Izwx8IWDE93w72AeR0AAAtpWqEMFLEDmpahRYcofyt0r8vrOovQihVG6WvupZp5z67SrHsY&#10;4e9reb2QWiI8CekAABxrhih/YZFBH5qudGu/qAzv0axb73uxknUMrVrXjfBHtOizzIQnAABOCfd0&#10;LDJEedNt7tamQkmzvi8uEvaSdQ9dE8OQ6Ut1N2S7NeHpet8wLjwBAHCiuZhcZojyMMT4YEbEa+7Z&#10;WnaEv3CBbIS/C2CJ8BR+VBCeAAA4Gbgh3GfU62KyuaAMYWPQI5AloTCs68w2dJVmJMHQLfGJvF62&#10;2xLhKRwHc0eUBADgAmjuKVpkiPIwdHivIcqHJhnhLwx2MbNtXSUZ4c/Ia1usGRxFeAIAYHHNA20X&#10;HaI8DMKwE/cMNSP8hYcDLzXCX3PvlxH+tkQTnkJLa6/75YQnAACmkl/he4081lxMhqC10iHKh6Z5&#10;YHAY4a/3fkn2TwhhIVy64B4g4QkAgKU0Q5T3HrUuuRfowt1An4zw16u7V7bf4gh/GxmdkM8tEp6a&#10;4/0FnxsAADEQ9B5QoQkO4UG0LiaP918Y4a/3/WLZvgz7fVAjFl4EwhMAAAtLRqPrfa9PM5y5C/4W&#10;zT4N95D1DqTJvg0X6mFYbCP8rVEIQn0fCC08AQAw1VxE3lqkG1pzcT/oIcqHpmnpCCP89R6UI9nf&#10;cWRD+3xFkvA0t7VQeAIAYCoOUZ5fMLaV5kI+XEi6ef6MmhH+wkAdvVv9ks8hjPAXPgcj/CXC8RxC&#10;ZlLCQ49DF9OTMplM7oUQ25Q+4Skc82E0ReEJAOAia7qX9X7eUTPyXBj0YCeGKB+aZoS/0BK47Ah/&#10;397mYNsEyjT8XCqEn5eT8BNK6EY6sz9WVZqufeG9HfMAABdV05UsPNuo94V60+3M/TjnKDyQ9wwj&#10;/IVgfG4j/DXHVBp+QgmBLg0/YVvS8LNwV8bzLMITAADTX/mbC9m5XZeai8g4RLmuYhsWWmSaEf7m&#10;DniQl9BtrRnwoxgGCuEnhK80/ISWsVPhZ5n12JYiPAEAEC/Aw4X0zAVjqTQtH6EV4VxaMegvGeEv&#10;DOYx89l1lSYU9259vGglGZpfeAIAuIjOMkR5XhfD1HShC5/xoLvFnXcJx3zWahZ+QDh1X1Xompq1&#10;vl24B0IDAFtib2/voaqqXrl27dpRVVV38+lR3/mivb29h6uq+jDMH8vVq1erfL6LIBmivHd3q6ZV&#10;45t5XWyP8Lk3I/ytdZCFdZbQElToNhhGw0vDT+iWeKr7Yb4vAAB2SlVVT1VV9VlVVW93haO+8wXj&#10;8fiRqqo+2t/fvxFfC8tftCDVDELQu4tXMlzz1o7kRlm4h625l+lcuu413QTz8BOeY5WGn+t5+NFt&#10;DgBgjthatL+//63QytQWjvrOF1VV9XxVVe9cvnz5C/G12JKVv76LzjBE+cN5Xeye5vlfrSP8hWMn&#10;Cz8hiOdd3/LwI3gDAJyHGHYuXbr0xa5w1He+IAlcJ61QUWzNGo/Hj+bTtl0yRHnxwrhUmvtCLuV1&#10;AQAAA9R0uXsQAk3SSjQTjvrOF8WufKVue1euXHlsF7v0Nd20DFEOAAC7Kg9D+b8XnS/VFZS6pm2r&#10;ZtjxmbCUl2SIcvecAADAtglhpqqqT8bj8ZfDv9vCUd/5Ul1BqWvaMu7fv3+06fL888/PBKa0/OAH&#10;Pzh69dVXZ5ZTFEVRFEVRlFWW/FqZFSrds1QKR33ny51nd778wNlE+dGPfjQTnEL5yU9+cvTmm2/O&#10;zK8oiqIoiqIo6yj5tTIrFINMVwkhp+98ef2l4c2jXRxYInTPi88BSoYo/0o+HwAAsEP6tDAFfeZr&#10;G8q87XUAAICt0yccBaX5YotV2vJUem0XW6EAAIALqhSOSkrztd3nlHcHFKAAAAA+b2E6GcEPAACA&#10;FnEEv7wVCgAAgIKmFcpAEQAAAAAAAAAAAAAAAAAAAAAAAAAAAAAAAAAAAAAAAAAAAAAAAAAAAAAA&#10;AAAAAAAAAAAAAAAAAAAAAAAAAAAAF8fe3t5DVVW9cu3ataOqqu62TYsln6fN3t7ew1VVfZgue/Xq&#10;1SqfDwAAYKtUVfVUVVWfVVX1dh6Qqqp6Pn3typUrj/UJUuPx+JGqqj7a39+/EV8L7yNIAQAAWy22&#10;Fu3v738rtDjNC0dBE6w+GY/HX86nRc0871y+fPkL8bXYqpW/DgAAsDVi2Ll06dIXFwhRoeWqNUQl&#10;weykFSqKrV7j8fjRfBoAAMCgNV3uHoRAk7QS9QlRnS1RsStfqdte7A5YmgYAADBYeWjK/92mdK9T&#10;risodU1bxv37948URVEURVEURbl/lF8rs2IhzKStSX1CVDJPaytU0BWUuqYtIz9wFEVRFEVRFOWi&#10;lvxamRUq3bPUJ0Q13fjm3s+kOx8AALBTYpDpKnnIWWR48q4ufwaWAAAAdkJXS1QMUKVQVNI2lHnb&#10;6wAAAFunLUTFVquuAFWap/SaVigAAGBnlEJUfC3v6hdLnLftPqe826AABQAA0OPhuwAAADTiSH95&#10;KxQAAAAFTSuUgSIAAAAAAAAAAAAAAAAAAAAAAAAAAAAAAAAAAAAAAAAAAAAAAAAAAAAAAAAAAAAA&#10;AAAAAAAAAAAAAAAAgC23t7f3UFVVr1y7du2oqqq7hekPV1X1YZgey9WrV6t8vtyyywEAAAxaVVVP&#10;VVX1WVVVb+chajweP1JV1Uf7+/s30vnnBaJllwMAABi02Fq0v7//rdAalYeoqqqer6rqncuXL38h&#10;WWbacpW/nlp2OQAAgEGLYefSpUtfzENUErBOWpOi2Ho1Ho8fzactuxwAAMCgNV3uHoRAk7QSnYSo&#10;2CWv1P3uypUrj7V1zVt2OQAAgMHKQ1P+76Ar8KxjGgAAwGCFMFNV1Sfj8fjL4d/bGqLu379/pCiK&#10;oiiKoijK/aP8WpkVKt2zVApRy3bLW3a5ReUHjaIoiqIoiqJc9JJfM7MiMch0lRBySsOUR10DRCy7&#10;3KIcKACb51wMMAzOxxtQaolqG5K87fV509teX5YDBWDznIsBhsH5eANKISqIrVb5Q3PT1qTSPKXX&#10;8uXOyoECsHnOxQDD4Hy8AW0hKsi7/+VBqO0+p3nLnZUDBWDznIsBhsH5eMs0LUwnI/2dFwcKwOY5&#10;FwMMg/PxFokj/eWtUOfBgQKwec7FAMPgfLxFmlaolQwUsSgHCsDmORcDDIPzMb04UAA2z7kYYBic&#10;j+nFgQKwec7FAMPgfEwvDhSAzXMuBhgG52N6caAAbJ5zMcAwOB/TiwMFYPOciwGGwfmYXhwoAJvn&#10;XAwwDM7H9OJAAdg852KAYXA+phcHCsDmORcDDIPzMb04UAA2z7kYYBicj+llVQfK3t7eQ1VVvXLt&#10;2rWjWKqqupvPF+zt7T1cVdWH6bxXr16tkukrq2sIVrk9i9QVpPMPbb8Ei2zPqvZN3/mGYJF1XfP+&#10;+WQ8Hn85n3eTWtZzZnuCVe2bVLrMvHn7WNW5OFhke1a1b65cufJYOk8y76COnb7bE6xq30Tj8fiR&#10;qqo+Suff39+/kc+3KYtszyr2TamOrvk3qc/2RKXtWnTfRKW/qyEdM8Ei27POfVNV1Wfj8fjRfL5l&#10;rPJ8zA5b1YFSVdXz6YEeD+784I9fIulJoKqqp9I/pFXWNQSr3J6+daXTSieqoei7PavcN33nG4K+&#10;67rq/ZPWE7/0hnYx3Hd7VrlvUqGO8KVdVdXbXfP1tapzcdB3e1a5b8Lrq7yIWZe+27PKfRPkyw5R&#10;3+1Z9b7JlerftL7bU1r3ZfdNfD09ZuJrF33f5Ms1r4VlV3IOWuX5mB22zgOlOaBPXXg1r71z+fLl&#10;L8TX4i8P+eupVdY1BKvcnlJd6cmqdCIestL2rHLflPSdbwhK63oO+2caGFbx5bROpe1Zx76JwXJ/&#10;f/9bTT1zLwznWee5OChtzyr3zbaEqJLS9qxy35QuHrdFaXtWuW9K+s63aaX1XOW+mVPXmc8567TE&#10;9vTeN8kPe6f2Qdvry1j3+Zgdsc4DpbnwmjnwS18k8y7SVlnXEKxye/K6clsYos5t30R95xuCfF3P&#10;cf+01jMU+fasa9/Ei4FLly59cVUXNOs8Fwf59qx632x5iFrrvim9ti3ydV/1vsmt8kJ43fLtWfW+&#10;ycNDsC37J9+eVe6bth8l+gSyvtZ9PmZHrPNAyU8A8cAvXczPu9BfZV1DsMrtyevKzVt+aPLtWee+&#10;ifrONwT5uq57/wyx+0ibfHvWsW+aOh+EL/xV/iq8znNxkG/PqvfNloeote2bVV7YbUK+PavcNyXz&#10;LqiHJN+eVe+bWF98PTmWOvfhEOTbs8p90xaiSvMua93nY3bEug6U0kHe9YfSNW2VdQ3BKrenVFeu&#10;a/mhKW1P1/p3TSvVVdJ3viEorWvXPuiaVqoriF/UYblY8nmGqLQ9XdvfNa1UV5CHpvzfZ7Guc3FQ&#10;2p6u7e+aVqoriMukZRsuhkvb07X9XdNKdSXHyL/O/66GHqxK29O1/V3TSnXltilwlrana/u7ppXq&#10;yqclx8yZzzXrVtqeru3vmlaqKzlOTp1f4rxCFOdmHQdK268lXX8obdNWWdcQrHJ72urKtS0/NG3b&#10;07X+bdPa6sr1nW8I2ta1bR90TWurqyTpPjLYC+K27Wnb/q5pbXUFYZn09W0IUW3b07b9XdPa6moT&#10;fhUu1TMUbdvTtv1d09rqavv7SV4fZGBo25627e+a1lZXrm35oWnbnq71b5vWVlcUWubCclVVvR/D&#10;1FCPmaBte9q2v2taW13ptLBcLGG/VFX1w9L8i1rX+Zgds44DpWlOnbngir8S5H8oQdsf0SrrGoJV&#10;bk9bXbm25YembXvWuW/6zjcEbeu6zv0TDb0fftv2rHLflPr0b0OIatueVe6bNo6b7mNkyF3X2rZn&#10;lfsm1XXBPDRt27PqfVOaFusZapAqrXOw6n3TplnmzPtmXedjdsyqD5T4q0n+xxCUmmWj0pfJKusa&#10;glVuT1ddubYT1JB0bc+69k3f+Yaga13XtX9SyQXOmb+cVq1re1a5b+LfUVcpLdfXqs/FQdf2rHLf&#10;tHHcdO+DUl1D0LU9q9w3qa56h6Rre7q2YdF9s2hdQ7DK7emqq80qf7RZx/mYHbTKAyUe9KU/kqDt&#10;y6T0+irrGoJVbs+8unJDD1Hztqe0D9pen1dX1He+IZi3rqX90Pb6vLrarPLLaZXmbU9pH7S9Pq+u&#10;kqSeM++XVZ6Lg3nbU9oHba/Pq6uN4+ZYmKfUwtL8aj7z+ibN257SPmh7fV5dqWVaHc7bvO0p7YO2&#10;1+fVtWjo2LR521PaB22vz6urzSr3y6rPx+yoVR0o8UJ93kFfmi8/8EvzlJTmy+sagtJ6lpTmy7en&#10;NM88Qw5RfbenNN+y+6bvfEPQd11L8y2zf+JFb3qsJF9y/q4yQw1RfbenNN8y+ybuh5bjZlAhoc/2&#10;BKX5ltk3QbwgTo+Tvsuep77rVJpv2X0TDDVsp/puT2m+ZfZN23m3dCxtWp/tCUrzLbNvSpYNXm1W&#10;eT5mh63iQIl/7OEALpX8jz3+kSTTT/6AVlnXEKxyexapK55o83ma+U79ErQpi2xPsIp903e+IVh0&#10;XVexf0r1NNMHccxEi2xPkG/TsvsmN8QQtej2rGrf5PU00x03jdI5eUg/bC26PavcN/ECeEj7I7Xo&#10;9qx430wHZ0nLqoLCKiy6PavaN/l+WfW136rOx+w4BwrA5jkXAwyD8zG9OFAANs+5GGAYnI/pxYEC&#10;sHnOxQDD4HxMLw4UgM1zLgYYBudjenGgAGyeczHAMDgf04sDBWDznIsBhsH5mF4cKACb51wMMAzO&#10;x/TiQAHYPOdigGFwPqYXBwrA5jkXAwyD8zG9OFAANs+5GGAYnI/pxYECsHnOxQDD4HxMLw4UgM1z&#10;LgYYBudjenGgAGyeczHAMDgf04sDBWDznIsBhsH5mF4cKACb51wMMAzOx/TiQAHYPOdigGFwPqYX&#10;BwrA5jkXAwyD8zG9OFAANs+5GGAYnI/pxYECsHnOxQDD4HxMLw4UgM1zLgYYBudjenGgAGyeczHA&#10;MDgf04sDBWDznIsBhsH5mF4cKACb51wMMAzOx/TiQAHYPOdigGFwPqYXBwq7oKqqp6qq+mQ8Hn85&#10;nwbbwLkYYBicj+nFgcImXbly5bFr164d5WXRQCREse2cizmLtnPp/v7+jXxeoJvzMb04UNik+MV/&#10;9erVKp+2iHkhKrxPVVWfjcfjR/NpMATOxZxF6RwXz69VVd09PTfQxfmYXhwobJIQBcecizmLtnNc&#10;VVXPd50bgVnOx/TiQGGT+oaocCHQ1UUlD1F7e3sPVVX1SrioqKrq7byLS/xlNs6XvO5ig41wLuYs&#10;OkJUODeevB7PlVVV/bdVVX2Unk/H4/Ej8bVYSufm/Hycn5eb93jniSee+C+rqvown56a9557e3sP&#10;p3WU6sq7Mmp546ycj+nFgcIm9QlR4Qu79IWZLpOGqCRAnQSi0gVGMt/JF24zny9gzp1zMWdROscF&#10;eUtUOFc2QaPY9a/HuXamvryu5D1m3jetq+97pvL3y+ePoawU2KAv52N6caCwSfkXYB/xl8k07KQh&#10;Kv+SD0oXGLEeX7YMgXMxZ1E6x8Xgkp7jSq+VflCKmvPpO5cvX/5C6ZxZei0POqX5+r5n+np+7m+r&#10;I++ZAItyPqYXBwqblHfDiKX0BRqVvjjjhUH+62dUusBIu/IJUmyaczFnUTqX5ue8oBRwulpv0vnz&#10;IBSUXiuFmPy83fc9C6+f1BvryH+EK53vYRHOx/TiQGGT+rRE5fctJRcIMy1RVVX9s1J9XV+qaf/+&#10;/IsfzotzMWfRdY5LlQJKWxgJ8nrzlv5SfXnYCdpCVJ/3DEqhq3Q/VVeAhL6cj+nFgcImzQtRyRfv&#10;SctU/mUcJCHq7+f3QwWlL+Vc/ELOl4Xz4FzMWfQ5xwWl0FMKKFHWEjXzg1ZeV7JMrxA17z2T12a6&#10;+HUFMTgL52N6caCwSfNCVOmLNv8yDtIv7aTf/MkXbt8LjL7zwao5F3MWfc9dpYBSOqdGaXhpzscP&#10;er5HZ4jK/53KA1Pb90SpKyGsgvMxvThQ2KS2L8cov5E4iN3v2kJU+HesN365lsJYc9FRauFqvR8L&#10;1sW5mLM4S4iKr+fn4pbXisOb58vNC1FxvtKy6Wvzzsv5/EF+bodFOR/TiwOFTZoXooK833sIQs0v&#10;la0hKr6W1h3/HUpcNn2ted0XLxvhXMxZnDVEBfF8nJwP8xarYstPXmfpfFwKUcG898zP/6VzdaEO&#10;53HOxPmYXhwoAJvnXMzQlcJR4N4kdo3zMb04UAA2z7mYoSv1HEhamGbCFWwr52N6caAAbJ5zMdsg&#10;7zqn+xy7yPmYXhwoAJvnXAwwDM7H9OJAAdg852KAYXA+phcHCsDmORcDDIPzM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cBP8/n90d92gvXbUAAAAASUVORK5CYIJQSwMEFAAGAAgAAAAhAAnX&#10;pJ/iAAAACwEAAA8AAABkcnMvZG93bnJldi54bWxMj8FqwzAQRO+F/oPYQG+J5LoJtmM5hND2FApN&#10;CqU3xdrYJpZkLMV2/r7bU3Nc5jH7Jt9MpmUD9r5xVkK0EMDQlk43tpLwdXybJ8B8UFar1lmUcEMP&#10;m+LxIVeZdqP9xOEQKkYl1mdKQh1Cl3HuyxqN8gvXoaXs7HqjAp19xXWvRio3LX8WYsWNaix9qFWH&#10;uxrLy+FqJLyPatzG0euwv5x3t5/j8uN7H6GUT7NpuwYWcAr/MPzpkzoU5HRyV6s9ayXMV3FEKAWp&#10;oFFEpMlLCuwkYRknAniR8/sNxS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j9LTQOkCAACaCAAADgAAAAAAAAAAAAAAAAA6AgAAZHJzL2Uyb0Rv&#10;Yy54bWxQSwECLQAKAAAAAAAAACEAbyMA/IopAACKKQAAFAAAAAAAAAAAAAAAAABPBQAAZHJzL21l&#10;ZGlhL2ltYWdlMS5wbmdQSwECLQAKAAAAAAAAACEACmOSCZtLAACbSwAAFAAAAAAAAAAAAAAAAAAL&#10;LwAAZHJzL21lZGlhL2ltYWdlMi5wbmdQSwECLQAUAAYACAAAACEACdekn+IAAAALAQAADwAAAAAA&#10;AAAAAAAAAADYegAAZHJzL2Rvd25yZXYueG1sUEsBAi0AFAAGAAgAAAAhAC5s8ADFAAAApQEAABkA&#10;AAAAAAAAAAAAAAAA53sAAGRycy9fcmVscy9lMm9Eb2MueG1sLnJlbHNQSwUGAAAAAAcABwC+AQAA&#10;43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graph with a line and a line&#10;&#10;AI-generated content may be incorrect." style="position:absolute;width:34385;height:22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1vyAAAAOIAAAAPAAAAZHJzL2Rvd25yZXYueG1sRI9Ba8JA&#10;FITvQv/D8gredLcKGlNXEVGpvZkWz4/saxKafRuya0z99a5Q8DjMzDfMct3bWnTU+sqxhrexAkGc&#10;O1NxoeH7az9KQPiAbLB2TBr+yMN69TJYYmrclU/UZaEQEcI+RQ1lCE0qpc9LsujHriGO3o9rLYYo&#10;20KaFq8Rbms5UWomLVYcF0psaFtS/ptdrIbdPuu8wk+83aZ5Qv35eAj2qPXwtd+8gwjUh2f4v/1h&#10;NCRqMksW8/kUHpfiHZCrOwAAAP//AwBQSwECLQAUAAYACAAAACEA2+H2y+4AAACFAQAAEwAAAAAA&#10;AAAAAAAAAAAAAAAAW0NvbnRlbnRfVHlwZXNdLnhtbFBLAQItABQABgAIAAAAIQBa9CxbvwAAABUB&#10;AAALAAAAAAAAAAAAAAAAAB8BAABfcmVscy8ucmVsc1BLAQItABQABgAIAAAAIQBO+u1vyAAAAOIA&#10;AAAPAAAAAAAAAAAAAAAAAAcCAABkcnMvZG93bnJldi54bWxQSwUGAAAAAAMAAwC3AAAA/AIAAAAA&#10;">
                  <v:imagedata r:id="rId14" o:title="A graph with a line and a line&#10;&#10;AI-generated content may be incorrect" cropbottom="7725f"/>
                </v:shape>
                <v:shape id="Picture 4" o:spid="_x0000_s1028" type="#_x0000_t75" alt="A graph with lines and numbers&#10;&#10;AI-generated content may be incorrect." style="position:absolute;left:32067;width:34481;height:21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0XVygAAAOIAAAAPAAAAZHJzL2Rvd25yZXYueG1sRI9Ba8JA&#10;FITvQv/D8oTe6sZYQpq6ShELpr1oWrDHR/Y1CWbfht2txn/fLRQ8DjPzDbNcj6YXZ3K+s6xgPktA&#10;ENdWd9wo+Px4fchB+ICssbdMCq7kYb26myyx0PbCBzpXoRERwr5ABW0IQyGlr1sy6Gd2II7et3UG&#10;Q5SukdrhJcJNL9MkyaTBjuNCiwNtWqpP1Y9RoJ/sV3l8Lxely3f9vtpWR3q7KnU/HV+eQQQawy38&#10;395pBXk2XzwmaZbC36V4B+TqFwAA//8DAFBLAQItABQABgAIAAAAIQDb4fbL7gAAAIUBAAATAAAA&#10;AAAAAAAAAAAAAAAAAABbQ29udGVudF9UeXBlc10ueG1sUEsBAi0AFAAGAAgAAAAhAFr0LFu/AAAA&#10;FQEAAAsAAAAAAAAAAAAAAAAAHwEAAF9yZWxzLy5yZWxzUEsBAi0AFAAGAAgAAAAhAKuXRdXKAAAA&#10;4gAAAA8AAAAAAAAAAAAAAAAABwIAAGRycy9kb3ducmV2LnhtbFBLBQYAAAAAAwADALcAAAD+AgAA&#10;AAA=&#10;">
                  <v:imagedata r:id="rId15" o:title="A graph with lines and numbers&#10;&#10;AI-generated content may be incorrect" cropbottom="8234f"/>
                </v:shape>
                <w10:wrap type="topAndBottom" anchory="page"/>
              </v:group>
            </w:pict>
          </mc:Fallback>
        </mc:AlternateContent>
      </w:r>
      <w:r w:rsidRPr="001C0357">
        <w:rPr>
          <w:noProof/>
          <w:color w:val="000000" w:themeColor="text1"/>
          <w:szCs w:val="24"/>
        </w:rPr>
        <w:t>no IKP 2027. gadā, 53,2% no IKP 2028. gadā un 53,8% no IKP 2029. gadā.</w:t>
      </w:r>
    </w:p>
    <w:p w14:paraId="169F47B3" w14:textId="78E29272" w:rsidR="00FF6F22" w:rsidRPr="00FF6F22" w:rsidRDefault="00FF6F22" w:rsidP="00FF6F22">
      <w:pPr>
        <w:pStyle w:val="H4"/>
        <w:jc w:val="center"/>
        <w:outlineLvl w:val="9"/>
        <w:rPr>
          <w:rFonts w:ascii="Times New Roman" w:hAnsi="Times New Roman" w:cstheme="minorBidi"/>
          <w:bCs/>
          <w:noProof/>
          <w:sz w:val="24"/>
          <w:szCs w:val="22"/>
          <w:lang w:eastAsia="lv-LV"/>
        </w:rPr>
      </w:pPr>
      <w:r>
        <w:rPr>
          <w:rFonts w:ascii="Times New Roman" w:hAnsi="Times New Roman" w:cstheme="minorBidi"/>
          <w:bCs/>
          <w:noProof/>
          <w:sz w:val="24"/>
          <w:szCs w:val="22"/>
          <w:lang w:eastAsia="lv-LV"/>
        </w:rPr>
        <w:t>5. </w:t>
      </w:r>
      <w:r w:rsidRPr="00FF6F22">
        <w:rPr>
          <w:rFonts w:ascii="Times New Roman" w:hAnsi="Times New Roman" w:cstheme="minorBidi"/>
          <w:bCs/>
          <w:noProof/>
          <w:sz w:val="24"/>
          <w:szCs w:val="22"/>
          <w:lang w:eastAsia="lv-LV"/>
        </w:rPr>
        <w:t>attēls. Vispārējās valdības budžeta bilance un parāds</w:t>
      </w:r>
      <w:r>
        <w:rPr>
          <w:rFonts w:ascii="Times New Roman" w:hAnsi="Times New Roman" w:cstheme="minorBidi"/>
          <w:bCs/>
          <w:noProof/>
          <w:sz w:val="24"/>
          <w:szCs w:val="22"/>
          <w:lang w:eastAsia="lv-LV"/>
        </w:rPr>
        <w:t>, % no IKP</w:t>
      </w:r>
      <w:r w:rsidR="00FF3759">
        <w:rPr>
          <w:rFonts w:ascii="Times New Roman" w:hAnsi="Times New Roman" w:cstheme="minorBidi"/>
          <w:bCs/>
          <w:noProof/>
          <w:sz w:val="24"/>
          <w:szCs w:val="22"/>
          <w:lang w:eastAsia="lv-LV"/>
        </w:rPr>
        <w:br/>
      </w:r>
      <w:r w:rsidRPr="00FF6F22">
        <w:rPr>
          <w:rFonts w:ascii="Times New Roman" w:hAnsi="Times New Roman" w:cstheme="minorBidi"/>
          <w:bCs/>
          <w:noProof/>
          <w:sz w:val="24"/>
          <w:szCs w:val="22"/>
          <w:lang w:eastAsia="lv-LV"/>
        </w:rPr>
        <w:t>(optimistiskais scenārijs</w:t>
      </w:r>
      <w:r>
        <w:rPr>
          <w:rFonts w:ascii="Times New Roman" w:hAnsi="Times New Roman" w:cstheme="minorBidi"/>
          <w:bCs/>
          <w:noProof/>
          <w:sz w:val="24"/>
          <w:szCs w:val="22"/>
          <w:lang w:eastAsia="lv-LV"/>
        </w:rPr>
        <w:t>)</w:t>
      </w:r>
    </w:p>
    <w:p w14:paraId="5F43066E" w14:textId="5F2072B1" w:rsidR="00FF6F22" w:rsidRDefault="00FF6F22" w:rsidP="00FF6F22">
      <w:pPr>
        <w:rPr>
          <w:noProof/>
          <w:color w:val="000000" w:themeColor="text1"/>
          <w:szCs w:val="24"/>
        </w:rPr>
      </w:pPr>
      <w:r w:rsidRPr="001C0357">
        <w:rPr>
          <w:noProof/>
          <w:color w:val="000000" w:themeColor="text1"/>
          <w:szCs w:val="24"/>
        </w:rPr>
        <w:t>Iestājoties šādam scenārijam, vispārējās valdības budžeta bilance uzlabotos par 0,1 procentpunktiem 2025. gadā, salīdzinot ar bāzes scenāriju, 0,3</w:t>
      </w:r>
      <w:r>
        <w:rPr>
          <w:noProof/>
          <w:color w:val="000000" w:themeColor="text1"/>
          <w:szCs w:val="24"/>
        </w:rPr>
        <w:t> </w:t>
      </w:r>
      <w:r w:rsidRPr="001C0357">
        <w:rPr>
          <w:noProof/>
          <w:color w:val="000000" w:themeColor="text1"/>
          <w:szCs w:val="24"/>
        </w:rPr>
        <w:t>procentpunktiem 2026. gadā, 2027.-2028. gadā par 0,4 procentpunktiem, bet 2029. gadā par 0,5 procentpunktiem no IKP. Savukārt vispārējās valdības parāda līmenis samazināsies 2025.</w:t>
      </w:r>
      <w:r>
        <w:rPr>
          <w:noProof/>
          <w:color w:val="000000" w:themeColor="text1"/>
          <w:szCs w:val="24"/>
        </w:rPr>
        <w:t> </w:t>
      </w:r>
      <w:r w:rsidRPr="001C0357">
        <w:rPr>
          <w:noProof/>
          <w:color w:val="000000" w:themeColor="text1"/>
          <w:szCs w:val="24"/>
        </w:rPr>
        <w:t>gadā par 0,4</w:t>
      </w:r>
      <w:r>
        <w:rPr>
          <w:noProof/>
          <w:color w:val="000000" w:themeColor="text1"/>
          <w:szCs w:val="24"/>
        </w:rPr>
        <w:t> </w:t>
      </w:r>
      <w:r w:rsidRPr="001C0357">
        <w:rPr>
          <w:noProof/>
          <w:color w:val="000000" w:themeColor="text1"/>
          <w:szCs w:val="24"/>
        </w:rPr>
        <w:t>procentpunktiem, 2026.</w:t>
      </w:r>
      <w:r>
        <w:rPr>
          <w:noProof/>
          <w:color w:val="000000" w:themeColor="text1"/>
          <w:szCs w:val="24"/>
        </w:rPr>
        <w:t> </w:t>
      </w:r>
      <w:r w:rsidRPr="001C0357">
        <w:rPr>
          <w:noProof/>
          <w:color w:val="000000" w:themeColor="text1"/>
          <w:szCs w:val="24"/>
        </w:rPr>
        <w:t>gadā par 1,0</w:t>
      </w:r>
      <w:r>
        <w:rPr>
          <w:noProof/>
          <w:color w:val="000000" w:themeColor="text1"/>
          <w:szCs w:val="24"/>
        </w:rPr>
        <w:t> </w:t>
      </w:r>
      <w:r w:rsidRPr="001C0357">
        <w:rPr>
          <w:noProof/>
          <w:color w:val="000000" w:themeColor="text1"/>
          <w:szCs w:val="24"/>
        </w:rPr>
        <w:t>procentpunkt</w:t>
      </w:r>
      <w:r>
        <w:rPr>
          <w:noProof/>
          <w:color w:val="000000" w:themeColor="text1"/>
          <w:szCs w:val="24"/>
        </w:rPr>
        <w:t>u</w:t>
      </w:r>
      <w:r w:rsidRPr="001C0357">
        <w:rPr>
          <w:noProof/>
          <w:color w:val="000000" w:themeColor="text1"/>
          <w:szCs w:val="24"/>
        </w:rPr>
        <w:t>, 2027.</w:t>
      </w:r>
      <w:r>
        <w:rPr>
          <w:noProof/>
          <w:color w:val="000000" w:themeColor="text1"/>
          <w:szCs w:val="24"/>
        </w:rPr>
        <w:t> </w:t>
      </w:r>
      <w:r w:rsidRPr="001C0357">
        <w:rPr>
          <w:noProof/>
          <w:color w:val="000000" w:themeColor="text1"/>
          <w:szCs w:val="24"/>
        </w:rPr>
        <w:t>gadā par 1,7</w:t>
      </w:r>
      <w:r>
        <w:rPr>
          <w:noProof/>
          <w:color w:val="000000" w:themeColor="text1"/>
          <w:szCs w:val="24"/>
        </w:rPr>
        <w:t> </w:t>
      </w:r>
      <w:r w:rsidRPr="001C0357">
        <w:rPr>
          <w:noProof/>
          <w:color w:val="000000" w:themeColor="text1"/>
          <w:szCs w:val="24"/>
        </w:rPr>
        <w:t>procentpunktiem, 2028.</w:t>
      </w:r>
      <w:r>
        <w:rPr>
          <w:noProof/>
          <w:color w:val="000000" w:themeColor="text1"/>
          <w:szCs w:val="24"/>
        </w:rPr>
        <w:t> </w:t>
      </w:r>
      <w:r w:rsidRPr="001C0357">
        <w:rPr>
          <w:noProof/>
          <w:color w:val="000000" w:themeColor="text1"/>
          <w:szCs w:val="24"/>
        </w:rPr>
        <w:t>gadā par 2,1 procentpunkt</w:t>
      </w:r>
      <w:r>
        <w:rPr>
          <w:noProof/>
          <w:color w:val="000000" w:themeColor="text1"/>
          <w:szCs w:val="24"/>
        </w:rPr>
        <w:t>u</w:t>
      </w:r>
      <w:r w:rsidRPr="001C0357">
        <w:rPr>
          <w:noProof/>
          <w:color w:val="000000" w:themeColor="text1"/>
          <w:szCs w:val="24"/>
        </w:rPr>
        <w:t xml:space="preserve"> un 2029.</w:t>
      </w:r>
      <w:r>
        <w:rPr>
          <w:noProof/>
          <w:color w:val="000000" w:themeColor="text1"/>
          <w:szCs w:val="24"/>
        </w:rPr>
        <w:t> </w:t>
      </w:r>
      <w:r w:rsidRPr="001C0357">
        <w:rPr>
          <w:noProof/>
          <w:color w:val="000000" w:themeColor="text1"/>
          <w:szCs w:val="24"/>
        </w:rPr>
        <w:t>gadā par 2,5</w:t>
      </w:r>
      <w:r>
        <w:rPr>
          <w:noProof/>
          <w:color w:val="000000" w:themeColor="text1"/>
          <w:szCs w:val="24"/>
        </w:rPr>
        <w:t> </w:t>
      </w:r>
      <w:r w:rsidRPr="001C0357">
        <w:rPr>
          <w:noProof/>
          <w:color w:val="000000" w:themeColor="text1"/>
          <w:szCs w:val="24"/>
        </w:rPr>
        <w:t>procentpunktiem.</w:t>
      </w:r>
      <w:r w:rsidRPr="001C0357">
        <w:rPr>
          <w:noProof/>
          <w:color w:val="000000" w:themeColor="text1"/>
          <w:szCs w:val="24"/>
          <w:highlight w:val="yellow"/>
        </w:rPr>
        <w:t xml:space="preserve"> </w:t>
      </w:r>
    </w:p>
    <w:p w14:paraId="65C97EC6" w14:textId="295A8A65" w:rsidR="00833526" w:rsidRPr="00FF6F22" w:rsidRDefault="00833526" w:rsidP="00FF6F22">
      <w:pPr>
        <w:pStyle w:val="H4"/>
        <w:ind w:left="0" w:firstLine="720"/>
        <w:jc w:val="both"/>
        <w:outlineLvl w:val="9"/>
        <w:rPr>
          <w:rFonts w:ascii="Times New Roman" w:hAnsi="Times New Roman"/>
          <w:iCs/>
          <w:noProof/>
          <w:sz w:val="24"/>
          <w:szCs w:val="24"/>
        </w:rPr>
      </w:pPr>
      <w:r w:rsidRPr="001C0357">
        <w:rPr>
          <w:rFonts w:ascii="Times New Roman" w:hAnsi="Times New Roman"/>
          <w:iCs/>
          <w:noProof/>
          <w:sz w:val="24"/>
          <w:szCs w:val="24"/>
        </w:rPr>
        <w:t>Pesimistiskais scenārijs</w:t>
      </w:r>
    </w:p>
    <w:p w14:paraId="3260F27A" w14:textId="77777777" w:rsidR="00833526" w:rsidRPr="001C0357" w:rsidRDefault="00833526" w:rsidP="00027043">
      <w:pPr>
        <w:rPr>
          <w:rFonts w:eastAsia="Aptos" w:cs="Times New Roman"/>
          <w:noProof/>
          <w:szCs w:val="20"/>
          <w14:ligatures w14:val="standardContextual"/>
        </w:rPr>
      </w:pPr>
      <w:r w:rsidRPr="001C0357">
        <w:rPr>
          <w:rFonts w:eastAsia="Aptos" w:cs="Times New Roman"/>
          <w:noProof/>
          <w:szCs w:val="20"/>
          <w14:ligatures w14:val="standardContextual"/>
        </w:rPr>
        <w:t>Ņemot vērā iespējamos negatīvos riskus ekonomikas izaugsmei, Finanšu ministrija ir sagatavojusi alternatīvu ekonomikas attīstības scenāriju periodam no 2025. līdz 2029. gadam, paredzot negatīvo risku ietekmes īstenošanos. Šajā scenārijā tiek modelēta šo risku realizēšanās ietekme uz dažādiem makroekonomiskajiem rādītājiem un budžeta ieņēmumiem.</w:t>
      </w:r>
    </w:p>
    <w:p w14:paraId="4C430018" w14:textId="77777777" w:rsidR="00833526" w:rsidRPr="001C0357" w:rsidRDefault="00833526" w:rsidP="00027043">
      <w:pPr>
        <w:rPr>
          <w:rFonts w:eastAsia="Aptos" w:cs="Times New Roman"/>
          <w:noProof/>
          <w:szCs w:val="20"/>
          <w14:ligatures w14:val="standardContextual"/>
        </w:rPr>
      </w:pPr>
      <w:r w:rsidRPr="001C0357">
        <w:rPr>
          <w:rFonts w:eastAsia="Aptos" w:cs="Times New Roman"/>
          <w:noProof/>
          <w:szCs w:val="20"/>
          <w14:ligatures w14:val="standardContextual"/>
        </w:rPr>
        <w:t>Galvenais negatīvais risks scenārijā ir augstāku ASV tirdzniecības tarifu ieviešana un pārējo pasaules valstu potenciālie atbildes pasākumi, kas ierobežotu pasaules tirdzniecības apjomus, samazinātu Latvijas partnervalstu izaugsmi un attiecīgi arī Latvijas eksportu. Vienlaikus ģeopolitiskās situācijas saasināšanās var vēl papildus pasliktināt investoru un patērētāju noskaņojumu, samazinot investīciju un privātā patēriņa apjomus. Tā rezultātā ekonomikas izaugsme, pretstatā bāzes scenārijam, 2025. gadā tā arī neatjaunotos un zemāki pieauguma tempi saglabātos arī visu 2026. gadu.</w:t>
      </w:r>
    </w:p>
    <w:p w14:paraId="117F3E1E" w14:textId="53C45089" w:rsidR="00FF3759" w:rsidRPr="001C0357" w:rsidRDefault="00FF3759" w:rsidP="00FF3759">
      <w:pPr>
        <w:ind w:firstLine="0"/>
        <w:jc w:val="center"/>
        <w:rPr>
          <w:b/>
          <w:bCs/>
          <w:noProof/>
        </w:rPr>
      </w:pPr>
      <w:r w:rsidRPr="001C0357">
        <w:rPr>
          <w:b/>
          <w:bCs/>
          <w:noProof/>
        </w:rPr>
        <w:t>1</w:t>
      </w:r>
      <w:r>
        <w:rPr>
          <w:b/>
          <w:bCs/>
          <w:noProof/>
        </w:rPr>
        <w:t>6</w:t>
      </w:r>
      <w:r w:rsidRPr="001C0357">
        <w:rPr>
          <w:b/>
          <w:bCs/>
          <w:noProof/>
        </w:rPr>
        <w:t>. tabula. Makroekonomiskie rādītāji 2024. – 2029. gadā</w:t>
      </w:r>
      <w:r>
        <w:rPr>
          <w:b/>
          <w:bCs/>
          <w:noProof/>
        </w:rPr>
        <w:t xml:space="preserve"> </w:t>
      </w:r>
      <w:r w:rsidRPr="001C0357">
        <w:rPr>
          <w:b/>
          <w:bCs/>
          <w:noProof/>
        </w:rPr>
        <w:t>(Pesimistiskais scenārijs)</w:t>
      </w:r>
    </w:p>
    <w:tbl>
      <w:tblPr>
        <w:tblW w:w="5000" w:type="pct"/>
        <w:jc w:val="center"/>
        <w:tblLayout w:type="fixed"/>
        <w:tblCellMar>
          <w:left w:w="85" w:type="dxa"/>
          <w:right w:w="85" w:type="dxa"/>
        </w:tblCellMar>
        <w:tblLook w:val="04A0" w:firstRow="1" w:lastRow="0" w:firstColumn="1" w:lastColumn="0" w:noHBand="0" w:noVBand="1"/>
      </w:tblPr>
      <w:tblGrid>
        <w:gridCol w:w="3400"/>
        <w:gridCol w:w="889"/>
        <w:gridCol w:w="954"/>
        <w:gridCol w:w="955"/>
        <w:gridCol w:w="954"/>
        <w:gridCol w:w="955"/>
        <w:gridCol w:w="954"/>
      </w:tblGrid>
      <w:tr w:rsidR="00FF3759" w:rsidRPr="001C0357" w14:paraId="44DA3266" w14:textId="77777777" w:rsidTr="00AC4FED">
        <w:trPr>
          <w:trHeight w:val="70"/>
          <w:jc w:val="center"/>
        </w:trPr>
        <w:tc>
          <w:tcPr>
            <w:tcW w:w="3400" w:type="dxa"/>
            <w:tcBorders>
              <w:top w:val="single" w:sz="4" w:space="0" w:color="auto"/>
              <w:left w:val="single" w:sz="4" w:space="0" w:color="auto"/>
              <w:bottom w:val="single" w:sz="4" w:space="0" w:color="auto"/>
              <w:right w:val="single" w:sz="4" w:space="0" w:color="auto"/>
            </w:tcBorders>
            <w:noWrap/>
            <w:vAlign w:val="center"/>
            <w:hideMark/>
          </w:tcPr>
          <w:p w14:paraId="597ECA5B" w14:textId="77777777" w:rsidR="00FF3759" w:rsidRPr="001C0357" w:rsidRDefault="00FF3759" w:rsidP="00AC4FED">
            <w:pPr>
              <w:spacing w:before="0" w:after="0"/>
              <w:ind w:firstLine="0"/>
              <w:rPr>
                <w:rFonts w:cs="Times New Roman"/>
                <w:noProof/>
                <w:sz w:val="20"/>
                <w:szCs w:val="20"/>
                <w:lang w:eastAsia="lv-LV"/>
              </w:rPr>
            </w:pPr>
          </w:p>
        </w:tc>
        <w:tc>
          <w:tcPr>
            <w:tcW w:w="889" w:type="dxa"/>
            <w:tcBorders>
              <w:top w:val="single" w:sz="4" w:space="0" w:color="auto"/>
              <w:left w:val="nil"/>
              <w:bottom w:val="single" w:sz="4" w:space="0" w:color="auto"/>
              <w:right w:val="single" w:sz="4" w:space="0" w:color="auto"/>
            </w:tcBorders>
            <w:noWrap/>
            <w:vAlign w:val="center"/>
            <w:hideMark/>
          </w:tcPr>
          <w:p w14:paraId="7025ED82" w14:textId="77777777" w:rsidR="00FF3759" w:rsidRPr="001C0357" w:rsidRDefault="00FF3759" w:rsidP="00AC4FED">
            <w:pPr>
              <w:spacing w:before="0" w:after="0"/>
              <w:ind w:firstLine="0"/>
              <w:jc w:val="center"/>
              <w:rPr>
                <w:rFonts w:cs="Times New Roman"/>
                <w:b/>
                <w:bCs/>
                <w:noProof/>
                <w:sz w:val="20"/>
                <w:szCs w:val="20"/>
                <w:lang w:eastAsia="lv-LV"/>
              </w:rPr>
            </w:pPr>
            <w:r w:rsidRPr="001C0357">
              <w:rPr>
                <w:rFonts w:cs="Times New Roman"/>
                <w:b/>
                <w:bCs/>
                <w:noProof/>
                <w:sz w:val="20"/>
                <w:szCs w:val="20"/>
                <w:lang w:eastAsia="lv-LV"/>
              </w:rPr>
              <w:t>2024</w:t>
            </w:r>
          </w:p>
        </w:tc>
        <w:tc>
          <w:tcPr>
            <w:tcW w:w="954" w:type="dxa"/>
            <w:tcBorders>
              <w:top w:val="single" w:sz="4" w:space="0" w:color="auto"/>
              <w:left w:val="nil"/>
              <w:bottom w:val="single" w:sz="4" w:space="0" w:color="auto"/>
              <w:right w:val="single" w:sz="4" w:space="0" w:color="auto"/>
            </w:tcBorders>
            <w:shd w:val="clear" w:color="auto" w:fill="EBE2D1"/>
            <w:noWrap/>
            <w:vAlign w:val="center"/>
          </w:tcPr>
          <w:p w14:paraId="7A157601" w14:textId="77777777" w:rsidR="00FF3759" w:rsidRPr="001C0357" w:rsidRDefault="00FF3759" w:rsidP="00AC4FED">
            <w:pPr>
              <w:spacing w:before="0" w:after="0"/>
              <w:ind w:firstLine="0"/>
              <w:jc w:val="center"/>
              <w:rPr>
                <w:rFonts w:cs="Times New Roman"/>
                <w:b/>
                <w:bCs/>
                <w:noProof/>
                <w:sz w:val="20"/>
                <w:szCs w:val="20"/>
                <w:lang w:eastAsia="lv-LV"/>
              </w:rPr>
            </w:pPr>
            <w:r w:rsidRPr="001C0357">
              <w:rPr>
                <w:rFonts w:cs="Times New Roman"/>
                <w:b/>
                <w:bCs/>
                <w:noProof/>
                <w:sz w:val="20"/>
                <w:szCs w:val="20"/>
                <w:lang w:eastAsia="lv-LV"/>
              </w:rPr>
              <w:t>2025</w:t>
            </w:r>
          </w:p>
        </w:tc>
        <w:tc>
          <w:tcPr>
            <w:tcW w:w="955" w:type="dxa"/>
            <w:tcBorders>
              <w:top w:val="single" w:sz="4" w:space="0" w:color="auto"/>
              <w:left w:val="nil"/>
              <w:bottom w:val="single" w:sz="4" w:space="0" w:color="auto"/>
              <w:right w:val="single" w:sz="4" w:space="0" w:color="auto"/>
            </w:tcBorders>
            <w:shd w:val="clear" w:color="auto" w:fill="EBE2D1"/>
            <w:noWrap/>
            <w:vAlign w:val="center"/>
          </w:tcPr>
          <w:p w14:paraId="245D0637" w14:textId="77777777" w:rsidR="00FF3759" w:rsidRPr="001C0357" w:rsidRDefault="00FF3759" w:rsidP="00AC4FED">
            <w:pPr>
              <w:spacing w:before="0" w:after="0"/>
              <w:ind w:firstLine="0"/>
              <w:jc w:val="center"/>
              <w:rPr>
                <w:rFonts w:cs="Times New Roman"/>
                <w:b/>
                <w:bCs/>
                <w:noProof/>
                <w:sz w:val="20"/>
                <w:szCs w:val="20"/>
                <w:lang w:eastAsia="lv-LV"/>
              </w:rPr>
            </w:pPr>
            <w:r w:rsidRPr="001C0357">
              <w:rPr>
                <w:rFonts w:cs="Times New Roman"/>
                <w:b/>
                <w:bCs/>
                <w:noProof/>
                <w:sz w:val="20"/>
                <w:szCs w:val="20"/>
                <w:lang w:eastAsia="lv-LV"/>
              </w:rPr>
              <w:t>2026</w:t>
            </w:r>
          </w:p>
        </w:tc>
        <w:tc>
          <w:tcPr>
            <w:tcW w:w="954" w:type="dxa"/>
            <w:tcBorders>
              <w:top w:val="single" w:sz="4" w:space="0" w:color="auto"/>
              <w:left w:val="nil"/>
              <w:bottom w:val="single" w:sz="4" w:space="0" w:color="auto"/>
              <w:right w:val="single" w:sz="4" w:space="0" w:color="auto"/>
            </w:tcBorders>
            <w:shd w:val="clear" w:color="auto" w:fill="EBE2D1"/>
            <w:noWrap/>
            <w:vAlign w:val="center"/>
          </w:tcPr>
          <w:p w14:paraId="1FC43D94" w14:textId="77777777" w:rsidR="00FF3759" w:rsidRPr="001C0357" w:rsidRDefault="00FF3759" w:rsidP="00AC4FED">
            <w:pPr>
              <w:spacing w:before="0" w:after="0"/>
              <w:ind w:firstLine="0"/>
              <w:jc w:val="center"/>
              <w:rPr>
                <w:rFonts w:cs="Times New Roman"/>
                <w:b/>
                <w:bCs/>
                <w:noProof/>
                <w:sz w:val="20"/>
                <w:szCs w:val="20"/>
                <w:lang w:eastAsia="lv-LV"/>
              </w:rPr>
            </w:pPr>
            <w:r w:rsidRPr="001C0357">
              <w:rPr>
                <w:rFonts w:cs="Times New Roman"/>
                <w:b/>
                <w:bCs/>
                <w:noProof/>
                <w:sz w:val="20"/>
                <w:szCs w:val="20"/>
                <w:lang w:eastAsia="lv-LV"/>
              </w:rPr>
              <w:t>2027</w:t>
            </w:r>
          </w:p>
        </w:tc>
        <w:tc>
          <w:tcPr>
            <w:tcW w:w="955" w:type="dxa"/>
            <w:tcBorders>
              <w:top w:val="single" w:sz="4" w:space="0" w:color="auto"/>
              <w:left w:val="nil"/>
              <w:bottom w:val="single" w:sz="4" w:space="0" w:color="auto"/>
              <w:right w:val="single" w:sz="4" w:space="0" w:color="auto"/>
            </w:tcBorders>
            <w:shd w:val="clear" w:color="auto" w:fill="EBE2D1"/>
            <w:noWrap/>
            <w:vAlign w:val="center"/>
          </w:tcPr>
          <w:p w14:paraId="467B2930" w14:textId="77777777" w:rsidR="00FF3759" w:rsidRPr="001C0357" w:rsidRDefault="00FF3759" w:rsidP="00AC4FED">
            <w:pPr>
              <w:spacing w:before="0" w:after="0"/>
              <w:ind w:firstLine="0"/>
              <w:jc w:val="center"/>
              <w:rPr>
                <w:rFonts w:cs="Times New Roman"/>
                <w:b/>
                <w:bCs/>
                <w:noProof/>
                <w:sz w:val="20"/>
                <w:szCs w:val="20"/>
                <w:lang w:eastAsia="lv-LV"/>
              </w:rPr>
            </w:pPr>
            <w:r w:rsidRPr="001C0357">
              <w:rPr>
                <w:rFonts w:cs="Times New Roman"/>
                <w:b/>
                <w:bCs/>
                <w:noProof/>
                <w:sz w:val="20"/>
                <w:szCs w:val="20"/>
                <w:lang w:eastAsia="lv-LV"/>
              </w:rPr>
              <w:t>2028</w:t>
            </w:r>
          </w:p>
        </w:tc>
        <w:tc>
          <w:tcPr>
            <w:tcW w:w="954" w:type="dxa"/>
            <w:tcBorders>
              <w:top w:val="single" w:sz="4" w:space="0" w:color="auto"/>
              <w:left w:val="nil"/>
              <w:bottom w:val="single" w:sz="4" w:space="0" w:color="auto"/>
              <w:right w:val="single" w:sz="4" w:space="0" w:color="auto"/>
            </w:tcBorders>
            <w:shd w:val="clear" w:color="auto" w:fill="EBE2D1"/>
            <w:vAlign w:val="center"/>
          </w:tcPr>
          <w:p w14:paraId="7DE7E8C8" w14:textId="77777777" w:rsidR="00FF3759" w:rsidRPr="001C0357" w:rsidRDefault="00FF3759" w:rsidP="00AC4FED">
            <w:pPr>
              <w:spacing w:before="0" w:after="0"/>
              <w:ind w:firstLine="0"/>
              <w:jc w:val="center"/>
              <w:rPr>
                <w:rFonts w:cs="Times New Roman"/>
                <w:b/>
                <w:bCs/>
                <w:noProof/>
                <w:sz w:val="20"/>
                <w:szCs w:val="20"/>
                <w:lang w:eastAsia="lv-LV"/>
              </w:rPr>
            </w:pPr>
            <w:r w:rsidRPr="001C0357">
              <w:rPr>
                <w:rFonts w:cs="Times New Roman"/>
                <w:b/>
                <w:bCs/>
                <w:noProof/>
                <w:sz w:val="20"/>
                <w:szCs w:val="20"/>
                <w:lang w:eastAsia="lv-LV"/>
              </w:rPr>
              <w:t>2029</w:t>
            </w:r>
          </w:p>
        </w:tc>
      </w:tr>
      <w:tr w:rsidR="00FF3759" w:rsidRPr="001C0357" w14:paraId="57721F80" w14:textId="77777777" w:rsidTr="00AC4FED">
        <w:trPr>
          <w:trHeight w:val="70"/>
          <w:jc w:val="center"/>
        </w:trPr>
        <w:tc>
          <w:tcPr>
            <w:tcW w:w="3400" w:type="dxa"/>
            <w:tcBorders>
              <w:top w:val="single" w:sz="4" w:space="0" w:color="auto"/>
              <w:left w:val="single" w:sz="4" w:space="0" w:color="auto"/>
              <w:bottom w:val="single" w:sz="4" w:space="0" w:color="auto"/>
              <w:right w:val="single" w:sz="4" w:space="0" w:color="auto"/>
            </w:tcBorders>
            <w:noWrap/>
            <w:vAlign w:val="center"/>
          </w:tcPr>
          <w:p w14:paraId="01CC42B5" w14:textId="77777777" w:rsidR="00FF3759" w:rsidRPr="001C0357" w:rsidRDefault="00FF3759" w:rsidP="00AC4FED">
            <w:pPr>
              <w:spacing w:before="0" w:after="0"/>
              <w:ind w:firstLine="0"/>
              <w:rPr>
                <w:rFonts w:cs="Times New Roman"/>
                <w:noProof/>
                <w:sz w:val="20"/>
                <w:szCs w:val="20"/>
                <w:lang w:eastAsia="lv-LV"/>
              </w:rPr>
            </w:pPr>
          </w:p>
        </w:tc>
        <w:tc>
          <w:tcPr>
            <w:tcW w:w="889" w:type="dxa"/>
            <w:tcBorders>
              <w:top w:val="single" w:sz="4" w:space="0" w:color="auto"/>
              <w:left w:val="nil"/>
              <w:bottom w:val="single" w:sz="4" w:space="0" w:color="auto"/>
              <w:right w:val="single" w:sz="4" w:space="0" w:color="auto"/>
            </w:tcBorders>
            <w:noWrap/>
            <w:vAlign w:val="center"/>
          </w:tcPr>
          <w:p w14:paraId="1427D074" w14:textId="77777777" w:rsidR="00FF3759" w:rsidRPr="001C0357" w:rsidRDefault="00FF3759" w:rsidP="00AC4FED">
            <w:pPr>
              <w:spacing w:before="0" w:after="0"/>
              <w:ind w:firstLine="0"/>
              <w:jc w:val="center"/>
              <w:rPr>
                <w:rFonts w:cs="Times New Roman"/>
                <w:noProof/>
                <w:sz w:val="20"/>
                <w:szCs w:val="20"/>
                <w:lang w:eastAsia="lv-LV"/>
              </w:rPr>
            </w:pPr>
            <w:r w:rsidRPr="001C0357">
              <w:rPr>
                <w:rFonts w:cs="Times New Roman"/>
                <w:noProof/>
                <w:sz w:val="20"/>
                <w:szCs w:val="20"/>
                <w:lang w:eastAsia="lv-LV"/>
              </w:rPr>
              <w:t>fakts</w:t>
            </w:r>
          </w:p>
        </w:tc>
        <w:tc>
          <w:tcPr>
            <w:tcW w:w="4772" w:type="dxa"/>
            <w:gridSpan w:val="5"/>
            <w:tcBorders>
              <w:top w:val="single" w:sz="4" w:space="0" w:color="auto"/>
              <w:left w:val="nil"/>
              <w:bottom w:val="single" w:sz="4" w:space="0" w:color="auto"/>
              <w:right w:val="single" w:sz="4" w:space="0" w:color="auto"/>
            </w:tcBorders>
            <w:shd w:val="clear" w:color="auto" w:fill="EBE2D1"/>
            <w:noWrap/>
            <w:vAlign w:val="center"/>
          </w:tcPr>
          <w:p w14:paraId="5674BC8C" w14:textId="77777777" w:rsidR="00FF3759" w:rsidRPr="001C0357" w:rsidRDefault="00FF3759" w:rsidP="00AC4FED">
            <w:pPr>
              <w:spacing w:before="0" w:after="0"/>
              <w:ind w:firstLine="0"/>
              <w:jc w:val="center"/>
              <w:rPr>
                <w:rFonts w:cs="Times New Roman"/>
                <w:noProof/>
                <w:sz w:val="20"/>
                <w:szCs w:val="20"/>
                <w:lang w:eastAsia="lv-LV"/>
              </w:rPr>
            </w:pPr>
            <w:r w:rsidRPr="001C0357">
              <w:rPr>
                <w:rFonts w:cs="Times New Roman"/>
                <w:noProof/>
                <w:sz w:val="20"/>
                <w:szCs w:val="20"/>
                <w:lang w:eastAsia="lv-LV"/>
              </w:rPr>
              <w:t>prognoze</w:t>
            </w:r>
          </w:p>
        </w:tc>
      </w:tr>
      <w:tr w:rsidR="00FF3759" w:rsidRPr="001C0357" w14:paraId="3DD5003C" w14:textId="77777777" w:rsidTr="00AC4FED">
        <w:trPr>
          <w:trHeight w:val="128"/>
          <w:jc w:val="center"/>
        </w:trPr>
        <w:tc>
          <w:tcPr>
            <w:tcW w:w="3400" w:type="dxa"/>
            <w:tcBorders>
              <w:top w:val="nil"/>
              <w:left w:val="single" w:sz="4" w:space="0" w:color="auto"/>
              <w:bottom w:val="single" w:sz="4" w:space="0" w:color="auto"/>
              <w:right w:val="single" w:sz="4" w:space="0" w:color="auto"/>
            </w:tcBorders>
            <w:noWrap/>
            <w:vAlign w:val="center"/>
            <w:hideMark/>
          </w:tcPr>
          <w:p w14:paraId="502F46C5" w14:textId="77777777" w:rsidR="00FF3759" w:rsidRPr="001C0357" w:rsidRDefault="00FF3759" w:rsidP="00AC4FED">
            <w:pPr>
              <w:spacing w:before="0" w:after="0"/>
              <w:ind w:firstLine="0"/>
              <w:jc w:val="left"/>
              <w:rPr>
                <w:rFonts w:cs="Times New Roman"/>
                <w:b/>
                <w:bCs/>
                <w:noProof/>
                <w:sz w:val="20"/>
                <w:szCs w:val="20"/>
                <w:lang w:eastAsia="lv-LV"/>
              </w:rPr>
            </w:pPr>
            <w:r w:rsidRPr="001C0357">
              <w:rPr>
                <w:rFonts w:cs="Times New Roman"/>
                <w:b/>
                <w:bCs/>
                <w:noProof/>
                <w:sz w:val="20"/>
                <w:szCs w:val="20"/>
                <w:lang w:eastAsia="lv-LV"/>
              </w:rPr>
              <w:t xml:space="preserve">Iekšzemes kopprodukts, milj. </w:t>
            </w:r>
            <w:r w:rsidRPr="001C0357">
              <w:rPr>
                <w:rFonts w:cs="Times New Roman"/>
                <w:b/>
                <w:bCs/>
                <w:i/>
                <w:noProof/>
                <w:sz w:val="20"/>
                <w:szCs w:val="20"/>
                <w:lang w:eastAsia="lv-LV"/>
              </w:rPr>
              <w:t>euro</w:t>
            </w:r>
          </w:p>
        </w:tc>
        <w:tc>
          <w:tcPr>
            <w:tcW w:w="889" w:type="dxa"/>
            <w:tcBorders>
              <w:top w:val="single" w:sz="4" w:space="0" w:color="auto"/>
              <w:left w:val="nil"/>
              <w:bottom w:val="single" w:sz="4" w:space="0" w:color="auto"/>
              <w:right w:val="single" w:sz="4" w:space="0" w:color="auto"/>
            </w:tcBorders>
            <w:noWrap/>
            <w:tcMar>
              <w:right w:w="170" w:type="dxa"/>
            </w:tcMar>
            <w:vAlign w:val="center"/>
          </w:tcPr>
          <w:p w14:paraId="40BAC22B"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40</w:t>
            </w:r>
            <w:r>
              <w:rPr>
                <w:rFonts w:cs="Times New Roman"/>
                <w:noProof/>
                <w:sz w:val="20"/>
                <w:szCs w:val="20"/>
              </w:rPr>
              <w:t xml:space="preserve"> </w:t>
            </w:r>
            <w:r w:rsidRPr="001C0357">
              <w:rPr>
                <w:rFonts w:cs="Times New Roman"/>
                <w:noProof/>
                <w:sz w:val="20"/>
                <w:szCs w:val="20"/>
              </w:rPr>
              <w:t>208</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57B7B3DA"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41</w:t>
            </w:r>
            <w:r>
              <w:rPr>
                <w:rFonts w:cs="Times New Roman"/>
                <w:noProof/>
                <w:sz w:val="20"/>
                <w:szCs w:val="20"/>
              </w:rPr>
              <w:t xml:space="preserve"> </w:t>
            </w:r>
            <w:r w:rsidRPr="001C0357">
              <w:rPr>
                <w:rFonts w:cs="Times New Roman"/>
                <w:noProof/>
                <w:sz w:val="20"/>
                <w:szCs w:val="20"/>
              </w:rPr>
              <w:t>490</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3D7B8FEE"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43</w:t>
            </w:r>
            <w:r>
              <w:rPr>
                <w:rFonts w:cs="Times New Roman"/>
                <w:noProof/>
                <w:sz w:val="20"/>
                <w:szCs w:val="20"/>
              </w:rPr>
              <w:t xml:space="preserve"> </w:t>
            </w:r>
            <w:r w:rsidRPr="001C0357">
              <w:rPr>
                <w:rFonts w:cs="Times New Roman"/>
                <w:noProof/>
                <w:sz w:val="20"/>
                <w:szCs w:val="20"/>
              </w:rPr>
              <w:t>004</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484D8037"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45</w:t>
            </w:r>
            <w:r>
              <w:rPr>
                <w:rFonts w:cs="Times New Roman"/>
                <w:noProof/>
                <w:sz w:val="20"/>
                <w:szCs w:val="20"/>
              </w:rPr>
              <w:t xml:space="preserve"> </w:t>
            </w:r>
            <w:r w:rsidRPr="001C0357">
              <w:rPr>
                <w:rFonts w:cs="Times New Roman"/>
                <w:noProof/>
                <w:sz w:val="20"/>
                <w:szCs w:val="20"/>
              </w:rPr>
              <w:t>006</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603CA741"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47</w:t>
            </w:r>
            <w:r>
              <w:rPr>
                <w:rFonts w:cs="Times New Roman"/>
                <w:noProof/>
                <w:sz w:val="20"/>
                <w:szCs w:val="20"/>
              </w:rPr>
              <w:t xml:space="preserve"> </w:t>
            </w:r>
            <w:r w:rsidRPr="001C0357">
              <w:rPr>
                <w:rFonts w:cs="Times New Roman"/>
                <w:noProof/>
                <w:sz w:val="20"/>
                <w:szCs w:val="20"/>
              </w:rPr>
              <w:t>086</w:t>
            </w:r>
          </w:p>
        </w:tc>
        <w:tc>
          <w:tcPr>
            <w:tcW w:w="954" w:type="dxa"/>
            <w:tcBorders>
              <w:top w:val="nil"/>
              <w:left w:val="nil"/>
              <w:bottom w:val="single" w:sz="4" w:space="0" w:color="auto"/>
              <w:right w:val="single" w:sz="4" w:space="0" w:color="auto"/>
            </w:tcBorders>
            <w:shd w:val="clear" w:color="auto" w:fill="EBE2D1"/>
            <w:vAlign w:val="center"/>
          </w:tcPr>
          <w:p w14:paraId="11E94A53"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49</w:t>
            </w:r>
            <w:r>
              <w:rPr>
                <w:rFonts w:cs="Times New Roman"/>
                <w:noProof/>
                <w:sz w:val="20"/>
                <w:szCs w:val="20"/>
              </w:rPr>
              <w:t xml:space="preserve"> </w:t>
            </w:r>
            <w:r w:rsidRPr="001C0357">
              <w:rPr>
                <w:rFonts w:cs="Times New Roman"/>
                <w:noProof/>
                <w:sz w:val="20"/>
                <w:szCs w:val="20"/>
              </w:rPr>
              <w:t>280</w:t>
            </w:r>
          </w:p>
        </w:tc>
      </w:tr>
      <w:tr w:rsidR="00FF3759" w:rsidRPr="001C0357" w14:paraId="279B853D" w14:textId="77777777" w:rsidTr="00AC4FED">
        <w:trPr>
          <w:trHeight w:val="90"/>
          <w:jc w:val="center"/>
        </w:trPr>
        <w:tc>
          <w:tcPr>
            <w:tcW w:w="3400" w:type="dxa"/>
            <w:tcBorders>
              <w:top w:val="nil"/>
              <w:left w:val="single" w:sz="4" w:space="0" w:color="auto"/>
              <w:bottom w:val="single" w:sz="4" w:space="0" w:color="auto"/>
              <w:right w:val="single" w:sz="4" w:space="0" w:color="auto"/>
            </w:tcBorders>
            <w:noWrap/>
            <w:vAlign w:val="center"/>
            <w:hideMark/>
          </w:tcPr>
          <w:p w14:paraId="2F76CC79" w14:textId="77777777" w:rsidR="00FF3759" w:rsidRPr="001C0357" w:rsidRDefault="00FF3759" w:rsidP="00AC4FED">
            <w:pPr>
              <w:spacing w:before="0" w:after="0"/>
              <w:ind w:left="176" w:firstLine="567"/>
              <w:jc w:val="left"/>
              <w:rPr>
                <w:rFonts w:cs="Times New Roman"/>
                <w:noProof/>
                <w:sz w:val="20"/>
                <w:szCs w:val="20"/>
                <w:lang w:eastAsia="lv-LV"/>
              </w:rPr>
            </w:pPr>
            <w:r w:rsidRPr="001C0357">
              <w:rPr>
                <w:rFonts w:cs="Times New Roman"/>
                <w:noProof/>
                <w:sz w:val="20"/>
                <w:szCs w:val="20"/>
                <w:lang w:eastAsia="lv-LV"/>
              </w:rPr>
              <w:t>izmaiņas faktiskajās cenās, %</w:t>
            </w:r>
          </w:p>
        </w:tc>
        <w:tc>
          <w:tcPr>
            <w:tcW w:w="889" w:type="dxa"/>
            <w:tcBorders>
              <w:top w:val="nil"/>
              <w:left w:val="nil"/>
              <w:bottom w:val="single" w:sz="4" w:space="0" w:color="auto"/>
              <w:right w:val="single" w:sz="4" w:space="0" w:color="auto"/>
            </w:tcBorders>
            <w:noWrap/>
            <w:tcMar>
              <w:right w:w="170" w:type="dxa"/>
            </w:tcMar>
            <w:vAlign w:val="center"/>
          </w:tcPr>
          <w:p w14:paraId="7B8F0D27"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2,1</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39F89125"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3,2</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0FE51B93"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3,7</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635F95CA"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4,7</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650259D8"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4,6</w:t>
            </w:r>
          </w:p>
        </w:tc>
        <w:tc>
          <w:tcPr>
            <w:tcW w:w="954" w:type="dxa"/>
            <w:tcBorders>
              <w:top w:val="nil"/>
              <w:left w:val="nil"/>
              <w:bottom w:val="single" w:sz="4" w:space="0" w:color="auto"/>
              <w:right w:val="single" w:sz="4" w:space="0" w:color="auto"/>
            </w:tcBorders>
            <w:shd w:val="clear" w:color="auto" w:fill="EBE2D1"/>
            <w:vAlign w:val="center"/>
          </w:tcPr>
          <w:p w14:paraId="263DB027"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4,7</w:t>
            </w:r>
          </w:p>
        </w:tc>
      </w:tr>
      <w:tr w:rsidR="00FF3759" w:rsidRPr="001C0357" w14:paraId="2CF6A551" w14:textId="77777777" w:rsidTr="00AC4FED">
        <w:trPr>
          <w:trHeight w:val="136"/>
          <w:jc w:val="center"/>
        </w:trPr>
        <w:tc>
          <w:tcPr>
            <w:tcW w:w="3400" w:type="dxa"/>
            <w:tcBorders>
              <w:top w:val="nil"/>
              <w:left w:val="single" w:sz="4" w:space="0" w:color="auto"/>
              <w:bottom w:val="single" w:sz="4" w:space="0" w:color="auto"/>
              <w:right w:val="single" w:sz="4" w:space="0" w:color="auto"/>
            </w:tcBorders>
            <w:noWrap/>
            <w:vAlign w:val="center"/>
            <w:hideMark/>
          </w:tcPr>
          <w:p w14:paraId="14532A10" w14:textId="77777777" w:rsidR="00FF3759" w:rsidRPr="001C0357" w:rsidRDefault="00FF3759" w:rsidP="00AC4FED">
            <w:pPr>
              <w:spacing w:before="0" w:after="0"/>
              <w:ind w:left="176" w:firstLine="567"/>
              <w:jc w:val="left"/>
              <w:rPr>
                <w:rFonts w:cs="Times New Roman"/>
                <w:noProof/>
                <w:sz w:val="20"/>
                <w:szCs w:val="20"/>
                <w:lang w:eastAsia="lv-LV"/>
              </w:rPr>
            </w:pPr>
            <w:r w:rsidRPr="001C0357">
              <w:rPr>
                <w:rFonts w:cs="Times New Roman"/>
                <w:noProof/>
                <w:sz w:val="20"/>
                <w:szCs w:val="20"/>
                <w:lang w:eastAsia="lv-LV"/>
              </w:rPr>
              <w:t>izmaiņas salīdzin. cenās, %</w:t>
            </w:r>
          </w:p>
        </w:tc>
        <w:tc>
          <w:tcPr>
            <w:tcW w:w="889" w:type="dxa"/>
            <w:tcBorders>
              <w:top w:val="nil"/>
              <w:left w:val="nil"/>
              <w:bottom w:val="single" w:sz="4" w:space="0" w:color="auto"/>
              <w:right w:val="single" w:sz="4" w:space="0" w:color="auto"/>
            </w:tcBorders>
            <w:noWrap/>
            <w:tcMar>
              <w:right w:w="170" w:type="dxa"/>
            </w:tcMar>
            <w:vAlign w:val="center"/>
          </w:tcPr>
          <w:p w14:paraId="5581646E"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-0,4</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5FF6A7C6"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0,0</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148F52A4"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1,3</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59620CC8"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2,2</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21913F22"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2,2</w:t>
            </w:r>
          </w:p>
        </w:tc>
        <w:tc>
          <w:tcPr>
            <w:tcW w:w="954" w:type="dxa"/>
            <w:tcBorders>
              <w:top w:val="nil"/>
              <w:left w:val="nil"/>
              <w:bottom w:val="single" w:sz="4" w:space="0" w:color="auto"/>
              <w:right w:val="single" w:sz="4" w:space="0" w:color="auto"/>
            </w:tcBorders>
            <w:shd w:val="clear" w:color="auto" w:fill="EBE2D1"/>
            <w:vAlign w:val="center"/>
          </w:tcPr>
          <w:p w14:paraId="5C2FB319"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2,2</w:t>
            </w:r>
          </w:p>
        </w:tc>
      </w:tr>
      <w:tr w:rsidR="00FF3759" w:rsidRPr="001C0357" w14:paraId="54FA5570" w14:textId="77777777" w:rsidTr="00AC4FED">
        <w:trPr>
          <w:trHeight w:val="70"/>
          <w:jc w:val="center"/>
        </w:trPr>
        <w:tc>
          <w:tcPr>
            <w:tcW w:w="3400" w:type="dxa"/>
            <w:tcBorders>
              <w:top w:val="nil"/>
              <w:left w:val="single" w:sz="4" w:space="0" w:color="auto"/>
              <w:bottom w:val="single" w:sz="4" w:space="0" w:color="auto"/>
              <w:right w:val="single" w:sz="4" w:space="0" w:color="auto"/>
            </w:tcBorders>
            <w:noWrap/>
            <w:vAlign w:val="center"/>
            <w:hideMark/>
          </w:tcPr>
          <w:p w14:paraId="0D30E919" w14:textId="77777777" w:rsidR="00FF3759" w:rsidRPr="001C0357" w:rsidRDefault="00FF3759" w:rsidP="00AC4FED">
            <w:pPr>
              <w:spacing w:before="0" w:after="0"/>
              <w:ind w:firstLine="0"/>
              <w:jc w:val="left"/>
              <w:rPr>
                <w:rFonts w:cs="Times New Roman"/>
                <w:noProof/>
                <w:sz w:val="20"/>
                <w:szCs w:val="20"/>
                <w:lang w:eastAsia="lv-LV"/>
              </w:rPr>
            </w:pPr>
            <w:r w:rsidRPr="001C0357">
              <w:rPr>
                <w:rFonts w:cs="Times New Roman"/>
                <w:b/>
                <w:bCs/>
                <w:noProof/>
                <w:sz w:val="20"/>
                <w:szCs w:val="20"/>
                <w:lang w:eastAsia="lv-LV"/>
              </w:rPr>
              <w:t>IKP deflators</w:t>
            </w:r>
            <w:r w:rsidRPr="001C0357">
              <w:rPr>
                <w:rFonts w:cs="Times New Roman"/>
                <w:noProof/>
                <w:sz w:val="20"/>
                <w:szCs w:val="20"/>
                <w:lang w:eastAsia="lv-LV"/>
              </w:rPr>
              <w:t xml:space="preserve"> (gads pret gadu), %</w:t>
            </w:r>
          </w:p>
        </w:tc>
        <w:tc>
          <w:tcPr>
            <w:tcW w:w="889" w:type="dxa"/>
            <w:tcBorders>
              <w:top w:val="nil"/>
              <w:left w:val="nil"/>
              <w:bottom w:val="single" w:sz="4" w:space="0" w:color="auto"/>
              <w:right w:val="single" w:sz="4" w:space="0" w:color="auto"/>
            </w:tcBorders>
            <w:noWrap/>
            <w:tcMar>
              <w:right w:w="170" w:type="dxa"/>
            </w:tcMar>
            <w:vAlign w:val="center"/>
          </w:tcPr>
          <w:p w14:paraId="286B214D"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2,6</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30E949CF"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3,2</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00C164F1"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2,3</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164A23C1"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2,4</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354A716A"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2,4</w:t>
            </w:r>
          </w:p>
        </w:tc>
        <w:tc>
          <w:tcPr>
            <w:tcW w:w="954" w:type="dxa"/>
            <w:tcBorders>
              <w:top w:val="nil"/>
              <w:left w:val="nil"/>
              <w:bottom w:val="single" w:sz="4" w:space="0" w:color="auto"/>
              <w:right w:val="single" w:sz="4" w:space="0" w:color="auto"/>
            </w:tcBorders>
            <w:shd w:val="clear" w:color="auto" w:fill="EBE2D1"/>
            <w:vAlign w:val="center"/>
          </w:tcPr>
          <w:p w14:paraId="03EDCDBC"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2,4</w:t>
            </w:r>
          </w:p>
        </w:tc>
      </w:tr>
      <w:tr w:rsidR="00FF3759" w:rsidRPr="001C0357" w14:paraId="778956DD" w14:textId="77777777" w:rsidTr="00AC4FED">
        <w:trPr>
          <w:trHeight w:val="70"/>
          <w:jc w:val="center"/>
        </w:trPr>
        <w:tc>
          <w:tcPr>
            <w:tcW w:w="3400" w:type="dxa"/>
            <w:tcBorders>
              <w:top w:val="nil"/>
              <w:left w:val="single" w:sz="4" w:space="0" w:color="auto"/>
              <w:bottom w:val="single" w:sz="4" w:space="0" w:color="auto"/>
              <w:right w:val="single" w:sz="4" w:space="0" w:color="auto"/>
            </w:tcBorders>
            <w:noWrap/>
            <w:vAlign w:val="center"/>
            <w:hideMark/>
          </w:tcPr>
          <w:p w14:paraId="22AC8B5C" w14:textId="77777777" w:rsidR="00FF3759" w:rsidRPr="001C0357" w:rsidRDefault="00FF3759" w:rsidP="00AC4FED">
            <w:pPr>
              <w:spacing w:before="0" w:after="0"/>
              <w:ind w:firstLine="0"/>
              <w:jc w:val="left"/>
              <w:rPr>
                <w:rFonts w:cs="Times New Roman"/>
                <w:noProof/>
                <w:sz w:val="20"/>
                <w:szCs w:val="20"/>
                <w:lang w:eastAsia="lv-LV"/>
              </w:rPr>
            </w:pPr>
            <w:r w:rsidRPr="001C0357">
              <w:rPr>
                <w:rFonts w:cs="Times New Roman"/>
                <w:b/>
                <w:bCs/>
                <w:noProof/>
                <w:sz w:val="20"/>
                <w:szCs w:val="20"/>
                <w:lang w:eastAsia="lv-LV"/>
              </w:rPr>
              <w:t>PCI</w:t>
            </w:r>
            <w:r w:rsidRPr="001C0357">
              <w:rPr>
                <w:rFonts w:cs="Times New Roman"/>
                <w:noProof/>
                <w:sz w:val="20"/>
                <w:szCs w:val="20"/>
                <w:lang w:eastAsia="lv-LV"/>
              </w:rPr>
              <w:t xml:space="preserve"> (gads pret gadu), %</w:t>
            </w:r>
          </w:p>
        </w:tc>
        <w:tc>
          <w:tcPr>
            <w:tcW w:w="889" w:type="dxa"/>
            <w:tcBorders>
              <w:top w:val="nil"/>
              <w:left w:val="nil"/>
              <w:bottom w:val="single" w:sz="4" w:space="0" w:color="auto"/>
              <w:right w:val="single" w:sz="4" w:space="0" w:color="auto"/>
            </w:tcBorders>
            <w:noWrap/>
            <w:tcMar>
              <w:right w:w="170" w:type="dxa"/>
            </w:tcMar>
            <w:vAlign w:val="center"/>
          </w:tcPr>
          <w:p w14:paraId="506B062A"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1,3</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34D84683"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3,1</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6815CD7A"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1,8</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2778C2E0"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2,2</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5ED8C106"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2,2</w:t>
            </w:r>
          </w:p>
        </w:tc>
        <w:tc>
          <w:tcPr>
            <w:tcW w:w="954" w:type="dxa"/>
            <w:tcBorders>
              <w:top w:val="nil"/>
              <w:left w:val="nil"/>
              <w:bottom w:val="single" w:sz="4" w:space="0" w:color="auto"/>
              <w:right w:val="single" w:sz="4" w:space="0" w:color="auto"/>
            </w:tcBorders>
            <w:shd w:val="clear" w:color="auto" w:fill="EBE2D1"/>
            <w:vAlign w:val="center"/>
          </w:tcPr>
          <w:p w14:paraId="3C71DF1E"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2,2</w:t>
            </w:r>
          </w:p>
        </w:tc>
      </w:tr>
      <w:tr w:rsidR="00FF3759" w:rsidRPr="001C0357" w14:paraId="5C6E987D" w14:textId="77777777" w:rsidTr="00AC4FED">
        <w:trPr>
          <w:trHeight w:val="70"/>
          <w:jc w:val="center"/>
        </w:trPr>
        <w:tc>
          <w:tcPr>
            <w:tcW w:w="3400" w:type="dxa"/>
            <w:tcBorders>
              <w:top w:val="nil"/>
              <w:left w:val="single" w:sz="4" w:space="0" w:color="auto"/>
              <w:bottom w:val="single" w:sz="4" w:space="0" w:color="auto"/>
              <w:right w:val="single" w:sz="4" w:space="0" w:color="auto"/>
            </w:tcBorders>
            <w:noWrap/>
            <w:vAlign w:val="center"/>
            <w:hideMark/>
          </w:tcPr>
          <w:p w14:paraId="6AD65BBC" w14:textId="77777777" w:rsidR="00FF3759" w:rsidRPr="001C0357" w:rsidRDefault="00FF3759" w:rsidP="00AC4FED">
            <w:pPr>
              <w:spacing w:before="0" w:after="0"/>
              <w:ind w:firstLine="0"/>
              <w:jc w:val="left"/>
              <w:rPr>
                <w:rFonts w:cs="Times New Roman"/>
                <w:b/>
                <w:bCs/>
                <w:noProof/>
                <w:sz w:val="20"/>
                <w:szCs w:val="20"/>
                <w:lang w:eastAsia="lv-LV"/>
              </w:rPr>
            </w:pPr>
            <w:r w:rsidRPr="001C0357">
              <w:rPr>
                <w:rFonts w:cs="Times New Roman"/>
                <w:b/>
                <w:bCs/>
                <w:noProof/>
                <w:sz w:val="20"/>
                <w:szCs w:val="20"/>
                <w:lang w:eastAsia="lv-LV"/>
              </w:rPr>
              <w:t xml:space="preserve">Nodarbināto mēn. vid. bruto darba samaksa, </w:t>
            </w:r>
            <w:r w:rsidRPr="001C0357">
              <w:rPr>
                <w:rFonts w:cs="Times New Roman"/>
                <w:b/>
                <w:bCs/>
                <w:i/>
                <w:noProof/>
                <w:sz w:val="20"/>
                <w:szCs w:val="20"/>
                <w:lang w:eastAsia="lv-LV"/>
              </w:rPr>
              <w:t>euro</w:t>
            </w:r>
          </w:p>
        </w:tc>
        <w:tc>
          <w:tcPr>
            <w:tcW w:w="889" w:type="dxa"/>
            <w:tcBorders>
              <w:top w:val="nil"/>
              <w:left w:val="nil"/>
              <w:bottom w:val="single" w:sz="4" w:space="0" w:color="auto"/>
              <w:right w:val="single" w:sz="4" w:space="0" w:color="auto"/>
            </w:tcBorders>
            <w:noWrap/>
            <w:tcMar>
              <w:right w:w="170" w:type="dxa"/>
            </w:tcMar>
            <w:vAlign w:val="center"/>
          </w:tcPr>
          <w:p w14:paraId="3C8A3A73"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1</w:t>
            </w:r>
            <w:r>
              <w:rPr>
                <w:rFonts w:cs="Times New Roman"/>
                <w:noProof/>
                <w:sz w:val="20"/>
                <w:szCs w:val="20"/>
              </w:rPr>
              <w:t xml:space="preserve"> </w:t>
            </w:r>
            <w:r w:rsidRPr="001C0357">
              <w:rPr>
                <w:rFonts w:cs="Times New Roman"/>
                <w:noProof/>
                <w:sz w:val="20"/>
                <w:szCs w:val="20"/>
              </w:rPr>
              <w:t>685</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1DF1310F"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1</w:t>
            </w:r>
            <w:r>
              <w:rPr>
                <w:rFonts w:cs="Times New Roman"/>
                <w:noProof/>
                <w:sz w:val="20"/>
                <w:szCs w:val="20"/>
              </w:rPr>
              <w:t xml:space="preserve"> </w:t>
            </w:r>
            <w:r w:rsidRPr="001C0357">
              <w:rPr>
                <w:rFonts w:cs="Times New Roman"/>
                <w:noProof/>
                <w:sz w:val="20"/>
                <w:szCs w:val="20"/>
              </w:rPr>
              <w:t>805</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48F3D9C6"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1</w:t>
            </w:r>
            <w:r>
              <w:rPr>
                <w:rFonts w:cs="Times New Roman"/>
                <w:noProof/>
                <w:sz w:val="20"/>
                <w:szCs w:val="20"/>
              </w:rPr>
              <w:t xml:space="preserve"> </w:t>
            </w:r>
            <w:r w:rsidRPr="001C0357">
              <w:rPr>
                <w:rFonts w:cs="Times New Roman"/>
                <w:noProof/>
                <w:sz w:val="20"/>
                <w:szCs w:val="20"/>
              </w:rPr>
              <w:t>904</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4DF66C27"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2</w:t>
            </w:r>
            <w:r>
              <w:rPr>
                <w:rFonts w:cs="Times New Roman"/>
                <w:noProof/>
                <w:sz w:val="20"/>
                <w:szCs w:val="20"/>
              </w:rPr>
              <w:t xml:space="preserve"> </w:t>
            </w:r>
            <w:r w:rsidRPr="001C0357">
              <w:rPr>
                <w:rFonts w:cs="Times New Roman"/>
                <w:noProof/>
                <w:sz w:val="20"/>
                <w:szCs w:val="20"/>
              </w:rPr>
              <w:t>009</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019FEB3D"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2</w:t>
            </w:r>
            <w:r>
              <w:rPr>
                <w:rFonts w:cs="Times New Roman"/>
                <w:noProof/>
                <w:sz w:val="20"/>
                <w:szCs w:val="20"/>
              </w:rPr>
              <w:t xml:space="preserve"> </w:t>
            </w:r>
            <w:r w:rsidRPr="001C0357">
              <w:rPr>
                <w:rFonts w:cs="Times New Roman"/>
                <w:noProof/>
                <w:sz w:val="20"/>
                <w:szCs w:val="20"/>
              </w:rPr>
              <w:t>109</w:t>
            </w:r>
          </w:p>
        </w:tc>
        <w:tc>
          <w:tcPr>
            <w:tcW w:w="954" w:type="dxa"/>
            <w:tcBorders>
              <w:top w:val="nil"/>
              <w:left w:val="nil"/>
              <w:bottom w:val="single" w:sz="4" w:space="0" w:color="auto"/>
              <w:right w:val="single" w:sz="4" w:space="0" w:color="auto"/>
            </w:tcBorders>
            <w:shd w:val="clear" w:color="auto" w:fill="EBE2D1"/>
            <w:vAlign w:val="center"/>
          </w:tcPr>
          <w:p w14:paraId="6F10392E"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2</w:t>
            </w:r>
            <w:r>
              <w:rPr>
                <w:rFonts w:cs="Times New Roman"/>
                <w:noProof/>
                <w:sz w:val="20"/>
                <w:szCs w:val="20"/>
              </w:rPr>
              <w:t xml:space="preserve"> </w:t>
            </w:r>
            <w:r w:rsidRPr="001C0357">
              <w:rPr>
                <w:rFonts w:cs="Times New Roman"/>
                <w:noProof/>
                <w:sz w:val="20"/>
                <w:szCs w:val="20"/>
              </w:rPr>
              <w:t>214</w:t>
            </w:r>
          </w:p>
        </w:tc>
      </w:tr>
      <w:tr w:rsidR="00FF3759" w:rsidRPr="001C0357" w14:paraId="18F298FF" w14:textId="77777777" w:rsidTr="00AC4FED">
        <w:trPr>
          <w:trHeight w:val="142"/>
          <w:jc w:val="center"/>
        </w:trPr>
        <w:tc>
          <w:tcPr>
            <w:tcW w:w="3400" w:type="dxa"/>
            <w:tcBorders>
              <w:top w:val="nil"/>
              <w:left w:val="single" w:sz="4" w:space="0" w:color="auto"/>
              <w:bottom w:val="single" w:sz="4" w:space="0" w:color="auto"/>
              <w:right w:val="single" w:sz="4" w:space="0" w:color="auto"/>
            </w:tcBorders>
            <w:noWrap/>
            <w:vAlign w:val="center"/>
            <w:hideMark/>
          </w:tcPr>
          <w:p w14:paraId="19DCE5AE" w14:textId="77777777" w:rsidR="00FF3759" w:rsidRPr="001C0357" w:rsidRDefault="00FF3759" w:rsidP="00AC4FED">
            <w:pPr>
              <w:spacing w:before="0" w:after="0"/>
              <w:ind w:left="176" w:firstLine="567"/>
              <w:jc w:val="left"/>
              <w:rPr>
                <w:rFonts w:cs="Times New Roman"/>
                <w:noProof/>
                <w:sz w:val="20"/>
                <w:szCs w:val="20"/>
                <w:lang w:eastAsia="lv-LV"/>
              </w:rPr>
            </w:pPr>
            <w:r w:rsidRPr="001C0357">
              <w:rPr>
                <w:rFonts w:cs="Times New Roman"/>
                <w:noProof/>
                <w:sz w:val="20"/>
                <w:szCs w:val="20"/>
                <w:lang w:eastAsia="lv-LV"/>
              </w:rPr>
              <w:t>izmaiņas faktiskajās cenās, %</w:t>
            </w:r>
          </w:p>
        </w:tc>
        <w:tc>
          <w:tcPr>
            <w:tcW w:w="889" w:type="dxa"/>
            <w:tcBorders>
              <w:top w:val="nil"/>
              <w:left w:val="nil"/>
              <w:bottom w:val="single" w:sz="4" w:space="0" w:color="auto"/>
              <w:right w:val="single" w:sz="4" w:space="0" w:color="auto"/>
            </w:tcBorders>
            <w:noWrap/>
            <w:tcMar>
              <w:right w:w="170" w:type="dxa"/>
            </w:tcMar>
            <w:vAlign w:val="center"/>
          </w:tcPr>
          <w:p w14:paraId="4A63F7C3"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9,6</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7824CC7A"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7,1</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36C55FF4"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5,5</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4CFEE264"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5,5</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693FEC7E"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5,0</w:t>
            </w:r>
          </w:p>
        </w:tc>
        <w:tc>
          <w:tcPr>
            <w:tcW w:w="954" w:type="dxa"/>
            <w:tcBorders>
              <w:top w:val="nil"/>
              <w:left w:val="nil"/>
              <w:bottom w:val="single" w:sz="4" w:space="0" w:color="auto"/>
              <w:right w:val="single" w:sz="4" w:space="0" w:color="auto"/>
            </w:tcBorders>
            <w:shd w:val="clear" w:color="auto" w:fill="EBE2D1"/>
            <w:vAlign w:val="center"/>
          </w:tcPr>
          <w:p w14:paraId="546099A1"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5,0</w:t>
            </w:r>
          </w:p>
        </w:tc>
      </w:tr>
      <w:tr w:rsidR="00FF3759" w:rsidRPr="001C0357" w14:paraId="0E89942D" w14:textId="77777777" w:rsidTr="00AC4FED">
        <w:trPr>
          <w:trHeight w:val="132"/>
          <w:jc w:val="center"/>
        </w:trPr>
        <w:tc>
          <w:tcPr>
            <w:tcW w:w="3400" w:type="dxa"/>
            <w:tcBorders>
              <w:top w:val="nil"/>
              <w:left w:val="single" w:sz="4" w:space="0" w:color="auto"/>
              <w:bottom w:val="single" w:sz="4" w:space="0" w:color="auto"/>
              <w:right w:val="single" w:sz="4" w:space="0" w:color="auto"/>
            </w:tcBorders>
            <w:noWrap/>
            <w:vAlign w:val="center"/>
            <w:hideMark/>
          </w:tcPr>
          <w:p w14:paraId="2DE42A81" w14:textId="77777777" w:rsidR="00FF3759" w:rsidRPr="001C0357" w:rsidRDefault="00FF3759" w:rsidP="00AC4FED">
            <w:pPr>
              <w:spacing w:before="0" w:after="0"/>
              <w:ind w:left="176" w:firstLine="567"/>
              <w:jc w:val="left"/>
              <w:rPr>
                <w:rFonts w:cs="Times New Roman"/>
                <w:noProof/>
                <w:sz w:val="20"/>
                <w:szCs w:val="20"/>
                <w:lang w:eastAsia="lv-LV"/>
              </w:rPr>
            </w:pPr>
            <w:r w:rsidRPr="001C0357">
              <w:rPr>
                <w:rFonts w:cs="Times New Roman"/>
                <w:noProof/>
                <w:sz w:val="20"/>
                <w:szCs w:val="20"/>
                <w:lang w:eastAsia="lv-LV"/>
              </w:rPr>
              <w:t>izmaiņas salīdzin. cenās, %</w:t>
            </w:r>
          </w:p>
        </w:tc>
        <w:tc>
          <w:tcPr>
            <w:tcW w:w="889" w:type="dxa"/>
            <w:tcBorders>
              <w:top w:val="nil"/>
              <w:left w:val="nil"/>
              <w:bottom w:val="single" w:sz="4" w:space="0" w:color="auto"/>
              <w:right w:val="single" w:sz="4" w:space="0" w:color="auto"/>
            </w:tcBorders>
            <w:noWrap/>
            <w:tcMar>
              <w:right w:w="170" w:type="dxa"/>
            </w:tcMar>
            <w:vAlign w:val="center"/>
          </w:tcPr>
          <w:p w14:paraId="253F75B9"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8,2</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0E941267"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3,9</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6192A4E0"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3,6</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51CC0CB3"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3,2</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1C101B60"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2,7</w:t>
            </w:r>
          </w:p>
        </w:tc>
        <w:tc>
          <w:tcPr>
            <w:tcW w:w="954" w:type="dxa"/>
            <w:tcBorders>
              <w:top w:val="nil"/>
              <w:left w:val="nil"/>
              <w:bottom w:val="single" w:sz="4" w:space="0" w:color="auto"/>
              <w:right w:val="single" w:sz="4" w:space="0" w:color="auto"/>
            </w:tcBorders>
            <w:shd w:val="clear" w:color="auto" w:fill="EBE2D1"/>
            <w:vAlign w:val="center"/>
          </w:tcPr>
          <w:p w14:paraId="30F6FE61"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2,7</w:t>
            </w:r>
          </w:p>
        </w:tc>
      </w:tr>
      <w:tr w:rsidR="00FF3759" w:rsidRPr="001C0357" w14:paraId="5FFC9F69" w14:textId="77777777" w:rsidTr="00AC4FED">
        <w:trPr>
          <w:trHeight w:val="303"/>
          <w:jc w:val="center"/>
        </w:trPr>
        <w:tc>
          <w:tcPr>
            <w:tcW w:w="3400" w:type="dxa"/>
            <w:tcBorders>
              <w:top w:val="nil"/>
              <w:left w:val="single" w:sz="4" w:space="0" w:color="auto"/>
              <w:bottom w:val="single" w:sz="4" w:space="0" w:color="auto"/>
              <w:right w:val="single" w:sz="4" w:space="0" w:color="auto"/>
            </w:tcBorders>
            <w:noWrap/>
            <w:vAlign w:val="center"/>
            <w:hideMark/>
          </w:tcPr>
          <w:p w14:paraId="4F063A05" w14:textId="77777777" w:rsidR="00FF3759" w:rsidRPr="001C0357" w:rsidRDefault="00FF3759" w:rsidP="00AC4FED">
            <w:pPr>
              <w:spacing w:before="0" w:after="0"/>
              <w:ind w:firstLine="0"/>
              <w:jc w:val="left"/>
              <w:rPr>
                <w:rFonts w:cs="Times New Roman"/>
                <w:noProof/>
                <w:sz w:val="20"/>
                <w:szCs w:val="20"/>
                <w:lang w:eastAsia="lv-LV"/>
              </w:rPr>
            </w:pPr>
            <w:r w:rsidRPr="001C0357">
              <w:rPr>
                <w:rFonts w:cs="Times New Roman"/>
                <w:b/>
                <w:bCs/>
                <w:noProof/>
                <w:sz w:val="20"/>
                <w:szCs w:val="20"/>
                <w:lang w:eastAsia="lv-LV"/>
              </w:rPr>
              <w:t>Nodarbinātība,</w:t>
            </w:r>
            <w:r w:rsidRPr="001C0357">
              <w:rPr>
                <w:rFonts w:cs="Times New Roman"/>
                <w:noProof/>
                <w:sz w:val="20"/>
                <w:szCs w:val="20"/>
                <w:lang w:eastAsia="lv-LV"/>
              </w:rPr>
              <w:t xml:space="preserve"> tūkst. iedzīvotāju (atbilstoši darbaspēka apsekoj.)</w:t>
            </w:r>
          </w:p>
        </w:tc>
        <w:tc>
          <w:tcPr>
            <w:tcW w:w="889" w:type="dxa"/>
            <w:tcBorders>
              <w:top w:val="nil"/>
              <w:left w:val="nil"/>
              <w:bottom w:val="single" w:sz="4" w:space="0" w:color="auto"/>
              <w:right w:val="single" w:sz="4" w:space="0" w:color="auto"/>
            </w:tcBorders>
            <w:noWrap/>
            <w:tcMar>
              <w:right w:w="170" w:type="dxa"/>
            </w:tcMar>
            <w:vAlign w:val="center"/>
          </w:tcPr>
          <w:p w14:paraId="3CECAA15"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877</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5E45C06B"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875</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34F3AC14"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872</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031D41A1"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869</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146B601C"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864</w:t>
            </w:r>
          </w:p>
        </w:tc>
        <w:tc>
          <w:tcPr>
            <w:tcW w:w="954" w:type="dxa"/>
            <w:tcBorders>
              <w:top w:val="nil"/>
              <w:left w:val="nil"/>
              <w:bottom w:val="single" w:sz="4" w:space="0" w:color="auto"/>
              <w:right w:val="single" w:sz="4" w:space="0" w:color="auto"/>
            </w:tcBorders>
            <w:shd w:val="clear" w:color="auto" w:fill="EBE2D1"/>
            <w:vAlign w:val="center"/>
          </w:tcPr>
          <w:p w14:paraId="7652C280"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858</w:t>
            </w:r>
          </w:p>
        </w:tc>
      </w:tr>
      <w:tr w:rsidR="00FF3759" w:rsidRPr="001C0357" w14:paraId="02580195" w14:textId="77777777" w:rsidTr="00AC4FED">
        <w:trPr>
          <w:trHeight w:val="70"/>
          <w:jc w:val="center"/>
        </w:trPr>
        <w:tc>
          <w:tcPr>
            <w:tcW w:w="3400" w:type="dxa"/>
            <w:tcBorders>
              <w:top w:val="nil"/>
              <w:left w:val="single" w:sz="4" w:space="0" w:color="auto"/>
              <w:bottom w:val="single" w:sz="4" w:space="0" w:color="auto"/>
              <w:right w:val="single" w:sz="4" w:space="0" w:color="auto"/>
            </w:tcBorders>
            <w:noWrap/>
            <w:vAlign w:val="center"/>
            <w:hideMark/>
          </w:tcPr>
          <w:p w14:paraId="797C632C" w14:textId="77777777" w:rsidR="00FF3759" w:rsidRPr="001C0357" w:rsidRDefault="00FF3759" w:rsidP="00AC4FED">
            <w:pPr>
              <w:spacing w:before="0" w:after="0"/>
              <w:ind w:left="176" w:firstLine="567"/>
              <w:jc w:val="left"/>
              <w:rPr>
                <w:rFonts w:cs="Times New Roman"/>
                <w:noProof/>
                <w:sz w:val="20"/>
                <w:szCs w:val="20"/>
                <w:lang w:eastAsia="lv-LV"/>
              </w:rPr>
            </w:pPr>
            <w:r w:rsidRPr="001C0357">
              <w:rPr>
                <w:rFonts w:cs="Times New Roman"/>
                <w:noProof/>
                <w:sz w:val="20"/>
                <w:szCs w:val="20"/>
                <w:lang w:eastAsia="lv-LV"/>
              </w:rPr>
              <w:t>izmaiņas, %</w:t>
            </w:r>
          </w:p>
        </w:tc>
        <w:tc>
          <w:tcPr>
            <w:tcW w:w="889" w:type="dxa"/>
            <w:tcBorders>
              <w:top w:val="nil"/>
              <w:left w:val="nil"/>
              <w:bottom w:val="single" w:sz="4" w:space="0" w:color="auto"/>
              <w:right w:val="single" w:sz="4" w:space="0" w:color="auto"/>
            </w:tcBorders>
            <w:noWrap/>
            <w:tcMar>
              <w:right w:w="170" w:type="dxa"/>
            </w:tcMar>
            <w:vAlign w:val="center"/>
          </w:tcPr>
          <w:p w14:paraId="33F57BA2"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-0,8</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6B94B803"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-0,3</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436433D7"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-0,3</w:t>
            </w:r>
          </w:p>
        </w:tc>
        <w:tc>
          <w:tcPr>
            <w:tcW w:w="954" w:type="dxa"/>
            <w:tcBorders>
              <w:top w:val="nil"/>
              <w:left w:val="nil"/>
              <w:bottom w:val="single" w:sz="4" w:space="0" w:color="auto"/>
              <w:right w:val="single" w:sz="4" w:space="0" w:color="auto"/>
            </w:tcBorders>
            <w:shd w:val="clear" w:color="auto" w:fill="EBE2D1"/>
            <w:noWrap/>
            <w:tcMar>
              <w:right w:w="170" w:type="dxa"/>
            </w:tcMar>
            <w:vAlign w:val="center"/>
          </w:tcPr>
          <w:p w14:paraId="7625968B"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-0,4</w:t>
            </w:r>
          </w:p>
        </w:tc>
        <w:tc>
          <w:tcPr>
            <w:tcW w:w="955" w:type="dxa"/>
            <w:tcBorders>
              <w:top w:val="nil"/>
              <w:left w:val="nil"/>
              <w:bottom w:val="single" w:sz="4" w:space="0" w:color="auto"/>
              <w:right w:val="single" w:sz="4" w:space="0" w:color="auto"/>
            </w:tcBorders>
            <w:shd w:val="clear" w:color="auto" w:fill="EBE2D1"/>
            <w:noWrap/>
            <w:tcMar>
              <w:right w:w="170" w:type="dxa"/>
            </w:tcMar>
            <w:vAlign w:val="center"/>
          </w:tcPr>
          <w:p w14:paraId="1B0D51BA"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-0,5</w:t>
            </w:r>
          </w:p>
        </w:tc>
        <w:tc>
          <w:tcPr>
            <w:tcW w:w="954" w:type="dxa"/>
            <w:tcBorders>
              <w:top w:val="nil"/>
              <w:left w:val="nil"/>
              <w:bottom w:val="single" w:sz="4" w:space="0" w:color="auto"/>
              <w:right w:val="single" w:sz="4" w:space="0" w:color="auto"/>
            </w:tcBorders>
            <w:shd w:val="clear" w:color="auto" w:fill="EBE2D1"/>
            <w:vAlign w:val="center"/>
          </w:tcPr>
          <w:p w14:paraId="69051087"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-0,7</w:t>
            </w:r>
          </w:p>
        </w:tc>
      </w:tr>
      <w:tr w:rsidR="00FF3759" w:rsidRPr="001C0357" w14:paraId="7B17566C" w14:textId="77777777" w:rsidTr="00AC4FED">
        <w:trPr>
          <w:trHeight w:val="98"/>
          <w:jc w:val="center"/>
        </w:trPr>
        <w:tc>
          <w:tcPr>
            <w:tcW w:w="3400" w:type="dxa"/>
            <w:tcBorders>
              <w:top w:val="single" w:sz="4" w:space="0" w:color="auto"/>
              <w:left w:val="single" w:sz="4" w:space="0" w:color="auto"/>
              <w:bottom w:val="single" w:sz="4" w:space="0" w:color="auto"/>
              <w:right w:val="single" w:sz="4" w:space="0" w:color="auto"/>
            </w:tcBorders>
            <w:noWrap/>
            <w:vAlign w:val="center"/>
            <w:hideMark/>
          </w:tcPr>
          <w:p w14:paraId="0541723F" w14:textId="77777777" w:rsidR="00FF3759" w:rsidRPr="001C0357" w:rsidRDefault="00FF3759" w:rsidP="00AC4FED">
            <w:pPr>
              <w:spacing w:before="0" w:after="0"/>
              <w:ind w:firstLine="0"/>
              <w:jc w:val="left"/>
              <w:rPr>
                <w:rFonts w:cs="Times New Roman"/>
                <w:noProof/>
                <w:sz w:val="20"/>
                <w:szCs w:val="20"/>
                <w:lang w:eastAsia="lv-LV"/>
              </w:rPr>
            </w:pPr>
            <w:r w:rsidRPr="001C0357">
              <w:rPr>
                <w:rFonts w:cs="Times New Roman"/>
                <w:b/>
                <w:bCs/>
                <w:noProof/>
                <w:sz w:val="20"/>
                <w:szCs w:val="20"/>
                <w:lang w:eastAsia="lv-LV"/>
              </w:rPr>
              <w:t>Bezdarba līmenis</w:t>
            </w:r>
            <w:r w:rsidRPr="001C0357">
              <w:rPr>
                <w:rFonts w:cs="Times New Roman"/>
                <w:noProof/>
                <w:sz w:val="20"/>
                <w:szCs w:val="20"/>
                <w:lang w:eastAsia="lv-LV"/>
              </w:rPr>
              <w:t xml:space="preserve"> (gada vidējais),</w:t>
            </w:r>
            <w:r w:rsidRPr="001C0357">
              <w:rPr>
                <w:rFonts w:cs="Times New Roman"/>
                <w:noProof/>
                <w:sz w:val="20"/>
                <w:szCs w:val="20"/>
                <w:lang w:eastAsia="lv-LV"/>
              </w:rPr>
              <w:br/>
              <w:t>% no ekon. aktīviem iedzīv.</w:t>
            </w:r>
          </w:p>
        </w:tc>
        <w:tc>
          <w:tcPr>
            <w:tcW w:w="889" w:type="dxa"/>
            <w:tcBorders>
              <w:top w:val="single" w:sz="4" w:space="0" w:color="auto"/>
              <w:left w:val="nil"/>
              <w:bottom w:val="single" w:sz="4" w:space="0" w:color="auto"/>
              <w:right w:val="single" w:sz="4" w:space="0" w:color="auto"/>
            </w:tcBorders>
            <w:noWrap/>
            <w:tcMar>
              <w:right w:w="170" w:type="dxa"/>
            </w:tcMar>
            <w:vAlign w:val="center"/>
          </w:tcPr>
          <w:p w14:paraId="3AC88872"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6,9</w:t>
            </w:r>
          </w:p>
        </w:tc>
        <w:tc>
          <w:tcPr>
            <w:tcW w:w="954" w:type="dxa"/>
            <w:tcBorders>
              <w:top w:val="single" w:sz="4" w:space="0" w:color="auto"/>
              <w:left w:val="nil"/>
              <w:bottom w:val="single" w:sz="4" w:space="0" w:color="auto"/>
              <w:right w:val="single" w:sz="4" w:space="0" w:color="auto"/>
            </w:tcBorders>
            <w:shd w:val="clear" w:color="auto" w:fill="EBE2D1"/>
            <w:noWrap/>
            <w:tcMar>
              <w:right w:w="170" w:type="dxa"/>
            </w:tcMar>
            <w:vAlign w:val="center"/>
          </w:tcPr>
          <w:p w14:paraId="3A2758AB"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7,0</w:t>
            </w:r>
          </w:p>
        </w:tc>
        <w:tc>
          <w:tcPr>
            <w:tcW w:w="955" w:type="dxa"/>
            <w:tcBorders>
              <w:top w:val="single" w:sz="4" w:space="0" w:color="auto"/>
              <w:left w:val="nil"/>
              <w:bottom w:val="single" w:sz="4" w:space="0" w:color="auto"/>
              <w:right w:val="single" w:sz="4" w:space="0" w:color="auto"/>
            </w:tcBorders>
            <w:shd w:val="clear" w:color="auto" w:fill="EBE2D1"/>
            <w:noWrap/>
            <w:tcMar>
              <w:right w:w="170" w:type="dxa"/>
            </w:tcMar>
            <w:vAlign w:val="center"/>
          </w:tcPr>
          <w:p w14:paraId="12816BD2"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6,5</w:t>
            </w:r>
          </w:p>
        </w:tc>
        <w:tc>
          <w:tcPr>
            <w:tcW w:w="954" w:type="dxa"/>
            <w:tcBorders>
              <w:top w:val="single" w:sz="4" w:space="0" w:color="auto"/>
              <w:left w:val="nil"/>
              <w:bottom w:val="single" w:sz="4" w:space="0" w:color="auto"/>
              <w:right w:val="single" w:sz="4" w:space="0" w:color="auto"/>
            </w:tcBorders>
            <w:shd w:val="clear" w:color="auto" w:fill="EBE2D1"/>
            <w:noWrap/>
            <w:tcMar>
              <w:right w:w="170" w:type="dxa"/>
            </w:tcMar>
            <w:vAlign w:val="center"/>
          </w:tcPr>
          <w:p w14:paraId="0A1206A6"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6,1</w:t>
            </w:r>
          </w:p>
        </w:tc>
        <w:tc>
          <w:tcPr>
            <w:tcW w:w="955" w:type="dxa"/>
            <w:tcBorders>
              <w:top w:val="single" w:sz="4" w:space="0" w:color="auto"/>
              <w:left w:val="nil"/>
              <w:bottom w:val="single" w:sz="4" w:space="0" w:color="auto"/>
              <w:right w:val="single" w:sz="4" w:space="0" w:color="auto"/>
            </w:tcBorders>
            <w:shd w:val="clear" w:color="auto" w:fill="EBE2D1"/>
            <w:noWrap/>
            <w:tcMar>
              <w:right w:w="170" w:type="dxa"/>
            </w:tcMar>
            <w:vAlign w:val="center"/>
          </w:tcPr>
          <w:p w14:paraId="7095B9FC"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5,8</w:t>
            </w:r>
          </w:p>
        </w:tc>
        <w:tc>
          <w:tcPr>
            <w:tcW w:w="954" w:type="dxa"/>
            <w:tcBorders>
              <w:top w:val="single" w:sz="4" w:space="0" w:color="auto"/>
              <w:left w:val="nil"/>
              <w:bottom w:val="single" w:sz="4" w:space="0" w:color="auto"/>
              <w:right w:val="single" w:sz="4" w:space="0" w:color="auto"/>
            </w:tcBorders>
            <w:shd w:val="clear" w:color="auto" w:fill="EBE2D1"/>
            <w:vAlign w:val="center"/>
          </w:tcPr>
          <w:p w14:paraId="3B0CF4C7" w14:textId="77777777" w:rsidR="00FF3759" w:rsidRPr="001C0357" w:rsidRDefault="00FF3759" w:rsidP="00AC4FED">
            <w:pPr>
              <w:spacing w:before="0" w:after="0"/>
              <w:ind w:firstLine="0"/>
              <w:jc w:val="right"/>
              <w:rPr>
                <w:rFonts w:cs="Times New Roman"/>
                <w:noProof/>
                <w:sz w:val="20"/>
                <w:szCs w:val="20"/>
              </w:rPr>
            </w:pPr>
            <w:r w:rsidRPr="001C0357">
              <w:rPr>
                <w:rFonts w:cs="Times New Roman"/>
                <w:noProof/>
                <w:sz w:val="20"/>
                <w:szCs w:val="20"/>
              </w:rPr>
              <w:t>5,7</w:t>
            </w:r>
          </w:p>
        </w:tc>
      </w:tr>
    </w:tbl>
    <w:p w14:paraId="41678763" w14:textId="4E2DE73B" w:rsidR="00833526" w:rsidRPr="001C0357" w:rsidRDefault="00FF3759" w:rsidP="00027043">
      <w:pPr>
        <w:rPr>
          <w:rFonts w:eastAsia="Aptos" w:cs="Times New Roman"/>
          <w:noProof/>
          <w:szCs w:val="20"/>
          <w14:ligatures w14:val="standardContextual"/>
        </w:rPr>
      </w:pPr>
      <w:r>
        <w:rPr>
          <w:rFonts w:eastAsia="Aptos" w:cs="Times New Roman"/>
          <w:noProof/>
          <w:szCs w:val="20"/>
          <w14:ligatures w14:val="standardContextual"/>
        </w:rPr>
        <w:lastRenderedPageBreak/>
        <w:t>A</w:t>
      </w:r>
      <w:r w:rsidR="00833526" w:rsidRPr="001C0357">
        <w:rPr>
          <w:rFonts w:eastAsia="Aptos" w:cs="Times New Roman"/>
          <w:noProof/>
          <w:szCs w:val="20"/>
          <w14:ligatures w14:val="standardContextual"/>
        </w:rPr>
        <w:t xml:space="preserve">tbilstoši pesimistiskajam scenārijam </w:t>
      </w:r>
      <w:r w:rsidR="00EA792C" w:rsidRPr="001C0357">
        <w:rPr>
          <w:rFonts w:eastAsia="Calibri" w:cs="Times New Roman"/>
          <w:noProof/>
        </w:rPr>
        <w:t xml:space="preserve">(skat. </w:t>
      </w:r>
      <w:r w:rsidR="00027043" w:rsidRPr="001C0357">
        <w:rPr>
          <w:rFonts w:eastAsia="Calibri" w:cs="Times New Roman"/>
          <w:noProof/>
        </w:rPr>
        <w:t>1</w:t>
      </w:r>
      <w:r w:rsidR="00FF6F22">
        <w:rPr>
          <w:rFonts w:eastAsia="Calibri" w:cs="Times New Roman"/>
          <w:noProof/>
        </w:rPr>
        <w:t>6</w:t>
      </w:r>
      <w:r w:rsidR="00EA792C" w:rsidRPr="001C0357">
        <w:rPr>
          <w:rFonts w:eastAsia="Calibri" w:cs="Times New Roman"/>
          <w:noProof/>
        </w:rPr>
        <w:t>. tabulu)</w:t>
      </w:r>
      <w:r w:rsidR="00EA792C" w:rsidRPr="001C0357">
        <w:rPr>
          <w:rFonts w:eastAsia="Calibri" w:cs="Times New Roman"/>
          <w:noProof/>
          <w:szCs w:val="24"/>
        </w:rPr>
        <w:t xml:space="preserve"> </w:t>
      </w:r>
      <w:r w:rsidR="00833526" w:rsidRPr="001C0357">
        <w:rPr>
          <w:rFonts w:eastAsia="Aptos" w:cs="Times New Roman"/>
          <w:noProof/>
          <w:szCs w:val="20"/>
          <w14:ligatures w14:val="standardContextual"/>
        </w:rPr>
        <w:t>2025. gadā iekšzemes kopprodukta izaugsme salīdzināmajās cenās varētu būt 0,0%, un 2026. gadā tā palielinātos līdz 1,3%, kas attiecīgi būtu par 1,1 un 0,7 procentpunktiem mazāk nekā bāzes scenārijā. Noturīgāka izaugsme, IKP pieaugumam atgriežoties bāzes scenārija līmenī, atsāktos tikai 2027. gadā.</w:t>
      </w:r>
    </w:p>
    <w:p w14:paraId="3BC1C5AB" w14:textId="7F7CADE6" w:rsidR="00833526" w:rsidRPr="001C0357" w:rsidRDefault="00833526" w:rsidP="00027043">
      <w:pPr>
        <w:rPr>
          <w:rFonts w:eastAsia="Aptos" w:cs="Times New Roman"/>
          <w:noProof/>
          <w:szCs w:val="20"/>
          <w14:ligatures w14:val="standardContextual"/>
        </w:rPr>
      </w:pPr>
      <w:r w:rsidRPr="001C0357">
        <w:rPr>
          <w:rFonts w:eastAsia="Aptos" w:cs="Times New Roman"/>
          <w:noProof/>
          <w:szCs w:val="20"/>
          <w14:ligatures w14:val="standardContextual"/>
        </w:rPr>
        <w:t>Ekonomiskās izaugsmes sabremzēšanās, tajā skaitā samazinot izejvielu preču cenas pasaules biržās, pirmām kārtām naftas cenas, atstātu pazeminošu ietekmi uz patēriņa cenu pieaugumu Latvijā, taču, ņemot vērā pieaugušo nenoteiktību un ģeopolitisko spriedzi, šī inflāciju pazeminošā ietekme Latvijā būtu salīdzinoši ierobežota, attiecīgi 0,4 un 0,5</w:t>
      </w:r>
      <w:r w:rsidR="00FF6F22">
        <w:rPr>
          <w:rFonts w:eastAsia="Aptos" w:cs="Times New Roman"/>
          <w:noProof/>
          <w:szCs w:val="20"/>
          <w14:ligatures w14:val="standardContextual"/>
        </w:rPr>
        <w:t> </w:t>
      </w:r>
      <w:r w:rsidRPr="001C0357">
        <w:rPr>
          <w:rFonts w:eastAsia="Aptos" w:cs="Times New Roman"/>
          <w:noProof/>
          <w:szCs w:val="20"/>
          <w14:ligatures w14:val="standardContextual"/>
        </w:rPr>
        <w:t xml:space="preserve">procentpunktu apmērā 2025. un 2026. gadā. </w:t>
      </w:r>
    </w:p>
    <w:p w14:paraId="13C90FC2" w14:textId="77777777" w:rsidR="00833526" w:rsidRPr="001C0357" w:rsidRDefault="00833526" w:rsidP="00027043">
      <w:pPr>
        <w:rPr>
          <w:rFonts w:eastAsia="Aptos" w:cs="Times New Roman"/>
          <w:noProof/>
          <w:szCs w:val="20"/>
          <w14:ligatures w14:val="standardContextual"/>
        </w:rPr>
      </w:pPr>
      <w:r w:rsidRPr="001C0357">
        <w:rPr>
          <w:rFonts w:eastAsia="Aptos" w:cs="Times New Roman"/>
          <w:noProof/>
          <w:szCs w:val="20"/>
          <w14:ligatures w14:val="standardContextual"/>
        </w:rPr>
        <w:t xml:space="preserve">Pesimistiskā scenārija īstenošanās gadījumā algu pieaugums Latvijā būtu mazliet zemāks un bezdarba samazināšanās nedaudz lēnāka, tomēr ņemot vērā demogrāfisko situāciju un relatīvi saspringto darbaspēka tirgu, būtiskas izmaiņas darba tirgū riska scenārijs neparedz. </w:t>
      </w:r>
    </w:p>
    <w:p w14:paraId="7285DBBC" w14:textId="77777777" w:rsidR="00FF3759" w:rsidRPr="001C0357" w:rsidRDefault="00FF3759" w:rsidP="00FF3759">
      <w:pPr>
        <w:rPr>
          <w:noProof/>
          <w:szCs w:val="24"/>
          <w:lang w:eastAsia="lv-LV"/>
        </w:rPr>
      </w:pPr>
      <w:r w:rsidRPr="001C0357">
        <w:rPr>
          <w:noProof/>
          <w:color w:val="000000" w:themeColor="text1"/>
        </w:rPr>
        <w:t xml:space="preserve">Ņemot vērā makroekonomiskās attīstības pesimistisko scenāriju, Finanšu ministrija ir novērtējusi šī scenārija ietekmi uz vispārējās valdības budžeta bilanci, novērtējot izmaiņas nodokļu un nenodokļu ieņēmumos, kā arī valsts speciālā budžeta izdevumos un valsts parāda apkalpošanas (procentu) izdevumos salīdzinājumā ar bāzes scenāriju. </w:t>
      </w:r>
      <w:r w:rsidRPr="001C0357">
        <w:rPr>
          <w:noProof/>
          <w:szCs w:val="24"/>
          <w:lang w:eastAsia="lv-LV"/>
        </w:rPr>
        <w:t>Rezultātā kopbudžeta nodokļu ieņēmumi, salīdzinot ar bāzes scenāriju 2025.-2029. gadam, pēc naudas plūsmas tiek prognozēti ar samazinājumu 103,6 milj. </w:t>
      </w:r>
      <w:r w:rsidRPr="001C0357">
        <w:rPr>
          <w:i/>
          <w:iCs/>
          <w:noProof/>
          <w:szCs w:val="24"/>
          <w:lang w:eastAsia="lv-LV"/>
        </w:rPr>
        <w:t>euro</w:t>
      </w:r>
      <w:r w:rsidRPr="001C0357">
        <w:rPr>
          <w:noProof/>
          <w:szCs w:val="24"/>
          <w:lang w:eastAsia="lv-LV"/>
        </w:rPr>
        <w:t xml:space="preserve"> 2025. gadā, 218,4 milj. </w:t>
      </w:r>
      <w:r w:rsidRPr="001C0357">
        <w:rPr>
          <w:i/>
          <w:iCs/>
          <w:noProof/>
          <w:szCs w:val="24"/>
          <w:lang w:eastAsia="lv-LV"/>
        </w:rPr>
        <w:t>euro</w:t>
      </w:r>
      <w:r w:rsidRPr="001C0357">
        <w:rPr>
          <w:noProof/>
          <w:szCs w:val="24"/>
          <w:lang w:eastAsia="lv-LV"/>
        </w:rPr>
        <w:t xml:space="preserve"> 2026. gadā, 242,5 milj. </w:t>
      </w:r>
      <w:r w:rsidRPr="001C0357">
        <w:rPr>
          <w:i/>
          <w:iCs/>
          <w:noProof/>
          <w:szCs w:val="24"/>
          <w:lang w:eastAsia="lv-LV"/>
        </w:rPr>
        <w:t>euro</w:t>
      </w:r>
      <w:r w:rsidRPr="001C0357">
        <w:rPr>
          <w:noProof/>
          <w:szCs w:val="24"/>
          <w:lang w:eastAsia="lv-LV"/>
        </w:rPr>
        <w:t xml:space="preserve"> 2027. gadā, 254,3 milj. </w:t>
      </w:r>
      <w:r w:rsidRPr="001C0357">
        <w:rPr>
          <w:i/>
          <w:iCs/>
          <w:noProof/>
          <w:szCs w:val="24"/>
          <w:lang w:eastAsia="lv-LV"/>
        </w:rPr>
        <w:t>euro</w:t>
      </w:r>
      <w:r w:rsidRPr="001C0357">
        <w:rPr>
          <w:noProof/>
          <w:szCs w:val="24"/>
          <w:lang w:eastAsia="lv-LV"/>
        </w:rPr>
        <w:t xml:space="preserve"> 2028. gadā un 263,3 milj. </w:t>
      </w:r>
      <w:r w:rsidRPr="001C0357">
        <w:rPr>
          <w:i/>
          <w:iCs/>
          <w:noProof/>
          <w:szCs w:val="24"/>
          <w:lang w:eastAsia="lv-LV"/>
        </w:rPr>
        <w:t>euro</w:t>
      </w:r>
      <w:r w:rsidRPr="001C0357">
        <w:rPr>
          <w:noProof/>
          <w:szCs w:val="24"/>
          <w:lang w:eastAsia="lv-LV"/>
        </w:rPr>
        <w:t xml:space="preserve"> 2029. gadā, vadoties pēc pesimistiskā scenārijā iezīmētājām tautsaimniecības attīstības tendencēm. </w:t>
      </w:r>
    </w:p>
    <w:p w14:paraId="7BB16971" w14:textId="3BFCC240" w:rsidR="00812A3D" w:rsidRPr="00FF3759" w:rsidRDefault="00A60F16" w:rsidP="00FF3759">
      <w:pPr>
        <w:rPr>
          <w:noProof/>
          <w:color w:val="000000" w:themeColor="text1"/>
          <w:szCs w:val="24"/>
        </w:rPr>
      </w:pPr>
      <w:r>
        <w:rPr>
          <w:rFonts w:eastAsia="Calibri" w:cs="Times New Roman"/>
          <w:b/>
          <w:noProof/>
          <w:szCs w:val="24"/>
        </w:rPr>
        <mc:AlternateContent>
          <mc:Choice Requires="wpg">
            <w:drawing>
              <wp:anchor distT="0" distB="0" distL="114300" distR="114300" simplePos="0" relativeHeight="251669504" behindDoc="0" locked="0" layoutInCell="1" allowOverlap="1" wp14:anchorId="74C45067" wp14:editId="1401970F">
                <wp:simplePos x="0" y="0"/>
                <wp:positionH relativeFrom="margin">
                  <wp:align>center</wp:align>
                </wp:positionH>
                <wp:positionV relativeFrom="page">
                  <wp:posOffset>6394450</wp:posOffset>
                </wp:positionV>
                <wp:extent cx="6392545" cy="2063750"/>
                <wp:effectExtent l="0" t="0" r="0" b="0"/>
                <wp:wrapTopAndBottom/>
                <wp:docPr id="665019734" name="Group 4"/>
                <wp:cNvGraphicFramePr/>
                <a:graphic xmlns:a="http://schemas.openxmlformats.org/drawingml/2006/main">
                  <a:graphicData uri="http://schemas.microsoft.com/office/word/2010/wordprocessingGroup">
                    <wpg:wgp>
                      <wpg:cNvGrpSpPr/>
                      <wpg:grpSpPr>
                        <a:xfrm>
                          <a:off x="0" y="0"/>
                          <a:ext cx="6392545" cy="2063750"/>
                          <a:chOff x="0" y="0"/>
                          <a:chExt cx="6392545" cy="2063750"/>
                        </a:xfrm>
                      </wpg:grpSpPr>
                      <pic:pic xmlns:pic="http://schemas.openxmlformats.org/drawingml/2006/picture">
                        <pic:nvPicPr>
                          <pic:cNvPr id="2114966348" name="Picture 2" descr="A graph with numbers and lines&#10;&#10;AI-generated content may be incorrect."/>
                          <pic:cNvPicPr>
                            <a:picLocks noChangeAspect="1"/>
                          </pic:cNvPicPr>
                        </pic:nvPicPr>
                        <pic:blipFill rotWithShape="1">
                          <a:blip r:embed="rId16" cstate="print">
                            <a:extLst>
                              <a:ext uri="{28A0092B-C50C-407E-A947-70E740481C1C}">
                                <a14:useLocalDpi xmlns:a14="http://schemas.microsoft.com/office/drawing/2010/main" val="0"/>
                              </a:ext>
                            </a:extLst>
                          </a:blip>
                          <a:srcRect b="9722"/>
                          <a:stretch>
                            <a:fillRect/>
                          </a:stretch>
                        </pic:blipFill>
                        <pic:spPr bwMode="auto">
                          <a:xfrm>
                            <a:off x="3067050" y="0"/>
                            <a:ext cx="3325495" cy="2063750"/>
                          </a:xfrm>
                          <a:prstGeom prst="rect">
                            <a:avLst/>
                          </a:prstGeom>
                          <a:noFill/>
                        </pic:spPr>
                      </pic:pic>
                      <pic:pic xmlns:pic="http://schemas.openxmlformats.org/drawingml/2006/picture">
                        <pic:nvPicPr>
                          <pic:cNvPr id="838143635" name="Picture 1" descr="A graph with lines and numbers&#10;&#10;AI-generated content may be incorrect."/>
                          <pic:cNvPicPr>
                            <a:picLocks noChangeAspect="1"/>
                          </pic:cNvPicPr>
                        </pic:nvPicPr>
                        <pic:blipFill rotWithShape="1">
                          <a:blip r:embed="rId17" cstate="print">
                            <a:extLst>
                              <a:ext uri="{28A0092B-C50C-407E-A947-70E740481C1C}">
                                <a14:useLocalDpi xmlns:a14="http://schemas.microsoft.com/office/drawing/2010/main" val="0"/>
                              </a:ext>
                            </a:extLst>
                          </a:blip>
                          <a:srcRect t="-1" b="12134"/>
                          <a:stretch>
                            <a:fillRect/>
                          </a:stretch>
                        </pic:blipFill>
                        <pic:spPr bwMode="auto">
                          <a:xfrm>
                            <a:off x="0" y="25401"/>
                            <a:ext cx="3377565" cy="2000249"/>
                          </a:xfrm>
                          <a:prstGeom prst="rect">
                            <a:avLst/>
                          </a:prstGeom>
                          <a:noFill/>
                        </pic:spPr>
                      </pic:pic>
                    </wpg:wgp>
                  </a:graphicData>
                </a:graphic>
                <wp14:sizeRelV relativeFrom="margin">
                  <wp14:pctHeight>0</wp14:pctHeight>
                </wp14:sizeRelV>
              </wp:anchor>
            </w:drawing>
          </mc:Choice>
          <mc:Fallback>
            <w:pict>
              <v:group w14:anchorId="6E03189F" id="Group 4" o:spid="_x0000_s1026" style="position:absolute;margin-left:0;margin-top:503.5pt;width:503.35pt;height:162.5pt;z-index:251669504;mso-position-horizontal:center;mso-position-horizontal-relative:margin;mso-position-vertical-relative:page;mso-height-relative:margin" coordsize="63925,206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kTYy+AIAAKUIAAAOAAAAZHJzL2Uyb0RvYy54bWzkVl1v0zAUfUfiP1hB&#10;4q3NV5uuYe1UMZgmDagYiGfXcRJr8Ydst2n/PddOWq3txNAED4iHunbsXJ977jl2Lq+2vEEbqg2T&#10;YhbEwyhAVBBZMFHNgu/fPg4uAmQsFgVupKCzYEdNcDV//eqyVTlNZC2bgmoEQYTJWzULamtVHoaG&#10;1JRjM5SKCpgspebYwlBXYaFxC9F5EyZRlIWt1IXSklBj4Ol1NxnMffyypMR+KUtDLWpmAWCzvtW+&#10;Xbk2nF/ivNJY1Yz0MPALUHDMBGx6CHWNLUZrzc5CcUa0NLK0QyJ5KMuSEepzgGzi6CSbGy3XyudS&#10;5W2lDjQBtSc8vTgs+by50epeLTUw0aoKuPAjl8u21Nz9A0q09ZTtDpTRrUUEHmbpNBmPxgEiMJdE&#10;WToZ96SSGpg/e4/UH555M9xvHB7BUYzk8Os5gN4ZB89rBd6ya02DPgj/rRgc64e1GkC5FLZsxRpm&#10;d156UBgHSmyWjCx1NwA6lxqxAriI49E0y9IRGEBgDtKHZW53lASooIaACBfIKw+1zNZIrPkKfITA&#10;K6hhgpq3b7aLd75Z3A4qKqjGlhaISGGpsIjjHVpRxMBtWoPOh07LDpDD0CHCjrE7SR4MEvJ9jUVF&#10;F0bBWnCqWx0eL/fDo3RWDVMfWdMgLe0PAHlfYwWZxF7qbrJnEnI5EeQTxejEfi3JmgP+zr2aNkCq&#10;FKZmygRI5xRIAPb0bRGDpuDksLCf0kzYzqpGk6+QAALzTidJ0j+0mlpSO62WgNYtcNnh3OwnfGr7&#10;bDqaDGgerdpPsoAd8NpKn9SJ5tMom0SgaHSu/DQF4U/PlX/QL7Cvjb2hkiPXgaQAl98Eb+5Mj3C/&#10;xGEX0nG9r4vD15cIytRhhs4/Y4CL9CIepVkKDB3rHwr7lP695r36eyf85/qHY+IX+gc5DYBIsEGc&#10;xOnob/ugcwAIPvIHB87353+aTibj7OCCKEpGU3+07E/xP+wCfynAXejt3d/b7rJ9PIb+46+L+U8A&#10;AAD//wMAUEsDBAoAAAAAAAAAIQClpRn+c0IAAHNCAAAUAAAAZHJzL21lZGlhL2ltYWdlMS5wbmeJ&#10;UE5HDQoaCgAAAA1JSERSAAADUQAAAesIBgAAAC5LF5AAAAABc1JHQgCuzhzpAAAABGdBTUEAALGP&#10;C/xhBQAAAAlwSFlzAAAXEQAAFxEByibzPwAAQghJREFUeF7t3VGoJNeZIOh40IDWD41h19Azi2lp&#10;n7z0w4jtdt28Rsw1vTO0HmpZ0dyqinowaMQuaJlpEDSstTDcLJqhtWsQMtsY9eJpCxtjYWyoRW2Q&#10;6aWn7Jbvveqx1Jq2u12teTF60pv0IhB6usupG6fq1MkTkZGZkZlx834fHIrKiDgZERn3ZPx5zvmj&#10;qgAAAAAAAAAAAAAAAAAAAAAAAAAAAAAAAAAAAAAAAAAAAAAAAAAAAAAAAAAAAAAAAAAAAAAAgIvk&#10;kaqqXq+q6qyqqlv5wh6ebLb9uKqqz+ULW6z6nmzWMp8xAADsrFUDmmVusFd9TzZrmc94LOK+366q&#10;6jP5QgBgtzzbfPF/WlXVlXxhi7hNvNEJN6r/d1VVx1VV/VG+8ob9SbMfpfLnA9zc/H6h3lh+UlXV&#10;b+cbVFX1lTnvv+59HotVA5r8BrvPZ7Hqe9JuHddt/hlvy+erqrrT7Esov5jTPj5aVdX7C7ajYxbb&#10;+HcKn2PXsihcG6XPMfzNxnOal3DdfLWjTgAYlcerqvpwgZvM9KY0/OIapHV0fbGuW7pvpTLEvsUb&#10;iFIp3UCl+5TfUOTLS2WIfR6LVQOa/Aa7z2ex6ntStq7rNv+MtyFtz75XVdW3smuq5KUdu8a6AqWu&#10;ZenyUOqOZW2l6zwDwGikN0NtX4qpeIORftGFX2FjHf8+W58Hv8r2Ob+7bNWAZpkb7FXfk81a5jMe&#10;WgyI0gAg3vzHH45ScZ936e+7K1DqWhbPRdvfW9u24e809FLF4HWbnz8A9LbIkL62L0GYZ9WAZpkb&#10;7FXfk81a5jMeUrxe8rYw/niUt3u7Nowv6mrn25alPXilYDNo2zaaF4QBwKj0HdLnhpRVrHr9LHOD&#10;vep7slnLfMZDikFR/v5tr+/aML6oK9gpLYvnJ389V9o2ldbTFogBwKjEm4G2L7egNJQvmHejGpY/&#10;V1XV28mvjHebhAv5eumvwHG7GOCFEhIGPJ1tF4X1/5eqqn6crB/fq22ie7rvYfhOPqG8dDy/V3iP&#10;rv3qunFYZp+Dvue0S9yv/MYwlZ6f9KZmmf2ed50EbZ95SBLRdoPdVW++rKv+kmWOMxji8xnz38My&#10;dUdtx9H1GafbrXJO58nPeVTqiRpiGF9+vsP/w/Df9Nx8p+P6jEptUvwsHstX7qGrzcqXpcdQ+txS&#10;+ba5tC5BFAAXQrwhyG8eUm1fgPmNaipdFr/Y05ugdP30BuYwu3nLS/4+6S+Y8ThCtqf0ZiRk2Mq/&#10;4NP9+3fZ+qHkgUN6LPE9uvYraDtvQ+xzKF3ntEvaA5lPAI9K6wyx36V9DPV2febxXOc3al31psvC&#10;zWhX/fk5GOI4Q1n28xnr38OydQdDfMahLHtO+yjNiYrtY55Mp6u97GPe+Y6l7X3C9iEzar5+vm1+&#10;bc/T1maVlsXz1baPqXzbXHptDfmZAsDazPvy6lredROb/rKc/poatgm/uJaCqPTLP015G34Vj/uQ&#10;f2GH/fsvLSlyu4Yrlt4z/rIdlqW/4nbdLKSpe/MblrYbh2X3eZFz2iU99rZffUu9Vcvud9d1EqTn&#10;N+1dCL+ypzfeXTfYeb2lz3fd19Q6Pp9N7XvpPfO/h2XrDpb9jIc6p32k83Jidr40YErPUf63vqjS&#10;+U7Pa5psofQ3Gs9nKHkPYDincdv8fM7T1mbly/4w2e+8TSzpqjddPsS5BYCN6RrS19VT1XUTG78U&#10;SzcAubSe0vsE827S2sRjy/cjv4lp++Lu88tz23vMu3FoM6++/PVllIKkqOtz7dK23131zftc023z&#10;fe2qdxvX1FCfzzb2ve/fQ5e2uufta9dnPNQ57SsP6kLPWgzehtyXPp9x29/ovPMZ9FmnpKvNistC&#10;b2BXgFfSVm8MhuP57lsfAIxC+gtsfvPUdmMUdN3EpsFX29yNqKueKF2ntC9tur68571n0LZ9qm0+&#10;R59tS9q2W+ScztPVw9gncCxp2++uc912o5hqO79d9XYti4a+pob6fLax733ec562ulf5jIc6p6uK&#10;fxPp/oWAKx1a2DXHLtfnfLf9gNXnfAZdP461afsM82WxJyqU/DujJG7bVUrvCQCjlt5Qpzdk6eul&#10;L8quG4F0WSjhF922m6CuelJdNwWhjnBT8/808ytiib+Y5tss+p6hpPWW3iO/qem6IQlW2ed557SP&#10;tvO5zv3Oz3XbPqTabrC76u1alup6/1WOc5XPZ9v73vWewaJ1d+1n1OczXuWcriLdh9gOpgFOGPoX&#10;kzvk+9+mz/lu+zGjz/kM+gZbqa6//XxZ3I98/0ragqiwbVeSFAAYvdIXbtuNTTTvRiAsz7NxhS/N&#10;fE7FvHqi/Es8SucPtJV8m77vmQZR80p4j75B1DL7HPQ9p32Ufuku3TCmltnvrnPd54aw7Trsqrdr&#10;WartM1rmOIMhPp9t7Hvf91ym7lU+42CIc7qKeJ7jD0zxXOXBQzzOrvMX9Tnf84KoeT2QpTZ9nrZr&#10;qrQs/ZFt3nvk2wLAzkjH0Meb53lf1n1uBKJ8rkFaZ996Sjdj6VDEkIUtT+vb9uW9ynv21fbey+5z&#10;ruuc9lEa0td1M7vsfned6z7nt22fuurtWpYqvf+yx5lb9vPZxr73ec9l6y7tZ67tM84te06XVRrG&#10;F/9u8uOJx9Bnn/qc73lBVP7+uXUHUUH6vdF13KVtAWAnpF/q4ctw3lC+oM+NQC5+mbb1frTVk+9f&#10;NO+Gou3Lu897BsvciERt773sPrcpndO+8vfqCpyX3e+uc93n/LbdYHfV27UsGvqaarPo57ONfe/z&#10;nsvWvcpn3GbRc7qM9JykbWAMHPLjjK+X/nZyfc53WxDV53wG8z6vkrbPsGtZfL3rWNq2BYCdkH45&#10;/0GPL+o+NwK50o1BWk9+wxClv4KnNzRdN/1B241E330v9dD11XbjsOw+tymd077Sbf/FnMB52f3u&#10;Otdtn2sUgvnY85Bfi131buOaarPo57ONfe86l9Gydbfta9T1GbdZ9JwuI/795sdb6p0KNtUTlZ7P&#10;edt2rVPS1mbNWxY/+3xfo65tAeDCS794531JB203AuH1HxTmLITXY1an9AYkrSd+Ef9Rsm3Xc0/a&#10;fpEOdaYPo8y/vNv2vSS9QShNgP6nTZre9Pk3QduNwzL7vOg57Ss/9/n7ppbZ77i87VznAUP+DKH0&#10;esyPr2+9se51XlNDfj6b3ve4vO1cRkPUvchnvMw5jQFGvo+LaguUgng8+XvE89N2/lJ9zndbEJVf&#10;H/8+Oz/pvLX8s5inrc2at2ze/KiubQHgwsu/nPMv71zbjUBeT3iuSMjeFf8fSvqLdLp+yHSVB3Jd&#10;+5N+ecf3StMOx/fNv7zb9r0k/aU8rTc/pryethuHZfZ50XO6iLifbccRLbPfwbxzXQreYwmf+f/a&#10;vG9+c9ZVb3qje3NO/UNcU0N+PmP9e1i27mCZz3iZc9oW6C0ifd+8/ih9n5ClMDyYN/w/v0bb9Dnf&#10;bUFUUGqT8hIyGfbZl1RbmzVvWZB+xvk687YFgAsvHSoy7wuv60YgLAsZtdKbrHAzECak589SyesJ&#10;/09/2W7bLgrrh56g9CYtps2Nx5MfS/6e84T1w6/mMZVxLOHGLuzbP883mHPjsOw+9z2ni0hvjks3&#10;bKll93veuf589pmHEo8r7l9+g9pVb1wWjyevf955W/Y4h/h88uMa09/DMnVH+WcQSp/PeJFzOkQQ&#10;FeuYNywv9Kil5yHsU+m4S/qc764gKgh1hF6nPLAM/w/71ndfUl1tVteyKP1BJg1A+2wLACyozw3F&#10;ReTGgWXs6t/DuqXnbV4A1CYGLsv04gAAbNSu3jTOm4gPJbv697Bui2b4AwC40HbxpjEMXcqfwQR9&#10;7OLfw7rFc9Y29A0AYOfs0k1j7H2KxU0di9qlv4dNib1QzhcAcGns0k1jOrE6zKsQQLGoXfp7AAAA&#10;AAAuhcPDw8fruv7w5s2bZ7HcuHHj/i+c165dezJdFktd1x8fHh52TtA9ODh4tK7r99Ptrl+/3vZs&#10;DQAAgHGr6/rZeYFNCKLquv708PBwoaFHMThLA7I+7wcAADBKpSCnZNkgqq7rl+q6fufq1av3n4Fz&#10;cHDwSF3Xr+evAwAAjF7oFeozJG+ZICoO4ysFaM37LlQfAADAVi3SI7RMEBV7uUrD9uIcq9IyAACA&#10;UUqCqL8I/2YJIx4KrEqJJeYFVV2BUtcyAACAUYrD7fJgKHm9s4cqzHfqCoS6AqWuZct47733zhRF&#10;URRFURRFeS88R5B1SXqibufL+sxZSoKtme2DTQ7nyy8cRVEURVEURbmsJb9XZkBdc6J6BlGt2wdd&#10;mf/61A8AADA6bdn5mtTkM6+n5vVEtQVZba8DAACMXuwtSgOhONQu9iDFoCcdepcEQvcDrXy7ttf0&#10;QgEAABdaDKTSzHv5XKWW7HzFDH7zthVAAQAAdAwNBAAAIBPnR+W9UAAAABQ0vVASRQAAAAAAAAAA&#10;AAAAAAAAAAAAAAAAAAAAAAAAAAAAAAAAAAAAAAAAAAAAAAAAAAAAAAAAAAAAAAAAAACwfW9We0+e&#10;VvtnbeWkmnz819UTn0u3uVNVj5xUk+dOqsnbyXqfHld7X329+p3PpOt2GaoeAACAjVk0iLpT/daj&#10;J9Xk/Xy9WI6rvXf6BEBD1QMAALBRMYgKPUAn1eRKvjx3Uk1eSgKdW+G1pkcpfb3Ot8sNVQ8AAMBG&#10;LRJEpb1HeU/RT6srj59Ukw9Ly3JD1QMAALBxiwRRaYBzUk1up8vSwCgfApgbqh4AAICNWzaIynuJ&#10;wlC842rv9T7Bz1D1AAAAbFxbYomTanL3pJr8+cMBzsPJII6rK1+Jy46rK7+X9C51BmRD1QMAALBx&#10;bUFUEkw91Bt0XF15Nl8nL/k2JUPVAwAAsHVpb1ATzDw0b+m4+uLv5892Oqkm3zmpJncWCX6GqgcA&#10;AGDr0h6qfN5SSTqXqc/6bYaqBwAAYKO6kj+UdGXcW8RQ9QAAAGxU2hPVJ5gZ6iG5Q9UDAAAwuDB0&#10;7qSa/OC42vtq2tOUz4lKg5mfVr/7+TervX8V12/q+MO2oX9Zj9atZesBAADYunT+UVtJA58g7SnK&#10;y3G194s8EURbj9ai9QAAAIxC0wP0XClL3pvVF387X7/pWfpxGvSEZ0qFZz2Veo6yBBVJT9Ri9QAA&#10;AFwK8XlQHpwLAAAwRzpcsE9yCgAAgEstJpXw0FwAALhg0nk5pVK6yW+bK3Rc7f2kNFeo5Lwn5l6m&#10;u+Lcn3z9XROTR0hVDgAAF8yiQdSd6rcePakm7+frJev3mt/TlYGuqccQNwAAYHxiENU3+InJEEJJ&#10;M8qlr/cJgEIQlWe5y+rotT8AAAAbtUgQlSVDaO2hWvZhsGkdffYHAABg41YIoh5aPyZK6NsTVSKI&#10;AgAARm+RICrIh9wdV1ee/mn1u58/qSZ3FqknF+qIAdoqgRgAAMBatSWWCFnyTqrJn5eG5R1Xe3+S&#10;r79MAFVKLtEEZjufnQ8AALig2oKoJKgppjgvBVLH1d4v+qY4D0pB1INAau+P8vUBAABGqXl+0735&#10;TU1Qc39oXTNv6d7QvSZw+knheVELP/uoeW7UV9L3TbP/wYVyeHj4eF3XH968efMslhs3bjx0QR8c&#10;HDxa1/X76TrXr1+f+8ez7HYAAKxX2kMVs+2liSXOX38w7C6bKzXTe9VXlkJ9qSx/sFV1XT87L7CJ&#10;QVYaWK1zOwAA1i/NtheDma4MfLMB1uK9UUH2HksHY7AVpSCnpK7rl+q6fufq1av3fyU4ODh4pK7r&#10;1/PXU8tuBwDA+qU9UTFg6gqigjjHadEEE6lSD1i+DoxW6BWq6/rjw8PD1ug/DscrBVrN9p8eHh7O&#10;/AEtux0AAMMJvUcn1eQHx9XeV9NgJZ8TFXuV8uc4hfTmpW3SHqSsR+vevV9Tz38J73un2nusVEe6&#10;PlwIfXuEYm9VafjdtWvXnmwbmrfsdgAADCcfglcqeSCTzllqK+lQvlKPVhqMtZWQXj19Xxi9JIj6&#10;i/BvmvghDay6Ap51LAMAWMYiabz73ODn23Q5rn7nCyfV5MdZtru7Y3kWUtMb9VyeYe+kmnynLV15&#10;02P04+x8FLfJhufdD8h+Wv0P/7T0viHb35vVlX+e1gEXQhxulw+rS16/F0h1BTzrWLaM995770xR&#10;FEVRlMtd/v57fzETBD1U/quDs7unP7+37j/+4pdnf/PPrs6uk5dkm7by7r++NbtdUt79t//nzDa7&#10;Vn7xJ988P95/8uTZP/zgjZnlymZLfq/MgJKeqJkJg+mcpWWH5S273TLyC0dRFEVRlMtX7gdRK97I&#10;p8HY2//y38wsz0sIot75n//o7B9+9Ff3/v+rn5ycvf17/9tCgdiFLr/61f3j7XO+Lmq5+x+Pz37x&#10;4n84+9s/+N/Pfn7lX9/79+7P351Zbwwlv1dmQF1zokpB1KIJIpbdDgBgGXFI2SpZ49L5Q6vUkw8t&#10;XDYV+EUQk0r0Hfp4UZxWe4+dVnvPnFT7r55U+7/OexhDeauavJZvxyXQlp2vSU1+7/W2YKvt9XnL&#10;214HAFjFEEFU6blJ+Tp9ZGnCl96fiyCmPN+FQPG42q+7gqZyeZB5kEsi9halQ/riULu0B6n0Wt6b&#10;VFqn9Fq+HQDAEIYIomJA0AQFM6Np+sqy1S29P2zGnergs6FXaTZA6i4n1f4Hd6qDR/P6uARiIBUz&#10;87XNVYoBUSx5INQ2z2nedgAAQ8iH0D240Z3cDam05/UqZb1HSw9Ny1OKlx5Yy7iEDIL5dTOvhADq&#10;pJo8ldcFC2kbGggAsAltQdSDm97uwCh9NtIqgY9eqHEIvUtheN5ptf/KaTW5e1pNPjqu9l/I1wvC&#10;6/n1Uion1f7pW9XkxdNq78t5HbCwmBY974UCANim5llH6bObisFR+tyoVQKftDcrlFWGBLKYMKzu&#10;uNp/+rTaf/m0mrybB0APPpP9mfvVEHCdB1r5+vfqeTn0OBm2x+CaXiiJIgCA0ckeBFtMFtFnnXny&#10;B/i2BWwM52fVl54IPUOhh2g2ACqXk2r/Tl5P8DfVF3/ztNq/FUoIxkJgla8DAACXwryMe/kcpmWy&#10;zBXqmHkfhtUM1ZsJkuaVEHTldQEAAIlsjtJM71C2vHPeVJssq58AagMWS0N+P4B6zbA8AABoeoJO&#10;qskPjqu9r6YBTD4nqtTL1DetedajdX+9LCHFUkEY50LChjCcLgy5Oz+f+79uy4BXnsOUl3vrvBJ6&#10;rcJwvbwOAAC4tPLhdKVSCpAWeShuqUerz/s27613qiAPmspl8kkpACqnJRc0AQBAb01v1HMn1eTt&#10;eFPdBEbfebP64m/n6wd5WvOuQCdLPnEvIBNELe602numO2gqlXJK8dBL1SSCEDQBAMDYxIBrXo8V&#10;ZWEu0mk1uT0bIM0r5Z4oAABgxNIep1JyCuZ7q7oymQ2Q5pXJ3eNq/wt5XQAAwMjFuVMSRzwsBDhh&#10;CGXIendS7X/QBD7vnlZ7j+Xr9guiJh+F3qqTavJ8eAZUXgcAAHBBxAx+pex+l0k5aCqVcm/dabX/&#10;hqAJAADYaefJG0Kg0xU0PVxCavK8nigkgRA0AQAAO6nJfjcTJM0v5Z4oAACACydkuoupwcPwujA0&#10;ry15w+zwu3ll8slJtf/qnergs3ldAAAAoxcSPBxX+0/HB9q2D8mbfFRKIx4Cotl1Hw6aQqB1XO2/&#10;EBJH5NsDAACMXphrFHqXzpM25EFPV9l7Jq8r9FDl9TQPyr3V9gBcAACACyMMo8uDnr4lDPHL6wvO&#10;H5K792VBEwAAcCGE3qCQ0e6tavJiMyTvXk9Qvl4Q1suDoz4lDNvL6wIAABi9MBQvDKs7rfZfPg+W&#10;7s05mgl6zgOfyfPl7WfXzUsTiL0c3qstqQQAAMAohSF453OYZoOdrhICobyuICR5eLDevWx5d0Iv&#10;Vuil8mwmAADgwgvPVMoDpD7FEDwAAGAnhFTfJ9XkudNq/5WTav+06RG625YCPA+O+pTQu+RZTAAA&#10;wIVTDpjayuRuyHSX19HMTyqsf3+7j2IyifNnPu09ltcBAAAwaudJGdqTPrSX2QAovBYDsOZhuG+c&#10;Pxx38lTpAbgAAAAXSpM9rxAgdZcQIJV6ogAAAC6c8wfKht6f/V8ngc8r+XpBSOiQB0jzy+SuzHgA&#10;AMBOCM9JCkHObOCzfxbmIBXWfzpfLy3ngdi9jHu3Tqu9L0sAAQAA7IzzoXmdc5tu5dsE4UG3IdlD&#10;8wym186fzXQvYDJcDwAA2D3N8L1XCkFT1qs0eSrfFgAA4FJphu+9mwdMD5fJu6WhfAAAAJfKcbVf&#10;h+cuzQZN94OnuyHIyrcDAAC4dMIzl7rmP4W5TeY0AQAANN6qJi/mgVPT+/TJSTV5Ll8fAADgUisF&#10;USEd+VvVlUm+LgAAwKUXntd0Wu2/kfRA3fYMJ5YxnU4n0+m0nk6nt46Ojt44Ojq6c3R09Op0OnU9&#10;AQCwe35WfekJwRN9TKfTJ6bT6dNJsHR3Op2etZWjo6NX8joAAGDUQma98wfhmuNEf9Pp9AtJsHT7&#10;6Ojo3TxA6lvyugEAYLRC8JQljLgr2x6pJlh6qgmWXjs6OjrNg6BVytHR0Qf5ewIAwOicz3Wa3M6T&#10;RoQSnguVr8/um06nj02n0y83wdKrQwdLpdK8hyQlAACMW5jfFDLs5cFTLGF5vg27Yzqd/mYTLL3Q&#10;BEt38uBmHeXo6OjXzXvdmk6nz4R9yPcNAABGJ8x7mvfw3HwbLqaQ9S4Jll5psuF9kgc3Q5cwPK95&#10;rxen0+lzzT4YIgoAwMUS5jmFACkPmrLyivlQF08SLD1/dHT0chPAfJQHN0OX8B6CJQAAdlLIvhcS&#10;RhSCpqZMPjEPavxCgNIEKs+FwGULwdLLIVBr9kG6ewAAdlPoWZoTQN0NQVa+HdvVBCrPJMHSB3lw&#10;M3QJQ/2a93pFsAQAwKV1PgcqD5zOSxjeZ/jedoXMdE2ShZARLwQwv86Dm6FLFiy90ARLv5nvGwAA&#10;XErlIGryiQfrblYTLNVNsPTG0dHR3Ty4WUdpgqVXm4x4giW259q1a0/evHnzLC91XX98eHj4uUXX&#10;Kzk4OHi0ruv30+2uX79urDIAsJDQ03RS7d+JAVRIbf5WdcVzeQY2nU6fiPOVmkApZsPbVLB0mgVL&#10;j+X7CFsVgqO6rj89PDy8ki9L9V0vd3h4+Hhd1x/euHHjVnytrutnBVIAsLg3q70nZ3tiHpSTavLx&#10;X1dPPPTj5nH1O184qSY/PqkmHybr3T2urnwlXa/LMu+7TsfV/tOe/7Sc6XT6hThHqQmQYga8jTxf&#10;KS1NsPRaEyw9FfYt318Ypb7BUd/1cnVdv1TX9TtXr179THzt4ODgkbquX89fBwC6LRrMnFSTl/J1&#10;0nJc7d3/kbPLou+7qpNq8pQheosLPTZNgBSH2sVEDht5plJbOTo6evfo6Oi2YImd0Tc46rteKg7j&#10;S3uhotAbtWh9AHDZxWDmpJp8elJN5n6HhiDqpJp8583qi78d/v/T6nc/f1ztvb5o8LPo+y4rDM07&#10;qfY/eLB/+6eSRZwL83+aAOnpJhiJyRs2khq8T8mCpbCfegvZTX2Do77rpeJQvtKwvTjHqrQMACgb&#10;IpjJe5WOq72538VDvO88J9Xk+byH67zsfTlfd9ckD5gNvTQxQAoJGzaSDnzREuZGhf1r9jX0egmW&#10;uFxKCSNKwVLf9VJdgVLXsmW89957Z4qiKIqy6+Xvv/cX54HFP3ny7B9+8MbM8j7lV3/1s7PT3/gf&#10;F6pniPdtK3d//u7ZO//y3xSCp/Pyixf/w8w2F6n86le/OnvzzTfvlR/+8If3yje/+c2zb3zjG2df&#10;+9rXZgKUMZSvf/3r9/bvu9/97r39/dGPfnRv/4+Pj2eOTxlnye+V2YAwj6lPgDNvva5AqWvZMvIL&#10;R1EURVF2sQwRzNyvY4F6hnjfUvmH//f/O/tP/90fzAROsfz8v78xs83YSgyQbt++fS/g+Na3vnUv&#10;AHnppZdmgpMxlLBfYf++/e1v39vf119//f4x5MemXNyS3yuzAXEuU13Xt/NlqXnrGc4HAMPKh+LF&#10;ErLtnVSTP3+9+p3OhE13quqRbE5U8Ts8t+r7lpxWe8+EZzzldT6oe//O31Rf3OpzgJrnIYVhds83&#10;Q+xebYbYvZsHJ2Mo4eG2zf7FjHfx4bOhmFsG69Q3e9689UrpzSOJJQBgcW3BTBLUdCaKSLdfZH7T&#10;qu+bCokiTqv9V/I60vJWNXkx327dwrykJpvdaR6cjKGEuVFNgBQTN8RnKIXy2fx4gA2b18MUzVuv&#10;Lchqex0AWNxxdeX3smdAFb+Xf1pdeTxdr2968zZ93zd3Wk1u50HTgzL5KDwDKt9m3UJCh20mcAjZ&#10;9ZoAKSZriKnAQ4C01d44IBODmXRIXRLgfHx4eHjvF6W+68UhemnPU+k1vVAAMKy0p+i42nsnH153&#10;p/qtR0+qyfuLBjzzzHvfXMi0Nxs4xX3aPz2t9h7Lt1mnpvfp1TyoGbKE5zMlD7ONAVJI/x0CpI0e&#10;LzCQlqx7Mz1EfdZrm+eUbyuAAoBhpb1MeTCTz4PKl6+i631LOoKoVzb9PKihep+SZzW9mKT8DgGS&#10;B8oC8zU9TPd7pgCAzcjmOj3UyxQeuLuOACroet+SECidVPu/fhA83Ru+t9EkU4v0PoX5UU2A9HIT&#10;ID3TBEieiwSsLs6PynuhAIBhhB6lk2ryg+Nq76tpIJTPTUofnntcXXk2CXLmJn/IepbuDcVf5n3n&#10;Oakmzx1X+y9sOvten96nZl7SRvcLuKSaXqiZYYAAwDDyYXmlkiaL6LN+s8393qlSz1KfevIkFT+r&#10;vvREKOlr29Sn9ykkdwg9Tfm2AADABdb0Cj13Uk3eToKdkKr8O29WX/ztfN15wU8TABWDqDwg6/O+&#10;d6qDz55W+28k9b+x6d6mnN4nAABgbeLwv0WeIRW9VV2ZnFT7H+RBWniobr7uJuh9AgAA1irtueqT&#10;JCJ1Uk2eP60mn8wGUPfKSs+jWobeJwAAYO1iUok+CSii8+F77Q/PDT1TmxzOp/cJAADYmJgKvW+W&#10;vZA44uF05bMBVBjil2+3LnqfAACA0QpJJjqG74UA6s6meqD0PgEAAKP2VjV5MQ+asrKxOVB6nwAA&#10;gFE7rfYea++Bmnx0Uk2eyrdZB71PAADAhXAeROXB073he6cbHL6n9wkAALg4TqvJ3SyIevlOdfBo&#10;vt7Q9D4BAAAXUgiYwryn89Tme1/Ol6+D3icAAGD0wjOg8tc2Te8TAAAweiH7XnjGUxiq91Y1eW1b&#10;wZTeJwAAYNRCYoiQICJPGhGCqnzdddL7BAAAjF6Y2xR7nwrllXz9ddH7BAAAjN55koiZwOl++Vn1&#10;pSfybYam9wkAABi9MNfptNp/Iw+a0nJc7b+Qbzc0vU8AADCwk2ryhw/f2O/dyte5U1WPnFST506q&#10;ydtxvZNq8ulxtffV16vf+Uy+fu5O9VuPnlST9/MgIi8n1eTjv66e+Fy+/UXzVnVl0jF87+y0mny0&#10;7vTlep8AAGANflpdefykmnyY3uDnQdS8AOi42ntnXiA1r45YdiGIOqkmT51Wk0/yY3twjPunIclE&#10;vt2Q9D4BAMCanFSTl5rg5Tje5OdBVFwnXdb0TKWv1+k2i3iz2nsyCaJu58svkvMH5U7u5oFTUl4O&#10;6+TbDUXvEwAArFHshQq9P29We3+QB0pB2oOU9zilvVj5sr5CMHZc7b3eBFCfnlSTK/k6F8lptfdY&#10;IXC6N3zvuNp/Ol9/SHqfAABgzWJPUgia0t6gNIhKA6W8lygNsJYdhjdEIDYmoZdpdi7U5N3jav8L&#10;+bpD0fsEAAAbkPRC3ev96RNE5UFO1ou0VBBVGio4ZudB0uS587Tl5cQQTVa+V0JmvpNq8vyah+/p&#10;fQIAgHXLgp97vUttQVSeEOK4uvKVuOy4uvJ7SS/VwkPxsl6upYKwTQmJIN6qJi+eZ9W738P0SUgi&#10;ka+7CXqfAABgg2LAlAY+bUFUcFxdefZB4FAuywRBab35UMGxCMPwTqr9V/PjfVAm7+bbrJveJwAA&#10;2KBSL1TQFUQFx9UXfz9/RtRJNfnOSTW5s0wQlc2nWrgXa93O05R3Pyj3fN/3T/Nt10XvEwAAbEEW&#10;LN1PSz4viCpJA7J8vtQ82fsttO06HVf7dehdyoOlcpl89LPqS0/kdayD3icAANiSPkPzYpn37Keu&#10;zH1d0uCrz/tsynmyiNnzMFvCXKgwxG/vsbyOoel9AgCALRsyiFr2YbvZw3UXGga4Lu3Pd3pQmtTl&#10;t0KSiXz7ddD7BAAAI9Y1nO+n1e9+/s1q71/FIXehJ+mkmvxhsn7XQ3hnhgaOMa15CIzyoOlBmdw9&#10;rfaeWWeq8pTeJwAAuAC6gqg06MnLcbX3i7wnKetpemiYXzYEcKMJJcJznUIJz3HKlwWF4XzhOU8b&#10;TWGu9wkAAC6IriCqCXx+nAYYJ9XkbnhmVCkhRFddeVrz0vZDCgFTeODtSbX/6wf7P3m3PZDae+a4&#10;2n8hpDbPl62T3icAALjEYqC06Z6mVPnhuA9KWJZvsy16nwAA4BJrew7Vpsx/OO798nK+7abpfQIA&#10;AO7Pedp01r3z+U7zH44byvnQvvWnJ++i9wkAALgnJqFYJOX5qgoJITrK5PY2Ayi9TwAAwFYdV/tP&#10;zwZKeZl8clrtv7LN4CnQ+wQAAGxdyKY3GzSdl00/HLeN3icAAGA0QoD0cPry+3OeNvZw3C56nwAA&#10;gI0JD7o9qfbvPAiQ9oo9NeGZT+fD9fZfCcP78uXboPcJAADYiNB7dD5Eb3I3H54XylvVlUm+zdjo&#10;fQIAANYu9CYdV/svNPOYZoKneb1R2xYCotCrdHR09FoeMOl9AgAABhMy5p0PxbuXQa8QNKVl8lF4&#10;mG5exzZMp9NHp9Pp00dHRy8fHR3dzYOlUtH7BNDTtWvXnrx58+ZZXuq6/vjw8PChhxAeHBw8Wtf1&#10;++l6169fn/ucjWW3A4BtCj1Ps4FSuYRkET+rvvREXscmTafTyXQ6feHo6Og0D5C6it4ngAWFIKqu&#10;608PDw+v5MtSh4eHj9d1/eGNGzduxdfqun52XkC07HYAsE1dqcmz4OnOtpJFTKfTL0yn0+eOjo5u&#10;N4HQTIA0r+h9AlhC3yCqruuX6rp+5+rVq5+Jrx0cHDxS1/Xr+eupZbcDgG1qsunNBE1J8PTqpnue&#10;mnlNdciqd3R09Os8IFqk6H0CWEGfICoOx0t7k6LQq9S2/bLbAcC2hd6lPHAKc57eqiYvburhuM28&#10;ppBJL8xrejcPhBYtoY6jo6MXQ535ewGwgD5BVBySVxp+F+dUlZYtux0ArFNIQ/5WNXktBEXnz3na&#10;eyxfJwhD+kI2vpNq//Skmjy3iYfjTqfTJ5p5TWGY3UwgtEgJvVVHR0evhN6r8Fyo/L0AWFIpsUQe&#10;VHUFPOtYBgDrEHqXHn447v2heb/eRIBUMp1OH2vmNb227LymJGj6qElh/lyoN38vANYozGNKA5yu&#10;gGcdy5bx3nvvnSmKoihKXv7xF39/9ne3Xjn7m//2f5qZ15SWu//xeGbbdZRf/vKXZ3/5l3959t3v&#10;fvfsa1/72kwgtGj5sz/7s7Pbt2+fvfXWWzPvpSjK5S35vTIbEOcy1XV9O/x/2WF5y263jPzCURRF&#10;US53+cfj/3T2n//t/3X21n/z1EzAlJcQYN39+bszdQxVfvKTn5x9//vfP/v6178+EwQtWkId3/ve&#10;9+7Vmb+PoihKLPm9MhuQZ88rpSmPuhJELLsdAKzitNq/1e/huOdD+drmRC2rmdf0/IDzml5t5jVt&#10;JKEFAEvIe6LyoCpZr/j6vOVtrwPAqvo/IHdyNySOyLdfRjOv6ZlmXtMHeSC0SGnmNd1u5jV9IX8v&#10;ALYsBjPpkLokwPn48PDwc/H1OPwuf2hu2ptUWqf0Wr4dAAzlPDjKA6aHyhsn1WSlFN8h0910On06&#10;ZL47Ojq6mwdCi5ajo6M7ISPfdDqd5O8FwAi1ZOcr9hDl6+aBUNs8p3nbAcBQTqvJ7ULgtPLDcafT&#10;6ZfDM5aOjo5O8yBo0dI8r+nl8Lym8Cyo/L0AuESaHqaHerAAYJPuVAefPa0m7zZD9j46rfZfXubh&#10;uGEoXTOv6fbR0dEneSC0SDGvCYCiOI8q74UCgIsgBDfNvKZXB5jX9Ekzr+l585oAaNX0QhWHAQLA&#10;2IRhdM28ppcHmtcUhvndMq8JAADYGSHACYHOQPOa7jbzmp42rwkAANgJzbym5waa1/RBM6/pGfOa&#10;AACAndFk0Qupx3+dB0KLFPOaAACAnTWdTp9o5jatGjiZ1wQAAOym6XT6WDO/aemkEM28pleaeU2f&#10;zd8DAADgQmvSkIc5Tu/mAVGf0sxreq2Z1/RYXj8AAMCFF3qImuc3vZEHRfNKM68pbBfmNT2R1w0A&#10;ALAzptNpHXqNlsmq1/Q21VKPAwAAO63JrPfq0dHRR3lgNK8cHR3daYbpmdsEAADsriSz3gd5YDSv&#10;NHOjwlA9z20CAAB2V/MQ3JBZb+GU5E02vpCGXGIIAABgdzWZ9Z5fJrNek1XvZckhAACAnZZk1gvz&#10;lWaCo64S5kWF+VFhnlReLwAAwM4IGfFiZr08MJpXmpTk9zLr5fUCAADslOl0+tQKmfXCs5xk1gMA&#10;AHZbk1nvlRUy6z0nsx4AALDTQma9o6OjF1fIrPeCzHoAAMBOC0FPk1kvBEEzwVFXCcFWk1nvC3m9&#10;AAAAO6PJrPfcCpn1XpFZDwAA2GlJZr3beWA0rySZ9Z7O6wUAANgpIfBpMut9kgdH80oTcIXMeo/m&#10;9QIAAOyM6XQ6WSGz3qnMegAAwM5rMuu9vEJmvedl1gMAAHZak1nvhRUy670osx4AALDTwjC7JrNe&#10;GHY3Exx1lTC8r8msN8nrBQAA2BlNZr1nVsis96rMegAAwM5rMuu9tkJmvVpmPQAAYKeFh9g2mfU+&#10;ygOjeaV5eG7IrPfZvF4AAICdMZ1On1ghs967MusBAAA7r8msd2vZzHphW5n1AACAnZZk1gu9RzPB&#10;UVdJMus9kdcLAACwM8L8pCaz3ht5YDSvhHlRTWa9p/J6AQAAdkrIjLdCZr3XZNYDAAB2XpNZ79UV&#10;Mus9I7MeAACw05LMeh/kgdG8kmTW+828XgAAgJ0RsuI1mfWWSUkesvGFzHpSkgMAALuryaz3/AqZ&#10;9V6WWQ8A4JILk96byfNhDsidZjL8c55dw65IMuuF+UozwVFXSTLrfTmvFwCASyR5zs3t/KYxu4EM&#10;v7wLqrhwkh8HwvU7c213lZCJL2bWy+sFAOASaeZ/hGFMp/lNY9+SBFUh+5i5IIxOeBbTCpn1wjOg&#10;ZNYDALjMptPppMk4FibBz9w0rlrChPxmqJOgiq1pMuu9skJmvdDTKrMeAMBlNZ1On25+iV/4hnLV&#10;kgVVbkpZm9CzenR09OIKmfVeEPgDAFxSyaT518JcjvyGsU9JJs8/3Qz5u73McKi8hJvV0EMQ5pYI&#10;qlhVCHqa63PhntUmwA+Z9cztAwC4jJKbyYWzjRVuKluzjoVhUuEX+zBXZNkALXtPQRULaX4kCElQ&#10;Fr7Wmx8HwvXWeo0DADvu4ODgkbquX7958+ZZXde302XXrl17Mryel7quPz48PPxcum7u4ODg0bqu&#10;30+3u379uqxUI9MENOHBoAv/Cp/cVIb5H2EY01K/xoc5VgMHVe82gVzoATOZn3uSzHqd2SNLJcms&#10;93ReLwBwCdV1/Wxd15/Wdf12KYgKyw4PD6+kr89zeHj4eF3XH964ceNWfC28j0BqHJpMY2HC/MLz&#10;PpKbypBxbC0T55OgauFeglIRVF1uyXy+hQP0JuAKc/EezesFAC6p2Ft048aNr4TeqKGCqLquX6rr&#10;+p2rV69+Jr4We7zy11m/ZujSvWfbLDsnqRnCdO8ZN5sORMKwqaa3bMig6sUQTLo53k1NBsllM+uF&#10;dP1r+YEAANgBMdh56qmnfmOoICoJzO73QkWx12uR+lhO3wffdpVmflOY+/FUXv82JUHV0s+mSkuo&#10;R1B18TWZ9ULq/YV7WJvhrM/LrAcAdGqG3H0QApqkl2jlICoO5SsN24tzrErLWF3z4NswDC7MUZq5&#10;UexTmiQNIaB4Iq9/jJp5LmF4YkhLPXRQJXHAyDXJUMI1v/CcvuZHgvA5LzWXDwC4ZPKgKf9/VEos&#10;MS+o6gqUupYt47333ju77OXNN988+973vnf2ta99beYmsW/5xje+cfb666+f/e3f/u1M/Ret/OpX&#10;vzr7yU9+cvb973//7E//9E9njnWZEs7PD3/4w3vnOn8/ZfPl7/7u785+9KMfLfX5vvjii2ff/e53&#10;z46Pj2fqVRRFUZSLXvJ7ZQbW9DDdz7DXFkSVhCGAXYFQV6DUtWwZ+YVzGUoIEv7qr/7q7Nvf/va9&#10;G8L8JrFP+eM//uOzb33rW2dvvPHG2S9/+cuZ99ilEo4vnK8QaH7961+fORfLlBhUuRHfXAnXfbhe&#10;v/nNb858HvNKuN7D30u4DvJ6FUVRFGWXSn6vzIBKc5YWCaLi9m3rGs43vGZ+U3jwbXhY7cIZxkIJ&#10;E+yTB99e2nk/TZKNkK0tzJ1Zethjcl5D6uuQqTCkeJ/k78dqms9qqQc+N/MBQyKUS3u9AwADKQ3R&#10;y0tXkDMvy14pvXkksUR/yYNvl57n08xvCqm93dy3SDIXhkxuC8+ryYug6oHmGWQhCUhewrm5lZeQ&#10;fTErC2eSbDI4hsx6G80gCQBcQkP2RLUFWW2v80C46WwSJCx9M9/0roQsYybLL6Hp9RsyqAqp4UOP&#10;SPhMRpWsownU8wAnlPBcpFKQE3qE8kBnqWBnyJJc8zLrAQCbUwqi4mtpr1Sy3v35VLFnK+15Kr2m&#10;F6qsGa601PNskpvIcJPuuTZrkARV4WGtC6fOzssiQVWTeTAPcEIJQzJLQU4YopgHOKGsHAyOrTSf&#10;RThuPxYAANtRCqKC0tC/vCepbZ5Tvq0A6lz24NuF53k0N5DhRjzMbzLfY8Oa3pswP23IoGqQhwjv&#10;emnm9YXnlnUGnwAAo9f0MN3vmWJWc+MdHnwb5srM3Bz2KcmDbz27aESyoGrp3kSlXJIfDEb1wGcA&#10;gKXF+VF5LxT3J9WHIVZLZ4Brtg1DlvzyfkE0DzwOAXPoabyUQVWTXCMfUhhK+BFhZhhiM7QxH7IY&#10;iqF6AMDuaXqhJIpohBu/Zl7K0sO8mhvNML/JJPkdMNagKgTohSAnlBcLQU4oTxWCHL2iAAAsp0lF&#10;vlSGsuZX+9eajGjSMu+4pocyXC/hmV+t10wz/ycPcEIJQ9vyACeUMD9uJsiRbAQAgNFpbmBnboK7&#10;SjJB/um8PgAAgJ3WN3108+DbMFTK/CYAAODyap75MxM0NYHTqQffAgAAJMI8ptgb1cxvCkFVmN9k&#10;LgoAAAAAAAAAAAAAAAAAAAAAAAAAAAAAAAAAAAAAAAAAAAAAAAAAAAAAAAAAAAAAAAAAAAAAAAAA&#10;AAAAAAAAAAAAAAAAAAAAAAAAAAAAAAAAAAAAAAAAAAAAAAAAAAAAAAAAAAAAAAAAAAAAAAAAAAAA&#10;AAAAAAAAAAAAAAAAAAAA0NfBwcEjdV2/fvPmzbO6rm8Xlj9a1/X7YXks169fr/P1cstuBwAAMGp1&#10;XT9b1/WndV2/nQdRh4eHj9d1/eGNGzdupevPC4iW3Q4AAGDUYm/RjRs3vhJ6o/Igqq7rl+q6fufq&#10;1aufSba513OVv55adjsAAIBRi8HOU0899Rt5EJUEWPd7k6LYe3V4eHglX7bsdgAAAKPWDLn7IAQ0&#10;SS/R/SAqDskrDb+7du3ak21D85bdDgAAYLTyoCn/f9AV8KxjGQAAwGiFYKau648PDw8/F/5/UYOo&#10;995770xRFEVRFEVRlPfO8ntlBlSas1QKopYdlrfsdovKLxpFURRFURRFuewlv2dmIDGQ6SohyCml&#10;KY+6EkQsu92iXCgA26ctBhgH7fEWlHqi2lKSt70+b3nb68tyoQBsn7YYYBy0x1tQCqKC2GuVPzQ3&#10;7U0qrVN6Ld9uVS4UgO3TFgOMg/Z4C9qCqCAf/pcHQm3znOZttyoXCsD2aYsBxkF7fME0PUz3M/1t&#10;igsFYPu0xQDjoD2+QGKmv7wXahNcKADbpy0GGAft8QXS9EINkihiUS4UgO3TFgOMg/aYXlwoANun&#10;LQYYB+0xvbhQALZPWwwwDtpjenGhAGyfthhgHLTH9OJCAdg+bTHAOGiP6cWFArB92mKAcdAe04sL&#10;BWD7tMUA46A9phcXCsD2aYsBxkF7TC8uFIDt0xYDjIP2mF5cKADbpy0GGAftMb0MdaEcHBw8Utf1&#10;6zdv3jyLpa7r2/l6wcHBwaN1Xb+frnv9+vU6WT5YXWMw5PEsUleQrj+28xIscjxDnZu+643BIvu6&#10;5vPz8eHh4efydbepZT9njicY6tyk0m3mrdvHUG1xsMjxDHVurl279mS6TrLuqK6dvscTDHVuosPD&#10;w8fruv4wXf/GjRu38vW2ZZHjGeLclOroWn+b+hxPVDquRc9NVPq7GtM1EyxyPOs8N3Vdf3p4eHgl&#10;X28ZQ7bH7LChLpS6rl9KL/R4cecXf/wSSRuBuq6fTf+QhqxrDIY8nr51pctKDdVY9D2eIc9N3/XG&#10;oO++Dn1+0nril97Ybob7Hs+Q5yYV6ghf2nVdv921Xl9DtcVB3+MZ8tyE14e8iVmXvscz5LkJ8m3H&#10;qO/xDH1ucqX6t63v8ZT2fdlzE19Pr5n42mU/N/l2zWth20HaoCHbY3bYOi+U5oJ+6Maree2dq1ev&#10;fia+Fn95yF9PDVnXGAx5PKW60saq1BCPWel4hjw3JX3XG4PSvm7g/NwLGIb4clqn0vGs49zEwPLG&#10;jRtfaeqZe2M4zzrb4qB0PEOem4sSRJWUjmfIc1O6ebwoSscz5Lkp6bvetpX2c8hzM6eulducdVri&#10;eHqfm+SHvYfOQdvry1h3e8yOWOeF0tx4zVz4pS+SeTdpQ9Y1BkMeT15X7gIGURs7N1Hf9cYg39cN&#10;np/WesYiP551nZt4M/DUU0/9xlA3NOtsi4P8eIY+Nxc8iFrruSm9dlHk+z70uckNeSO8bvnxDH1u&#10;8uAhuCjnJz+eIc9N248SfQKyvtbdHrMj1nmh5A1AvPBLN/PzbvSHrGsMhjyevK7cvO3HJj+edZ6b&#10;qO96Y5Dv67rPzxiHj7TJj2cd56ap84PwhT/kr8LrbIuD/HiGPjcXPIha27kZ8sZuG/LjGfLclMy7&#10;oR6T/HiGPjexvvh6ci11nsMxyI9nyHPTFkSV1l3WuttjdsS6LpTSRd71h9K1bMi6xmDI4ynVleva&#10;fmxKx9O1/13LSnWV9F1vDEr72nUOupaV6griF3XYLpZ8nTEqHU/X8XctK9UV5EFT/v9VrKstDkrH&#10;03X8XctKdQVxm7RchJvh0vF0HX/XslJdyTXyF/nf1dgDq9LxdB1/17JSXbmLFHCWjqfr+LuWlerK&#10;lyXXzMptzbqVjqfr+LuWlepKrpOH2pe4riCKjVnHhdL2a0nXH0rbsiHrGoMhj6etrlzb9mPTdjxd&#10;+9+2rK2uXN/1xqBtX9vOQdeytrpKkuEjo70hbjuetuPvWtZWVxC2SV+/CEFU2/G0HX/Xsra62oRf&#10;hUv1jEXb8bQdf9eytrra/n6S10cZMLQdT9vxdy1rqyvXtv3YtB1P1/63LWurKwo9c2G7uq7vxmBq&#10;rNdM0HY8bcfftaytrnRZ2C6WcF7quv6z0vqLWld7zI5Zx4XSdKfO3HDFXwnyP5Sg7Y9oyLrGYMjj&#10;aasr17b92LQdzzrPTd/1xqBtX9d5fqKxj8NvO54hz01pTP9FCKLajmfIc9PGddN9jYx56Frb8Qx5&#10;blJdN8xj03Y8Q5+b0rJYz1gDqdI+B0OfmzbNNiufm3W1x+yYoS+U+KtJ/scQlLplo9KXyZB1jcGQ&#10;x9NVV66tgRqTruNZ17npu94YdO3rus5PKrnBWfnLaWhdxzPkuYl/R12ltF1fQ7fFQdfxDHlu2rhu&#10;us9Bqa4x6DqeIc9NqqveMek6nq5jWPTcLFrXGAx5PF11tRnyR5t1tMfsoCEvlHjRl/5IgrYvk9Lr&#10;Q9Y1BkMez7y6cmMPouYdT+kctL0+r66o73pjMG9fS+eh7fV5dbUZ8stpSPOOp3QO2l6fV1dJUs/K&#10;52XItjiYdzylc9D2+ry62rhuzoV1Sj0sza/mM69v07zjKZ2Dttfn1ZVaptdh0+YdT+kctL0+r65F&#10;g45tm3c8pXPQ9vq8utoMeV6Gbo/ZUUNdKPFGfd5FX1ovv/BL65SU1svrGoPSfpaU1suPp7TOPGMO&#10;ovoeT2m9Zc9N3/XGoO++ltZb5vzEm970Wkm+5PxdZcYaRPU9ntJ6y5ybeB5arptRBQl9jicorbfM&#10;uQniDXF6nfTddpP67lNpvWXPTTDWYDvV93hK6y1zbtra3dK1tG19jicorbfMuSlZNvBqM2R7zA4b&#10;4kKJf+zhAi6V/I89/pEky+//AQ1Z1xgMeTyL1BUb2nydZr2HfgnalkWOJxji3PRdbwwW3dchzk+p&#10;nmb5KK6ZaJHjCfJjWvbc5MYYRC16PEOdm7yeZrnrplFqk8f0w9aixzPkuYk3wGM6H6lFj2fgc3Mv&#10;OUtahgoUhrDo8Qx1bvLzMvS931DtMTvOhQKwfdpigHHQHtOLCwVg+7TFAOOgPaYXFwrA9mmLAcZB&#10;e0wvLhSA7dMWA4yD9pheXCgA26ctBhgH7TG9uFAAtk9bDDAO2mN6caEAbJ+2GGActMf04kIB2D5t&#10;McA4aI/pxYUCsH3aYoBx0B7TiwsFYPu0xQDjoD2mFxcKwPZpiwHGQXtMLy4UgO3TFgOMg/aYXlwo&#10;ANunLQYYB+0xvbhQALZPWwwwDtpjenGhAGyfthhgHLTH9OJCAdg+bTHAOGiP6cWFArB92mKAcdAe&#10;04sLBWD7tMUA46A9phcXCsD2aYsBxkF7TC8uFIDt0xYDjIP2mF5cKADbpy0GGAftMb24UAC2T1sM&#10;MA7aY3pxoQBsn7YYYBy0x/TiQgHYPm0xwDhoj+nFhcIuqOv62bquPz48PPxcvgwuAm0xwDhoj+nF&#10;hcI2Xbt27cmbN2+e5WXRgEgQxUWnLWYVbW3pjRs3buXrAt20x/TiQmGb4hf/9evX63zZIuYFUeF9&#10;6rr+9PDw8Eq+DMZAW8wqSm1cbF/rur798NpAF+0xvbhQ2CZBFJzTFrOKtjauruuXutpGYJb2mF5c&#10;KGxT3yAq3Ah0DVHJg6iDg4NH6rp+PdxU1HX9dj7EJf4yG9dLXnezwVZoi1lFRxAV2sb7r8e2sq7r&#10;vbquP0zb08PDw8fja7GU2ua8Pc7b5eY93nn66af/67qu38+Xp+a958HBwaNpHaW68qGMet5YlfaY&#10;XlwobFOfICp8YZe+MNNt0iAqCaDuB0SlG4xkvftfuM16voDZOG0xqyi1cUHeExXayibQKA7969HW&#10;ztSX15W8x8z7pnX1fc9U/n75+jEoKwVs0Jf2mF5cKGxT/gXYR/xlMg120iAq/5IPSjcYsR5ftoyB&#10;tphVlNq4GLikbVzptdIPSlHTnr5z9erVz5TazNJreaBTWq/ve6av521/Wx35yARYlPaYXlwobFM+&#10;DCOW0hdoVPrijDcG+a+fUekGIx3KJ5Bi27TFrKLUluZtXlAKcLp6b9L180AoKL1WCmLydrvvexZe&#10;v19vrCP/Ea7U3sMitMf04kJhm/r0ROXzlpIbhJmeqLqu/49SfV1fqun4/vyLHzZFW8wqutq4VClA&#10;aQtGgrzevKe/VF8e7ARtQVSf9wxKQVdpPlVXAAl9aY/pxYXCNs0LopIv3vs9U/mXcZAEUf8snw8V&#10;lL6Uc/ELOd8WNkFbzCr6tHFBKegpBShR1hM184NWXleyTa8gat57Jq/NDPHrCsRgFdpjenGhsE3z&#10;gqjSF23+ZRykX9rJuPn7X7h9bzD6rgdD0xazir5tVylAKbWpURq8NO3xBz3fozOIyv+fygOmtu+J&#10;0lBCGIL2mF5cKGxT25djlE8kDuLwu7YgKvw/1hu/XEvBWHPTUerhap2PBeuiLWYVqwRR8fW8LW55&#10;rZjePN9uXhAV1yttm742r13O1w/yth0WpT2mFxcK2zQviAryce8hEGp+qWwNouJrad3x/6HEbdPX&#10;mtd98bIV2mJWsWoQFcT2OGkP8x6rYs9PXmepPS4FUcG898zb/1JbXahDO85KtMf04kIB2D5tMWNX&#10;Co4Cc5PYNdpjenGhAGyftpixK40cSHqYZoIruKi0x/TiQgHYPm0xF0E+dM7wOXaR9pheXCgA26ct&#10;BhgH7TG9uFAAtk9bDDAO2mN6caEAbJ+2GGActMc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cBn8/6NYvukNR0gJAAAAAElFTkSuQmCCUEsDBAoAAAAAAAAAIQAsOovkqykAAKspAAAUAAAAZHJz&#10;L21lZGlhL2ltYWdlMi5wbmeJUE5HDQoaCgAAAA1JSERSAAADUQAAAeoIAwAAANLJNAcAAAABc1JH&#10;QgCuzhzpAAAABGdBTUEAALGPC/xhBQAAAuVQTFRFAAAAAAAAAAAAAAAAAAAAAAAAAAAAAAAAAAAA&#10;AAAAAAAAAAAAAAAAAAAAAAAAAAAAAAAAAAAAAAAAAAAAAAAAAAAAAAAAAAAAAAAAAAAAAAAAAAAA&#10;AAAAAAAAAAAAAAAAAAAAAAAAAAAAAAAAAAAAAAAAAAAAAAAAAAAAAAAAAAAAAAAAAAAAAAAAAAAA&#10;AAAAAAAAAAAAAAAAAAAAAAAAAAAAAAAAAAAAAAAAAAAAQEBAWVlZWVlZWVlZQEBAWFhYV1dXWVlZ&#10;VVVVVVVVWVlZWFhYWFhYWVlZVVVVWFhYTU1NWFhYVVVV2dnZgICAgICAf39/f39/f39/gICAgICA&#10;gICAf39/f39/gICAf39/f39/f39/gICAgICAf39/gICAgICAgICAf39/f39/f39/f39/f39/w8PD&#10;rKyslZWVkJCQpqamwMDA1tbWoaGhzs7OxcXFr6+vvb2909PTyMjIm5ubnp6egICAgICAf39/gICA&#10;f39/gICAgICAvwBAxwA6xwA5yAA5xgA5xwA4ygA1xwA5xwA5yAA4xgA5xQA6xwA5xwA5yAA3yAA5&#10;xQA6xwA4xwA6xwA4xgA5yAA5xwA5xgA5xwA6yAA5xwA5xwA4vwBAyAA5xgA5xwA5WVlZWFhYSUlJ&#10;WFhYvwAAxQA2xgA5xgA5xQA3xgAzxgA5t7e3z2GAzERrz2yI2NLUzD1myBRI0HOO18vPmJiYjY2N&#10;pKSkurq60dHRzU9z1bS90oabxwU81au31sDGzEJpxwk/18fL0XqTyAc+z1l7177FhYWFioqKvwAg&#10;xgA5xwA4xgA5xAA3xQA3wQA2wQA1xgA4xgA5xwA4xQA3xQA4xgA3xgA4swAzxwA4wgAxxgA2xwA4&#10;xgA4xAA1xwA4xQA4vwA4xgA5xgA5xQA1wgAzwwA2xgA4xgA3xwA4xgA5xAA4xgA5WFhYsrKyk5OT&#10;1r3Exw5DgoKC0o6hWVlZWVlZWFhYUVFRWVlZWFhYTLWv1gAAAPd0Uk5TAASy/4A89BX5Nq8KYpLF&#10;c4adR8ArXSHuzR2/0gjhd7imno1YhGjM11BkQqIgVHzabauZUj4ZJGVZLwSy/68I4ViNPCHugGL0&#10;Fc0K+Tb/IGCfv6dAGFjf/0iX189QEI8IgHDnh8fv9/////////////////////84eLcorzBoCIC/&#10;j3BAGJf/p1Aw39c4r1ggx2goh/dIn8+3YBDveOfMXQ7nBEK4110o7v//////////////////////&#10;////////////////COH5NjxYIR2yr41zgGLNCvQVR8zAK9p3IJ2iPhkv0nRtxVKrs////////9eY&#10;NxN5Gl3Hu7kAAAAJcEhZcwAAFxEAABcRAcom8z8AACVMSURBVHhe7d15lBzHfdjxWUxAQSIMUzAJ&#10;hBRgSZQtJqST2M6NHexyTwAkcSwWB0ECxAIgKSqO5MSxQ4AAuEssOaQpHqJEUSJFyBZ8BFJu577s&#10;nBTNIDJiRk5kRZGTOJdzn3/n1dHd1dXV10z3TE3v9/MeFjs1vdU1Nf2brqquqW61AAAAAAAAAAAA&#10;AAAAAAAAAAAAAABr09i69m8zH69v3/Ce1CdzFNw8tovS3DtxpwIDZx+KA4uosXUb3it+L/IXJvdO&#10;3KmVWN9+3412GoZsY1scPeGDG94z9l2bvju2RdJNm6T32+/mZpX+PTeLB7fo59M2zmcfiuJwD3dh&#10;P5mj4OY6aLds/e03in/20zmsneiaLLjrgm69rd3+gH7Htm033ruiNrbl69L/tVo3yZe8uS1t+t6y&#10;rxm2LVuj93tsXft9IiHnUBpbp6o/sdlGlS7f5rF16uBM3TiffSiKwz3chf1kjoKbB6fB9e0Pbi/f&#10;/rN2omuy4K6L2bK1/aEPBx+Ct/eSsRVRG9vtj0RvnX7z0IexddHBvmXrhve2tq1rf5+1TU9u6iWI&#10;YuxDcWCtPnXqFgeaJaebZe1E12TBXRdzuzj+N7bfJ35f31MNxyNqfVsVTj0c27w1+xWiAKPZF7YE&#10;/GAfioOMKLecp907caf2RvXwVIO0pzafFVFbtqrgDN/6IMLQu6jZV+VbXwW7PERUa5tsi6qfPbX5&#10;4hG1bXvwGRpE1LbtOsTQu9uDWpWNvvAAGPv+j7bbd9yiPxjHvn9ru/09v0NuN/Y7P9hut+9QYw1j&#10;69ofEb1l+Td3iif0Vvo9im1sZKqJsRD1jOjDJbJWx4za+c3BQJxMFf/pdLVN9n6szcOsgxiJ7SLo&#10;VMgXEL0mMzm+u8ydhBVqV9vYTVvb7btU8Vtjm40Sm/UYY5yjEm2+RJYqmzve/wOxzYyICvq6RkSp&#10;twF9WR80+3RbOjwO2nd8VEbK2LoNv+s2dTCJZ7Ztb7c3bNrabn9Ajzz87q3ttgyHdeIJvZXOLbFx&#10;kKm2ZavsGOtfElvLDbfpnW+yIuounS4ySPyltR9rczui4rswQsd8TZtF/nds2vR+e3fZO9H/JUoo&#10;qy0YCggKIA7neD3GyX7UejmAZLf57CzHvku/jHiP0Iio25MN/m3bXXtFKUEl6v/1AbC+fcPNrdbY&#10;TTKi2u0N33tj69bt8h3Y9nvkEKtuLconb2mN/YB4t+UbtDkYPZIRFdvYyFQLPxPlySqRtdzwdrGD&#10;1p23ta2ISi+Ucz/m5nZExXchqeqIv6aw1RffXfZOgoiyX5vcdLPuyKgC3Hqb+Lv4PuPWt9sf+vBW&#10;OdRpP5nMsi3Oh3dagw1RRP2gMbAXRJQe+kNfdLNPn6v0AaDHk4Sxdbrq4wfQ7eEHanCW0W+QeiJ4&#10;j8yNjUwDutkXHuJSmLVIC/aq2yjRcZpeqOR+rM2tiLJ2Id0ufrVeU6IfpZID7p3EX1r02tSm6vUH&#10;p+qxH3qvvU+LiPoP3Ox4hY4s1W6tsA8j6o5gVCJKHbtJnSXRn/UqJvQbGJ6jNgTt+PCQiDeyY41E&#10;M4SCzogZUeqRkWlAnxnjjZhY1mFXK9GPkqmuQiX3Y21uRZS1C/WbKJD1mhIRFX+R7p1YEWVVW7Cf&#10;KGNrn05btt7wntadHw17kUJqlmFHWTLPUdH5KLweZW6KHqnxnW3b9cdkeBy0P6BHIsJDQr83Y3f+&#10;8KZNm+zrl7e322pCg2pmBAeGtXGQaUjlmbK1yDo8INwRlVIoaz/W5lZEWbuIAt16TcYxbu4u4N5J&#10;FGfJ1xZ8lJgHvbVPF9nmW9/e8KEPGpukZmmGqxlR8X6U7HG5RkNQnqzy4GgJ3hg5aCXa5caBot6N&#10;zar/qwe9zIgKP+iiiIptbGQakp+oQbfAlXVeRDkKldyPtXluROkU6zVFERXfnebeSZDqem3R4R+d&#10;Z619uog2nxr2M4bQU7NMjaht28Nn4idb9Em24oN3IDosZJvdbCKp42x9u32XGJC1mi9W40I/Hd9Y&#10;0JmG5NlAH6rOrPMiylGo5H6szfMiKhj/tF5TGFHJ3Qnunej/nK8teUJJ7NNBtvm2bVf1G77G1CxT&#10;I0q88frPiahKiWZ/0OgzI0pUtDqBqBTVPQjeKjui4m+cfjq+cfCM2WeST+lwdmZdqB+Vtx9rcyui&#10;7H5UOIZsvSb7FJYWUa5+lPO1BYd/vB8V22eSOqGriRNbtqZFVH4/Sja2wxdqboN+bWzf8HuDNyAW&#10;UfLNCQeR1BBGcDJTb1S0eXhpSQkiytw42DAWUVu2bvh9OpydWeuBE3HJJh5R6YUKMzYjytw8mM2o&#10;B/esXUS5WK8pvHTn2p1rJ7GIcry2oJBBAcZu+oi9zyQ1zidPVBnnqHA+UdpYn/wv6EoRUdXaIpr4&#10;utrVGzP2Q7IH9YPiCJMXOr77xuDKhvroF9cP4xEl3h3Zsf39N4lL/8GHoLGxmWlEZK/fT2fW4jgV&#10;F4u2Jq9HpRTKsR9rc/Hh/H03mte4zF2EgWO/Jnlwjv0Bu6ApO4lHlPO1BYe/LsCtt6lPB3OfRmEU&#10;FUq6H7UxipZkluIliu5bLFjiERV0pYioaslDQb9vOqLErANx3V591n7IuBgvLv6LCQmb7IiS1/03&#10;BRf71XsU29jM1CDGmVQe7qxlvLfbG/6gnM4WHqcb/lBaoRz7sTaXm0R5WrsIxgbETPzYa1J/pSbE&#10;GQVN2Uk8otyvLTiR6gLIa7J2PcYjKry2u7G94Yc/HP/QiGUZTMOIz+uwIkrsWH3yEVGVWh992AbH&#10;gZgZt0FOERMp4rNVPRJNEznHT00sMyKqNaYmkt31h8UD/R7FN44yNWxTUwxkDs6sbxXzae66WU0Q&#10;jSLqvSLdXajEfuzN1fZBntYujIiKvyZ5itkgv0Zo7i5lJ/GISnltQdNUPhtcrojXYzyiomu7t4hX&#10;EO0+meVmEZWbbomHihVRepYEETVIZtAUx3tUCXvq6pat8VMORlBvEeWcQ4OyjIvKaIqeIupWJjFX&#10;QY0/oFl6iCjRE+FQqED5BZngvx4iamO0YA8AYJTtGO90OjvDhxOTnU7n7tgWAIqb2tlqTYchNTM7&#10;12rNE1JAX6Z27da/7LlHnLbETwC9mtcRNTE5Jx/ee5+9BYDignPUzKxs703T7AP6IHtPgg4lZ0Tt&#10;BUaffVjXYsd40I0iotBw9mFdi6mw20SrD+ibMVium3+MTAA9m+/oTpRs/zF6DvRlOgwo8Zt8xCkK&#10;6JWchKTmIcne03Sn0yGggAoEl3kBVGBikgE+oDrzDEcAAAAAAAAAAAAAAAAAAAAAAAAAAAAAAAAA&#10;AAAAAAAAAAAAAAAAAAAAAAAAAAAAAAAAAAAAAIA1ZmKy0+nc7X4EoKSZ2blWaz4IovgjAGVN7bmn&#10;1doxLn4mHgEoaWJyTvw3f+99yUcAypqZlS28adXQiz8CUJYOHud/cXuB0Wcf1pVzhhIRhaayD+vK&#10;0eoDqiSHy8OxiPgjAGWpkfJgvDz+CEBp0x1xTVeclMRv0SMAPZnudDoyhGTvKXwEoD/zu3bbSQB6&#10;NTHJAB9QnXmGIwAAAAAAAAAAAAAAAAAAAAAAAAAAAAAAAAAAAAAAAAAAAAAAAAAAAAAAAAAAAAAA&#10;AAAAwEDt239g4eCinQqgvEOHDxw5Ki3cbz8HoIxDh489oKJJefC4vQUaZ8d4p9PZGT6cmOx0OnfH&#10;tkBPTljRpDyw394ODTO1s9WaDkNqZnau1ZonpPp04vhDD9qxFDiy/6S9ORpnatdu/cuee8RpS/xE&#10;b5zRtLB0Snemjh49evoUMdV08zqiJibn5MN777O3QBEn7z/zcCyShIUlNcq3P4qpR5ZO2H+KRgnO&#10;UTOzsr03TbOvPGc0PXzGHN87Hp28HjlzyHgCDSN7T4IOJSKqrMUlZzQlWnfHF8KnH32ImGqqHeNB&#10;NyorovbC7WOPfTwWScIf+ZE/+gl7O+Vjxsaf/FH7WdTNPqwrMt3pdKK+0lT4a1arzy4a9u7d+8f+&#10;uCuafuxP2NuZfvwnom3/5I/bz6Je9mFdB2OwXDf/GJko4vGz5x41I0l44KHjBcYcnjgQ/cX5x+1n&#10;MeLmO7oTJdt/jJ4XcsEVTccOF+4Z7TsQ/fkCE/4aZToIKPmL/MEpKtOFU+cfiYVSyWhSDj0UxdTD&#10;TE5qDjkJSc5DUp2neA8LFlc0HTmwf5+9XRGHlqKsHmRyUvMEV3mR4omLB0/HQqmPaFJOnI0yPEJM&#10;NczEpGN8D5ormk4fvNhHNCknT0XZMjmpWeYZjUixb/8BVzQ9YW/XI2Ny0umzBQYKgVF28mx0wGuP&#10;nK8smpT9xuSkpZIDHMBIOXkuFkxHHzl/6oK9TQWOR3OYmJyEBosF1KP1RJOyaEz4O9B39wzw08Hw&#10;KD93tu65DY+fD2Pq6IFqm5WAH9RkoQFEk3IhDOCjR8/XdzoEhkQH1ABXMNpnTPhjchIaRh/dAwwo&#10;a3LSApOT0CDH1GE98KkMh84Yk5OIKTTF0pACSkxOMib8MTkJzTDEgLImJx1hchJG33ADSsSUOTnp&#10;FJOTMNp0QJ210wdqf7QkLauRYaRdVMfxkp0+aOZqZExOwsja70lAtVqt+43JSceYnISR5FFAiQl/&#10;5uQkYgqjRwfUGTt9aC4YMcXkJIwaHVAH7PRhMicnPbywsHBmSViU7G0Br9yvJgF5FVAipo4lFjMz&#10;PbognJeBdkoGGpPX4QVPA0pO+EsswpTviIy0AzLSDstIYxQeg+RvQFmTk/r04MKBwXxBBWubDqhz&#10;drovThiTk/r2APdaRM0e1wHl85G2T7bdLsp23EHZpuv9xPUIV7hQpwvq2PQ6oFI9LiPtrIw0GWjJ&#10;+1m5nDtsZwRUZKQDKs1JGWjHZaAdk5Fm37/+yFmmN6EOIxFQTy6vrDx1afVpO7204+YiT4xSoHo6&#10;oB70e3T5ma628uzycz9pP1vKPnM0nlEKVGyf+jaS5wHVej6IKOVTK8sv2JsUd9JYy5ZRClRqRAKq&#10;9WI8ooSX7G3KeNy4MRyjFKjMqARU6+VP2QHV/ZS9TTmHzHXdGaVAJXRAHfE+oFqt1gvPLT+7YkbU&#10;p60NnnxlefUzVlo2RilQrRM6oEaoI/H06qXPrshO1aufs556TcbZ57+w/PrqG9ZTqRilQIVOqP75&#10;KAVUYPWl5ZetpJ80z1+vrry2/Dl7CydGKVCVEQ4olxfMiFJhtWxv48YoBarQsIByDgc+Z2+TglEK&#10;9E0H1CMN+rL5555Z+WI8ot60N0nHKAX6clItNdSkgJKeXH1p+cVP64C6bE1aemOl27387Go8McQo&#10;BXqnb2HYuIAKvLz65lMrX7Bj57Mq0D7/upUeYJQCPWp6QKUIL2ddfjNtfJ1RCvRAB9Sja623cCmI&#10;qG731WfSxtYZpUBpOqAGe8c1Hyx/Poqp7ot2ozDEKAVKGfw9QT3yejBsITpUqaPrAxilOLl4fOkh&#10;+VVIsQjhflYgHF1rOqDEpeBno5hKG6OocZTi5OL9S2fSv7r/wMLCwjnxxePji4uLa6yfO6LWekCJ&#10;kcCnwutW9lOmikcpFhfFQhhRjkWJtXQPBkvpVhfZqIhe9rjv42O0vXFJfYXxVfuJuEpGKR5fPLt0&#10;biFzZdxy5Dq6x4JFdP363sCO8c7O4PeJyU6nc3f8+eY5o96U4d3C0BvPibH09FZfoPdRiguLp5bO&#10;VxlJ6U4vHOgt2is3f++XgoiamZ1rteabHlJDvyeoTz5zqdCCFWVHKZ5YvLh0sMBiggvnls7KBZvu&#10;F0268wsLC0bPrbQH7WIMxcTkT40HETW15x5xzhI/m4uA6kmxUYp9i/uXDi7kr3378ILoEtl/HRLr&#10;Dx4OFh80Gp157HyGYmrPTwcRNTE5J/6bv/c+a5sm0QF10U5HroxRikOLh5cOFDj2H144s3T/Yu4p&#10;LkGuPCjW0pVj7WnnviP2nw3DzJfv2xFE1MysbO9NN7nZd1bVvSe3MCzqys/8bLfb/bmfN5L+1M9e&#10;tVIq8uRq6lXf5CjFicXDS8cS62omPbjw0NLxSgcQDgWr6B4QMSZ3cjr9pDc4IprCiNKh5Iyovc3w&#10;FfUGP2ane+6repz7TydS/kxsuwr82T/X7f75v/AX7eTQj/1CPFay/aWP/+XH/srH/qqdydDYh3X1&#10;pnftriqiHvv4Y5+w03wzogG196t/7a/v3fs3ut2/+bfMlL/9d7rdX/yl+JZ9+7syUP/e3/8H9hOh&#10;H/2Rf2gHTsI/+vgnH/uKR5EUsA/rikx3Oh3VV5I9p2pafafEub18A3mg/LprdVlvfa379i/HUt7p&#10;drv/OJbSv2V98suY8hcfpYg5vXBw6eJavgQrYkuSMSQHz3sdmZBtaT9vZhbQAXXMTh8RyYi6dtVO&#10;6d/L0cq1n85YXzM2SnH06CML55cucrNSLTxHqXHzHkfP1S3NfR6Tvl+9+X5Hfbp/8vVu91fiSe90&#10;q4+o1svGlL/nL6V9h0qPUjy6cG7pFFPvLDKipjtz+kdvp6jWE/Izy+OvG3l9T9A818Xx/bY1sncl&#10;GWOVMKb8db/4VNp3qJBKR5Ro+EU9rPJUm8rbpVlHOqBURHXf/qexxFpOUVIw5U/GVKFJFbDN79pt&#10;J5X1kDxkz9vJfhjtgBKu/PzVbvdXjYRr1uNqvRR+h+qL9lMoYGKyl/G9uJPq+y5ejqQFd632fDDS&#10;IMbxrJG8d7vdf/aN8NFbX6unzRd6IVj8z34CBcz3NBph2admh/hw5doyErcwjHNE1LWr3V/758ED&#10;0Yky4qsWLz/zarfbfcZOrs4bq88tP7WysrLyYsaw4lqmRtNOe3c5YgQDyuUdM4au9xBQjslMrSv/&#10;4pvdbvfXv2WmRd649IVLdloVnhaRZC54kVyo85Xl5eVLq6sZc6LWAjUN9WHPjtyRD6i3/uW3/1Wr&#10;9TOq33Ttqvj5btc4XxWlxjdijUVxqkucDGv3kjj3xX3e2kTdZSR8dmXl2bV5GlNTFh+yk4dKB5Rv&#10;cV6C6DJJ31Fnql8JA6Hcier6b3xLxqIxQni92/3ON1pX/nWJXCpwOYqVwEp8izfs57vd7ivxTcTN&#10;svRpLP2q2cjTd2M6bqcPke7d+X8Lwwz/5pVvdrtv//q/Fb+/I85UvUWUFJt6ce1qvaMbn1l9ZfnZ&#10;lafsIz55ivqidUvhJ+0NkkFn3Tbh8spr1oLUzfC4utDrz3yUkbknaFHv9nkRKhZRPWT2Wrf7bO4d&#10;tVUkhaci+1aM4V3vP72yvCxOMquJYAjnF0aejW/xtP18ouXYDGLG7NGjD/jSxGpcQF35en9nldhk&#10;pitfL90bU2vSZk35a3022aizAubJV158avm51SfjqXEvLC8vPyPGAYMJHJet26EmI6qh4/xqoaGD&#10;dvJwNC6gWteulo0Bgz2Z6a2vdX/z333THv7LFJxe0qf8GetABy5nxk4BT66uJuNP3xQh8ry9RTOc&#10;VN/oPGWnD0Nw12rvxvN7d72fYTl7MlM45FF88sVq2AcSU/6edoxuJ+8K92rqurX9eeHN5eXl18R5&#10;TO7mcqIoDfGEHArwYc5s425hWIHYZCbRp/r2N8S4fPET3+fsNp09YGCeOp5feW359eTZBeUcV8fx&#10;0FdPI6CcUy+MyUxvfU2F0vVSAxSvxy7NdrvWqeHJlSCSmLZeFTVndsFOHjACyh1RxmSmYGSiXES1&#10;Wquxll3WKAUq4cWc2eAmu2s6oFzMyUzXZbT1MOSnpvxJz9Ooq98htQbiMC/06qhea7cwzOKYzKSi&#10;691eZrG/8eblbvfVlRcvJS4loQaLwz4/rNF7gmZKTmYKp/r9ZslTFAZOrTQ5tLl0BJRLYjJTq3Xl&#10;FbGQ5rfLTmXC4KmVXIa07hABlauH+UcYKj1ndiiLIwV3rfbwu4++6HcyEwbvwtDmzOpRvjV9C8M8&#10;fU1mwnAMa3EkAqqAviYzYUjUnNlBL45EQKGp9CWhwc6ZDS7s0odC8wxhcaR9auY7o3xoJDVn9vTg&#10;5szqr28QUGgodVv2hUFd6CWgRs2/T3w3K5kC00AXRyKgRo1YaToeP8kUxAxyzuwTzfvGbtNd7/4H&#10;K36SKYhTiyMNYs6sXpePgBod167+2n+0b49gp8A2qMWRCKjRc737q3rGbnpKIfHOl/qaZS+r7o4G&#10;NWe27vvMEFCj59rVt385Hj/JlEKszlfTI0ovjnTRTq+UDqgHBzdQj37J2bqx+EmmFGN1vt5p+rz6&#10;AdxQVN8fqkHr8q0B8sCPxU8ypRC789X4iGodVg2y+g53AmoEqS+UmPGTTCnG7nw1P6L04kjn7OSq&#10;EFADFxsKiBbSzOu5mEszvSN/MUMhmVJIovO1BiKq3sWRdEAtEFADEx8K6C2i3g3+KFz9LJlSRLLz&#10;pfbyc99p8nf965wzu3/k7rE7+pzXYfViMEUl4yeZUkSy89X0sT6pvsWR1BcbCahBsocCpCtf76Wx&#10;pUNBLXZmphSV1vkSq6iVCfCRU9cNRQmoIbCHAqRrV8vfHi4MBeP8lsw5Ibs7Fm3UQ3lGiFpNpeo5&#10;szqgzhNQA5QYCpCuJ1KKiCKqxDkquzum9RbhI0QvjnTYTu+LmuJU+4QMmJJDAYKxnHoPel/sLDWi&#10;SnbrRlANNxRVTUkCarCSQwFCT0s9B/pe7Mzsjl35T2JFT9GPKjG+MZIuysO/wjmzBNQwuIcCYrf3&#10;La3vxc7M7lh42++8xuPoq3hxJAJqYPKHAvobB+h7sbNYd+yKXI36N75lb9Q81d5QVAfUGTsd1csd&#10;ChDnhT6Dogq9d8eqMzPb6XTm9IOJyU6nc7e1RYXUhd5q5syqE15d8zCQyhlR73hxPbXv7lgF5s0A&#10;mpmds1KqVt3iSATUcJlDAT0PnVet7+5Y/2QMhab23NNq7RgXP+tS1Q1FCaghi1+ZvXbVg+ZWBd2x&#10;/s3v2h09mJiU4TV/733GFhU7qRZH6rfzowOqoh4ZyotfmRVD572PSzRI/Hw0Myvbe9N1NvsqWRzp&#10;pPqi/XBupQOTD0MBPtkx/lvjnU5Hh5UOpXojqoI5s/r2UATU8PkwFOCViUnRwpuYVCGVFVF7q/Of&#10;ZTj8l0/Y6UV94hdUQH3FfgID91//2y/+kp3mM/uwrsh0p9NRfaUd4zvFf7rnlNXqs4vWj5+QAfFJ&#10;O7kgHVD/nYDywFe7/8NO8pp9WFdO96PCiKp/ZELo64aiJ9TQBreHgpfUWN+UGvFT8VXv6LmkF0fq&#10;ZXly7rcGr83M7hTNvDn5T/2o/RTVzw1FCSh4Tk5CujvoPEU9rJodk4FRes4sAYVREbvUWz+9ONJZ&#10;Oz3bIX1H0F6ai8AgTUw6xvfq1MviSNweCiNjvvbRCFv5ObMEFJCh7OJIBBSQqdwNRXVAHSGgALdD&#10;KkaKzZm9oCbYcnsoIJW+oWiRxZG43xqQr/ANRQkooIiDMlByFzPSAfUAAQVkKrY40qK+I2j5SUvA&#10;GlPkhqLcbw0oTF3ozZozS0ABJeQtjkRAAWXk3FD0ODcwBErZp67dur+gwf3WgLIyFkcioIDyUufM&#10;ElBAL9SClok5szqgDhBQQCnuxZG4PRTQI9cNRQkooGeqgfeAcdGJgAL6YN9QVAfUsdhGAAo6qZY5&#10;CubMqpkUqdd9AeTQNxRViyNxvzWgX8biSAQU0L9wziwBBVRBLY50TAdUb7fuABDQNxQloIBqLKqv&#10;bhBQQDXU4kgEFFARNWf20WKrYgLIcUIsjsTtoYCq7Dty9HSpW+AAAAAAAAAAAAAAAAAAAAAAAACM&#10;lOlOp9OZCx5NTHY6nbvjWwAobFrEz3QQUjOzc63WPCEF9Gpqzz2t1o7xnbFH4ieAHkzt2i3aeiqi&#10;JibluWr+3vvszQAUMjO7a/eOcRFW8oFs78mWIIBezMx2OrrNF4SSM6L2AqPPPqxrMN/5n7Md3XHK&#10;iCi7ZMBIsg/saogRc91XmhL/T+uQymj11VUUhKji+tVfx3K4PByLiD+Kqb8oax5VXL/66zgeQ2rc&#10;3Dl6Xn9R1jyquH711/GOcRFLM7M71VVe+cN1ihpAUdY8qrh+g6jjKT0LSXWejB5W3CCKssZRxfUb&#10;ZB3P62tSKQZZlDWKKq7fAOt4YjI5vmcaYFHWKqq4fgOs43nHaIRpgEVZq6ji+nlUxx4Vpamo4vp5&#10;VMceFaWpqOL6eVTHHhWlqaji+nlUxx4Vpamo4vp5VMceFaWpqOL6eVTHHhWlqaji+nlUxx4Vpamo&#10;4vp5VMceFaWpqOL6eVTHHhWlqaji+nlUx8mi7BjvBN+nD1b5cyTlcvyNkSR+L5JLdjZmhjny88me&#10;/6hlZqOeT5QnWcXZ2ciVFgsVJzMbtTBCtGRjuqxsZEKxWs7Kxl4/MkN+No4p3446HpZkUaZ2inKL&#10;8oer/DmScjn+JkqSFVMgk5xsjAzzZOczJ969IsdwZjbyC2lfShQnWcXZ2Uw7jhi3zGyKvU1CdjaC&#10;/rpdtsxs4utHZsnMRr4m+f30OEcdD0tKUeTiZPFV/hxJuRx/I5NmZudcX9FPk5aN9VuuzHycXx9z&#10;Ss9mYvKngiUSIylVnJpN8YiS0rIpFAWRtGys3/KkZRNfPzJXSjZqubxg0TxDWh0PQUpRxHdArFX+&#10;HEm5HH8TfLukTERlZJP7dRVTdj5FX1RGNlN7fjp50KRUcWo2JSMqLZsS9SKkZSM4DuE0adnIECme&#10;T0o26lPC8YmeVsdDkFIUUQHWei+OpFyOvwk+7grnkZ1Nmc/PzHwKtUiU1Gxmvnyf42M4pYpTsykZ&#10;USnZOA67TCnZSMU/bFKzia0fmS8lG33eTb7laXU8BO6iyJLrl6L/cyTlcvxN2BYpmkdONmUaN6n5&#10;yJ5vFdnsdDVs3FWcno3swxc+htOy2TH+W+JVFQ2rtGyEEsGZno25fmSutGyCxR5GLqLUh0nsFTmS&#10;cjn+JvqYKphHXjYlPvcy82lNTBY8iNOzmZanhsRh46zijGykqYLVk5qNej0Tk8WCITWb6HERGdmY&#10;60fmSc9Gfvbt+V+J99xdx0PhLIoaTImddR1JuRx/Ew3TFMwjLxvHuE+azHyKN/JTs5Ht/sIRlZqN&#10;0ndpdEEKNthSs7ECPUd6NvK/YP3IPOnZ6OcT2bjreChcRdHDrvp0Ld8TR1Iux98YA7qFIyozm8Ij&#10;xDn5yAMn8T65pGejriMlLwu4qjgjG6Xv0ugMKnirwtZfrvRsKjxwnJ82zjoeDkdR5nWXQr0n8qcj&#10;KZfjb4IkoWhEZWZjZpgjMx/B8T455GVT8ByVl00FpVEjdclOvENWNiWaARnZlImojGz0BslcXHU8&#10;JMmiRINe4Sp/jqRcjr+JDacVjKjMbEqMz2XlI1e3UZ3ePFnZSMUiKiubHeOyNEUiISsbuVhjsRrK&#10;zKZgbOdkE60fmSsrG8n1Meqo42FJFEX2/fSkDz3lw5GUy/E3RpKcH1NkICozG/PJHJn5qPZafmHy&#10;slFbJEqTqOKcbKoqjazkAh9bOdkUbVjnZBOsH5knOxuRi+vwS9bx0HhUlKaiiuvnUR17VJSmoorr&#10;51Ede1SUpqKK6+dRHXtUlKaiiuvnUR17VJSmoorr51Ede1SUpqKK6+dRHXtUlKaiiuvnUR17VJSm&#10;oorr51Ede1SUpqKK6+dRHXtUlKaiiuvnUR17VJSmoorr51Ede1SUpqKK6+dRHXtUlKaiiuvnUR17&#10;VJSmoorr51Ede1SUpqKK6+dRHXtUlKaiiuvnUR17VJSmoorr51Ede1SUpqKK6+dRHXtUlKaiiuvn&#10;UR17VJSmoorr51Ede1SUpqKK6+dRHXtUlKaiiuvnUR17VJSmoorr51Ede1SUgkreF2n4Rq+KR49H&#10;dexRUZzUYuJmEBFRfVJVWmAxyhHiUR17VBSn5GLOQUSVvHHZ8PhWxbLiCt6+eFR4VMceFcWJiKqc&#10;qrhCtxgYGR7VsUdFcYoiSix5LZoqIqJ2jN/7JbUStlgT2/Njw7cqVhElVuif3/W/ZztzxgLpcnHy&#10;zlxrfs//mdQNw+DJiUndVhSNRu/Obx7VsUdFcQojaiq4j+S8vqGrPDDkwv3T3r3BMb5VcXSOmper&#10;8ss7X8iqlWkiaV58SslbCERP6igUvxe/o9SgeFTHHhXFKdbqkzdemd+1O7oBtL6fuNd8q2JZcfKW&#10;MfKHvpvI1J57ZGXKHzKsxG/Rk7r6VYJ3o0Me1bFHRXFSA1P63i/y7ZzXzTx9jvJ/0Mq3KpZVGrb8&#10;jJulGRElaljUduxOaiJV3crTuz6sR3XsUVGcwnOUuomQPEf9X5mm39Up+lElReGgI0rWsEiNWn1R&#10;RIVPqujSd/4iolJ5VBSnIKLkzSPVOWrX/1O3Eg/e1ZlZv0PKtypORFRwGpIfWuHZKHGOkk0/HWK+&#10;8aiOPSqKUxBR8q3VEbV7YnLPPcaB4V0bJM63KrYiKuoqzXw5fCKIKKMfpd4JTzuuHtWxR0VxCiJK&#10;DkpMqVbfbjkCJWNsWp65itxic3h8q2IrotSYnvyhBs/VeGrYa9VPBrWsRgB9q3GP6tijojiF/SjR&#10;gJ+b0hEl39d50a2aL3jP2iHyrYrtiApud6vPP+pCVRBR4ZOqAyXPVR7WuEd17FFRmmpkqliNiXva&#10;U8rmUR17VJSmGpkqlu0BefV85HhUxx4VpalGp4rllSrvWnRFeFTHHhWlqaji+nlUxx4Vpamo4vp5&#10;VMceFaWpqOL6eVTHHhWlqaji+lHHAAAAAAAAAAAAAAAAAAAAAAAAAAAAAAAAAAAAAAAAAAAAAAAA&#10;AAAAAAAAAAAAAAAAAAAAAAAAAAAAAAAAAAAAAAAAAAAAAAAAAAAAAAAAAAAAAAAAAAAAAAAAAAAA&#10;ALBm/H+XnH3k8anrRAAAAABJRU5ErkJgglBLAwQUAAYACAAAACEAgchLbd4AAAALAQAADwAAAGRy&#10;cy9kb3ducmV2LnhtbExPTUvDQBC9C/6HZQRvdjcNWkmzKaWopyLYCtLbNDtNQrO7IbtN0n/v9KS3&#10;N/Me7yNfTbYVA/Wh8U5DMlMgyJXeNK7S8L1/f3oFESI6g613pOFKAVbF/V2OmfGj+6JhFyvBJi5k&#10;qKGOscukDGVNFsPMd+SYO/neYuSzr6TpcWRz28q5Ui/SYuM4ocaONjWV593FavgYcVynyduwPZ82&#10;18P++fNnm5DWjw/Tegki0hT/xHCrz9Wh4E5Hf3EmiFYDD4n8VWrB6MZz2gLEkVGazhXIIpf/NxS/&#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FeR&#10;NjL4AgAApQgAAA4AAAAAAAAAAAAAAAAAOgIAAGRycy9lMm9Eb2MueG1sUEsBAi0ACgAAAAAAAAAh&#10;AKWlGf5zQgAAc0IAABQAAAAAAAAAAAAAAAAAXgUAAGRycy9tZWRpYS9pbWFnZTEucG5nUEsBAi0A&#10;CgAAAAAAAAAhACw6i+SrKQAAqykAABQAAAAAAAAAAAAAAAAAA0gAAGRycy9tZWRpYS9pbWFnZTIu&#10;cG5nUEsBAi0AFAAGAAgAAAAhAIHIS23eAAAACwEAAA8AAAAAAAAAAAAAAAAA4HEAAGRycy9kb3du&#10;cmV2LnhtbFBLAQItABQABgAIAAAAIQAubPAAxQAAAKUBAAAZAAAAAAAAAAAAAAAAAOtyAABkcnMv&#10;X3JlbHMvZTJvRG9jLnhtbC5yZWxzUEsFBgAAAAAHAAcAvgEAAOdzAAAAAA==&#10;">
                <v:shape id="Picture 2" o:spid="_x0000_s1027" type="#_x0000_t75" alt="A graph with numbers and lines&#10;&#10;AI-generated content may be incorrect." style="position:absolute;left:30670;width:33255;height:20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XXryAAAAOMAAAAPAAAAZHJzL2Rvd25yZXYueG1sRE/PS8Mw&#10;FL4L+x/CG3hzaWftXF02hiCo4KGdbNdH82zLmpeSxLb+9+YgePz4fu8Os+nFSM53lhWkqwQEcW11&#10;x42Cz9PL3SMIH5A19pZJwQ95OOwXNzsstJ24pLEKjYgh7AtU0IYwFFL6uiWDfmUH4sh9WWcwROga&#10;qR1OMdz0cp0kuTTYcWxocaDnlupr9W0UVJv388Pbx3TeDNmJqzEtL64vlbpdzscnEIHm8C/+c79q&#10;Bes0zbZ5fp/F0fFT/ANy/wsAAP//AwBQSwECLQAUAAYACAAAACEA2+H2y+4AAACFAQAAEwAAAAAA&#10;AAAAAAAAAAAAAAAAW0NvbnRlbnRfVHlwZXNdLnhtbFBLAQItABQABgAIAAAAIQBa9CxbvwAAABUB&#10;AAALAAAAAAAAAAAAAAAAAB8BAABfcmVscy8ucmVsc1BLAQItABQABgAIAAAAIQBUxXXryAAAAOMA&#10;AAAPAAAAAAAAAAAAAAAAAAcCAABkcnMvZG93bnJldi54bWxQSwUGAAAAAAMAAwC3AAAA/AIAAAAA&#10;">
                  <v:imagedata r:id="rId18" o:title="A graph with numbers and lines&#10;&#10;AI-generated content may be incorrect" cropbottom="6371f"/>
                </v:shape>
                <v:shape id="Picture 1" o:spid="_x0000_s1028" type="#_x0000_t75" alt="A graph with lines and numbers&#10;&#10;AI-generated content may be incorrect." style="position:absolute;top:254;width:33775;height:20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qr2yQAAAOIAAAAPAAAAZHJzL2Rvd25yZXYueG1sRI/RasJA&#10;FETfC/2H5RZ8q5sYK0vqKkUsCu1DG/2AS/aaxGbvhuw2xr/vCkIfh5k5wyzXo23FQL1vHGtIpwkI&#10;4tKZhisNx8P7swLhA7LB1jFpuJKH9erxYYm5cRf+pqEIlYgQ9jlqqEPocil9WZNFP3UdcfROrrcY&#10;ouwraXq8RLht5SxJFtJiw3Ghxo42NZU/xa/VQGE2fCn6PFuP2+vuo0iP6tBqPXka315BBBrDf/je&#10;3hsNKlPpPFtkL3C7FO+AXP0BAAD//wMAUEsBAi0AFAAGAAgAAAAhANvh9svuAAAAhQEAABMAAAAA&#10;AAAAAAAAAAAAAAAAAFtDb250ZW50X1R5cGVzXS54bWxQSwECLQAUAAYACAAAACEAWvQsW78AAAAV&#10;AQAACwAAAAAAAAAAAAAAAAAfAQAAX3JlbHMvLnJlbHNQSwECLQAUAAYACAAAACEAFLqq9skAAADi&#10;AAAADwAAAAAAAAAAAAAAAAAHAgAAZHJzL2Rvd25yZXYueG1sUEsFBgAAAAADAAMAtwAAAP0CAAAA&#10;AA==&#10;">
                  <v:imagedata r:id="rId19" o:title="A graph with lines and numbers&#10;&#10;AI-generated content may be incorrect" croptop="-1f" cropbottom="7952f"/>
                </v:shape>
                <w10:wrap type="topAndBottom" anchorx="margin" anchory="page"/>
              </v:group>
            </w:pict>
          </mc:Fallback>
        </mc:AlternateContent>
      </w:r>
      <w:r w:rsidR="005B483E" w:rsidRPr="001C0357">
        <w:rPr>
          <w:noProof/>
          <w:color w:val="000000" w:themeColor="text1"/>
          <w:szCs w:val="24"/>
        </w:rPr>
        <w:t xml:space="preserve">2025. -2029. gadā vispārējās valdības budžeta deficīts, pesimistiskajam scenārijam iestājoties un saglabājoties nemainīgai valdības politikai, tiek prognozēts attiecīgi 3,2% no IKP 2025. gadā, 3,6% no IKP 2026. gadā, 4,7% no IKP 2027. gadā, 4,4% no IKP 2028. gadā un 4,5% no IKP 2029. gadā (skat. </w:t>
      </w:r>
      <w:r w:rsidR="00FF3759">
        <w:rPr>
          <w:noProof/>
          <w:color w:val="000000" w:themeColor="text1"/>
          <w:szCs w:val="24"/>
        </w:rPr>
        <w:t>6</w:t>
      </w:r>
      <w:r w:rsidR="005B483E" w:rsidRPr="001C0357">
        <w:rPr>
          <w:noProof/>
          <w:color w:val="000000" w:themeColor="text1"/>
          <w:szCs w:val="24"/>
        </w:rPr>
        <w:t>.attēlu). Pie šī scenārija bilances pasliktināšanos galvenokārt nosaka zemāki kopbudžeta nodokļu un arī nenodokļu ieņēmumi un augstāki izdevumi procentu izdevumiem, kamēr speciālā budžeta pabalstu izdevumi prognozēti zemākā apmērā kā bāzes scenārijā. Savukārt, Valsts kases aplēses liecina, ka šāda scenārija gadījumā pie augstāka vispārējās valdības deficīta līmeņa un zemāka nominālā IKP, vispārējās valdības parāda līmenis tiek prognozēts attiecīgi 49,7% no IKP 2025. gadā, 52,5% no IKP 2026. gadā, 57,2% no IKP 2027. gadā, 58,3% no IKP 2028. gadā un 59,9% no IKP 2029. gadā.</w:t>
      </w:r>
    </w:p>
    <w:p w14:paraId="12376524" w14:textId="4380B717" w:rsidR="00FF3759" w:rsidRDefault="00FF3759" w:rsidP="00FF3759">
      <w:pPr>
        <w:jc w:val="center"/>
        <w:rPr>
          <w:noProof/>
          <w:color w:val="000000" w:themeColor="text1"/>
          <w:szCs w:val="24"/>
        </w:rPr>
      </w:pPr>
      <w:r>
        <w:rPr>
          <w:rFonts w:eastAsia="Calibri" w:cs="Times New Roman"/>
          <w:b/>
          <w:noProof/>
          <w:szCs w:val="24"/>
        </w:rPr>
        <w:t>6</w:t>
      </w:r>
      <w:r w:rsidRPr="001C0357">
        <w:rPr>
          <w:rFonts w:eastAsia="Calibri" w:cs="Times New Roman"/>
          <w:b/>
          <w:noProof/>
          <w:szCs w:val="24"/>
        </w:rPr>
        <w:t>. attēls. Vispārējās valdības budžeta bilance un parāds</w:t>
      </w:r>
      <w:r>
        <w:rPr>
          <w:rFonts w:eastAsia="Calibri" w:cs="Times New Roman"/>
          <w:b/>
          <w:noProof/>
          <w:szCs w:val="24"/>
        </w:rPr>
        <w:t>, % no IKP</w:t>
      </w:r>
      <w:r w:rsidRPr="001C0357">
        <w:rPr>
          <w:rFonts w:eastAsia="Calibri" w:cs="Times New Roman"/>
          <w:b/>
          <w:noProof/>
          <w:szCs w:val="24"/>
        </w:rPr>
        <w:br/>
        <w:t>(pesimistiskais scenārijs</w:t>
      </w:r>
      <w:r>
        <w:rPr>
          <w:rFonts w:eastAsia="Calibri" w:cs="Times New Roman"/>
          <w:b/>
          <w:noProof/>
          <w:szCs w:val="24"/>
        </w:rPr>
        <w:t>)</w:t>
      </w:r>
    </w:p>
    <w:p w14:paraId="168A4261" w14:textId="4BF03747" w:rsidR="00833526" w:rsidRPr="00FF3759" w:rsidRDefault="005B483E" w:rsidP="00FF3759">
      <w:pPr>
        <w:rPr>
          <w:rFonts w:eastAsia="Calibri" w:cs="Times New Roman"/>
          <w:b/>
          <w:noProof/>
          <w:szCs w:val="24"/>
          <w:highlight w:val="yellow"/>
        </w:rPr>
      </w:pPr>
      <w:r w:rsidRPr="001C0357">
        <w:rPr>
          <w:noProof/>
          <w:color w:val="000000" w:themeColor="text1"/>
          <w:szCs w:val="24"/>
        </w:rPr>
        <w:t>Iestājoties šādam scenārijam,</w:t>
      </w:r>
      <w:r w:rsidR="00812A3D" w:rsidRPr="001C0357">
        <w:rPr>
          <w:noProof/>
          <w:color w:val="000000" w:themeColor="text1"/>
          <w:szCs w:val="24"/>
        </w:rPr>
        <w:t xml:space="preserve"> </w:t>
      </w:r>
      <w:r w:rsidRPr="001C0357">
        <w:rPr>
          <w:noProof/>
          <w:color w:val="000000" w:themeColor="text1"/>
          <w:szCs w:val="24"/>
        </w:rPr>
        <w:t>vispārējās valdības budžeta bilance pasliktinātos par 0,3 procentpunktiem 2025. gadā, salīdzinot ar bāzes scenāriju, bet 2026.-2029. gadā par 0,6 procentpunktiem no IKP. Savukārt vispārējās valdības parāda līmenis pieaugs 2025.</w:t>
      </w:r>
      <w:r w:rsidR="00FF3759">
        <w:rPr>
          <w:noProof/>
          <w:color w:val="000000" w:themeColor="text1"/>
          <w:szCs w:val="24"/>
        </w:rPr>
        <w:t> </w:t>
      </w:r>
      <w:r w:rsidRPr="001C0357">
        <w:rPr>
          <w:noProof/>
          <w:color w:val="000000" w:themeColor="text1"/>
          <w:szCs w:val="24"/>
        </w:rPr>
        <w:t>gadā par 0,8</w:t>
      </w:r>
      <w:r w:rsidR="00FF3759">
        <w:rPr>
          <w:noProof/>
          <w:color w:val="000000" w:themeColor="text1"/>
          <w:szCs w:val="24"/>
        </w:rPr>
        <w:t> </w:t>
      </w:r>
      <w:r w:rsidRPr="001C0357">
        <w:rPr>
          <w:noProof/>
          <w:color w:val="000000" w:themeColor="text1"/>
          <w:szCs w:val="24"/>
        </w:rPr>
        <w:t>procentpunktiem, 2026.</w:t>
      </w:r>
      <w:r w:rsidR="00FF3759">
        <w:rPr>
          <w:noProof/>
          <w:color w:val="000000" w:themeColor="text1"/>
          <w:szCs w:val="24"/>
        </w:rPr>
        <w:t> </w:t>
      </w:r>
      <w:r w:rsidRPr="001C0357">
        <w:rPr>
          <w:noProof/>
          <w:color w:val="000000" w:themeColor="text1"/>
          <w:szCs w:val="24"/>
        </w:rPr>
        <w:t>gadā par 1,9</w:t>
      </w:r>
      <w:r w:rsidR="00FF3759">
        <w:rPr>
          <w:noProof/>
          <w:color w:val="000000" w:themeColor="text1"/>
          <w:szCs w:val="24"/>
        </w:rPr>
        <w:t> </w:t>
      </w:r>
      <w:r w:rsidRPr="001C0357">
        <w:rPr>
          <w:noProof/>
          <w:color w:val="000000" w:themeColor="text1"/>
          <w:szCs w:val="24"/>
        </w:rPr>
        <w:t>procentpunktiem, 2027.</w:t>
      </w:r>
      <w:r w:rsidR="00FF3759">
        <w:rPr>
          <w:noProof/>
          <w:color w:val="000000" w:themeColor="text1"/>
          <w:szCs w:val="24"/>
        </w:rPr>
        <w:t> </w:t>
      </w:r>
      <w:r w:rsidRPr="001C0357">
        <w:rPr>
          <w:noProof/>
          <w:color w:val="000000" w:themeColor="text1"/>
          <w:szCs w:val="24"/>
        </w:rPr>
        <w:t>gadā par 2,5</w:t>
      </w:r>
      <w:r w:rsidR="00FF3759">
        <w:rPr>
          <w:noProof/>
          <w:color w:val="000000" w:themeColor="text1"/>
          <w:szCs w:val="24"/>
        </w:rPr>
        <w:t> </w:t>
      </w:r>
      <w:r w:rsidRPr="001C0357">
        <w:rPr>
          <w:noProof/>
          <w:color w:val="000000" w:themeColor="text1"/>
          <w:szCs w:val="24"/>
        </w:rPr>
        <w:t>procentpunktiem, 2028.</w:t>
      </w:r>
      <w:r w:rsidR="00FF3759">
        <w:rPr>
          <w:noProof/>
          <w:color w:val="000000" w:themeColor="text1"/>
          <w:szCs w:val="24"/>
        </w:rPr>
        <w:t> </w:t>
      </w:r>
      <w:r w:rsidRPr="001C0357">
        <w:rPr>
          <w:noProof/>
          <w:color w:val="000000" w:themeColor="text1"/>
          <w:szCs w:val="24"/>
        </w:rPr>
        <w:t>gadā par 3,0</w:t>
      </w:r>
      <w:r w:rsidR="00FF3759">
        <w:rPr>
          <w:noProof/>
          <w:color w:val="000000" w:themeColor="text1"/>
          <w:szCs w:val="24"/>
        </w:rPr>
        <w:t> </w:t>
      </w:r>
      <w:r w:rsidRPr="001C0357">
        <w:rPr>
          <w:noProof/>
          <w:color w:val="000000" w:themeColor="text1"/>
          <w:szCs w:val="24"/>
        </w:rPr>
        <w:t>procentpunktiem un 2029.</w:t>
      </w:r>
      <w:r w:rsidR="00FF3759">
        <w:rPr>
          <w:noProof/>
          <w:color w:val="000000" w:themeColor="text1"/>
          <w:szCs w:val="24"/>
        </w:rPr>
        <w:t> </w:t>
      </w:r>
      <w:r w:rsidRPr="001C0357">
        <w:rPr>
          <w:noProof/>
          <w:color w:val="000000" w:themeColor="text1"/>
          <w:szCs w:val="24"/>
        </w:rPr>
        <w:t>gadā par 3,5</w:t>
      </w:r>
      <w:r w:rsidR="00FF3759">
        <w:rPr>
          <w:noProof/>
          <w:color w:val="000000" w:themeColor="text1"/>
          <w:szCs w:val="24"/>
        </w:rPr>
        <w:t> </w:t>
      </w:r>
      <w:r w:rsidRPr="001C0357">
        <w:rPr>
          <w:noProof/>
          <w:color w:val="000000" w:themeColor="text1"/>
          <w:szCs w:val="24"/>
        </w:rPr>
        <w:t xml:space="preserve">procentpunktiem. </w:t>
      </w:r>
      <w:r w:rsidR="00833526" w:rsidRPr="001C0357">
        <w:rPr>
          <w:noProof/>
        </w:rPr>
        <w:br w:type="page"/>
      </w:r>
    </w:p>
    <w:p w14:paraId="1F7C64E4" w14:textId="171D117C" w:rsidR="00A840E6" w:rsidRPr="001C0357" w:rsidRDefault="00043218" w:rsidP="00B13C44">
      <w:pPr>
        <w:pStyle w:val="Heading1"/>
        <w:spacing w:after="120"/>
        <w:ind w:left="360"/>
        <w:rPr>
          <w:noProof/>
          <w:sz w:val="28"/>
          <w:szCs w:val="28"/>
        </w:rPr>
      </w:pPr>
      <w:bookmarkStart w:id="18" w:name="_Toc205905377"/>
      <w:r w:rsidRPr="001C0357">
        <w:rPr>
          <w:noProof/>
          <w:sz w:val="28"/>
          <w:szCs w:val="28"/>
        </w:rPr>
        <w:lastRenderedPageBreak/>
        <w:t>Turpmākā rīcība</w:t>
      </w:r>
      <w:bookmarkEnd w:id="14"/>
      <w:bookmarkEnd w:id="18"/>
    </w:p>
    <w:p w14:paraId="44B7C4A4" w14:textId="57609045" w:rsidR="005F7872" w:rsidRPr="001C0357" w:rsidRDefault="00C33828" w:rsidP="00A3603D">
      <w:pPr>
        <w:rPr>
          <w:noProof/>
          <w:szCs w:val="24"/>
          <w:highlight w:val="yellow"/>
        </w:rPr>
      </w:pPr>
      <w:r w:rsidRPr="001C0357">
        <w:rPr>
          <w:noProof/>
          <w:szCs w:val="24"/>
        </w:rPr>
        <w:t xml:space="preserve">Lai turpinātu </w:t>
      </w:r>
      <w:r w:rsidR="00622435" w:rsidRPr="001C0357">
        <w:rPr>
          <w:noProof/>
          <w:szCs w:val="24"/>
        </w:rPr>
        <w:t xml:space="preserve">likumprojekta </w:t>
      </w:r>
      <w:r w:rsidR="006B3507" w:rsidRPr="001C0357">
        <w:rPr>
          <w:noProof/>
          <w:szCs w:val="24"/>
        </w:rPr>
        <w:t>“</w:t>
      </w:r>
      <w:r w:rsidR="00A3603D" w:rsidRPr="001C0357">
        <w:rPr>
          <w:rFonts w:eastAsia="Times New Roman" w:cs="Times New Roman"/>
          <w:noProof/>
          <w:color w:val="333333"/>
          <w:szCs w:val="24"/>
          <w:lang w:eastAsia="lv-LV"/>
        </w:rPr>
        <w:t>Par valsts budžetu 2026. gadam un budžeta ietvaru 2026., 2027. un 2028. gadam</w:t>
      </w:r>
      <w:r w:rsidR="00400ECC" w:rsidRPr="001C0357">
        <w:rPr>
          <w:noProof/>
          <w:szCs w:val="24"/>
        </w:rPr>
        <w:t>”</w:t>
      </w:r>
      <w:r w:rsidR="00E2717D" w:rsidRPr="001C0357">
        <w:rPr>
          <w:noProof/>
          <w:szCs w:val="24"/>
        </w:rPr>
        <w:t xml:space="preserve"> </w:t>
      </w:r>
      <w:r w:rsidR="00400ECC" w:rsidRPr="001C0357">
        <w:rPr>
          <w:noProof/>
          <w:szCs w:val="24"/>
        </w:rPr>
        <w:t>sagatavošanu, nepieciešams:</w:t>
      </w:r>
    </w:p>
    <w:p w14:paraId="452B5D36" w14:textId="77777777" w:rsidR="000A2C5B" w:rsidRPr="001C0357" w:rsidRDefault="00E84F3D" w:rsidP="00A3603D">
      <w:pPr>
        <w:pStyle w:val="ListParagraph"/>
        <w:numPr>
          <w:ilvl w:val="0"/>
          <w:numId w:val="3"/>
        </w:numPr>
        <w:tabs>
          <w:tab w:val="left" w:pos="1134"/>
        </w:tabs>
        <w:ind w:left="714" w:hanging="357"/>
        <w:contextualSpacing w:val="0"/>
        <w:rPr>
          <w:noProof/>
        </w:rPr>
      </w:pPr>
      <w:r w:rsidRPr="001C0357">
        <w:rPr>
          <w:noProof/>
        </w:rPr>
        <w:t>Pieņemt zināšanai iesniegto informatīvo ziņojumu</w:t>
      </w:r>
      <w:r w:rsidR="002603F6" w:rsidRPr="001C0357">
        <w:rPr>
          <w:noProof/>
        </w:rPr>
        <w:t>.</w:t>
      </w:r>
      <w:r w:rsidR="000A2C5B" w:rsidRPr="001C0357">
        <w:rPr>
          <w:noProof/>
        </w:rPr>
        <w:t xml:space="preserve"> </w:t>
      </w:r>
    </w:p>
    <w:p w14:paraId="07324BC5" w14:textId="42DD542A" w:rsidR="005437D4" w:rsidRPr="001C0357" w:rsidRDefault="005437D4" w:rsidP="00A3603D">
      <w:pPr>
        <w:pStyle w:val="ListParagraph"/>
        <w:numPr>
          <w:ilvl w:val="0"/>
          <w:numId w:val="3"/>
        </w:numPr>
        <w:tabs>
          <w:tab w:val="left" w:pos="1134"/>
        </w:tabs>
        <w:ind w:left="714" w:hanging="357"/>
        <w:contextualSpacing w:val="0"/>
        <w:rPr>
          <w:noProof/>
        </w:rPr>
      </w:pPr>
      <w:r w:rsidRPr="001C0357">
        <w:rPr>
          <w:noProof/>
        </w:rPr>
        <w:t>Pieņemt zināšanai, ka vispārējās valdības budžeta bilances prognožu pamatā ir Finanšu ministrijas izstrādātās un Fiskālās disciplīnas padomes 202</w:t>
      </w:r>
      <w:r w:rsidR="00A3603D" w:rsidRPr="001C0357">
        <w:rPr>
          <w:noProof/>
        </w:rPr>
        <w:t>5</w:t>
      </w:r>
      <w:r w:rsidRPr="001C0357">
        <w:rPr>
          <w:noProof/>
        </w:rPr>
        <w:t xml:space="preserve">. gada 10. jūnijā apstiprinātās makroekonomisko rādītāju prognozes: </w:t>
      </w:r>
    </w:p>
    <w:p w14:paraId="554E27E3" w14:textId="77777777" w:rsidR="00A3603D" w:rsidRPr="001C0357" w:rsidRDefault="005437D4" w:rsidP="00A3603D">
      <w:pPr>
        <w:pStyle w:val="ListParagraph"/>
        <w:numPr>
          <w:ilvl w:val="1"/>
          <w:numId w:val="33"/>
        </w:numPr>
        <w:tabs>
          <w:tab w:val="left" w:pos="1134"/>
        </w:tabs>
        <w:contextualSpacing w:val="0"/>
        <w:rPr>
          <w:rFonts w:eastAsia="Times New Roman" w:cs="Times New Roman"/>
          <w:noProof/>
          <w:szCs w:val="24"/>
          <w:lang w:eastAsia="lv-LV"/>
        </w:rPr>
      </w:pPr>
      <w:r w:rsidRPr="001C0357">
        <w:rPr>
          <w:noProof/>
        </w:rPr>
        <w:t xml:space="preserve"> </w:t>
      </w:r>
      <w:r w:rsidR="00A3603D" w:rsidRPr="001C0357">
        <w:rPr>
          <w:rFonts w:eastAsia="Times New Roman" w:cs="Times New Roman"/>
          <w:noProof/>
          <w:szCs w:val="24"/>
          <w:lang w:eastAsia="lv-LV"/>
        </w:rPr>
        <w:t xml:space="preserve">iekšzemes kopprodukta pieaugums salīdzināmās cenās 2025. gadā 1,1%, 2026. gadā 2,1%, 2027. gadā 2,2%, 2028. gadā 2,2% un 2029. gadā 2,2%; </w:t>
      </w:r>
    </w:p>
    <w:p w14:paraId="325D2062" w14:textId="77777777" w:rsidR="00A3603D" w:rsidRPr="001C0357" w:rsidRDefault="00A3603D" w:rsidP="00A3603D">
      <w:pPr>
        <w:numPr>
          <w:ilvl w:val="1"/>
          <w:numId w:val="33"/>
        </w:numPr>
        <w:tabs>
          <w:tab w:val="left" w:pos="1134"/>
        </w:tabs>
        <w:jc w:val="left"/>
        <w:rPr>
          <w:rFonts w:eastAsia="Times New Roman" w:cs="Times New Roman"/>
          <w:noProof/>
          <w:szCs w:val="24"/>
          <w:lang w:eastAsia="lv-LV"/>
        </w:rPr>
      </w:pPr>
      <w:r w:rsidRPr="001C0357">
        <w:rPr>
          <w:rFonts w:eastAsia="Times New Roman" w:cs="Times New Roman"/>
          <w:noProof/>
          <w:szCs w:val="24"/>
          <w:lang w:eastAsia="lv-LV"/>
        </w:rPr>
        <w:t xml:space="preserve">iekšzemes kopprodukta pieaugums faktiskajās cenās 2025. gadā 4,4%, 2026. gadā 4,7%, 2027. gadā 4,7%, 2028. gadā 4,6% un 2029. gadā 4,7%; </w:t>
      </w:r>
    </w:p>
    <w:p w14:paraId="39B01F2D" w14:textId="4E244783" w:rsidR="00A3603D" w:rsidRPr="001C0357" w:rsidRDefault="00A3603D" w:rsidP="00A3603D">
      <w:pPr>
        <w:numPr>
          <w:ilvl w:val="1"/>
          <w:numId w:val="33"/>
        </w:numPr>
        <w:tabs>
          <w:tab w:val="left" w:pos="1134"/>
        </w:tabs>
        <w:jc w:val="left"/>
        <w:rPr>
          <w:rFonts w:eastAsia="Times New Roman" w:cs="Times New Roman"/>
          <w:noProof/>
          <w:szCs w:val="24"/>
          <w:lang w:eastAsia="lv-LV"/>
        </w:rPr>
      </w:pPr>
      <w:r w:rsidRPr="001C0357">
        <w:rPr>
          <w:rFonts w:eastAsia="Times New Roman" w:cs="Times New Roman"/>
          <w:noProof/>
          <w:szCs w:val="24"/>
          <w:lang w:eastAsia="lv-LV"/>
        </w:rPr>
        <w:t>nominālais iekšzemes kopprodukts 2025. gadā 41</w:t>
      </w:r>
      <w:r w:rsidR="00FE1C4A">
        <w:rPr>
          <w:rFonts w:eastAsia="Times New Roman" w:cs="Times New Roman"/>
          <w:noProof/>
          <w:szCs w:val="24"/>
          <w:lang w:eastAsia="lv-LV"/>
        </w:rPr>
        <w:t> </w:t>
      </w:r>
      <w:r w:rsidRPr="001C0357">
        <w:rPr>
          <w:rFonts w:eastAsia="Times New Roman" w:cs="Times New Roman"/>
          <w:noProof/>
          <w:szCs w:val="24"/>
          <w:lang w:eastAsia="lv-LV"/>
        </w:rPr>
        <w:t>985</w:t>
      </w:r>
      <w:r w:rsidR="00FE1C4A">
        <w:rPr>
          <w:rFonts w:eastAsia="Times New Roman" w:cs="Times New Roman"/>
          <w:noProof/>
          <w:szCs w:val="24"/>
          <w:lang w:eastAsia="lv-LV"/>
        </w:rPr>
        <w:t> </w:t>
      </w:r>
      <w:r w:rsidRPr="001C0357">
        <w:rPr>
          <w:rFonts w:eastAsia="Times New Roman" w:cs="Times New Roman"/>
          <w:noProof/>
          <w:szCs w:val="24"/>
          <w:lang w:eastAsia="lv-LV"/>
        </w:rPr>
        <w:t xml:space="preserve">milj. </w:t>
      </w:r>
      <w:r w:rsidRPr="001C0357">
        <w:rPr>
          <w:rFonts w:eastAsia="Times New Roman" w:cs="Times New Roman"/>
          <w:i/>
          <w:iCs/>
          <w:noProof/>
          <w:szCs w:val="24"/>
          <w:lang w:eastAsia="lv-LV"/>
        </w:rPr>
        <w:t>euro</w:t>
      </w:r>
      <w:r w:rsidRPr="001C0357">
        <w:rPr>
          <w:rFonts w:eastAsia="Times New Roman" w:cs="Times New Roman"/>
          <w:noProof/>
          <w:szCs w:val="24"/>
          <w:lang w:eastAsia="lv-LV"/>
        </w:rPr>
        <w:t>, 2026. gadā 43</w:t>
      </w:r>
      <w:r w:rsidR="00FE1C4A">
        <w:rPr>
          <w:rFonts w:eastAsia="Times New Roman" w:cs="Times New Roman"/>
          <w:noProof/>
          <w:szCs w:val="24"/>
          <w:lang w:eastAsia="lv-LV"/>
        </w:rPr>
        <w:t> </w:t>
      </w:r>
      <w:r w:rsidRPr="001C0357">
        <w:rPr>
          <w:rFonts w:eastAsia="Times New Roman" w:cs="Times New Roman"/>
          <w:noProof/>
          <w:szCs w:val="24"/>
          <w:lang w:eastAsia="lv-LV"/>
        </w:rPr>
        <w:t>953</w:t>
      </w:r>
      <w:r w:rsidR="00FE1C4A">
        <w:rPr>
          <w:rFonts w:eastAsia="Times New Roman" w:cs="Times New Roman"/>
          <w:noProof/>
          <w:szCs w:val="24"/>
          <w:lang w:eastAsia="lv-LV"/>
        </w:rPr>
        <w:t> </w:t>
      </w:r>
      <w:r w:rsidRPr="001C0357">
        <w:rPr>
          <w:rFonts w:eastAsia="Times New Roman" w:cs="Times New Roman"/>
          <w:noProof/>
          <w:szCs w:val="24"/>
          <w:lang w:eastAsia="lv-LV"/>
        </w:rPr>
        <w:t xml:space="preserve">milj. </w:t>
      </w:r>
      <w:r w:rsidRPr="001C0357">
        <w:rPr>
          <w:rFonts w:eastAsia="Times New Roman" w:cs="Times New Roman"/>
          <w:i/>
          <w:iCs/>
          <w:noProof/>
          <w:szCs w:val="24"/>
          <w:lang w:eastAsia="lv-LV"/>
        </w:rPr>
        <w:t>euro</w:t>
      </w:r>
      <w:r w:rsidRPr="001C0357">
        <w:rPr>
          <w:rFonts w:eastAsia="Times New Roman" w:cs="Times New Roman"/>
          <w:noProof/>
          <w:szCs w:val="24"/>
          <w:lang w:eastAsia="lv-LV"/>
        </w:rPr>
        <w:t>, 2027. gadā 46</w:t>
      </w:r>
      <w:r w:rsidR="00FE1C4A">
        <w:rPr>
          <w:rFonts w:eastAsia="Times New Roman" w:cs="Times New Roman"/>
          <w:noProof/>
          <w:szCs w:val="24"/>
          <w:lang w:eastAsia="lv-LV"/>
        </w:rPr>
        <w:t> </w:t>
      </w:r>
      <w:r w:rsidRPr="001C0357">
        <w:rPr>
          <w:rFonts w:eastAsia="Times New Roman" w:cs="Times New Roman"/>
          <w:noProof/>
          <w:szCs w:val="24"/>
          <w:lang w:eastAsia="lv-LV"/>
        </w:rPr>
        <w:t>026</w:t>
      </w:r>
      <w:r w:rsidR="00FE1C4A">
        <w:rPr>
          <w:rFonts w:eastAsia="Times New Roman" w:cs="Times New Roman"/>
          <w:noProof/>
          <w:szCs w:val="24"/>
          <w:lang w:eastAsia="lv-LV"/>
        </w:rPr>
        <w:t> </w:t>
      </w:r>
      <w:r w:rsidRPr="001C0357">
        <w:rPr>
          <w:rFonts w:eastAsia="Times New Roman" w:cs="Times New Roman"/>
          <w:noProof/>
          <w:szCs w:val="24"/>
          <w:lang w:eastAsia="lv-LV"/>
        </w:rPr>
        <w:t xml:space="preserve">milj. </w:t>
      </w:r>
      <w:r w:rsidRPr="001C0357">
        <w:rPr>
          <w:rFonts w:eastAsia="Times New Roman" w:cs="Times New Roman"/>
          <w:i/>
          <w:iCs/>
          <w:noProof/>
          <w:szCs w:val="24"/>
          <w:lang w:eastAsia="lv-LV"/>
        </w:rPr>
        <w:t>euro</w:t>
      </w:r>
      <w:r w:rsidRPr="001C0357">
        <w:rPr>
          <w:rFonts w:eastAsia="Times New Roman" w:cs="Times New Roman"/>
          <w:noProof/>
          <w:szCs w:val="24"/>
          <w:lang w:eastAsia="lv-LV"/>
        </w:rPr>
        <w:t>, 2028. gadā 48</w:t>
      </w:r>
      <w:r w:rsidR="00FE1C4A">
        <w:rPr>
          <w:rFonts w:eastAsia="Times New Roman" w:cs="Times New Roman"/>
          <w:noProof/>
          <w:szCs w:val="24"/>
          <w:lang w:eastAsia="lv-LV"/>
        </w:rPr>
        <w:t> </w:t>
      </w:r>
      <w:r w:rsidRPr="001C0357">
        <w:rPr>
          <w:rFonts w:eastAsia="Times New Roman" w:cs="Times New Roman"/>
          <w:noProof/>
          <w:szCs w:val="24"/>
          <w:lang w:eastAsia="lv-LV"/>
        </w:rPr>
        <w:t>154</w:t>
      </w:r>
      <w:r w:rsidR="00FE1C4A">
        <w:rPr>
          <w:rFonts w:eastAsia="Times New Roman" w:cs="Times New Roman"/>
          <w:noProof/>
          <w:szCs w:val="24"/>
          <w:lang w:eastAsia="lv-LV"/>
        </w:rPr>
        <w:t> </w:t>
      </w:r>
      <w:r w:rsidRPr="001C0357">
        <w:rPr>
          <w:rFonts w:eastAsia="Times New Roman" w:cs="Times New Roman"/>
          <w:noProof/>
          <w:szCs w:val="24"/>
          <w:lang w:eastAsia="lv-LV"/>
        </w:rPr>
        <w:t xml:space="preserve">milj. </w:t>
      </w:r>
      <w:r w:rsidRPr="001C0357">
        <w:rPr>
          <w:rFonts w:eastAsia="Times New Roman" w:cs="Times New Roman"/>
          <w:i/>
          <w:iCs/>
          <w:noProof/>
          <w:szCs w:val="24"/>
          <w:lang w:eastAsia="lv-LV"/>
        </w:rPr>
        <w:t>euro</w:t>
      </w:r>
      <w:r w:rsidRPr="001C0357">
        <w:rPr>
          <w:rFonts w:eastAsia="Times New Roman" w:cs="Times New Roman"/>
          <w:noProof/>
          <w:szCs w:val="24"/>
          <w:lang w:eastAsia="lv-LV"/>
        </w:rPr>
        <w:t xml:space="preserve"> un 2029. gadā 50</w:t>
      </w:r>
      <w:r w:rsidR="00FE1C4A">
        <w:rPr>
          <w:rFonts w:eastAsia="Times New Roman" w:cs="Times New Roman"/>
          <w:noProof/>
          <w:szCs w:val="24"/>
          <w:lang w:eastAsia="lv-LV"/>
        </w:rPr>
        <w:t> </w:t>
      </w:r>
      <w:r w:rsidRPr="001C0357">
        <w:rPr>
          <w:rFonts w:eastAsia="Times New Roman" w:cs="Times New Roman"/>
          <w:noProof/>
          <w:szCs w:val="24"/>
          <w:lang w:eastAsia="lv-LV"/>
        </w:rPr>
        <w:t>398</w:t>
      </w:r>
      <w:r w:rsidR="00FE1C4A">
        <w:rPr>
          <w:rFonts w:eastAsia="Times New Roman" w:cs="Times New Roman"/>
          <w:noProof/>
          <w:szCs w:val="24"/>
          <w:lang w:eastAsia="lv-LV"/>
        </w:rPr>
        <w:t> </w:t>
      </w:r>
      <w:r w:rsidRPr="001C0357">
        <w:rPr>
          <w:rFonts w:eastAsia="Times New Roman" w:cs="Times New Roman"/>
          <w:noProof/>
          <w:szCs w:val="24"/>
          <w:lang w:eastAsia="lv-LV"/>
        </w:rPr>
        <w:t xml:space="preserve">milj. </w:t>
      </w:r>
      <w:r w:rsidRPr="001C0357">
        <w:rPr>
          <w:rFonts w:eastAsia="Times New Roman" w:cs="Times New Roman"/>
          <w:i/>
          <w:iCs/>
          <w:noProof/>
          <w:szCs w:val="24"/>
          <w:lang w:eastAsia="lv-LV"/>
        </w:rPr>
        <w:t>euro</w:t>
      </w:r>
      <w:r w:rsidRPr="001C0357">
        <w:rPr>
          <w:rFonts w:eastAsia="Times New Roman" w:cs="Times New Roman"/>
          <w:noProof/>
          <w:szCs w:val="24"/>
          <w:lang w:eastAsia="lv-LV"/>
        </w:rPr>
        <w:t xml:space="preserve">; </w:t>
      </w:r>
    </w:p>
    <w:p w14:paraId="34A8D771" w14:textId="6EF7C90F" w:rsidR="00A3603D" w:rsidRPr="001C0357" w:rsidRDefault="00A3603D" w:rsidP="00A3603D">
      <w:pPr>
        <w:numPr>
          <w:ilvl w:val="1"/>
          <w:numId w:val="33"/>
        </w:numPr>
        <w:tabs>
          <w:tab w:val="left" w:pos="1134"/>
        </w:tabs>
        <w:jc w:val="left"/>
        <w:rPr>
          <w:rFonts w:eastAsia="Times New Roman" w:cs="Times New Roman"/>
          <w:noProof/>
          <w:szCs w:val="24"/>
          <w:lang w:eastAsia="lv-LV"/>
        </w:rPr>
      </w:pPr>
      <w:r w:rsidRPr="001C0357">
        <w:rPr>
          <w:rFonts w:eastAsia="Times New Roman" w:cs="Times New Roman"/>
          <w:noProof/>
          <w:szCs w:val="24"/>
          <w:lang w:eastAsia="lv-LV"/>
        </w:rPr>
        <w:t>patēriņa cenu izmaiņas salīdzinājumā ar iepriekšējo gadu 2025. gadā 3,5%, 2026.</w:t>
      </w:r>
      <w:r w:rsidR="000918E1" w:rsidRPr="001C0357">
        <w:rPr>
          <w:rFonts w:eastAsia="Times New Roman" w:cs="Times New Roman"/>
          <w:noProof/>
          <w:szCs w:val="24"/>
          <w:lang w:eastAsia="lv-LV"/>
        </w:rPr>
        <w:t> </w:t>
      </w:r>
      <w:r w:rsidRPr="001C0357">
        <w:rPr>
          <w:rFonts w:eastAsia="Times New Roman" w:cs="Times New Roman"/>
          <w:noProof/>
          <w:szCs w:val="24"/>
          <w:lang w:eastAsia="lv-LV"/>
        </w:rPr>
        <w:t xml:space="preserve">gadā 2,3%, 2027.–2029. gadā katru gadu 2,2%; </w:t>
      </w:r>
    </w:p>
    <w:p w14:paraId="7A805423" w14:textId="62F34890" w:rsidR="00A3603D" w:rsidRPr="001C0357" w:rsidRDefault="00A3603D" w:rsidP="00A3603D">
      <w:pPr>
        <w:numPr>
          <w:ilvl w:val="1"/>
          <w:numId w:val="33"/>
        </w:numPr>
        <w:tabs>
          <w:tab w:val="left" w:pos="1134"/>
        </w:tabs>
        <w:jc w:val="left"/>
        <w:rPr>
          <w:rFonts w:eastAsia="Times New Roman" w:cs="Times New Roman"/>
          <w:noProof/>
          <w:szCs w:val="24"/>
          <w:lang w:eastAsia="lv-LV"/>
        </w:rPr>
      </w:pPr>
      <w:r w:rsidRPr="001C0357">
        <w:rPr>
          <w:rFonts w:eastAsia="Times New Roman" w:cs="Times New Roman"/>
          <w:noProof/>
          <w:szCs w:val="24"/>
          <w:lang w:eastAsia="lv-LV"/>
        </w:rPr>
        <w:t>nodarbinātības izmaiņas 2025. gadā -0,2%, 2026. gadā -0,2%, 2027. gadā -0,3%, 2028. gadā -0,5% un 2029. gadā -0,7%.</w:t>
      </w:r>
    </w:p>
    <w:p w14:paraId="52A2EBC5" w14:textId="7327EF9A" w:rsidR="000918E1" w:rsidRDefault="005437D4" w:rsidP="000918E1">
      <w:pPr>
        <w:pStyle w:val="ListParagraph"/>
        <w:numPr>
          <w:ilvl w:val="0"/>
          <w:numId w:val="3"/>
        </w:numPr>
        <w:tabs>
          <w:tab w:val="left" w:pos="1134"/>
        </w:tabs>
        <w:ind w:left="714" w:hanging="357"/>
        <w:contextualSpacing w:val="0"/>
        <w:rPr>
          <w:noProof/>
        </w:rPr>
      </w:pPr>
      <w:bookmarkStart w:id="19" w:name="_Hlk205826897"/>
      <w:r w:rsidRPr="001C0357">
        <w:rPr>
          <w:noProof/>
        </w:rPr>
        <w:t>Pieņemt zināšanai, ka vispārējās valdības budžeta bilance pie nemainīgas politikas tiek prognozēta 202</w:t>
      </w:r>
      <w:r w:rsidR="00161276" w:rsidRPr="001C0357">
        <w:rPr>
          <w:noProof/>
        </w:rPr>
        <w:t>6</w:t>
      </w:r>
      <w:r w:rsidRPr="001C0357">
        <w:rPr>
          <w:noProof/>
        </w:rPr>
        <w:t>. gadā -</w:t>
      </w:r>
      <w:r w:rsidR="00161276" w:rsidRPr="001C0357">
        <w:rPr>
          <w:noProof/>
        </w:rPr>
        <w:t>1 326,1</w:t>
      </w:r>
      <w:r w:rsidRPr="001C0357">
        <w:rPr>
          <w:noProof/>
        </w:rPr>
        <w:t xml:space="preserve"> milj. euro jeb -</w:t>
      </w:r>
      <w:r w:rsidR="00161276" w:rsidRPr="001C0357">
        <w:rPr>
          <w:noProof/>
        </w:rPr>
        <w:t>3,0</w:t>
      </w:r>
      <w:r w:rsidRPr="001C0357">
        <w:rPr>
          <w:noProof/>
        </w:rPr>
        <w:t>% no IKP, 202</w:t>
      </w:r>
      <w:r w:rsidR="00161276" w:rsidRPr="001C0357">
        <w:rPr>
          <w:noProof/>
        </w:rPr>
        <w:t>7</w:t>
      </w:r>
      <w:r w:rsidRPr="001C0357">
        <w:rPr>
          <w:noProof/>
        </w:rPr>
        <w:t>. gadā -</w:t>
      </w:r>
      <w:r w:rsidR="00161276" w:rsidRPr="001C0357">
        <w:rPr>
          <w:noProof/>
        </w:rPr>
        <w:t>1 864,1</w:t>
      </w:r>
      <w:r w:rsidRPr="001C0357">
        <w:rPr>
          <w:noProof/>
        </w:rPr>
        <w:t xml:space="preserve"> milj. euro jeb -</w:t>
      </w:r>
      <w:r w:rsidR="00161276" w:rsidRPr="001C0357">
        <w:rPr>
          <w:noProof/>
        </w:rPr>
        <w:t>4,1</w:t>
      </w:r>
      <w:r w:rsidRPr="001C0357">
        <w:rPr>
          <w:noProof/>
        </w:rPr>
        <w:t>% no IKP, 202</w:t>
      </w:r>
      <w:r w:rsidR="00161276" w:rsidRPr="001C0357">
        <w:rPr>
          <w:noProof/>
        </w:rPr>
        <w:t>8</w:t>
      </w:r>
      <w:r w:rsidRPr="001C0357">
        <w:rPr>
          <w:noProof/>
        </w:rPr>
        <w:t>. gadā -1</w:t>
      </w:r>
      <w:r w:rsidR="00161276" w:rsidRPr="001C0357">
        <w:rPr>
          <w:noProof/>
        </w:rPr>
        <w:t> 800,4</w:t>
      </w:r>
      <w:r w:rsidRPr="001C0357">
        <w:rPr>
          <w:noProof/>
        </w:rPr>
        <w:t> milj. euro jeb -</w:t>
      </w:r>
      <w:r w:rsidR="00161276" w:rsidRPr="001C0357">
        <w:rPr>
          <w:noProof/>
        </w:rPr>
        <w:t>3,7</w:t>
      </w:r>
      <w:r w:rsidRPr="001C0357">
        <w:rPr>
          <w:noProof/>
        </w:rPr>
        <w:t>% no IKP un 202</w:t>
      </w:r>
      <w:r w:rsidR="00161276" w:rsidRPr="001C0357">
        <w:rPr>
          <w:noProof/>
        </w:rPr>
        <w:t>9</w:t>
      </w:r>
      <w:r w:rsidRPr="001C0357">
        <w:rPr>
          <w:noProof/>
        </w:rPr>
        <w:t>. gadā  -1</w:t>
      </w:r>
      <w:r w:rsidR="00161276" w:rsidRPr="001C0357">
        <w:rPr>
          <w:noProof/>
        </w:rPr>
        <w:t> 952,6</w:t>
      </w:r>
      <w:r w:rsidR="00662E14">
        <w:rPr>
          <w:noProof/>
        </w:rPr>
        <w:t> </w:t>
      </w:r>
      <w:r w:rsidRPr="001C0357">
        <w:rPr>
          <w:noProof/>
        </w:rPr>
        <w:t>milj. euro jeb -</w:t>
      </w:r>
      <w:r w:rsidR="00161276" w:rsidRPr="001C0357">
        <w:rPr>
          <w:noProof/>
        </w:rPr>
        <w:t>3,9</w:t>
      </w:r>
      <w:r w:rsidRPr="001C0357">
        <w:rPr>
          <w:noProof/>
        </w:rPr>
        <w:t>% no IKP.</w:t>
      </w:r>
      <w:bookmarkEnd w:id="19"/>
    </w:p>
    <w:p w14:paraId="340832A0" w14:textId="77777777" w:rsidR="00F52ACB" w:rsidRDefault="00662E14" w:rsidP="00F52ACB">
      <w:pPr>
        <w:pStyle w:val="ListParagraph"/>
        <w:numPr>
          <w:ilvl w:val="0"/>
          <w:numId w:val="3"/>
        </w:numPr>
        <w:tabs>
          <w:tab w:val="left" w:pos="1134"/>
        </w:tabs>
        <w:spacing w:after="60"/>
        <w:ind w:left="714" w:hanging="357"/>
        <w:contextualSpacing w:val="0"/>
        <w:rPr>
          <w:noProof/>
        </w:rPr>
      </w:pPr>
      <w:bookmarkStart w:id="20" w:name="_Hlk142555450"/>
      <w:r w:rsidRPr="0018319F">
        <w:rPr>
          <w:noProof/>
        </w:rPr>
        <w:t xml:space="preserve">Pieņemt zināšanai, ka šā protokollēmuma 3. punktā noteiktajā prognozē ir ietverta vispārējās valdības sektorā klasificētās kapitālsabiedrības VAS “Latvijas dzelzceļš” ietekme – 2026. gadā </w:t>
      </w:r>
      <w:r w:rsidRPr="0018319F">
        <w:rPr>
          <w:noProof/>
        </w:rPr>
        <w:noBreakHyphen/>
      </w:r>
      <w:r w:rsidR="0018319F" w:rsidRPr="0018319F">
        <w:rPr>
          <w:noProof/>
        </w:rPr>
        <w:t>17</w:t>
      </w:r>
      <w:r w:rsidRPr="0018319F">
        <w:rPr>
          <w:noProof/>
        </w:rPr>
        <w:t>,</w:t>
      </w:r>
      <w:r w:rsidR="0018319F" w:rsidRPr="0018319F">
        <w:rPr>
          <w:noProof/>
        </w:rPr>
        <w:t>6</w:t>
      </w:r>
      <w:r w:rsidRPr="0018319F">
        <w:rPr>
          <w:noProof/>
        </w:rPr>
        <w:t xml:space="preserve"> milj. </w:t>
      </w:r>
      <w:r w:rsidRPr="0018319F">
        <w:rPr>
          <w:i/>
          <w:iCs/>
          <w:noProof/>
        </w:rPr>
        <w:t>euro</w:t>
      </w:r>
      <w:r w:rsidRPr="0018319F">
        <w:rPr>
          <w:noProof/>
        </w:rPr>
        <w:t>, 2027. gadā</w:t>
      </w:r>
      <w:r w:rsidR="0018319F" w:rsidRPr="0018319F">
        <w:rPr>
          <w:noProof/>
        </w:rPr>
        <w:t xml:space="preserve"> </w:t>
      </w:r>
      <w:r w:rsidRPr="0018319F">
        <w:rPr>
          <w:noProof/>
        </w:rPr>
        <w:noBreakHyphen/>
        <w:t>2</w:t>
      </w:r>
      <w:r w:rsidR="0018319F" w:rsidRPr="0018319F">
        <w:rPr>
          <w:noProof/>
        </w:rPr>
        <w:t>5</w:t>
      </w:r>
      <w:r w:rsidRPr="0018319F">
        <w:rPr>
          <w:noProof/>
        </w:rPr>
        <w:t xml:space="preserve">,6 milj. </w:t>
      </w:r>
      <w:r w:rsidRPr="0018319F">
        <w:rPr>
          <w:i/>
          <w:iCs/>
          <w:noProof/>
        </w:rPr>
        <w:t>euro</w:t>
      </w:r>
      <w:r w:rsidRPr="0018319F">
        <w:rPr>
          <w:noProof/>
        </w:rPr>
        <w:t xml:space="preserve">, 2028. gadā </w:t>
      </w:r>
      <w:r w:rsidRPr="0018319F">
        <w:rPr>
          <w:noProof/>
        </w:rPr>
        <w:noBreakHyphen/>
      </w:r>
      <w:r w:rsidR="0018319F" w:rsidRPr="0018319F">
        <w:rPr>
          <w:noProof/>
        </w:rPr>
        <w:t>25</w:t>
      </w:r>
      <w:r w:rsidRPr="0018319F">
        <w:rPr>
          <w:noProof/>
        </w:rPr>
        <w:t>,</w:t>
      </w:r>
      <w:r w:rsidR="0018319F" w:rsidRPr="0018319F">
        <w:rPr>
          <w:noProof/>
        </w:rPr>
        <w:t>9</w:t>
      </w:r>
      <w:r w:rsidRPr="0018319F">
        <w:rPr>
          <w:noProof/>
        </w:rPr>
        <w:t xml:space="preserve"> milj. </w:t>
      </w:r>
      <w:r w:rsidRPr="0018319F">
        <w:rPr>
          <w:i/>
          <w:iCs/>
          <w:noProof/>
        </w:rPr>
        <w:t>euro</w:t>
      </w:r>
      <w:r w:rsidRPr="0018319F">
        <w:rPr>
          <w:noProof/>
        </w:rPr>
        <w:t xml:space="preserve"> un 2029. gadā </w:t>
      </w:r>
      <w:r w:rsidRPr="0018319F">
        <w:rPr>
          <w:noProof/>
        </w:rPr>
        <w:noBreakHyphen/>
      </w:r>
      <w:r w:rsidR="0018319F" w:rsidRPr="0018319F">
        <w:rPr>
          <w:noProof/>
        </w:rPr>
        <w:t>2</w:t>
      </w:r>
      <w:r w:rsidRPr="0018319F">
        <w:rPr>
          <w:noProof/>
        </w:rPr>
        <w:t>8</w:t>
      </w:r>
      <w:r w:rsidR="0018319F" w:rsidRPr="0018319F">
        <w:rPr>
          <w:noProof/>
        </w:rPr>
        <w:t>,0</w:t>
      </w:r>
      <w:r w:rsidRPr="0018319F">
        <w:rPr>
          <w:noProof/>
        </w:rPr>
        <w:t xml:space="preserve"> milj. </w:t>
      </w:r>
      <w:r w:rsidRPr="0018319F">
        <w:rPr>
          <w:i/>
          <w:iCs/>
          <w:noProof/>
        </w:rPr>
        <w:t>euro</w:t>
      </w:r>
      <w:r w:rsidRPr="0018319F">
        <w:rPr>
          <w:noProof/>
        </w:rPr>
        <w:t>, kurai atbilstoši likuma “Par valsts budžetu 202</w:t>
      </w:r>
      <w:r w:rsidR="0018319F" w:rsidRPr="0018319F">
        <w:rPr>
          <w:noProof/>
        </w:rPr>
        <w:t>5</w:t>
      </w:r>
      <w:r w:rsidRPr="0018319F">
        <w:rPr>
          <w:noProof/>
        </w:rPr>
        <w:t>. gadam un budžeta ietvaru 202</w:t>
      </w:r>
      <w:r w:rsidR="0018319F" w:rsidRPr="0018319F">
        <w:rPr>
          <w:noProof/>
        </w:rPr>
        <w:t>5</w:t>
      </w:r>
      <w:r w:rsidRPr="0018319F">
        <w:rPr>
          <w:noProof/>
        </w:rPr>
        <w:t>., 202</w:t>
      </w:r>
      <w:r w:rsidR="0018319F" w:rsidRPr="0018319F">
        <w:rPr>
          <w:noProof/>
        </w:rPr>
        <w:t>6</w:t>
      </w:r>
      <w:r w:rsidRPr="0018319F">
        <w:rPr>
          <w:noProof/>
        </w:rPr>
        <w:t>. un 202</w:t>
      </w:r>
      <w:r w:rsidR="0018319F" w:rsidRPr="0018319F">
        <w:rPr>
          <w:noProof/>
        </w:rPr>
        <w:t>7</w:t>
      </w:r>
      <w:r w:rsidRPr="0018319F">
        <w:rPr>
          <w:noProof/>
        </w:rPr>
        <w:t xml:space="preserve">. gadam” </w:t>
      </w:r>
      <w:r w:rsidR="0018319F" w:rsidRPr="0018319F">
        <w:rPr>
          <w:noProof/>
        </w:rPr>
        <w:t>20</w:t>
      </w:r>
      <w:r w:rsidRPr="0018319F">
        <w:rPr>
          <w:noProof/>
        </w:rPr>
        <w:t>. pantam nepieciešams saņemt Ministru kabineta piekrišanu negatīvās ietekmes pārsniegšanai 202</w:t>
      </w:r>
      <w:r w:rsidR="00CA5C9C" w:rsidRPr="0018319F">
        <w:rPr>
          <w:noProof/>
        </w:rPr>
        <w:t>6</w:t>
      </w:r>
      <w:r w:rsidRPr="0018319F">
        <w:rPr>
          <w:noProof/>
        </w:rPr>
        <w:t>.</w:t>
      </w:r>
      <w:r w:rsidR="0018319F" w:rsidRPr="0018319F">
        <w:rPr>
          <w:noProof/>
        </w:rPr>
        <w:t xml:space="preserve"> </w:t>
      </w:r>
      <w:r w:rsidR="00CA5C9C" w:rsidRPr="0018319F">
        <w:rPr>
          <w:noProof/>
        </w:rPr>
        <w:t>un 202</w:t>
      </w:r>
      <w:r w:rsidR="0018319F" w:rsidRPr="0018319F">
        <w:rPr>
          <w:noProof/>
        </w:rPr>
        <w:t>7</w:t>
      </w:r>
      <w:r w:rsidR="00CA5C9C" w:rsidRPr="0018319F">
        <w:rPr>
          <w:noProof/>
        </w:rPr>
        <w:t>. </w:t>
      </w:r>
      <w:r w:rsidRPr="0018319F">
        <w:rPr>
          <w:noProof/>
        </w:rPr>
        <w:t>gad</w:t>
      </w:r>
      <w:r w:rsidR="0007569B">
        <w:rPr>
          <w:noProof/>
        </w:rPr>
        <w:t>ā</w:t>
      </w:r>
      <w:r w:rsidRPr="0018319F">
        <w:rPr>
          <w:noProof/>
        </w:rPr>
        <w:t>.</w:t>
      </w:r>
      <w:bookmarkEnd w:id="20"/>
    </w:p>
    <w:p w14:paraId="120E5E2C" w14:textId="5E802212" w:rsidR="00F52ACB" w:rsidRPr="00FB46B6" w:rsidRDefault="00F52ACB" w:rsidP="00F52ACB">
      <w:pPr>
        <w:pStyle w:val="ListParagraph"/>
        <w:numPr>
          <w:ilvl w:val="0"/>
          <w:numId w:val="3"/>
        </w:numPr>
        <w:tabs>
          <w:tab w:val="left" w:pos="1134"/>
        </w:tabs>
        <w:spacing w:after="60"/>
        <w:ind w:left="714" w:hanging="357"/>
        <w:contextualSpacing w:val="0"/>
        <w:rPr>
          <w:noProof/>
        </w:rPr>
      </w:pPr>
      <w:r w:rsidRPr="00FB46B6">
        <w:rPr>
          <w:noProof/>
        </w:rPr>
        <w:t>Pamatojoties uz ES Padomes 2025.</w:t>
      </w:r>
      <w:r>
        <w:rPr>
          <w:noProof/>
        </w:rPr>
        <w:t> </w:t>
      </w:r>
      <w:r w:rsidRPr="00FB46B6">
        <w:rPr>
          <w:noProof/>
        </w:rPr>
        <w:t xml:space="preserve">gada </w:t>
      </w:r>
      <w:r>
        <w:rPr>
          <w:noProof/>
        </w:rPr>
        <w:t>8</w:t>
      </w:r>
      <w:r w:rsidRPr="00FB46B6">
        <w:rPr>
          <w:noProof/>
        </w:rPr>
        <w:t>.</w:t>
      </w:r>
      <w:r>
        <w:rPr>
          <w:noProof/>
        </w:rPr>
        <w:t> </w:t>
      </w:r>
      <w:r w:rsidRPr="00FB46B6">
        <w:rPr>
          <w:noProof/>
        </w:rPr>
        <w:t>jū</w:t>
      </w:r>
      <w:r>
        <w:rPr>
          <w:noProof/>
        </w:rPr>
        <w:t>l</w:t>
      </w:r>
      <w:r w:rsidRPr="00FB46B6">
        <w:rPr>
          <w:noProof/>
        </w:rPr>
        <w:t>ija rekomendāciju</w:t>
      </w:r>
      <w:r>
        <w:rPr>
          <w:noProof/>
        </w:rPr>
        <w:t>,</w:t>
      </w:r>
      <w:r w:rsidRPr="00FB46B6">
        <w:rPr>
          <w:noProof/>
        </w:rPr>
        <w:t xml:space="preserve"> </w:t>
      </w:r>
      <w:r w:rsidRPr="00466D41">
        <w:rPr>
          <w:noProof/>
        </w:rPr>
        <w:t>ar ko Latvijai ļauj novirzīties no neto izdevumu maksimālajiem pieauguma tempiem, kurus noteikusi Padome saskaņā ar Regulu (ES) 2024/1263 (Valsts izņēmuma klauzulas iedarbināšana)</w:t>
      </w:r>
      <w:r>
        <w:rPr>
          <w:noProof/>
        </w:rPr>
        <w:t>,</w:t>
      </w:r>
      <w:r w:rsidRPr="00466D41" w:rsidDel="00466D41">
        <w:rPr>
          <w:noProof/>
        </w:rPr>
        <w:t xml:space="preserve"> </w:t>
      </w:r>
      <w:r w:rsidRPr="00FB46B6">
        <w:rPr>
          <w:noProof/>
        </w:rPr>
        <w:t xml:space="preserve"> aktivizēt Fiskālās disciplīnas likuma 12. pantā paredzēto atkāpi no bilances nosacījuma un izmantot šo atkāpi atbilstoši minēt</w:t>
      </w:r>
      <w:r>
        <w:rPr>
          <w:noProof/>
        </w:rPr>
        <w:t>ās</w:t>
      </w:r>
      <w:r w:rsidRPr="00FB46B6">
        <w:rPr>
          <w:noProof/>
        </w:rPr>
        <w:t xml:space="preserve"> Padomes rekomendācij</w:t>
      </w:r>
      <w:r>
        <w:rPr>
          <w:noProof/>
        </w:rPr>
        <w:t>as</w:t>
      </w:r>
      <w:r w:rsidRPr="00FB46B6">
        <w:rPr>
          <w:noProof/>
        </w:rPr>
        <w:t xml:space="preserve"> nosacījumiem. </w:t>
      </w:r>
    </w:p>
    <w:p w14:paraId="6478BD62" w14:textId="77777777" w:rsidR="00D963E1" w:rsidRDefault="00864A60" w:rsidP="00D963E1">
      <w:pPr>
        <w:pStyle w:val="ListParagraph"/>
        <w:numPr>
          <w:ilvl w:val="0"/>
          <w:numId w:val="3"/>
        </w:numPr>
        <w:tabs>
          <w:tab w:val="left" w:pos="1134"/>
        </w:tabs>
        <w:spacing w:after="60"/>
        <w:ind w:left="714" w:hanging="357"/>
        <w:contextualSpacing w:val="0"/>
        <w:rPr>
          <w:noProof/>
        </w:rPr>
      </w:pPr>
      <w:r w:rsidRPr="001C0357">
        <w:rPr>
          <w:noProof/>
        </w:rPr>
        <w:t xml:space="preserve">Pieņemt zināšanai, ka fiskālā telpa 2026. gadā ir 39,7 milj. </w:t>
      </w:r>
      <w:r w:rsidRPr="00D963E1">
        <w:rPr>
          <w:i/>
          <w:iCs/>
          <w:noProof/>
        </w:rPr>
        <w:t>euro</w:t>
      </w:r>
      <w:r w:rsidRPr="001C0357">
        <w:rPr>
          <w:noProof/>
        </w:rPr>
        <w:t>, 2027. gadā ir</w:t>
      </w:r>
      <w:r w:rsidR="00662E14">
        <w:rPr>
          <w:noProof/>
        </w:rPr>
        <w:br/>
        <w:t>-</w:t>
      </w:r>
      <w:r w:rsidRPr="001C0357">
        <w:rPr>
          <w:noProof/>
        </w:rPr>
        <w:t>140,</w:t>
      </w:r>
      <w:r w:rsidRPr="00662E14">
        <w:t>1</w:t>
      </w:r>
      <w:r w:rsidR="00662E14">
        <w:t> </w:t>
      </w:r>
      <w:r w:rsidRPr="00662E14">
        <w:t>milj</w:t>
      </w:r>
      <w:r w:rsidRPr="001C0357">
        <w:rPr>
          <w:noProof/>
        </w:rPr>
        <w:t xml:space="preserve">. </w:t>
      </w:r>
      <w:r w:rsidRPr="00D963E1">
        <w:rPr>
          <w:i/>
          <w:iCs/>
          <w:noProof/>
        </w:rPr>
        <w:t>euro</w:t>
      </w:r>
      <w:r w:rsidRPr="001C0357">
        <w:rPr>
          <w:noProof/>
        </w:rPr>
        <w:t xml:space="preserve">, 2028. gadā ir -144,4 milj. </w:t>
      </w:r>
      <w:r w:rsidRPr="00D963E1">
        <w:rPr>
          <w:i/>
          <w:iCs/>
          <w:noProof/>
        </w:rPr>
        <w:t>euro</w:t>
      </w:r>
      <w:r w:rsidRPr="001C0357">
        <w:rPr>
          <w:noProof/>
        </w:rPr>
        <w:t xml:space="preserve"> un 2029. gadā ir -321,6 milj. </w:t>
      </w:r>
      <w:r w:rsidRPr="00D963E1">
        <w:rPr>
          <w:i/>
          <w:iCs/>
          <w:noProof/>
        </w:rPr>
        <w:t>euro</w:t>
      </w:r>
      <w:r w:rsidRPr="001C0357">
        <w:rPr>
          <w:noProof/>
        </w:rPr>
        <w:t>.</w:t>
      </w:r>
    </w:p>
    <w:p w14:paraId="589F3450" w14:textId="620E950B" w:rsidR="000D4ED5" w:rsidRPr="001C0357" w:rsidRDefault="005437D4" w:rsidP="00D963E1">
      <w:pPr>
        <w:pStyle w:val="ListParagraph"/>
        <w:numPr>
          <w:ilvl w:val="0"/>
          <w:numId w:val="3"/>
        </w:numPr>
        <w:tabs>
          <w:tab w:val="left" w:pos="1134"/>
        </w:tabs>
        <w:spacing w:after="60"/>
        <w:ind w:left="714" w:hanging="357"/>
        <w:contextualSpacing w:val="0"/>
        <w:rPr>
          <w:noProof/>
        </w:rPr>
      </w:pPr>
      <w:r w:rsidRPr="001C0357">
        <w:rPr>
          <w:noProof/>
        </w:rPr>
        <w:t>Pieņemt zināšanai Finanšu ministrijas izstrādāto makroekonomiskās attīstības pesimistisko scenāriju, kas paredz iekšzemes kopprodukta pieaugumu salīdzināmās cenās 202</w:t>
      </w:r>
      <w:r w:rsidR="00864A60" w:rsidRPr="001C0357">
        <w:rPr>
          <w:noProof/>
        </w:rPr>
        <w:t>5</w:t>
      </w:r>
      <w:r w:rsidRPr="001C0357">
        <w:rPr>
          <w:noProof/>
        </w:rPr>
        <w:t>. gadā 0,</w:t>
      </w:r>
      <w:r w:rsidR="00864A60" w:rsidRPr="001C0357">
        <w:rPr>
          <w:noProof/>
        </w:rPr>
        <w:t>0</w:t>
      </w:r>
      <w:r w:rsidRPr="001C0357">
        <w:rPr>
          <w:noProof/>
        </w:rPr>
        <w:t>%, 202</w:t>
      </w:r>
      <w:r w:rsidR="00864A60" w:rsidRPr="001C0357">
        <w:rPr>
          <w:noProof/>
        </w:rPr>
        <w:t>6</w:t>
      </w:r>
      <w:r w:rsidRPr="001C0357">
        <w:rPr>
          <w:noProof/>
        </w:rPr>
        <w:t>. gadā 1,</w:t>
      </w:r>
      <w:r w:rsidR="00864A60" w:rsidRPr="001C0357">
        <w:rPr>
          <w:noProof/>
        </w:rPr>
        <w:t>3</w:t>
      </w:r>
      <w:r w:rsidRPr="001C0357">
        <w:rPr>
          <w:noProof/>
        </w:rPr>
        <w:t>%, 202</w:t>
      </w:r>
      <w:r w:rsidR="00864A60" w:rsidRPr="001C0357">
        <w:rPr>
          <w:noProof/>
        </w:rPr>
        <w:t>7</w:t>
      </w:r>
      <w:r w:rsidRPr="001C0357">
        <w:rPr>
          <w:noProof/>
        </w:rPr>
        <w:t>. gadā 2,</w:t>
      </w:r>
      <w:r w:rsidR="00864A60" w:rsidRPr="001C0357">
        <w:rPr>
          <w:noProof/>
        </w:rPr>
        <w:t>2</w:t>
      </w:r>
      <w:r w:rsidRPr="001C0357">
        <w:rPr>
          <w:noProof/>
        </w:rPr>
        <w:t>%, 202</w:t>
      </w:r>
      <w:r w:rsidR="00864A60" w:rsidRPr="001C0357">
        <w:rPr>
          <w:noProof/>
        </w:rPr>
        <w:t>8</w:t>
      </w:r>
      <w:r w:rsidRPr="001C0357">
        <w:rPr>
          <w:noProof/>
        </w:rPr>
        <w:t>. gadā 2,</w:t>
      </w:r>
      <w:r w:rsidR="00864A60" w:rsidRPr="001C0357">
        <w:rPr>
          <w:noProof/>
        </w:rPr>
        <w:t>2</w:t>
      </w:r>
      <w:r w:rsidRPr="001C0357">
        <w:rPr>
          <w:noProof/>
        </w:rPr>
        <w:t>% un 202</w:t>
      </w:r>
      <w:r w:rsidR="00864A60" w:rsidRPr="001C0357">
        <w:rPr>
          <w:noProof/>
        </w:rPr>
        <w:t>9</w:t>
      </w:r>
      <w:r w:rsidRPr="001C0357">
        <w:rPr>
          <w:noProof/>
        </w:rPr>
        <w:t>. gadā 2,</w:t>
      </w:r>
      <w:r w:rsidR="00864A60" w:rsidRPr="001C0357">
        <w:rPr>
          <w:noProof/>
        </w:rPr>
        <w:t>2</w:t>
      </w:r>
      <w:r w:rsidRPr="001C0357">
        <w:rPr>
          <w:noProof/>
        </w:rPr>
        <w:t>%, un optimistisko scenāriju, kas paredz iekšzemes kopprodukta pieaugumu salīdzināmās cenās 202</w:t>
      </w:r>
      <w:r w:rsidR="00864A60" w:rsidRPr="001C0357">
        <w:rPr>
          <w:noProof/>
        </w:rPr>
        <w:t>5</w:t>
      </w:r>
      <w:r w:rsidRPr="001C0357">
        <w:rPr>
          <w:noProof/>
        </w:rPr>
        <w:t xml:space="preserve">. gadā </w:t>
      </w:r>
      <w:r w:rsidR="00864A60" w:rsidRPr="001C0357">
        <w:rPr>
          <w:noProof/>
        </w:rPr>
        <w:t>1,6</w:t>
      </w:r>
      <w:r w:rsidRPr="001C0357">
        <w:rPr>
          <w:noProof/>
        </w:rPr>
        <w:t>%, 202</w:t>
      </w:r>
      <w:r w:rsidR="00864A60" w:rsidRPr="001C0357">
        <w:rPr>
          <w:noProof/>
        </w:rPr>
        <w:t>6</w:t>
      </w:r>
      <w:r w:rsidRPr="001C0357">
        <w:rPr>
          <w:noProof/>
        </w:rPr>
        <w:t xml:space="preserve">. gadā </w:t>
      </w:r>
      <w:r w:rsidR="00864A60" w:rsidRPr="001C0357">
        <w:rPr>
          <w:noProof/>
        </w:rPr>
        <w:t>2,7</w:t>
      </w:r>
      <w:r w:rsidRPr="001C0357">
        <w:rPr>
          <w:noProof/>
        </w:rPr>
        <w:t>%, 202</w:t>
      </w:r>
      <w:r w:rsidR="00864A60" w:rsidRPr="001C0357">
        <w:rPr>
          <w:noProof/>
        </w:rPr>
        <w:t>7</w:t>
      </w:r>
      <w:r w:rsidRPr="001C0357">
        <w:rPr>
          <w:noProof/>
        </w:rPr>
        <w:t>. gadā 2,</w:t>
      </w:r>
      <w:r w:rsidR="00864A60" w:rsidRPr="001C0357">
        <w:rPr>
          <w:noProof/>
        </w:rPr>
        <w:t>6</w:t>
      </w:r>
      <w:r w:rsidRPr="001C0357">
        <w:rPr>
          <w:noProof/>
        </w:rPr>
        <w:t>%, 202</w:t>
      </w:r>
      <w:r w:rsidR="00864A60" w:rsidRPr="001C0357">
        <w:rPr>
          <w:noProof/>
        </w:rPr>
        <w:t>8</w:t>
      </w:r>
      <w:r w:rsidRPr="001C0357">
        <w:rPr>
          <w:noProof/>
        </w:rPr>
        <w:t>. gadā 2,</w:t>
      </w:r>
      <w:r w:rsidR="00864A60" w:rsidRPr="001C0357">
        <w:rPr>
          <w:noProof/>
        </w:rPr>
        <w:t>2</w:t>
      </w:r>
      <w:r w:rsidRPr="001C0357">
        <w:rPr>
          <w:noProof/>
        </w:rPr>
        <w:t>% un 202</w:t>
      </w:r>
      <w:r w:rsidR="00864A60" w:rsidRPr="001C0357">
        <w:rPr>
          <w:noProof/>
        </w:rPr>
        <w:t>9</w:t>
      </w:r>
      <w:r w:rsidRPr="001C0357">
        <w:rPr>
          <w:noProof/>
        </w:rPr>
        <w:t>. gadā 2,</w:t>
      </w:r>
      <w:r w:rsidR="00864A60" w:rsidRPr="001C0357">
        <w:rPr>
          <w:noProof/>
        </w:rPr>
        <w:t>2</w:t>
      </w:r>
      <w:r w:rsidRPr="001C0357">
        <w:rPr>
          <w:noProof/>
        </w:rPr>
        <w:t>%.</w:t>
      </w:r>
    </w:p>
    <w:p w14:paraId="1A14918F" w14:textId="2220CFED" w:rsidR="00D963E1" w:rsidRDefault="00D963E1" w:rsidP="00D963E1">
      <w:pPr>
        <w:tabs>
          <w:tab w:val="left" w:pos="709"/>
          <w:tab w:val="left" w:pos="6946"/>
        </w:tabs>
        <w:spacing w:after="0"/>
        <w:ind w:left="714" w:firstLine="0"/>
        <w:jc w:val="left"/>
        <w:rPr>
          <w:bCs/>
          <w:noProof/>
          <w:szCs w:val="24"/>
        </w:rPr>
      </w:pPr>
    </w:p>
    <w:p w14:paraId="5352D5C7" w14:textId="5FD57AAE" w:rsidR="007343B2" w:rsidRPr="001C0357" w:rsidRDefault="00D963E1" w:rsidP="00034FA8">
      <w:pPr>
        <w:tabs>
          <w:tab w:val="left" w:pos="709"/>
          <w:tab w:val="left" w:pos="6946"/>
        </w:tabs>
        <w:spacing w:after="0"/>
        <w:ind w:firstLine="0"/>
        <w:jc w:val="left"/>
        <w:rPr>
          <w:rFonts w:cs="Times New Roman"/>
          <w:noProof/>
          <w:szCs w:val="24"/>
        </w:rPr>
      </w:pPr>
      <w:r>
        <w:rPr>
          <w:bCs/>
          <w:noProof/>
          <w:szCs w:val="24"/>
        </w:rPr>
        <w:tab/>
      </w:r>
      <w:r w:rsidR="00E96CDD" w:rsidRPr="001C0357">
        <w:rPr>
          <w:bCs/>
          <w:noProof/>
          <w:szCs w:val="24"/>
        </w:rPr>
        <w:t>Finanšu ministrs</w:t>
      </w:r>
      <w:r w:rsidR="00622435" w:rsidRPr="001C0357">
        <w:rPr>
          <w:bCs/>
          <w:noProof/>
          <w:szCs w:val="24"/>
        </w:rPr>
        <w:tab/>
      </w:r>
      <w:r w:rsidR="00622435" w:rsidRPr="001C0357">
        <w:rPr>
          <w:bCs/>
          <w:noProof/>
          <w:szCs w:val="24"/>
        </w:rPr>
        <w:tab/>
      </w:r>
      <w:r w:rsidR="00171158" w:rsidRPr="001C0357">
        <w:rPr>
          <w:bCs/>
          <w:noProof/>
          <w:szCs w:val="24"/>
        </w:rPr>
        <w:t>A</w:t>
      </w:r>
      <w:r w:rsidR="00C832FF" w:rsidRPr="001C0357">
        <w:rPr>
          <w:bCs/>
          <w:noProof/>
          <w:szCs w:val="24"/>
        </w:rPr>
        <w:t>.</w:t>
      </w:r>
      <w:r w:rsidR="00ED378F" w:rsidRPr="001C0357">
        <w:rPr>
          <w:bCs/>
          <w:noProof/>
          <w:szCs w:val="24"/>
        </w:rPr>
        <w:t xml:space="preserve"> </w:t>
      </w:r>
      <w:r w:rsidR="00171158" w:rsidRPr="001C0357">
        <w:rPr>
          <w:bCs/>
          <w:noProof/>
          <w:szCs w:val="24"/>
        </w:rPr>
        <w:t>Ašeradens</w:t>
      </w:r>
    </w:p>
    <w:p w14:paraId="22A63F00" w14:textId="77777777" w:rsidR="00D963E1" w:rsidRDefault="00D963E1" w:rsidP="00EC18BE">
      <w:pPr>
        <w:spacing w:before="0" w:after="0"/>
        <w:rPr>
          <w:rFonts w:cs="Times New Roman"/>
          <w:noProof/>
          <w:sz w:val="16"/>
          <w:szCs w:val="16"/>
        </w:rPr>
      </w:pPr>
    </w:p>
    <w:p w14:paraId="11687448" w14:textId="77777777" w:rsidR="003F7186" w:rsidRPr="003F7186" w:rsidRDefault="003F7186" w:rsidP="00D963E1">
      <w:pPr>
        <w:spacing w:before="0" w:after="0"/>
        <w:rPr>
          <w:rFonts w:cs="Times New Roman"/>
          <w:noProof/>
          <w:sz w:val="14"/>
          <w:szCs w:val="14"/>
        </w:rPr>
      </w:pPr>
    </w:p>
    <w:p w14:paraId="1F4D0293" w14:textId="77777777" w:rsidR="006532F4" w:rsidRDefault="00EC18BE" w:rsidP="00D963E1">
      <w:pPr>
        <w:spacing w:before="0" w:after="0"/>
        <w:rPr>
          <w:rFonts w:cs="Times New Roman"/>
          <w:noProof/>
          <w:sz w:val="14"/>
          <w:szCs w:val="14"/>
        </w:rPr>
      </w:pPr>
      <w:r w:rsidRPr="003F7186">
        <w:rPr>
          <w:rFonts w:cs="Times New Roman"/>
          <w:noProof/>
          <w:sz w:val="14"/>
          <w:szCs w:val="14"/>
        </w:rPr>
        <w:t>Gavrovska, 26631915</w:t>
      </w:r>
      <w:r w:rsidR="00D963E1" w:rsidRPr="003F7186">
        <w:rPr>
          <w:rFonts w:cs="Times New Roman"/>
          <w:noProof/>
          <w:sz w:val="14"/>
          <w:szCs w:val="14"/>
        </w:rPr>
        <w:t>,</w:t>
      </w:r>
    </w:p>
    <w:p w14:paraId="680C3DC5" w14:textId="2A916B14" w:rsidR="006A7261" w:rsidRPr="003F7186" w:rsidRDefault="006532F4" w:rsidP="00D963E1">
      <w:pPr>
        <w:spacing w:before="0" w:after="0"/>
        <w:rPr>
          <w:rFonts w:cs="Times New Roman"/>
          <w:noProof/>
          <w:sz w:val="14"/>
          <w:szCs w:val="14"/>
        </w:rPr>
      </w:pPr>
      <w:hyperlink r:id="rId20" w:history="1">
        <w:r w:rsidRPr="00B43952">
          <w:rPr>
            <w:rStyle w:val="Hyperlink"/>
            <w:rFonts w:ascii="Times New Roman" w:hAnsi="Times New Roman" w:cs="Times New Roman"/>
            <w:noProof/>
            <w:sz w:val="14"/>
            <w:szCs w:val="14"/>
          </w:rPr>
          <w:t>Kristine.Gavrovska@fm.gov.lv</w:t>
        </w:r>
      </w:hyperlink>
    </w:p>
    <w:sectPr w:rsidR="006A7261" w:rsidRPr="003F7186" w:rsidSect="00E2717D">
      <w:footerReference w:type="default" r:id="rId21"/>
      <w:headerReference w:type="first" r:id="rId22"/>
      <w:footerReference w:type="first" r:id="rId23"/>
      <w:pgSz w:w="11906" w:h="16838"/>
      <w:pgMar w:top="1134" w:right="1134" w:bottom="851" w:left="1701" w:header="709" w:footer="113"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20097" w14:textId="77777777" w:rsidR="00C60391" w:rsidRDefault="00C60391" w:rsidP="00043218">
      <w:pPr>
        <w:spacing w:before="0" w:after="0"/>
      </w:pPr>
      <w:r>
        <w:separator/>
      </w:r>
    </w:p>
  </w:endnote>
  <w:endnote w:type="continuationSeparator" w:id="0">
    <w:p w14:paraId="15C6B977" w14:textId="77777777" w:rsidR="00C60391" w:rsidRDefault="00C60391" w:rsidP="000432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EUAlbertina">
    <w:altName w:val="EU Albertina"/>
    <w:panose1 w:val="00000000000000000000"/>
    <w:charset w:val="00"/>
    <w:family w:val="roman"/>
    <w:notTrueType/>
    <w:pitch w:val="default"/>
    <w:sig w:usb0="00000007" w:usb1="00000000" w:usb2="00000000" w:usb3="00000000" w:csb0="0000000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381923"/>
      <w:docPartObj>
        <w:docPartGallery w:val="Page Numbers (Bottom of Page)"/>
        <w:docPartUnique/>
      </w:docPartObj>
    </w:sdtPr>
    <w:sdtEndPr>
      <w:rPr>
        <w:noProof/>
      </w:rPr>
    </w:sdtEndPr>
    <w:sdtContent>
      <w:p w14:paraId="37806247" w14:textId="4E77A5E7" w:rsidR="00A069DD" w:rsidRDefault="00A069D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B27FF5" w14:textId="799BED4E" w:rsidR="00C60391" w:rsidRPr="00EC6A33" w:rsidRDefault="00C60391" w:rsidP="002D0A6E">
    <w:pPr>
      <w:ind w:firstLine="0"/>
      <w:jc w:val="center"/>
      <w:rPr>
        <w:sz w:val="22"/>
        <w:szCs w:val="3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8ECD0" w14:textId="1D87B0F2" w:rsidR="00C60391" w:rsidRPr="00EC6A33" w:rsidRDefault="00C60391" w:rsidP="002D0A6E">
    <w:pPr>
      <w:ind w:firstLine="0"/>
      <w:jc w:val="center"/>
      <w:rPr>
        <w:sz w:val="2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D4697" w14:textId="77777777" w:rsidR="00C60391" w:rsidRDefault="00C60391" w:rsidP="00043218">
      <w:pPr>
        <w:spacing w:before="0" w:after="0"/>
      </w:pPr>
      <w:r>
        <w:separator/>
      </w:r>
    </w:p>
  </w:footnote>
  <w:footnote w:type="continuationSeparator" w:id="0">
    <w:p w14:paraId="50FB5336" w14:textId="77777777" w:rsidR="00C60391" w:rsidRDefault="00C60391" w:rsidP="00043218">
      <w:pPr>
        <w:spacing w:before="0" w:after="0"/>
      </w:pPr>
      <w:r>
        <w:continuationSeparator/>
      </w:r>
    </w:p>
  </w:footnote>
  <w:footnote w:id="1">
    <w:p w14:paraId="22766088" w14:textId="77777777" w:rsidR="00B74FFA" w:rsidRPr="00E7284B" w:rsidRDefault="00B74FFA" w:rsidP="00B74FFA">
      <w:pPr>
        <w:pStyle w:val="FootnoteText"/>
        <w:spacing w:before="0" w:after="0"/>
        <w:jc w:val="left"/>
        <w:rPr>
          <w:sz w:val="18"/>
          <w:szCs w:val="18"/>
        </w:rPr>
      </w:pPr>
      <w:r w:rsidRPr="00E7284B">
        <w:rPr>
          <w:rStyle w:val="FootnoteReference"/>
          <w:sz w:val="18"/>
          <w:szCs w:val="18"/>
        </w:rPr>
        <w:footnoteRef/>
      </w:r>
      <w:r w:rsidRPr="00E7284B">
        <w:rPr>
          <w:sz w:val="18"/>
          <w:szCs w:val="18"/>
        </w:rPr>
        <w:t xml:space="preserve"> Vispārējās valdības budžeta bilance ir atbilstoši EKS metodoloģijai.</w:t>
      </w:r>
    </w:p>
  </w:footnote>
  <w:footnote w:id="2">
    <w:p w14:paraId="32621361" w14:textId="77777777" w:rsidR="00B74FFA" w:rsidRDefault="00B74FFA" w:rsidP="00B74FFA">
      <w:pPr>
        <w:pStyle w:val="FootnoteText"/>
        <w:spacing w:before="0" w:after="0"/>
        <w:jc w:val="left"/>
      </w:pPr>
      <w:r w:rsidRPr="00E7284B">
        <w:rPr>
          <w:rStyle w:val="FootnoteReference"/>
          <w:sz w:val="18"/>
          <w:szCs w:val="18"/>
        </w:rPr>
        <w:footnoteRef/>
      </w:r>
      <w:r w:rsidRPr="00E7284B">
        <w:rPr>
          <w:sz w:val="18"/>
          <w:szCs w:val="18"/>
        </w:rPr>
        <w:t xml:space="preserve"> Kopbudžeta bilance (arī tālāk tabulā pa </w:t>
      </w:r>
      <w:r>
        <w:rPr>
          <w:sz w:val="18"/>
          <w:szCs w:val="18"/>
        </w:rPr>
        <w:t xml:space="preserve">budžeta </w:t>
      </w:r>
      <w:r w:rsidRPr="00E7284B">
        <w:rPr>
          <w:sz w:val="18"/>
          <w:szCs w:val="18"/>
        </w:rPr>
        <w:t>līmeņiem) ir atbilstoši naudas plūsmas metodoloģijai.</w:t>
      </w:r>
    </w:p>
  </w:footnote>
  <w:footnote w:id="3">
    <w:p w14:paraId="35617755" w14:textId="77777777" w:rsidR="00B74FFA" w:rsidRPr="00456E7F" w:rsidRDefault="00B74FFA" w:rsidP="00B74FFA">
      <w:pPr>
        <w:pStyle w:val="FootnoteText"/>
        <w:spacing w:before="0" w:after="0"/>
        <w:ind w:firstLine="0"/>
        <w:rPr>
          <w:sz w:val="18"/>
          <w:szCs w:val="18"/>
        </w:rPr>
      </w:pPr>
      <w:r w:rsidRPr="00456E7F">
        <w:rPr>
          <w:rStyle w:val="FootnoteReference"/>
          <w:sz w:val="18"/>
          <w:szCs w:val="18"/>
        </w:rPr>
        <w:footnoteRef/>
      </w:r>
      <w:r w:rsidRPr="00456E7F">
        <w:rPr>
          <w:sz w:val="18"/>
          <w:szCs w:val="18"/>
        </w:rPr>
        <w:t xml:space="preserve"> Anketēšanas tvērumā ietilpst institucionālās vienības — kapitālsabiedrības (sabiedrības ar ierobežotu atbildību un akciju sabiedrības), kā arī nodibinājumi.</w:t>
      </w:r>
    </w:p>
  </w:footnote>
  <w:footnote w:id="4">
    <w:p w14:paraId="772BB53E" w14:textId="77777777" w:rsidR="00B74FFA" w:rsidRPr="007A5100" w:rsidRDefault="00B74FFA" w:rsidP="00B74FFA">
      <w:pPr>
        <w:pStyle w:val="FootnoteText"/>
        <w:spacing w:before="0" w:after="0"/>
        <w:ind w:firstLine="0"/>
      </w:pPr>
      <w:r w:rsidRPr="00456E7F">
        <w:rPr>
          <w:rStyle w:val="FootnoteReference"/>
          <w:sz w:val="18"/>
          <w:szCs w:val="18"/>
        </w:rPr>
        <w:footnoteRef/>
      </w:r>
      <w:r w:rsidRPr="00456E7F">
        <w:rPr>
          <w:sz w:val="18"/>
          <w:szCs w:val="18"/>
        </w:rPr>
        <w:t xml:space="preserve"> Neto aizdevumi (+)/neto aizņēmumi (-) (B.9).</w:t>
      </w:r>
    </w:p>
  </w:footnote>
  <w:footnote w:id="5">
    <w:p w14:paraId="7DD4ADB1" w14:textId="77777777" w:rsidR="00F1215C" w:rsidRPr="00DA1615" w:rsidRDefault="00F1215C" w:rsidP="00F1215C">
      <w:pPr>
        <w:pStyle w:val="FootnoteText"/>
        <w:spacing w:before="0" w:after="0"/>
        <w:ind w:firstLine="0"/>
        <w:rPr>
          <w:noProof/>
          <w:color w:val="000000" w:themeColor="text1"/>
          <w:sz w:val="18"/>
          <w:szCs w:val="18"/>
        </w:rPr>
      </w:pPr>
      <w:r w:rsidRPr="00DA1615">
        <w:rPr>
          <w:rStyle w:val="FootnoteReference"/>
          <w:color w:val="000000" w:themeColor="text1"/>
          <w:sz w:val="18"/>
          <w:szCs w:val="18"/>
        </w:rPr>
        <w:footnoteRef/>
      </w:r>
      <w:r w:rsidRPr="00DA1615">
        <w:rPr>
          <w:color w:val="000000" w:themeColor="text1"/>
          <w:sz w:val="18"/>
          <w:szCs w:val="18"/>
        </w:rPr>
        <w:t xml:space="preserve"> </w:t>
      </w:r>
      <w:r w:rsidRPr="00DA1615">
        <w:rPr>
          <w:noProof/>
          <w:color w:val="000000" w:themeColor="text1"/>
          <w:sz w:val="18"/>
          <w:szCs w:val="18"/>
        </w:rPr>
        <w:t>Eiropas Parlamenta un Padomes Regula (ES) 2024/1263 (2024. gada 29. aprīlis) par ekonomikas politikas efektīvu koordināciju un budžeta daudzpusēju uzraudzību un ar ko atceļ Padomes Regulu (EK) Nr. 1466/97.</w:t>
      </w:r>
    </w:p>
    <w:p w14:paraId="631867E5" w14:textId="77777777" w:rsidR="00F1215C" w:rsidRPr="00DA1615" w:rsidRDefault="00F1215C" w:rsidP="00F1215C">
      <w:pPr>
        <w:pStyle w:val="FootnoteText"/>
        <w:spacing w:before="0" w:after="0"/>
        <w:ind w:firstLine="0"/>
        <w:rPr>
          <w:noProof/>
          <w:color w:val="000000" w:themeColor="text1"/>
          <w:sz w:val="18"/>
          <w:szCs w:val="18"/>
        </w:rPr>
      </w:pPr>
      <w:r w:rsidRPr="00DA1615">
        <w:rPr>
          <w:noProof/>
          <w:color w:val="000000" w:themeColor="text1"/>
          <w:sz w:val="18"/>
          <w:szCs w:val="18"/>
        </w:rPr>
        <w:t>Padomes Regula (ES) 2024/1264 (2024. gada 29. aprīlis), ar ko groza Regulu (EK) Nr. 1467/97 par to, kā paātrināt un precizēt pārmērīga budžeta deficīta novēršanas procedūras īstenošanu.</w:t>
      </w:r>
    </w:p>
    <w:p w14:paraId="3A569B20" w14:textId="77777777" w:rsidR="00F1215C" w:rsidRPr="00DA1615" w:rsidRDefault="00F1215C" w:rsidP="00F1215C">
      <w:pPr>
        <w:pStyle w:val="FootnoteText"/>
        <w:spacing w:before="0" w:after="0"/>
        <w:ind w:firstLine="0"/>
        <w:rPr>
          <w:noProof/>
          <w:color w:val="000000" w:themeColor="text1"/>
          <w:sz w:val="18"/>
          <w:szCs w:val="18"/>
        </w:rPr>
      </w:pPr>
      <w:r w:rsidRPr="00DA1615">
        <w:rPr>
          <w:noProof/>
          <w:color w:val="000000" w:themeColor="text1"/>
          <w:sz w:val="18"/>
          <w:szCs w:val="18"/>
        </w:rPr>
        <w:t>Padomes Direktīva (ES) 2024/1265 (2024. gada 29. aprīlis), ar ko groza Direktīvu 2011/85/ES par prasībām dalībvalstu budžeta struktūrām.</w:t>
      </w:r>
    </w:p>
  </w:footnote>
  <w:footnote w:id="6">
    <w:p w14:paraId="2789F9C9" w14:textId="77777777" w:rsidR="00F1215C" w:rsidRPr="00DA1615" w:rsidRDefault="00F1215C" w:rsidP="00F1215C">
      <w:pPr>
        <w:pStyle w:val="FootnoteText"/>
        <w:spacing w:before="0" w:after="0"/>
        <w:ind w:firstLine="0"/>
        <w:rPr>
          <w:noProof/>
          <w:color w:val="000000" w:themeColor="text1"/>
          <w:sz w:val="18"/>
          <w:szCs w:val="18"/>
        </w:rPr>
      </w:pPr>
      <w:r w:rsidRPr="00DA1615">
        <w:rPr>
          <w:rStyle w:val="FootnoteReference"/>
          <w:noProof/>
          <w:color w:val="000000" w:themeColor="text1"/>
          <w:sz w:val="18"/>
          <w:szCs w:val="18"/>
        </w:rPr>
        <w:footnoteRef/>
      </w:r>
      <w:r w:rsidRPr="00DA1615">
        <w:rPr>
          <w:noProof/>
          <w:color w:val="000000" w:themeColor="text1"/>
          <w:sz w:val="18"/>
          <w:szCs w:val="18"/>
        </w:rPr>
        <w:t xml:space="preserve"> ES Padomes ieteikums ar ko apstiprina Latvijas vidējā termiņa FSP pieejams: </w:t>
      </w:r>
      <w:hyperlink r:id="rId1" w:history="1">
        <w:r w:rsidRPr="00DA1615">
          <w:rPr>
            <w:rStyle w:val="Hyperlink"/>
            <w:rFonts w:ascii="Times New Roman" w:hAnsi="Times New Roman"/>
            <w:noProof/>
            <w:color w:val="000000" w:themeColor="text1"/>
            <w:sz w:val="18"/>
            <w:szCs w:val="18"/>
            <w:u w:val="none"/>
          </w:rPr>
          <w:t>https://eur-lex.europa.eu/legal-content/LV/TXT/HTML/?uri=OJ:C_202500652</w:t>
        </w:r>
      </w:hyperlink>
    </w:p>
  </w:footnote>
  <w:footnote w:id="7">
    <w:p w14:paraId="734061B8" w14:textId="77777777" w:rsidR="00F1215C" w:rsidRPr="00DA1615" w:rsidRDefault="00F1215C" w:rsidP="00F1215C">
      <w:pPr>
        <w:pStyle w:val="FootnoteText"/>
        <w:spacing w:before="0" w:after="0"/>
        <w:ind w:firstLine="0"/>
        <w:rPr>
          <w:noProof/>
          <w:color w:val="000000" w:themeColor="text1"/>
          <w:sz w:val="18"/>
          <w:szCs w:val="18"/>
        </w:rPr>
      </w:pPr>
      <w:r w:rsidRPr="00DA1615">
        <w:rPr>
          <w:rStyle w:val="FootnoteReference"/>
          <w:noProof/>
          <w:color w:val="000000" w:themeColor="text1"/>
          <w:sz w:val="18"/>
          <w:szCs w:val="18"/>
        </w:rPr>
        <w:footnoteRef/>
      </w:r>
      <w:r w:rsidRPr="00DA1615">
        <w:rPr>
          <w:noProof/>
          <w:color w:val="000000" w:themeColor="text1"/>
          <w:sz w:val="18"/>
          <w:szCs w:val="18"/>
        </w:rPr>
        <w:t xml:space="preserve"> Izdevumi, no kuriem izslēgtas vairākas pozīcijas – procentu izdevumi, diskrecionārie ieņēmumi pasākumi (valdības apstiprinātās izmaiņas nodokļos, nenodokļos, maksas pakalpojumos un citos pašu ieņēmumos), izdevumi par ES fondu programmām un valsts līdzfinansējums ES fondu programmām, kā arī bezdarbnieku pabalstu izdevumu cikliskie elementi.</w:t>
      </w:r>
    </w:p>
  </w:footnote>
  <w:footnote w:id="8">
    <w:p w14:paraId="07F1B78C" w14:textId="77777777" w:rsidR="00F1215C" w:rsidRPr="00DA1615" w:rsidRDefault="00F1215C" w:rsidP="00F1215C">
      <w:pPr>
        <w:pStyle w:val="FootnoteText"/>
        <w:spacing w:before="0" w:after="0"/>
        <w:ind w:firstLine="0"/>
        <w:rPr>
          <w:noProof/>
          <w:color w:val="000000" w:themeColor="text1"/>
          <w:sz w:val="18"/>
          <w:szCs w:val="18"/>
        </w:rPr>
      </w:pPr>
      <w:r w:rsidRPr="00DA1615">
        <w:rPr>
          <w:noProof/>
          <w:color w:val="000000" w:themeColor="text1"/>
          <w:sz w:val="18"/>
          <w:szCs w:val="18"/>
          <w:vertAlign w:val="superscript"/>
        </w:rPr>
        <w:footnoteRef/>
      </w:r>
      <w:r w:rsidRPr="00DA1615">
        <w:rPr>
          <w:noProof/>
          <w:color w:val="000000" w:themeColor="text1"/>
          <w:sz w:val="18"/>
          <w:szCs w:val="18"/>
        </w:rPr>
        <w:t xml:space="preserve"> Brussels, 4.6.2025 COM(2025) 610 final, https://data.consilium.europa.eu/doc/document/ST-10474-2025-INIT/lv/pdf</w:t>
      </w:r>
    </w:p>
  </w:footnote>
  <w:footnote w:id="9">
    <w:p w14:paraId="5F1B3852" w14:textId="7BBDFB2C" w:rsidR="00F1215C" w:rsidRPr="00CA2430" w:rsidRDefault="00F1215C" w:rsidP="00F1215C">
      <w:pPr>
        <w:pStyle w:val="FootnoteText"/>
        <w:spacing w:before="0" w:after="0"/>
        <w:ind w:firstLine="0"/>
        <w:rPr>
          <w:noProof/>
          <w:sz w:val="16"/>
          <w:szCs w:val="16"/>
        </w:rPr>
      </w:pPr>
      <w:r w:rsidRPr="00DA1615">
        <w:rPr>
          <w:rStyle w:val="FootnoteReference"/>
          <w:noProof/>
          <w:color w:val="000000" w:themeColor="text1"/>
          <w:sz w:val="18"/>
          <w:szCs w:val="18"/>
        </w:rPr>
        <w:footnoteRef/>
      </w:r>
      <w:r w:rsidRPr="00DA1615">
        <w:rPr>
          <w:noProof/>
          <w:color w:val="000000" w:themeColor="text1"/>
          <w:sz w:val="18"/>
          <w:szCs w:val="18"/>
        </w:rPr>
        <w:t xml:space="preserve"> Likuma “Par valsts budžetu 2023. gadam un budžeta ietvaru 2023., 2024. un 2025. gadam” un “Par valsts budžetu 2024.</w:t>
      </w:r>
      <w:r w:rsidR="00DA1615">
        <w:rPr>
          <w:noProof/>
          <w:color w:val="000000" w:themeColor="text1"/>
          <w:sz w:val="18"/>
          <w:szCs w:val="18"/>
        </w:rPr>
        <w:t> </w:t>
      </w:r>
      <w:r w:rsidRPr="00DA1615">
        <w:rPr>
          <w:noProof/>
          <w:color w:val="000000" w:themeColor="text1"/>
          <w:sz w:val="18"/>
          <w:szCs w:val="18"/>
        </w:rPr>
        <w:t>gadam un budžeta ietvaru 2024., 2025. un 2026. gadam” 5. panta ietvaros.</w:t>
      </w:r>
    </w:p>
  </w:footnote>
  <w:footnote w:id="10">
    <w:p w14:paraId="324C800D" w14:textId="77777777" w:rsidR="00F1215C" w:rsidRPr="00B87658" w:rsidRDefault="00F1215C" w:rsidP="00F1215C">
      <w:pPr>
        <w:pStyle w:val="FootnoteText"/>
        <w:ind w:firstLine="0"/>
        <w:rPr>
          <w:sz w:val="18"/>
          <w:szCs w:val="18"/>
        </w:rPr>
      </w:pPr>
      <w:r w:rsidRPr="00B87658">
        <w:rPr>
          <w:rStyle w:val="FootnoteReference"/>
          <w:sz w:val="18"/>
          <w:szCs w:val="18"/>
        </w:rPr>
        <w:footnoteRef/>
      </w:r>
      <w:r w:rsidRPr="00B87658">
        <w:rPr>
          <w:sz w:val="18"/>
          <w:szCs w:val="18"/>
        </w:rPr>
        <w:t xml:space="preserve"> </w:t>
      </w:r>
      <w:hyperlink r:id="rId2" w:history="1">
        <w:r w:rsidRPr="00B87658">
          <w:rPr>
            <w:rStyle w:val="Hyperlink"/>
            <w:rFonts w:ascii="Times New Roman" w:hAnsi="Times New Roman"/>
            <w:color w:val="auto"/>
            <w:sz w:val="18"/>
            <w:szCs w:val="18"/>
          </w:rPr>
          <w:t>Latvijas Stabilitātes programma 2024.-2028. gadam (mk.gov.lv)</w:t>
        </w:r>
      </w:hyperlink>
    </w:p>
  </w:footnote>
  <w:footnote w:id="11">
    <w:p w14:paraId="3BD93988" w14:textId="509B418C" w:rsidR="00F1215C" w:rsidRPr="00B87658" w:rsidRDefault="00F1215C" w:rsidP="00F1215C">
      <w:pPr>
        <w:pStyle w:val="FootnoteText"/>
        <w:ind w:firstLine="0"/>
        <w:rPr>
          <w:sz w:val="18"/>
          <w:szCs w:val="18"/>
        </w:rPr>
      </w:pPr>
      <w:r w:rsidRPr="00B87658">
        <w:rPr>
          <w:rStyle w:val="FootnoteReference"/>
          <w:sz w:val="18"/>
          <w:szCs w:val="18"/>
        </w:rPr>
        <w:footnoteRef/>
      </w:r>
      <w:r w:rsidRPr="00B87658">
        <w:rPr>
          <w:sz w:val="18"/>
          <w:szCs w:val="18"/>
        </w:rPr>
        <w:t xml:space="preserve"> </w:t>
      </w:r>
      <w:r w:rsidR="00B605BC">
        <w:rPr>
          <w:color w:val="000000" w:themeColor="text1"/>
          <w:sz w:val="18"/>
          <w:szCs w:val="18"/>
        </w:rPr>
        <w:t>I</w:t>
      </w:r>
      <w:r w:rsidRPr="00B87658">
        <w:rPr>
          <w:color w:val="000000" w:themeColor="text1"/>
          <w:sz w:val="18"/>
          <w:szCs w:val="18"/>
        </w:rPr>
        <w:t>nformācij</w:t>
      </w:r>
      <w:r w:rsidR="002D2CD4">
        <w:rPr>
          <w:color w:val="000000" w:themeColor="text1"/>
          <w:sz w:val="18"/>
          <w:szCs w:val="18"/>
        </w:rPr>
        <w:t>a</w:t>
      </w:r>
      <w:r w:rsidRPr="00B87658">
        <w:rPr>
          <w:color w:val="000000" w:themeColor="text1"/>
          <w:sz w:val="18"/>
          <w:szCs w:val="18"/>
        </w:rPr>
        <w:t xml:space="preserve"> pieejama FM tīmekļa vietnē: </w:t>
      </w:r>
      <w:hyperlink r:id="rId3" w:history="1">
        <w:r w:rsidRPr="00B87658">
          <w:rPr>
            <w:rStyle w:val="Hyperlink"/>
            <w:rFonts w:ascii="Times New Roman" w:hAnsi="Times New Roman"/>
            <w:color w:val="000000" w:themeColor="text1"/>
            <w:sz w:val="18"/>
            <w:szCs w:val="18"/>
            <w:u w:val="none"/>
          </w:rPr>
          <w:t>https://www.fm.gov.lv/lv/fsp-2025-2028-gadam</w:t>
        </w:r>
      </w:hyperlink>
      <w:r w:rsidRPr="00B87658">
        <w:rPr>
          <w:color w:val="000000" w:themeColor="text1"/>
          <w:sz w:val="18"/>
          <w:szCs w:val="18"/>
        </w:rPr>
        <w:t xml:space="preserve"> </w:t>
      </w:r>
    </w:p>
  </w:footnote>
  <w:footnote w:id="12">
    <w:p w14:paraId="1780E2D6" w14:textId="14B35D78" w:rsidR="00F1215C" w:rsidRPr="001050CA" w:rsidRDefault="00F1215C" w:rsidP="00F1215C">
      <w:pPr>
        <w:pStyle w:val="FootnoteText"/>
        <w:ind w:firstLine="0"/>
        <w:rPr>
          <w:sz w:val="18"/>
          <w:szCs w:val="18"/>
        </w:rPr>
      </w:pPr>
      <w:r w:rsidRPr="001050CA">
        <w:rPr>
          <w:rStyle w:val="FootnoteReference"/>
          <w:sz w:val="18"/>
          <w:szCs w:val="18"/>
        </w:rPr>
        <w:footnoteRef/>
      </w:r>
      <w:r w:rsidRPr="001050CA">
        <w:rPr>
          <w:sz w:val="18"/>
          <w:szCs w:val="18"/>
        </w:rPr>
        <w:t xml:space="preserve"> PADOMES IETEIKUMS par Latvijas ekonomikas, sociālo, nodarbinātības, strukturālo un budžeta politiku </w:t>
      </w:r>
      <w:hyperlink r:id="rId4" w:history="1">
        <w:r w:rsidRPr="001050CA">
          <w:rPr>
            <w:rStyle w:val="Hyperlink"/>
            <w:rFonts w:ascii="Times New Roman" w:hAnsi="Times New Roman"/>
            <w:bCs/>
            <w:noProof/>
            <w:color w:val="auto"/>
            <w:sz w:val="18"/>
            <w:szCs w:val="18"/>
          </w:rPr>
          <w:t>https://data.consilium.europa.eu/doc/document/ST-10974-2025-INIT/lv/pdf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BEAAA" w14:textId="39E83D62" w:rsidR="00C60391" w:rsidRDefault="00C60391" w:rsidP="002D0A6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39DE"/>
    <w:multiLevelType w:val="hybridMultilevel"/>
    <w:tmpl w:val="5C7ECEC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08C94615"/>
    <w:multiLevelType w:val="hybridMultilevel"/>
    <w:tmpl w:val="6F74246C"/>
    <w:lvl w:ilvl="0" w:tplc="B308ED10">
      <w:start w:val="1"/>
      <w:numFmt w:val="decimal"/>
      <w:lvlText w:val="%1)"/>
      <w:lvlJc w:val="left"/>
      <w:pPr>
        <w:ind w:left="1080" w:hanging="360"/>
      </w:pPr>
      <w:rPr>
        <w:rFonts w:ascii="Times New Roman" w:eastAsia="Calibri" w:hAnsi="Times New Roman" w:cs="Times New Roman"/>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 w15:restartNumberingAfterBreak="0">
    <w:nsid w:val="0C670409"/>
    <w:multiLevelType w:val="hybridMultilevel"/>
    <w:tmpl w:val="FC2A8632"/>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 w15:restartNumberingAfterBreak="0">
    <w:nsid w:val="10FD628C"/>
    <w:multiLevelType w:val="hybridMultilevel"/>
    <w:tmpl w:val="285A82DE"/>
    <w:lvl w:ilvl="0" w:tplc="A6D6E706">
      <w:start w:val="1"/>
      <w:numFmt w:val="decimal"/>
      <w:lvlText w:val="%1."/>
      <w:lvlJc w:val="left"/>
      <w:pPr>
        <w:ind w:left="720" w:hanging="360"/>
      </w:pPr>
      <w:rPr>
        <w:i w:val="0"/>
        <w:sz w:val="28"/>
        <w:szCs w:val="28"/>
      </w:rPr>
    </w:lvl>
    <w:lvl w:ilvl="1" w:tplc="04260001">
      <w:start w:val="1"/>
      <w:numFmt w:val="bullet"/>
      <w:lvlText w:val=""/>
      <w:lvlJc w:val="left"/>
      <w:pPr>
        <w:ind w:left="1440" w:hanging="360"/>
      </w:pPr>
      <w:rPr>
        <w:rFonts w:ascii="Symbol" w:hAnsi="Symbol" w:hint="default"/>
      </w:rPr>
    </w:lvl>
    <w:lvl w:ilvl="2" w:tplc="0426001B" w:tentative="1">
      <w:start w:val="1"/>
      <w:numFmt w:val="lowerRoman"/>
      <w:lvlText w:val="%3."/>
      <w:lvlJc w:val="right"/>
      <w:pPr>
        <w:ind w:left="2160" w:hanging="180"/>
      </w:pPr>
    </w:lvl>
    <w:lvl w:ilvl="3" w:tplc="10FACD0A">
      <w:start w:val="1"/>
      <w:numFmt w:val="decimal"/>
      <w:lvlText w:val="%4."/>
      <w:lvlJc w:val="left"/>
      <w:pPr>
        <w:ind w:left="2880" w:hanging="360"/>
      </w:pPr>
      <w:rPr>
        <w:rFonts w:ascii="Times New Roman" w:eastAsia="Calibri" w:hAnsi="Times New Roman" w:cs="Times New Roman"/>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47A3C4D"/>
    <w:multiLevelType w:val="hybridMultilevel"/>
    <w:tmpl w:val="283E3A8E"/>
    <w:lvl w:ilvl="0" w:tplc="552A82E2">
      <w:start w:val="1"/>
      <w:numFmt w:val="decimal"/>
      <w:lvlText w:val="%1."/>
      <w:lvlJc w:val="left"/>
      <w:pPr>
        <w:ind w:left="1440" w:hanging="360"/>
      </w:pPr>
      <w:rPr>
        <w:rFonts w:ascii="Times New Roman" w:hAnsi="Times New Roman" w:cs="Times New Roman" w:hint="default"/>
        <w:sz w:val="28"/>
        <w:szCs w:val="28"/>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 w15:restartNumberingAfterBreak="0">
    <w:nsid w:val="168528B3"/>
    <w:multiLevelType w:val="hybridMultilevel"/>
    <w:tmpl w:val="2C7C1D46"/>
    <w:lvl w:ilvl="0" w:tplc="046E5138">
      <w:start w:val="4"/>
      <w:numFmt w:val="decimal"/>
      <w:lvlText w:val="%1."/>
      <w:lvlJc w:val="left"/>
      <w:pPr>
        <w:ind w:left="720" w:hanging="360"/>
      </w:pPr>
      <w:rPr>
        <w:rFonts w:hint="default"/>
        <w:i w:val="0"/>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B525228"/>
    <w:multiLevelType w:val="hybridMultilevel"/>
    <w:tmpl w:val="29145A76"/>
    <w:lvl w:ilvl="0" w:tplc="04260005">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1BFD7CD0"/>
    <w:multiLevelType w:val="hybridMultilevel"/>
    <w:tmpl w:val="F096507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8" w15:restartNumberingAfterBreak="0">
    <w:nsid w:val="1D742C3A"/>
    <w:multiLevelType w:val="hybridMultilevel"/>
    <w:tmpl w:val="1D0E0600"/>
    <w:lvl w:ilvl="0" w:tplc="0426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1F792FC2"/>
    <w:multiLevelType w:val="multilevel"/>
    <w:tmpl w:val="B0123828"/>
    <w:lvl w:ilvl="0">
      <w:start w:val="1"/>
      <w:numFmt w:val="decimal"/>
      <w:pStyle w:val="Heading1"/>
      <w:lvlText w:val="%1."/>
      <w:lvlJc w:val="left"/>
      <w:pPr>
        <w:ind w:left="927"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21D8227E"/>
    <w:multiLevelType w:val="hybridMultilevel"/>
    <w:tmpl w:val="3D4C1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1903D2"/>
    <w:multiLevelType w:val="hybridMultilevel"/>
    <w:tmpl w:val="82B01038"/>
    <w:lvl w:ilvl="0" w:tplc="C43E399A">
      <w:start w:val="1"/>
      <w:numFmt w:val="decimal"/>
      <w:pStyle w:val="Heading2"/>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EFF2E99"/>
    <w:multiLevelType w:val="hybridMultilevel"/>
    <w:tmpl w:val="1850299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2772D9A"/>
    <w:multiLevelType w:val="hybridMultilevel"/>
    <w:tmpl w:val="AE8EF3E8"/>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8207461"/>
    <w:multiLevelType w:val="hybridMultilevel"/>
    <w:tmpl w:val="FA24CD6A"/>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15" w15:restartNumberingAfterBreak="0">
    <w:nsid w:val="3FE4421E"/>
    <w:multiLevelType w:val="hybridMultilevel"/>
    <w:tmpl w:val="E93AE4FC"/>
    <w:lvl w:ilvl="0" w:tplc="FFFFFFFF">
      <w:start w:val="1"/>
      <w:numFmt w:val="decimal"/>
      <w:lvlText w:val="%1)"/>
      <w:lvlJc w:val="left"/>
      <w:pPr>
        <w:ind w:left="1080" w:hanging="360"/>
      </w:pPr>
      <w:rPr>
        <w:rFonts w:hint="default"/>
        <w:b w:val="0"/>
        <w:bCs/>
        <w:i w:val="0"/>
        <w:iCs/>
      </w:rPr>
    </w:lvl>
    <w:lvl w:ilvl="1" w:tplc="04090005">
      <w:start w:val="1"/>
      <w:numFmt w:val="bullet"/>
      <w:lvlText w:val=""/>
      <w:lvlJc w:val="left"/>
      <w:pPr>
        <w:ind w:left="1800" w:hanging="360"/>
      </w:pPr>
      <w:rPr>
        <w:rFonts w:ascii="Wingdings" w:hAnsi="Wingding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400C4580"/>
    <w:multiLevelType w:val="hybridMultilevel"/>
    <w:tmpl w:val="10DC4A30"/>
    <w:lvl w:ilvl="0" w:tplc="04260017">
      <w:start w:val="1"/>
      <w:numFmt w:val="lowerLetter"/>
      <w:lvlText w:val="%1)"/>
      <w:lvlJc w:val="left"/>
      <w:pPr>
        <w:ind w:left="720" w:hanging="360"/>
      </w:pPr>
      <w:rPr>
        <w:rFonts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0E719B2"/>
    <w:multiLevelType w:val="hybridMultilevel"/>
    <w:tmpl w:val="C8FCE4B4"/>
    <w:lvl w:ilvl="0" w:tplc="04260001">
      <w:start w:val="1"/>
      <w:numFmt w:val="bullet"/>
      <w:lvlText w:val=""/>
      <w:lvlJc w:val="left"/>
      <w:pPr>
        <w:ind w:left="3076" w:hanging="360"/>
      </w:pPr>
      <w:rPr>
        <w:rFonts w:ascii="Symbol" w:hAnsi="Symbol" w:hint="default"/>
      </w:rPr>
    </w:lvl>
    <w:lvl w:ilvl="1" w:tplc="04260003">
      <w:start w:val="1"/>
      <w:numFmt w:val="bullet"/>
      <w:lvlText w:val="o"/>
      <w:lvlJc w:val="left"/>
      <w:pPr>
        <w:ind w:left="3796" w:hanging="360"/>
      </w:pPr>
      <w:rPr>
        <w:rFonts w:ascii="Courier New" w:hAnsi="Courier New" w:cs="Courier New" w:hint="default"/>
      </w:rPr>
    </w:lvl>
    <w:lvl w:ilvl="2" w:tplc="04260001">
      <w:start w:val="1"/>
      <w:numFmt w:val="bullet"/>
      <w:lvlText w:val=""/>
      <w:lvlJc w:val="left"/>
      <w:pPr>
        <w:ind w:left="4516" w:hanging="360"/>
      </w:pPr>
      <w:rPr>
        <w:rFonts w:ascii="Symbol" w:hAnsi="Symbol" w:hint="default"/>
      </w:rPr>
    </w:lvl>
    <w:lvl w:ilvl="3" w:tplc="04260001" w:tentative="1">
      <w:start w:val="1"/>
      <w:numFmt w:val="bullet"/>
      <w:lvlText w:val=""/>
      <w:lvlJc w:val="left"/>
      <w:pPr>
        <w:ind w:left="5236" w:hanging="360"/>
      </w:pPr>
      <w:rPr>
        <w:rFonts w:ascii="Symbol" w:hAnsi="Symbol" w:hint="default"/>
      </w:rPr>
    </w:lvl>
    <w:lvl w:ilvl="4" w:tplc="04260003" w:tentative="1">
      <w:start w:val="1"/>
      <w:numFmt w:val="bullet"/>
      <w:lvlText w:val="o"/>
      <w:lvlJc w:val="left"/>
      <w:pPr>
        <w:ind w:left="5956" w:hanging="360"/>
      </w:pPr>
      <w:rPr>
        <w:rFonts w:ascii="Courier New" w:hAnsi="Courier New" w:cs="Courier New" w:hint="default"/>
      </w:rPr>
    </w:lvl>
    <w:lvl w:ilvl="5" w:tplc="04260005" w:tentative="1">
      <w:start w:val="1"/>
      <w:numFmt w:val="bullet"/>
      <w:lvlText w:val=""/>
      <w:lvlJc w:val="left"/>
      <w:pPr>
        <w:ind w:left="6676" w:hanging="360"/>
      </w:pPr>
      <w:rPr>
        <w:rFonts w:ascii="Wingdings" w:hAnsi="Wingdings" w:hint="default"/>
      </w:rPr>
    </w:lvl>
    <w:lvl w:ilvl="6" w:tplc="04260001" w:tentative="1">
      <w:start w:val="1"/>
      <w:numFmt w:val="bullet"/>
      <w:lvlText w:val=""/>
      <w:lvlJc w:val="left"/>
      <w:pPr>
        <w:ind w:left="7396" w:hanging="360"/>
      </w:pPr>
      <w:rPr>
        <w:rFonts w:ascii="Symbol" w:hAnsi="Symbol" w:hint="default"/>
      </w:rPr>
    </w:lvl>
    <w:lvl w:ilvl="7" w:tplc="04260003" w:tentative="1">
      <w:start w:val="1"/>
      <w:numFmt w:val="bullet"/>
      <w:lvlText w:val="o"/>
      <w:lvlJc w:val="left"/>
      <w:pPr>
        <w:ind w:left="8116" w:hanging="360"/>
      </w:pPr>
      <w:rPr>
        <w:rFonts w:ascii="Courier New" w:hAnsi="Courier New" w:cs="Courier New" w:hint="default"/>
      </w:rPr>
    </w:lvl>
    <w:lvl w:ilvl="8" w:tplc="04260005" w:tentative="1">
      <w:start w:val="1"/>
      <w:numFmt w:val="bullet"/>
      <w:lvlText w:val=""/>
      <w:lvlJc w:val="left"/>
      <w:pPr>
        <w:ind w:left="8836" w:hanging="360"/>
      </w:pPr>
      <w:rPr>
        <w:rFonts w:ascii="Wingdings" w:hAnsi="Wingdings" w:hint="default"/>
      </w:rPr>
    </w:lvl>
  </w:abstractNum>
  <w:abstractNum w:abstractNumId="18" w15:restartNumberingAfterBreak="0">
    <w:nsid w:val="438B7355"/>
    <w:multiLevelType w:val="multilevel"/>
    <w:tmpl w:val="E5FA3A26"/>
    <w:lvl w:ilvl="0">
      <w:start w:val="2"/>
      <w:numFmt w:val="decimal"/>
      <w:lvlText w:val="%1."/>
      <w:lvlJc w:val="left"/>
      <w:pPr>
        <w:ind w:left="450" w:hanging="450"/>
      </w:pPr>
      <w:rPr>
        <w:rFonts w:hint="default"/>
        <w:sz w:val="28"/>
      </w:rPr>
    </w:lvl>
    <w:lvl w:ilvl="1">
      <w:start w:val="1"/>
      <w:numFmt w:val="decimal"/>
      <w:lvlText w:val="%1.%2."/>
      <w:lvlJc w:val="left"/>
      <w:pPr>
        <w:ind w:left="1164" w:hanging="450"/>
      </w:pPr>
      <w:rPr>
        <w:rFonts w:hint="default"/>
        <w:sz w:val="24"/>
        <w:szCs w:val="22"/>
      </w:rPr>
    </w:lvl>
    <w:lvl w:ilvl="2">
      <w:start w:val="1"/>
      <w:numFmt w:val="decimal"/>
      <w:lvlText w:val="%1.%2.%3."/>
      <w:lvlJc w:val="left"/>
      <w:pPr>
        <w:ind w:left="2148" w:hanging="720"/>
      </w:pPr>
      <w:rPr>
        <w:rFonts w:hint="default"/>
        <w:sz w:val="28"/>
      </w:rPr>
    </w:lvl>
    <w:lvl w:ilvl="3">
      <w:start w:val="1"/>
      <w:numFmt w:val="decimal"/>
      <w:lvlText w:val="%1.%2.%3.%4."/>
      <w:lvlJc w:val="left"/>
      <w:pPr>
        <w:ind w:left="2862" w:hanging="720"/>
      </w:pPr>
      <w:rPr>
        <w:rFonts w:hint="default"/>
        <w:sz w:val="28"/>
      </w:rPr>
    </w:lvl>
    <w:lvl w:ilvl="4">
      <w:start w:val="1"/>
      <w:numFmt w:val="decimal"/>
      <w:lvlText w:val="%1.%2.%3.%4.%5."/>
      <w:lvlJc w:val="left"/>
      <w:pPr>
        <w:ind w:left="3936" w:hanging="1080"/>
      </w:pPr>
      <w:rPr>
        <w:rFonts w:hint="default"/>
        <w:sz w:val="28"/>
      </w:rPr>
    </w:lvl>
    <w:lvl w:ilvl="5">
      <w:start w:val="1"/>
      <w:numFmt w:val="decimal"/>
      <w:lvlText w:val="%1.%2.%3.%4.%5.%6."/>
      <w:lvlJc w:val="left"/>
      <w:pPr>
        <w:ind w:left="4650" w:hanging="1080"/>
      </w:pPr>
      <w:rPr>
        <w:rFonts w:hint="default"/>
        <w:sz w:val="28"/>
      </w:rPr>
    </w:lvl>
    <w:lvl w:ilvl="6">
      <w:start w:val="1"/>
      <w:numFmt w:val="decimal"/>
      <w:lvlText w:val="%1.%2.%3.%4.%5.%6.%7."/>
      <w:lvlJc w:val="left"/>
      <w:pPr>
        <w:ind w:left="5724" w:hanging="1440"/>
      </w:pPr>
      <w:rPr>
        <w:rFonts w:hint="default"/>
        <w:sz w:val="28"/>
      </w:rPr>
    </w:lvl>
    <w:lvl w:ilvl="7">
      <w:start w:val="1"/>
      <w:numFmt w:val="decimal"/>
      <w:lvlText w:val="%1.%2.%3.%4.%5.%6.%7.%8."/>
      <w:lvlJc w:val="left"/>
      <w:pPr>
        <w:ind w:left="6438" w:hanging="1440"/>
      </w:pPr>
      <w:rPr>
        <w:rFonts w:hint="default"/>
        <w:sz w:val="28"/>
      </w:rPr>
    </w:lvl>
    <w:lvl w:ilvl="8">
      <w:start w:val="1"/>
      <w:numFmt w:val="decimal"/>
      <w:lvlText w:val="%1.%2.%3.%4.%5.%6.%7.%8.%9."/>
      <w:lvlJc w:val="left"/>
      <w:pPr>
        <w:ind w:left="7512" w:hanging="1800"/>
      </w:pPr>
      <w:rPr>
        <w:rFonts w:hint="default"/>
        <w:sz w:val="28"/>
      </w:rPr>
    </w:lvl>
  </w:abstractNum>
  <w:abstractNum w:abstractNumId="19" w15:restartNumberingAfterBreak="0">
    <w:nsid w:val="49824539"/>
    <w:multiLevelType w:val="hybridMultilevel"/>
    <w:tmpl w:val="3230C182"/>
    <w:lvl w:ilvl="0" w:tplc="A6D6E706">
      <w:start w:val="1"/>
      <w:numFmt w:val="decimal"/>
      <w:lvlText w:val="%1."/>
      <w:lvlJc w:val="left"/>
      <w:pPr>
        <w:ind w:left="720" w:hanging="360"/>
      </w:pPr>
      <w:rPr>
        <w:i w:val="0"/>
        <w:sz w:val="28"/>
        <w:szCs w:val="28"/>
      </w:rPr>
    </w:lvl>
    <w:lvl w:ilvl="1" w:tplc="04260001">
      <w:start w:val="1"/>
      <w:numFmt w:val="bullet"/>
      <w:lvlText w:val=""/>
      <w:lvlJc w:val="left"/>
      <w:pPr>
        <w:ind w:left="1440" w:hanging="360"/>
      </w:pPr>
      <w:rPr>
        <w:rFonts w:ascii="Symbol" w:hAnsi="Symbol" w:hint="default"/>
      </w:rPr>
    </w:lvl>
    <w:lvl w:ilvl="2" w:tplc="0426001B" w:tentative="1">
      <w:start w:val="1"/>
      <w:numFmt w:val="lowerRoman"/>
      <w:lvlText w:val="%3."/>
      <w:lvlJc w:val="right"/>
      <w:pPr>
        <w:ind w:left="2160" w:hanging="180"/>
      </w:pPr>
    </w:lvl>
    <w:lvl w:ilvl="3" w:tplc="10FACD0A">
      <w:start w:val="1"/>
      <w:numFmt w:val="decimal"/>
      <w:lvlText w:val="%4."/>
      <w:lvlJc w:val="left"/>
      <w:pPr>
        <w:ind w:left="2880" w:hanging="360"/>
      </w:pPr>
      <w:rPr>
        <w:rFonts w:ascii="Times New Roman" w:eastAsia="Calibri" w:hAnsi="Times New Roman" w:cs="Times New Roman"/>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F830B7E"/>
    <w:multiLevelType w:val="hybridMultilevel"/>
    <w:tmpl w:val="76F28026"/>
    <w:lvl w:ilvl="0" w:tplc="0C0218B2">
      <w:start w:val="1"/>
      <w:numFmt w:val="decimal"/>
      <w:lvlText w:val="%1."/>
      <w:lvlJc w:val="left"/>
      <w:pPr>
        <w:ind w:left="720" w:hanging="360"/>
      </w:pPr>
      <w:rPr>
        <w:sz w:val="28"/>
        <w:szCs w:val="28"/>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10FACD0A">
      <w:start w:val="1"/>
      <w:numFmt w:val="decimal"/>
      <w:lvlText w:val="%4."/>
      <w:lvlJc w:val="left"/>
      <w:pPr>
        <w:ind w:left="2880" w:hanging="360"/>
      </w:pPr>
      <w:rPr>
        <w:rFonts w:ascii="Times New Roman" w:eastAsia="Calibri" w:hAnsi="Times New Roman" w:cs="Times New Roman"/>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3E9488B"/>
    <w:multiLevelType w:val="hybridMultilevel"/>
    <w:tmpl w:val="7CA89D08"/>
    <w:lvl w:ilvl="0" w:tplc="A95E1C44">
      <w:start w:val="1"/>
      <w:numFmt w:val="decimal"/>
      <w:lvlText w:val="%1)"/>
      <w:lvlJc w:val="left"/>
      <w:pPr>
        <w:ind w:left="1080" w:hanging="360"/>
      </w:pPr>
      <w:rPr>
        <w:rFonts w:ascii="Times New Roman" w:eastAsia="Calibri" w:hAnsi="Times New Roman" w:cs="Times New Roman"/>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56123E0E"/>
    <w:multiLevelType w:val="multilevel"/>
    <w:tmpl w:val="D1D0C1B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87C4375"/>
    <w:multiLevelType w:val="hybridMultilevel"/>
    <w:tmpl w:val="2E8E69F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9223162"/>
    <w:multiLevelType w:val="hybridMultilevel"/>
    <w:tmpl w:val="4F96C616"/>
    <w:lvl w:ilvl="0" w:tplc="04260005">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BAE5E75"/>
    <w:multiLevelType w:val="hybridMultilevel"/>
    <w:tmpl w:val="AE8EF3E8"/>
    <w:lvl w:ilvl="0" w:tplc="FFFFFFFF">
      <w:start w:val="1"/>
      <w:numFmt w:val="decimal"/>
      <w:lvlText w:val="%1."/>
      <w:lvlJc w:val="left"/>
      <w:pPr>
        <w:ind w:left="927"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F284EC8"/>
    <w:multiLevelType w:val="hybridMultilevel"/>
    <w:tmpl w:val="AE8EF3E8"/>
    <w:lvl w:ilvl="0" w:tplc="9312905C">
      <w:start w:val="1"/>
      <w:numFmt w:val="decimal"/>
      <w:lvlText w:val="%1."/>
      <w:lvlJc w:val="left"/>
      <w:pPr>
        <w:ind w:left="927" w:hanging="360"/>
      </w:pPr>
      <w:rPr>
        <w:rFonts w:ascii="Times New Roman" w:hAnsi="Times New Roman" w:cs="Times New Roman" w:hint="default"/>
        <w:sz w:val="24"/>
        <w:szCs w:val="24"/>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0D47F11"/>
    <w:multiLevelType w:val="hybridMultilevel"/>
    <w:tmpl w:val="5B5C7660"/>
    <w:lvl w:ilvl="0" w:tplc="DBF274F6">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8" w15:restartNumberingAfterBreak="0">
    <w:nsid w:val="677361F3"/>
    <w:multiLevelType w:val="hybridMultilevel"/>
    <w:tmpl w:val="A566E126"/>
    <w:lvl w:ilvl="0" w:tplc="ED28CD88">
      <w:start w:val="1"/>
      <w:numFmt w:val="decimal"/>
      <w:lvlText w:val="%1)"/>
      <w:lvlJc w:val="left"/>
      <w:pPr>
        <w:ind w:left="1080" w:hanging="360"/>
      </w:pPr>
      <w:rPr>
        <w:rFonts w:hint="default"/>
        <w:b w:val="0"/>
        <w:bCs/>
        <w:i w:val="0"/>
        <w:iCs/>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9" w15:restartNumberingAfterBreak="0">
    <w:nsid w:val="6DFB7872"/>
    <w:multiLevelType w:val="hybridMultilevel"/>
    <w:tmpl w:val="E58005F8"/>
    <w:lvl w:ilvl="0" w:tplc="04090005">
      <w:start w:val="1"/>
      <w:numFmt w:val="bullet"/>
      <w:lvlText w:val=""/>
      <w:lvlJc w:val="left"/>
      <w:pPr>
        <w:ind w:left="300" w:hanging="360"/>
      </w:pPr>
      <w:rPr>
        <w:rFonts w:ascii="Wingdings" w:hAnsi="Wingdings" w:hint="default"/>
      </w:rPr>
    </w:lvl>
    <w:lvl w:ilvl="1" w:tplc="04090003" w:tentative="1">
      <w:start w:val="1"/>
      <w:numFmt w:val="bullet"/>
      <w:lvlText w:val="o"/>
      <w:lvlJc w:val="left"/>
      <w:pPr>
        <w:ind w:left="1020" w:hanging="360"/>
      </w:pPr>
      <w:rPr>
        <w:rFonts w:ascii="Courier New" w:hAnsi="Courier New" w:cs="Courier New" w:hint="default"/>
      </w:rPr>
    </w:lvl>
    <w:lvl w:ilvl="2" w:tplc="04090005" w:tentative="1">
      <w:start w:val="1"/>
      <w:numFmt w:val="bullet"/>
      <w:lvlText w:val=""/>
      <w:lvlJc w:val="left"/>
      <w:pPr>
        <w:ind w:left="1740" w:hanging="360"/>
      </w:pPr>
      <w:rPr>
        <w:rFonts w:ascii="Wingdings" w:hAnsi="Wingdings" w:hint="default"/>
      </w:rPr>
    </w:lvl>
    <w:lvl w:ilvl="3" w:tplc="04090001" w:tentative="1">
      <w:start w:val="1"/>
      <w:numFmt w:val="bullet"/>
      <w:lvlText w:val=""/>
      <w:lvlJc w:val="left"/>
      <w:pPr>
        <w:ind w:left="2460" w:hanging="360"/>
      </w:pPr>
      <w:rPr>
        <w:rFonts w:ascii="Symbol" w:hAnsi="Symbol" w:hint="default"/>
      </w:rPr>
    </w:lvl>
    <w:lvl w:ilvl="4" w:tplc="04090003" w:tentative="1">
      <w:start w:val="1"/>
      <w:numFmt w:val="bullet"/>
      <w:lvlText w:val="o"/>
      <w:lvlJc w:val="left"/>
      <w:pPr>
        <w:ind w:left="3180" w:hanging="360"/>
      </w:pPr>
      <w:rPr>
        <w:rFonts w:ascii="Courier New" w:hAnsi="Courier New" w:cs="Courier New" w:hint="default"/>
      </w:rPr>
    </w:lvl>
    <w:lvl w:ilvl="5" w:tplc="04090005" w:tentative="1">
      <w:start w:val="1"/>
      <w:numFmt w:val="bullet"/>
      <w:lvlText w:val=""/>
      <w:lvlJc w:val="left"/>
      <w:pPr>
        <w:ind w:left="3900" w:hanging="360"/>
      </w:pPr>
      <w:rPr>
        <w:rFonts w:ascii="Wingdings" w:hAnsi="Wingdings" w:hint="default"/>
      </w:rPr>
    </w:lvl>
    <w:lvl w:ilvl="6" w:tplc="04090001" w:tentative="1">
      <w:start w:val="1"/>
      <w:numFmt w:val="bullet"/>
      <w:lvlText w:val=""/>
      <w:lvlJc w:val="left"/>
      <w:pPr>
        <w:ind w:left="4620" w:hanging="360"/>
      </w:pPr>
      <w:rPr>
        <w:rFonts w:ascii="Symbol" w:hAnsi="Symbol" w:hint="default"/>
      </w:rPr>
    </w:lvl>
    <w:lvl w:ilvl="7" w:tplc="04090003" w:tentative="1">
      <w:start w:val="1"/>
      <w:numFmt w:val="bullet"/>
      <w:lvlText w:val="o"/>
      <w:lvlJc w:val="left"/>
      <w:pPr>
        <w:ind w:left="5340" w:hanging="360"/>
      </w:pPr>
      <w:rPr>
        <w:rFonts w:ascii="Courier New" w:hAnsi="Courier New" w:cs="Courier New" w:hint="default"/>
      </w:rPr>
    </w:lvl>
    <w:lvl w:ilvl="8" w:tplc="04090005" w:tentative="1">
      <w:start w:val="1"/>
      <w:numFmt w:val="bullet"/>
      <w:lvlText w:val=""/>
      <w:lvlJc w:val="left"/>
      <w:pPr>
        <w:ind w:left="6060" w:hanging="360"/>
      </w:pPr>
      <w:rPr>
        <w:rFonts w:ascii="Wingdings" w:hAnsi="Wingdings" w:hint="default"/>
      </w:rPr>
    </w:lvl>
  </w:abstractNum>
  <w:abstractNum w:abstractNumId="30" w15:restartNumberingAfterBreak="0">
    <w:nsid w:val="6F124485"/>
    <w:multiLevelType w:val="hybridMultilevel"/>
    <w:tmpl w:val="AF84DB8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1" w15:restartNumberingAfterBreak="0">
    <w:nsid w:val="6FAF67E6"/>
    <w:multiLevelType w:val="hybridMultilevel"/>
    <w:tmpl w:val="FC70E250"/>
    <w:lvl w:ilvl="0" w:tplc="AB8A7336">
      <w:start w:val="1"/>
      <w:numFmt w:val="decimal"/>
      <w:lvlText w:val="%1)"/>
      <w:lvlJc w:val="left"/>
      <w:pPr>
        <w:ind w:left="720" w:hanging="360"/>
      </w:pPr>
      <w:rPr>
        <w:rFonts w:ascii="Times New Roman" w:eastAsiaTheme="minorHAnsi" w:hAnsi="Times New Roman" w:cstheme="minorBidi"/>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0012FB7"/>
    <w:multiLevelType w:val="hybridMultilevel"/>
    <w:tmpl w:val="93AE1A3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3" w15:restartNumberingAfterBreak="0">
    <w:nsid w:val="700C3D5B"/>
    <w:multiLevelType w:val="hybridMultilevel"/>
    <w:tmpl w:val="F354706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3E6081F"/>
    <w:multiLevelType w:val="hybridMultilevel"/>
    <w:tmpl w:val="71F418D4"/>
    <w:lvl w:ilvl="0" w:tplc="04260001">
      <w:start w:val="1"/>
      <w:numFmt w:val="bullet"/>
      <w:lvlText w:val=""/>
      <w:lvlJc w:val="left"/>
      <w:pPr>
        <w:ind w:left="1440" w:hanging="360"/>
      </w:pPr>
      <w:rPr>
        <w:rFonts w:ascii="Symbol" w:hAnsi="Symbol" w:hint="default"/>
      </w:rPr>
    </w:lvl>
    <w:lvl w:ilvl="1" w:tplc="F7889D16">
      <w:numFmt w:val="bullet"/>
      <w:lvlText w:val="-"/>
      <w:lvlJc w:val="left"/>
      <w:pPr>
        <w:ind w:left="2160" w:hanging="360"/>
      </w:pPr>
      <w:rPr>
        <w:rFonts w:ascii="Times New Roman" w:eastAsiaTheme="minorEastAsia" w:hAnsi="Times New Roman" w:cs="Times New Roman"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5" w15:restartNumberingAfterBreak="0">
    <w:nsid w:val="77AA08FD"/>
    <w:multiLevelType w:val="hybridMultilevel"/>
    <w:tmpl w:val="1C8A5C9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6" w15:restartNumberingAfterBreak="0">
    <w:nsid w:val="78D146FC"/>
    <w:multiLevelType w:val="hybridMultilevel"/>
    <w:tmpl w:val="CE74D1A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7" w15:restartNumberingAfterBreak="0">
    <w:nsid w:val="7CA923FD"/>
    <w:multiLevelType w:val="hybridMultilevel"/>
    <w:tmpl w:val="546C4A86"/>
    <w:lvl w:ilvl="0" w:tplc="FFFFFFFF">
      <w:start w:val="1"/>
      <w:numFmt w:val="decimal"/>
      <w:lvlText w:val="%1."/>
      <w:lvlJc w:val="left"/>
      <w:pPr>
        <w:ind w:left="2934"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8" w15:restartNumberingAfterBreak="0">
    <w:nsid w:val="7ECD4C3B"/>
    <w:multiLevelType w:val="hybridMultilevel"/>
    <w:tmpl w:val="85F0C990"/>
    <w:lvl w:ilvl="0" w:tplc="04260005">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16cid:durableId="2138646856">
    <w:abstractNumId w:val="9"/>
  </w:num>
  <w:num w:numId="2" w16cid:durableId="751511019">
    <w:abstractNumId w:val="11"/>
  </w:num>
  <w:num w:numId="3" w16cid:durableId="1429622086">
    <w:abstractNumId w:val="26"/>
  </w:num>
  <w:num w:numId="4" w16cid:durableId="1189029574">
    <w:abstractNumId w:val="33"/>
  </w:num>
  <w:num w:numId="5" w16cid:durableId="746607760">
    <w:abstractNumId w:val="24"/>
  </w:num>
  <w:num w:numId="6" w16cid:durableId="334921369">
    <w:abstractNumId w:val="16"/>
  </w:num>
  <w:num w:numId="7" w16cid:durableId="933636678">
    <w:abstractNumId w:val="27"/>
  </w:num>
  <w:num w:numId="8" w16cid:durableId="959261784">
    <w:abstractNumId w:val="31"/>
  </w:num>
  <w:num w:numId="9" w16cid:durableId="897863876">
    <w:abstractNumId w:val="13"/>
  </w:num>
  <w:num w:numId="10" w16cid:durableId="8651867">
    <w:abstractNumId w:val="23"/>
  </w:num>
  <w:num w:numId="11" w16cid:durableId="862790140">
    <w:abstractNumId w:val="20"/>
  </w:num>
  <w:num w:numId="12" w16cid:durableId="1911769045">
    <w:abstractNumId w:val="3"/>
  </w:num>
  <w:num w:numId="13" w16cid:durableId="62023939">
    <w:abstractNumId w:val="2"/>
  </w:num>
  <w:num w:numId="14" w16cid:durableId="1528441592">
    <w:abstractNumId w:val="17"/>
  </w:num>
  <w:num w:numId="15" w16cid:durableId="888688523">
    <w:abstractNumId w:val="30"/>
  </w:num>
  <w:num w:numId="16" w16cid:durableId="1052075197">
    <w:abstractNumId w:val="7"/>
  </w:num>
  <w:num w:numId="17" w16cid:durableId="2097242035">
    <w:abstractNumId w:val="32"/>
  </w:num>
  <w:num w:numId="18" w16cid:durableId="607199046">
    <w:abstractNumId w:val="14"/>
  </w:num>
  <w:num w:numId="19" w16cid:durableId="1769885508">
    <w:abstractNumId w:val="34"/>
  </w:num>
  <w:num w:numId="20" w16cid:durableId="412318209">
    <w:abstractNumId w:val="36"/>
  </w:num>
  <w:num w:numId="21" w16cid:durableId="1203635757">
    <w:abstractNumId w:val="4"/>
  </w:num>
  <w:num w:numId="22" w16cid:durableId="4612688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57191312">
    <w:abstractNumId w:val="19"/>
  </w:num>
  <w:num w:numId="24" w16cid:durableId="1539321995">
    <w:abstractNumId w:val="5"/>
  </w:num>
  <w:num w:numId="25" w16cid:durableId="12662278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59320957">
    <w:abstractNumId w:val="9"/>
    <w:lvlOverride w:ilvl="0">
      <w:startOverride w:val="6"/>
    </w:lvlOverride>
  </w:num>
  <w:num w:numId="27" w16cid:durableId="322972196">
    <w:abstractNumId w:val="0"/>
  </w:num>
  <w:num w:numId="28" w16cid:durableId="1114053543">
    <w:abstractNumId w:val="38"/>
  </w:num>
  <w:num w:numId="29" w16cid:durableId="1531794097">
    <w:abstractNumId w:val="6"/>
  </w:num>
  <w:num w:numId="30" w16cid:durableId="1187600055">
    <w:abstractNumId w:val="9"/>
  </w:num>
  <w:num w:numId="31" w16cid:durableId="164714269">
    <w:abstractNumId w:val="22"/>
  </w:num>
  <w:num w:numId="32" w16cid:durableId="1719091468">
    <w:abstractNumId w:val="37"/>
  </w:num>
  <w:num w:numId="33" w16cid:durableId="563376728">
    <w:abstractNumId w:val="18"/>
  </w:num>
  <w:num w:numId="34" w16cid:durableId="109321933">
    <w:abstractNumId w:val="1"/>
  </w:num>
  <w:num w:numId="35" w16cid:durableId="1564484213">
    <w:abstractNumId w:val="8"/>
  </w:num>
  <w:num w:numId="36" w16cid:durableId="963343481">
    <w:abstractNumId w:val="21"/>
  </w:num>
  <w:num w:numId="37" w16cid:durableId="169568635">
    <w:abstractNumId w:val="9"/>
  </w:num>
  <w:num w:numId="38" w16cid:durableId="1115639194">
    <w:abstractNumId w:val="28"/>
  </w:num>
  <w:num w:numId="39" w16cid:durableId="1079793662">
    <w:abstractNumId w:val="35"/>
  </w:num>
  <w:num w:numId="40" w16cid:durableId="699277557">
    <w:abstractNumId w:val="12"/>
  </w:num>
  <w:num w:numId="41" w16cid:durableId="613053495">
    <w:abstractNumId w:val="1"/>
  </w:num>
  <w:num w:numId="42" w16cid:durableId="663355667">
    <w:abstractNumId w:val="29"/>
  </w:num>
  <w:num w:numId="43" w16cid:durableId="1879198034">
    <w:abstractNumId w:val="10"/>
  </w:num>
  <w:num w:numId="44" w16cid:durableId="1194542367">
    <w:abstractNumId w:val="15"/>
  </w:num>
  <w:num w:numId="45" w16cid:durableId="1869946329">
    <w:abstractNumId w:val="2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B95"/>
    <w:rsid w:val="00003DBC"/>
    <w:rsid w:val="000058FB"/>
    <w:rsid w:val="00006604"/>
    <w:rsid w:val="0001357D"/>
    <w:rsid w:val="0001442E"/>
    <w:rsid w:val="00014584"/>
    <w:rsid w:val="00014BD8"/>
    <w:rsid w:val="000163D2"/>
    <w:rsid w:val="00016BE0"/>
    <w:rsid w:val="00016DC5"/>
    <w:rsid w:val="0001729F"/>
    <w:rsid w:val="0001732F"/>
    <w:rsid w:val="0001762D"/>
    <w:rsid w:val="00017774"/>
    <w:rsid w:val="00017C7B"/>
    <w:rsid w:val="0002163E"/>
    <w:rsid w:val="00021AC4"/>
    <w:rsid w:val="00021FDA"/>
    <w:rsid w:val="00023A74"/>
    <w:rsid w:val="00024979"/>
    <w:rsid w:val="00027043"/>
    <w:rsid w:val="0003089D"/>
    <w:rsid w:val="0003150A"/>
    <w:rsid w:val="0003311F"/>
    <w:rsid w:val="00033500"/>
    <w:rsid w:val="00033640"/>
    <w:rsid w:val="00033772"/>
    <w:rsid w:val="00033E8A"/>
    <w:rsid w:val="000348BA"/>
    <w:rsid w:val="000348D7"/>
    <w:rsid w:val="00034FA8"/>
    <w:rsid w:val="00035A91"/>
    <w:rsid w:val="00037B8E"/>
    <w:rsid w:val="000414FA"/>
    <w:rsid w:val="00042CB7"/>
    <w:rsid w:val="00043218"/>
    <w:rsid w:val="00046225"/>
    <w:rsid w:val="00047028"/>
    <w:rsid w:val="000471E1"/>
    <w:rsid w:val="00047B17"/>
    <w:rsid w:val="00047DD8"/>
    <w:rsid w:val="00050670"/>
    <w:rsid w:val="00051B1E"/>
    <w:rsid w:val="00053507"/>
    <w:rsid w:val="00053525"/>
    <w:rsid w:val="0005447E"/>
    <w:rsid w:val="00054574"/>
    <w:rsid w:val="000546FB"/>
    <w:rsid w:val="000550FF"/>
    <w:rsid w:val="0005515D"/>
    <w:rsid w:val="000552D2"/>
    <w:rsid w:val="00055311"/>
    <w:rsid w:val="00055316"/>
    <w:rsid w:val="00056DDB"/>
    <w:rsid w:val="00060C0F"/>
    <w:rsid w:val="000619F5"/>
    <w:rsid w:val="00061D8D"/>
    <w:rsid w:val="00065587"/>
    <w:rsid w:val="000656C6"/>
    <w:rsid w:val="0006744D"/>
    <w:rsid w:val="000678EB"/>
    <w:rsid w:val="00067B03"/>
    <w:rsid w:val="00071E47"/>
    <w:rsid w:val="00072CC4"/>
    <w:rsid w:val="0007311A"/>
    <w:rsid w:val="00073183"/>
    <w:rsid w:val="00073D49"/>
    <w:rsid w:val="00074F1B"/>
    <w:rsid w:val="00075306"/>
    <w:rsid w:val="0007569B"/>
    <w:rsid w:val="000760D9"/>
    <w:rsid w:val="0007650E"/>
    <w:rsid w:val="0007720E"/>
    <w:rsid w:val="00077499"/>
    <w:rsid w:val="00077A89"/>
    <w:rsid w:val="00083EB1"/>
    <w:rsid w:val="000840BA"/>
    <w:rsid w:val="00086DA9"/>
    <w:rsid w:val="000871CE"/>
    <w:rsid w:val="000875E2"/>
    <w:rsid w:val="000918E1"/>
    <w:rsid w:val="00091993"/>
    <w:rsid w:val="00092EE3"/>
    <w:rsid w:val="00093591"/>
    <w:rsid w:val="00093B47"/>
    <w:rsid w:val="000977FC"/>
    <w:rsid w:val="000A1CF7"/>
    <w:rsid w:val="000A1FF8"/>
    <w:rsid w:val="000A25F2"/>
    <w:rsid w:val="000A2C5B"/>
    <w:rsid w:val="000A647B"/>
    <w:rsid w:val="000A6ED3"/>
    <w:rsid w:val="000A7CA7"/>
    <w:rsid w:val="000B06BB"/>
    <w:rsid w:val="000B482E"/>
    <w:rsid w:val="000B51C7"/>
    <w:rsid w:val="000B7445"/>
    <w:rsid w:val="000C07F0"/>
    <w:rsid w:val="000C3C95"/>
    <w:rsid w:val="000C4A14"/>
    <w:rsid w:val="000C4B93"/>
    <w:rsid w:val="000C5374"/>
    <w:rsid w:val="000C7740"/>
    <w:rsid w:val="000D0C1F"/>
    <w:rsid w:val="000D2A10"/>
    <w:rsid w:val="000D2AEA"/>
    <w:rsid w:val="000D2B7A"/>
    <w:rsid w:val="000D3A42"/>
    <w:rsid w:val="000D3CBF"/>
    <w:rsid w:val="000D3F63"/>
    <w:rsid w:val="000D4788"/>
    <w:rsid w:val="000D4ED5"/>
    <w:rsid w:val="000D6CCD"/>
    <w:rsid w:val="000D731F"/>
    <w:rsid w:val="000E0615"/>
    <w:rsid w:val="000E10A1"/>
    <w:rsid w:val="000E197D"/>
    <w:rsid w:val="000E1CB3"/>
    <w:rsid w:val="000E22C0"/>
    <w:rsid w:val="000E296E"/>
    <w:rsid w:val="000E2E49"/>
    <w:rsid w:val="000E5004"/>
    <w:rsid w:val="000E6A0A"/>
    <w:rsid w:val="000E7920"/>
    <w:rsid w:val="000E7FD6"/>
    <w:rsid w:val="000F10E6"/>
    <w:rsid w:val="000F2299"/>
    <w:rsid w:val="000F43F3"/>
    <w:rsid w:val="000F5874"/>
    <w:rsid w:val="000F7313"/>
    <w:rsid w:val="000F7E92"/>
    <w:rsid w:val="00100AB4"/>
    <w:rsid w:val="0010112A"/>
    <w:rsid w:val="00101BED"/>
    <w:rsid w:val="0010205B"/>
    <w:rsid w:val="0010269F"/>
    <w:rsid w:val="001050CA"/>
    <w:rsid w:val="001064EE"/>
    <w:rsid w:val="00106699"/>
    <w:rsid w:val="001072B4"/>
    <w:rsid w:val="00110606"/>
    <w:rsid w:val="00112AA4"/>
    <w:rsid w:val="00114A5D"/>
    <w:rsid w:val="001158A3"/>
    <w:rsid w:val="00115AF7"/>
    <w:rsid w:val="00116162"/>
    <w:rsid w:val="00116B31"/>
    <w:rsid w:val="00121499"/>
    <w:rsid w:val="0012227C"/>
    <w:rsid w:val="0012254A"/>
    <w:rsid w:val="001229DC"/>
    <w:rsid w:val="00123CE6"/>
    <w:rsid w:val="00124751"/>
    <w:rsid w:val="00124F7A"/>
    <w:rsid w:val="00125A46"/>
    <w:rsid w:val="001262AC"/>
    <w:rsid w:val="00127EEC"/>
    <w:rsid w:val="00130505"/>
    <w:rsid w:val="00131DB4"/>
    <w:rsid w:val="0013226B"/>
    <w:rsid w:val="00132748"/>
    <w:rsid w:val="0013467D"/>
    <w:rsid w:val="00137E2E"/>
    <w:rsid w:val="00140805"/>
    <w:rsid w:val="00140AD0"/>
    <w:rsid w:val="00140F9E"/>
    <w:rsid w:val="001413AF"/>
    <w:rsid w:val="001414A9"/>
    <w:rsid w:val="00146825"/>
    <w:rsid w:val="00146EDF"/>
    <w:rsid w:val="00153A21"/>
    <w:rsid w:val="00154E61"/>
    <w:rsid w:val="00154F10"/>
    <w:rsid w:val="001571F4"/>
    <w:rsid w:val="00160035"/>
    <w:rsid w:val="00161109"/>
    <w:rsid w:val="00161276"/>
    <w:rsid w:val="00163D32"/>
    <w:rsid w:val="001645D4"/>
    <w:rsid w:val="0016466F"/>
    <w:rsid w:val="001655EA"/>
    <w:rsid w:val="00166041"/>
    <w:rsid w:val="00166054"/>
    <w:rsid w:val="00171158"/>
    <w:rsid w:val="001717F9"/>
    <w:rsid w:val="00172009"/>
    <w:rsid w:val="001720F0"/>
    <w:rsid w:val="001729AF"/>
    <w:rsid w:val="00173F0C"/>
    <w:rsid w:val="00174092"/>
    <w:rsid w:val="00174A9D"/>
    <w:rsid w:val="00174BE5"/>
    <w:rsid w:val="00175039"/>
    <w:rsid w:val="00180135"/>
    <w:rsid w:val="0018319F"/>
    <w:rsid w:val="00183A5E"/>
    <w:rsid w:val="00185293"/>
    <w:rsid w:val="00185678"/>
    <w:rsid w:val="00186EDF"/>
    <w:rsid w:val="0018741F"/>
    <w:rsid w:val="001878AB"/>
    <w:rsid w:val="0019035F"/>
    <w:rsid w:val="00191556"/>
    <w:rsid w:val="00192862"/>
    <w:rsid w:val="00193284"/>
    <w:rsid w:val="001946FA"/>
    <w:rsid w:val="00196533"/>
    <w:rsid w:val="0019794B"/>
    <w:rsid w:val="001A0AA2"/>
    <w:rsid w:val="001A2913"/>
    <w:rsid w:val="001A392D"/>
    <w:rsid w:val="001A52C5"/>
    <w:rsid w:val="001A60E2"/>
    <w:rsid w:val="001A6678"/>
    <w:rsid w:val="001A7AD7"/>
    <w:rsid w:val="001B01B7"/>
    <w:rsid w:val="001B1453"/>
    <w:rsid w:val="001B1B4B"/>
    <w:rsid w:val="001B2316"/>
    <w:rsid w:val="001B26B6"/>
    <w:rsid w:val="001B2DF8"/>
    <w:rsid w:val="001B46AD"/>
    <w:rsid w:val="001B4BB8"/>
    <w:rsid w:val="001B6C13"/>
    <w:rsid w:val="001B75AC"/>
    <w:rsid w:val="001B7D68"/>
    <w:rsid w:val="001C0357"/>
    <w:rsid w:val="001C0545"/>
    <w:rsid w:val="001C4676"/>
    <w:rsid w:val="001C52BD"/>
    <w:rsid w:val="001C542A"/>
    <w:rsid w:val="001C6D6A"/>
    <w:rsid w:val="001C7C5B"/>
    <w:rsid w:val="001D18D2"/>
    <w:rsid w:val="001D3DFB"/>
    <w:rsid w:val="001D3FB0"/>
    <w:rsid w:val="001D48B7"/>
    <w:rsid w:val="001D4B70"/>
    <w:rsid w:val="001D5DE9"/>
    <w:rsid w:val="001D6310"/>
    <w:rsid w:val="001D6DA4"/>
    <w:rsid w:val="001E00F1"/>
    <w:rsid w:val="001E2CFA"/>
    <w:rsid w:val="001E3D6B"/>
    <w:rsid w:val="001E4200"/>
    <w:rsid w:val="001E5FAE"/>
    <w:rsid w:val="001E697E"/>
    <w:rsid w:val="001F1561"/>
    <w:rsid w:val="001F16F5"/>
    <w:rsid w:val="001F1B5F"/>
    <w:rsid w:val="001F4187"/>
    <w:rsid w:val="001F43BC"/>
    <w:rsid w:val="001F4876"/>
    <w:rsid w:val="001F72BE"/>
    <w:rsid w:val="001F7F6A"/>
    <w:rsid w:val="00201B11"/>
    <w:rsid w:val="00202623"/>
    <w:rsid w:val="0020365C"/>
    <w:rsid w:val="00204BC4"/>
    <w:rsid w:val="002055FD"/>
    <w:rsid w:val="00206C90"/>
    <w:rsid w:val="00212036"/>
    <w:rsid w:val="0021237F"/>
    <w:rsid w:val="00213596"/>
    <w:rsid w:val="00215A7F"/>
    <w:rsid w:val="0021735A"/>
    <w:rsid w:val="002174D2"/>
    <w:rsid w:val="002203AA"/>
    <w:rsid w:val="0022193F"/>
    <w:rsid w:val="002231A9"/>
    <w:rsid w:val="00223BAD"/>
    <w:rsid w:val="00225C99"/>
    <w:rsid w:val="0022712C"/>
    <w:rsid w:val="002277E9"/>
    <w:rsid w:val="00230360"/>
    <w:rsid w:val="00230A10"/>
    <w:rsid w:val="0023182D"/>
    <w:rsid w:val="002327A1"/>
    <w:rsid w:val="00233077"/>
    <w:rsid w:val="00234FB7"/>
    <w:rsid w:val="00243912"/>
    <w:rsid w:val="00245196"/>
    <w:rsid w:val="002465EA"/>
    <w:rsid w:val="00251765"/>
    <w:rsid w:val="00255E5B"/>
    <w:rsid w:val="00256648"/>
    <w:rsid w:val="002603F6"/>
    <w:rsid w:val="00261FC9"/>
    <w:rsid w:val="00262536"/>
    <w:rsid w:val="0026255D"/>
    <w:rsid w:val="0026289D"/>
    <w:rsid w:val="002635EB"/>
    <w:rsid w:val="00265550"/>
    <w:rsid w:val="002655BC"/>
    <w:rsid w:val="00267C4F"/>
    <w:rsid w:val="00270F88"/>
    <w:rsid w:val="002711AC"/>
    <w:rsid w:val="0027377E"/>
    <w:rsid w:val="00275ACB"/>
    <w:rsid w:val="002765BE"/>
    <w:rsid w:val="00276CB6"/>
    <w:rsid w:val="002776D2"/>
    <w:rsid w:val="00277F0E"/>
    <w:rsid w:val="00280003"/>
    <w:rsid w:val="002801C0"/>
    <w:rsid w:val="002815CC"/>
    <w:rsid w:val="00282A55"/>
    <w:rsid w:val="0029191D"/>
    <w:rsid w:val="00292B51"/>
    <w:rsid w:val="0029392C"/>
    <w:rsid w:val="00293A73"/>
    <w:rsid w:val="002946A0"/>
    <w:rsid w:val="002A1232"/>
    <w:rsid w:val="002A23E0"/>
    <w:rsid w:val="002A25A9"/>
    <w:rsid w:val="002A3A8A"/>
    <w:rsid w:val="002A4C23"/>
    <w:rsid w:val="002B23A5"/>
    <w:rsid w:val="002B34A2"/>
    <w:rsid w:val="002B435A"/>
    <w:rsid w:val="002B4B3C"/>
    <w:rsid w:val="002B506F"/>
    <w:rsid w:val="002B5212"/>
    <w:rsid w:val="002B6A9A"/>
    <w:rsid w:val="002C066A"/>
    <w:rsid w:val="002C16E3"/>
    <w:rsid w:val="002C283C"/>
    <w:rsid w:val="002C56D8"/>
    <w:rsid w:val="002C7308"/>
    <w:rsid w:val="002C779D"/>
    <w:rsid w:val="002C7830"/>
    <w:rsid w:val="002D012B"/>
    <w:rsid w:val="002D0A6E"/>
    <w:rsid w:val="002D0B67"/>
    <w:rsid w:val="002D1426"/>
    <w:rsid w:val="002D2C99"/>
    <w:rsid w:val="002D2CD4"/>
    <w:rsid w:val="002D57A0"/>
    <w:rsid w:val="002D6873"/>
    <w:rsid w:val="002D7D76"/>
    <w:rsid w:val="002E0577"/>
    <w:rsid w:val="002E3A00"/>
    <w:rsid w:val="002E589C"/>
    <w:rsid w:val="002E643D"/>
    <w:rsid w:val="002E696E"/>
    <w:rsid w:val="002E768B"/>
    <w:rsid w:val="002E7BD2"/>
    <w:rsid w:val="002F1162"/>
    <w:rsid w:val="002F16CF"/>
    <w:rsid w:val="002F21EB"/>
    <w:rsid w:val="002F2BDC"/>
    <w:rsid w:val="002F40B1"/>
    <w:rsid w:val="002F42DD"/>
    <w:rsid w:val="002F55A6"/>
    <w:rsid w:val="002F637C"/>
    <w:rsid w:val="002F65E3"/>
    <w:rsid w:val="002F673F"/>
    <w:rsid w:val="002F694F"/>
    <w:rsid w:val="002F6D54"/>
    <w:rsid w:val="002F7FFC"/>
    <w:rsid w:val="0030039E"/>
    <w:rsid w:val="003037CF"/>
    <w:rsid w:val="00305849"/>
    <w:rsid w:val="00306832"/>
    <w:rsid w:val="003068EF"/>
    <w:rsid w:val="00313214"/>
    <w:rsid w:val="00313290"/>
    <w:rsid w:val="00314AF1"/>
    <w:rsid w:val="003154E7"/>
    <w:rsid w:val="003155C1"/>
    <w:rsid w:val="00316ABD"/>
    <w:rsid w:val="0031754C"/>
    <w:rsid w:val="00317AFA"/>
    <w:rsid w:val="00321FB5"/>
    <w:rsid w:val="003220ED"/>
    <w:rsid w:val="003231B7"/>
    <w:rsid w:val="003238FD"/>
    <w:rsid w:val="00325942"/>
    <w:rsid w:val="00326BE8"/>
    <w:rsid w:val="00327D75"/>
    <w:rsid w:val="0033073D"/>
    <w:rsid w:val="0033160A"/>
    <w:rsid w:val="00333561"/>
    <w:rsid w:val="00334E30"/>
    <w:rsid w:val="00335BED"/>
    <w:rsid w:val="00340C33"/>
    <w:rsid w:val="003421DE"/>
    <w:rsid w:val="00342ECA"/>
    <w:rsid w:val="00343B03"/>
    <w:rsid w:val="00345011"/>
    <w:rsid w:val="0034589E"/>
    <w:rsid w:val="00345965"/>
    <w:rsid w:val="003475EE"/>
    <w:rsid w:val="00351742"/>
    <w:rsid w:val="00352A94"/>
    <w:rsid w:val="00352ED0"/>
    <w:rsid w:val="00352EDD"/>
    <w:rsid w:val="00353FA8"/>
    <w:rsid w:val="00354D1A"/>
    <w:rsid w:val="00357D09"/>
    <w:rsid w:val="00357F4D"/>
    <w:rsid w:val="00357F80"/>
    <w:rsid w:val="00360884"/>
    <w:rsid w:val="00361468"/>
    <w:rsid w:val="0036169F"/>
    <w:rsid w:val="003622F9"/>
    <w:rsid w:val="003627A0"/>
    <w:rsid w:val="0036353B"/>
    <w:rsid w:val="00364987"/>
    <w:rsid w:val="00364E24"/>
    <w:rsid w:val="003670DB"/>
    <w:rsid w:val="0036758B"/>
    <w:rsid w:val="0037113B"/>
    <w:rsid w:val="003714E5"/>
    <w:rsid w:val="0037413E"/>
    <w:rsid w:val="00374AAF"/>
    <w:rsid w:val="0037512D"/>
    <w:rsid w:val="00375F29"/>
    <w:rsid w:val="00377CA0"/>
    <w:rsid w:val="00381BDA"/>
    <w:rsid w:val="00382303"/>
    <w:rsid w:val="003827A0"/>
    <w:rsid w:val="003827A9"/>
    <w:rsid w:val="00383816"/>
    <w:rsid w:val="0038540C"/>
    <w:rsid w:val="00385B86"/>
    <w:rsid w:val="00386517"/>
    <w:rsid w:val="00391D20"/>
    <w:rsid w:val="00393275"/>
    <w:rsid w:val="00393292"/>
    <w:rsid w:val="003939D9"/>
    <w:rsid w:val="00394386"/>
    <w:rsid w:val="0039478E"/>
    <w:rsid w:val="003952E5"/>
    <w:rsid w:val="003A0176"/>
    <w:rsid w:val="003A0ADE"/>
    <w:rsid w:val="003A1074"/>
    <w:rsid w:val="003A166C"/>
    <w:rsid w:val="003A2018"/>
    <w:rsid w:val="003A4135"/>
    <w:rsid w:val="003A5AA7"/>
    <w:rsid w:val="003A5F20"/>
    <w:rsid w:val="003B0328"/>
    <w:rsid w:val="003B0442"/>
    <w:rsid w:val="003B1933"/>
    <w:rsid w:val="003B3630"/>
    <w:rsid w:val="003B4B93"/>
    <w:rsid w:val="003B55F5"/>
    <w:rsid w:val="003B5AA2"/>
    <w:rsid w:val="003C1802"/>
    <w:rsid w:val="003C2413"/>
    <w:rsid w:val="003C4F1A"/>
    <w:rsid w:val="003C74AA"/>
    <w:rsid w:val="003D6507"/>
    <w:rsid w:val="003E23DA"/>
    <w:rsid w:val="003E266E"/>
    <w:rsid w:val="003E2800"/>
    <w:rsid w:val="003E3163"/>
    <w:rsid w:val="003E3BBF"/>
    <w:rsid w:val="003E565F"/>
    <w:rsid w:val="003E5E45"/>
    <w:rsid w:val="003E7032"/>
    <w:rsid w:val="003E77CA"/>
    <w:rsid w:val="003F0FE3"/>
    <w:rsid w:val="003F4251"/>
    <w:rsid w:val="003F4753"/>
    <w:rsid w:val="003F4D34"/>
    <w:rsid w:val="003F6C1B"/>
    <w:rsid w:val="003F7186"/>
    <w:rsid w:val="00400397"/>
    <w:rsid w:val="00400ECC"/>
    <w:rsid w:val="00402385"/>
    <w:rsid w:val="004040ED"/>
    <w:rsid w:val="004058CC"/>
    <w:rsid w:val="004100CE"/>
    <w:rsid w:val="00410426"/>
    <w:rsid w:val="00410684"/>
    <w:rsid w:val="004111D1"/>
    <w:rsid w:val="00411678"/>
    <w:rsid w:val="00412905"/>
    <w:rsid w:val="00413516"/>
    <w:rsid w:val="00413760"/>
    <w:rsid w:val="00414E6A"/>
    <w:rsid w:val="004152DE"/>
    <w:rsid w:val="004161BA"/>
    <w:rsid w:val="004229DB"/>
    <w:rsid w:val="00422CD1"/>
    <w:rsid w:val="004248B6"/>
    <w:rsid w:val="00424AC6"/>
    <w:rsid w:val="004255AC"/>
    <w:rsid w:val="00425A71"/>
    <w:rsid w:val="00426556"/>
    <w:rsid w:val="00427EBB"/>
    <w:rsid w:val="0043034D"/>
    <w:rsid w:val="0043271F"/>
    <w:rsid w:val="00433B1D"/>
    <w:rsid w:val="004350A4"/>
    <w:rsid w:val="0043608C"/>
    <w:rsid w:val="00436665"/>
    <w:rsid w:val="00436817"/>
    <w:rsid w:val="00441170"/>
    <w:rsid w:val="004414C2"/>
    <w:rsid w:val="00442597"/>
    <w:rsid w:val="00445456"/>
    <w:rsid w:val="00452536"/>
    <w:rsid w:val="004525D4"/>
    <w:rsid w:val="0045403A"/>
    <w:rsid w:val="00454159"/>
    <w:rsid w:val="004550BC"/>
    <w:rsid w:val="0045554B"/>
    <w:rsid w:val="0045573A"/>
    <w:rsid w:val="00456E7F"/>
    <w:rsid w:val="00460582"/>
    <w:rsid w:val="00463080"/>
    <w:rsid w:val="0046451C"/>
    <w:rsid w:val="00464759"/>
    <w:rsid w:val="0046565F"/>
    <w:rsid w:val="00475274"/>
    <w:rsid w:val="00475EA0"/>
    <w:rsid w:val="004773A0"/>
    <w:rsid w:val="004805D0"/>
    <w:rsid w:val="004824A3"/>
    <w:rsid w:val="004827CC"/>
    <w:rsid w:val="004828D5"/>
    <w:rsid w:val="00485EBB"/>
    <w:rsid w:val="00487989"/>
    <w:rsid w:val="0049001B"/>
    <w:rsid w:val="00491065"/>
    <w:rsid w:val="00493AD4"/>
    <w:rsid w:val="00493E27"/>
    <w:rsid w:val="0049419C"/>
    <w:rsid w:val="0049438C"/>
    <w:rsid w:val="004943BC"/>
    <w:rsid w:val="0049539B"/>
    <w:rsid w:val="00495E5B"/>
    <w:rsid w:val="0049617E"/>
    <w:rsid w:val="004961F5"/>
    <w:rsid w:val="004A2E66"/>
    <w:rsid w:val="004A6880"/>
    <w:rsid w:val="004A68F9"/>
    <w:rsid w:val="004B00B6"/>
    <w:rsid w:val="004B112D"/>
    <w:rsid w:val="004B15F2"/>
    <w:rsid w:val="004B300C"/>
    <w:rsid w:val="004B30FC"/>
    <w:rsid w:val="004B43B5"/>
    <w:rsid w:val="004B5FDD"/>
    <w:rsid w:val="004B6061"/>
    <w:rsid w:val="004B6B5C"/>
    <w:rsid w:val="004B6E65"/>
    <w:rsid w:val="004C14E6"/>
    <w:rsid w:val="004C1B95"/>
    <w:rsid w:val="004C1CAD"/>
    <w:rsid w:val="004C51D4"/>
    <w:rsid w:val="004C5A53"/>
    <w:rsid w:val="004C7A32"/>
    <w:rsid w:val="004D30DB"/>
    <w:rsid w:val="004D4571"/>
    <w:rsid w:val="004D5E82"/>
    <w:rsid w:val="004D62CB"/>
    <w:rsid w:val="004D647E"/>
    <w:rsid w:val="004D68B8"/>
    <w:rsid w:val="004D720F"/>
    <w:rsid w:val="004E19CD"/>
    <w:rsid w:val="004E3D06"/>
    <w:rsid w:val="004F02B8"/>
    <w:rsid w:val="004F3062"/>
    <w:rsid w:val="004F482C"/>
    <w:rsid w:val="004F4F2F"/>
    <w:rsid w:val="004F5DAB"/>
    <w:rsid w:val="004F6862"/>
    <w:rsid w:val="004F756F"/>
    <w:rsid w:val="004F7EC3"/>
    <w:rsid w:val="0050080F"/>
    <w:rsid w:val="00500AAB"/>
    <w:rsid w:val="005024B0"/>
    <w:rsid w:val="00511E4F"/>
    <w:rsid w:val="00512708"/>
    <w:rsid w:val="0051484E"/>
    <w:rsid w:val="005159F7"/>
    <w:rsid w:val="00516562"/>
    <w:rsid w:val="00516C4B"/>
    <w:rsid w:val="00517A93"/>
    <w:rsid w:val="0052013B"/>
    <w:rsid w:val="0052320A"/>
    <w:rsid w:val="0052535C"/>
    <w:rsid w:val="00526F27"/>
    <w:rsid w:val="00527C70"/>
    <w:rsid w:val="00533284"/>
    <w:rsid w:val="005344EB"/>
    <w:rsid w:val="005345AD"/>
    <w:rsid w:val="005361F1"/>
    <w:rsid w:val="00537BCB"/>
    <w:rsid w:val="005402EA"/>
    <w:rsid w:val="00540841"/>
    <w:rsid w:val="00540DD8"/>
    <w:rsid w:val="00540E8C"/>
    <w:rsid w:val="00542A69"/>
    <w:rsid w:val="00542E18"/>
    <w:rsid w:val="00542E84"/>
    <w:rsid w:val="005437D4"/>
    <w:rsid w:val="00545E8E"/>
    <w:rsid w:val="00546166"/>
    <w:rsid w:val="005508E8"/>
    <w:rsid w:val="00550DCC"/>
    <w:rsid w:val="00551416"/>
    <w:rsid w:val="00552758"/>
    <w:rsid w:val="00553194"/>
    <w:rsid w:val="00553819"/>
    <w:rsid w:val="00557C7F"/>
    <w:rsid w:val="00557F7C"/>
    <w:rsid w:val="005612B6"/>
    <w:rsid w:val="00564ED8"/>
    <w:rsid w:val="00565001"/>
    <w:rsid w:val="0056659D"/>
    <w:rsid w:val="005700B6"/>
    <w:rsid w:val="005715AA"/>
    <w:rsid w:val="00571D85"/>
    <w:rsid w:val="00571E69"/>
    <w:rsid w:val="00572A55"/>
    <w:rsid w:val="00572C1B"/>
    <w:rsid w:val="005733CE"/>
    <w:rsid w:val="0057415A"/>
    <w:rsid w:val="00574301"/>
    <w:rsid w:val="005753C9"/>
    <w:rsid w:val="00575531"/>
    <w:rsid w:val="00576D1F"/>
    <w:rsid w:val="005778D4"/>
    <w:rsid w:val="00577BDD"/>
    <w:rsid w:val="00581B2D"/>
    <w:rsid w:val="005854EF"/>
    <w:rsid w:val="005865A6"/>
    <w:rsid w:val="00590F3A"/>
    <w:rsid w:val="005913C7"/>
    <w:rsid w:val="00591C1E"/>
    <w:rsid w:val="005922CA"/>
    <w:rsid w:val="005922DE"/>
    <w:rsid w:val="005929B5"/>
    <w:rsid w:val="00594018"/>
    <w:rsid w:val="00594E33"/>
    <w:rsid w:val="005954F3"/>
    <w:rsid w:val="00595DC7"/>
    <w:rsid w:val="00596949"/>
    <w:rsid w:val="005977A6"/>
    <w:rsid w:val="005A0525"/>
    <w:rsid w:val="005A0A50"/>
    <w:rsid w:val="005A2459"/>
    <w:rsid w:val="005A30DB"/>
    <w:rsid w:val="005A3253"/>
    <w:rsid w:val="005A7AFF"/>
    <w:rsid w:val="005B1259"/>
    <w:rsid w:val="005B1278"/>
    <w:rsid w:val="005B288E"/>
    <w:rsid w:val="005B3D38"/>
    <w:rsid w:val="005B3DA9"/>
    <w:rsid w:val="005B466B"/>
    <w:rsid w:val="005B483E"/>
    <w:rsid w:val="005B63E4"/>
    <w:rsid w:val="005B72C2"/>
    <w:rsid w:val="005B7C71"/>
    <w:rsid w:val="005C0587"/>
    <w:rsid w:val="005C06ED"/>
    <w:rsid w:val="005C302F"/>
    <w:rsid w:val="005C37DA"/>
    <w:rsid w:val="005C3AFE"/>
    <w:rsid w:val="005C5C42"/>
    <w:rsid w:val="005C6D02"/>
    <w:rsid w:val="005D014F"/>
    <w:rsid w:val="005D0688"/>
    <w:rsid w:val="005D10EA"/>
    <w:rsid w:val="005D5E03"/>
    <w:rsid w:val="005E05F9"/>
    <w:rsid w:val="005E2539"/>
    <w:rsid w:val="005E2A45"/>
    <w:rsid w:val="005E2D6D"/>
    <w:rsid w:val="005E2E80"/>
    <w:rsid w:val="005E369E"/>
    <w:rsid w:val="005E4570"/>
    <w:rsid w:val="005E5C2A"/>
    <w:rsid w:val="005E69B6"/>
    <w:rsid w:val="005E6FD6"/>
    <w:rsid w:val="005E777F"/>
    <w:rsid w:val="005E779E"/>
    <w:rsid w:val="005F19E0"/>
    <w:rsid w:val="005F1E51"/>
    <w:rsid w:val="005F2194"/>
    <w:rsid w:val="005F21D7"/>
    <w:rsid w:val="005F27C6"/>
    <w:rsid w:val="005F3538"/>
    <w:rsid w:val="005F4CA2"/>
    <w:rsid w:val="005F638E"/>
    <w:rsid w:val="005F67A6"/>
    <w:rsid w:val="005F7872"/>
    <w:rsid w:val="005F7C2B"/>
    <w:rsid w:val="00600564"/>
    <w:rsid w:val="00600D63"/>
    <w:rsid w:val="00603C53"/>
    <w:rsid w:val="0060460E"/>
    <w:rsid w:val="00604F9B"/>
    <w:rsid w:val="00610E2A"/>
    <w:rsid w:val="006128F1"/>
    <w:rsid w:val="0061348E"/>
    <w:rsid w:val="00613499"/>
    <w:rsid w:val="00613CB5"/>
    <w:rsid w:val="00614D67"/>
    <w:rsid w:val="00615057"/>
    <w:rsid w:val="006152E0"/>
    <w:rsid w:val="006164C8"/>
    <w:rsid w:val="00617938"/>
    <w:rsid w:val="00617C79"/>
    <w:rsid w:val="00622435"/>
    <w:rsid w:val="00622C39"/>
    <w:rsid w:val="00622ED8"/>
    <w:rsid w:val="0062337F"/>
    <w:rsid w:val="0062445A"/>
    <w:rsid w:val="006249DA"/>
    <w:rsid w:val="00627462"/>
    <w:rsid w:val="006314B4"/>
    <w:rsid w:val="006336B6"/>
    <w:rsid w:val="0063475B"/>
    <w:rsid w:val="0063523F"/>
    <w:rsid w:val="00636AE0"/>
    <w:rsid w:val="00637198"/>
    <w:rsid w:val="006426B3"/>
    <w:rsid w:val="006432D9"/>
    <w:rsid w:val="006437F9"/>
    <w:rsid w:val="0064512A"/>
    <w:rsid w:val="00645EE7"/>
    <w:rsid w:val="00646260"/>
    <w:rsid w:val="00650798"/>
    <w:rsid w:val="00650F44"/>
    <w:rsid w:val="006532F4"/>
    <w:rsid w:val="0065343A"/>
    <w:rsid w:val="00655992"/>
    <w:rsid w:val="00655CC0"/>
    <w:rsid w:val="006574D7"/>
    <w:rsid w:val="006608DF"/>
    <w:rsid w:val="006626C7"/>
    <w:rsid w:val="00662E14"/>
    <w:rsid w:val="0066332A"/>
    <w:rsid w:val="0066649A"/>
    <w:rsid w:val="00666568"/>
    <w:rsid w:val="00667BD5"/>
    <w:rsid w:val="00670F90"/>
    <w:rsid w:val="006723E4"/>
    <w:rsid w:val="00673EEE"/>
    <w:rsid w:val="00674703"/>
    <w:rsid w:val="00674C1C"/>
    <w:rsid w:val="00682304"/>
    <w:rsid w:val="006824FC"/>
    <w:rsid w:val="0068270C"/>
    <w:rsid w:val="0068453F"/>
    <w:rsid w:val="00691E26"/>
    <w:rsid w:val="00694725"/>
    <w:rsid w:val="00696604"/>
    <w:rsid w:val="00696F50"/>
    <w:rsid w:val="00697B5F"/>
    <w:rsid w:val="006A0242"/>
    <w:rsid w:val="006A07BE"/>
    <w:rsid w:val="006A1118"/>
    <w:rsid w:val="006A502B"/>
    <w:rsid w:val="006A5502"/>
    <w:rsid w:val="006A7261"/>
    <w:rsid w:val="006B0DF9"/>
    <w:rsid w:val="006B167C"/>
    <w:rsid w:val="006B1B83"/>
    <w:rsid w:val="006B3507"/>
    <w:rsid w:val="006B5F40"/>
    <w:rsid w:val="006C2607"/>
    <w:rsid w:val="006C2C05"/>
    <w:rsid w:val="006C33AE"/>
    <w:rsid w:val="006C4857"/>
    <w:rsid w:val="006C6B7C"/>
    <w:rsid w:val="006C7E4A"/>
    <w:rsid w:val="006D19C6"/>
    <w:rsid w:val="006D1BF5"/>
    <w:rsid w:val="006D21AE"/>
    <w:rsid w:val="006D2716"/>
    <w:rsid w:val="006D2DCA"/>
    <w:rsid w:val="006D4E3C"/>
    <w:rsid w:val="006D58B9"/>
    <w:rsid w:val="006D5F83"/>
    <w:rsid w:val="006D7BC2"/>
    <w:rsid w:val="006E0164"/>
    <w:rsid w:val="006E0DF3"/>
    <w:rsid w:val="006E144E"/>
    <w:rsid w:val="006E189E"/>
    <w:rsid w:val="006E4106"/>
    <w:rsid w:val="006E4A17"/>
    <w:rsid w:val="006E6A20"/>
    <w:rsid w:val="006E72BA"/>
    <w:rsid w:val="006F0243"/>
    <w:rsid w:val="006F3CBF"/>
    <w:rsid w:val="006F3F0D"/>
    <w:rsid w:val="006F42CA"/>
    <w:rsid w:val="006F5676"/>
    <w:rsid w:val="006F75FD"/>
    <w:rsid w:val="006F782A"/>
    <w:rsid w:val="006F7F16"/>
    <w:rsid w:val="00700009"/>
    <w:rsid w:val="00702E77"/>
    <w:rsid w:val="00705297"/>
    <w:rsid w:val="007071D4"/>
    <w:rsid w:val="007106BF"/>
    <w:rsid w:val="00711547"/>
    <w:rsid w:val="00712187"/>
    <w:rsid w:val="00713E33"/>
    <w:rsid w:val="007156B3"/>
    <w:rsid w:val="00715F59"/>
    <w:rsid w:val="007160BB"/>
    <w:rsid w:val="00716B93"/>
    <w:rsid w:val="0071757C"/>
    <w:rsid w:val="00717822"/>
    <w:rsid w:val="00720AC5"/>
    <w:rsid w:val="00721B10"/>
    <w:rsid w:val="0072401C"/>
    <w:rsid w:val="007260A1"/>
    <w:rsid w:val="00731A84"/>
    <w:rsid w:val="0073260D"/>
    <w:rsid w:val="00733FE8"/>
    <w:rsid w:val="007343B2"/>
    <w:rsid w:val="00734683"/>
    <w:rsid w:val="00736AD3"/>
    <w:rsid w:val="00737313"/>
    <w:rsid w:val="00740A15"/>
    <w:rsid w:val="007417D0"/>
    <w:rsid w:val="00741EED"/>
    <w:rsid w:val="007422FA"/>
    <w:rsid w:val="007424CD"/>
    <w:rsid w:val="007447CC"/>
    <w:rsid w:val="007458A9"/>
    <w:rsid w:val="00751876"/>
    <w:rsid w:val="0075325C"/>
    <w:rsid w:val="0075450B"/>
    <w:rsid w:val="00754CCE"/>
    <w:rsid w:val="00757043"/>
    <w:rsid w:val="0076471E"/>
    <w:rsid w:val="0076503C"/>
    <w:rsid w:val="00766ABC"/>
    <w:rsid w:val="00770348"/>
    <w:rsid w:val="007719B1"/>
    <w:rsid w:val="00771EE8"/>
    <w:rsid w:val="0077256E"/>
    <w:rsid w:val="00772992"/>
    <w:rsid w:val="00774B1C"/>
    <w:rsid w:val="00777F6A"/>
    <w:rsid w:val="00781E2C"/>
    <w:rsid w:val="007821C5"/>
    <w:rsid w:val="00783B0F"/>
    <w:rsid w:val="007840F5"/>
    <w:rsid w:val="007841BC"/>
    <w:rsid w:val="00784505"/>
    <w:rsid w:val="00784A7B"/>
    <w:rsid w:val="0078567C"/>
    <w:rsid w:val="0078750D"/>
    <w:rsid w:val="00787EE4"/>
    <w:rsid w:val="007933A0"/>
    <w:rsid w:val="007949F5"/>
    <w:rsid w:val="00796636"/>
    <w:rsid w:val="007A10E2"/>
    <w:rsid w:val="007A2A39"/>
    <w:rsid w:val="007A324F"/>
    <w:rsid w:val="007A4AFA"/>
    <w:rsid w:val="007A5244"/>
    <w:rsid w:val="007A5AA9"/>
    <w:rsid w:val="007B1024"/>
    <w:rsid w:val="007B253E"/>
    <w:rsid w:val="007B2C65"/>
    <w:rsid w:val="007B2FBF"/>
    <w:rsid w:val="007B66FB"/>
    <w:rsid w:val="007B6871"/>
    <w:rsid w:val="007B6A8C"/>
    <w:rsid w:val="007C0D85"/>
    <w:rsid w:val="007C169A"/>
    <w:rsid w:val="007C2042"/>
    <w:rsid w:val="007C2718"/>
    <w:rsid w:val="007C2EB9"/>
    <w:rsid w:val="007C314C"/>
    <w:rsid w:val="007C32E3"/>
    <w:rsid w:val="007C4388"/>
    <w:rsid w:val="007C45DB"/>
    <w:rsid w:val="007C5CA4"/>
    <w:rsid w:val="007C6097"/>
    <w:rsid w:val="007C62E3"/>
    <w:rsid w:val="007C678C"/>
    <w:rsid w:val="007C6FA4"/>
    <w:rsid w:val="007D2774"/>
    <w:rsid w:val="007D4D04"/>
    <w:rsid w:val="007D611B"/>
    <w:rsid w:val="007D681B"/>
    <w:rsid w:val="007D76E2"/>
    <w:rsid w:val="007E0098"/>
    <w:rsid w:val="007E08EE"/>
    <w:rsid w:val="007E0A9F"/>
    <w:rsid w:val="007E0E15"/>
    <w:rsid w:val="007E2E4E"/>
    <w:rsid w:val="007E34B1"/>
    <w:rsid w:val="007E417B"/>
    <w:rsid w:val="007E42B5"/>
    <w:rsid w:val="007E641C"/>
    <w:rsid w:val="007E7B0D"/>
    <w:rsid w:val="007E7CBB"/>
    <w:rsid w:val="007F10B2"/>
    <w:rsid w:val="007F117D"/>
    <w:rsid w:val="007F2887"/>
    <w:rsid w:val="007F3EAB"/>
    <w:rsid w:val="007F60AA"/>
    <w:rsid w:val="007F72CF"/>
    <w:rsid w:val="007F75CA"/>
    <w:rsid w:val="007F7674"/>
    <w:rsid w:val="00800CBC"/>
    <w:rsid w:val="0080205B"/>
    <w:rsid w:val="00802324"/>
    <w:rsid w:val="008033EE"/>
    <w:rsid w:val="00803E3E"/>
    <w:rsid w:val="008069AD"/>
    <w:rsid w:val="00807BF3"/>
    <w:rsid w:val="00812977"/>
    <w:rsid w:val="00812A3D"/>
    <w:rsid w:val="00813490"/>
    <w:rsid w:val="00813B15"/>
    <w:rsid w:val="0081448D"/>
    <w:rsid w:val="00814D12"/>
    <w:rsid w:val="00815EAE"/>
    <w:rsid w:val="008166D9"/>
    <w:rsid w:val="00817795"/>
    <w:rsid w:val="008178D1"/>
    <w:rsid w:val="00822D29"/>
    <w:rsid w:val="00822F87"/>
    <w:rsid w:val="008230DE"/>
    <w:rsid w:val="0082556C"/>
    <w:rsid w:val="00831519"/>
    <w:rsid w:val="00831BB1"/>
    <w:rsid w:val="008328F2"/>
    <w:rsid w:val="00833245"/>
    <w:rsid w:val="00833526"/>
    <w:rsid w:val="00834C52"/>
    <w:rsid w:val="0083515C"/>
    <w:rsid w:val="00835622"/>
    <w:rsid w:val="00835CEF"/>
    <w:rsid w:val="0083634D"/>
    <w:rsid w:val="008369EF"/>
    <w:rsid w:val="00840954"/>
    <w:rsid w:val="00840C5A"/>
    <w:rsid w:val="00840E03"/>
    <w:rsid w:val="008417FB"/>
    <w:rsid w:val="00843A04"/>
    <w:rsid w:val="00843A92"/>
    <w:rsid w:val="00843D60"/>
    <w:rsid w:val="00844932"/>
    <w:rsid w:val="0084619B"/>
    <w:rsid w:val="0084771D"/>
    <w:rsid w:val="008478B8"/>
    <w:rsid w:val="008523F4"/>
    <w:rsid w:val="008528CD"/>
    <w:rsid w:val="008554DD"/>
    <w:rsid w:val="00855D8A"/>
    <w:rsid w:val="008573E9"/>
    <w:rsid w:val="00860E19"/>
    <w:rsid w:val="00862CE6"/>
    <w:rsid w:val="00863CF2"/>
    <w:rsid w:val="0086445A"/>
    <w:rsid w:val="00864A60"/>
    <w:rsid w:val="00864A9B"/>
    <w:rsid w:val="008654AD"/>
    <w:rsid w:val="00865795"/>
    <w:rsid w:val="00867CCB"/>
    <w:rsid w:val="00870603"/>
    <w:rsid w:val="00873870"/>
    <w:rsid w:val="00874F32"/>
    <w:rsid w:val="00875C23"/>
    <w:rsid w:val="0087701D"/>
    <w:rsid w:val="00880610"/>
    <w:rsid w:val="00880613"/>
    <w:rsid w:val="008813B8"/>
    <w:rsid w:val="00881C30"/>
    <w:rsid w:val="008834DF"/>
    <w:rsid w:val="008838BD"/>
    <w:rsid w:val="00883DFA"/>
    <w:rsid w:val="00884F4A"/>
    <w:rsid w:val="00884FC9"/>
    <w:rsid w:val="008852F6"/>
    <w:rsid w:val="008863AC"/>
    <w:rsid w:val="0088711A"/>
    <w:rsid w:val="00887768"/>
    <w:rsid w:val="00890A5F"/>
    <w:rsid w:val="00891456"/>
    <w:rsid w:val="00891A7A"/>
    <w:rsid w:val="00892E9C"/>
    <w:rsid w:val="00894C1E"/>
    <w:rsid w:val="008962D9"/>
    <w:rsid w:val="008A064C"/>
    <w:rsid w:val="008A20AE"/>
    <w:rsid w:val="008A2933"/>
    <w:rsid w:val="008A2AA8"/>
    <w:rsid w:val="008A406D"/>
    <w:rsid w:val="008A4AAF"/>
    <w:rsid w:val="008A626C"/>
    <w:rsid w:val="008A7003"/>
    <w:rsid w:val="008B1FB1"/>
    <w:rsid w:val="008B4EFE"/>
    <w:rsid w:val="008B508B"/>
    <w:rsid w:val="008B50D6"/>
    <w:rsid w:val="008B59AC"/>
    <w:rsid w:val="008C07C3"/>
    <w:rsid w:val="008C08A2"/>
    <w:rsid w:val="008C2A5C"/>
    <w:rsid w:val="008C4884"/>
    <w:rsid w:val="008C536F"/>
    <w:rsid w:val="008C63F6"/>
    <w:rsid w:val="008D14E5"/>
    <w:rsid w:val="008D1B72"/>
    <w:rsid w:val="008D1C41"/>
    <w:rsid w:val="008D1D6B"/>
    <w:rsid w:val="008D34B7"/>
    <w:rsid w:val="008D47C3"/>
    <w:rsid w:val="008D4970"/>
    <w:rsid w:val="008D6EB0"/>
    <w:rsid w:val="008E0304"/>
    <w:rsid w:val="008E08C0"/>
    <w:rsid w:val="008E0FFD"/>
    <w:rsid w:val="008E110E"/>
    <w:rsid w:val="008E5743"/>
    <w:rsid w:val="008E5D1D"/>
    <w:rsid w:val="008E6B68"/>
    <w:rsid w:val="008E7DDE"/>
    <w:rsid w:val="008F0C29"/>
    <w:rsid w:val="008F132B"/>
    <w:rsid w:val="008F1658"/>
    <w:rsid w:val="008F2113"/>
    <w:rsid w:val="008F3925"/>
    <w:rsid w:val="008F3B89"/>
    <w:rsid w:val="008F4DFF"/>
    <w:rsid w:val="008F6119"/>
    <w:rsid w:val="008F6FBD"/>
    <w:rsid w:val="009005A2"/>
    <w:rsid w:val="00902405"/>
    <w:rsid w:val="00902B01"/>
    <w:rsid w:val="00902E7C"/>
    <w:rsid w:val="00906173"/>
    <w:rsid w:val="00907163"/>
    <w:rsid w:val="00910211"/>
    <w:rsid w:val="00914406"/>
    <w:rsid w:val="00915391"/>
    <w:rsid w:val="009157CD"/>
    <w:rsid w:val="00915B97"/>
    <w:rsid w:val="009160F9"/>
    <w:rsid w:val="00917F86"/>
    <w:rsid w:val="009244ED"/>
    <w:rsid w:val="0092615A"/>
    <w:rsid w:val="0093024E"/>
    <w:rsid w:val="009306F9"/>
    <w:rsid w:val="00931115"/>
    <w:rsid w:val="00934099"/>
    <w:rsid w:val="00934235"/>
    <w:rsid w:val="00934A29"/>
    <w:rsid w:val="00937A76"/>
    <w:rsid w:val="0094089C"/>
    <w:rsid w:val="00941065"/>
    <w:rsid w:val="0094183F"/>
    <w:rsid w:val="009433D8"/>
    <w:rsid w:val="00944AA2"/>
    <w:rsid w:val="00944B51"/>
    <w:rsid w:val="009459DA"/>
    <w:rsid w:val="00945B5F"/>
    <w:rsid w:val="00945DF3"/>
    <w:rsid w:val="00945E3A"/>
    <w:rsid w:val="00945E68"/>
    <w:rsid w:val="009502FD"/>
    <w:rsid w:val="00950A78"/>
    <w:rsid w:val="00953C22"/>
    <w:rsid w:val="00953D7A"/>
    <w:rsid w:val="00954354"/>
    <w:rsid w:val="00960145"/>
    <w:rsid w:val="00962193"/>
    <w:rsid w:val="009626B5"/>
    <w:rsid w:val="00963A08"/>
    <w:rsid w:val="0096417C"/>
    <w:rsid w:val="00964CAC"/>
    <w:rsid w:val="00965E15"/>
    <w:rsid w:val="0096612F"/>
    <w:rsid w:val="0097202C"/>
    <w:rsid w:val="009728D3"/>
    <w:rsid w:val="00972C54"/>
    <w:rsid w:val="00972F54"/>
    <w:rsid w:val="009735E6"/>
    <w:rsid w:val="00974B6B"/>
    <w:rsid w:val="00974C6A"/>
    <w:rsid w:val="00975F71"/>
    <w:rsid w:val="009771C1"/>
    <w:rsid w:val="009812F0"/>
    <w:rsid w:val="00983904"/>
    <w:rsid w:val="00987EDF"/>
    <w:rsid w:val="0099160E"/>
    <w:rsid w:val="00991853"/>
    <w:rsid w:val="009919E6"/>
    <w:rsid w:val="009930F8"/>
    <w:rsid w:val="00994ABA"/>
    <w:rsid w:val="00994F25"/>
    <w:rsid w:val="0099519B"/>
    <w:rsid w:val="00995488"/>
    <w:rsid w:val="00995E36"/>
    <w:rsid w:val="00996134"/>
    <w:rsid w:val="0099717F"/>
    <w:rsid w:val="009A2E34"/>
    <w:rsid w:val="009A32C3"/>
    <w:rsid w:val="009A522B"/>
    <w:rsid w:val="009A5249"/>
    <w:rsid w:val="009A6A99"/>
    <w:rsid w:val="009A6D45"/>
    <w:rsid w:val="009A7F95"/>
    <w:rsid w:val="009B0912"/>
    <w:rsid w:val="009B0C41"/>
    <w:rsid w:val="009B1649"/>
    <w:rsid w:val="009B1C84"/>
    <w:rsid w:val="009B5BCA"/>
    <w:rsid w:val="009B7199"/>
    <w:rsid w:val="009B7B50"/>
    <w:rsid w:val="009C1108"/>
    <w:rsid w:val="009C1250"/>
    <w:rsid w:val="009C20A6"/>
    <w:rsid w:val="009C4DD4"/>
    <w:rsid w:val="009C4ECE"/>
    <w:rsid w:val="009C4FBA"/>
    <w:rsid w:val="009D121B"/>
    <w:rsid w:val="009D13E2"/>
    <w:rsid w:val="009D176D"/>
    <w:rsid w:val="009D18DE"/>
    <w:rsid w:val="009D1E2E"/>
    <w:rsid w:val="009D2706"/>
    <w:rsid w:val="009D3AFD"/>
    <w:rsid w:val="009D459F"/>
    <w:rsid w:val="009D5506"/>
    <w:rsid w:val="009D6686"/>
    <w:rsid w:val="009D6A84"/>
    <w:rsid w:val="009D6ACC"/>
    <w:rsid w:val="009D6FB1"/>
    <w:rsid w:val="009E0A29"/>
    <w:rsid w:val="009E1C32"/>
    <w:rsid w:val="009E4F28"/>
    <w:rsid w:val="009E57D7"/>
    <w:rsid w:val="009E6438"/>
    <w:rsid w:val="009E7575"/>
    <w:rsid w:val="009F0FD7"/>
    <w:rsid w:val="009F3CED"/>
    <w:rsid w:val="009F3F7B"/>
    <w:rsid w:val="009F44BA"/>
    <w:rsid w:val="009F51AF"/>
    <w:rsid w:val="009F53E8"/>
    <w:rsid w:val="009F5663"/>
    <w:rsid w:val="009F6A7F"/>
    <w:rsid w:val="009F6D00"/>
    <w:rsid w:val="00A01C2E"/>
    <w:rsid w:val="00A01C7C"/>
    <w:rsid w:val="00A02B60"/>
    <w:rsid w:val="00A03165"/>
    <w:rsid w:val="00A0438C"/>
    <w:rsid w:val="00A04547"/>
    <w:rsid w:val="00A05835"/>
    <w:rsid w:val="00A069DD"/>
    <w:rsid w:val="00A0791E"/>
    <w:rsid w:val="00A101F2"/>
    <w:rsid w:val="00A1128A"/>
    <w:rsid w:val="00A12632"/>
    <w:rsid w:val="00A15E0B"/>
    <w:rsid w:val="00A175DC"/>
    <w:rsid w:val="00A17D7B"/>
    <w:rsid w:val="00A2041D"/>
    <w:rsid w:val="00A2058A"/>
    <w:rsid w:val="00A2075F"/>
    <w:rsid w:val="00A21C1E"/>
    <w:rsid w:val="00A23EEF"/>
    <w:rsid w:val="00A25184"/>
    <w:rsid w:val="00A25912"/>
    <w:rsid w:val="00A27CDD"/>
    <w:rsid w:val="00A30566"/>
    <w:rsid w:val="00A32F1E"/>
    <w:rsid w:val="00A33F4E"/>
    <w:rsid w:val="00A34448"/>
    <w:rsid w:val="00A3556C"/>
    <w:rsid w:val="00A3603D"/>
    <w:rsid w:val="00A3684A"/>
    <w:rsid w:val="00A416F2"/>
    <w:rsid w:val="00A4530A"/>
    <w:rsid w:val="00A4696B"/>
    <w:rsid w:val="00A47392"/>
    <w:rsid w:val="00A4770E"/>
    <w:rsid w:val="00A50859"/>
    <w:rsid w:val="00A51E64"/>
    <w:rsid w:val="00A5448F"/>
    <w:rsid w:val="00A54F38"/>
    <w:rsid w:val="00A60F16"/>
    <w:rsid w:val="00A61FA2"/>
    <w:rsid w:val="00A627F9"/>
    <w:rsid w:val="00A63CAE"/>
    <w:rsid w:val="00A648D3"/>
    <w:rsid w:val="00A64D14"/>
    <w:rsid w:val="00A66799"/>
    <w:rsid w:val="00A66B81"/>
    <w:rsid w:val="00A707EC"/>
    <w:rsid w:val="00A7263B"/>
    <w:rsid w:val="00A72D7A"/>
    <w:rsid w:val="00A73009"/>
    <w:rsid w:val="00A73B20"/>
    <w:rsid w:val="00A74AE6"/>
    <w:rsid w:val="00A74D1D"/>
    <w:rsid w:val="00A75D55"/>
    <w:rsid w:val="00A766AC"/>
    <w:rsid w:val="00A7702F"/>
    <w:rsid w:val="00A8295B"/>
    <w:rsid w:val="00A83AAD"/>
    <w:rsid w:val="00A840E6"/>
    <w:rsid w:val="00A85876"/>
    <w:rsid w:val="00A86A32"/>
    <w:rsid w:val="00A86FF9"/>
    <w:rsid w:val="00A90872"/>
    <w:rsid w:val="00A96A0D"/>
    <w:rsid w:val="00A96F9C"/>
    <w:rsid w:val="00AA1561"/>
    <w:rsid w:val="00AA1CD6"/>
    <w:rsid w:val="00AA3BB4"/>
    <w:rsid w:val="00AA3D6D"/>
    <w:rsid w:val="00AA4CC2"/>
    <w:rsid w:val="00AA4E8A"/>
    <w:rsid w:val="00AA50C1"/>
    <w:rsid w:val="00AA57B4"/>
    <w:rsid w:val="00AB127D"/>
    <w:rsid w:val="00AB2128"/>
    <w:rsid w:val="00AB3B68"/>
    <w:rsid w:val="00AB555E"/>
    <w:rsid w:val="00AB5A1F"/>
    <w:rsid w:val="00AB5AEA"/>
    <w:rsid w:val="00AB6320"/>
    <w:rsid w:val="00AB7CF3"/>
    <w:rsid w:val="00AC042E"/>
    <w:rsid w:val="00AC1A34"/>
    <w:rsid w:val="00AC2B6C"/>
    <w:rsid w:val="00AC381E"/>
    <w:rsid w:val="00AC5328"/>
    <w:rsid w:val="00AC55E4"/>
    <w:rsid w:val="00AC5D60"/>
    <w:rsid w:val="00AC5F18"/>
    <w:rsid w:val="00AC6185"/>
    <w:rsid w:val="00AC7276"/>
    <w:rsid w:val="00AD19DB"/>
    <w:rsid w:val="00AD2E32"/>
    <w:rsid w:val="00AD4588"/>
    <w:rsid w:val="00AD5A28"/>
    <w:rsid w:val="00AD63B1"/>
    <w:rsid w:val="00AD6B0A"/>
    <w:rsid w:val="00AE03D8"/>
    <w:rsid w:val="00AE0CDE"/>
    <w:rsid w:val="00AE113E"/>
    <w:rsid w:val="00AE4C7E"/>
    <w:rsid w:val="00AE51FA"/>
    <w:rsid w:val="00AE543F"/>
    <w:rsid w:val="00AE6136"/>
    <w:rsid w:val="00AF2E30"/>
    <w:rsid w:val="00AF3171"/>
    <w:rsid w:val="00AF7289"/>
    <w:rsid w:val="00AF74C3"/>
    <w:rsid w:val="00B00457"/>
    <w:rsid w:val="00B008E5"/>
    <w:rsid w:val="00B042F9"/>
    <w:rsid w:val="00B07828"/>
    <w:rsid w:val="00B1196F"/>
    <w:rsid w:val="00B11A50"/>
    <w:rsid w:val="00B13C44"/>
    <w:rsid w:val="00B14F2A"/>
    <w:rsid w:val="00B1547D"/>
    <w:rsid w:val="00B15B93"/>
    <w:rsid w:val="00B16063"/>
    <w:rsid w:val="00B17B89"/>
    <w:rsid w:val="00B20253"/>
    <w:rsid w:val="00B20512"/>
    <w:rsid w:val="00B20883"/>
    <w:rsid w:val="00B21621"/>
    <w:rsid w:val="00B22397"/>
    <w:rsid w:val="00B22C9F"/>
    <w:rsid w:val="00B23700"/>
    <w:rsid w:val="00B26DA4"/>
    <w:rsid w:val="00B26DBF"/>
    <w:rsid w:val="00B27D9B"/>
    <w:rsid w:val="00B3179A"/>
    <w:rsid w:val="00B3512B"/>
    <w:rsid w:val="00B35A50"/>
    <w:rsid w:val="00B35D8C"/>
    <w:rsid w:val="00B403FD"/>
    <w:rsid w:val="00B40E3B"/>
    <w:rsid w:val="00B412A2"/>
    <w:rsid w:val="00B43CA5"/>
    <w:rsid w:val="00B43CE1"/>
    <w:rsid w:val="00B46534"/>
    <w:rsid w:val="00B4724C"/>
    <w:rsid w:val="00B47634"/>
    <w:rsid w:val="00B50620"/>
    <w:rsid w:val="00B5181E"/>
    <w:rsid w:val="00B51B78"/>
    <w:rsid w:val="00B51C01"/>
    <w:rsid w:val="00B535B1"/>
    <w:rsid w:val="00B56632"/>
    <w:rsid w:val="00B56C99"/>
    <w:rsid w:val="00B57FC2"/>
    <w:rsid w:val="00B605BC"/>
    <w:rsid w:val="00B61211"/>
    <w:rsid w:val="00B61511"/>
    <w:rsid w:val="00B62206"/>
    <w:rsid w:val="00B62734"/>
    <w:rsid w:val="00B63881"/>
    <w:rsid w:val="00B63ACE"/>
    <w:rsid w:val="00B63F36"/>
    <w:rsid w:val="00B64AED"/>
    <w:rsid w:val="00B67358"/>
    <w:rsid w:val="00B705BA"/>
    <w:rsid w:val="00B70958"/>
    <w:rsid w:val="00B70C8F"/>
    <w:rsid w:val="00B70CF8"/>
    <w:rsid w:val="00B724CB"/>
    <w:rsid w:val="00B72C43"/>
    <w:rsid w:val="00B7344B"/>
    <w:rsid w:val="00B73A11"/>
    <w:rsid w:val="00B74FFA"/>
    <w:rsid w:val="00B7536F"/>
    <w:rsid w:val="00B77AEE"/>
    <w:rsid w:val="00B83965"/>
    <w:rsid w:val="00B85DA6"/>
    <w:rsid w:val="00B861B6"/>
    <w:rsid w:val="00B870EA"/>
    <w:rsid w:val="00B87658"/>
    <w:rsid w:val="00B87BD6"/>
    <w:rsid w:val="00B9017C"/>
    <w:rsid w:val="00B90EA4"/>
    <w:rsid w:val="00B90F50"/>
    <w:rsid w:val="00B90F95"/>
    <w:rsid w:val="00B93EAE"/>
    <w:rsid w:val="00B93FA6"/>
    <w:rsid w:val="00B9536B"/>
    <w:rsid w:val="00B955EC"/>
    <w:rsid w:val="00BA1885"/>
    <w:rsid w:val="00BA18D4"/>
    <w:rsid w:val="00BA20B8"/>
    <w:rsid w:val="00BA34F1"/>
    <w:rsid w:val="00BA72FC"/>
    <w:rsid w:val="00BB0308"/>
    <w:rsid w:val="00BB3CAB"/>
    <w:rsid w:val="00BB5AE3"/>
    <w:rsid w:val="00BB6E0C"/>
    <w:rsid w:val="00BB7057"/>
    <w:rsid w:val="00BB729F"/>
    <w:rsid w:val="00BC41CB"/>
    <w:rsid w:val="00BC59F4"/>
    <w:rsid w:val="00BC5A8C"/>
    <w:rsid w:val="00BC690A"/>
    <w:rsid w:val="00BC6F38"/>
    <w:rsid w:val="00BC7260"/>
    <w:rsid w:val="00BC769E"/>
    <w:rsid w:val="00BC7A1F"/>
    <w:rsid w:val="00BC7EB5"/>
    <w:rsid w:val="00BD1200"/>
    <w:rsid w:val="00BD1670"/>
    <w:rsid w:val="00BD1B41"/>
    <w:rsid w:val="00BD2558"/>
    <w:rsid w:val="00BD2801"/>
    <w:rsid w:val="00BD386C"/>
    <w:rsid w:val="00BD40B2"/>
    <w:rsid w:val="00BD4DAA"/>
    <w:rsid w:val="00BD57BA"/>
    <w:rsid w:val="00BD5C20"/>
    <w:rsid w:val="00BD5C8E"/>
    <w:rsid w:val="00BD5F81"/>
    <w:rsid w:val="00BD6FBB"/>
    <w:rsid w:val="00BD765D"/>
    <w:rsid w:val="00BE0CC6"/>
    <w:rsid w:val="00BE11FF"/>
    <w:rsid w:val="00BE2CAA"/>
    <w:rsid w:val="00BE446A"/>
    <w:rsid w:val="00BE56E3"/>
    <w:rsid w:val="00BE6193"/>
    <w:rsid w:val="00BE7BC1"/>
    <w:rsid w:val="00BF00F7"/>
    <w:rsid w:val="00BF0240"/>
    <w:rsid w:val="00BF14DB"/>
    <w:rsid w:val="00BF1C2F"/>
    <w:rsid w:val="00BF1F94"/>
    <w:rsid w:val="00BF4369"/>
    <w:rsid w:val="00BF4879"/>
    <w:rsid w:val="00BF50AA"/>
    <w:rsid w:val="00BF5E06"/>
    <w:rsid w:val="00BF6744"/>
    <w:rsid w:val="00BF6F2A"/>
    <w:rsid w:val="00C00369"/>
    <w:rsid w:val="00C011C5"/>
    <w:rsid w:val="00C012DA"/>
    <w:rsid w:val="00C0214A"/>
    <w:rsid w:val="00C030ED"/>
    <w:rsid w:val="00C03C1D"/>
    <w:rsid w:val="00C0433D"/>
    <w:rsid w:val="00C04D14"/>
    <w:rsid w:val="00C1151A"/>
    <w:rsid w:val="00C11683"/>
    <w:rsid w:val="00C11CA8"/>
    <w:rsid w:val="00C1285B"/>
    <w:rsid w:val="00C13C29"/>
    <w:rsid w:val="00C158D2"/>
    <w:rsid w:val="00C17BB5"/>
    <w:rsid w:val="00C17F02"/>
    <w:rsid w:val="00C240DC"/>
    <w:rsid w:val="00C24BF5"/>
    <w:rsid w:val="00C25E44"/>
    <w:rsid w:val="00C264EB"/>
    <w:rsid w:val="00C26623"/>
    <w:rsid w:val="00C314EA"/>
    <w:rsid w:val="00C31E87"/>
    <w:rsid w:val="00C33828"/>
    <w:rsid w:val="00C338C8"/>
    <w:rsid w:val="00C34219"/>
    <w:rsid w:val="00C36121"/>
    <w:rsid w:val="00C37808"/>
    <w:rsid w:val="00C415D5"/>
    <w:rsid w:val="00C417A7"/>
    <w:rsid w:val="00C43D48"/>
    <w:rsid w:val="00C456BD"/>
    <w:rsid w:val="00C45C16"/>
    <w:rsid w:val="00C46348"/>
    <w:rsid w:val="00C46522"/>
    <w:rsid w:val="00C46BBB"/>
    <w:rsid w:val="00C50325"/>
    <w:rsid w:val="00C51AF0"/>
    <w:rsid w:val="00C530BD"/>
    <w:rsid w:val="00C53A90"/>
    <w:rsid w:val="00C55657"/>
    <w:rsid w:val="00C57FA0"/>
    <w:rsid w:val="00C60391"/>
    <w:rsid w:val="00C60723"/>
    <w:rsid w:val="00C61C6C"/>
    <w:rsid w:val="00C63777"/>
    <w:rsid w:val="00C64664"/>
    <w:rsid w:val="00C64BC9"/>
    <w:rsid w:val="00C64DA8"/>
    <w:rsid w:val="00C64FC9"/>
    <w:rsid w:val="00C6797C"/>
    <w:rsid w:val="00C70259"/>
    <w:rsid w:val="00C708A7"/>
    <w:rsid w:val="00C71ACC"/>
    <w:rsid w:val="00C71FAC"/>
    <w:rsid w:val="00C72B0A"/>
    <w:rsid w:val="00C73497"/>
    <w:rsid w:val="00C73888"/>
    <w:rsid w:val="00C7426B"/>
    <w:rsid w:val="00C745CA"/>
    <w:rsid w:val="00C755C1"/>
    <w:rsid w:val="00C75EFD"/>
    <w:rsid w:val="00C75F65"/>
    <w:rsid w:val="00C7792D"/>
    <w:rsid w:val="00C77954"/>
    <w:rsid w:val="00C77E0B"/>
    <w:rsid w:val="00C80A5F"/>
    <w:rsid w:val="00C82983"/>
    <w:rsid w:val="00C83279"/>
    <w:rsid w:val="00C832FF"/>
    <w:rsid w:val="00C84FF3"/>
    <w:rsid w:val="00C87137"/>
    <w:rsid w:val="00C90586"/>
    <w:rsid w:val="00C91852"/>
    <w:rsid w:val="00C91CA1"/>
    <w:rsid w:val="00C920AC"/>
    <w:rsid w:val="00C92D5D"/>
    <w:rsid w:val="00C94C7B"/>
    <w:rsid w:val="00C9565F"/>
    <w:rsid w:val="00C956D7"/>
    <w:rsid w:val="00C970BA"/>
    <w:rsid w:val="00CA10B2"/>
    <w:rsid w:val="00CA2430"/>
    <w:rsid w:val="00CA2D3D"/>
    <w:rsid w:val="00CA30D2"/>
    <w:rsid w:val="00CA49B1"/>
    <w:rsid w:val="00CA55BD"/>
    <w:rsid w:val="00CA5C9C"/>
    <w:rsid w:val="00CA648F"/>
    <w:rsid w:val="00CA7CBE"/>
    <w:rsid w:val="00CB000E"/>
    <w:rsid w:val="00CB301E"/>
    <w:rsid w:val="00CB5C81"/>
    <w:rsid w:val="00CC1DE8"/>
    <w:rsid w:val="00CC221B"/>
    <w:rsid w:val="00CC4153"/>
    <w:rsid w:val="00CC5D65"/>
    <w:rsid w:val="00CD1649"/>
    <w:rsid w:val="00CD2F78"/>
    <w:rsid w:val="00CD3368"/>
    <w:rsid w:val="00CD36C7"/>
    <w:rsid w:val="00CD4822"/>
    <w:rsid w:val="00CD4F8D"/>
    <w:rsid w:val="00CD5528"/>
    <w:rsid w:val="00CD626F"/>
    <w:rsid w:val="00CE1087"/>
    <w:rsid w:val="00CE1A2F"/>
    <w:rsid w:val="00CE1CA8"/>
    <w:rsid w:val="00CE1FBD"/>
    <w:rsid w:val="00CE3696"/>
    <w:rsid w:val="00CE4C32"/>
    <w:rsid w:val="00CE5580"/>
    <w:rsid w:val="00CE5643"/>
    <w:rsid w:val="00CE5E81"/>
    <w:rsid w:val="00CE6103"/>
    <w:rsid w:val="00CE6321"/>
    <w:rsid w:val="00CE6B38"/>
    <w:rsid w:val="00CF0E51"/>
    <w:rsid w:val="00CF1EF1"/>
    <w:rsid w:val="00CF25B6"/>
    <w:rsid w:val="00CF2834"/>
    <w:rsid w:val="00CF3215"/>
    <w:rsid w:val="00CF3406"/>
    <w:rsid w:val="00CF4097"/>
    <w:rsid w:val="00CF45C7"/>
    <w:rsid w:val="00CF4B49"/>
    <w:rsid w:val="00CF523E"/>
    <w:rsid w:val="00CF7F05"/>
    <w:rsid w:val="00D023CA"/>
    <w:rsid w:val="00D0283D"/>
    <w:rsid w:val="00D0291F"/>
    <w:rsid w:val="00D029A7"/>
    <w:rsid w:val="00D053A5"/>
    <w:rsid w:val="00D05E8B"/>
    <w:rsid w:val="00D072FE"/>
    <w:rsid w:val="00D11019"/>
    <w:rsid w:val="00D14659"/>
    <w:rsid w:val="00D1498B"/>
    <w:rsid w:val="00D160EE"/>
    <w:rsid w:val="00D16868"/>
    <w:rsid w:val="00D20E96"/>
    <w:rsid w:val="00D21319"/>
    <w:rsid w:val="00D21586"/>
    <w:rsid w:val="00D2329D"/>
    <w:rsid w:val="00D23CB7"/>
    <w:rsid w:val="00D24127"/>
    <w:rsid w:val="00D24589"/>
    <w:rsid w:val="00D25AC4"/>
    <w:rsid w:val="00D3036C"/>
    <w:rsid w:val="00D315CD"/>
    <w:rsid w:val="00D31602"/>
    <w:rsid w:val="00D33E06"/>
    <w:rsid w:val="00D350A9"/>
    <w:rsid w:val="00D36B51"/>
    <w:rsid w:val="00D4179B"/>
    <w:rsid w:val="00D4231E"/>
    <w:rsid w:val="00D42EA7"/>
    <w:rsid w:val="00D43845"/>
    <w:rsid w:val="00D44744"/>
    <w:rsid w:val="00D455FB"/>
    <w:rsid w:val="00D45CC5"/>
    <w:rsid w:val="00D515BE"/>
    <w:rsid w:val="00D53FFE"/>
    <w:rsid w:val="00D5476A"/>
    <w:rsid w:val="00D61B82"/>
    <w:rsid w:val="00D61DE9"/>
    <w:rsid w:val="00D653F5"/>
    <w:rsid w:val="00D663D4"/>
    <w:rsid w:val="00D66569"/>
    <w:rsid w:val="00D66AD1"/>
    <w:rsid w:val="00D67F05"/>
    <w:rsid w:val="00D71818"/>
    <w:rsid w:val="00D73807"/>
    <w:rsid w:val="00D739DB"/>
    <w:rsid w:val="00D769EE"/>
    <w:rsid w:val="00D76DDA"/>
    <w:rsid w:val="00D814D0"/>
    <w:rsid w:val="00D84524"/>
    <w:rsid w:val="00D84CB3"/>
    <w:rsid w:val="00D8549C"/>
    <w:rsid w:val="00D86186"/>
    <w:rsid w:val="00D91682"/>
    <w:rsid w:val="00D93829"/>
    <w:rsid w:val="00D939A2"/>
    <w:rsid w:val="00D963E1"/>
    <w:rsid w:val="00D96D41"/>
    <w:rsid w:val="00DA1615"/>
    <w:rsid w:val="00DA3985"/>
    <w:rsid w:val="00DA79AD"/>
    <w:rsid w:val="00DA7EC7"/>
    <w:rsid w:val="00DB02E4"/>
    <w:rsid w:val="00DB073C"/>
    <w:rsid w:val="00DB13F3"/>
    <w:rsid w:val="00DB19CF"/>
    <w:rsid w:val="00DB1CA9"/>
    <w:rsid w:val="00DB3FBD"/>
    <w:rsid w:val="00DB539D"/>
    <w:rsid w:val="00DB710B"/>
    <w:rsid w:val="00DC0147"/>
    <w:rsid w:val="00DC01BB"/>
    <w:rsid w:val="00DC21A3"/>
    <w:rsid w:val="00DC2ECB"/>
    <w:rsid w:val="00DC2FD8"/>
    <w:rsid w:val="00DC3C31"/>
    <w:rsid w:val="00DC4129"/>
    <w:rsid w:val="00DC61D9"/>
    <w:rsid w:val="00DC7AD8"/>
    <w:rsid w:val="00DD0F64"/>
    <w:rsid w:val="00DD260E"/>
    <w:rsid w:val="00DD3889"/>
    <w:rsid w:val="00DD3A90"/>
    <w:rsid w:val="00DD4C2A"/>
    <w:rsid w:val="00DD5336"/>
    <w:rsid w:val="00DD66E6"/>
    <w:rsid w:val="00DD7565"/>
    <w:rsid w:val="00DD7AC9"/>
    <w:rsid w:val="00DE0048"/>
    <w:rsid w:val="00DE100D"/>
    <w:rsid w:val="00DE3B2D"/>
    <w:rsid w:val="00DE6C2A"/>
    <w:rsid w:val="00DE794A"/>
    <w:rsid w:val="00DE7B05"/>
    <w:rsid w:val="00DF20B0"/>
    <w:rsid w:val="00DF2698"/>
    <w:rsid w:val="00DF3FB4"/>
    <w:rsid w:val="00DF45A1"/>
    <w:rsid w:val="00DF5F8C"/>
    <w:rsid w:val="00DF6D60"/>
    <w:rsid w:val="00E01F39"/>
    <w:rsid w:val="00E02680"/>
    <w:rsid w:val="00E02999"/>
    <w:rsid w:val="00E0497D"/>
    <w:rsid w:val="00E05396"/>
    <w:rsid w:val="00E06827"/>
    <w:rsid w:val="00E07751"/>
    <w:rsid w:val="00E115C6"/>
    <w:rsid w:val="00E11B79"/>
    <w:rsid w:val="00E12BF2"/>
    <w:rsid w:val="00E15099"/>
    <w:rsid w:val="00E15707"/>
    <w:rsid w:val="00E16293"/>
    <w:rsid w:val="00E16932"/>
    <w:rsid w:val="00E17D18"/>
    <w:rsid w:val="00E20FC8"/>
    <w:rsid w:val="00E218EF"/>
    <w:rsid w:val="00E225B0"/>
    <w:rsid w:val="00E22FBA"/>
    <w:rsid w:val="00E23F13"/>
    <w:rsid w:val="00E246C9"/>
    <w:rsid w:val="00E2549F"/>
    <w:rsid w:val="00E2717D"/>
    <w:rsid w:val="00E312A3"/>
    <w:rsid w:val="00E349B1"/>
    <w:rsid w:val="00E3538E"/>
    <w:rsid w:val="00E35F81"/>
    <w:rsid w:val="00E36CC2"/>
    <w:rsid w:val="00E37498"/>
    <w:rsid w:val="00E37CEC"/>
    <w:rsid w:val="00E37DCA"/>
    <w:rsid w:val="00E40863"/>
    <w:rsid w:val="00E408C9"/>
    <w:rsid w:val="00E423EE"/>
    <w:rsid w:val="00E43322"/>
    <w:rsid w:val="00E4507C"/>
    <w:rsid w:val="00E45886"/>
    <w:rsid w:val="00E47E75"/>
    <w:rsid w:val="00E50E8A"/>
    <w:rsid w:val="00E52188"/>
    <w:rsid w:val="00E54B33"/>
    <w:rsid w:val="00E54DED"/>
    <w:rsid w:val="00E5574C"/>
    <w:rsid w:val="00E56A61"/>
    <w:rsid w:val="00E600BE"/>
    <w:rsid w:val="00E63AF8"/>
    <w:rsid w:val="00E64405"/>
    <w:rsid w:val="00E64685"/>
    <w:rsid w:val="00E653CD"/>
    <w:rsid w:val="00E658DD"/>
    <w:rsid w:val="00E65B76"/>
    <w:rsid w:val="00E672D8"/>
    <w:rsid w:val="00E716C6"/>
    <w:rsid w:val="00E7284B"/>
    <w:rsid w:val="00E73124"/>
    <w:rsid w:val="00E73727"/>
    <w:rsid w:val="00E74824"/>
    <w:rsid w:val="00E75332"/>
    <w:rsid w:val="00E7761A"/>
    <w:rsid w:val="00E803F0"/>
    <w:rsid w:val="00E805DA"/>
    <w:rsid w:val="00E80F34"/>
    <w:rsid w:val="00E84C40"/>
    <w:rsid w:val="00E84E68"/>
    <w:rsid w:val="00E84F3D"/>
    <w:rsid w:val="00E867D9"/>
    <w:rsid w:val="00E871CD"/>
    <w:rsid w:val="00E9112D"/>
    <w:rsid w:val="00E9232F"/>
    <w:rsid w:val="00E92BC1"/>
    <w:rsid w:val="00E937C6"/>
    <w:rsid w:val="00E95377"/>
    <w:rsid w:val="00E9597C"/>
    <w:rsid w:val="00E96403"/>
    <w:rsid w:val="00E967E2"/>
    <w:rsid w:val="00E96CDD"/>
    <w:rsid w:val="00E9769B"/>
    <w:rsid w:val="00E97C84"/>
    <w:rsid w:val="00EA0153"/>
    <w:rsid w:val="00EA015A"/>
    <w:rsid w:val="00EA126F"/>
    <w:rsid w:val="00EA2CC1"/>
    <w:rsid w:val="00EA792C"/>
    <w:rsid w:val="00EB0A50"/>
    <w:rsid w:val="00EB1A54"/>
    <w:rsid w:val="00EB2218"/>
    <w:rsid w:val="00EB241E"/>
    <w:rsid w:val="00EB3674"/>
    <w:rsid w:val="00EB36B8"/>
    <w:rsid w:val="00EB6371"/>
    <w:rsid w:val="00EB6782"/>
    <w:rsid w:val="00EB7152"/>
    <w:rsid w:val="00EB7A3E"/>
    <w:rsid w:val="00EC075D"/>
    <w:rsid w:val="00EC18BE"/>
    <w:rsid w:val="00EC1B76"/>
    <w:rsid w:val="00EC544D"/>
    <w:rsid w:val="00EC735C"/>
    <w:rsid w:val="00ED1E93"/>
    <w:rsid w:val="00ED378F"/>
    <w:rsid w:val="00ED3FF5"/>
    <w:rsid w:val="00ED4C67"/>
    <w:rsid w:val="00ED7772"/>
    <w:rsid w:val="00EE1BEA"/>
    <w:rsid w:val="00EE5E38"/>
    <w:rsid w:val="00EE6B00"/>
    <w:rsid w:val="00EF1710"/>
    <w:rsid w:val="00EF1AB2"/>
    <w:rsid w:val="00EF1AB9"/>
    <w:rsid w:val="00EF1BF3"/>
    <w:rsid w:val="00EF56D4"/>
    <w:rsid w:val="00EF5BDA"/>
    <w:rsid w:val="00EF6F8C"/>
    <w:rsid w:val="00EF73A2"/>
    <w:rsid w:val="00F02C8F"/>
    <w:rsid w:val="00F02D39"/>
    <w:rsid w:val="00F0505E"/>
    <w:rsid w:val="00F06325"/>
    <w:rsid w:val="00F1215C"/>
    <w:rsid w:val="00F13A8F"/>
    <w:rsid w:val="00F14F4D"/>
    <w:rsid w:val="00F155C8"/>
    <w:rsid w:val="00F159BA"/>
    <w:rsid w:val="00F16011"/>
    <w:rsid w:val="00F17120"/>
    <w:rsid w:val="00F17266"/>
    <w:rsid w:val="00F17BBE"/>
    <w:rsid w:val="00F20378"/>
    <w:rsid w:val="00F21891"/>
    <w:rsid w:val="00F21BC9"/>
    <w:rsid w:val="00F25226"/>
    <w:rsid w:val="00F258FE"/>
    <w:rsid w:val="00F25905"/>
    <w:rsid w:val="00F25B8A"/>
    <w:rsid w:val="00F2617A"/>
    <w:rsid w:val="00F26616"/>
    <w:rsid w:val="00F272E0"/>
    <w:rsid w:val="00F2738B"/>
    <w:rsid w:val="00F30679"/>
    <w:rsid w:val="00F36DD0"/>
    <w:rsid w:val="00F36FF6"/>
    <w:rsid w:val="00F37F75"/>
    <w:rsid w:val="00F40A32"/>
    <w:rsid w:val="00F41FE2"/>
    <w:rsid w:val="00F4443A"/>
    <w:rsid w:val="00F44678"/>
    <w:rsid w:val="00F447DB"/>
    <w:rsid w:val="00F44836"/>
    <w:rsid w:val="00F44FB5"/>
    <w:rsid w:val="00F47596"/>
    <w:rsid w:val="00F50017"/>
    <w:rsid w:val="00F508F2"/>
    <w:rsid w:val="00F50F4C"/>
    <w:rsid w:val="00F5179E"/>
    <w:rsid w:val="00F51ED8"/>
    <w:rsid w:val="00F522CA"/>
    <w:rsid w:val="00F52ACB"/>
    <w:rsid w:val="00F53524"/>
    <w:rsid w:val="00F55244"/>
    <w:rsid w:val="00F55C45"/>
    <w:rsid w:val="00F55ECD"/>
    <w:rsid w:val="00F56849"/>
    <w:rsid w:val="00F569F6"/>
    <w:rsid w:val="00F5702E"/>
    <w:rsid w:val="00F57A86"/>
    <w:rsid w:val="00F57DAB"/>
    <w:rsid w:val="00F61E10"/>
    <w:rsid w:val="00F6297B"/>
    <w:rsid w:val="00F656B9"/>
    <w:rsid w:val="00F65849"/>
    <w:rsid w:val="00F65F62"/>
    <w:rsid w:val="00F666DB"/>
    <w:rsid w:val="00F67BBB"/>
    <w:rsid w:val="00F70CA8"/>
    <w:rsid w:val="00F73A72"/>
    <w:rsid w:val="00F73E06"/>
    <w:rsid w:val="00F73FD2"/>
    <w:rsid w:val="00F76B06"/>
    <w:rsid w:val="00F76DCB"/>
    <w:rsid w:val="00F8153B"/>
    <w:rsid w:val="00F8186D"/>
    <w:rsid w:val="00F823D1"/>
    <w:rsid w:val="00F82624"/>
    <w:rsid w:val="00F82B56"/>
    <w:rsid w:val="00F82C03"/>
    <w:rsid w:val="00F82C35"/>
    <w:rsid w:val="00F83883"/>
    <w:rsid w:val="00F84F09"/>
    <w:rsid w:val="00F856A0"/>
    <w:rsid w:val="00F8697B"/>
    <w:rsid w:val="00F86E73"/>
    <w:rsid w:val="00F87F48"/>
    <w:rsid w:val="00F90AEB"/>
    <w:rsid w:val="00F92193"/>
    <w:rsid w:val="00F95886"/>
    <w:rsid w:val="00F9660E"/>
    <w:rsid w:val="00F968BD"/>
    <w:rsid w:val="00F97D05"/>
    <w:rsid w:val="00F97E35"/>
    <w:rsid w:val="00FA0FC1"/>
    <w:rsid w:val="00FA2AC6"/>
    <w:rsid w:val="00FA2C77"/>
    <w:rsid w:val="00FA388D"/>
    <w:rsid w:val="00FA68BA"/>
    <w:rsid w:val="00FA7708"/>
    <w:rsid w:val="00FA77C4"/>
    <w:rsid w:val="00FB005A"/>
    <w:rsid w:val="00FB071C"/>
    <w:rsid w:val="00FB080C"/>
    <w:rsid w:val="00FB1FBF"/>
    <w:rsid w:val="00FB3148"/>
    <w:rsid w:val="00FB48BA"/>
    <w:rsid w:val="00FB4F3A"/>
    <w:rsid w:val="00FB51E2"/>
    <w:rsid w:val="00FB5D7C"/>
    <w:rsid w:val="00FB6DA3"/>
    <w:rsid w:val="00FB76EC"/>
    <w:rsid w:val="00FC2060"/>
    <w:rsid w:val="00FC3E8C"/>
    <w:rsid w:val="00FC686A"/>
    <w:rsid w:val="00FC6C3B"/>
    <w:rsid w:val="00FD2577"/>
    <w:rsid w:val="00FD2957"/>
    <w:rsid w:val="00FD2E6B"/>
    <w:rsid w:val="00FD42B4"/>
    <w:rsid w:val="00FD48C9"/>
    <w:rsid w:val="00FD62A3"/>
    <w:rsid w:val="00FD62D8"/>
    <w:rsid w:val="00FD68A8"/>
    <w:rsid w:val="00FD7CC9"/>
    <w:rsid w:val="00FE0109"/>
    <w:rsid w:val="00FE0DFC"/>
    <w:rsid w:val="00FE1C4A"/>
    <w:rsid w:val="00FE3024"/>
    <w:rsid w:val="00FE33EC"/>
    <w:rsid w:val="00FE4826"/>
    <w:rsid w:val="00FE4882"/>
    <w:rsid w:val="00FE4C87"/>
    <w:rsid w:val="00FE50AE"/>
    <w:rsid w:val="00FE5301"/>
    <w:rsid w:val="00FE7ABB"/>
    <w:rsid w:val="00FF34D8"/>
    <w:rsid w:val="00FF3759"/>
    <w:rsid w:val="00FF6011"/>
    <w:rsid w:val="00FF6F22"/>
    <w:rsid w:val="00FF7D26"/>
    <w:rsid w:val="00FF7E8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A05EDA"/>
  <w15:docId w15:val="{9D278873-7330-4354-BF71-9C98E2928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218"/>
    <w:pPr>
      <w:spacing w:before="120" w:after="120"/>
      <w:ind w:firstLine="720"/>
      <w:jc w:val="both"/>
    </w:pPr>
  </w:style>
  <w:style w:type="paragraph" w:styleId="Heading1">
    <w:name w:val="heading 1"/>
    <w:basedOn w:val="Normal"/>
    <w:next w:val="Normal"/>
    <w:link w:val="Heading1Char"/>
    <w:uiPriority w:val="9"/>
    <w:qFormat/>
    <w:rsid w:val="00043218"/>
    <w:pPr>
      <w:keepNext/>
      <w:keepLines/>
      <w:numPr>
        <w:numId w:val="1"/>
      </w:numPr>
      <w:spacing w:before="240" w:after="0"/>
      <w:jc w:val="center"/>
      <w:outlineLvl w:val="0"/>
    </w:pPr>
    <w:rPr>
      <w:rFonts w:eastAsiaTheme="majorEastAsia" w:cstheme="majorBidi"/>
      <w:b/>
      <w:sz w:val="32"/>
      <w:szCs w:val="32"/>
    </w:rPr>
  </w:style>
  <w:style w:type="paragraph" w:styleId="Heading2">
    <w:name w:val="heading 2"/>
    <w:basedOn w:val="Normal"/>
    <w:next w:val="Normal"/>
    <w:link w:val="Heading2Char"/>
    <w:unhideWhenUsed/>
    <w:qFormat/>
    <w:rsid w:val="00043218"/>
    <w:pPr>
      <w:keepNext/>
      <w:numPr>
        <w:numId w:val="2"/>
      </w:numPr>
      <w:spacing w:before="240" w:after="60"/>
      <w:jc w:val="center"/>
      <w:outlineLvl w:val="1"/>
    </w:pPr>
    <w:rPr>
      <w:rFonts w:eastAsia="Times New Roman" w:cs="Times New Roman"/>
      <w:b/>
      <w:bCs/>
      <w:iCs/>
      <w:szCs w:val="28"/>
    </w:rPr>
  </w:style>
  <w:style w:type="paragraph" w:styleId="Heading3">
    <w:name w:val="heading 3"/>
    <w:basedOn w:val="Normal"/>
    <w:next w:val="Normal"/>
    <w:link w:val="Heading3Char"/>
    <w:uiPriority w:val="9"/>
    <w:unhideWhenUsed/>
    <w:qFormat/>
    <w:rsid w:val="008F6119"/>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218"/>
    <w:rPr>
      <w:rFonts w:eastAsiaTheme="majorEastAsia" w:cstheme="majorBidi"/>
      <w:b/>
      <w:sz w:val="32"/>
      <w:szCs w:val="32"/>
    </w:rPr>
  </w:style>
  <w:style w:type="character" w:customStyle="1" w:styleId="Heading2Char">
    <w:name w:val="Heading 2 Char"/>
    <w:basedOn w:val="DefaultParagraphFont"/>
    <w:link w:val="Heading2"/>
    <w:rsid w:val="00043218"/>
    <w:rPr>
      <w:rFonts w:eastAsia="Times New Roman" w:cs="Times New Roman"/>
      <w:b/>
      <w:bCs/>
      <w:iCs/>
      <w:szCs w:val="28"/>
    </w:rPr>
  </w:style>
  <w:style w:type="paragraph" w:styleId="ListParagraph">
    <w:name w:val="List Paragraph"/>
    <w:aliases w:val="2,Numbered Para 1,Dot pt,No Spacing1,List Paragraph Char Char Char,Indicator Text,Bullet 1,Bullet Points,MAIN CONTENT,IFCL - List Paragraph,List Paragraph12,OBC Bullet,F5 List Paragraph,Colorful List - Accent 11,Strip,Akapit z listą BS"/>
    <w:basedOn w:val="Normal"/>
    <w:link w:val="ListParagraphChar"/>
    <w:uiPriority w:val="34"/>
    <w:qFormat/>
    <w:rsid w:val="00043218"/>
    <w:pPr>
      <w:ind w:left="720"/>
      <w:contextualSpacing/>
    </w:pPr>
  </w:style>
  <w:style w:type="paragraph" w:styleId="BalloonText">
    <w:name w:val="Balloon Text"/>
    <w:basedOn w:val="Normal"/>
    <w:link w:val="BalloonTextChar"/>
    <w:uiPriority w:val="99"/>
    <w:semiHidden/>
    <w:unhideWhenUsed/>
    <w:rsid w:val="00043218"/>
    <w:rPr>
      <w:rFonts w:ascii="Tahoma" w:hAnsi="Tahoma" w:cs="Tahoma"/>
      <w:sz w:val="16"/>
      <w:szCs w:val="16"/>
    </w:rPr>
  </w:style>
  <w:style w:type="character" w:customStyle="1" w:styleId="BalloonTextChar">
    <w:name w:val="Balloon Text Char"/>
    <w:basedOn w:val="DefaultParagraphFont"/>
    <w:link w:val="BalloonText"/>
    <w:uiPriority w:val="99"/>
    <w:semiHidden/>
    <w:rsid w:val="00043218"/>
    <w:rPr>
      <w:rFonts w:ascii="Tahoma" w:hAnsi="Tahoma" w:cs="Tahoma"/>
      <w:sz w:val="16"/>
      <w:szCs w:val="16"/>
    </w:rPr>
  </w:style>
  <w:style w:type="paragraph" w:styleId="BodyTextIndent">
    <w:name w:val="Body Text Indent"/>
    <w:basedOn w:val="Normal"/>
    <w:link w:val="BodyTextIndentChar"/>
    <w:rsid w:val="00043218"/>
    <w:pPr>
      <w:ind w:left="283"/>
    </w:pPr>
    <w:rPr>
      <w:rFonts w:eastAsia="Times New Roman" w:cs="Times New Roman"/>
      <w:szCs w:val="24"/>
      <w:lang w:eastAsia="lv-LV"/>
    </w:rPr>
  </w:style>
  <w:style w:type="character" w:customStyle="1" w:styleId="BodyTextIndentChar">
    <w:name w:val="Body Text Indent Char"/>
    <w:basedOn w:val="DefaultParagraphFont"/>
    <w:link w:val="BodyTextIndent"/>
    <w:rsid w:val="00043218"/>
    <w:rPr>
      <w:rFonts w:eastAsia="Times New Roman" w:cs="Times New Roman"/>
      <w:szCs w:val="24"/>
      <w:lang w:eastAsia="lv-LV"/>
    </w:rPr>
  </w:style>
  <w:style w:type="character" w:customStyle="1" w:styleId="spelle">
    <w:name w:val="spelle"/>
    <w:basedOn w:val="DefaultParagraphFont"/>
    <w:rsid w:val="00043218"/>
  </w:style>
  <w:style w:type="paragraph" w:styleId="FootnoteText">
    <w:name w:val="footnote text"/>
    <w:aliases w:val="Footnote,Fußnote,Fußnote Char Char Char,single space,ft Rakstz. Rakstz.,ft Rakstz.,ft,-E Fußnotentext,Fußnotentext Ursprung,Vēres teksts Char Char Char Char Char,Char Char Char Char Char Char Char Char Char Char Char Char,footnote tex,Char"/>
    <w:basedOn w:val="Normal"/>
    <w:link w:val="FootnoteTextChar"/>
    <w:uiPriority w:val="99"/>
    <w:unhideWhenUsed/>
    <w:qFormat/>
    <w:rsid w:val="00043218"/>
    <w:rPr>
      <w:rFonts w:eastAsia="Times New Roman" w:cs="Times New Roman"/>
      <w:sz w:val="20"/>
      <w:szCs w:val="20"/>
    </w:rPr>
  </w:style>
  <w:style w:type="character" w:customStyle="1" w:styleId="FootnoteTextChar">
    <w:name w:val="Footnote Text Char"/>
    <w:aliases w:val="Footnote Char,Fußnote Char,Fußnote Char Char Char Char,single space Char,ft Rakstz. Rakstz. Char,ft Rakstz. Char,ft Char,-E Fußnotentext Char,Fußnotentext Ursprung Char,Vēres teksts Char Char Char Char Char Char,footnote tex Char"/>
    <w:basedOn w:val="DefaultParagraphFont"/>
    <w:link w:val="FootnoteText"/>
    <w:uiPriority w:val="99"/>
    <w:qFormat/>
    <w:rsid w:val="00043218"/>
    <w:rPr>
      <w:rFonts w:eastAsia="Times New Roman" w:cs="Times New Roman"/>
      <w:sz w:val="20"/>
      <w:szCs w:val="20"/>
    </w:rPr>
  </w:style>
  <w:style w:type="character" w:styleId="FootnoteReference">
    <w:name w:val="footnote reference"/>
    <w:aliases w:val="Footnote Reference Number,Footnote symbol,Footnote Reference Superscript,ftref,Footnote Refernece,Odwołanie przypisu,BVI fnr,Footnotes refss,SUPERS,Ref,de nota al pie,-E Fußnotenzeichen,Footnote reference number,Times 10 Point,E,E FNZ"/>
    <w:basedOn w:val="DefaultParagraphFont"/>
    <w:link w:val="Char2"/>
    <w:uiPriority w:val="99"/>
    <w:unhideWhenUsed/>
    <w:qFormat/>
    <w:rsid w:val="00043218"/>
    <w:rPr>
      <w:vertAlign w:val="superscript"/>
    </w:rPr>
  </w:style>
  <w:style w:type="paragraph" w:styleId="Header">
    <w:name w:val="header"/>
    <w:basedOn w:val="Normal"/>
    <w:link w:val="HeaderChar"/>
    <w:uiPriority w:val="99"/>
    <w:unhideWhenUsed/>
    <w:rsid w:val="00043218"/>
    <w:pPr>
      <w:tabs>
        <w:tab w:val="center" w:pos="4153"/>
        <w:tab w:val="right" w:pos="8306"/>
      </w:tabs>
    </w:pPr>
  </w:style>
  <w:style w:type="character" w:customStyle="1" w:styleId="HeaderChar">
    <w:name w:val="Header Char"/>
    <w:basedOn w:val="DefaultParagraphFont"/>
    <w:link w:val="Header"/>
    <w:uiPriority w:val="99"/>
    <w:rsid w:val="00043218"/>
    <w:rPr>
      <w:sz w:val="28"/>
    </w:rPr>
  </w:style>
  <w:style w:type="paragraph" w:styleId="Footer">
    <w:name w:val="footer"/>
    <w:basedOn w:val="Normal"/>
    <w:link w:val="FooterChar"/>
    <w:uiPriority w:val="99"/>
    <w:unhideWhenUsed/>
    <w:rsid w:val="00043218"/>
    <w:pPr>
      <w:tabs>
        <w:tab w:val="center" w:pos="4153"/>
        <w:tab w:val="right" w:pos="8306"/>
      </w:tabs>
    </w:pPr>
  </w:style>
  <w:style w:type="character" w:customStyle="1" w:styleId="FooterChar">
    <w:name w:val="Footer Char"/>
    <w:basedOn w:val="DefaultParagraphFont"/>
    <w:link w:val="Footer"/>
    <w:uiPriority w:val="99"/>
    <w:rsid w:val="00043218"/>
    <w:rPr>
      <w:sz w:val="28"/>
    </w:rPr>
  </w:style>
  <w:style w:type="paragraph" w:customStyle="1" w:styleId="H1">
    <w:name w:val="H1"/>
    <w:rsid w:val="00043218"/>
    <w:pPr>
      <w:spacing w:before="120" w:after="120"/>
      <w:ind w:left="284" w:firstLine="720"/>
      <w:jc w:val="center"/>
      <w:outlineLvl w:val="0"/>
    </w:pPr>
    <w:rPr>
      <w:rFonts w:eastAsia="Times New Roman" w:cs="Times New Roman"/>
      <w:b/>
      <w:sz w:val="44"/>
      <w:szCs w:val="20"/>
    </w:rPr>
  </w:style>
  <w:style w:type="paragraph" w:customStyle="1" w:styleId="H2">
    <w:name w:val="H2"/>
    <w:rsid w:val="00043218"/>
    <w:pPr>
      <w:spacing w:before="120" w:after="120"/>
      <w:ind w:left="284" w:firstLine="720"/>
      <w:jc w:val="center"/>
      <w:outlineLvl w:val="1"/>
    </w:pPr>
    <w:rPr>
      <w:rFonts w:eastAsia="Times New Roman" w:cs="Times New Roman"/>
      <w:b/>
      <w:sz w:val="36"/>
      <w:szCs w:val="20"/>
    </w:rPr>
  </w:style>
  <w:style w:type="table" w:styleId="TableGrid">
    <w:name w:val="Table Grid"/>
    <w:basedOn w:val="TableNormal"/>
    <w:uiPriority w:val="39"/>
    <w:rsid w:val="00043218"/>
    <w:pPr>
      <w:spacing w:before="120" w:after="120"/>
      <w:ind w:left="284" w:firstLine="720"/>
      <w:jc w:val="both"/>
    </w:pPr>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043218"/>
    <w:rPr>
      <w:rFonts w:ascii="Garamond" w:hAnsi="Garamond"/>
      <w:noProof w:val="0"/>
      <w:color w:val="0000FF"/>
      <w:u w:val="single"/>
      <w:lang w:val="lv-LV"/>
    </w:rPr>
  </w:style>
  <w:style w:type="paragraph" w:customStyle="1" w:styleId="Default">
    <w:name w:val="Default"/>
    <w:rsid w:val="00043218"/>
    <w:pPr>
      <w:autoSpaceDE w:val="0"/>
      <w:autoSpaceDN w:val="0"/>
      <w:adjustRightInd w:val="0"/>
      <w:spacing w:before="120" w:after="120"/>
      <w:ind w:left="284" w:firstLine="720"/>
      <w:jc w:val="both"/>
    </w:pPr>
    <w:rPr>
      <w:rFonts w:eastAsia="Times New Roman" w:cs="Times New Roman"/>
      <w:color w:val="000000"/>
      <w:szCs w:val="24"/>
      <w:lang w:eastAsia="lv-LV"/>
    </w:rPr>
  </w:style>
  <w:style w:type="paragraph" w:customStyle="1" w:styleId="teksts">
    <w:name w:val="teksts"/>
    <w:rsid w:val="00043218"/>
    <w:pPr>
      <w:spacing w:before="120" w:after="120"/>
      <w:ind w:left="284" w:firstLine="720"/>
      <w:jc w:val="both"/>
    </w:pPr>
    <w:rPr>
      <w:rFonts w:ascii="Garamond" w:eastAsia="Times New Roman" w:hAnsi="Garamond" w:cs="Times New Roman"/>
      <w:szCs w:val="20"/>
    </w:rPr>
  </w:style>
  <w:style w:type="paragraph" w:customStyle="1" w:styleId="CM1">
    <w:name w:val="CM1"/>
    <w:basedOn w:val="Default"/>
    <w:next w:val="Default"/>
    <w:uiPriority w:val="99"/>
    <w:rsid w:val="00043218"/>
    <w:rPr>
      <w:rFonts w:ascii="EUAlbertina" w:eastAsia="Calibri" w:hAnsi="EUAlbertina"/>
      <w:color w:val="auto"/>
      <w:lang w:val="en-GB" w:eastAsia="en-GB"/>
    </w:rPr>
  </w:style>
  <w:style w:type="character" w:styleId="CommentReference">
    <w:name w:val="annotation reference"/>
    <w:basedOn w:val="DefaultParagraphFont"/>
    <w:uiPriority w:val="99"/>
    <w:semiHidden/>
    <w:unhideWhenUsed/>
    <w:rsid w:val="00043218"/>
    <w:rPr>
      <w:sz w:val="16"/>
      <w:szCs w:val="16"/>
    </w:rPr>
  </w:style>
  <w:style w:type="paragraph" w:styleId="CommentText">
    <w:name w:val="annotation text"/>
    <w:basedOn w:val="Normal"/>
    <w:link w:val="CommentTextChar"/>
    <w:uiPriority w:val="99"/>
    <w:unhideWhenUsed/>
    <w:rsid w:val="00043218"/>
    <w:rPr>
      <w:sz w:val="20"/>
      <w:szCs w:val="20"/>
    </w:rPr>
  </w:style>
  <w:style w:type="character" w:customStyle="1" w:styleId="CommentTextChar">
    <w:name w:val="Comment Text Char"/>
    <w:basedOn w:val="DefaultParagraphFont"/>
    <w:link w:val="CommentText"/>
    <w:uiPriority w:val="99"/>
    <w:rsid w:val="00043218"/>
    <w:rPr>
      <w:sz w:val="20"/>
      <w:szCs w:val="20"/>
    </w:rPr>
  </w:style>
  <w:style w:type="paragraph" w:styleId="CommentSubject">
    <w:name w:val="annotation subject"/>
    <w:basedOn w:val="CommentText"/>
    <w:next w:val="CommentText"/>
    <w:link w:val="CommentSubjectChar"/>
    <w:uiPriority w:val="99"/>
    <w:semiHidden/>
    <w:unhideWhenUsed/>
    <w:rsid w:val="00043218"/>
    <w:rPr>
      <w:b/>
      <w:bCs/>
    </w:rPr>
  </w:style>
  <w:style w:type="character" w:customStyle="1" w:styleId="CommentSubjectChar">
    <w:name w:val="Comment Subject Char"/>
    <w:basedOn w:val="CommentTextChar"/>
    <w:link w:val="CommentSubject"/>
    <w:uiPriority w:val="99"/>
    <w:semiHidden/>
    <w:rsid w:val="00043218"/>
    <w:rPr>
      <w:b/>
      <w:bCs/>
      <w:sz w:val="20"/>
      <w:szCs w:val="20"/>
    </w:rPr>
  </w:style>
  <w:style w:type="paragraph" w:styleId="NormalWeb">
    <w:name w:val="Normal (Web)"/>
    <w:basedOn w:val="Normal"/>
    <w:uiPriority w:val="99"/>
    <w:unhideWhenUsed/>
    <w:rsid w:val="00043218"/>
    <w:pPr>
      <w:spacing w:before="100" w:beforeAutospacing="1" w:after="100" w:afterAutospacing="1"/>
    </w:pPr>
    <w:rPr>
      <w:rFonts w:eastAsia="Times New Roman" w:cs="Times New Roman"/>
      <w:szCs w:val="24"/>
      <w:lang w:eastAsia="lv-LV"/>
    </w:rPr>
  </w:style>
  <w:style w:type="paragraph" w:styleId="TOC2">
    <w:name w:val="toc 2"/>
    <w:basedOn w:val="Normal"/>
    <w:next w:val="Normal"/>
    <w:autoRedefine/>
    <w:uiPriority w:val="39"/>
    <w:unhideWhenUsed/>
    <w:rsid w:val="00043218"/>
    <w:pPr>
      <w:tabs>
        <w:tab w:val="right" w:pos="1701"/>
        <w:tab w:val="right" w:leader="dot" w:pos="9061"/>
      </w:tabs>
      <w:ind w:left="1134" w:firstLine="0"/>
    </w:pPr>
  </w:style>
  <w:style w:type="paragraph" w:styleId="TOC1">
    <w:name w:val="toc 1"/>
    <w:basedOn w:val="Normal"/>
    <w:next w:val="Normal"/>
    <w:autoRedefine/>
    <w:uiPriority w:val="39"/>
    <w:unhideWhenUsed/>
    <w:rsid w:val="00571D85"/>
    <w:pPr>
      <w:tabs>
        <w:tab w:val="right" w:pos="1134"/>
        <w:tab w:val="right" w:leader="dot" w:pos="9061"/>
      </w:tabs>
      <w:spacing w:after="100"/>
      <w:ind w:firstLine="0"/>
    </w:pPr>
  </w:style>
  <w:style w:type="paragraph" w:styleId="NoSpacing">
    <w:name w:val="No Spacing"/>
    <w:link w:val="NoSpacingChar"/>
    <w:uiPriority w:val="1"/>
    <w:qFormat/>
    <w:rsid w:val="00043218"/>
    <w:pPr>
      <w:ind w:firstLine="567"/>
      <w:jc w:val="both"/>
    </w:pPr>
    <w:rPr>
      <w:rFonts w:eastAsia="Times New Roman" w:cs="Times New Roman"/>
      <w:szCs w:val="20"/>
    </w:rPr>
  </w:style>
  <w:style w:type="character" w:customStyle="1" w:styleId="NoSpacingChar">
    <w:name w:val="No Spacing Char"/>
    <w:basedOn w:val="DefaultParagraphFont"/>
    <w:link w:val="NoSpacing"/>
    <w:uiPriority w:val="1"/>
    <w:rsid w:val="00043218"/>
    <w:rPr>
      <w:rFonts w:eastAsia="Times New Roman" w:cs="Times New Roman"/>
      <w:szCs w:val="20"/>
    </w:rPr>
  </w:style>
  <w:style w:type="paragraph" w:styleId="BodyText2">
    <w:name w:val="Body Text 2"/>
    <w:basedOn w:val="Normal"/>
    <w:link w:val="BodyText2Char"/>
    <w:uiPriority w:val="99"/>
    <w:semiHidden/>
    <w:unhideWhenUsed/>
    <w:rsid w:val="00043218"/>
    <w:pPr>
      <w:spacing w:line="480" w:lineRule="auto"/>
    </w:pPr>
  </w:style>
  <w:style w:type="character" w:customStyle="1" w:styleId="BodyText2Char">
    <w:name w:val="Body Text 2 Char"/>
    <w:basedOn w:val="DefaultParagraphFont"/>
    <w:link w:val="BodyText2"/>
    <w:uiPriority w:val="99"/>
    <w:semiHidden/>
    <w:rsid w:val="00043218"/>
    <w:rPr>
      <w:sz w:val="28"/>
    </w:rPr>
  </w:style>
  <w:style w:type="character" w:styleId="Strong">
    <w:name w:val="Strong"/>
    <w:uiPriority w:val="22"/>
    <w:qFormat/>
    <w:rsid w:val="006C6B7C"/>
    <w:rPr>
      <w:b/>
      <w:bCs/>
    </w:rPr>
  </w:style>
  <w:style w:type="character" w:customStyle="1" w:styleId="ListParagraphChar">
    <w:name w:val="List Paragraph Char"/>
    <w:aliases w:val="2 Char,Numbered Para 1 Char,Dot pt Char,No Spacing1 Char,List Paragraph Char Char Char Char,Indicator Text Char,Bullet 1 Char,Bullet Points Char,MAIN CONTENT Char,IFCL - List Paragraph Char,List Paragraph12 Char,OBC Bullet Char"/>
    <w:link w:val="ListParagraph"/>
    <w:uiPriority w:val="34"/>
    <w:qFormat/>
    <w:locked/>
    <w:rsid w:val="003A0ADE"/>
    <w:rPr>
      <w:sz w:val="28"/>
    </w:rPr>
  </w:style>
  <w:style w:type="character" w:customStyle="1" w:styleId="Heading3Char">
    <w:name w:val="Heading 3 Char"/>
    <w:basedOn w:val="DefaultParagraphFont"/>
    <w:link w:val="Heading3"/>
    <w:uiPriority w:val="9"/>
    <w:rsid w:val="008F6119"/>
    <w:rPr>
      <w:rFonts w:asciiTheme="majorHAnsi" w:eastAsiaTheme="majorEastAsia" w:hAnsiTheme="majorHAnsi" w:cstheme="majorBidi"/>
      <w:color w:val="1F4D78" w:themeColor="accent1" w:themeShade="7F"/>
      <w:szCs w:val="24"/>
    </w:rPr>
  </w:style>
  <w:style w:type="table" w:customStyle="1" w:styleId="GridTable6Colorful-Accent11">
    <w:name w:val="Grid Table 6 Colorful - Accent 11"/>
    <w:basedOn w:val="TableNormal"/>
    <w:uiPriority w:val="51"/>
    <w:rsid w:val="008F2113"/>
    <w:rPr>
      <w:rFonts w:asciiTheme="minorHAnsi" w:eastAsiaTheme="minorEastAsia" w:hAnsiTheme="minorHAnsi"/>
      <w:color w:val="2E74B5" w:themeColor="accent1" w:themeShade="BF"/>
      <w:sz w:val="22"/>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
    <w:name w:val="Table Grid1"/>
    <w:basedOn w:val="TableNormal"/>
    <w:next w:val="TableGrid"/>
    <w:uiPriority w:val="39"/>
    <w:rsid w:val="00FA77C4"/>
    <w:rPr>
      <w:rFonts w:eastAsia="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4B6B5C"/>
    <w:pPr>
      <w:spacing w:before="100" w:beforeAutospacing="1" w:after="100" w:afterAutospacing="1"/>
      <w:ind w:firstLine="0"/>
      <w:jc w:val="left"/>
    </w:pPr>
    <w:rPr>
      <w:rFonts w:eastAsia="Times New Roman" w:cs="Times New Roman"/>
      <w:szCs w:val="24"/>
      <w:lang w:eastAsia="lv-LV"/>
    </w:rPr>
  </w:style>
  <w:style w:type="table" w:customStyle="1" w:styleId="TableGrid2">
    <w:name w:val="Table Grid2"/>
    <w:basedOn w:val="TableNormal"/>
    <w:next w:val="TableGrid"/>
    <w:uiPriority w:val="39"/>
    <w:rsid w:val="008B59AC"/>
    <w:rPr>
      <w:rFonts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style>
  <w:style w:type="paragraph" w:styleId="Revision">
    <w:name w:val="Revision"/>
    <w:hidden/>
    <w:uiPriority w:val="99"/>
    <w:semiHidden/>
    <w:rsid w:val="008B59AC"/>
    <w:rPr>
      <w:sz w:val="28"/>
    </w:rPr>
  </w:style>
  <w:style w:type="paragraph" w:customStyle="1" w:styleId="Char2">
    <w:name w:val="Char2"/>
    <w:aliases w:val="Char Char Char Char"/>
    <w:basedOn w:val="Normal"/>
    <w:next w:val="Normal"/>
    <w:link w:val="FootnoteReference"/>
    <w:uiPriority w:val="99"/>
    <w:rsid w:val="008B59AC"/>
    <w:pPr>
      <w:spacing w:before="0" w:after="160" w:line="240" w:lineRule="exact"/>
      <w:ind w:firstLine="0"/>
      <w:textAlignment w:val="baseline"/>
    </w:pPr>
    <w:rPr>
      <w:vertAlign w:val="superscript"/>
    </w:rPr>
  </w:style>
  <w:style w:type="table" w:styleId="ListTable2-Accent1">
    <w:name w:val="List Table 2 Accent 1"/>
    <w:basedOn w:val="TableNormal"/>
    <w:uiPriority w:val="47"/>
    <w:rsid w:val="008B59AC"/>
    <w:rPr>
      <w:rFonts w:asciiTheme="minorHAnsi" w:eastAsiaTheme="minorEastAsia" w:hAnsiTheme="minorHAnsi"/>
      <w:sz w:val="22"/>
    </w:r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tv2131">
    <w:name w:val="tv2131"/>
    <w:basedOn w:val="Normal"/>
    <w:rsid w:val="008E7DDE"/>
    <w:pPr>
      <w:spacing w:before="0" w:after="0" w:line="360" w:lineRule="auto"/>
      <w:ind w:firstLine="300"/>
      <w:jc w:val="left"/>
    </w:pPr>
    <w:rPr>
      <w:rFonts w:eastAsia="Times New Roman" w:cs="Times New Roman"/>
      <w:color w:val="414142"/>
      <w:sz w:val="20"/>
      <w:szCs w:val="20"/>
      <w:lang w:eastAsia="lv-LV"/>
    </w:rPr>
  </w:style>
  <w:style w:type="paragraph" w:customStyle="1" w:styleId="Tabulasvirsraksts">
    <w:name w:val="Tabulas virsraksts"/>
    <w:basedOn w:val="Normal"/>
    <w:link w:val="TabulasvirsrakstsChar"/>
    <w:qFormat/>
    <w:rsid w:val="00FA2AC6"/>
    <w:pPr>
      <w:ind w:firstLine="0"/>
      <w:jc w:val="center"/>
    </w:pPr>
    <w:rPr>
      <w:rFonts w:eastAsia="Times New Roman" w:cs="Times New Roman"/>
      <w:b/>
      <w:iCs/>
      <w:szCs w:val="24"/>
    </w:rPr>
  </w:style>
  <w:style w:type="character" w:customStyle="1" w:styleId="TabulasvirsrakstsChar">
    <w:name w:val="Tabulas virsraksts Char"/>
    <w:basedOn w:val="DefaultParagraphFont"/>
    <w:link w:val="Tabulasvirsraksts"/>
    <w:rsid w:val="00FA2AC6"/>
    <w:rPr>
      <w:rFonts w:eastAsia="Times New Roman" w:cs="Times New Roman"/>
      <w:b/>
      <w:iCs/>
      <w:szCs w:val="24"/>
    </w:rPr>
  </w:style>
  <w:style w:type="paragraph" w:customStyle="1" w:styleId="H4">
    <w:name w:val="H4"/>
    <w:uiPriority w:val="99"/>
    <w:rsid w:val="00565001"/>
    <w:pPr>
      <w:spacing w:before="120" w:after="120"/>
      <w:ind w:left="567"/>
      <w:outlineLvl w:val="3"/>
    </w:pPr>
    <w:rPr>
      <w:rFonts w:ascii="Calibri" w:eastAsia="Times New Roman" w:hAnsi="Calibri" w:cs="Times New Roman"/>
      <w:b/>
      <w:sz w:val="28"/>
      <w:szCs w:val="20"/>
    </w:rPr>
  </w:style>
  <w:style w:type="table" w:customStyle="1" w:styleId="GridTable6Colorful-Accent1131">
    <w:name w:val="Grid Table 6 Colorful - Accent 1131"/>
    <w:basedOn w:val="TableNormal"/>
    <w:uiPriority w:val="51"/>
    <w:rsid w:val="00AA4CC2"/>
    <w:rPr>
      <w:rFonts w:ascii="Calibri" w:eastAsia="Times New Roman" w:hAnsi="Calibri"/>
      <w:color w:val="2E74B5"/>
      <w:sz w:val="22"/>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styleId="UnresolvedMention">
    <w:name w:val="Unresolved Mention"/>
    <w:basedOn w:val="DefaultParagraphFont"/>
    <w:uiPriority w:val="99"/>
    <w:semiHidden/>
    <w:unhideWhenUsed/>
    <w:rsid w:val="001D18D2"/>
    <w:rPr>
      <w:color w:val="605E5C"/>
      <w:shd w:val="clear" w:color="auto" w:fill="E1DFDD"/>
    </w:rPr>
  </w:style>
  <w:style w:type="paragraph" w:customStyle="1" w:styleId="BVIfnrChar1CharCharChar">
    <w:name w:val="BVI fnr Char1 Char Char Char"/>
    <w:aliases w:val="BVI fnr Car Car Char1 Char Char Char,BVI fnr Car Char1 Char Char Char,BVI fnr Car Car Car Car Char Char1 Char Char"/>
    <w:basedOn w:val="Normal"/>
    <w:uiPriority w:val="99"/>
    <w:rsid w:val="00D5476A"/>
    <w:pPr>
      <w:spacing w:before="0" w:after="160" w:line="240" w:lineRule="exact"/>
      <w:ind w:firstLine="0"/>
      <w:jc w:val="left"/>
    </w:pPr>
    <w:rPr>
      <w:rFonts w:asciiTheme="minorHAnsi" w:eastAsiaTheme="minorEastAsia" w:hAnsiTheme="minorHAnsi"/>
      <w:sz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10046">
      <w:bodyDiv w:val="1"/>
      <w:marLeft w:val="0"/>
      <w:marRight w:val="0"/>
      <w:marTop w:val="0"/>
      <w:marBottom w:val="0"/>
      <w:divBdr>
        <w:top w:val="none" w:sz="0" w:space="0" w:color="auto"/>
        <w:left w:val="none" w:sz="0" w:space="0" w:color="auto"/>
        <w:bottom w:val="none" w:sz="0" w:space="0" w:color="auto"/>
        <w:right w:val="none" w:sz="0" w:space="0" w:color="auto"/>
      </w:divBdr>
      <w:divsChild>
        <w:div w:id="56322290">
          <w:marLeft w:val="547"/>
          <w:marRight w:val="0"/>
          <w:marTop w:val="0"/>
          <w:marBottom w:val="0"/>
          <w:divBdr>
            <w:top w:val="none" w:sz="0" w:space="0" w:color="auto"/>
            <w:left w:val="none" w:sz="0" w:space="0" w:color="auto"/>
            <w:bottom w:val="none" w:sz="0" w:space="0" w:color="auto"/>
            <w:right w:val="none" w:sz="0" w:space="0" w:color="auto"/>
          </w:divBdr>
        </w:div>
        <w:div w:id="729618049">
          <w:marLeft w:val="547"/>
          <w:marRight w:val="0"/>
          <w:marTop w:val="0"/>
          <w:marBottom w:val="0"/>
          <w:divBdr>
            <w:top w:val="none" w:sz="0" w:space="0" w:color="auto"/>
            <w:left w:val="none" w:sz="0" w:space="0" w:color="auto"/>
            <w:bottom w:val="none" w:sz="0" w:space="0" w:color="auto"/>
            <w:right w:val="none" w:sz="0" w:space="0" w:color="auto"/>
          </w:divBdr>
        </w:div>
        <w:div w:id="1444423293">
          <w:marLeft w:val="547"/>
          <w:marRight w:val="0"/>
          <w:marTop w:val="0"/>
          <w:marBottom w:val="0"/>
          <w:divBdr>
            <w:top w:val="none" w:sz="0" w:space="0" w:color="auto"/>
            <w:left w:val="none" w:sz="0" w:space="0" w:color="auto"/>
            <w:bottom w:val="none" w:sz="0" w:space="0" w:color="auto"/>
            <w:right w:val="none" w:sz="0" w:space="0" w:color="auto"/>
          </w:divBdr>
        </w:div>
        <w:div w:id="1444642798">
          <w:marLeft w:val="547"/>
          <w:marRight w:val="0"/>
          <w:marTop w:val="0"/>
          <w:marBottom w:val="0"/>
          <w:divBdr>
            <w:top w:val="none" w:sz="0" w:space="0" w:color="auto"/>
            <w:left w:val="none" w:sz="0" w:space="0" w:color="auto"/>
            <w:bottom w:val="none" w:sz="0" w:space="0" w:color="auto"/>
            <w:right w:val="none" w:sz="0" w:space="0" w:color="auto"/>
          </w:divBdr>
        </w:div>
        <w:div w:id="2097483203">
          <w:marLeft w:val="547"/>
          <w:marRight w:val="0"/>
          <w:marTop w:val="0"/>
          <w:marBottom w:val="0"/>
          <w:divBdr>
            <w:top w:val="none" w:sz="0" w:space="0" w:color="auto"/>
            <w:left w:val="none" w:sz="0" w:space="0" w:color="auto"/>
            <w:bottom w:val="none" w:sz="0" w:space="0" w:color="auto"/>
            <w:right w:val="none" w:sz="0" w:space="0" w:color="auto"/>
          </w:divBdr>
        </w:div>
      </w:divsChild>
    </w:div>
    <w:div w:id="104889721">
      <w:bodyDiv w:val="1"/>
      <w:marLeft w:val="0"/>
      <w:marRight w:val="0"/>
      <w:marTop w:val="0"/>
      <w:marBottom w:val="0"/>
      <w:divBdr>
        <w:top w:val="none" w:sz="0" w:space="0" w:color="auto"/>
        <w:left w:val="none" w:sz="0" w:space="0" w:color="auto"/>
        <w:bottom w:val="none" w:sz="0" w:space="0" w:color="auto"/>
        <w:right w:val="none" w:sz="0" w:space="0" w:color="auto"/>
      </w:divBdr>
    </w:div>
    <w:div w:id="246424023">
      <w:bodyDiv w:val="1"/>
      <w:marLeft w:val="0"/>
      <w:marRight w:val="0"/>
      <w:marTop w:val="0"/>
      <w:marBottom w:val="0"/>
      <w:divBdr>
        <w:top w:val="none" w:sz="0" w:space="0" w:color="auto"/>
        <w:left w:val="none" w:sz="0" w:space="0" w:color="auto"/>
        <w:bottom w:val="none" w:sz="0" w:space="0" w:color="auto"/>
        <w:right w:val="none" w:sz="0" w:space="0" w:color="auto"/>
      </w:divBdr>
    </w:div>
    <w:div w:id="450705694">
      <w:bodyDiv w:val="1"/>
      <w:marLeft w:val="0"/>
      <w:marRight w:val="0"/>
      <w:marTop w:val="0"/>
      <w:marBottom w:val="0"/>
      <w:divBdr>
        <w:top w:val="none" w:sz="0" w:space="0" w:color="auto"/>
        <w:left w:val="none" w:sz="0" w:space="0" w:color="auto"/>
        <w:bottom w:val="none" w:sz="0" w:space="0" w:color="auto"/>
        <w:right w:val="none" w:sz="0" w:space="0" w:color="auto"/>
      </w:divBdr>
    </w:div>
    <w:div w:id="628122438">
      <w:bodyDiv w:val="1"/>
      <w:marLeft w:val="0"/>
      <w:marRight w:val="0"/>
      <w:marTop w:val="0"/>
      <w:marBottom w:val="0"/>
      <w:divBdr>
        <w:top w:val="none" w:sz="0" w:space="0" w:color="auto"/>
        <w:left w:val="none" w:sz="0" w:space="0" w:color="auto"/>
        <w:bottom w:val="none" w:sz="0" w:space="0" w:color="auto"/>
        <w:right w:val="none" w:sz="0" w:space="0" w:color="auto"/>
      </w:divBdr>
    </w:div>
    <w:div w:id="714161117">
      <w:bodyDiv w:val="1"/>
      <w:marLeft w:val="0"/>
      <w:marRight w:val="0"/>
      <w:marTop w:val="0"/>
      <w:marBottom w:val="0"/>
      <w:divBdr>
        <w:top w:val="none" w:sz="0" w:space="0" w:color="auto"/>
        <w:left w:val="none" w:sz="0" w:space="0" w:color="auto"/>
        <w:bottom w:val="none" w:sz="0" w:space="0" w:color="auto"/>
        <w:right w:val="none" w:sz="0" w:space="0" w:color="auto"/>
      </w:divBdr>
    </w:div>
    <w:div w:id="863059061">
      <w:bodyDiv w:val="1"/>
      <w:marLeft w:val="0"/>
      <w:marRight w:val="0"/>
      <w:marTop w:val="0"/>
      <w:marBottom w:val="0"/>
      <w:divBdr>
        <w:top w:val="none" w:sz="0" w:space="0" w:color="auto"/>
        <w:left w:val="none" w:sz="0" w:space="0" w:color="auto"/>
        <w:bottom w:val="none" w:sz="0" w:space="0" w:color="auto"/>
        <w:right w:val="none" w:sz="0" w:space="0" w:color="auto"/>
      </w:divBdr>
    </w:div>
    <w:div w:id="940918600">
      <w:bodyDiv w:val="1"/>
      <w:marLeft w:val="0"/>
      <w:marRight w:val="0"/>
      <w:marTop w:val="0"/>
      <w:marBottom w:val="0"/>
      <w:divBdr>
        <w:top w:val="none" w:sz="0" w:space="0" w:color="auto"/>
        <w:left w:val="none" w:sz="0" w:space="0" w:color="auto"/>
        <w:bottom w:val="none" w:sz="0" w:space="0" w:color="auto"/>
        <w:right w:val="none" w:sz="0" w:space="0" w:color="auto"/>
      </w:divBdr>
    </w:div>
    <w:div w:id="1120608448">
      <w:bodyDiv w:val="1"/>
      <w:marLeft w:val="0"/>
      <w:marRight w:val="0"/>
      <w:marTop w:val="0"/>
      <w:marBottom w:val="0"/>
      <w:divBdr>
        <w:top w:val="none" w:sz="0" w:space="0" w:color="auto"/>
        <w:left w:val="none" w:sz="0" w:space="0" w:color="auto"/>
        <w:bottom w:val="none" w:sz="0" w:space="0" w:color="auto"/>
        <w:right w:val="none" w:sz="0" w:space="0" w:color="auto"/>
      </w:divBdr>
    </w:div>
    <w:div w:id="1176923717">
      <w:bodyDiv w:val="1"/>
      <w:marLeft w:val="0"/>
      <w:marRight w:val="0"/>
      <w:marTop w:val="0"/>
      <w:marBottom w:val="0"/>
      <w:divBdr>
        <w:top w:val="none" w:sz="0" w:space="0" w:color="auto"/>
        <w:left w:val="none" w:sz="0" w:space="0" w:color="auto"/>
        <w:bottom w:val="none" w:sz="0" w:space="0" w:color="auto"/>
        <w:right w:val="none" w:sz="0" w:space="0" w:color="auto"/>
      </w:divBdr>
      <w:divsChild>
        <w:div w:id="786043279">
          <w:marLeft w:val="547"/>
          <w:marRight w:val="0"/>
          <w:marTop w:val="0"/>
          <w:marBottom w:val="0"/>
          <w:divBdr>
            <w:top w:val="none" w:sz="0" w:space="0" w:color="auto"/>
            <w:left w:val="none" w:sz="0" w:space="0" w:color="auto"/>
            <w:bottom w:val="none" w:sz="0" w:space="0" w:color="auto"/>
            <w:right w:val="none" w:sz="0" w:space="0" w:color="auto"/>
          </w:divBdr>
        </w:div>
        <w:div w:id="1671986151">
          <w:marLeft w:val="547"/>
          <w:marRight w:val="0"/>
          <w:marTop w:val="0"/>
          <w:marBottom w:val="0"/>
          <w:divBdr>
            <w:top w:val="none" w:sz="0" w:space="0" w:color="auto"/>
            <w:left w:val="none" w:sz="0" w:space="0" w:color="auto"/>
            <w:bottom w:val="none" w:sz="0" w:space="0" w:color="auto"/>
            <w:right w:val="none" w:sz="0" w:space="0" w:color="auto"/>
          </w:divBdr>
        </w:div>
        <w:div w:id="1878930635">
          <w:marLeft w:val="547"/>
          <w:marRight w:val="0"/>
          <w:marTop w:val="0"/>
          <w:marBottom w:val="0"/>
          <w:divBdr>
            <w:top w:val="none" w:sz="0" w:space="0" w:color="auto"/>
            <w:left w:val="none" w:sz="0" w:space="0" w:color="auto"/>
            <w:bottom w:val="none" w:sz="0" w:space="0" w:color="auto"/>
            <w:right w:val="none" w:sz="0" w:space="0" w:color="auto"/>
          </w:divBdr>
        </w:div>
        <w:div w:id="1174105188">
          <w:marLeft w:val="547"/>
          <w:marRight w:val="0"/>
          <w:marTop w:val="0"/>
          <w:marBottom w:val="0"/>
          <w:divBdr>
            <w:top w:val="none" w:sz="0" w:space="0" w:color="auto"/>
            <w:left w:val="none" w:sz="0" w:space="0" w:color="auto"/>
            <w:bottom w:val="none" w:sz="0" w:space="0" w:color="auto"/>
            <w:right w:val="none" w:sz="0" w:space="0" w:color="auto"/>
          </w:divBdr>
        </w:div>
        <w:div w:id="1506481869">
          <w:marLeft w:val="547"/>
          <w:marRight w:val="0"/>
          <w:marTop w:val="0"/>
          <w:marBottom w:val="0"/>
          <w:divBdr>
            <w:top w:val="none" w:sz="0" w:space="0" w:color="auto"/>
            <w:left w:val="none" w:sz="0" w:space="0" w:color="auto"/>
            <w:bottom w:val="none" w:sz="0" w:space="0" w:color="auto"/>
            <w:right w:val="none" w:sz="0" w:space="0" w:color="auto"/>
          </w:divBdr>
        </w:div>
      </w:divsChild>
    </w:div>
    <w:div w:id="1197162254">
      <w:bodyDiv w:val="1"/>
      <w:marLeft w:val="0"/>
      <w:marRight w:val="0"/>
      <w:marTop w:val="0"/>
      <w:marBottom w:val="0"/>
      <w:divBdr>
        <w:top w:val="none" w:sz="0" w:space="0" w:color="auto"/>
        <w:left w:val="none" w:sz="0" w:space="0" w:color="auto"/>
        <w:bottom w:val="none" w:sz="0" w:space="0" w:color="auto"/>
        <w:right w:val="none" w:sz="0" w:space="0" w:color="auto"/>
      </w:divBdr>
    </w:div>
    <w:div w:id="1249849514">
      <w:bodyDiv w:val="1"/>
      <w:marLeft w:val="0"/>
      <w:marRight w:val="0"/>
      <w:marTop w:val="0"/>
      <w:marBottom w:val="0"/>
      <w:divBdr>
        <w:top w:val="none" w:sz="0" w:space="0" w:color="auto"/>
        <w:left w:val="none" w:sz="0" w:space="0" w:color="auto"/>
        <w:bottom w:val="none" w:sz="0" w:space="0" w:color="auto"/>
        <w:right w:val="none" w:sz="0" w:space="0" w:color="auto"/>
      </w:divBdr>
    </w:div>
    <w:div w:id="1375305263">
      <w:bodyDiv w:val="1"/>
      <w:marLeft w:val="0"/>
      <w:marRight w:val="0"/>
      <w:marTop w:val="0"/>
      <w:marBottom w:val="0"/>
      <w:divBdr>
        <w:top w:val="none" w:sz="0" w:space="0" w:color="auto"/>
        <w:left w:val="none" w:sz="0" w:space="0" w:color="auto"/>
        <w:bottom w:val="none" w:sz="0" w:space="0" w:color="auto"/>
        <w:right w:val="none" w:sz="0" w:space="0" w:color="auto"/>
      </w:divBdr>
    </w:div>
    <w:div w:id="1382442991">
      <w:bodyDiv w:val="1"/>
      <w:marLeft w:val="0"/>
      <w:marRight w:val="0"/>
      <w:marTop w:val="0"/>
      <w:marBottom w:val="0"/>
      <w:divBdr>
        <w:top w:val="none" w:sz="0" w:space="0" w:color="auto"/>
        <w:left w:val="none" w:sz="0" w:space="0" w:color="auto"/>
        <w:bottom w:val="none" w:sz="0" w:space="0" w:color="auto"/>
        <w:right w:val="none" w:sz="0" w:space="0" w:color="auto"/>
      </w:divBdr>
    </w:div>
    <w:div w:id="1553039012">
      <w:bodyDiv w:val="1"/>
      <w:marLeft w:val="0"/>
      <w:marRight w:val="0"/>
      <w:marTop w:val="0"/>
      <w:marBottom w:val="0"/>
      <w:divBdr>
        <w:top w:val="none" w:sz="0" w:space="0" w:color="auto"/>
        <w:left w:val="none" w:sz="0" w:space="0" w:color="auto"/>
        <w:bottom w:val="none" w:sz="0" w:space="0" w:color="auto"/>
        <w:right w:val="none" w:sz="0" w:space="0" w:color="auto"/>
      </w:divBdr>
    </w:div>
    <w:div w:id="1608191670">
      <w:bodyDiv w:val="1"/>
      <w:marLeft w:val="0"/>
      <w:marRight w:val="0"/>
      <w:marTop w:val="0"/>
      <w:marBottom w:val="0"/>
      <w:divBdr>
        <w:top w:val="none" w:sz="0" w:space="0" w:color="auto"/>
        <w:left w:val="none" w:sz="0" w:space="0" w:color="auto"/>
        <w:bottom w:val="none" w:sz="0" w:space="0" w:color="auto"/>
        <w:right w:val="none" w:sz="0" w:space="0" w:color="auto"/>
      </w:divBdr>
    </w:div>
    <w:div w:id="1715545142">
      <w:bodyDiv w:val="1"/>
      <w:marLeft w:val="0"/>
      <w:marRight w:val="0"/>
      <w:marTop w:val="0"/>
      <w:marBottom w:val="0"/>
      <w:divBdr>
        <w:top w:val="none" w:sz="0" w:space="0" w:color="auto"/>
        <w:left w:val="none" w:sz="0" w:space="0" w:color="auto"/>
        <w:bottom w:val="none" w:sz="0" w:space="0" w:color="auto"/>
        <w:right w:val="none" w:sz="0" w:space="0" w:color="auto"/>
      </w:divBdr>
    </w:div>
    <w:div w:id="1837649734">
      <w:bodyDiv w:val="1"/>
      <w:marLeft w:val="0"/>
      <w:marRight w:val="0"/>
      <w:marTop w:val="0"/>
      <w:marBottom w:val="0"/>
      <w:divBdr>
        <w:top w:val="none" w:sz="0" w:space="0" w:color="auto"/>
        <w:left w:val="none" w:sz="0" w:space="0" w:color="auto"/>
        <w:bottom w:val="none" w:sz="0" w:space="0" w:color="auto"/>
        <w:right w:val="none" w:sz="0" w:space="0" w:color="auto"/>
      </w:divBdr>
    </w:div>
    <w:div w:id="1873104415">
      <w:bodyDiv w:val="1"/>
      <w:marLeft w:val="0"/>
      <w:marRight w:val="0"/>
      <w:marTop w:val="0"/>
      <w:marBottom w:val="0"/>
      <w:divBdr>
        <w:top w:val="none" w:sz="0" w:space="0" w:color="auto"/>
        <w:left w:val="none" w:sz="0" w:space="0" w:color="auto"/>
        <w:bottom w:val="none" w:sz="0" w:space="0" w:color="auto"/>
        <w:right w:val="none" w:sz="0" w:space="0" w:color="auto"/>
      </w:divBdr>
    </w:div>
    <w:div w:id="1891457403">
      <w:bodyDiv w:val="1"/>
      <w:marLeft w:val="0"/>
      <w:marRight w:val="0"/>
      <w:marTop w:val="0"/>
      <w:marBottom w:val="0"/>
      <w:divBdr>
        <w:top w:val="none" w:sz="0" w:space="0" w:color="auto"/>
        <w:left w:val="none" w:sz="0" w:space="0" w:color="auto"/>
        <w:bottom w:val="none" w:sz="0" w:space="0" w:color="auto"/>
        <w:right w:val="none" w:sz="0" w:space="0" w:color="auto"/>
      </w:divBdr>
    </w:div>
    <w:div w:id="2040934782">
      <w:bodyDiv w:val="1"/>
      <w:marLeft w:val="0"/>
      <w:marRight w:val="0"/>
      <w:marTop w:val="0"/>
      <w:marBottom w:val="0"/>
      <w:divBdr>
        <w:top w:val="none" w:sz="0" w:space="0" w:color="auto"/>
        <w:left w:val="none" w:sz="0" w:space="0" w:color="auto"/>
        <w:bottom w:val="none" w:sz="0" w:space="0" w:color="auto"/>
        <w:right w:val="none" w:sz="0" w:space="0" w:color="auto"/>
      </w:divBdr>
    </w:div>
    <w:div w:id="2049406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mailto:Kristine.Gavrovska@fm.gov.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fm.gov.lv/lv/fsp-2025-2028-gadam" TargetMode="External"/><Relationship Id="rId2" Type="http://schemas.openxmlformats.org/officeDocument/2006/relationships/hyperlink" Target="https://tapportals.mk.gov.lv/legal_acts/b75ce8f5-2802-4b1d-b2a6-5da803f49442" TargetMode="External"/><Relationship Id="rId1" Type="http://schemas.openxmlformats.org/officeDocument/2006/relationships/hyperlink" Target="https://eur-lex.europa.eu/legal-content/LV/TXT/HTML/?uri=OJ:C_202500652" TargetMode="External"/><Relationship Id="rId4" Type="http://schemas.openxmlformats.org/officeDocument/2006/relationships/hyperlink" Target="https://data.consilium.europa.eu/doc/document/ST-10974-2025-INIT/lv/pdf"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69963542279195"/>
          <c:y val="2.7046144512899203E-2"/>
          <c:w val="0.81564746485955397"/>
          <c:h val="0.78730639014103576"/>
        </c:manualLayout>
      </c:layout>
      <c:barChart>
        <c:barDir val="col"/>
        <c:grouping val="stacked"/>
        <c:varyColors val="0"/>
        <c:ser>
          <c:idx val="0"/>
          <c:order val="0"/>
          <c:tx>
            <c:strRef>
              <c:f>Sheet1!$D$2</c:f>
              <c:strCache>
                <c:ptCount val="1"/>
                <c:pt idx="0">
                  <c:v>Valsts budžetā*</c:v>
                </c:pt>
              </c:strCache>
            </c:strRef>
          </c:tx>
          <c:spPr>
            <a:solidFill>
              <a:srgbClr val="FFEDA8"/>
            </a:solidFill>
            <a:ln>
              <a:solidFill>
                <a:srgbClr val="FFEDA8"/>
              </a:solidFill>
            </a:ln>
            <a:effectLst/>
          </c:spPr>
          <c:invertIfNegative val="0"/>
          <c:dLbls>
            <c:spPr>
              <a:noFill/>
              <a:ln>
                <a:noFill/>
              </a:ln>
              <a:effectLst/>
            </c:spPr>
            <c:txPr>
              <a:bodyPr rot="-5400000" spcFirstLastPara="1" vertOverflow="ellipsis"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Sheet1!$B$6:$B$14</c:f>
              <c:numCache>
                <c:formatCode>General</c:formatCode>
                <c:ptCount val="9"/>
                <c:pt idx="0">
                  <c:v>2021</c:v>
                </c:pt>
                <c:pt idx="1">
                  <c:v>2022</c:v>
                </c:pt>
                <c:pt idx="2">
                  <c:v>2023</c:v>
                </c:pt>
                <c:pt idx="3">
                  <c:v>2024</c:v>
                </c:pt>
                <c:pt idx="4">
                  <c:v>2025</c:v>
                </c:pt>
                <c:pt idx="5">
                  <c:v>2026</c:v>
                </c:pt>
                <c:pt idx="6">
                  <c:v>2027</c:v>
                </c:pt>
                <c:pt idx="7">
                  <c:v>2028</c:v>
                </c:pt>
                <c:pt idx="8">
                  <c:v>2029</c:v>
                </c:pt>
              </c:numCache>
            </c:numRef>
          </c:cat>
          <c:val>
            <c:numRef>
              <c:f>Sheet1!$D$6:$D$14</c:f>
              <c:numCache>
                <c:formatCode>#,##0</c:formatCode>
                <c:ptCount val="9"/>
                <c:pt idx="0">
                  <c:v>8002.3086985399996</c:v>
                </c:pt>
                <c:pt idx="1">
                  <c:v>9598.8347615900002</c:v>
                </c:pt>
                <c:pt idx="2">
                  <c:v>10513.587453040001</c:v>
                </c:pt>
                <c:pt idx="3">
                  <c:v>11193.611073759999</c:v>
                </c:pt>
                <c:pt idx="4">
                  <c:v>11989.194764939999</c:v>
                </c:pt>
                <c:pt idx="5">
                  <c:v>12651.234388000001</c:v>
                </c:pt>
                <c:pt idx="6">
                  <c:v>13223.894818999999</c:v>
                </c:pt>
                <c:pt idx="7">
                  <c:v>13734.360490000003</c:v>
                </c:pt>
                <c:pt idx="8">
                  <c:v>14147.83066</c:v>
                </c:pt>
              </c:numCache>
            </c:numRef>
          </c:val>
          <c:extLst>
            <c:ext xmlns:c16="http://schemas.microsoft.com/office/drawing/2014/chart" uri="{C3380CC4-5D6E-409C-BE32-E72D297353CC}">
              <c16:uniqueId val="{00000000-01E3-4B5C-B71E-68566E990945}"/>
            </c:ext>
          </c:extLst>
        </c:ser>
        <c:ser>
          <c:idx val="1"/>
          <c:order val="1"/>
          <c:tx>
            <c:strRef>
              <c:f>Sheet1!$E$2</c:f>
              <c:strCache>
                <c:ptCount val="1"/>
                <c:pt idx="0">
                  <c:v>Pašvaldību budžetā</c:v>
                </c:pt>
              </c:strCache>
            </c:strRef>
          </c:tx>
          <c:spPr>
            <a:solidFill>
              <a:srgbClr val="B0A6DF"/>
            </a:solidFill>
            <a:ln>
              <a:solidFill>
                <a:srgbClr val="B0A6DF"/>
              </a:solidFill>
            </a:ln>
            <a:effectLst/>
          </c:spPr>
          <c:invertIfNegative val="0"/>
          <c:dLbls>
            <c:spPr>
              <a:noFill/>
              <a:ln>
                <a:noFill/>
              </a:ln>
              <a:effectLst/>
            </c:spPr>
            <c:txPr>
              <a:bodyPr rot="-5400000" spcFirstLastPara="1" vertOverflow="ellipsis"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Sheet1!$B$6:$B$14</c:f>
              <c:numCache>
                <c:formatCode>General</c:formatCode>
                <c:ptCount val="9"/>
                <c:pt idx="0">
                  <c:v>2021</c:v>
                </c:pt>
                <c:pt idx="1">
                  <c:v>2022</c:v>
                </c:pt>
                <c:pt idx="2">
                  <c:v>2023</c:v>
                </c:pt>
                <c:pt idx="3">
                  <c:v>2024</c:v>
                </c:pt>
                <c:pt idx="4">
                  <c:v>2025</c:v>
                </c:pt>
                <c:pt idx="5">
                  <c:v>2026</c:v>
                </c:pt>
                <c:pt idx="6">
                  <c:v>2027</c:v>
                </c:pt>
                <c:pt idx="7">
                  <c:v>2028</c:v>
                </c:pt>
                <c:pt idx="8">
                  <c:v>2029</c:v>
                </c:pt>
              </c:numCache>
            </c:numRef>
          </c:cat>
          <c:val>
            <c:numRef>
              <c:f>Sheet1!$E$6:$E$14</c:f>
              <c:numCache>
                <c:formatCode>#,##0</c:formatCode>
                <c:ptCount val="9"/>
                <c:pt idx="0">
                  <c:v>1683.845198</c:v>
                </c:pt>
                <c:pt idx="1">
                  <c:v>1939.4870249999999</c:v>
                </c:pt>
                <c:pt idx="2">
                  <c:v>2125.6189879999997</c:v>
                </c:pt>
                <c:pt idx="3">
                  <c:v>2364.0045060000002</c:v>
                </c:pt>
                <c:pt idx="4">
                  <c:v>2451.645</c:v>
                </c:pt>
                <c:pt idx="5">
                  <c:v>2552.9553199999996</c:v>
                </c:pt>
                <c:pt idx="6">
                  <c:v>2661.1699600000002</c:v>
                </c:pt>
                <c:pt idx="7">
                  <c:v>2790.4623799999999</c:v>
                </c:pt>
                <c:pt idx="8">
                  <c:v>2928.9193599999999</c:v>
                </c:pt>
              </c:numCache>
            </c:numRef>
          </c:val>
          <c:extLst>
            <c:ext xmlns:c16="http://schemas.microsoft.com/office/drawing/2014/chart" uri="{C3380CC4-5D6E-409C-BE32-E72D297353CC}">
              <c16:uniqueId val="{00000001-01E3-4B5C-B71E-68566E990945}"/>
            </c:ext>
          </c:extLst>
        </c:ser>
        <c:dLbls>
          <c:dLblPos val="ctr"/>
          <c:showLegendKey val="0"/>
          <c:showVal val="1"/>
          <c:showCatName val="0"/>
          <c:showSerName val="0"/>
          <c:showPercent val="0"/>
          <c:showBubbleSize val="0"/>
        </c:dLbls>
        <c:gapWidth val="80"/>
        <c:overlap val="100"/>
        <c:axId val="506518431"/>
        <c:axId val="633095663"/>
      </c:barChart>
      <c:lineChart>
        <c:grouping val="standard"/>
        <c:varyColors val="0"/>
        <c:ser>
          <c:idx val="2"/>
          <c:order val="2"/>
          <c:tx>
            <c:strRef>
              <c:f>Sheet1!$I$2</c:f>
              <c:strCache>
                <c:ptCount val="1"/>
                <c:pt idx="0">
                  <c:v>Pret IKP**, labā ass</c:v>
                </c:pt>
              </c:strCache>
            </c:strRef>
          </c:tx>
          <c:spPr>
            <a:ln w="28575" cap="rnd">
              <a:solidFill>
                <a:srgbClr val="4E6813"/>
              </a:solidFill>
              <a:round/>
            </a:ln>
            <a:effectLst/>
          </c:spPr>
          <c:marker>
            <c:symbol val="none"/>
          </c:marker>
          <c:dLbls>
            <c:dLbl>
              <c:idx val="4"/>
              <c:layout>
                <c:manualLayout>
                  <c:x val="-5.0370550088389372E-2"/>
                  <c:y val="-2.67443892117728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024-4104-A703-3DF5AB39CCE3}"/>
                </c:ext>
              </c:extLst>
            </c:dLbl>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Sheet1!$B$6:$B$14</c:f>
              <c:numCache>
                <c:formatCode>General</c:formatCode>
                <c:ptCount val="9"/>
                <c:pt idx="0">
                  <c:v>2021</c:v>
                </c:pt>
                <c:pt idx="1">
                  <c:v>2022</c:v>
                </c:pt>
                <c:pt idx="2">
                  <c:v>2023</c:v>
                </c:pt>
                <c:pt idx="3">
                  <c:v>2024</c:v>
                </c:pt>
                <c:pt idx="4">
                  <c:v>2025</c:v>
                </c:pt>
                <c:pt idx="5">
                  <c:v>2026</c:v>
                </c:pt>
                <c:pt idx="6">
                  <c:v>2027</c:v>
                </c:pt>
                <c:pt idx="7">
                  <c:v>2028</c:v>
                </c:pt>
                <c:pt idx="8">
                  <c:v>2029</c:v>
                </c:pt>
              </c:numCache>
            </c:numRef>
          </c:cat>
          <c:val>
            <c:numRef>
              <c:f>Sheet1!$I$6:$I$14</c:f>
              <c:numCache>
                <c:formatCode>0.0%</c:formatCode>
                <c:ptCount val="9"/>
                <c:pt idx="0">
                  <c:v>0.31853543538196072</c:v>
                </c:pt>
                <c:pt idx="1">
                  <c:v>0.33873263364808681</c:v>
                </c:pt>
                <c:pt idx="2">
                  <c:v>0.34071967141559267</c:v>
                </c:pt>
                <c:pt idx="3">
                  <c:v>0.35824223136625116</c:v>
                </c:pt>
                <c:pt idx="4">
                  <c:v>0.3630802050665306</c:v>
                </c:pt>
                <c:pt idx="5">
                  <c:v>0.36399959424539757</c:v>
                </c:pt>
                <c:pt idx="6">
                  <c:v>0.36331981363654331</c:v>
                </c:pt>
                <c:pt idx="7">
                  <c:v>0.36143012528533752</c:v>
                </c:pt>
                <c:pt idx="8">
                  <c:v>0.35966112073013928</c:v>
                </c:pt>
              </c:numCache>
            </c:numRef>
          </c:val>
          <c:smooth val="0"/>
          <c:extLst>
            <c:ext xmlns:c16="http://schemas.microsoft.com/office/drawing/2014/chart" uri="{C3380CC4-5D6E-409C-BE32-E72D297353CC}">
              <c16:uniqueId val="{00000002-01E3-4B5C-B71E-68566E990945}"/>
            </c:ext>
          </c:extLst>
        </c:ser>
        <c:dLbls>
          <c:dLblPos val="ctr"/>
          <c:showLegendKey val="0"/>
          <c:showVal val="1"/>
          <c:showCatName val="0"/>
          <c:showSerName val="0"/>
          <c:showPercent val="0"/>
          <c:showBubbleSize val="0"/>
        </c:dLbls>
        <c:marker val="1"/>
        <c:smooth val="0"/>
        <c:axId val="162896351"/>
        <c:axId val="162895391"/>
      </c:lineChart>
      <c:catAx>
        <c:axId val="5065184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633095663"/>
        <c:crosses val="autoZero"/>
        <c:auto val="1"/>
        <c:lblAlgn val="ctr"/>
        <c:lblOffset val="100"/>
        <c:noMultiLvlLbl val="0"/>
      </c:catAx>
      <c:valAx>
        <c:axId val="633095663"/>
        <c:scaling>
          <c:orientation val="minMax"/>
          <c:max val="20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a:t>milj. euro</a:t>
                </a:r>
              </a:p>
            </c:rich>
          </c:tx>
          <c:layout>
            <c:manualLayout>
              <c:xMode val="edge"/>
              <c:yMode val="edge"/>
              <c:x val="3.2392458057878601E-4"/>
              <c:y val="0.3159525139825699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506518431"/>
        <c:crosses val="autoZero"/>
        <c:crossBetween val="between"/>
      </c:valAx>
      <c:valAx>
        <c:axId val="162895391"/>
        <c:scaling>
          <c:orientation val="minMax"/>
          <c:max val="0.38000000000000006"/>
          <c:min val="0"/>
        </c:scaling>
        <c:delete val="0"/>
        <c:axPos val="r"/>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62896351"/>
        <c:crosses val="max"/>
        <c:crossBetween val="between"/>
        <c:majorUnit val="6.0000000000000012E-2"/>
      </c:valAx>
      <c:catAx>
        <c:axId val="162896351"/>
        <c:scaling>
          <c:orientation val="minMax"/>
        </c:scaling>
        <c:delete val="1"/>
        <c:axPos val="b"/>
        <c:numFmt formatCode="General" sourceLinked="1"/>
        <c:majorTickMark val="out"/>
        <c:minorTickMark val="none"/>
        <c:tickLblPos val="nextTo"/>
        <c:crossAx val="162895391"/>
        <c:crosses val="autoZero"/>
        <c:auto val="1"/>
        <c:lblAlgn val="ctr"/>
        <c:lblOffset val="100"/>
        <c:noMultiLvlLbl val="0"/>
      </c:catAx>
      <c:spPr>
        <a:noFill/>
        <a:ln>
          <a:noFill/>
        </a:ln>
        <a:effectLst/>
      </c:spPr>
    </c:plotArea>
    <c:legend>
      <c:legendPos val="b"/>
      <c:layout>
        <c:manualLayout>
          <c:xMode val="edge"/>
          <c:yMode val="edge"/>
          <c:x val="7.2783876467996172E-3"/>
          <c:y val="0.89596112340978751"/>
          <c:w val="0.9854430331245092"/>
          <c:h val="0.1040388765902122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lgn="just">
        <a:defRPr sz="1000" b="0">
          <a:latin typeface="Times New Roman" panose="02020603050405020304" pitchFamily="18" charset="0"/>
          <a:cs typeface="Times New Roman" panose="02020603050405020304" pitchFamily="18" charset="0"/>
        </a:defRPr>
      </a:pPr>
      <a:endParaRPr lang="lv-LV"/>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0.46153</cdr:x>
      <cdr:y>0.12497</cdr:y>
    </cdr:from>
    <cdr:to>
      <cdr:x>0.56167</cdr:x>
      <cdr:y>0.22865</cdr:y>
    </cdr:to>
    <cdr:sp macro="" textlink="">
      <cdr:nvSpPr>
        <cdr:cNvPr id="3" name="TextBox 4">
          <a:extLst xmlns:a="http://schemas.openxmlformats.org/drawingml/2006/main">
            <a:ext uri="{FF2B5EF4-FFF2-40B4-BE49-F238E27FC236}">
              <a16:creationId xmlns:a16="http://schemas.microsoft.com/office/drawing/2014/main" id="{1DD79FEE-A56B-5195-7357-496567620B66}"/>
            </a:ext>
          </a:extLst>
        </cdr:cNvPr>
        <cdr:cNvSpPr txBox="1"/>
      </cdr:nvSpPr>
      <cdr:spPr>
        <a:xfrm xmlns:a="http://schemas.openxmlformats.org/drawingml/2006/main">
          <a:off x="2409033" y="299971"/>
          <a:ext cx="522707" cy="248851"/>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lv-LV" sz="1000">
              <a:solidFill>
                <a:srgbClr val="404040"/>
              </a:solidFill>
              <a:latin typeface="+mn-lt"/>
              <a:ea typeface="Verdana" panose="020B0604030504040204" pitchFamily="34" charset="0"/>
            </a:rPr>
            <a:t>∑+883</a:t>
          </a:r>
        </a:p>
      </cdr:txBody>
    </cdr:sp>
  </cdr:relSizeAnchor>
  <cdr:relSizeAnchor xmlns:cdr="http://schemas.openxmlformats.org/drawingml/2006/chartDrawing">
    <cdr:from>
      <cdr:x>0.55525</cdr:x>
      <cdr:y>0.10242</cdr:y>
    </cdr:from>
    <cdr:to>
      <cdr:x>0.65539</cdr:x>
      <cdr:y>0.2061</cdr:y>
    </cdr:to>
    <cdr:sp macro="" textlink="">
      <cdr:nvSpPr>
        <cdr:cNvPr id="4" name="TextBox 4">
          <a:extLst xmlns:a="http://schemas.openxmlformats.org/drawingml/2006/main">
            <a:ext uri="{FF2B5EF4-FFF2-40B4-BE49-F238E27FC236}">
              <a16:creationId xmlns:a16="http://schemas.microsoft.com/office/drawing/2014/main" id="{4D9D2950-4928-1762-D7BB-E61DD90B82F3}"/>
            </a:ext>
          </a:extLst>
        </cdr:cNvPr>
        <cdr:cNvSpPr txBox="1"/>
      </cdr:nvSpPr>
      <cdr:spPr>
        <a:xfrm xmlns:a="http://schemas.openxmlformats.org/drawingml/2006/main">
          <a:off x="2898219" y="245844"/>
          <a:ext cx="522707" cy="248851"/>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lv-LV" sz="1000">
              <a:solidFill>
                <a:srgbClr val="404040"/>
              </a:solidFill>
              <a:latin typeface="+mn-lt"/>
              <a:ea typeface="Verdana" panose="020B0604030504040204" pitchFamily="34" charset="0"/>
            </a:rPr>
            <a:t>∑+763</a:t>
          </a:r>
        </a:p>
      </cdr:txBody>
    </cdr:sp>
  </cdr:relSizeAnchor>
  <cdr:relSizeAnchor xmlns:cdr="http://schemas.openxmlformats.org/drawingml/2006/chartDrawing">
    <cdr:from>
      <cdr:x>0.65162</cdr:x>
      <cdr:y>0.07885</cdr:y>
    </cdr:from>
    <cdr:to>
      <cdr:x>0.75176</cdr:x>
      <cdr:y>0.18252</cdr:y>
    </cdr:to>
    <cdr:sp macro="" textlink="">
      <cdr:nvSpPr>
        <cdr:cNvPr id="5" name="TextBox 4">
          <a:extLst xmlns:a="http://schemas.openxmlformats.org/drawingml/2006/main">
            <a:ext uri="{FF2B5EF4-FFF2-40B4-BE49-F238E27FC236}">
              <a16:creationId xmlns:a16="http://schemas.microsoft.com/office/drawing/2014/main" id="{5B7412AB-7D6D-6E94-E5D6-DCCF0F9EA16E}"/>
            </a:ext>
          </a:extLst>
        </cdr:cNvPr>
        <cdr:cNvSpPr txBox="1"/>
      </cdr:nvSpPr>
      <cdr:spPr>
        <a:xfrm xmlns:a="http://schemas.openxmlformats.org/drawingml/2006/main">
          <a:off x="3401245" y="189256"/>
          <a:ext cx="522707" cy="248851"/>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lv-LV" sz="1000">
              <a:solidFill>
                <a:srgbClr val="404040"/>
              </a:solidFill>
              <a:latin typeface="+mn-lt"/>
              <a:ea typeface="Verdana" panose="020B0604030504040204" pitchFamily="34" charset="0"/>
            </a:rPr>
            <a:t>∑+681</a:t>
          </a:r>
        </a:p>
      </cdr:txBody>
    </cdr:sp>
  </cdr:relSizeAnchor>
  <cdr:relSizeAnchor xmlns:cdr="http://schemas.openxmlformats.org/drawingml/2006/chartDrawing">
    <cdr:from>
      <cdr:x>0.73851</cdr:x>
      <cdr:y>0.05888</cdr:y>
    </cdr:from>
    <cdr:to>
      <cdr:x>0.83865</cdr:x>
      <cdr:y>0.16255</cdr:y>
    </cdr:to>
    <cdr:sp macro="" textlink="">
      <cdr:nvSpPr>
        <cdr:cNvPr id="7" name="TextBox 1">
          <a:extLst xmlns:a="http://schemas.openxmlformats.org/drawingml/2006/main">
            <a:ext uri="{FF2B5EF4-FFF2-40B4-BE49-F238E27FC236}">
              <a16:creationId xmlns:a16="http://schemas.microsoft.com/office/drawing/2014/main" id="{D6717D78-A956-0CFE-27B2-3109B677327B}"/>
            </a:ext>
          </a:extLst>
        </cdr:cNvPr>
        <cdr:cNvSpPr txBox="1"/>
      </cdr:nvSpPr>
      <cdr:spPr>
        <a:xfrm xmlns:a="http://schemas.openxmlformats.org/drawingml/2006/main">
          <a:off x="3854787" y="141327"/>
          <a:ext cx="522707" cy="248851"/>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lv-LV" sz="1000">
              <a:solidFill>
                <a:srgbClr val="404040"/>
              </a:solidFill>
              <a:latin typeface="+mn-lt"/>
              <a:ea typeface="Verdana" panose="020B0604030504040204" pitchFamily="34" charset="0"/>
            </a:rPr>
            <a:t>∑+640</a:t>
          </a:r>
        </a:p>
      </cdr:txBody>
    </cdr:sp>
  </cdr:relSizeAnchor>
  <cdr:relSizeAnchor xmlns:cdr="http://schemas.openxmlformats.org/drawingml/2006/chartDrawing">
    <cdr:from>
      <cdr:x>0.83357</cdr:x>
      <cdr:y>0.05696</cdr:y>
    </cdr:from>
    <cdr:to>
      <cdr:x>0.93371</cdr:x>
      <cdr:y>0.16063</cdr:y>
    </cdr:to>
    <cdr:sp macro="" textlink="">
      <cdr:nvSpPr>
        <cdr:cNvPr id="8" name="TextBox 1">
          <a:extLst xmlns:a="http://schemas.openxmlformats.org/drawingml/2006/main">
            <a:ext uri="{FF2B5EF4-FFF2-40B4-BE49-F238E27FC236}">
              <a16:creationId xmlns:a16="http://schemas.microsoft.com/office/drawing/2014/main" id="{EE8A2BC6-EDA6-5A31-220E-36029CE4EDB1}"/>
            </a:ext>
          </a:extLst>
        </cdr:cNvPr>
        <cdr:cNvSpPr txBox="1"/>
      </cdr:nvSpPr>
      <cdr:spPr>
        <a:xfrm xmlns:a="http://schemas.openxmlformats.org/drawingml/2006/main">
          <a:off x="4350975" y="136718"/>
          <a:ext cx="522707" cy="248851"/>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lv-LV" sz="1000">
              <a:solidFill>
                <a:srgbClr val="404040"/>
              </a:solidFill>
              <a:latin typeface="+mn-lt"/>
              <a:ea typeface="Verdana" panose="020B0604030504040204" pitchFamily="34" charset="0"/>
            </a:rPr>
            <a:t>∑+552</a:t>
          </a:r>
        </a:p>
      </cdr:txBody>
    </cdr:sp>
  </cdr:relSizeAnchor>
  <cdr:relSizeAnchor xmlns:cdr="http://schemas.openxmlformats.org/drawingml/2006/chartDrawing">
    <cdr:from>
      <cdr:x>0.376</cdr:x>
      <cdr:y>0.14926</cdr:y>
    </cdr:from>
    <cdr:to>
      <cdr:x>0.47614</cdr:x>
      <cdr:y>0.25293</cdr:y>
    </cdr:to>
    <cdr:sp macro="" textlink="">
      <cdr:nvSpPr>
        <cdr:cNvPr id="9" name="TextBox 4">
          <a:extLst xmlns:a="http://schemas.openxmlformats.org/drawingml/2006/main">
            <a:ext uri="{FF2B5EF4-FFF2-40B4-BE49-F238E27FC236}">
              <a16:creationId xmlns:a16="http://schemas.microsoft.com/office/drawing/2014/main" id="{29287748-EA80-0F07-AE56-48594298024F}"/>
            </a:ext>
          </a:extLst>
        </cdr:cNvPr>
        <cdr:cNvSpPr txBox="1"/>
      </cdr:nvSpPr>
      <cdr:spPr>
        <a:xfrm xmlns:a="http://schemas.openxmlformats.org/drawingml/2006/main">
          <a:off x="1962621" y="358266"/>
          <a:ext cx="522707" cy="248851"/>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lv-LV" sz="1000">
              <a:solidFill>
                <a:srgbClr val="404040"/>
              </a:solidFill>
              <a:latin typeface="+mn-lt"/>
              <a:ea typeface="Verdana" panose="020B0604030504040204" pitchFamily="34" charset="0"/>
            </a:rPr>
            <a:t>∑+918</a:t>
          </a:r>
        </a:p>
      </cdr:txBody>
    </cdr:sp>
  </cdr:relSizeAnchor>
  <cdr:relSizeAnchor xmlns:cdr="http://schemas.openxmlformats.org/drawingml/2006/chartDrawing">
    <cdr:from>
      <cdr:x>0.27605</cdr:x>
      <cdr:y>0.15492</cdr:y>
    </cdr:from>
    <cdr:to>
      <cdr:x>0.3943</cdr:x>
      <cdr:y>0.25859</cdr:y>
    </cdr:to>
    <cdr:sp macro="" textlink="">
      <cdr:nvSpPr>
        <cdr:cNvPr id="10" name="TextBox 4">
          <a:extLst xmlns:a="http://schemas.openxmlformats.org/drawingml/2006/main">
            <a:ext uri="{FF2B5EF4-FFF2-40B4-BE49-F238E27FC236}">
              <a16:creationId xmlns:a16="http://schemas.microsoft.com/office/drawing/2014/main" id="{DD8D8626-DB02-1F33-88EA-7F2CC3E61B74}"/>
            </a:ext>
          </a:extLst>
        </cdr:cNvPr>
        <cdr:cNvSpPr txBox="1"/>
      </cdr:nvSpPr>
      <cdr:spPr>
        <a:xfrm xmlns:a="http://schemas.openxmlformats.org/drawingml/2006/main">
          <a:off x="1440917" y="371848"/>
          <a:ext cx="617220" cy="248851"/>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lv-LV" sz="1000">
              <a:solidFill>
                <a:srgbClr val="404040"/>
              </a:solidFill>
              <a:latin typeface="+mn-lt"/>
              <a:ea typeface="Verdana" panose="020B0604030504040204" pitchFamily="34" charset="0"/>
            </a:rPr>
            <a:t>∑+1 101</a:t>
          </a:r>
        </a:p>
      </cdr:txBody>
    </cdr:sp>
  </cdr:relSizeAnchor>
  <cdr:relSizeAnchor xmlns:cdr="http://schemas.openxmlformats.org/drawingml/2006/chartDrawing">
    <cdr:from>
      <cdr:x>0.17301</cdr:x>
      <cdr:y>0.21639</cdr:y>
    </cdr:from>
    <cdr:to>
      <cdr:x>0.29126</cdr:x>
      <cdr:y>0.32006</cdr:y>
    </cdr:to>
    <cdr:sp macro="" textlink="">
      <cdr:nvSpPr>
        <cdr:cNvPr id="11" name="TextBox 4">
          <a:extLst xmlns:a="http://schemas.openxmlformats.org/drawingml/2006/main">
            <a:ext uri="{FF2B5EF4-FFF2-40B4-BE49-F238E27FC236}">
              <a16:creationId xmlns:a16="http://schemas.microsoft.com/office/drawing/2014/main" id="{E8C5A9AC-7499-0512-25EA-9C400D5CFECD}"/>
            </a:ext>
          </a:extLst>
        </cdr:cNvPr>
        <cdr:cNvSpPr txBox="1"/>
      </cdr:nvSpPr>
      <cdr:spPr>
        <a:xfrm xmlns:a="http://schemas.openxmlformats.org/drawingml/2006/main">
          <a:off x="903054" y="519398"/>
          <a:ext cx="617220" cy="248851"/>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lv-LV" sz="1000">
              <a:solidFill>
                <a:srgbClr val="404040"/>
              </a:solidFill>
              <a:latin typeface="+mn-lt"/>
              <a:ea typeface="Verdana" panose="020B0604030504040204" pitchFamily="34" charset="0"/>
            </a:rPr>
            <a:t>∑+1 852</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05C71-7E6C-4712-B4D0-3CBD36A26B67}">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2600</TotalTime>
  <Pages>39</Pages>
  <Words>73270</Words>
  <Characters>41765</Characters>
  <Application>Microsoft Office Word</Application>
  <DocSecurity>0</DocSecurity>
  <Lines>348</Lines>
  <Paragraphs>229</Paragraphs>
  <ScaleCrop>false</ScaleCrop>
  <HeadingPairs>
    <vt:vector size="2" baseType="variant">
      <vt:variant>
        <vt:lpstr>Title</vt:lpstr>
      </vt:variant>
      <vt:variant>
        <vt:i4>1</vt:i4>
      </vt:variant>
    </vt:vector>
  </HeadingPairs>
  <TitlesOfParts>
    <vt:vector size="1" baseType="lpstr">
      <vt:lpstr>„ Par makroekonomisko rādītāju, ieņēmumu un vispārējās valdības budžeta bilances prognozēm 2026., 2027., 2028. un 2029. gadā”</vt:lpstr>
    </vt:vector>
  </TitlesOfParts>
  <Company>Finanšu ministrija</Company>
  <LinksUpToDate>false</LinksUpToDate>
  <CharactersWithSpaces>114806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Par makroekonomisko rādītāju, ieņēmumu un vispārējās valdības budžeta bilances prognozēm 2026., 2027., 2028. un 2029. gadā”</dc:title>
  <dc:subject>Informatīvais ziņojums</dc:subject>
  <dc:creator/>
  <cp:keywords/>
  <dc:description>Kristīne Gavrovska_x000d_
26631915, Kristīne.Gavrovska@fm.gov.lv</dc:description>
  <cp:lastModifiedBy>Jūlija Burģe</cp:lastModifiedBy>
  <cp:revision>292</cp:revision>
  <cp:lastPrinted>2019-08-14T12:23:00Z</cp:lastPrinted>
  <dcterms:created xsi:type="dcterms:W3CDTF">2022-12-17T21:04:00Z</dcterms:created>
  <dcterms:modified xsi:type="dcterms:W3CDTF">2025-08-14T06:27:00Z</dcterms:modified>
</cp:coreProperties>
</file>