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97889" w14:textId="77777777" w:rsidR="00A8785C" w:rsidRDefault="009E737C" w:rsidP="00A8785C">
      <w:pPr>
        <w:pStyle w:val="Caption"/>
        <w:spacing w:before="0" w:after="0"/>
        <w:rPr>
          <w:rFonts w:cs="Times New Roman"/>
        </w:rPr>
      </w:pPr>
      <w:bookmarkStart w:id="0" w:name="_Ref118927136"/>
      <w:r w:rsidRPr="00136808">
        <w:rPr>
          <w:rFonts w:cs="Times New Roman"/>
          <w:szCs w:val="28"/>
        </w:rPr>
        <w:t>2. pielikums</w:t>
      </w:r>
      <w:bookmarkEnd w:id="0"/>
      <w:r w:rsidRPr="00136808">
        <w:rPr>
          <w:rFonts w:cs="Times New Roman"/>
          <w:szCs w:val="28"/>
        </w:rPr>
        <w:t xml:space="preserve"> </w:t>
      </w:r>
      <w:r w:rsidR="00A8785C">
        <w:rPr>
          <w:rFonts w:cs="Times New Roman"/>
        </w:rPr>
        <w:t>Konceptuālajam ziņojumam</w:t>
      </w:r>
    </w:p>
    <w:p w14:paraId="5D71D7AA" w14:textId="5E93177D" w:rsidR="00A8785C" w:rsidRDefault="00A8785C" w:rsidP="00A8785C">
      <w:pPr>
        <w:pStyle w:val="Caption"/>
        <w:spacing w:before="0" w:after="0"/>
        <w:rPr>
          <w:rFonts w:cs="Times New Roman"/>
        </w:rPr>
      </w:pPr>
      <w:r>
        <w:rPr>
          <w:rFonts w:eastAsia="Calibri" w:cs="Times New Roman"/>
          <w:szCs w:val="28"/>
        </w:rPr>
        <w:t>"</w:t>
      </w:r>
      <w:r>
        <w:rPr>
          <w:rFonts w:cs="Times New Roman"/>
        </w:rPr>
        <w:t xml:space="preserve">Par </w:t>
      </w:r>
      <w:r w:rsidR="005A25BF">
        <w:rPr>
          <w:rFonts w:cs="Times New Roman"/>
        </w:rPr>
        <w:t>v</w:t>
      </w:r>
      <w:r>
        <w:rPr>
          <w:rFonts w:cs="Times New Roman"/>
        </w:rPr>
        <w:t>ieno</w:t>
      </w:r>
      <w:r w:rsidR="005A25BF">
        <w:rPr>
          <w:rFonts w:cs="Times New Roman"/>
        </w:rPr>
        <w:t>tā</w:t>
      </w:r>
      <w:r>
        <w:rPr>
          <w:rFonts w:cs="Times New Roman"/>
        </w:rPr>
        <w:t xml:space="preserve"> pakalpojumu centra izveidi valsts pārvaldē</w:t>
      </w:r>
      <w:r>
        <w:rPr>
          <w:rFonts w:eastAsia="Calibri" w:cs="Times New Roman"/>
          <w:szCs w:val="28"/>
        </w:rPr>
        <w:t>"</w:t>
      </w:r>
    </w:p>
    <w:p w14:paraId="2E3E6C9B" w14:textId="736B81ED" w:rsidR="009E737C" w:rsidRPr="00136808" w:rsidRDefault="009E737C" w:rsidP="00A8785C">
      <w:pPr>
        <w:pStyle w:val="Caption"/>
        <w:spacing w:before="0" w:after="0"/>
        <w:rPr>
          <w:rFonts w:cs="Times New Roman"/>
          <w:szCs w:val="28"/>
        </w:rPr>
      </w:pPr>
    </w:p>
    <w:p w14:paraId="514616CA" w14:textId="10B97F3C" w:rsidR="00136808" w:rsidRPr="00AA5E00" w:rsidRDefault="009E737C" w:rsidP="00AA5E00">
      <w:pPr>
        <w:pStyle w:val="Caption"/>
        <w:spacing w:before="0" w:after="120"/>
        <w:jc w:val="center"/>
        <w:rPr>
          <w:rFonts w:cs="Times New Roman"/>
          <w:b/>
          <w:bCs/>
          <w:szCs w:val="28"/>
        </w:rPr>
      </w:pPr>
      <w:r w:rsidRPr="00136808">
        <w:rPr>
          <w:rFonts w:cs="Times New Roman"/>
          <w:b/>
          <w:bCs/>
          <w:szCs w:val="28"/>
        </w:rPr>
        <w:t>Kvantitatīvie ieguvumi (ietaupījums) no VPC izveides ārvalstu publiskajā sektorā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51"/>
        <w:gridCol w:w="1491"/>
        <w:gridCol w:w="2883"/>
        <w:gridCol w:w="2468"/>
        <w:gridCol w:w="1794"/>
        <w:gridCol w:w="3961"/>
      </w:tblGrid>
      <w:tr w:rsidR="00136808" w:rsidRPr="00136808" w14:paraId="1BDB3028" w14:textId="77777777" w:rsidTr="00136808">
        <w:trPr>
          <w:trHeight w:val="75"/>
        </w:trPr>
        <w:tc>
          <w:tcPr>
            <w:tcW w:w="794" w:type="pct"/>
            <w:gridSpan w:val="2"/>
            <w:shd w:val="clear" w:color="auto" w:fill="464646"/>
            <w:vAlign w:val="bottom"/>
            <w:hideMark/>
          </w:tcPr>
          <w:p w14:paraId="08E51F53" w14:textId="77777777" w:rsidR="00136808" w:rsidRPr="00136808" w:rsidRDefault="00136808" w:rsidP="00D9762A">
            <w:pPr>
              <w:ind w:firstLine="0"/>
              <w:jc w:val="left"/>
              <w:textAlignment w:val="baseline"/>
              <w:rPr>
                <w:rFonts w:eastAsia="Times New Roman" w:cs="Times New Roman"/>
                <w:b/>
                <w:szCs w:val="28"/>
                <w:lang w:eastAsia="lv-LV"/>
              </w:rPr>
            </w:pPr>
            <w:r w:rsidRPr="00136808">
              <w:rPr>
                <w:rFonts w:eastAsia="Times New Roman" w:cs="Times New Roman"/>
                <w:b/>
                <w:bCs/>
                <w:color w:val="FFFFFF"/>
                <w:szCs w:val="28"/>
                <w:lang w:eastAsia="lv-LV"/>
              </w:rPr>
              <w:t>Valsts</w:t>
            </w:r>
            <w:r w:rsidRPr="00136808">
              <w:rPr>
                <w:rFonts w:eastAsia="Times New Roman" w:cs="Times New Roman"/>
                <w:b/>
                <w:color w:val="FFFFFF"/>
                <w:szCs w:val="28"/>
                <w:lang w:eastAsia="lv-LV"/>
              </w:rPr>
              <w:t> </w:t>
            </w:r>
          </w:p>
        </w:tc>
        <w:tc>
          <w:tcPr>
            <w:tcW w:w="1141" w:type="pct"/>
            <w:shd w:val="clear" w:color="auto" w:fill="464646"/>
            <w:vAlign w:val="bottom"/>
            <w:hideMark/>
          </w:tcPr>
          <w:p w14:paraId="58EF61C2" w14:textId="77777777" w:rsidR="00136808" w:rsidRPr="00136808" w:rsidRDefault="00136808" w:rsidP="00D9762A">
            <w:pPr>
              <w:ind w:firstLine="0"/>
              <w:jc w:val="left"/>
              <w:textAlignment w:val="baseline"/>
              <w:rPr>
                <w:rFonts w:eastAsia="Times New Roman" w:cs="Times New Roman"/>
                <w:b/>
                <w:szCs w:val="28"/>
                <w:lang w:eastAsia="lv-LV"/>
              </w:rPr>
            </w:pPr>
            <w:r w:rsidRPr="00136808">
              <w:rPr>
                <w:rFonts w:eastAsia="Times New Roman" w:cs="Times New Roman"/>
                <w:b/>
                <w:color w:val="FFFFFF"/>
                <w:szCs w:val="28"/>
                <w:lang w:eastAsia="lv-LV"/>
              </w:rPr>
              <w:t>Finanšu grāmatvedībā </w:t>
            </w:r>
          </w:p>
        </w:tc>
        <w:tc>
          <w:tcPr>
            <w:tcW w:w="992" w:type="pct"/>
            <w:shd w:val="clear" w:color="auto" w:fill="464646"/>
            <w:vAlign w:val="bottom"/>
            <w:hideMark/>
          </w:tcPr>
          <w:p w14:paraId="72862890" w14:textId="77777777" w:rsidR="00136808" w:rsidRPr="00136808" w:rsidRDefault="00136808" w:rsidP="00D9762A">
            <w:pPr>
              <w:ind w:firstLine="0"/>
              <w:jc w:val="left"/>
              <w:textAlignment w:val="baseline"/>
              <w:rPr>
                <w:rFonts w:eastAsia="Times New Roman" w:cs="Times New Roman"/>
                <w:b/>
                <w:szCs w:val="28"/>
                <w:lang w:eastAsia="lv-LV"/>
              </w:rPr>
            </w:pPr>
            <w:r w:rsidRPr="00136808">
              <w:rPr>
                <w:rFonts w:eastAsia="Times New Roman" w:cs="Times New Roman"/>
                <w:b/>
                <w:bCs/>
                <w:color w:val="FFFFFF"/>
                <w:szCs w:val="28"/>
                <w:lang w:eastAsia="lv-LV"/>
              </w:rPr>
              <w:t>Personāla lietvedībā</w:t>
            </w:r>
            <w:r w:rsidRPr="00136808">
              <w:rPr>
                <w:rFonts w:eastAsia="Times New Roman" w:cs="Times New Roman"/>
                <w:b/>
                <w:color w:val="FFFFFF"/>
                <w:szCs w:val="28"/>
                <w:lang w:eastAsia="lv-LV"/>
              </w:rPr>
              <w:t> </w:t>
            </w:r>
          </w:p>
        </w:tc>
        <w:tc>
          <w:tcPr>
            <w:tcW w:w="546" w:type="pct"/>
            <w:shd w:val="clear" w:color="auto" w:fill="464646"/>
            <w:vAlign w:val="bottom"/>
            <w:hideMark/>
          </w:tcPr>
          <w:p w14:paraId="1FCF1B65" w14:textId="77777777" w:rsidR="00136808" w:rsidRPr="00136808" w:rsidRDefault="00136808" w:rsidP="00D9762A">
            <w:pPr>
              <w:ind w:firstLine="0"/>
              <w:jc w:val="left"/>
              <w:textAlignment w:val="baseline"/>
              <w:rPr>
                <w:rFonts w:eastAsia="Times New Roman" w:cs="Times New Roman"/>
                <w:b/>
                <w:szCs w:val="28"/>
                <w:lang w:eastAsia="lv-LV"/>
              </w:rPr>
            </w:pPr>
            <w:r w:rsidRPr="00136808">
              <w:rPr>
                <w:rFonts w:eastAsia="Times New Roman" w:cs="Times New Roman"/>
                <w:b/>
                <w:bCs/>
                <w:color w:val="FFFFFF"/>
                <w:szCs w:val="28"/>
                <w:lang w:eastAsia="lv-LV"/>
              </w:rPr>
              <w:t>Cilvēkresursu vadībā</w:t>
            </w:r>
            <w:r w:rsidRPr="00136808">
              <w:rPr>
                <w:rFonts w:eastAsia="Times New Roman" w:cs="Times New Roman"/>
                <w:b/>
                <w:color w:val="FFFFFF"/>
                <w:szCs w:val="28"/>
                <w:lang w:eastAsia="lv-LV"/>
              </w:rPr>
              <w:t> </w:t>
            </w:r>
          </w:p>
        </w:tc>
        <w:tc>
          <w:tcPr>
            <w:tcW w:w="1527" w:type="pct"/>
            <w:shd w:val="clear" w:color="auto" w:fill="464646"/>
            <w:vAlign w:val="bottom"/>
            <w:hideMark/>
          </w:tcPr>
          <w:p w14:paraId="675AA790" w14:textId="77777777" w:rsidR="00136808" w:rsidRPr="00136808" w:rsidRDefault="00136808" w:rsidP="00D9762A">
            <w:pPr>
              <w:ind w:firstLine="0"/>
              <w:jc w:val="left"/>
              <w:textAlignment w:val="baseline"/>
              <w:rPr>
                <w:rFonts w:eastAsia="Times New Roman" w:cs="Times New Roman"/>
                <w:b/>
                <w:szCs w:val="28"/>
                <w:lang w:eastAsia="lv-LV"/>
              </w:rPr>
            </w:pPr>
            <w:r w:rsidRPr="00136808">
              <w:rPr>
                <w:rFonts w:eastAsia="Times New Roman" w:cs="Times New Roman"/>
                <w:b/>
                <w:bCs/>
                <w:color w:val="FFFFFF"/>
                <w:szCs w:val="28"/>
                <w:lang w:eastAsia="lv-LV"/>
              </w:rPr>
              <w:t>Komentārs</w:t>
            </w:r>
            <w:r w:rsidRPr="00136808">
              <w:rPr>
                <w:rFonts w:eastAsia="Times New Roman" w:cs="Times New Roman"/>
                <w:b/>
                <w:color w:val="FFFFFF"/>
                <w:szCs w:val="28"/>
                <w:lang w:eastAsia="lv-LV"/>
              </w:rPr>
              <w:t> </w:t>
            </w:r>
          </w:p>
        </w:tc>
      </w:tr>
      <w:tr w:rsidR="00136808" w:rsidRPr="00136808" w14:paraId="5FCF1E63" w14:textId="77777777" w:rsidTr="00136808">
        <w:trPr>
          <w:trHeight w:val="450"/>
        </w:trPr>
        <w:tc>
          <w:tcPr>
            <w:tcW w:w="794" w:type="pct"/>
            <w:gridSpan w:val="2"/>
            <w:shd w:val="clear" w:color="auto" w:fill="F2F2F2"/>
            <w:vAlign w:val="center"/>
            <w:hideMark/>
          </w:tcPr>
          <w:p w14:paraId="42D33723"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b/>
                <w:bCs/>
                <w:szCs w:val="28"/>
                <w:lang w:eastAsia="lv-LV"/>
              </w:rPr>
              <w:t>Somija</w:t>
            </w:r>
            <w:r w:rsidRPr="00136808">
              <w:rPr>
                <w:rFonts w:eastAsia="Times New Roman" w:cs="Times New Roman"/>
                <w:szCs w:val="28"/>
                <w:lang w:eastAsia="lv-LV"/>
              </w:rPr>
              <w:t> </w:t>
            </w:r>
          </w:p>
        </w:tc>
        <w:tc>
          <w:tcPr>
            <w:tcW w:w="1141" w:type="pct"/>
            <w:shd w:val="clear" w:color="auto" w:fill="auto"/>
            <w:hideMark/>
          </w:tcPr>
          <w:p w14:paraId="3BF713EE"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-30,6% no darbinieku noslodzes (pilna laika ekvivalenta izteiksmē) piecu gadu laikā (2012.–2016. g.) </w:t>
            </w:r>
          </w:p>
        </w:tc>
        <w:tc>
          <w:tcPr>
            <w:tcW w:w="1538" w:type="pct"/>
            <w:gridSpan w:val="2"/>
            <w:shd w:val="clear" w:color="auto" w:fill="auto"/>
            <w:hideMark/>
          </w:tcPr>
          <w:p w14:paraId="10C45F9D"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-13,4% no darbinieku noslodzes (pilna laika ekvivalenta izteiksmē) piecu gadu laikā (2012.–2016. g.) </w:t>
            </w:r>
          </w:p>
        </w:tc>
        <w:tc>
          <w:tcPr>
            <w:tcW w:w="1527" w:type="pct"/>
            <w:shd w:val="clear" w:color="auto" w:fill="auto"/>
            <w:hideMark/>
          </w:tcPr>
          <w:p w14:paraId="5894CED1" w14:textId="77777777" w:rsidR="00136808" w:rsidRPr="00136808" w:rsidRDefault="00136808" w:rsidP="00D9762A">
            <w:pPr>
              <w:ind w:firstLine="0"/>
              <w:textAlignment w:val="baseline"/>
              <w:rPr>
                <w:rFonts w:eastAsia="Times New Roman" w:cs="Times New Roman"/>
                <w:color w:val="000000"/>
                <w:szCs w:val="28"/>
                <w:lang w:eastAsia="lv-LV"/>
              </w:rPr>
            </w:pPr>
            <w:r w:rsidRPr="00136808">
              <w:rPr>
                <w:rFonts w:eastAsia="Times New Roman" w:cs="Times New Roman"/>
                <w:color w:val="000000"/>
                <w:szCs w:val="28"/>
                <w:lang w:eastAsia="lv-LV"/>
              </w:rPr>
              <w:t>Aplēses: pēc 2008. gada sākotnējiem aprēķiniem pašreizējā neto vērtība no investīcijām VPC sasniegs 178,8 milj. EUR 2025. gadā. </w:t>
            </w:r>
          </w:p>
        </w:tc>
      </w:tr>
      <w:tr w:rsidR="00136808" w:rsidRPr="00136808" w14:paraId="7C470F42" w14:textId="77777777" w:rsidTr="00136808">
        <w:trPr>
          <w:trHeight w:val="634"/>
        </w:trPr>
        <w:tc>
          <w:tcPr>
            <w:tcW w:w="397" w:type="pct"/>
            <w:vMerge w:val="restart"/>
            <w:shd w:val="clear" w:color="auto" w:fill="F2F2F2"/>
            <w:vAlign w:val="center"/>
            <w:hideMark/>
          </w:tcPr>
          <w:p w14:paraId="27CD9C79"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b/>
                <w:bCs/>
                <w:szCs w:val="28"/>
                <w:lang w:eastAsia="lv-LV"/>
              </w:rPr>
              <w:t>Portugāle</w:t>
            </w:r>
            <w:r w:rsidRPr="00136808">
              <w:rPr>
                <w:rFonts w:eastAsia="Times New Roman" w:cs="Times New Roman"/>
                <w:szCs w:val="28"/>
                <w:lang w:eastAsia="lv-LV"/>
              </w:rPr>
              <w:t> </w:t>
            </w:r>
          </w:p>
        </w:tc>
        <w:tc>
          <w:tcPr>
            <w:tcW w:w="397" w:type="pct"/>
            <w:shd w:val="clear" w:color="auto" w:fill="F2F2F2"/>
            <w:vAlign w:val="center"/>
            <w:hideMark/>
          </w:tcPr>
          <w:p w14:paraId="15F8A600" w14:textId="77777777" w:rsidR="00136808" w:rsidRPr="00136808" w:rsidRDefault="00136808" w:rsidP="00D9762A">
            <w:pPr>
              <w:ind w:firstLine="0"/>
              <w:jc w:val="center"/>
              <w:textAlignment w:val="baseline"/>
              <w:rPr>
                <w:rFonts w:eastAsia="Times New Roman" w:cs="Times New Roman"/>
                <w:szCs w:val="28"/>
                <w:lang w:eastAsia="lv-LV"/>
              </w:rPr>
            </w:pPr>
            <w:r w:rsidRPr="00136808">
              <w:rPr>
                <w:rFonts w:eastAsia="Times New Roman" w:cs="Times New Roman"/>
                <w:szCs w:val="28"/>
                <w:lang w:eastAsia="lv-LV"/>
              </w:rPr>
              <w:t>Reāls ietaupījums </w:t>
            </w:r>
          </w:p>
        </w:tc>
        <w:tc>
          <w:tcPr>
            <w:tcW w:w="1141" w:type="pct"/>
            <w:shd w:val="clear" w:color="auto" w:fill="auto"/>
            <w:hideMark/>
          </w:tcPr>
          <w:p w14:paraId="7F0511E2"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19 milj. EUR no e-rēķinu sistēmas ieviešanas 2019. gadā </w:t>
            </w:r>
          </w:p>
        </w:tc>
        <w:tc>
          <w:tcPr>
            <w:tcW w:w="1538" w:type="pct"/>
            <w:gridSpan w:val="2"/>
            <w:shd w:val="clear" w:color="auto" w:fill="auto"/>
            <w:hideMark/>
          </w:tcPr>
          <w:p w14:paraId="008BFAAD"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vidējais ar algu apstrādes saistīto izdevumu samazinājums par 1,28% (mēnesī) </w:t>
            </w:r>
          </w:p>
        </w:tc>
        <w:tc>
          <w:tcPr>
            <w:tcW w:w="1527" w:type="pct"/>
            <w:shd w:val="clear" w:color="auto" w:fill="auto"/>
            <w:hideMark/>
          </w:tcPr>
          <w:p w14:paraId="151C5DCC" w14:textId="77777777" w:rsidR="00136808" w:rsidRPr="00136808" w:rsidRDefault="00136808" w:rsidP="00D9762A">
            <w:pPr>
              <w:ind w:firstLine="0"/>
              <w:textAlignment w:val="baseline"/>
              <w:rPr>
                <w:rFonts w:eastAsia="Times New Roman" w:cs="Times New Roman"/>
                <w:color w:val="000000"/>
                <w:szCs w:val="28"/>
                <w:lang w:eastAsia="lv-LV"/>
              </w:rPr>
            </w:pPr>
            <w:r w:rsidRPr="00136808">
              <w:rPr>
                <w:rFonts w:eastAsia="Times New Roman" w:cs="Times New Roman"/>
                <w:color w:val="000000"/>
                <w:szCs w:val="28"/>
                <w:lang w:eastAsia="lv-LV"/>
              </w:rPr>
              <w:t> </w:t>
            </w:r>
          </w:p>
        </w:tc>
      </w:tr>
      <w:tr w:rsidR="00136808" w:rsidRPr="00136808" w14:paraId="6D887779" w14:textId="77777777" w:rsidTr="00136808">
        <w:trPr>
          <w:trHeight w:val="558"/>
        </w:trPr>
        <w:tc>
          <w:tcPr>
            <w:tcW w:w="397" w:type="pct"/>
            <w:vMerge/>
            <w:shd w:val="clear" w:color="auto" w:fill="auto"/>
            <w:vAlign w:val="center"/>
            <w:hideMark/>
          </w:tcPr>
          <w:p w14:paraId="4D214C80" w14:textId="77777777" w:rsidR="00136808" w:rsidRPr="00136808" w:rsidRDefault="00136808" w:rsidP="00D9762A">
            <w:pPr>
              <w:ind w:firstLine="0"/>
              <w:rPr>
                <w:rFonts w:eastAsia="Times New Roman" w:cs="Times New Roman"/>
                <w:szCs w:val="28"/>
                <w:lang w:eastAsia="lv-LV"/>
              </w:rPr>
            </w:pPr>
          </w:p>
        </w:tc>
        <w:tc>
          <w:tcPr>
            <w:tcW w:w="397" w:type="pct"/>
            <w:shd w:val="clear" w:color="auto" w:fill="F2F2F2"/>
            <w:vAlign w:val="center"/>
            <w:hideMark/>
          </w:tcPr>
          <w:p w14:paraId="1180B3ED" w14:textId="77777777" w:rsidR="00136808" w:rsidRPr="00136808" w:rsidRDefault="00136808" w:rsidP="00D9762A">
            <w:pPr>
              <w:ind w:firstLine="0"/>
              <w:jc w:val="center"/>
              <w:textAlignment w:val="baseline"/>
              <w:rPr>
                <w:rFonts w:eastAsia="Times New Roman" w:cs="Times New Roman"/>
                <w:szCs w:val="28"/>
                <w:lang w:eastAsia="lv-LV"/>
              </w:rPr>
            </w:pPr>
            <w:r w:rsidRPr="00136808">
              <w:rPr>
                <w:rFonts w:eastAsia="Times New Roman" w:cs="Times New Roman"/>
                <w:szCs w:val="28"/>
                <w:lang w:eastAsia="lv-LV"/>
              </w:rPr>
              <w:t>Aplēses </w:t>
            </w:r>
          </w:p>
        </w:tc>
        <w:tc>
          <w:tcPr>
            <w:tcW w:w="1141" w:type="pct"/>
            <w:shd w:val="clear" w:color="auto" w:fill="auto"/>
            <w:hideMark/>
          </w:tcPr>
          <w:p w14:paraId="11835461"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26 milj. EUR no e-rēķinu apstrādes četru gadu laikā</w:t>
            </w:r>
            <w:r w:rsidRPr="00136808">
              <w:rPr>
                <w:rStyle w:val="FootnoteReference"/>
                <w:rFonts w:eastAsia="Times New Roman" w:cs="Times New Roman"/>
                <w:szCs w:val="28"/>
                <w:lang w:eastAsia="lv-LV"/>
              </w:rPr>
              <w:footnoteReference w:id="1"/>
            </w:r>
            <w:r w:rsidRPr="00136808">
              <w:rPr>
                <w:rFonts w:eastAsia="Times New Roman" w:cs="Times New Roman"/>
                <w:szCs w:val="28"/>
                <w:lang w:eastAsia="lv-LV"/>
              </w:rPr>
              <w:t> </w:t>
            </w:r>
          </w:p>
        </w:tc>
        <w:tc>
          <w:tcPr>
            <w:tcW w:w="1538" w:type="pct"/>
            <w:gridSpan w:val="2"/>
            <w:shd w:val="clear" w:color="auto" w:fill="auto"/>
            <w:hideMark/>
          </w:tcPr>
          <w:p w14:paraId="7648D970"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ar algu apstrādi saistīto izdevumu samazinājums par 7,6 milj. EUR trīs gadu laikā</w:t>
            </w:r>
            <w:r w:rsidRPr="00136808">
              <w:rPr>
                <w:rStyle w:val="FootnoteReference"/>
                <w:rFonts w:eastAsia="Times New Roman" w:cs="Times New Roman"/>
                <w:szCs w:val="28"/>
                <w:lang w:eastAsia="lv-LV"/>
              </w:rPr>
              <w:footnoteReference w:id="2"/>
            </w:r>
          </w:p>
        </w:tc>
        <w:tc>
          <w:tcPr>
            <w:tcW w:w="1527" w:type="pct"/>
            <w:shd w:val="clear" w:color="auto" w:fill="auto"/>
            <w:hideMark/>
          </w:tcPr>
          <w:p w14:paraId="63CA9379" w14:textId="77777777" w:rsidR="00136808" w:rsidRPr="00136808" w:rsidRDefault="00136808" w:rsidP="00D9762A">
            <w:pPr>
              <w:ind w:firstLine="0"/>
              <w:textAlignment w:val="baseline"/>
              <w:rPr>
                <w:rFonts w:eastAsia="Times New Roman" w:cs="Times New Roman"/>
                <w:color w:val="000000"/>
                <w:szCs w:val="28"/>
                <w:lang w:eastAsia="lv-LV"/>
              </w:rPr>
            </w:pPr>
            <w:r w:rsidRPr="00136808">
              <w:rPr>
                <w:rFonts w:eastAsia="Times New Roman" w:cs="Times New Roman"/>
                <w:color w:val="000000"/>
                <w:szCs w:val="28"/>
                <w:lang w:eastAsia="lv-LV"/>
              </w:rPr>
              <w:t> </w:t>
            </w:r>
          </w:p>
        </w:tc>
      </w:tr>
      <w:tr w:rsidR="00136808" w:rsidRPr="00136808" w14:paraId="52074789" w14:textId="77777777" w:rsidTr="00136808">
        <w:tc>
          <w:tcPr>
            <w:tcW w:w="794" w:type="pct"/>
            <w:gridSpan w:val="2"/>
            <w:shd w:val="clear" w:color="auto" w:fill="F2F2F2"/>
            <w:vAlign w:val="center"/>
            <w:hideMark/>
          </w:tcPr>
          <w:p w14:paraId="275C5A17"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b/>
                <w:bCs/>
                <w:szCs w:val="28"/>
                <w:lang w:eastAsia="lv-LV"/>
              </w:rPr>
              <w:t>Dānija</w:t>
            </w:r>
            <w:r w:rsidRPr="00136808">
              <w:rPr>
                <w:rFonts w:eastAsia="Times New Roman" w:cs="Times New Roman"/>
                <w:szCs w:val="28"/>
                <w:lang w:eastAsia="lv-LV"/>
              </w:rPr>
              <w:t> </w:t>
            </w:r>
          </w:p>
        </w:tc>
        <w:tc>
          <w:tcPr>
            <w:tcW w:w="1141" w:type="pct"/>
            <w:shd w:val="clear" w:color="auto" w:fill="auto"/>
            <w:hideMark/>
          </w:tcPr>
          <w:p w14:paraId="1CF8E505"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nav attiecināms </w:t>
            </w:r>
          </w:p>
        </w:tc>
        <w:tc>
          <w:tcPr>
            <w:tcW w:w="992" w:type="pct"/>
            <w:shd w:val="clear" w:color="auto" w:fill="auto"/>
            <w:hideMark/>
          </w:tcPr>
          <w:p w14:paraId="1376C14B"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-50% no darbinieku atlīdzības uz IS uzturēšanas izmaksām četru gadu laikā </w:t>
            </w:r>
          </w:p>
        </w:tc>
        <w:tc>
          <w:tcPr>
            <w:tcW w:w="546" w:type="pct"/>
            <w:shd w:val="clear" w:color="auto" w:fill="auto"/>
            <w:hideMark/>
          </w:tcPr>
          <w:p w14:paraId="4DE210DE"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nav attiecināms </w:t>
            </w:r>
          </w:p>
        </w:tc>
        <w:tc>
          <w:tcPr>
            <w:tcW w:w="1527" w:type="pct"/>
            <w:shd w:val="clear" w:color="auto" w:fill="auto"/>
            <w:hideMark/>
          </w:tcPr>
          <w:p w14:paraId="74ADFE72" w14:textId="77777777" w:rsidR="00136808" w:rsidRPr="00136808" w:rsidRDefault="00136808" w:rsidP="00D9762A">
            <w:pPr>
              <w:ind w:firstLine="0"/>
              <w:textAlignment w:val="baseline"/>
              <w:rPr>
                <w:rFonts w:eastAsia="Times New Roman" w:cs="Times New Roman"/>
                <w:color w:val="000000"/>
                <w:szCs w:val="28"/>
                <w:lang w:eastAsia="lv-LV"/>
              </w:rPr>
            </w:pPr>
            <w:r w:rsidRPr="00136808">
              <w:rPr>
                <w:rFonts w:eastAsia="Times New Roman" w:cs="Times New Roman"/>
                <w:color w:val="000000"/>
                <w:szCs w:val="28"/>
                <w:lang w:eastAsia="lv-LV"/>
              </w:rPr>
              <w:t>Katru gadu, pateicoties VPC sniegtajiem centralizētiem pakalpojumiem, valsts ietaupa vairāk nekā 80 milj. EUR. </w:t>
            </w:r>
          </w:p>
        </w:tc>
      </w:tr>
      <w:tr w:rsidR="00136808" w:rsidRPr="00136808" w14:paraId="1F571498" w14:textId="77777777" w:rsidTr="00136808">
        <w:tc>
          <w:tcPr>
            <w:tcW w:w="794" w:type="pct"/>
            <w:gridSpan w:val="2"/>
            <w:shd w:val="clear" w:color="auto" w:fill="F2F2F2"/>
            <w:vAlign w:val="center"/>
            <w:hideMark/>
          </w:tcPr>
          <w:p w14:paraId="7C5030CD"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b/>
                <w:szCs w:val="28"/>
                <w:lang w:eastAsia="lv-LV"/>
              </w:rPr>
              <w:lastRenderedPageBreak/>
              <w:t>Īrija (aplēses)</w:t>
            </w:r>
            <w:r w:rsidRPr="00136808">
              <w:rPr>
                <w:rFonts w:eastAsia="Times New Roman" w:cs="Times New Roman"/>
                <w:szCs w:val="28"/>
                <w:lang w:eastAsia="lv-LV"/>
              </w:rPr>
              <w:t> </w:t>
            </w:r>
          </w:p>
        </w:tc>
        <w:tc>
          <w:tcPr>
            <w:tcW w:w="1141" w:type="pct"/>
            <w:shd w:val="clear" w:color="auto" w:fill="auto"/>
            <w:hideMark/>
          </w:tcPr>
          <w:p w14:paraId="2B6D271A"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15,4 milj. EUR gadā (aizstājot 31 IS ar vienotu risinājumu un samazinot darbinieku skaitu par 145 pilna laika ekvivalentu) </w:t>
            </w:r>
          </w:p>
        </w:tc>
        <w:tc>
          <w:tcPr>
            <w:tcW w:w="992" w:type="pct"/>
            <w:shd w:val="clear" w:color="auto" w:fill="auto"/>
            <w:hideMark/>
          </w:tcPr>
          <w:p w14:paraId="1581E963"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5,5 milj. EUR gadā (aizstājot 18 iepriekšējos algu apstrādes un izmaksas centrus ar VPC) </w:t>
            </w:r>
          </w:p>
        </w:tc>
        <w:tc>
          <w:tcPr>
            <w:tcW w:w="546" w:type="pct"/>
            <w:shd w:val="clear" w:color="auto" w:fill="auto"/>
            <w:hideMark/>
          </w:tcPr>
          <w:p w14:paraId="33E345BF"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3,7 milj. EUR gadā </w:t>
            </w:r>
          </w:p>
        </w:tc>
        <w:tc>
          <w:tcPr>
            <w:tcW w:w="1527" w:type="pct"/>
            <w:shd w:val="clear" w:color="auto" w:fill="auto"/>
            <w:hideMark/>
          </w:tcPr>
          <w:p w14:paraId="30F76E81" w14:textId="77777777" w:rsidR="00136808" w:rsidRPr="00136808" w:rsidRDefault="00136808" w:rsidP="00D9762A">
            <w:pPr>
              <w:ind w:firstLine="0"/>
              <w:textAlignment w:val="baseline"/>
              <w:rPr>
                <w:rFonts w:eastAsia="Times New Roman" w:cs="Times New Roman"/>
                <w:color w:val="000000"/>
                <w:szCs w:val="28"/>
                <w:lang w:eastAsia="lv-LV"/>
              </w:rPr>
            </w:pPr>
            <w:r w:rsidRPr="00136808">
              <w:rPr>
                <w:rFonts w:eastAsia="Times New Roman" w:cs="Times New Roman"/>
                <w:color w:val="000000"/>
                <w:szCs w:val="28"/>
                <w:lang w:eastAsia="lv-LV"/>
              </w:rPr>
              <w:t> </w:t>
            </w:r>
          </w:p>
        </w:tc>
      </w:tr>
      <w:tr w:rsidR="00136808" w:rsidRPr="00136808" w14:paraId="4A99665A" w14:textId="77777777" w:rsidTr="00136808">
        <w:tc>
          <w:tcPr>
            <w:tcW w:w="794" w:type="pct"/>
            <w:gridSpan w:val="2"/>
            <w:shd w:val="clear" w:color="auto" w:fill="F2F2F2"/>
            <w:vAlign w:val="center"/>
            <w:hideMark/>
          </w:tcPr>
          <w:p w14:paraId="6ABDDADE"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b/>
                <w:bCs/>
                <w:szCs w:val="28"/>
                <w:lang w:eastAsia="lv-LV"/>
              </w:rPr>
              <w:t>Zviedrija</w:t>
            </w:r>
            <w:r w:rsidRPr="00136808">
              <w:rPr>
                <w:rFonts w:eastAsia="Times New Roman" w:cs="Times New Roman"/>
                <w:szCs w:val="28"/>
                <w:lang w:eastAsia="lv-LV"/>
              </w:rPr>
              <w:t> </w:t>
            </w:r>
          </w:p>
        </w:tc>
        <w:tc>
          <w:tcPr>
            <w:tcW w:w="1141" w:type="pct"/>
            <w:shd w:val="clear" w:color="auto" w:fill="auto"/>
            <w:hideMark/>
          </w:tcPr>
          <w:p w14:paraId="108253B6"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nav datu </w:t>
            </w:r>
          </w:p>
        </w:tc>
        <w:tc>
          <w:tcPr>
            <w:tcW w:w="992" w:type="pct"/>
            <w:shd w:val="clear" w:color="auto" w:fill="auto"/>
            <w:hideMark/>
          </w:tcPr>
          <w:p w14:paraId="72D23785"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nav datu </w:t>
            </w:r>
          </w:p>
        </w:tc>
        <w:tc>
          <w:tcPr>
            <w:tcW w:w="546" w:type="pct"/>
            <w:shd w:val="clear" w:color="auto" w:fill="auto"/>
            <w:hideMark/>
          </w:tcPr>
          <w:p w14:paraId="05A8D152" w14:textId="77777777" w:rsidR="00136808" w:rsidRPr="00136808" w:rsidRDefault="00136808" w:rsidP="00D9762A">
            <w:pPr>
              <w:ind w:firstLine="0"/>
              <w:textAlignment w:val="baseline"/>
              <w:rPr>
                <w:rFonts w:eastAsia="Times New Roman" w:cs="Times New Roman"/>
                <w:szCs w:val="28"/>
                <w:lang w:eastAsia="lv-LV"/>
              </w:rPr>
            </w:pPr>
            <w:r w:rsidRPr="00136808">
              <w:rPr>
                <w:rFonts w:eastAsia="Times New Roman" w:cs="Times New Roman"/>
                <w:szCs w:val="28"/>
                <w:lang w:eastAsia="lv-LV"/>
              </w:rPr>
              <w:t>nav datu </w:t>
            </w:r>
          </w:p>
        </w:tc>
        <w:tc>
          <w:tcPr>
            <w:tcW w:w="1527" w:type="pct"/>
            <w:shd w:val="clear" w:color="auto" w:fill="auto"/>
            <w:hideMark/>
          </w:tcPr>
          <w:p w14:paraId="3872EEC3" w14:textId="77777777" w:rsidR="00136808" w:rsidRPr="00136808" w:rsidRDefault="00136808" w:rsidP="00D9762A">
            <w:pPr>
              <w:ind w:left="57" w:firstLine="0"/>
              <w:textAlignment w:val="baseline"/>
              <w:rPr>
                <w:rFonts w:eastAsia="Times New Roman" w:cs="Times New Roman"/>
                <w:color w:val="000000"/>
                <w:szCs w:val="28"/>
                <w:lang w:eastAsia="lv-LV"/>
              </w:rPr>
            </w:pPr>
            <w:r w:rsidRPr="00136808">
              <w:rPr>
                <w:rFonts w:eastAsia="Times New Roman" w:cs="Times New Roman"/>
                <w:color w:val="000000"/>
                <w:szCs w:val="28"/>
                <w:lang w:eastAsia="lv-LV"/>
              </w:rPr>
              <w:t>Pirms VPC izveides Zviedrijā tika veikti vairāki potenciālā ietaupījuma aprēķini: </w:t>
            </w:r>
          </w:p>
          <w:p w14:paraId="2C3E7C9E" w14:textId="77777777" w:rsidR="00136808" w:rsidRPr="00136808" w:rsidRDefault="00136808" w:rsidP="00136808">
            <w:pPr>
              <w:numPr>
                <w:ilvl w:val="0"/>
                <w:numId w:val="1"/>
              </w:numPr>
              <w:ind w:left="57" w:firstLine="0"/>
              <w:textAlignment w:val="baseline"/>
              <w:rPr>
                <w:rFonts w:eastAsia="Times New Roman" w:cs="Times New Roman"/>
                <w:color w:val="000000"/>
                <w:szCs w:val="28"/>
                <w:lang w:eastAsia="lv-LV"/>
              </w:rPr>
            </w:pPr>
            <w:r w:rsidRPr="00136808">
              <w:rPr>
                <w:rFonts w:eastAsia="Times New Roman" w:cs="Times New Roman"/>
                <w:color w:val="000000"/>
                <w:szCs w:val="28"/>
                <w:lang w:eastAsia="lv-LV"/>
              </w:rPr>
              <w:t>Vienkāršs aprēķins</w:t>
            </w:r>
            <w:r w:rsidRPr="00136808">
              <w:rPr>
                <w:rStyle w:val="FootnoteReference"/>
                <w:rFonts w:eastAsia="Times New Roman" w:cs="Times New Roman"/>
                <w:color w:val="000000"/>
                <w:szCs w:val="28"/>
                <w:lang w:eastAsia="lv-LV"/>
              </w:rPr>
              <w:footnoteReference w:id="3"/>
            </w:r>
            <w:r w:rsidRPr="00136808">
              <w:rPr>
                <w:rFonts w:eastAsia="Times New Roman" w:cs="Times New Roman"/>
                <w:szCs w:val="28"/>
                <w:lang w:eastAsia="lv-LV"/>
              </w:rPr>
              <w:t>: 55 milj. SEK (~5,3 milj. EUR) gadā; </w:t>
            </w:r>
          </w:p>
          <w:p w14:paraId="743F81B4" w14:textId="77777777" w:rsidR="00136808" w:rsidRPr="00136808" w:rsidRDefault="00136808" w:rsidP="00136808">
            <w:pPr>
              <w:numPr>
                <w:ilvl w:val="0"/>
                <w:numId w:val="1"/>
              </w:numPr>
              <w:ind w:left="57" w:firstLine="0"/>
              <w:textAlignment w:val="baseline"/>
              <w:rPr>
                <w:rFonts w:eastAsia="Times New Roman" w:cs="Times New Roman"/>
                <w:color w:val="000000"/>
                <w:szCs w:val="28"/>
                <w:lang w:eastAsia="lv-LV"/>
              </w:rPr>
            </w:pPr>
            <w:r w:rsidRPr="00136808">
              <w:rPr>
                <w:rFonts w:eastAsia="Times New Roman" w:cs="Times New Roman"/>
                <w:color w:val="000000"/>
                <w:szCs w:val="28"/>
                <w:lang w:eastAsia="lv-LV"/>
              </w:rPr>
              <w:t>Valsts mēroga aprēķin</w:t>
            </w:r>
            <w:r w:rsidRPr="00136808">
              <w:rPr>
                <w:rFonts w:eastAsia="Times New Roman" w:cs="Times New Roman"/>
                <w:szCs w:val="28"/>
                <w:lang w:eastAsia="lv-LV"/>
              </w:rPr>
              <w:t>s</w:t>
            </w:r>
            <w:r w:rsidRPr="00136808">
              <w:rPr>
                <w:rStyle w:val="FootnoteReference"/>
                <w:rFonts w:eastAsia="Times New Roman" w:cs="Times New Roman"/>
                <w:szCs w:val="28"/>
                <w:lang w:eastAsia="lv-LV"/>
              </w:rPr>
              <w:footnoteReference w:id="4"/>
            </w:r>
            <w:r w:rsidRPr="00136808">
              <w:rPr>
                <w:rFonts w:eastAsia="Times New Roman" w:cs="Times New Roman"/>
                <w:szCs w:val="28"/>
                <w:lang w:eastAsia="lv-LV"/>
              </w:rPr>
              <w:t>: 295 milj. SEK (~28,3 milj. EUR) gadā; </w:t>
            </w:r>
          </w:p>
          <w:p w14:paraId="435FBB18" w14:textId="77777777" w:rsidR="00136808" w:rsidRPr="00136808" w:rsidRDefault="00136808" w:rsidP="00136808">
            <w:pPr>
              <w:numPr>
                <w:ilvl w:val="0"/>
                <w:numId w:val="1"/>
              </w:numPr>
              <w:ind w:left="57" w:firstLine="0"/>
              <w:textAlignment w:val="baseline"/>
              <w:rPr>
                <w:rFonts w:eastAsia="Times New Roman" w:cs="Times New Roman"/>
                <w:color w:val="000000"/>
                <w:szCs w:val="28"/>
                <w:lang w:eastAsia="lv-LV"/>
              </w:rPr>
            </w:pPr>
            <w:r w:rsidRPr="00136808">
              <w:rPr>
                <w:rFonts w:eastAsia="Times New Roman" w:cs="Times New Roman"/>
                <w:color w:val="000000"/>
                <w:szCs w:val="28"/>
                <w:lang w:eastAsia="lv-LV"/>
              </w:rPr>
              <w:t>Paplašināts aprēķins</w:t>
            </w:r>
            <w:r w:rsidRPr="00136808">
              <w:rPr>
                <w:rStyle w:val="FootnoteReference"/>
                <w:rFonts w:eastAsia="Times New Roman" w:cs="Times New Roman"/>
                <w:color w:val="000000"/>
                <w:szCs w:val="28"/>
                <w:lang w:eastAsia="lv-LV"/>
              </w:rPr>
              <w:footnoteReference w:id="5"/>
            </w:r>
            <w:r w:rsidRPr="00136808">
              <w:rPr>
                <w:rFonts w:eastAsia="Times New Roman" w:cs="Times New Roman"/>
                <w:color w:val="000000"/>
                <w:szCs w:val="28"/>
                <w:lang w:eastAsia="lv-LV"/>
              </w:rPr>
              <w:t>: 269 milj. SEK (~25,8 milj. EUR) astoņu gadu laikā. </w:t>
            </w:r>
          </w:p>
        </w:tc>
      </w:tr>
    </w:tbl>
    <w:p w14:paraId="124E7604" w14:textId="52FCCC0D" w:rsidR="009E4942" w:rsidRDefault="009E4942" w:rsidP="00122DF9">
      <w:pPr>
        <w:ind w:firstLine="0"/>
        <w:rPr>
          <w:rFonts w:cs="Times New Roman"/>
          <w:szCs w:val="28"/>
        </w:rPr>
      </w:pPr>
    </w:p>
    <w:p w14:paraId="472CE138" w14:textId="1FC8FAA9" w:rsidR="00C340DF" w:rsidRDefault="00C340DF" w:rsidP="00122DF9">
      <w:pPr>
        <w:ind w:firstLine="0"/>
        <w:rPr>
          <w:rFonts w:cs="Times New Roman"/>
          <w:szCs w:val="28"/>
        </w:rPr>
      </w:pPr>
    </w:p>
    <w:p w14:paraId="7C44ECA6" w14:textId="7B37928A" w:rsidR="00C340DF" w:rsidRDefault="00C340DF" w:rsidP="00122DF9">
      <w:pPr>
        <w:ind w:firstLine="0"/>
        <w:rPr>
          <w:rFonts w:cs="Times New Roman"/>
          <w:szCs w:val="28"/>
        </w:rPr>
      </w:pPr>
    </w:p>
    <w:p w14:paraId="1DFDAA40" w14:textId="2779254E" w:rsidR="00C340DF" w:rsidRDefault="00C340DF" w:rsidP="00122DF9">
      <w:pPr>
        <w:ind w:firstLine="0"/>
        <w:rPr>
          <w:rFonts w:cs="Times New Roman"/>
          <w:szCs w:val="28"/>
        </w:rPr>
      </w:pPr>
    </w:p>
    <w:p w14:paraId="1C908DD1" w14:textId="77777777" w:rsidR="00C340DF" w:rsidRDefault="00C340DF" w:rsidP="00122DF9">
      <w:pPr>
        <w:ind w:firstLine="0"/>
        <w:rPr>
          <w:rFonts w:cs="Times New Roman"/>
          <w:szCs w:val="28"/>
        </w:rPr>
        <w:sectPr w:rsidR="00C340DF" w:rsidSect="009E737C">
          <w:pgSz w:w="16838" w:h="11906" w:orient="landscape"/>
          <w:pgMar w:top="1440" w:right="1440" w:bottom="1440" w:left="1440" w:header="708" w:footer="708" w:gutter="0"/>
          <w:cols w:space="708"/>
          <w:docGrid w:linePitch="360"/>
        </w:sectPr>
      </w:pPr>
    </w:p>
    <w:p w14:paraId="79745144" w14:textId="3752E775" w:rsidR="00C340DF" w:rsidRDefault="00C340DF" w:rsidP="00C340DF">
      <w:pPr>
        <w:pStyle w:val="Caption"/>
        <w:spacing w:before="0" w:after="120"/>
        <w:jc w:val="center"/>
        <w:rPr>
          <w:rFonts w:cs="Times New Roman"/>
          <w:b/>
          <w:bCs/>
          <w:szCs w:val="28"/>
        </w:rPr>
      </w:pPr>
      <w:r w:rsidRPr="00C340DF">
        <w:rPr>
          <w:rFonts w:cs="Times New Roman"/>
          <w:b/>
          <w:bCs/>
          <w:szCs w:val="28"/>
        </w:rPr>
        <w:lastRenderedPageBreak/>
        <w:t>Kva</w:t>
      </w:r>
      <w:r>
        <w:rPr>
          <w:rFonts w:cs="Times New Roman"/>
          <w:b/>
          <w:bCs/>
          <w:szCs w:val="28"/>
        </w:rPr>
        <w:t>litatīvie</w:t>
      </w:r>
      <w:r w:rsidRPr="00C340DF">
        <w:rPr>
          <w:rFonts w:cs="Times New Roman"/>
          <w:b/>
          <w:bCs/>
          <w:szCs w:val="28"/>
        </w:rPr>
        <w:t xml:space="preserve"> ieguvumi no VPC izveides ārvalstu publiskajā sektorā</w:t>
      </w:r>
    </w:p>
    <w:p w14:paraId="651C90FA" w14:textId="77777777" w:rsidR="00C340DF" w:rsidRPr="00C340DF" w:rsidRDefault="00C340DF" w:rsidP="00C340DF"/>
    <w:tbl>
      <w:tblPr>
        <w:tblW w:w="9372" w:type="dxa"/>
        <w:tblBorders>
          <w:top w:val="outset" w:sz="6" w:space="0" w:color="auto"/>
          <w:left w:val="outset" w:sz="6" w:space="0" w:color="auto"/>
          <w:bottom w:val="outset" w:sz="6" w:space="0" w:color="auto"/>
          <w:right w:val="outset" w:sz="6" w:space="0" w:color="auto"/>
        </w:tblBorders>
        <w:tblCellMar>
          <w:left w:w="85" w:type="dxa"/>
          <w:right w:w="85" w:type="dxa"/>
        </w:tblCellMar>
        <w:tblLook w:val="04A0" w:firstRow="1" w:lastRow="0" w:firstColumn="1" w:lastColumn="0" w:noHBand="0" w:noVBand="1"/>
      </w:tblPr>
      <w:tblGrid>
        <w:gridCol w:w="4709"/>
        <w:gridCol w:w="4663"/>
      </w:tblGrid>
      <w:tr w:rsidR="00C340DF" w:rsidRPr="00C340DF" w14:paraId="3EA891B3" w14:textId="77777777" w:rsidTr="00AA5E00">
        <w:trPr>
          <w:trHeight w:val="80"/>
        </w:trPr>
        <w:tc>
          <w:tcPr>
            <w:tcW w:w="4709" w:type="dxa"/>
            <w:tcBorders>
              <w:top w:val="nil"/>
              <w:left w:val="nil"/>
              <w:bottom w:val="nil"/>
              <w:right w:val="nil"/>
            </w:tcBorders>
            <w:shd w:val="clear" w:color="auto" w:fill="464646"/>
            <w:vAlign w:val="center"/>
            <w:hideMark/>
          </w:tcPr>
          <w:p w14:paraId="7E5EA4F2" w14:textId="77777777" w:rsidR="00C340DF" w:rsidRPr="00C340DF" w:rsidRDefault="00C340DF" w:rsidP="00D9762A">
            <w:pPr>
              <w:ind w:firstLine="0"/>
              <w:jc w:val="center"/>
              <w:textAlignment w:val="baseline"/>
              <w:rPr>
                <w:rFonts w:eastAsia="Times New Roman" w:cs="Times New Roman"/>
                <w:szCs w:val="28"/>
                <w:lang w:eastAsia="lv-LV"/>
              </w:rPr>
            </w:pPr>
            <w:r w:rsidRPr="00C340DF">
              <w:rPr>
                <w:rFonts w:eastAsia="Times New Roman" w:cs="Times New Roman"/>
                <w:color w:val="FFFFFF"/>
                <w:szCs w:val="28"/>
                <w:lang w:eastAsia="lv-LV"/>
              </w:rPr>
              <w:t> </w:t>
            </w:r>
            <w:r w:rsidRPr="00C340DF">
              <w:rPr>
                <w:rFonts w:eastAsia="Times New Roman" w:cs="Times New Roman"/>
                <w:b/>
                <w:bCs/>
                <w:color w:val="FFFFFF"/>
                <w:szCs w:val="28"/>
                <w:lang w:eastAsia="lv-LV"/>
              </w:rPr>
              <w:t>Valsts līmenī</w:t>
            </w:r>
            <w:r w:rsidRPr="00C340DF">
              <w:rPr>
                <w:rFonts w:eastAsia="Times New Roman" w:cs="Times New Roman"/>
                <w:color w:val="FFFFFF"/>
                <w:szCs w:val="28"/>
                <w:lang w:eastAsia="lv-LV"/>
              </w:rPr>
              <w:t> </w:t>
            </w:r>
          </w:p>
        </w:tc>
        <w:tc>
          <w:tcPr>
            <w:tcW w:w="4663" w:type="dxa"/>
            <w:tcBorders>
              <w:top w:val="nil"/>
              <w:left w:val="nil"/>
              <w:bottom w:val="nil"/>
              <w:right w:val="nil"/>
            </w:tcBorders>
            <w:shd w:val="clear" w:color="auto" w:fill="464646"/>
            <w:vAlign w:val="center"/>
            <w:hideMark/>
          </w:tcPr>
          <w:p w14:paraId="0FEAD2E0" w14:textId="77777777" w:rsidR="00C340DF" w:rsidRPr="00C340DF" w:rsidRDefault="00C340DF" w:rsidP="00D9762A">
            <w:pPr>
              <w:ind w:firstLine="0"/>
              <w:jc w:val="center"/>
              <w:textAlignment w:val="baseline"/>
              <w:rPr>
                <w:rFonts w:eastAsia="Times New Roman" w:cs="Times New Roman"/>
                <w:szCs w:val="28"/>
                <w:lang w:eastAsia="lv-LV"/>
              </w:rPr>
            </w:pPr>
            <w:r w:rsidRPr="00C340DF">
              <w:rPr>
                <w:rFonts w:eastAsia="Times New Roman" w:cs="Times New Roman"/>
                <w:b/>
                <w:bCs/>
                <w:color w:val="FFFFFF"/>
                <w:szCs w:val="28"/>
                <w:lang w:eastAsia="lv-LV"/>
              </w:rPr>
              <w:t>Iestāžu līmenī</w:t>
            </w:r>
            <w:r w:rsidRPr="00C340DF">
              <w:rPr>
                <w:rFonts w:eastAsia="Times New Roman" w:cs="Times New Roman"/>
                <w:color w:val="FFFFFF"/>
                <w:szCs w:val="28"/>
                <w:lang w:eastAsia="lv-LV"/>
              </w:rPr>
              <w:t> </w:t>
            </w:r>
          </w:p>
        </w:tc>
      </w:tr>
      <w:tr w:rsidR="00C340DF" w:rsidRPr="00C340DF" w14:paraId="2EBD5FE2" w14:textId="77777777" w:rsidTr="00AA5E00">
        <w:trPr>
          <w:trHeight w:val="112"/>
        </w:trPr>
        <w:tc>
          <w:tcPr>
            <w:tcW w:w="9372" w:type="dxa"/>
            <w:gridSpan w:val="2"/>
            <w:tcBorders>
              <w:top w:val="nil"/>
              <w:left w:val="nil"/>
              <w:bottom w:val="nil"/>
              <w:right w:val="nil"/>
            </w:tcBorders>
            <w:shd w:val="clear" w:color="auto" w:fill="D9D9D9"/>
            <w:hideMark/>
          </w:tcPr>
          <w:p w14:paraId="63EA4DF3" w14:textId="77777777" w:rsidR="00C340DF" w:rsidRPr="00C340DF" w:rsidRDefault="00C340DF" w:rsidP="00D9762A">
            <w:pPr>
              <w:ind w:left="270" w:hanging="270"/>
              <w:jc w:val="center"/>
              <w:textAlignment w:val="baseline"/>
              <w:rPr>
                <w:rFonts w:eastAsia="Times New Roman" w:cs="Times New Roman"/>
                <w:szCs w:val="28"/>
                <w:lang w:eastAsia="lv-LV"/>
              </w:rPr>
            </w:pPr>
            <w:r w:rsidRPr="00C340DF">
              <w:rPr>
                <w:rFonts w:eastAsia="Times New Roman" w:cs="Times New Roman"/>
                <w:b/>
                <w:bCs/>
                <w:szCs w:val="28"/>
                <w:lang w:eastAsia="lv-LV"/>
              </w:rPr>
              <w:t>Iekšējo pakalpojumu kvalitāte</w:t>
            </w:r>
            <w:r w:rsidRPr="00C340DF">
              <w:rPr>
                <w:rFonts w:eastAsia="Times New Roman" w:cs="Times New Roman"/>
                <w:szCs w:val="28"/>
                <w:lang w:eastAsia="lv-LV"/>
              </w:rPr>
              <w:t> </w:t>
            </w:r>
          </w:p>
        </w:tc>
      </w:tr>
      <w:tr w:rsidR="00C340DF" w:rsidRPr="00C340DF" w14:paraId="3C28A7FE" w14:textId="77777777" w:rsidTr="00AA5E00">
        <w:trPr>
          <w:trHeight w:val="2568"/>
        </w:trPr>
        <w:tc>
          <w:tcPr>
            <w:tcW w:w="4709" w:type="dxa"/>
            <w:tcBorders>
              <w:top w:val="nil"/>
              <w:left w:val="nil"/>
              <w:bottom w:val="nil"/>
              <w:right w:val="single" w:sz="6" w:space="0" w:color="D9D9D9"/>
            </w:tcBorders>
            <w:shd w:val="clear" w:color="auto" w:fill="F2F2F2"/>
            <w:hideMark/>
          </w:tcPr>
          <w:p w14:paraId="32143D90" w14:textId="77777777" w:rsidR="00C340DF" w:rsidRPr="00C340DF" w:rsidRDefault="00C340DF" w:rsidP="00C340DF">
            <w:pPr>
              <w:pStyle w:val="ListParagraph"/>
              <w:numPr>
                <w:ilvl w:val="0"/>
                <w:numId w:val="2"/>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 xml:space="preserve">Sniegto pakalpojumu kvalitātes paaugstināšana, pateicoties </w:t>
            </w:r>
            <w:proofErr w:type="spellStart"/>
            <w:r w:rsidRPr="00C340DF">
              <w:rPr>
                <w:rFonts w:eastAsia="Times New Roman" w:cs="Times New Roman"/>
                <w:color w:val="000000"/>
                <w:szCs w:val="28"/>
                <w:lang w:eastAsia="lv-LV"/>
              </w:rPr>
              <w:t>apjomradītiem</w:t>
            </w:r>
            <w:proofErr w:type="spellEnd"/>
            <w:r w:rsidRPr="00C340DF">
              <w:rPr>
                <w:rFonts w:eastAsia="Times New Roman" w:cs="Times New Roman"/>
                <w:color w:val="000000"/>
                <w:szCs w:val="28"/>
                <w:lang w:eastAsia="lv-LV"/>
              </w:rPr>
              <w:t xml:space="preserve"> ietaupījumiem un specializācijai, un standartizācijai. </w:t>
            </w:r>
          </w:p>
          <w:p w14:paraId="4D8A9CB2" w14:textId="77777777" w:rsidR="00C340DF" w:rsidRPr="00C340DF" w:rsidRDefault="00C340DF" w:rsidP="00C340DF">
            <w:pPr>
              <w:pStyle w:val="ListParagraph"/>
              <w:numPr>
                <w:ilvl w:val="0"/>
                <w:numId w:val="2"/>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Iekšējās kontroles uzlabošana, atvieglojot risku mazinošo pasākumu īstenošanu gadījumā, ja tiek konstatētas procesu nepilnības. </w:t>
            </w:r>
          </w:p>
          <w:p w14:paraId="59AA3B45" w14:textId="77777777" w:rsidR="00C340DF" w:rsidRPr="00C340DF" w:rsidRDefault="00C340DF" w:rsidP="00C340DF">
            <w:pPr>
              <w:pStyle w:val="ListParagraph"/>
              <w:numPr>
                <w:ilvl w:val="0"/>
                <w:numId w:val="2"/>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Procesu vai pakalpojumu sniegšanas efektivizēšana, apvienojot darbiniekus no vairākām iestādēm un kopā identificējot uzlabošanas iespējas. </w:t>
            </w:r>
          </w:p>
          <w:p w14:paraId="72B0A167" w14:textId="77777777" w:rsidR="00C340DF" w:rsidRPr="00C340DF" w:rsidRDefault="00C340DF" w:rsidP="00C340DF">
            <w:pPr>
              <w:pStyle w:val="ListParagraph"/>
              <w:numPr>
                <w:ilvl w:val="0"/>
                <w:numId w:val="2"/>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Atbilstības ES un starptautiskajiem standartiem (piemēram, starptautiskajiem grāmatvedības standartiem (SGS) un starptautiskajiem finanšu pārskatu standartiem (IFRS)) veicināšana. </w:t>
            </w:r>
          </w:p>
        </w:tc>
        <w:tc>
          <w:tcPr>
            <w:tcW w:w="4663" w:type="dxa"/>
            <w:tcBorders>
              <w:top w:val="nil"/>
              <w:left w:val="single" w:sz="6" w:space="0" w:color="D9D9D9"/>
              <w:bottom w:val="nil"/>
              <w:right w:val="nil"/>
            </w:tcBorders>
            <w:shd w:val="clear" w:color="auto" w:fill="F2F2F2"/>
            <w:hideMark/>
          </w:tcPr>
          <w:p w14:paraId="7D2CD65D" w14:textId="77777777" w:rsidR="00C340DF" w:rsidRPr="00C340DF" w:rsidRDefault="00C340DF" w:rsidP="00C340DF">
            <w:pPr>
              <w:pStyle w:val="ListParagraph"/>
              <w:numPr>
                <w:ilvl w:val="0"/>
                <w:numId w:val="2"/>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Darbinieku, kuri neveic atbalsta funkcijas un līdz ar to paliek iestādēs, atbrīvošana no ikdienas operatīvās darbības rūpēm un viņu pamatdarbības kvalitātes uzlabošana. </w:t>
            </w:r>
          </w:p>
        </w:tc>
      </w:tr>
      <w:tr w:rsidR="00C340DF" w:rsidRPr="00C340DF" w14:paraId="64FDBA22" w14:textId="77777777" w:rsidTr="00AA5E00">
        <w:trPr>
          <w:trHeight w:val="112"/>
        </w:trPr>
        <w:tc>
          <w:tcPr>
            <w:tcW w:w="9372" w:type="dxa"/>
            <w:gridSpan w:val="2"/>
            <w:tcBorders>
              <w:top w:val="nil"/>
              <w:left w:val="nil"/>
              <w:bottom w:val="nil"/>
              <w:right w:val="nil"/>
            </w:tcBorders>
            <w:shd w:val="clear" w:color="auto" w:fill="D9D9D9"/>
            <w:hideMark/>
          </w:tcPr>
          <w:p w14:paraId="7EC19F00" w14:textId="77777777" w:rsidR="00C340DF" w:rsidRPr="00C340DF" w:rsidRDefault="00C340DF" w:rsidP="00D9762A">
            <w:pPr>
              <w:jc w:val="center"/>
              <w:textAlignment w:val="baseline"/>
              <w:rPr>
                <w:rFonts w:eastAsia="Times New Roman" w:cs="Times New Roman"/>
                <w:szCs w:val="28"/>
                <w:lang w:eastAsia="lv-LV"/>
              </w:rPr>
            </w:pPr>
            <w:r w:rsidRPr="00C340DF">
              <w:rPr>
                <w:rFonts w:eastAsia="Times New Roman" w:cs="Times New Roman"/>
                <w:b/>
                <w:bCs/>
                <w:szCs w:val="28"/>
                <w:lang w:eastAsia="lv-LV"/>
              </w:rPr>
              <w:t>Izdevīgums un izmaksu pārredzamība</w:t>
            </w:r>
            <w:r w:rsidRPr="00C340DF">
              <w:rPr>
                <w:rFonts w:eastAsia="Times New Roman" w:cs="Times New Roman"/>
                <w:szCs w:val="28"/>
                <w:lang w:eastAsia="lv-LV"/>
              </w:rPr>
              <w:t> </w:t>
            </w:r>
          </w:p>
        </w:tc>
      </w:tr>
      <w:tr w:rsidR="00C340DF" w:rsidRPr="00C340DF" w14:paraId="72232CA6" w14:textId="77777777" w:rsidTr="00AA5E00">
        <w:trPr>
          <w:trHeight w:val="685"/>
        </w:trPr>
        <w:tc>
          <w:tcPr>
            <w:tcW w:w="4709" w:type="dxa"/>
            <w:tcBorders>
              <w:top w:val="nil"/>
              <w:left w:val="nil"/>
              <w:bottom w:val="nil"/>
              <w:right w:val="single" w:sz="6" w:space="0" w:color="D9D9D9"/>
            </w:tcBorders>
            <w:shd w:val="clear" w:color="auto" w:fill="F2F2F2"/>
            <w:hideMark/>
          </w:tcPr>
          <w:p w14:paraId="74DAA35C" w14:textId="77777777" w:rsidR="00C340DF" w:rsidRPr="00C340DF" w:rsidRDefault="00C340DF" w:rsidP="00C340DF">
            <w:pPr>
              <w:pStyle w:val="ListParagraph"/>
              <w:numPr>
                <w:ilvl w:val="0"/>
                <w:numId w:val="3"/>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Citu iniciatīvu valsts pārvaldes (t. sk. e-valsts pārvaldes) attīstībai vienkāršāka, ātrāka un ekonomiski izdevīgāka īstenošana.</w:t>
            </w:r>
            <w:r w:rsidRPr="00C340DF">
              <w:rPr>
                <w:rFonts w:eastAsia="Times New Roman" w:cs="Times New Roman"/>
                <w:color w:val="000000"/>
                <w:szCs w:val="28"/>
                <w:vertAlign w:val="superscript"/>
                <w:lang w:eastAsia="lv-LV"/>
              </w:rPr>
              <w:t>57 </w:t>
            </w:r>
            <w:r w:rsidRPr="00C340DF">
              <w:rPr>
                <w:rFonts w:eastAsia="Times New Roman" w:cs="Times New Roman"/>
                <w:color w:val="000000"/>
                <w:szCs w:val="28"/>
                <w:lang w:eastAsia="lv-LV"/>
              </w:rPr>
              <w:t> </w:t>
            </w:r>
          </w:p>
        </w:tc>
        <w:tc>
          <w:tcPr>
            <w:tcW w:w="4663" w:type="dxa"/>
            <w:tcBorders>
              <w:top w:val="nil"/>
              <w:left w:val="single" w:sz="6" w:space="0" w:color="D9D9D9"/>
              <w:bottom w:val="nil"/>
              <w:right w:val="nil"/>
            </w:tcBorders>
            <w:shd w:val="clear" w:color="auto" w:fill="F2F2F2"/>
            <w:hideMark/>
          </w:tcPr>
          <w:p w14:paraId="02B9E7AD" w14:textId="77777777" w:rsidR="00C340DF" w:rsidRPr="00C340DF" w:rsidRDefault="00C340DF" w:rsidP="00C340DF">
            <w:pPr>
              <w:pStyle w:val="ListParagraph"/>
              <w:numPr>
                <w:ilvl w:val="0"/>
                <w:numId w:val="3"/>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Administratīvo izmaksu pārredzamības veicināšana. </w:t>
            </w:r>
          </w:p>
          <w:p w14:paraId="30F99703" w14:textId="77777777" w:rsidR="00C340DF" w:rsidRPr="00C340DF" w:rsidRDefault="00C340DF" w:rsidP="00C340DF">
            <w:pPr>
              <w:pStyle w:val="ListParagraph"/>
              <w:numPr>
                <w:ilvl w:val="0"/>
                <w:numId w:val="3"/>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Izmaksu salīdzināmība dažādos griezumos (t. sk. dažādu laika periodu salīdzināšana). </w:t>
            </w:r>
          </w:p>
        </w:tc>
      </w:tr>
      <w:tr w:rsidR="00C340DF" w:rsidRPr="00C340DF" w14:paraId="7F422425" w14:textId="77777777" w:rsidTr="00AA5E00">
        <w:trPr>
          <w:trHeight w:val="112"/>
        </w:trPr>
        <w:tc>
          <w:tcPr>
            <w:tcW w:w="9372" w:type="dxa"/>
            <w:gridSpan w:val="2"/>
            <w:tcBorders>
              <w:top w:val="nil"/>
              <w:left w:val="nil"/>
              <w:bottom w:val="nil"/>
              <w:right w:val="nil"/>
            </w:tcBorders>
            <w:shd w:val="clear" w:color="auto" w:fill="D9D9D9"/>
            <w:hideMark/>
          </w:tcPr>
          <w:p w14:paraId="4A74D5FD" w14:textId="77777777" w:rsidR="00C340DF" w:rsidRPr="00C340DF" w:rsidRDefault="00C340DF" w:rsidP="00D9762A">
            <w:pPr>
              <w:jc w:val="center"/>
              <w:textAlignment w:val="baseline"/>
              <w:rPr>
                <w:rFonts w:eastAsia="Times New Roman" w:cs="Times New Roman"/>
                <w:szCs w:val="28"/>
                <w:lang w:eastAsia="lv-LV"/>
              </w:rPr>
            </w:pPr>
            <w:r w:rsidRPr="00C340DF">
              <w:rPr>
                <w:rFonts w:eastAsia="Times New Roman" w:cs="Times New Roman"/>
                <w:b/>
                <w:bCs/>
                <w:szCs w:val="28"/>
                <w:lang w:eastAsia="lv-LV"/>
              </w:rPr>
              <w:t>Darbaspēks</w:t>
            </w:r>
            <w:r w:rsidRPr="00C340DF">
              <w:rPr>
                <w:rFonts w:eastAsia="Times New Roman" w:cs="Times New Roman"/>
                <w:szCs w:val="28"/>
                <w:lang w:eastAsia="lv-LV"/>
              </w:rPr>
              <w:t> </w:t>
            </w:r>
          </w:p>
        </w:tc>
      </w:tr>
      <w:tr w:rsidR="00C340DF" w:rsidRPr="00C340DF" w14:paraId="0C038F96" w14:textId="77777777" w:rsidTr="00AA5E00">
        <w:trPr>
          <w:trHeight w:val="1632"/>
        </w:trPr>
        <w:tc>
          <w:tcPr>
            <w:tcW w:w="4709" w:type="dxa"/>
            <w:tcBorders>
              <w:top w:val="nil"/>
              <w:left w:val="nil"/>
              <w:bottom w:val="nil"/>
              <w:right w:val="single" w:sz="6" w:space="0" w:color="D9D9D9"/>
            </w:tcBorders>
            <w:shd w:val="clear" w:color="auto" w:fill="F2F2F2"/>
            <w:hideMark/>
          </w:tcPr>
          <w:p w14:paraId="2771AC75" w14:textId="77777777" w:rsidR="00C340DF" w:rsidRPr="00C340DF" w:rsidRDefault="00C340DF" w:rsidP="00C340DF">
            <w:pPr>
              <w:pStyle w:val="ListParagraph"/>
              <w:numPr>
                <w:ilvl w:val="0"/>
                <w:numId w:val="4"/>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Atbalsta funkciju veicēju (t. i., VPC darbinieku, piemēram, grāmatvežu, personāla speciālistu u. c.) darba pievilcības veicināšana, atbalsta pakalpojumiem esot VPC pamatdarbībai, savukārt efektīva darbinieku piesaiste un noturēšana ļauj ietaupīt finanšu resursus. </w:t>
            </w:r>
          </w:p>
        </w:tc>
        <w:tc>
          <w:tcPr>
            <w:tcW w:w="4663" w:type="dxa"/>
            <w:tcBorders>
              <w:top w:val="nil"/>
              <w:left w:val="single" w:sz="6" w:space="0" w:color="D9D9D9"/>
              <w:bottom w:val="nil"/>
              <w:right w:val="nil"/>
            </w:tcBorders>
            <w:shd w:val="clear" w:color="auto" w:fill="F2F2F2"/>
            <w:hideMark/>
          </w:tcPr>
          <w:p w14:paraId="4EF1D8A6" w14:textId="77777777" w:rsidR="00C340DF" w:rsidRPr="00C340DF" w:rsidRDefault="00C340DF" w:rsidP="00C340DF">
            <w:pPr>
              <w:pStyle w:val="ListParagraph"/>
              <w:numPr>
                <w:ilvl w:val="0"/>
                <w:numId w:val="4"/>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Darbinieku (kuri tiek pārcelti uz VPC) profesionālās kompetences pilnveide, apmainoties ar zināšanām un pieredzi ar kolēģiem, kas agrāk strādāja dažādās iestādēs. </w:t>
            </w:r>
          </w:p>
          <w:p w14:paraId="2F113179" w14:textId="77777777" w:rsidR="00C340DF" w:rsidRPr="00C340DF" w:rsidRDefault="00C340DF" w:rsidP="00C340DF">
            <w:pPr>
              <w:pStyle w:val="ListParagraph"/>
              <w:numPr>
                <w:ilvl w:val="0"/>
                <w:numId w:val="4"/>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Darbinieku mainības un prombūtnes ietekmes uz iekšējiem procesiem samazināšana. </w:t>
            </w:r>
          </w:p>
          <w:p w14:paraId="41A3A847" w14:textId="77777777" w:rsidR="00C340DF" w:rsidRPr="00C340DF" w:rsidRDefault="00C340DF" w:rsidP="00C340DF">
            <w:pPr>
              <w:pStyle w:val="ListParagraph"/>
              <w:numPr>
                <w:ilvl w:val="0"/>
                <w:numId w:val="4"/>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Darbinieku skaita optimizācija un vieglāka noslodzes plānošana atbilstoši paredzamajam dokumentu, rēķinu, atlīdzības utt. skaitam. </w:t>
            </w:r>
          </w:p>
          <w:p w14:paraId="3E7B83E9" w14:textId="77777777" w:rsidR="00C340DF" w:rsidRPr="00C340DF" w:rsidRDefault="00C340DF" w:rsidP="00C340DF">
            <w:pPr>
              <w:pStyle w:val="ListParagraph"/>
              <w:numPr>
                <w:ilvl w:val="0"/>
                <w:numId w:val="4"/>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lastRenderedPageBreak/>
              <w:t>Skaidrāka atbildības sadale starp iestāžu vadītājiem, darbiniekiem un VPC. </w:t>
            </w:r>
          </w:p>
          <w:p w14:paraId="23804C80" w14:textId="77777777" w:rsidR="00C340DF" w:rsidRPr="00C340DF" w:rsidRDefault="00C340DF" w:rsidP="00C340DF">
            <w:pPr>
              <w:pStyle w:val="ListParagraph"/>
              <w:numPr>
                <w:ilvl w:val="0"/>
                <w:numId w:val="4"/>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Ar darbinieku nekompetenci saistītā reputācijas riska samazināšana, novēršot kļūdu iespējamību atbalsta procesos un finanšu pārskatos. </w:t>
            </w:r>
          </w:p>
        </w:tc>
      </w:tr>
      <w:tr w:rsidR="00C340DF" w:rsidRPr="00C340DF" w14:paraId="72BD3C77" w14:textId="77777777" w:rsidTr="00AA5E00">
        <w:trPr>
          <w:trHeight w:val="112"/>
        </w:trPr>
        <w:tc>
          <w:tcPr>
            <w:tcW w:w="9372" w:type="dxa"/>
            <w:gridSpan w:val="2"/>
            <w:tcBorders>
              <w:top w:val="nil"/>
              <w:left w:val="nil"/>
              <w:bottom w:val="nil"/>
              <w:right w:val="nil"/>
            </w:tcBorders>
            <w:shd w:val="clear" w:color="auto" w:fill="D9D9D9"/>
            <w:hideMark/>
          </w:tcPr>
          <w:p w14:paraId="7FA83319" w14:textId="77777777" w:rsidR="00C340DF" w:rsidRPr="00C340DF" w:rsidRDefault="00C340DF" w:rsidP="00D9762A">
            <w:pPr>
              <w:jc w:val="center"/>
              <w:textAlignment w:val="baseline"/>
              <w:rPr>
                <w:rFonts w:eastAsia="Times New Roman" w:cs="Times New Roman"/>
                <w:szCs w:val="28"/>
                <w:lang w:eastAsia="lv-LV"/>
              </w:rPr>
            </w:pPr>
            <w:r w:rsidRPr="00C340DF">
              <w:rPr>
                <w:rFonts w:eastAsia="Times New Roman" w:cs="Times New Roman"/>
                <w:b/>
                <w:bCs/>
                <w:szCs w:val="28"/>
                <w:lang w:eastAsia="lv-LV"/>
              </w:rPr>
              <w:lastRenderedPageBreak/>
              <w:t>Datu un informācijas pieejamība</w:t>
            </w:r>
            <w:r w:rsidRPr="00C340DF">
              <w:rPr>
                <w:rFonts w:eastAsia="Times New Roman" w:cs="Times New Roman"/>
                <w:szCs w:val="28"/>
                <w:lang w:eastAsia="lv-LV"/>
              </w:rPr>
              <w:t> </w:t>
            </w:r>
          </w:p>
        </w:tc>
      </w:tr>
      <w:tr w:rsidR="00C340DF" w:rsidRPr="00C340DF" w14:paraId="5BC9B60B" w14:textId="77777777" w:rsidTr="00AA5E00">
        <w:trPr>
          <w:trHeight w:val="293"/>
        </w:trPr>
        <w:tc>
          <w:tcPr>
            <w:tcW w:w="9372" w:type="dxa"/>
            <w:gridSpan w:val="2"/>
            <w:tcBorders>
              <w:top w:val="nil"/>
              <w:left w:val="nil"/>
              <w:bottom w:val="nil"/>
              <w:right w:val="nil"/>
            </w:tcBorders>
            <w:shd w:val="clear" w:color="auto" w:fill="F2F2F2"/>
            <w:hideMark/>
          </w:tcPr>
          <w:p w14:paraId="60C5A122" w14:textId="77777777" w:rsidR="00C340DF" w:rsidRPr="00C340DF" w:rsidRDefault="00C340DF" w:rsidP="00C340DF">
            <w:pPr>
              <w:pStyle w:val="ListParagraph"/>
              <w:numPr>
                <w:ilvl w:val="0"/>
                <w:numId w:val="5"/>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Datu pieejamība, pateicoties vienotām IS, kas nodrošina iespēju pieņemt pamatotus un efektīvus vadības lēmumus. </w:t>
            </w:r>
          </w:p>
          <w:p w14:paraId="18C37197" w14:textId="77777777" w:rsidR="00C340DF" w:rsidRPr="00C340DF" w:rsidRDefault="00C340DF" w:rsidP="00C340DF">
            <w:pPr>
              <w:pStyle w:val="ListParagraph"/>
              <w:numPr>
                <w:ilvl w:val="0"/>
                <w:numId w:val="5"/>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Vadības, finanšu, statistikas u. c. pārskatu par valsts pārvaldes iestādēm sastādīšana, nodrošinot iespēju analizēt un attēlot datus dažādos griezumos. </w:t>
            </w:r>
          </w:p>
          <w:p w14:paraId="1CE97856" w14:textId="77777777" w:rsidR="00C340DF" w:rsidRPr="00C340DF" w:rsidRDefault="00C340DF" w:rsidP="00C340DF">
            <w:pPr>
              <w:pStyle w:val="ListParagraph"/>
              <w:numPr>
                <w:ilvl w:val="0"/>
                <w:numId w:val="5"/>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Darbību dublēšanās novēršana, ievadot un pārbaudot datus IS. </w:t>
            </w:r>
          </w:p>
          <w:p w14:paraId="43BA43D9" w14:textId="77777777" w:rsidR="00C340DF" w:rsidRPr="00C340DF" w:rsidRDefault="00C340DF" w:rsidP="00C340DF">
            <w:pPr>
              <w:pStyle w:val="ListParagraph"/>
              <w:numPr>
                <w:ilvl w:val="0"/>
                <w:numId w:val="5"/>
              </w:numPr>
              <w:ind w:left="357" w:hanging="357"/>
              <w:textAlignment w:val="baseline"/>
              <w:rPr>
                <w:rFonts w:eastAsia="Times New Roman" w:cs="Times New Roman"/>
                <w:color w:val="000000"/>
                <w:szCs w:val="28"/>
                <w:lang w:eastAsia="lv-LV"/>
              </w:rPr>
            </w:pPr>
            <w:r w:rsidRPr="00C340DF">
              <w:rPr>
                <w:rFonts w:eastAsia="Times New Roman" w:cs="Times New Roman"/>
                <w:color w:val="000000"/>
                <w:szCs w:val="28"/>
                <w:lang w:eastAsia="lv-LV"/>
              </w:rPr>
              <w:t>Datu ievades kļūdu risku samazināšana, kas rada plašu uzticamas informācijas bāzi. </w:t>
            </w:r>
          </w:p>
        </w:tc>
      </w:tr>
    </w:tbl>
    <w:p w14:paraId="6D98E2D2" w14:textId="77777777" w:rsidR="00C340DF" w:rsidRPr="00136808" w:rsidRDefault="00C340DF" w:rsidP="00122DF9">
      <w:pPr>
        <w:ind w:firstLine="0"/>
        <w:rPr>
          <w:rFonts w:cs="Times New Roman"/>
          <w:szCs w:val="28"/>
        </w:rPr>
      </w:pPr>
    </w:p>
    <w:sectPr w:rsidR="00C340DF" w:rsidRPr="00136808" w:rsidSect="00C340D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7A51D" w14:textId="77777777" w:rsidR="00272560" w:rsidRDefault="00272560" w:rsidP="009E737C">
      <w:r>
        <w:separator/>
      </w:r>
    </w:p>
  </w:endnote>
  <w:endnote w:type="continuationSeparator" w:id="0">
    <w:p w14:paraId="300A764C" w14:textId="77777777" w:rsidR="00272560" w:rsidRDefault="00272560" w:rsidP="009E7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20878" w14:textId="77777777" w:rsidR="00272560" w:rsidRDefault="00272560" w:rsidP="009E737C">
      <w:r>
        <w:separator/>
      </w:r>
    </w:p>
  </w:footnote>
  <w:footnote w:type="continuationSeparator" w:id="0">
    <w:p w14:paraId="1121F278" w14:textId="77777777" w:rsidR="00272560" w:rsidRDefault="00272560" w:rsidP="009E737C">
      <w:r>
        <w:continuationSeparator/>
      </w:r>
    </w:p>
  </w:footnote>
  <w:footnote w:id="1">
    <w:p w14:paraId="4B943227" w14:textId="77777777" w:rsidR="00136808" w:rsidRPr="00136808" w:rsidRDefault="00136808" w:rsidP="00136808">
      <w:pPr>
        <w:pStyle w:val="FootnoteText"/>
        <w:rPr>
          <w:sz w:val="24"/>
          <w:szCs w:val="24"/>
        </w:rPr>
      </w:pPr>
      <w:r w:rsidRPr="00136808">
        <w:rPr>
          <w:rStyle w:val="FootnoteReference"/>
          <w:sz w:val="24"/>
          <w:szCs w:val="24"/>
        </w:rPr>
        <w:footnoteRef/>
      </w:r>
      <w:r w:rsidRPr="00136808">
        <w:rPr>
          <w:sz w:val="24"/>
          <w:szCs w:val="24"/>
        </w:rPr>
        <w:t xml:space="preserve"> Viena e-rēķina apstrāde VPC ietvaros palīdz ietaupīt ~4 EUR. Sagaidāms, ka laika posmā no 2020.–2023. gadam tiks apstrādāti 6,5 milj. rēķinu.</w:t>
      </w:r>
    </w:p>
  </w:footnote>
  <w:footnote w:id="2">
    <w:p w14:paraId="0F54E873" w14:textId="77777777" w:rsidR="00136808" w:rsidRPr="00136808" w:rsidRDefault="00136808" w:rsidP="00136808">
      <w:pPr>
        <w:pStyle w:val="FootnoteText"/>
        <w:rPr>
          <w:sz w:val="24"/>
          <w:szCs w:val="24"/>
        </w:rPr>
      </w:pPr>
      <w:r w:rsidRPr="00136808">
        <w:rPr>
          <w:rStyle w:val="FootnoteReference"/>
          <w:sz w:val="24"/>
          <w:szCs w:val="24"/>
        </w:rPr>
        <w:footnoteRef/>
      </w:r>
      <w:r w:rsidRPr="00136808">
        <w:rPr>
          <w:sz w:val="24"/>
          <w:szCs w:val="24"/>
        </w:rPr>
        <w:t xml:space="preserve"> </w:t>
      </w:r>
      <w:r w:rsidRPr="00136808">
        <w:rPr>
          <w:rStyle w:val="normaltextrun"/>
          <w:rFonts w:cs="Times New Roman"/>
          <w:color w:val="000000"/>
          <w:sz w:val="24"/>
          <w:shd w:val="clear" w:color="auto" w:fill="FFFFFF"/>
        </w:rPr>
        <w:t>Pieņemot, ka ietaupījumi sastādīs 1,28% no 595 milj. EUR algu apjoma (t. i., darbavietas, kas tiks pakāpeniski pārceltas uz VPC laikā posmā no 2020.–2022. gadam).</w:t>
      </w:r>
      <w:r w:rsidRPr="00136808">
        <w:rPr>
          <w:rStyle w:val="eop"/>
          <w:rFonts w:ascii="Arial" w:hAnsi="Arial" w:cs="Arial"/>
          <w:color w:val="000000"/>
          <w:sz w:val="24"/>
          <w:shd w:val="clear" w:color="auto" w:fill="FFFFFF"/>
        </w:rPr>
        <w:t> </w:t>
      </w:r>
    </w:p>
  </w:footnote>
  <w:footnote w:id="3">
    <w:p w14:paraId="476634EE" w14:textId="77777777" w:rsidR="00136808" w:rsidRPr="00136808" w:rsidRDefault="00136808" w:rsidP="00136808">
      <w:pPr>
        <w:pStyle w:val="FootnoteText"/>
        <w:rPr>
          <w:sz w:val="24"/>
          <w:szCs w:val="24"/>
        </w:rPr>
      </w:pPr>
      <w:r w:rsidRPr="00136808">
        <w:rPr>
          <w:rStyle w:val="FootnoteReference"/>
          <w:sz w:val="24"/>
          <w:szCs w:val="24"/>
        </w:rPr>
        <w:footnoteRef/>
      </w:r>
      <w:r w:rsidRPr="00136808">
        <w:rPr>
          <w:sz w:val="24"/>
          <w:szCs w:val="24"/>
        </w:rPr>
        <w:t xml:space="preserve"> Balstīts uz 26 iestādēm, kuras sākotnēji izrādīja interesi pievienoties VPC (veido aptuveni 25 % no visiem valsts pārvaldes darbiniekiem).</w:t>
      </w:r>
    </w:p>
  </w:footnote>
  <w:footnote w:id="4">
    <w:p w14:paraId="37096E4C" w14:textId="77777777" w:rsidR="00136808" w:rsidRPr="00136808" w:rsidRDefault="00136808" w:rsidP="00136808">
      <w:pPr>
        <w:pStyle w:val="FootnoteText"/>
        <w:rPr>
          <w:sz w:val="24"/>
          <w:szCs w:val="24"/>
        </w:rPr>
      </w:pPr>
      <w:r w:rsidRPr="00136808">
        <w:rPr>
          <w:rStyle w:val="FootnoteReference"/>
          <w:sz w:val="24"/>
          <w:szCs w:val="24"/>
        </w:rPr>
        <w:footnoteRef/>
      </w:r>
      <w:r w:rsidRPr="00136808">
        <w:rPr>
          <w:sz w:val="24"/>
          <w:szCs w:val="24"/>
        </w:rPr>
        <w:t xml:space="preserve"> Ekstrapolējot vienkāršo aprēķinu uz 133 vidējām un lielām valsts iestādēm.</w:t>
      </w:r>
    </w:p>
  </w:footnote>
  <w:footnote w:id="5">
    <w:p w14:paraId="7FD9194B" w14:textId="77777777" w:rsidR="00136808" w:rsidRDefault="00136808" w:rsidP="00136808">
      <w:pPr>
        <w:pStyle w:val="FootnoteText"/>
      </w:pPr>
      <w:r w:rsidRPr="00136808">
        <w:rPr>
          <w:rStyle w:val="FootnoteReference"/>
          <w:sz w:val="24"/>
          <w:szCs w:val="24"/>
        </w:rPr>
        <w:footnoteRef/>
      </w:r>
      <w:r w:rsidRPr="00136808">
        <w:rPr>
          <w:sz w:val="24"/>
          <w:szCs w:val="24"/>
        </w:rPr>
        <w:t xml:space="preserve"> </w:t>
      </w:r>
      <w:r w:rsidRPr="00136808">
        <w:rPr>
          <w:rStyle w:val="normaltextrun"/>
          <w:rFonts w:cs="Times New Roman"/>
          <w:color w:val="000000"/>
          <w:sz w:val="24"/>
          <w:bdr w:val="none" w:sz="0" w:space="0" w:color="auto" w:frame="1"/>
        </w:rPr>
        <w:t>Balstīts uz pakāpenisku 26 iestāžu pievienošanu VPC, ņemot vērā ne tikai darbaspēka izmaksas, bet arī VPC dibināšanas izmaksas, IT, darbinieku atlaišanas, apsaimniekošanas u. c. izmaksas, kā arī valsts budžeta pārdali no iestādēm uz VPC.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CE9"/>
    <w:multiLevelType w:val="hybridMultilevel"/>
    <w:tmpl w:val="E87467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AC7D54"/>
    <w:multiLevelType w:val="hybridMultilevel"/>
    <w:tmpl w:val="C0E240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D963875"/>
    <w:multiLevelType w:val="hybridMultilevel"/>
    <w:tmpl w:val="C638E2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D3C0EF7"/>
    <w:multiLevelType w:val="hybridMultilevel"/>
    <w:tmpl w:val="1E286E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20A6DB3"/>
    <w:multiLevelType w:val="multilevel"/>
    <w:tmpl w:val="795C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9120073">
    <w:abstractNumId w:val="4"/>
  </w:num>
  <w:num w:numId="2" w16cid:durableId="1378357233">
    <w:abstractNumId w:val="0"/>
  </w:num>
  <w:num w:numId="3" w16cid:durableId="1252930609">
    <w:abstractNumId w:val="2"/>
  </w:num>
  <w:num w:numId="4" w16cid:durableId="99646649">
    <w:abstractNumId w:val="3"/>
  </w:num>
  <w:num w:numId="5" w16cid:durableId="316109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37C"/>
    <w:rsid w:val="00122DF9"/>
    <w:rsid w:val="00136808"/>
    <w:rsid w:val="00272560"/>
    <w:rsid w:val="002B402C"/>
    <w:rsid w:val="003F78D8"/>
    <w:rsid w:val="0050191E"/>
    <w:rsid w:val="005A25BF"/>
    <w:rsid w:val="005E7D16"/>
    <w:rsid w:val="009E4942"/>
    <w:rsid w:val="009E737C"/>
    <w:rsid w:val="00A06786"/>
    <w:rsid w:val="00A8785C"/>
    <w:rsid w:val="00AA5E00"/>
    <w:rsid w:val="00C340DF"/>
    <w:rsid w:val="00E862C7"/>
    <w:rsid w:val="00F96A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695C9"/>
  <w15:chartTrackingRefBased/>
  <w15:docId w15:val="{72FA665B-7028-46FC-83FF-B2B7A9813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matteksts"/>
    <w:qFormat/>
    <w:rsid w:val="009E737C"/>
    <w:pPr>
      <w:spacing w:after="0" w:line="240" w:lineRule="auto"/>
      <w:ind w:firstLine="720"/>
      <w:jc w:val="both"/>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E737C"/>
    <w:rPr>
      <w:sz w:val="20"/>
      <w:szCs w:val="20"/>
    </w:rPr>
  </w:style>
  <w:style w:type="character" w:customStyle="1" w:styleId="FootnoteTextChar">
    <w:name w:val="Footnote Text Char"/>
    <w:basedOn w:val="DefaultParagraphFont"/>
    <w:link w:val="FootnoteText"/>
    <w:uiPriority w:val="99"/>
    <w:semiHidden/>
    <w:rsid w:val="009E737C"/>
    <w:rPr>
      <w:rFonts w:ascii="Times New Roman" w:hAnsi="Times New Roman"/>
      <w:sz w:val="20"/>
      <w:szCs w:val="20"/>
    </w:rPr>
  </w:style>
  <w:style w:type="character" w:styleId="FootnoteReference">
    <w:name w:val="footnote reference"/>
    <w:basedOn w:val="DefaultParagraphFont"/>
    <w:uiPriority w:val="99"/>
    <w:semiHidden/>
    <w:unhideWhenUsed/>
    <w:rsid w:val="009E737C"/>
    <w:rPr>
      <w:vertAlign w:val="superscript"/>
    </w:rPr>
  </w:style>
  <w:style w:type="character" w:customStyle="1" w:styleId="normaltextrun">
    <w:name w:val="normaltextrun"/>
    <w:basedOn w:val="DefaultParagraphFont"/>
    <w:rsid w:val="009E737C"/>
  </w:style>
  <w:style w:type="character" w:customStyle="1" w:styleId="eop">
    <w:name w:val="eop"/>
    <w:basedOn w:val="DefaultParagraphFont"/>
    <w:rsid w:val="009E737C"/>
  </w:style>
  <w:style w:type="paragraph" w:styleId="Caption">
    <w:name w:val="caption"/>
    <w:basedOn w:val="Normal"/>
    <w:next w:val="Normal"/>
    <w:uiPriority w:val="35"/>
    <w:unhideWhenUsed/>
    <w:qFormat/>
    <w:rsid w:val="009E737C"/>
    <w:pPr>
      <w:spacing w:before="120" w:after="200"/>
      <w:jc w:val="right"/>
    </w:pPr>
    <w:rPr>
      <w:iCs/>
      <w:szCs w:val="18"/>
    </w:rPr>
  </w:style>
  <w:style w:type="paragraph" w:styleId="ListParagraph">
    <w:name w:val="List Paragraph"/>
    <w:basedOn w:val="Normal"/>
    <w:uiPriority w:val="34"/>
    <w:qFormat/>
    <w:rsid w:val="00C340DF"/>
    <w:pPr>
      <w:ind w:left="720"/>
      <w:contextualSpacing/>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9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2700</Words>
  <Characters>1540</Characters>
  <Application>Microsoft Office Word</Application>
  <DocSecurity>0</DocSecurity>
  <Lines>12</Lines>
  <Paragraphs>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Ņesterovs</dc:creator>
  <cp:keywords/>
  <dc:description/>
  <cp:lastModifiedBy>Sandra Rocēna</cp:lastModifiedBy>
  <cp:revision>2</cp:revision>
  <dcterms:created xsi:type="dcterms:W3CDTF">2023-06-19T11:11:00Z</dcterms:created>
  <dcterms:modified xsi:type="dcterms:W3CDTF">2023-06-19T11:11:00Z</dcterms:modified>
</cp:coreProperties>
</file>