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502290" w:rsidP="00174AD2" w:rsidRDefault="002A27D9" w14:paraId="48972844" w14:textId="7A16A615">
      <w:pPr>
        <w:jc w:val="center"/>
        <w15:collapsed w:val="false"/>
        <w:rPr>
          <w:b/>
          <w:bCs/>
        </w:rPr>
      </w:pPr>
      <w:r w:rsidRPr="2B3E1191">
        <w:rPr>
          <w:b/>
          <w:bCs/>
        </w:rPr>
        <w:t xml:space="preserve">Informatīvais ziņojums </w:t>
      </w:r>
    </w:p>
    <w:p w:rsidR="00502290" w:rsidP="00B45A0E" w:rsidRDefault="00E920D4" w14:paraId="4CA8B660" w14:textId="2DEA4050">
      <w:pPr>
        <w:jc w:val="center"/>
        <w:rPr>
          <w:b/>
          <w:bCs/>
        </w:rPr>
      </w:pPr>
      <w:bookmarkStart w:id="0" w:name="_Hlk46742949"/>
      <w:r w:rsidRPr="2B3E1191">
        <w:rPr>
          <w:b/>
          <w:bCs/>
        </w:rPr>
        <w:t>Latvijas Republikas nacionālā pozīcija Nr. 1 “</w:t>
      </w:r>
      <w:r w:rsidRPr="00353325" w:rsidR="00353325">
        <w:rPr>
          <w:b/>
          <w:bCs/>
        </w:rPr>
        <w:t>Priekšlikums Eiropas Parlamenta un Padomes Regulai par digitālajiem tīkliem, ar ko groza Regulu (ES) 2015/2120, Direktīvu 2002/58/EK un Lēmumu Nr. 676/2002/EK un atceļ Regulu (ES) 2018/1971, Direktīvu (ES) 2018/1972 un Lēmumu Nr. 243/2012/ES (Digitālo tīklu akts)</w:t>
      </w:r>
      <w:r w:rsidR="003E5FCF">
        <w:rPr>
          <w:b/>
          <w:bCs/>
        </w:rPr>
        <w:t>”</w:t>
      </w:r>
    </w:p>
    <w:p w:rsidR="00D74CED" w:rsidP="0059038D" w:rsidRDefault="00D74CED" w14:paraId="7494A799" w14:textId="77777777">
      <w:pPr>
        <w:jc w:val="center"/>
        <w:rPr>
          <w:b/>
          <w:bCs/>
        </w:rPr>
      </w:pPr>
    </w:p>
    <w:bookmarkEnd w:id="0"/>
    <w:p w:rsidR="002A27D9" w:rsidP="00B45A0E" w:rsidRDefault="002A27D9" w14:paraId="689A86AA" w14:textId="38D18EFC">
      <w:pPr>
        <w:ind w:firstLine="720"/>
        <w:jc w:val="both"/>
        <w:rPr>
          <w:b/>
          <w:bCs/>
        </w:rPr>
      </w:pPr>
      <w:r w:rsidRPr="2B3E1191">
        <w:t xml:space="preserve">Satiksmes ministrija ir sagatavojusi nacionālās pozīcijas projektu </w:t>
      </w:r>
      <w:r w:rsidRPr="2B3E1191" w:rsidR="009B039F">
        <w:t xml:space="preserve">Nr. </w:t>
      </w:r>
      <w:r w:rsidRPr="2B3E1191" w:rsidR="0035318A">
        <w:t>1</w:t>
      </w:r>
      <w:r w:rsidRPr="2B3E1191">
        <w:rPr>
          <w:b/>
          <w:bCs/>
        </w:rPr>
        <w:t xml:space="preserve"> </w:t>
      </w:r>
      <w:r w:rsidRPr="00AD53ED" w:rsidR="00AD53ED">
        <w:rPr>
          <w:b/>
          <w:bCs/>
        </w:rPr>
        <w:t>“</w:t>
      </w:r>
      <w:r w:rsidRPr="00353325" w:rsidR="00353325">
        <w:rPr>
          <w:b/>
          <w:bCs/>
        </w:rPr>
        <w:t>Priekšlikums Eiropas Parlamenta un Padomes Regulai par digitālajiem tīkliem, ar ko groza Regulu (ES) 2015/2120, Direktīvu 2002/58/EK un Lēmumu Nr. 676/2002/EK un atceļ Regulu (ES) 2018/1971, Direktīvu (ES) 2018/1972 un Lēmumu Nr. 243/2012/ES (Digitālo tīklu akts)</w:t>
      </w:r>
      <w:r w:rsidRPr="00AD53ED" w:rsidR="00AD53ED">
        <w:rPr>
          <w:b/>
          <w:bCs/>
        </w:rPr>
        <w:t>”</w:t>
      </w:r>
      <w:r w:rsidRPr="2B3E1191" w:rsidR="003B7F13">
        <w:rPr>
          <w:b/>
          <w:bCs/>
        </w:rPr>
        <w:t>.</w:t>
      </w:r>
    </w:p>
    <w:p w:rsidRPr="00353325" w:rsidR="00650B65" w:rsidP="2B3E1191" w:rsidRDefault="0035318A" w14:paraId="03068A31" w14:textId="19226BF0">
      <w:pPr>
        <w:ind w:firstLine="720"/>
        <w:jc w:val="both"/>
        <w:rPr>
          <w:color w:val="EE0000"/>
        </w:rPr>
      </w:pPr>
      <w:r w:rsidRPr="00353325">
        <w:t>P</w:t>
      </w:r>
      <w:r w:rsidRPr="00353325" w:rsidR="003B7F13">
        <w:t>ozīcijas projekts skar Latvijas Republikas intereses, tādēļ, atbilstoši Ministru kabineta 2009.</w:t>
      </w:r>
      <w:r w:rsidRPr="00353325" w:rsidR="00070740">
        <w:t> </w:t>
      </w:r>
      <w:r w:rsidRPr="00353325" w:rsidR="003B7F13">
        <w:t>gada 6.</w:t>
      </w:r>
      <w:r w:rsidRPr="00353325" w:rsidR="00070740">
        <w:t> </w:t>
      </w:r>
      <w:r w:rsidRPr="00353325" w:rsidR="003B7F13">
        <w:t xml:space="preserve">februāra noteikumu Nr. 96 </w:t>
      </w:r>
      <w:r w:rsidRPr="00353325" w:rsidR="00B224AF">
        <w:t>“</w:t>
      </w:r>
      <w:r w:rsidRPr="00353325" w:rsidR="003B7F13">
        <w:t>Kārtība, kādā izstrādā, saskaņo, apstiprina un aktualizē Latvijas Republikas nacionālās pozīcijas Eiropas Savienības jautājumos” prasībām, nacionālā pozīcija tiek virzīta apstiprināšanai Ministru kabinetā.</w:t>
      </w:r>
      <w:r w:rsidRPr="00353325" w:rsidR="00030A24">
        <w:t xml:space="preserve"> </w:t>
      </w:r>
      <w:r w:rsidRPr="00353325" w:rsidR="00C37347">
        <w:t xml:space="preserve">Pozīcijas projekts, atbilstoši Ministru kabineta 2009. gada 6. februāra instrukcijā Nr. 4 </w:t>
      </w:r>
      <w:r w:rsidRPr="00353325" w:rsidR="00A4776C">
        <w:t>“</w:t>
      </w:r>
      <w:r w:rsidRPr="00353325" w:rsidR="00C37347">
        <w:t xml:space="preserve">Latvijas Republikas nacionālo pozīciju Eiropas Savienības jautājumos un ar tām saistīto instrukciju izstrādes un informācijas aprites kārtība” noteiktajai kārtībai, ir elektroniski saskaņots ar </w:t>
      </w:r>
      <w:r w:rsidRPr="00353325" w:rsidR="00353325">
        <w:t>Ārlietu ministriju, Aizsardzības ministriju, Izglītības un zinātnes ministriju, Viedās administrācijas un reģionālās attīstības ministriju (SIA “Elektroniskie sakari”), Finanšu ministriju, Iekšlietu ministriju, Ekonomikas ministriju, Sabiedrisko pakalpojumu regulēšanas komisiju, Tieslietu ministriju, Valsts kanceleju (t.sk. Krīzes vadības centru).</w:t>
      </w:r>
    </w:p>
    <w:p w:rsidRPr="006D4CE7" w:rsidR="00353325" w:rsidP="00F63216" w:rsidRDefault="00353325" w14:paraId="49F1DF66" w14:textId="4BB179B3">
      <w:pPr>
        <w:ind w:firstLine="720"/>
        <w:jc w:val="both"/>
      </w:pPr>
      <w:r w:rsidRPr="006D4CE7">
        <w:t xml:space="preserve">Eiropas Komisija (turpmāk – Komisija) 2026. gada 21. janvārī publicēja </w:t>
      </w:r>
      <w:r w:rsidR="00F63216">
        <w:t xml:space="preserve">Regulas </w:t>
      </w:r>
      <w:r w:rsidRPr="006D4CE7">
        <w:t>priekšlikumu</w:t>
      </w:r>
      <w:r w:rsidR="00F63216">
        <w:t xml:space="preserve">, kas </w:t>
      </w:r>
      <w:r w:rsidRPr="006D4CE7">
        <w:t xml:space="preserve">paredz modernizēt, vienkāršot un harmonizēt Eiropas Savienības (turpmāk – ES) noteikumus par savienojamības tīkliem, vienlaikus veicinot konkurētspēju, inovācijas un noturību. </w:t>
      </w:r>
      <w:r w:rsidR="00F63216">
        <w:t>Tas</w:t>
      </w:r>
      <w:r w:rsidRPr="006D4CE7">
        <w:t xml:space="preserve"> harmonizē un vienkāršo </w:t>
      </w:r>
      <w:r w:rsidR="00F63216">
        <w:t xml:space="preserve">jau spēkā esošo </w:t>
      </w:r>
      <w:r w:rsidRPr="006D4CE7">
        <w:t>regulējumu, apvienojot vairākus līdzšinējos ES tiesību aktus: Eiropas Elektronisko sakaru kodeksu, Eiropas Elektronisko sakaru regulatoru iestādes</w:t>
      </w:r>
      <w:r w:rsidRPr="006D4CE7" w:rsidDel="004A5060">
        <w:t xml:space="preserve"> </w:t>
      </w:r>
      <w:r w:rsidRPr="006D4CE7">
        <w:t>(BEREC) regulējumu, Radiofrekvenču politikas programm</w:t>
      </w:r>
      <w:r w:rsidR="00F63216">
        <w:t>u</w:t>
      </w:r>
      <w:r w:rsidRPr="006D4CE7">
        <w:t>, Atvērtā interneta regulu un Direktīvu par personas datu apstrādi un privātās dzīves aizsardzību elektronisko sakaru nozarē. Komisija uzskata, ka esošie noteikumi ir jāatjaunina, lai radītu labvēlīgus apstākļus operatoriem investēt modernu optiskās šķiedras un mobilo sakaru tīklu attīstībā</w:t>
      </w:r>
      <w:r>
        <w:t xml:space="preserve">, lai nodrošinātu </w:t>
      </w:r>
      <w:r w:rsidRPr="006D4CE7">
        <w:t xml:space="preserve">iespēju izmantot inovatīvas tehnoloģijas, piemēram, mākslīgo intelektu (MI) un mākoņdatošanu. </w:t>
      </w:r>
    </w:p>
    <w:p w:rsidR="00353325" w:rsidP="00F63216" w:rsidRDefault="00F63216" w14:paraId="7E3B1B4E" w14:textId="04AF2B98">
      <w:pPr>
        <w:ind w:firstLine="720"/>
        <w:jc w:val="both"/>
      </w:pPr>
      <w:r>
        <w:t>N</w:t>
      </w:r>
      <w:r w:rsidRPr="006D4CE7">
        <w:t xml:space="preserve">eraugoties uz jau ieviestajiem pasākumiem </w:t>
      </w:r>
      <w:r>
        <w:t>k</w:t>
      </w:r>
      <w:r w:rsidRPr="006D4CE7" w:rsidR="00353325">
        <w:t>iberdrošības un noturības jomā, elektronisko sakaru sektorā joprojām saglabājas būtiski riski</w:t>
      </w:r>
      <w:r>
        <w:t xml:space="preserve">, kas </w:t>
      </w:r>
      <w:r w:rsidRPr="006D4CE7" w:rsidR="00353325">
        <w:t xml:space="preserve">attiecas uz 4G/5G mobilajiem tīkliem, fiksēto infrastruktūru, jūras kabeļiem, mākoņpakalpojumiem un kritiskajām nozarēm. </w:t>
      </w:r>
      <w:r>
        <w:t>Tajā pašā laikā dotajā momentā</w:t>
      </w:r>
      <w:r w:rsidR="00353325">
        <w:t xml:space="preserve"> </w:t>
      </w:r>
      <w:r w:rsidRPr="006D4CE7" w:rsidR="00353325">
        <w:t>nepastāv sektora specifiska operacionāla iestāde un centralizēta ES pārraudzības sistēma, kas nodrošinātu sagatavotību, agrīnu brīdināšanu un noturības kartēšanu, kas savukārt uzsver nepieciešamību pēc šādas struktūras izveides.</w:t>
      </w:r>
    </w:p>
    <w:p w:rsidRPr="006D4CE7" w:rsidR="00353325" w:rsidP="00F63216" w:rsidRDefault="00F63216" w14:paraId="5FCD0E49" w14:textId="7514FC95">
      <w:pPr>
        <w:spacing w:after="120"/>
        <w:ind w:firstLine="720"/>
        <w:jc w:val="both"/>
      </w:pPr>
      <w:r>
        <w:t>Regulas p</w:t>
      </w:r>
      <w:r w:rsidRPr="006D4CE7" w:rsidR="00353325">
        <w:t xml:space="preserve">riekšlikums ir cieši saskaņots ar ES drošības stratēģiju un Eiropas gatavības savienības stratēģiju. Tas stiprina elektronisko sakaru tīklu un pakalpojumu noturību, dublēšanu un kapacitāti, lai nodrošinātu uzticamu sakaru pārraidi dabas vai cilvēka radītu traucējumu, krīžu vai </w:t>
      </w:r>
      <w:r w:rsidRPr="006D4CE7" w:rsidR="00353325">
        <w:rPr>
          <w:i/>
          <w:iCs/>
        </w:rPr>
        <w:t>force majeure</w:t>
      </w:r>
      <w:r w:rsidRPr="006D4CE7" w:rsidR="00353325">
        <w:t xml:space="preserve"> situāciju laikā. Īpaša uzmanība tiek pievērsta tīklu un pakalpojumu spējai nodrošināt nepārtrauktu ārkārtas sakaru darbību, kā arī publisko brīdinājumu sistēmu efektīvu funkcionēšanu.</w:t>
      </w:r>
      <w:r>
        <w:t xml:space="preserve"> Papildus </w:t>
      </w:r>
      <w:r w:rsidRPr="006D4CE7" w:rsidR="00353325">
        <w:t>Regulas priekšlikums paredz vairākus uzraudzības un ziņošanas mehānismus:</w:t>
      </w:r>
    </w:p>
    <w:p w:rsidRPr="006D4CE7" w:rsidR="00353325" w:rsidP="00353325" w:rsidRDefault="00353325" w14:paraId="58A9EB12" w14:textId="77777777">
      <w:pPr>
        <w:numPr>
          <w:ilvl w:val="0"/>
          <w:numId w:val="10"/>
        </w:numPr>
        <w:suppressAutoHyphens/>
        <w:spacing w:after="120"/>
        <w:jc w:val="both"/>
      </w:pPr>
      <w:r w:rsidRPr="006D4CE7">
        <w:t>Komisija pārraudzīs regulas īstenošanu un ik pēc pieciem gadiem iesniegs Eiropas Parlamentam un Padomei ziņojumu par tās ietekmi uz tirgu un konkurenci.</w:t>
      </w:r>
    </w:p>
    <w:p w:rsidRPr="006D4CE7" w:rsidR="00353325" w:rsidP="00353325" w:rsidRDefault="00353325" w14:paraId="09AC089B" w14:textId="259A1030">
      <w:pPr>
        <w:numPr>
          <w:ilvl w:val="0"/>
          <w:numId w:val="10"/>
        </w:numPr>
        <w:suppressAutoHyphens/>
        <w:spacing w:after="120"/>
        <w:jc w:val="both"/>
      </w:pPr>
      <w:r w:rsidRPr="006D4CE7">
        <w:t>Tiks izveidots Digitālo tīklu birojs (</w:t>
      </w:r>
      <w:r w:rsidRPr="006D4CE7">
        <w:rPr>
          <w:i/>
          <w:iCs/>
        </w:rPr>
        <w:t>Office for Digital Networks</w:t>
      </w:r>
      <w:r>
        <w:rPr>
          <w:i/>
          <w:iCs/>
        </w:rPr>
        <w:t xml:space="preserve"> </w:t>
      </w:r>
      <w:r>
        <w:t>jeb</w:t>
      </w:r>
      <w:r w:rsidRPr="006D4CE7">
        <w:t xml:space="preserve"> ODN), kas sagatavos ikgadējus pārskatus par vienotā tirgus attīstību, izmantojot BEREC un R</w:t>
      </w:r>
      <w:r>
        <w:t>adiofrekvenču</w:t>
      </w:r>
      <w:r w:rsidRPr="006D4CE7">
        <w:t xml:space="preserve"> spektra politikas iestādes (</w:t>
      </w:r>
      <w:r w:rsidRPr="006D4CE7">
        <w:rPr>
          <w:i/>
          <w:iCs/>
        </w:rPr>
        <w:t>Radio Spectrum Policy Body</w:t>
      </w:r>
      <w:r>
        <w:t xml:space="preserve"> jeb</w:t>
      </w:r>
      <w:r w:rsidRPr="006D4CE7">
        <w:t xml:space="preserve"> RSPB) datus.</w:t>
      </w:r>
    </w:p>
    <w:p w:rsidRPr="006D4CE7" w:rsidR="00353325" w:rsidP="00F63216" w:rsidRDefault="00353325" w14:paraId="577F4A69" w14:textId="2834010F">
      <w:pPr>
        <w:ind w:firstLine="360"/>
        <w:jc w:val="both"/>
      </w:pPr>
      <w:r w:rsidRPr="00F63216">
        <w:t xml:space="preserve">Priekšlikuma izvēlētais juridiskais instruments ir regula, jo tā nodrošina tieši piemērojamas tiesības un pienākumus visā ES, kā arī ļauj nodrošināt ātrāku koordināciju satelītsakaru un </w:t>
      </w:r>
      <w:r w:rsidR="00F63216">
        <w:lastRenderedPageBreak/>
        <w:t>radiofrekvenču</w:t>
      </w:r>
      <w:r w:rsidRPr="00F63216">
        <w:t xml:space="preserve"> spektra piešķiršanā, kā arī saskaņotu rīcību krīžu un drošības apdraudējumu gadījumos. Esošais direktīvu regulējums ir pārāk fragmentēts, kavē investīcijas un pāreju uz 5G un optiskās šķiedras tīkliem, kā arī apgrūtina visas ES mēroga pakalpojumu attīstību. Plānots, ka Regula stājas spēkā 2028. gada februārī.</w:t>
      </w:r>
    </w:p>
    <w:p w:rsidRPr="00F63216" w:rsidR="00F63216" w:rsidP="00F63216" w:rsidRDefault="00353325" w14:paraId="7F11FE29" w14:textId="4E0FB45B">
      <w:pPr>
        <w:ind w:firstLine="360"/>
        <w:jc w:val="both"/>
        <w:rPr>
          <w:rFonts w:eastAsiaTheme="minorHAnsi"/>
          <w:lang w:eastAsia="en-US"/>
        </w:rPr>
      </w:pPr>
      <w:r w:rsidRPr="00F63216">
        <w:t xml:space="preserve">Latvija </w:t>
      </w:r>
      <w:r w:rsidRPr="00F63216">
        <w:rPr>
          <w:b/>
          <w:bCs/>
        </w:rPr>
        <w:t>kopumā atbalsta</w:t>
      </w:r>
      <w:r w:rsidRPr="00F63216">
        <w:t xml:space="preserve"> Regulas priekšlikuma </w:t>
      </w:r>
      <w:r w:rsidRPr="00F63216">
        <w:rPr>
          <w:rFonts w:eastAsiaTheme="minorHAnsi"/>
          <w:lang w:eastAsia="en-US"/>
        </w:rPr>
        <w:t xml:space="preserve">mērķus, īpaši savienojamības uzlabošanu, pārrobežu satelītsakaru pakalpojumu sistēmu attīstību un vienotā digitālā tirgus stiprināšanu. Vienlaikus Latvija pauž </w:t>
      </w:r>
      <w:r w:rsidRPr="00F63216">
        <w:rPr>
          <w:rFonts w:eastAsiaTheme="minorHAnsi"/>
          <w:b/>
          <w:bCs/>
          <w:lang w:eastAsia="en-US"/>
        </w:rPr>
        <w:t>rezervētu attieksmi</w:t>
      </w:r>
      <w:r w:rsidRPr="00F63216">
        <w:rPr>
          <w:rFonts w:eastAsiaTheme="minorHAnsi"/>
          <w:lang w:eastAsia="en-US"/>
        </w:rPr>
        <w:t xml:space="preserve"> pret pārmērīgu centralizāciju, īpaši tajās jomās, kur nepieciešama ātra, elastīga un uz vietējo situāciju balstīta rīcība. Ir būtiski nodrošināt, lai jaunais regulējums nesamazinātu nacionālo iestāžu spēju efektīvi rīkoties, tostarp krīzes situācijās vai specifiskos ģeogrāfiskos apstākļos</w:t>
      </w:r>
      <w:r w:rsidR="00F63216">
        <w:rPr>
          <w:rFonts w:eastAsiaTheme="minorHAnsi"/>
          <w:lang w:eastAsia="en-US"/>
        </w:rPr>
        <w:t xml:space="preserve">, t.sk. pierobežas teritorijās, tāpēc </w:t>
      </w:r>
      <w:r w:rsidRPr="00F63216" w:rsidR="00F63216">
        <w:t xml:space="preserve">Latvija uzsver nepieciešamību </w:t>
      </w:r>
      <w:r w:rsidRPr="00F63216" w:rsidR="00F63216">
        <w:rPr>
          <w:b/>
          <w:bCs/>
        </w:rPr>
        <w:t>saglabāt dalībvalstu tiesības piemērot stingrākus drošības un noturības pasākumus</w:t>
      </w:r>
      <w:r w:rsidRPr="00F63216" w:rsidR="00F63216">
        <w:t xml:space="preserve">. </w:t>
      </w:r>
    </w:p>
    <w:p w:rsidRPr="00F63216" w:rsidR="00353325" w:rsidP="00F63216" w:rsidRDefault="00353325" w14:paraId="2C79CB77" w14:textId="3D8FEAA3">
      <w:pPr>
        <w:ind w:firstLine="360"/>
        <w:jc w:val="both"/>
      </w:pPr>
      <w:r w:rsidRPr="00F63216">
        <w:t xml:space="preserve">Latvija </w:t>
      </w:r>
      <w:r w:rsidRPr="00F63216">
        <w:rPr>
          <w:b/>
          <w:bCs/>
        </w:rPr>
        <w:t>uzsver</w:t>
      </w:r>
      <w:r w:rsidRPr="00F63216">
        <w:t xml:space="preserve"> nepieciešamību nodrošināt regulatīvo noteiktību un samērīgumu, vienlaikus saglabājot dalībvalstu autonomiju tirgus analīzē un </w:t>
      </w:r>
      <w:r w:rsidRPr="00F63216" w:rsidR="00F63216">
        <w:t>radiofrekvenču</w:t>
      </w:r>
      <w:r w:rsidRPr="00F63216">
        <w:t xml:space="preserve"> spektra pārvaldībā. Latvija uzskata, ka </w:t>
      </w:r>
      <w:r w:rsidRPr="00F63216">
        <w:rPr>
          <w:b/>
          <w:bCs/>
        </w:rPr>
        <w:t>būtiskākajiem regulējuma elementiem jābūt noteiktiem pašā regulā</w:t>
      </w:r>
      <w:r w:rsidRPr="00F63216">
        <w:t xml:space="preserve">, ierobežojot pārmērīgu deleģēto un īstenošanas aktu izmantošanu. Latvija uzskata, ka regulas pamattekstā jānosaka būtiskie noteikumi, kurus deleģētajos vai īstenošanas aktos Komisija varētu paplašināt vai precizēt.  </w:t>
      </w:r>
    </w:p>
    <w:p w:rsidR="00353325" w:rsidP="00F63216" w:rsidRDefault="00353325" w14:paraId="577F4DB3" w14:textId="0843B34D">
      <w:pPr>
        <w:ind w:firstLine="360"/>
        <w:jc w:val="both"/>
      </w:pPr>
      <w:r w:rsidRPr="00F63216">
        <w:t xml:space="preserve">Latvijai ir </w:t>
      </w:r>
      <w:r w:rsidRPr="00F63216">
        <w:rPr>
          <w:b/>
          <w:bCs/>
        </w:rPr>
        <w:t>būtiski nodrošināt līdzsvaru starp operatoru investīciju iespējām un sabiedrības interesēm</w:t>
      </w:r>
      <w:r w:rsidRPr="00F63216">
        <w:t xml:space="preserve">, ņemot vērā, ka ilgtspējīga elektronisko sakaru tīklu attīstība prasa stabilu un prognozējamu ieņēmumu plūsmu. Pieaugot izmaksām visā nozarē, pakalpojumu cenām jāattīstās samērīgi, lai saglabātu pieejamību iedzīvotājiem, īpaši valstīs ar zemāku pirktspēju. Konkurences saglabāšana tirgū ir būtisks priekšnoteikums inovācijai, investīcijām un cenu pieejamībai. </w:t>
      </w:r>
    </w:p>
    <w:p w:rsidR="00F63216" w:rsidP="00F63216" w:rsidRDefault="00F63216" w14:paraId="59730635" w14:textId="0310592C">
      <w:pPr>
        <w:ind w:firstLine="360"/>
        <w:jc w:val="both"/>
        <w:rPr>
          <w:rFonts w:eastAsiaTheme="minorHAnsi"/>
        </w:rPr>
      </w:pPr>
      <w:r w:rsidRPr="00F63216">
        <w:t xml:space="preserve">Latvijā ēkas iekšējai instalācijai plaši tiek izmantoti Ethernet kabeļi, Cat5, </w:t>
      </w:r>
      <w:r w:rsidR="008B6C1C">
        <w:t xml:space="preserve">Cat5e, </w:t>
      </w:r>
      <w:r w:rsidRPr="00F63216">
        <w:t xml:space="preserve">Cat6, Cat6a, Cat7, Cat8 un citi risinājumi, kas spēj nodrošināt ātrumu vismaz 1 Gb/s, atsevišķi kabeļu veidi pat 40 Gb/s, tādējādi nodrošinot ES Lēmuma 2022/2481 “Digitālā desmitgade 2030” mērķu sasniegšanu. </w:t>
      </w:r>
      <w:r w:rsidRPr="00446587">
        <w:t>Latvija aicina paredzēt izņēmumu šīs infrastruktūras saglabāšanai vai neattiecināt to uz iekšējās instalācijas vara tīklu atslēgšanu</w:t>
      </w:r>
      <w:r w:rsidRPr="00446587" w:rsidR="008B6C1C">
        <w:rPr>
          <w:rFonts w:eastAsiaTheme="minorHAnsi"/>
        </w:rPr>
        <w:t>, jo Regulas priekšlikumā ietvertais pamatojums par ilgtspējas</w:t>
      </w:r>
      <w:r w:rsidRPr="00446587" w:rsidR="00446587">
        <w:rPr>
          <w:rFonts w:eastAsiaTheme="minorHAnsi"/>
        </w:rPr>
        <w:t xml:space="preserve">, </w:t>
      </w:r>
      <w:r w:rsidRPr="00446587" w:rsidR="00446587">
        <w:rPr>
          <w:rFonts w:eastAsiaTheme="minorHAnsi"/>
        </w:rPr>
        <w:t>vides, sociāl</w:t>
      </w:r>
      <w:r w:rsidRPr="00446587" w:rsidR="00446587">
        <w:rPr>
          <w:rFonts w:eastAsiaTheme="minorHAnsi"/>
        </w:rPr>
        <w:t>ajiem un</w:t>
      </w:r>
      <w:r w:rsidRPr="00446587" w:rsidR="00446587">
        <w:rPr>
          <w:rFonts w:eastAsiaTheme="minorHAnsi"/>
        </w:rPr>
        <w:t xml:space="preserve"> pārvaldības </w:t>
      </w:r>
      <w:r w:rsidRPr="00446587" w:rsidR="008B6C1C">
        <w:rPr>
          <w:rFonts w:eastAsiaTheme="minorHAnsi"/>
        </w:rPr>
        <w:t>apsvērumiem nav pietiekami izvērtēts un nerada pārliecību, ka vara kabeļu aizstāšana iekštelpās faktiski samazinātu elektroenerģijas patēriņu vai vides nospiedumu, balstoties uz dzīves cikla vai faktiskā patēriņa analīzi.</w:t>
      </w:r>
      <w:r w:rsidR="00446587">
        <w:rPr>
          <w:rFonts w:eastAsiaTheme="minorHAnsi"/>
        </w:rPr>
        <w:t xml:space="preserve"> Vienlaikus </w:t>
      </w:r>
      <w:r w:rsidRPr="00FA3581" w:rsidR="00446587">
        <w:rPr>
          <w:rFonts w:eastAsiaTheme="minorHAnsi"/>
        </w:rPr>
        <w:t>Latvija uzskata, ka dalībvalstīm jābūt iespējai mazapdzīvotās teritorijās pieļaut ierobežotu pāreju uz optisko infrastruktūru</w:t>
      </w:r>
      <w:r w:rsidR="00446587">
        <w:rPr>
          <w:rFonts w:eastAsiaTheme="minorHAnsi"/>
        </w:rPr>
        <w:t xml:space="preserve">, </w:t>
      </w:r>
      <w:r w:rsidRPr="00FA3581" w:rsidR="00446587">
        <w:rPr>
          <w:rFonts w:eastAsiaTheme="minorHAnsi"/>
        </w:rPr>
        <w:t>ievērojot samērīguma un izmaksu efektivitātes principus, īpaši gadījumos, kad pēdējā posma izbūve prasa nesamērīgus ieguldījumus, infrastruktūra nesen izbūvēta vai pastāv īpašnieku pretestība</w:t>
      </w:r>
      <w:r w:rsidR="00446587">
        <w:rPr>
          <w:rFonts w:eastAsiaTheme="minorHAnsi"/>
        </w:rPr>
        <w:t>.</w:t>
      </w:r>
    </w:p>
    <w:p w:rsidR="00F63216" w:rsidP="00F63216" w:rsidRDefault="00F63216" w14:paraId="0DBAD8B2" w14:textId="2BE6FD4B">
      <w:pPr>
        <w:ind w:firstLine="360"/>
        <w:jc w:val="both"/>
      </w:pPr>
      <w:r w:rsidRPr="00F63216">
        <w:t xml:space="preserve">Latvija uzsver, ka individuālās </w:t>
      </w:r>
      <w:r>
        <w:t>radiofrekvenču</w:t>
      </w:r>
      <w:r w:rsidRPr="00F63216">
        <w:t xml:space="preserve"> spektra lietošanas tiesības, kas piešķirtas uz neierobežotu laiku, būtu </w:t>
      </w:r>
      <w:r w:rsidRPr="00F63216">
        <w:rPr>
          <w:b/>
          <w:bCs/>
        </w:rPr>
        <w:t>jāpārskata agrāk nekā Regulas priekšlikumā noteiktais 20 gadu termiņš</w:t>
      </w:r>
      <w:r w:rsidRPr="00F63216">
        <w:t xml:space="preserve">, nodrošinot arī regulāru spektra lietošanas uzraudzību. Vienlaikus Latvija uzskata, ka nacionālajam regulatoram jābūt iespējai nepieciešamības gadījumā </w:t>
      </w:r>
      <w:r w:rsidRPr="00F63216">
        <w:rPr>
          <w:b/>
          <w:bCs/>
        </w:rPr>
        <w:t>atsaukt</w:t>
      </w:r>
      <w:r w:rsidRPr="00F63216">
        <w:t xml:space="preserve"> šīs tiesības, paredzot </w:t>
      </w:r>
      <w:r w:rsidRPr="00F63216">
        <w:rPr>
          <w:b/>
          <w:bCs/>
        </w:rPr>
        <w:t>divu gadu, nevis Regulas piedāvāto piecu gadu, iepriekšēju paziņošanas termiņu</w:t>
      </w:r>
      <w:r w:rsidRPr="00F63216">
        <w:t>. Piemēram, gadījumos, kad inovatīvu spektra lietojumu ieviešanai vai spektra efektīvākai izmantošanai ir nepieciešamas konkrētas spektra joslas, kuras var nodrošināt, pārkārtojot vai atsaucot esošās lietošanas tiesības, divu gadu termiņš ar iespēju veikt grozījumus nodrošina elastīgāku risinājumu inovāciju ieviešanai un spektra izmantošanas efektivitātes paaugstināšanai.</w:t>
      </w:r>
    </w:p>
    <w:p w:rsidRPr="00353325" w:rsidR="002E7C77" w:rsidP="003961C5" w:rsidRDefault="002E7C77" w14:paraId="7DC6D6EC" w14:textId="77777777">
      <w:pPr>
        <w:ind w:firstLine="720"/>
        <w:jc w:val="both"/>
        <w:rPr>
          <w:color w:val="EE0000"/>
        </w:rPr>
      </w:pPr>
    </w:p>
    <w:p w:rsidR="002A27D9" w:rsidP="2B3E1191" w:rsidRDefault="002A27D9" w14:paraId="3D691D8C" w14:textId="053F675E">
      <w:pPr>
        <w:ind w:left="720"/>
      </w:pPr>
      <w:r w:rsidRPr="2B3E1191">
        <w:t>Satiksmes ministrs</w:t>
      </w:r>
      <w:r>
        <w:tab/>
      </w:r>
      <w:r>
        <w:tab/>
      </w:r>
      <w:r>
        <w:tab/>
      </w:r>
      <w:r>
        <w:tab/>
      </w:r>
      <w:r>
        <w:tab/>
      </w:r>
      <w:r>
        <w:tab/>
      </w:r>
      <w:r>
        <w:tab/>
      </w:r>
      <w:r w:rsidR="005B4A69">
        <w:t>A. Švinka</w:t>
      </w:r>
      <w:r w:rsidRPr="2B3E1191">
        <w:t xml:space="preserve"> </w:t>
      </w:r>
    </w:p>
    <w:p w:rsidR="000630CA" w:rsidP="2B3E1191" w:rsidRDefault="000630CA" w14:paraId="1BB4ADD9" w14:textId="77777777"/>
    <w:p w:rsidR="007162BE" w:rsidP="007162BE" w:rsidRDefault="007162BE" w14:paraId="1B2D04CE" w14:textId="77777777">
      <w:pPr>
        <w:ind w:firstLine="720"/>
      </w:pPr>
      <w:r>
        <w:t>Vizē:</w:t>
      </w:r>
    </w:p>
    <w:p w:rsidR="003F634E" w:rsidP="00650B65" w:rsidRDefault="007162BE" w14:paraId="1ED871D6" w14:textId="28AF6307">
      <w:r>
        <w:tab/>
        <w:t>Valsts sekretār</w:t>
      </w:r>
      <w:r w:rsidR="005B4A69">
        <w:t>s</w:t>
      </w:r>
      <w:r w:rsidR="00371A98">
        <w:tab/>
      </w:r>
      <w:r w:rsidR="00371A98">
        <w:tab/>
      </w:r>
      <w:r>
        <w:tab/>
      </w:r>
      <w:r>
        <w:tab/>
      </w:r>
      <w:r>
        <w:tab/>
      </w:r>
      <w:r>
        <w:tab/>
      </w:r>
      <w:r>
        <w:tab/>
      </w:r>
      <w:r w:rsidR="005B4A69">
        <w:t>A. Židkovs</w:t>
      </w:r>
    </w:p>
    <w:p w:rsidR="003F634E" w:rsidP="2B3E1191" w:rsidRDefault="003F634E" w14:paraId="74BA8012" w14:textId="77777777">
      <w:pPr>
        <w:ind w:firstLine="720"/>
      </w:pPr>
    </w:p>
    <w:p w:rsidRPr="00B81753" w:rsidR="00000F43" w:rsidP="2B3E1191" w:rsidRDefault="00000F43" w14:paraId="4695A0AD" w14:textId="6B594CBB">
      <w:pPr>
        <w:ind w:firstLine="720"/>
        <w:rPr>
          <w:sz w:val="16"/>
          <w:szCs w:val="16"/>
        </w:rPr>
      </w:pPr>
      <w:r w:rsidRPr="00B81753">
        <w:rPr>
          <w:sz w:val="16"/>
          <w:szCs w:val="16"/>
        </w:rPr>
        <w:t xml:space="preserve">Evita </w:t>
      </w:r>
      <w:r w:rsidR="00353325">
        <w:rPr>
          <w:sz w:val="16"/>
          <w:szCs w:val="16"/>
        </w:rPr>
        <w:t>Vaska</w:t>
      </w:r>
    </w:p>
    <w:p w:rsidRPr="00B81753" w:rsidR="00000F43" w:rsidP="00371A98" w:rsidRDefault="00000F43" w14:paraId="4ADA16C7" w14:textId="4F622481">
      <w:pPr>
        <w:tabs>
          <w:tab w:val="right" w:pos="9638"/>
        </w:tabs>
        <w:ind w:left="720"/>
        <w:rPr>
          <w:sz w:val="16"/>
          <w:szCs w:val="16"/>
        </w:rPr>
      </w:pPr>
      <w:r w:rsidRPr="69580E77">
        <w:rPr>
          <w:sz w:val="16"/>
          <w:szCs w:val="16"/>
        </w:rPr>
        <w:t>Tel. 67028190</w:t>
      </w:r>
      <w:r>
        <w:br/>
      </w:r>
      <w:r w:rsidRPr="69580E77">
        <w:rPr>
          <w:sz w:val="16"/>
          <w:szCs w:val="16"/>
        </w:rPr>
        <w:t>Evita.</w:t>
      </w:r>
      <w:r w:rsidR="00353325">
        <w:rPr>
          <w:sz w:val="16"/>
          <w:szCs w:val="16"/>
        </w:rPr>
        <w:t>vaska</w:t>
      </w:r>
      <w:r w:rsidRPr="69580E77">
        <w:rPr>
          <w:sz w:val="16"/>
          <w:szCs w:val="16"/>
        </w:rPr>
        <w:t xml:space="preserve">@sam.gov.lv </w:t>
      </w:r>
      <w:r>
        <w:tab/>
      </w:r>
    </w:p>
    <w:sectPr w:rsidRPr="00B81753" w:rsidR="00000F43" w:rsidSect="00F30E36">
      <w:headerReference r:id="rId8" w:type="default"/>
      <w:footerReference r:id="rId9" w:type="even"/>
      <w:footerReference r:id="rId10" w:type="default"/>
      <w:footerReference r:id="rId11" w:type="first"/>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C70BB" w14:textId="77777777" w:rsidR="006A2E59" w:rsidRDefault="006A2E59" w:rsidP="002A27D9">
      <w:r>
        <w:separator/>
      </w:r>
    </w:p>
  </w:endnote>
  <w:endnote w:type="continuationSeparator" w:id="0">
    <w:p w14:paraId="1A50FEC7" w14:textId="77777777" w:rsidR="006A2E59" w:rsidRDefault="006A2E59"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C74A" w14:textId="41E228CD" w:rsidR="00E121F2"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E121F2" w:rsidRDefault="00E121F2"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3436"/>
      <w:docPartObj>
        <w:docPartGallery w:val="Page Numbers (Bottom of Page)"/>
        <w:docPartUnique/>
      </w:docPartObj>
    </w:sdtPr>
    <w:sdtEndPr>
      <w:rPr>
        <w:noProof/>
      </w:rPr>
    </w:sdtEndPr>
    <w:sdtContent>
      <w:p w14:paraId="69368D7E" w14:textId="717DC4EC" w:rsidR="16C9959D" w:rsidRDefault="16C9959D" w:rsidP="16C9959D">
        <w:pPr>
          <w:pStyle w:val="Footer"/>
          <w:jc w:val="center"/>
        </w:pPr>
      </w:p>
      <w:p w14:paraId="309994E5" w14:textId="0EFFC192" w:rsidR="006916A6" w:rsidRDefault="006916A6" w:rsidP="0F62AD5F">
        <w:pPr>
          <w:pStyle w:val="Footer"/>
          <w:jc w:val="right"/>
          <w:rPr>
            <w:noProof/>
          </w:rPr>
        </w:pPr>
        <w:r w:rsidRPr="0F62AD5F">
          <w:rPr>
            <w:noProof/>
          </w:rPr>
          <w:fldChar w:fldCharType="begin"/>
        </w:r>
        <w:r>
          <w:instrText xml:space="preserve"> PAGE   \* MERGEFORMAT </w:instrText>
        </w:r>
        <w:r w:rsidRPr="0F62AD5F">
          <w:fldChar w:fldCharType="separate"/>
        </w:r>
        <w:r w:rsidR="0F62AD5F" w:rsidRPr="0F62AD5F">
          <w:rPr>
            <w:noProof/>
          </w:rPr>
          <w:t>2</w:t>
        </w:r>
        <w:r w:rsidRPr="0F62AD5F">
          <w:rPr>
            <w:noProof/>
          </w:rPr>
          <w:fldChar w:fldCharType="end"/>
        </w:r>
        <w:r w:rsidR="0F62AD5F" w:rsidRPr="0F62AD5F">
          <w:rPr>
            <w:noProof/>
          </w:rPr>
          <w:t>-</w:t>
        </w:r>
        <w:r w:rsidR="002164E8">
          <w:rPr>
            <w:noProof/>
          </w:rPr>
          <w:t>2</w:t>
        </w:r>
      </w:p>
    </w:sdtContent>
  </w:sdt>
  <w:p w14:paraId="48C510D4" w14:textId="6DC88278" w:rsidR="006916A6" w:rsidRDefault="006916A6">
    <w:pPr>
      <w:pStyle w:val="Footer"/>
    </w:pPr>
    <w:r w:rsidRPr="00E40025">
      <w:t>SAMzino_</w:t>
    </w:r>
    <w:r w:rsidR="00353325">
      <w:t>180526_DNA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9F74" w14:textId="77777777" w:rsidR="00C71B77" w:rsidRDefault="00C71B77" w:rsidP="00B00CBB">
    <w:pPr>
      <w:pStyle w:val="Footer"/>
      <w:jc w:val="right"/>
    </w:pPr>
  </w:p>
  <w:p w14:paraId="1611DC30" w14:textId="1AEAAA25" w:rsidR="00B00CBB" w:rsidRDefault="00B00CBB" w:rsidP="00B00CBB">
    <w:pPr>
      <w:pStyle w:val="Footer"/>
      <w:jc w:val="right"/>
    </w:pPr>
    <w:r>
      <w:t>1-</w:t>
    </w:r>
    <w:r w:rsidR="00C502FE">
      <w:t>2</w:t>
    </w:r>
  </w:p>
  <w:p w14:paraId="0CA846E0" w14:textId="77C84304" w:rsidR="00B00CBB" w:rsidRDefault="00E40025" w:rsidP="00E40025">
    <w:pPr>
      <w:pStyle w:val="Footer"/>
    </w:pPr>
    <w:r w:rsidRPr="00E40025">
      <w:t>SAMzino_</w:t>
    </w:r>
    <w:r w:rsidR="00C502FE">
      <w:t>2108</w:t>
    </w:r>
    <w:r w:rsidRPr="00E40025">
      <w:t>23_</w:t>
    </w:r>
    <w:r w:rsidR="00C502FE">
      <w:t>EMSA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F24E9" w14:textId="77777777" w:rsidR="006A2E59" w:rsidRDefault="006A2E59" w:rsidP="002A27D9">
      <w:r>
        <w:separator/>
      </w:r>
    </w:p>
  </w:footnote>
  <w:footnote w:type="continuationSeparator" w:id="0">
    <w:p w14:paraId="7D3B0C4B" w14:textId="77777777" w:rsidR="006A2E59" w:rsidRDefault="006A2E59" w:rsidP="002A2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F62AD5F" w14:paraId="1E47A758" w14:textId="77777777" w:rsidTr="0F62AD5F">
      <w:trPr>
        <w:trHeight w:val="300"/>
      </w:trPr>
      <w:tc>
        <w:tcPr>
          <w:tcW w:w="3210" w:type="dxa"/>
        </w:tcPr>
        <w:p w14:paraId="46165B72" w14:textId="351FA9DB" w:rsidR="0F62AD5F" w:rsidRDefault="0F62AD5F" w:rsidP="0F62AD5F">
          <w:pPr>
            <w:pStyle w:val="Header"/>
            <w:ind w:left="-115"/>
          </w:pPr>
        </w:p>
      </w:tc>
      <w:tc>
        <w:tcPr>
          <w:tcW w:w="3210" w:type="dxa"/>
        </w:tcPr>
        <w:p w14:paraId="0FAE72A7" w14:textId="7E615630" w:rsidR="0F62AD5F" w:rsidRDefault="0F62AD5F" w:rsidP="0F62AD5F">
          <w:pPr>
            <w:pStyle w:val="Header"/>
            <w:jc w:val="center"/>
          </w:pPr>
        </w:p>
      </w:tc>
      <w:tc>
        <w:tcPr>
          <w:tcW w:w="3210" w:type="dxa"/>
        </w:tcPr>
        <w:p w14:paraId="722AC942" w14:textId="537E2418" w:rsidR="0F62AD5F" w:rsidRDefault="0F62AD5F" w:rsidP="0F62AD5F">
          <w:pPr>
            <w:pStyle w:val="Header"/>
            <w:ind w:right="-115"/>
            <w:jc w:val="right"/>
          </w:pPr>
        </w:p>
      </w:tc>
    </w:tr>
  </w:tbl>
  <w:p w14:paraId="40744AFD" w14:textId="2921807F" w:rsidR="16C9959D" w:rsidRDefault="16C9959D" w:rsidP="001356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0B6"/>
    <w:multiLevelType w:val="hybridMultilevel"/>
    <w:tmpl w:val="084A6E62"/>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A85729"/>
    <w:multiLevelType w:val="hybridMultilevel"/>
    <w:tmpl w:val="28662016"/>
    <w:lvl w:ilvl="0" w:tplc="0426000F">
      <w:start w:val="1"/>
      <w:numFmt w:val="decimal"/>
      <w:lvlText w:val="%1."/>
      <w:lvlJc w:val="left"/>
      <w:pPr>
        <w:ind w:left="150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3" w15:restartNumberingAfterBreak="0">
    <w:nsid w:val="295A1C70"/>
    <w:multiLevelType w:val="hybridMultilevel"/>
    <w:tmpl w:val="4B3809B0"/>
    <w:lvl w:ilvl="0" w:tplc="04260013">
      <w:start w:val="1"/>
      <w:numFmt w:val="upperRoman"/>
      <w:lvlText w:val="%1."/>
      <w:lvlJc w:val="righ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49A04C3B"/>
    <w:multiLevelType w:val="hybridMultilevel"/>
    <w:tmpl w:val="80D29BE6"/>
    <w:lvl w:ilvl="0" w:tplc="04260013">
      <w:start w:val="1"/>
      <w:numFmt w:val="upperRoman"/>
      <w:lvlText w:val="%1."/>
      <w:lvlJc w:val="right"/>
      <w:pPr>
        <w:ind w:left="1440" w:hanging="18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5F260D4A"/>
    <w:multiLevelType w:val="hybridMultilevel"/>
    <w:tmpl w:val="FD5EB66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687D4FA7"/>
    <w:multiLevelType w:val="multilevel"/>
    <w:tmpl w:val="1AF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7313B"/>
    <w:multiLevelType w:val="hybridMultilevel"/>
    <w:tmpl w:val="A72605F0"/>
    <w:lvl w:ilvl="0" w:tplc="0426000F">
      <w:start w:val="1"/>
      <w:numFmt w:val="decimal"/>
      <w:lvlText w:val="%1."/>
      <w:lvlJc w:val="left"/>
      <w:pPr>
        <w:ind w:left="1440" w:hanging="18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9"/>
  </w:num>
  <w:num w:numId="2" w16cid:durableId="121196698">
    <w:abstractNumId w:val="1"/>
  </w:num>
  <w:num w:numId="3" w16cid:durableId="785853288">
    <w:abstractNumId w:val="0"/>
  </w:num>
  <w:num w:numId="4" w16cid:durableId="93088910">
    <w:abstractNumId w:val="5"/>
    <w:lvlOverride w:ilvl="0">
      <w:startOverride w:val="1"/>
    </w:lvlOverride>
  </w:num>
  <w:num w:numId="5" w16cid:durableId="373623194">
    <w:abstractNumId w:val="2"/>
  </w:num>
  <w:num w:numId="6" w16cid:durableId="1000888913">
    <w:abstractNumId w:val="3"/>
  </w:num>
  <w:num w:numId="7" w16cid:durableId="300622772">
    <w:abstractNumId w:val="6"/>
  </w:num>
  <w:num w:numId="8" w16cid:durableId="284820207">
    <w:abstractNumId w:val="4"/>
  </w:num>
  <w:num w:numId="9" w16cid:durableId="1565530822">
    <w:abstractNumId w:val="8"/>
  </w:num>
  <w:num w:numId="10" w16cid:durableId="6228105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3C8"/>
    <w:rsid w:val="00014887"/>
    <w:rsid w:val="00015C08"/>
    <w:rsid w:val="0002742C"/>
    <w:rsid w:val="00030A24"/>
    <w:rsid w:val="00032BC7"/>
    <w:rsid w:val="00055668"/>
    <w:rsid w:val="00062AA8"/>
    <w:rsid w:val="000630CA"/>
    <w:rsid w:val="00070740"/>
    <w:rsid w:val="000719D1"/>
    <w:rsid w:val="00072644"/>
    <w:rsid w:val="00077B81"/>
    <w:rsid w:val="00090631"/>
    <w:rsid w:val="00093FD4"/>
    <w:rsid w:val="000B36C2"/>
    <w:rsid w:val="000C102F"/>
    <w:rsid w:val="000C374C"/>
    <w:rsid w:val="000C58D3"/>
    <w:rsid w:val="000D41F4"/>
    <w:rsid w:val="000D6D8E"/>
    <w:rsid w:val="000E23ED"/>
    <w:rsid w:val="0010296C"/>
    <w:rsid w:val="00105185"/>
    <w:rsid w:val="0013043D"/>
    <w:rsid w:val="001342FC"/>
    <w:rsid w:val="00135589"/>
    <w:rsid w:val="001356C8"/>
    <w:rsid w:val="00136489"/>
    <w:rsid w:val="00136C56"/>
    <w:rsid w:val="001436E1"/>
    <w:rsid w:val="00147988"/>
    <w:rsid w:val="001504D7"/>
    <w:rsid w:val="001601B7"/>
    <w:rsid w:val="00164AD9"/>
    <w:rsid w:val="00170128"/>
    <w:rsid w:val="00170FE4"/>
    <w:rsid w:val="00174AD2"/>
    <w:rsid w:val="00175787"/>
    <w:rsid w:val="00183052"/>
    <w:rsid w:val="001834D5"/>
    <w:rsid w:val="00187C12"/>
    <w:rsid w:val="001A0B4C"/>
    <w:rsid w:val="001A2B9D"/>
    <w:rsid w:val="001B158E"/>
    <w:rsid w:val="001B3982"/>
    <w:rsid w:val="001B595E"/>
    <w:rsid w:val="001B5A08"/>
    <w:rsid w:val="001C78AC"/>
    <w:rsid w:val="001D5A72"/>
    <w:rsid w:val="001D613F"/>
    <w:rsid w:val="001E736D"/>
    <w:rsid w:val="001F0D41"/>
    <w:rsid w:val="001F1FAD"/>
    <w:rsid w:val="001F7AEF"/>
    <w:rsid w:val="002164E8"/>
    <w:rsid w:val="00221B62"/>
    <w:rsid w:val="002248BE"/>
    <w:rsid w:val="00233F8D"/>
    <w:rsid w:val="0023703C"/>
    <w:rsid w:val="00247815"/>
    <w:rsid w:val="002506C2"/>
    <w:rsid w:val="0025629F"/>
    <w:rsid w:val="00262239"/>
    <w:rsid w:val="00274800"/>
    <w:rsid w:val="0028401A"/>
    <w:rsid w:val="00286F3B"/>
    <w:rsid w:val="00292A7B"/>
    <w:rsid w:val="00292AAA"/>
    <w:rsid w:val="002A27D9"/>
    <w:rsid w:val="002A325C"/>
    <w:rsid w:val="002B034A"/>
    <w:rsid w:val="002B0960"/>
    <w:rsid w:val="002B1FE3"/>
    <w:rsid w:val="002B2211"/>
    <w:rsid w:val="002D3FF7"/>
    <w:rsid w:val="002D7226"/>
    <w:rsid w:val="002D72A9"/>
    <w:rsid w:val="002E7C77"/>
    <w:rsid w:val="002F3789"/>
    <w:rsid w:val="00322DE6"/>
    <w:rsid w:val="0032506E"/>
    <w:rsid w:val="00334B24"/>
    <w:rsid w:val="00334CA8"/>
    <w:rsid w:val="00341A84"/>
    <w:rsid w:val="00345F3C"/>
    <w:rsid w:val="0035318A"/>
    <w:rsid w:val="00353325"/>
    <w:rsid w:val="00366D71"/>
    <w:rsid w:val="00371A98"/>
    <w:rsid w:val="00374148"/>
    <w:rsid w:val="00387525"/>
    <w:rsid w:val="003961BD"/>
    <w:rsid w:val="003961C5"/>
    <w:rsid w:val="00396446"/>
    <w:rsid w:val="003A39B2"/>
    <w:rsid w:val="003B7F13"/>
    <w:rsid w:val="003D0D99"/>
    <w:rsid w:val="003D2ABC"/>
    <w:rsid w:val="003D438D"/>
    <w:rsid w:val="003E5FCF"/>
    <w:rsid w:val="003F1AFC"/>
    <w:rsid w:val="003F5614"/>
    <w:rsid w:val="003F634E"/>
    <w:rsid w:val="004037B9"/>
    <w:rsid w:val="004158F3"/>
    <w:rsid w:val="00417821"/>
    <w:rsid w:val="00421468"/>
    <w:rsid w:val="004248D7"/>
    <w:rsid w:val="00437BE4"/>
    <w:rsid w:val="004401C6"/>
    <w:rsid w:val="00446587"/>
    <w:rsid w:val="00471D2E"/>
    <w:rsid w:val="004739FD"/>
    <w:rsid w:val="00477D65"/>
    <w:rsid w:val="0048165C"/>
    <w:rsid w:val="004833C9"/>
    <w:rsid w:val="0049776D"/>
    <w:rsid w:val="004A3116"/>
    <w:rsid w:val="004A47F9"/>
    <w:rsid w:val="004A6D29"/>
    <w:rsid w:val="004B2B2C"/>
    <w:rsid w:val="004C0971"/>
    <w:rsid w:val="004C47C5"/>
    <w:rsid w:val="004C5BB6"/>
    <w:rsid w:val="004C704D"/>
    <w:rsid w:val="004D0957"/>
    <w:rsid w:val="004D26DF"/>
    <w:rsid w:val="004F4656"/>
    <w:rsid w:val="004F7003"/>
    <w:rsid w:val="00501038"/>
    <w:rsid w:val="00502290"/>
    <w:rsid w:val="00507F2F"/>
    <w:rsid w:val="005104D8"/>
    <w:rsid w:val="00510B89"/>
    <w:rsid w:val="00511462"/>
    <w:rsid w:val="00513E2B"/>
    <w:rsid w:val="005168B7"/>
    <w:rsid w:val="005172A9"/>
    <w:rsid w:val="005244E7"/>
    <w:rsid w:val="00525A96"/>
    <w:rsid w:val="00526531"/>
    <w:rsid w:val="00535444"/>
    <w:rsid w:val="0054499E"/>
    <w:rsid w:val="00556FFC"/>
    <w:rsid w:val="00573662"/>
    <w:rsid w:val="005771B5"/>
    <w:rsid w:val="00587257"/>
    <w:rsid w:val="0059038D"/>
    <w:rsid w:val="005906C5"/>
    <w:rsid w:val="00592D43"/>
    <w:rsid w:val="00594F7C"/>
    <w:rsid w:val="005A490E"/>
    <w:rsid w:val="005B1E12"/>
    <w:rsid w:val="005B3CA6"/>
    <w:rsid w:val="005B4A69"/>
    <w:rsid w:val="005B5E6D"/>
    <w:rsid w:val="005C5827"/>
    <w:rsid w:val="005D5BF5"/>
    <w:rsid w:val="005D6A24"/>
    <w:rsid w:val="005E3B41"/>
    <w:rsid w:val="005F03EC"/>
    <w:rsid w:val="005F6D94"/>
    <w:rsid w:val="00601879"/>
    <w:rsid w:val="00620577"/>
    <w:rsid w:val="006205FE"/>
    <w:rsid w:val="006374FD"/>
    <w:rsid w:val="00641B46"/>
    <w:rsid w:val="00650B65"/>
    <w:rsid w:val="0065611A"/>
    <w:rsid w:val="006773A2"/>
    <w:rsid w:val="006916A6"/>
    <w:rsid w:val="006A2E59"/>
    <w:rsid w:val="006A6021"/>
    <w:rsid w:val="006A60A1"/>
    <w:rsid w:val="006B1A03"/>
    <w:rsid w:val="006B4C17"/>
    <w:rsid w:val="006D1B0A"/>
    <w:rsid w:val="006D36BA"/>
    <w:rsid w:val="006D3A84"/>
    <w:rsid w:val="006E447B"/>
    <w:rsid w:val="006F462C"/>
    <w:rsid w:val="006F4F72"/>
    <w:rsid w:val="006F7DBA"/>
    <w:rsid w:val="00710C1B"/>
    <w:rsid w:val="007162BE"/>
    <w:rsid w:val="0072192B"/>
    <w:rsid w:val="007309E8"/>
    <w:rsid w:val="00733DE4"/>
    <w:rsid w:val="00740EB7"/>
    <w:rsid w:val="00743468"/>
    <w:rsid w:val="007500D8"/>
    <w:rsid w:val="00750824"/>
    <w:rsid w:val="00752323"/>
    <w:rsid w:val="00753BBC"/>
    <w:rsid w:val="00760168"/>
    <w:rsid w:val="00765BF1"/>
    <w:rsid w:val="00796F60"/>
    <w:rsid w:val="007A05F5"/>
    <w:rsid w:val="007A2636"/>
    <w:rsid w:val="007A5ECB"/>
    <w:rsid w:val="007C4BB2"/>
    <w:rsid w:val="007C595A"/>
    <w:rsid w:val="007C5D7F"/>
    <w:rsid w:val="007C6CDC"/>
    <w:rsid w:val="007D11C6"/>
    <w:rsid w:val="007D5434"/>
    <w:rsid w:val="007D6738"/>
    <w:rsid w:val="007F212B"/>
    <w:rsid w:val="007F4FE5"/>
    <w:rsid w:val="007F58ED"/>
    <w:rsid w:val="007F685C"/>
    <w:rsid w:val="00804EC5"/>
    <w:rsid w:val="008113C5"/>
    <w:rsid w:val="0081413D"/>
    <w:rsid w:val="008202EA"/>
    <w:rsid w:val="00826B84"/>
    <w:rsid w:val="00835E29"/>
    <w:rsid w:val="0084049C"/>
    <w:rsid w:val="008463AD"/>
    <w:rsid w:val="008612D6"/>
    <w:rsid w:val="00861B81"/>
    <w:rsid w:val="0087061F"/>
    <w:rsid w:val="00870B56"/>
    <w:rsid w:val="00874561"/>
    <w:rsid w:val="0087793F"/>
    <w:rsid w:val="00884C33"/>
    <w:rsid w:val="008A3709"/>
    <w:rsid w:val="008B0099"/>
    <w:rsid w:val="008B1148"/>
    <w:rsid w:val="008B6C1C"/>
    <w:rsid w:val="008B7EDD"/>
    <w:rsid w:val="008D6999"/>
    <w:rsid w:val="008E2857"/>
    <w:rsid w:val="008F1A70"/>
    <w:rsid w:val="008F5CA7"/>
    <w:rsid w:val="008F7912"/>
    <w:rsid w:val="009316D3"/>
    <w:rsid w:val="00934565"/>
    <w:rsid w:val="00967722"/>
    <w:rsid w:val="00967A74"/>
    <w:rsid w:val="009819A1"/>
    <w:rsid w:val="009854C3"/>
    <w:rsid w:val="00993C24"/>
    <w:rsid w:val="009A0646"/>
    <w:rsid w:val="009A313A"/>
    <w:rsid w:val="009A76C0"/>
    <w:rsid w:val="009B039F"/>
    <w:rsid w:val="009B2DA1"/>
    <w:rsid w:val="009C1C8F"/>
    <w:rsid w:val="009C4BC1"/>
    <w:rsid w:val="009D1937"/>
    <w:rsid w:val="009E048D"/>
    <w:rsid w:val="009F00CA"/>
    <w:rsid w:val="00A0190C"/>
    <w:rsid w:val="00A01C4C"/>
    <w:rsid w:val="00A1392C"/>
    <w:rsid w:val="00A13B32"/>
    <w:rsid w:val="00A23590"/>
    <w:rsid w:val="00A34AE6"/>
    <w:rsid w:val="00A425F3"/>
    <w:rsid w:val="00A42CBE"/>
    <w:rsid w:val="00A4776C"/>
    <w:rsid w:val="00A61779"/>
    <w:rsid w:val="00A62D37"/>
    <w:rsid w:val="00A64237"/>
    <w:rsid w:val="00A74483"/>
    <w:rsid w:val="00A8023A"/>
    <w:rsid w:val="00A93A05"/>
    <w:rsid w:val="00AA53EF"/>
    <w:rsid w:val="00AA5FB9"/>
    <w:rsid w:val="00AB3A16"/>
    <w:rsid w:val="00AD04C0"/>
    <w:rsid w:val="00AD53ED"/>
    <w:rsid w:val="00AF495F"/>
    <w:rsid w:val="00B00CBB"/>
    <w:rsid w:val="00B039B2"/>
    <w:rsid w:val="00B05E50"/>
    <w:rsid w:val="00B06093"/>
    <w:rsid w:val="00B15CF6"/>
    <w:rsid w:val="00B208F3"/>
    <w:rsid w:val="00B210AF"/>
    <w:rsid w:val="00B224AF"/>
    <w:rsid w:val="00B23F9C"/>
    <w:rsid w:val="00B26B14"/>
    <w:rsid w:val="00B346C8"/>
    <w:rsid w:val="00B43442"/>
    <w:rsid w:val="00B45A0E"/>
    <w:rsid w:val="00B52C87"/>
    <w:rsid w:val="00B5341E"/>
    <w:rsid w:val="00B55071"/>
    <w:rsid w:val="00B75FB3"/>
    <w:rsid w:val="00B8061F"/>
    <w:rsid w:val="00B81753"/>
    <w:rsid w:val="00B82C2E"/>
    <w:rsid w:val="00B860B3"/>
    <w:rsid w:val="00B86A1E"/>
    <w:rsid w:val="00B86F02"/>
    <w:rsid w:val="00B8788E"/>
    <w:rsid w:val="00BA2CC0"/>
    <w:rsid w:val="00BA3EFC"/>
    <w:rsid w:val="00BA7D72"/>
    <w:rsid w:val="00BB3808"/>
    <w:rsid w:val="00BC13F6"/>
    <w:rsid w:val="00BC209B"/>
    <w:rsid w:val="00BD1A6C"/>
    <w:rsid w:val="00BE1035"/>
    <w:rsid w:val="00BE61B9"/>
    <w:rsid w:val="00BF1AC0"/>
    <w:rsid w:val="00C07752"/>
    <w:rsid w:val="00C15AFC"/>
    <w:rsid w:val="00C2793F"/>
    <w:rsid w:val="00C37347"/>
    <w:rsid w:val="00C432E1"/>
    <w:rsid w:val="00C45116"/>
    <w:rsid w:val="00C46C6E"/>
    <w:rsid w:val="00C502FE"/>
    <w:rsid w:val="00C53952"/>
    <w:rsid w:val="00C611B1"/>
    <w:rsid w:val="00C63961"/>
    <w:rsid w:val="00C63A29"/>
    <w:rsid w:val="00C706FD"/>
    <w:rsid w:val="00C71175"/>
    <w:rsid w:val="00C71B77"/>
    <w:rsid w:val="00C810B6"/>
    <w:rsid w:val="00C81CEB"/>
    <w:rsid w:val="00C83490"/>
    <w:rsid w:val="00C8378E"/>
    <w:rsid w:val="00C8413E"/>
    <w:rsid w:val="00C87082"/>
    <w:rsid w:val="00C90F17"/>
    <w:rsid w:val="00CA3170"/>
    <w:rsid w:val="00CA4732"/>
    <w:rsid w:val="00CB0A65"/>
    <w:rsid w:val="00CB68B4"/>
    <w:rsid w:val="00CE102B"/>
    <w:rsid w:val="00CF180E"/>
    <w:rsid w:val="00CF1CA1"/>
    <w:rsid w:val="00D06E5D"/>
    <w:rsid w:val="00D1700E"/>
    <w:rsid w:val="00D17D46"/>
    <w:rsid w:val="00D22421"/>
    <w:rsid w:val="00D23316"/>
    <w:rsid w:val="00D2357E"/>
    <w:rsid w:val="00D26793"/>
    <w:rsid w:val="00D268E9"/>
    <w:rsid w:val="00D33CBE"/>
    <w:rsid w:val="00D5742D"/>
    <w:rsid w:val="00D6449F"/>
    <w:rsid w:val="00D70BB3"/>
    <w:rsid w:val="00D74646"/>
    <w:rsid w:val="00D74CED"/>
    <w:rsid w:val="00D754FF"/>
    <w:rsid w:val="00D874E5"/>
    <w:rsid w:val="00DB08AC"/>
    <w:rsid w:val="00DB24DA"/>
    <w:rsid w:val="00DC3B65"/>
    <w:rsid w:val="00DC655A"/>
    <w:rsid w:val="00DD77FB"/>
    <w:rsid w:val="00DE1D02"/>
    <w:rsid w:val="00DF1050"/>
    <w:rsid w:val="00E121F2"/>
    <w:rsid w:val="00E14001"/>
    <w:rsid w:val="00E14E75"/>
    <w:rsid w:val="00E22BF6"/>
    <w:rsid w:val="00E27FD6"/>
    <w:rsid w:val="00E32AEC"/>
    <w:rsid w:val="00E32DB4"/>
    <w:rsid w:val="00E35D35"/>
    <w:rsid w:val="00E40025"/>
    <w:rsid w:val="00E40535"/>
    <w:rsid w:val="00E62D6B"/>
    <w:rsid w:val="00E8131E"/>
    <w:rsid w:val="00E920D4"/>
    <w:rsid w:val="00E92A91"/>
    <w:rsid w:val="00E95EB3"/>
    <w:rsid w:val="00EA1289"/>
    <w:rsid w:val="00EA49DF"/>
    <w:rsid w:val="00EB27ED"/>
    <w:rsid w:val="00EC660A"/>
    <w:rsid w:val="00ED1B50"/>
    <w:rsid w:val="00ED4083"/>
    <w:rsid w:val="00EE7E1B"/>
    <w:rsid w:val="00EF4DD2"/>
    <w:rsid w:val="00EF6BA1"/>
    <w:rsid w:val="00F02660"/>
    <w:rsid w:val="00F04303"/>
    <w:rsid w:val="00F04AF8"/>
    <w:rsid w:val="00F06ED1"/>
    <w:rsid w:val="00F07E81"/>
    <w:rsid w:val="00F169D6"/>
    <w:rsid w:val="00F20469"/>
    <w:rsid w:val="00F30E36"/>
    <w:rsid w:val="00F30F22"/>
    <w:rsid w:val="00F34613"/>
    <w:rsid w:val="00F3725B"/>
    <w:rsid w:val="00F42C3A"/>
    <w:rsid w:val="00F43B76"/>
    <w:rsid w:val="00F63216"/>
    <w:rsid w:val="00F66290"/>
    <w:rsid w:val="00F73E3F"/>
    <w:rsid w:val="00F76A94"/>
    <w:rsid w:val="00F82F7C"/>
    <w:rsid w:val="00F90958"/>
    <w:rsid w:val="00F90DD6"/>
    <w:rsid w:val="00F92E0C"/>
    <w:rsid w:val="00F93EC2"/>
    <w:rsid w:val="00FA12FD"/>
    <w:rsid w:val="00FA3CD5"/>
    <w:rsid w:val="00FB424F"/>
    <w:rsid w:val="00FB5AB8"/>
    <w:rsid w:val="00FC4DEC"/>
    <w:rsid w:val="00FC7C02"/>
    <w:rsid w:val="00FD7886"/>
    <w:rsid w:val="00FF2B8D"/>
    <w:rsid w:val="03B09A65"/>
    <w:rsid w:val="069F870E"/>
    <w:rsid w:val="0D846643"/>
    <w:rsid w:val="0F62AD5F"/>
    <w:rsid w:val="0FFFB2FB"/>
    <w:rsid w:val="133753BD"/>
    <w:rsid w:val="16C9959D"/>
    <w:rsid w:val="1BE1AB23"/>
    <w:rsid w:val="24BEF5FC"/>
    <w:rsid w:val="2574702C"/>
    <w:rsid w:val="260D21CF"/>
    <w:rsid w:val="28D632DE"/>
    <w:rsid w:val="295B085B"/>
    <w:rsid w:val="2B3E1191"/>
    <w:rsid w:val="3045548E"/>
    <w:rsid w:val="30DDD5DA"/>
    <w:rsid w:val="31069525"/>
    <w:rsid w:val="327B19B1"/>
    <w:rsid w:val="336A7F23"/>
    <w:rsid w:val="35C4B24F"/>
    <w:rsid w:val="36CAE6B0"/>
    <w:rsid w:val="39D902ED"/>
    <w:rsid w:val="3C247B4D"/>
    <w:rsid w:val="3C53CDBE"/>
    <w:rsid w:val="3D136AAC"/>
    <w:rsid w:val="3E073A62"/>
    <w:rsid w:val="4023C2EC"/>
    <w:rsid w:val="41A261F7"/>
    <w:rsid w:val="4675D31A"/>
    <w:rsid w:val="4C0461D5"/>
    <w:rsid w:val="4E67BCA2"/>
    <w:rsid w:val="54F04C83"/>
    <w:rsid w:val="5884A659"/>
    <w:rsid w:val="610D73C0"/>
    <w:rsid w:val="65D1D420"/>
    <w:rsid w:val="66E5D165"/>
    <w:rsid w:val="6795CC59"/>
    <w:rsid w:val="6881A1C6"/>
    <w:rsid w:val="69580E77"/>
    <w:rsid w:val="6DE251CE"/>
    <w:rsid w:val="6E6683F0"/>
    <w:rsid w:val="6FC1A964"/>
    <w:rsid w:val="70E84958"/>
    <w:rsid w:val="7355ED66"/>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2A27D9"/>
    <w:pPr>
      <w:tabs>
        <w:tab w:val="center" w:pos="4153"/>
        <w:tab w:val="right" w:pos="8306"/>
      </w:tabs>
    </w:pPr>
  </w:style>
  <w:style w:type="character" w:customStyle="1" w:styleId="FooterChar">
    <w:name w:val="Footer Char"/>
    <w:basedOn w:val="DefaultParagraphFont"/>
    <w:link w:val="Footer"/>
    <w:uiPriority w:val="99"/>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qFormat/>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 w:type="paragraph" w:customStyle="1" w:styleId="Bullet1">
    <w:name w:val="Bullet 1"/>
    <w:basedOn w:val="Normal"/>
    <w:rsid w:val="00CE102B"/>
    <w:pPr>
      <w:numPr>
        <w:numId w:val="4"/>
      </w:numPr>
      <w:spacing w:before="120" w:after="120"/>
      <w:jc w:val="both"/>
    </w:pPr>
    <w:rPr>
      <w:rFonts w:eastAsiaTheme="minorHAnsi"/>
      <w:szCs w:val="22"/>
      <w:lang w:eastAsia="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aisc">
    <w:name w:val="naisc"/>
    <w:basedOn w:val="Normal"/>
    <w:rsid w:val="00E95EB3"/>
    <w:pPr>
      <w:spacing w:before="100" w:beforeAutospacing="1" w:after="100" w:afterAutospacing="1"/>
      <w:jc w:val="center"/>
    </w:pPr>
    <w:rPr>
      <w:rFonts w:eastAsia="Arial Unicode M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3.xml" Type="http://schemas.openxmlformats.org/officeDocument/2006/relationships/footer"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5232</Words>
  <Characters>2983</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Regulai par uzņēmumu autoparku dekarbonizāciju”</vt:lpstr>
    </vt:vector>
  </TitlesOfParts>
  <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Regulai par uzņēmumu autoparku dekarbonizāciju”</dc:title>
  <dc:subject>Informatīvais ziņojums</dc:subject>
  <dc:creator>Satiksmes ministrija</dc:creator>
  <cp:keywords>Satiksmes ministrija</cp:keywords>
  <dc:description>Evita Nagle _x000d_
67028190_x000d_
evita.nagle@sam.gov.lv</dc:description>
  <cp:lastModifiedBy>Evita Nagle</cp:lastModifiedBy>
  <cp:revision>3</cp:revision>
  <cp:lastPrinted>2017-05-18T08:16:00Z</cp:lastPrinted>
  <dcterms:created xsi:type="dcterms:W3CDTF">2026-05-13T13:38:00Z</dcterms:created>
  <dcterms:modified xsi:type="dcterms:W3CDTF">2026-05-14T07:22:00Z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83" name="DISCesvisAdditionalMakers">
    <vt:lpwstr>Vecākā referente Evita Vaska</vt:lpwstr>
  </property>
  <property fmtid="{D5CDD505-2E9C-101B-9397-08002B2CF9AE}" pid="84" name="DIScgiUrl">
    <vt:lpwstr>https://lim.esvis.gov.lv/cs/idcplg</vt:lpwstr>
  </property>
  <property fmtid="{D5CDD505-2E9C-101B-9397-08002B2CF9AE}" pid="85" name="DISdDocName">
    <vt:lpwstr>L627347</vt:lpwstr>
  </property>
  <property fmtid="{D5CDD505-2E9C-101B-9397-08002B2CF9AE}" pid="86" name="DISCesvisAdditionalTutors">
    <vt:lpwstr>Vecākā referente Evita Vaska, Departamenta direktore Laima Rituma</vt:lpwstr>
  </property>
  <property fmtid="{D5CDD505-2E9C-101B-9397-08002B2CF9AE}" pid="87" name="DISCesvisSigner">
    <vt:lpwstr>Satiksmes ministrs Atis Švinka</vt:lpwstr>
  </property>
  <property fmtid="{D5CDD505-2E9C-101B-9397-08002B2CF9AE}" pid="88" name="DISCesvisSafetyLevel">
    <vt:lpwstr>Vispārpieejams</vt:lpwstr>
  </property>
  <property fmtid="{D5CDD505-2E9C-101B-9397-08002B2CF9AE}" pid="89" name="DISTaskPaneUrl">
    <vt:lpwstr>https://lim.esvis.gov.lv/cs/idcplg?ClientControlled=DocMan&amp;coreContentOnly=1&amp;WebdavRequest=1&amp;IdcService=DOC_INFO&amp;dID=727597</vt:lpwstr>
  </property>
  <property fmtid="{D5CDD505-2E9C-101B-9397-08002B2CF9AE}" pid="90" name="DISCesvisTitle">
    <vt:lpwstr>Informatīvais ziņojums "Latvijas Republikas nacionālā pozīcija Nr. 1 “Priekšlikums Eiropas Parlamenta un Padomes Regulai par digitālajiem tīkliem, ar ko groza Regulu (ES) 2015/2120, Direktīvu 2002/58/EK un Lēmumu Nr. 676/2002/EK un atceļ Regulu (ES) 2018/1971, Direktīvu (ES) 2018/1972 un Lēmumu Nr. 243/2012/ES (Digitālo tīklu akts)”"</vt:lpwstr>
  </property>
  <property fmtid="{D5CDD505-2E9C-101B-9397-08002B2CF9AE}" pid="91" name="DISCesvisMinistryOfMinister">
    <vt:lpwstr>wwTemplateNP_MinistryOfMinister(Satiksmes,)</vt:lpwstr>
  </property>
  <property fmtid="{D5CDD505-2E9C-101B-9397-08002B2CF9AE}" pid="92" name="DISCesvisAuthor">
    <vt:lpwstr>Satiksmes ministrija</vt:lpwstr>
  </property>
  <property fmtid="{D5CDD505-2E9C-101B-9397-08002B2CF9AE}" pid="93" name="DISCesvisMainMaker">
    <vt:lpwstr>Vecākā referente Evita Vaska</vt:lpwstr>
  </property>
  <property fmtid="{D5CDD505-2E9C-101B-9397-08002B2CF9AE}" pid="94" name="DISCesvisAdditionalTutorsMail">
    <vt:lpwstr>evita.vaska@sam.gov.lv, laima.rituma@sam.gov.lv</vt:lpwstr>
  </property>
  <property fmtid="{D5CDD505-2E9C-101B-9397-08002B2CF9AE}" pid="95" name="DISCesvisAdditionalTutorsPhone">
    <vt:lpwstr>67028198</vt:lpwstr>
  </property>
  <property fmtid="{D5CDD505-2E9C-101B-9397-08002B2CF9AE}" pid="96" name="DISidcName">
    <vt:lpwstr>1020404016200</vt:lpwstr>
  </property>
  <property fmtid="{D5CDD505-2E9C-101B-9397-08002B2CF9AE}" pid="97"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98" name="DISCesvisAdditionalMakersMail">
    <vt:lpwstr>evita.vaska@sam.gov.lv</vt:lpwstr>
  </property>
  <property fmtid="{D5CDD505-2E9C-101B-9397-08002B2CF9AE}" pid="99" name="DISdUser">
    <vt:lpwstr>weblogic</vt:lpwstr>
  </property>
  <property fmtid="{D5CDD505-2E9C-101B-9397-08002B2CF9AE}" pid="100" name="DISdID">
    <vt:lpwstr>727597</vt:lpwstr>
  </property>
  <property fmtid="{D5CDD505-2E9C-101B-9397-08002B2CF9AE}" pid="101" name="DISCesvisMainMakerOrgUnitTitle">
    <vt:lpwstr>Eiropas Savienības lietu koordinācijas departaments</vt:lpwstr>
  </property>
</Properties>
</file>